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4"/>
        </w:rPr>
        <w:id w:val="706304527"/>
        <w:docPartObj>
          <w:docPartGallery w:val="Cover Pages"/>
          <w:docPartUnique/>
        </w:docPartObj>
      </w:sdtPr>
      <w:sdtEndPr>
        <w:rPr>
          <w:b/>
          <w:sz w:val="28"/>
          <w:szCs w:val="28"/>
        </w:rPr>
      </w:sdtEndPr>
      <w:sdtContent>
        <w:p w:rsidR="006A507C" w:rsidRDefault="006E6554" w:rsidP="006A507C">
          <w:pPr>
            <w:pStyle w:val="NoSpacing"/>
            <w:rPr>
              <w:sz w:val="24"/>
            </w:rPr>
          </w:pPr>
          <w:r>
            <w:rPr>
              <w:noProof/>
              <w:lang w:eastAsia="en-AU"/>
            </w:rPr>
            <w:drawing>
              <wp:inline distT="0" distB="0" distL="0" distR="0" wp14:anchorId="00123433" wp14:editId="55693F73">
                <wp:extent cx="2076450" cy="1496060"/>
                <wp:effectExtent l="0" t="0" r="0" b="8890"/>
                <wp:docPr id="5" name="Picture 5" descr="cid:image001.png@01D5A5E1.9A828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A5E1.9A828F9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82314" cy="1500285"/>
                        </a:xfrm>
                        <a:prstGeom prst="rect">
                          <a:avLst/>
                        </a:prstGeom>
                        <a:noFill/>
                        <a:ln>
                          <a:noFill/>
                        </a:ln>
                      </pic:spPr>
                    </pic:pic>
                  </a:graphicData>
                </a:graphic>
              </wp:inline>
            </w:drawing>
          </w:r>
        </w:p>
        <w:p w:rsidR="006E6554" w:rsidRPr="006E6554" w:rsidRDefault="006E6554" w:rsidP="006E6554">
          <w:pPr>
            <w:spacing w:before="4000"/>
            <w:rPr>
              <w:color w:val="5B9BD5" w:themeColor="accent1"/>
              <w:sz w:val="52"/>
              <w:szCs w:val="64"/>
            </w:rPr>
          </w:pPr>
          <w:r w:rsidRPr="006E6554">
            <w:rPr>
              <w:color w:val="5B9BD5" w:themeColor="accent1"/>
              <w:sz w:val="52"/>
              <w:szCs w:val="64"/>
            </w:rPr>
            <w:t>Consideration of the financial impact on home care providers as a result of changes in payment arrangements</w:t>
          </w:r>
        </w:p>
        <w:p w:rsidR="006E6554" w:rsidRDefault="006E6554" w:rsidP="006A507C">
          <w:pPr>
            <w:pStyle w:val="NoSpacing"/>
            <w:rPr>
              <w:b/>
              <w:sz w:val="28"/>
              <w:szCs w:val="28"/>
            </w:rPr>
          </w:pPr>
        </w:p>
        <w:p w:rsidR="006E6554" w:rsidRPr="009D0E26" w:rsidRDefault="006E6554" w:rsidP="006E6554">
          <w:pPr>
            <w:pStyle w:val="NoSpacing"/>
            <w:spacing w:before="4800"/>
            <w:jc w:val="right"/>
            <w:rPr>
              <w:b/>
              <w:color w:val="000000" w:themeColor="text1"/>
              <w:sz w:val="40"/>
              <w:szCs w:val="40"/>
            </w:rPr>
          </w:pPr>
          <w:r w:rsidRPr="009D0E26">
            <w:rPr>
              <w:b/>
              <w:color w:val="000000" w:themeColor="text1"/>
              <w:sz w:val="40"/>
              <w:szCs w:val="40"/>
            </w:rPr>
            <w:t>December 2019</w:t>
          </w:r>
        </w:p>
        <w:p w:rsidR="00706FCD" w:rsidRDefault="00706FCD">
          <w:pPr>
            <w:rPr>
              <w:b/>
              <w:sz w:val="28"/>
              <w:szCs w:val="28"/>
            </w:rPr>
          </w:pPr>
          <w:r>
            <w:rPr>
              <w:b/>
              <w:sz w:val="28"/>
              <w:szCs w:val="28"/>
            </w:rPr>
            <w:br w:type="page"/>
          </w:r>
        </w:p>
      </w:sdtContent>
    </w:sdt>
    <w:p w:rsidR="0009455A" w:rsidRPr="00766195" w:rsidRDefault="0009455A" w:rsidP="00950DA8">
      <w:pPr>
        <w:spacing w:after="0" w:line="240" w:lineRule="auto"/>
        <w:rPr>
          <w:b/>
          <w:sz w:val="28"/>
          <w:szCs w:val="28"/>
        </w:rPr>
      </w:pPr>
    </w:p>
    <w:sdt>
      <w:sdtPr>
        <w:rPr>
          <w:rFonts w:asciiTheme="minorHAnsi" w:eastAsiaTheme="minorEastAsia" w:hAnsiTheme="minorHAnsi" w:cstheme="minorBidi"/>
          <w:b w:val="0"/>
          <w:color w:val="auto"/>
          <w:sz w:val="20"/>
          <w:szCs w:val="20"/>
        </w:rPr>
        <w:id w:val="1059823648"/>
        <w:docPartObj>
          <w:docPartGallery w:val="Table of Contents"/>
          <w:docPartUnique/>
        </w:docPartObj>
      </w:sdtPr>
      <w:sdtEndPr>
        <w:rPr>
          <w:sz w:val="24"/>
        </w:rPr>
      </w:sdtEndPr>
      <w:sdtContent>
        <w:p w:rsidR="004223C3" w:rsidRDefault="004223C3">
          <w:pPr>
            <w:pStyle w:val="TOCHeading"/>
          </w:pPr>
          <w:r>
            <w:t>Contents</w:t>
          </w:r>
        </w:p>
        <w:p w:rsidR="00866E9A" w:rsidRDefault="004223C3">
          <w:pPr>
            <w:pStyle w:val="TOC1"/>
            <w:tabs>
              <w:tab w:val="left" w:pos="660"/>
              <w:tab w:val="right" w:leader="dot" w:pos="9016"/>
            </w:tabs>
            <w:rPr>
              <w:noProof/>
              <w:sz w:val="22"/>
              <w:szCs w:val="22"/>
              <w:lang w:eastAsia="en-AU"/>
            </w:rPr>
          </w:pPr>
          <w:r>
            <w:fldChar w:fldCharType="begin"/>
          </w:r>
          <w:r>
            <w:instrText xml:space="preserve"> TOC \o "1-3" \h \z \u </w:instrText>
          </w:r>
          <w:r>
            <w:fldChar w:fldCharType="separate"/>
          </w:r>
          <w:hyperlink w:anchor="_Toc26788384" w:history="1">
            <w:r w:rsidR="00866E9A" w:rsidRPr="003A0CC7">
              <w:rPr>
                <w:rStyle w:val="Hyperlink"/>
                <w:noProof/>
              </w:rPr>
              <w:t>1.</w:t>
            </w:r>
            <w:r w:rsidR="00866E9A">
              <w:rPr>
                <w:noProof/>
                <w:sz w:val="22"/>
                <w:szCs w:val="22"/>
                <w:lang w:eastAsia="en-AU"/>
              </w:rPr>
              <w:tab/>
            </w:r>
            <w:r w:rsidR="00866E9A" w:rsidRPr="003A0CC7">
              <w:rPr>
                <w:rStyle w:val="Hyperlink"/>
                <w:noProof/>
              </w:rPr>
              <w:t>Executive Summary</w:t>
            </w:r>
            <w:r w:rsidR="00866E9A">
              <w:rPr>
                <w:noProof/>
                <w:webHidden/>
              </w:rPr>
              <w:tab/>
            </w:r>
            <w:r w:rsidR="00866E9A">
              <w:rPr>
                <w:noProof/>
                <w:webHidden/>
              </w:rPr>
              <w:fldChar w:fldCharType="begin"/>
            </w:r>
            <w:r w:rsidR="00866E9A">
              <w:rPr>
                <w:noProof/>
                <w:webHidden/>
              </w:rPr>
              <w:instrText xml:space="preserve"> PAGEREF _Toc26788384 \h </w:instrText>
            </w:r>
            <w:r w:rsidR="00866E9A">
              <w:rPr>
                <w:noProof/>
                <w:webHidden/>
              </w:rPr>
            </w:r>
            <w:r w:rsidR="00866E9A">
              <w:rPr>
                <w:noProof/>
                <w:webHidden/>
              </w:rPr>
              <w:fldChar w:fldCharType="separate"/>
            </w:r>
            <w:r w:rsidR="00866E9A">
              <w:rPr>
                <w:noProof/>
                <w:webHidden/>
              </w:rPr>
              <w:t>2</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385" w:history="1">
            <w:r w:rsidR="00866E9A" w:rsidRPr="003A0CC7">
              <w:rPr>
                <w:rStyle w:val="Hyperlink"/>
                <w:noProof/>
              </w:rPr>
              <w:t>2.</w:t>
            </w:r>
            <w:r w:rsidR="00866E9A">
              <w:rPr>
                <w:noProof/>
                <w:sz w:val="22"/>
                <w:szCs w:val="22"/>
                <w:lang w:eastAsia="en-AU"/>
              </w:rPr>
              <w:tab/>
            </w:r>
            <w:r w:rsidR="00866E9A" w:rsidRPr="003A0CC7">
              <w:rPr>
                <w:rStyle w:val="Hyperlink"/>
                <w:noProof/>
              </w:rPr>
              <w:t>Introduction</w:t>
            </w:r>
            <w:r w:rsidR="00866E9A">
              <w:rPr>
                <w:noProof/>
                <w:webHidden/>
              </w:rPr>
              <w:tab/>
            </w:r>
            <w:r w:rsidR="00866E9A">
              <w:rPr>
                <w:noProof/>
                <w:webHidden/>
              </w:rPr>
              <w:fldChar w:fldCharType="begin"/>
            </w:r>
            <w:r w:rsidR="00866E9A">
              <w:rPr>
                <w:noProof/>
                <w:webHidden/>
              </w:rPr>
              <w:instrText xml:space="preserve"> PAGEREF _Toc26788385 \h </w:instrText>
            </w:r>
            <w:r w:rsidR="00866E9A">
              <w:rPr>
                <w:noProof/>
                <w:webHidden/>
              </w:rPr>
            </w:r>
            <w:r w:rsidR="00866E9A">
              <w:rPr>
                <w:noProof/>
                <w:webHidden/>
              </w:rPr>
              <w:fldChar w:fldCharType="separate"/>
            </w:r>
            <w:r w:rsidR="00866E9A">
              <w:rPr>
                <w:noProof/>
                <w:webHidden/>
              </w:rPr>
              <w:t>4</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86" w:history="1">
            <w:r w:rsidR="00866E9A" w:rsidRPr="003A0CC7">
              <w:rPr>
                <w:rStyle w:val="Hyperlink"/>
                <w:noProof/>
              </w:rPr>
              <w:t>The project and terms of reference</w:t>
            </w:r>
            <w:r w:rsidR="00866E9A">
              <w:rPr>
                <w:noProof/>
                <w:webHidden/>
              </w:rPr>
              <w:tab/>
            </w:r>
            <w:r w:rsidR="00866E9A">
              <w:rPr>
                <w:noProof/>
                <w:webHidden/>
              </w:rPr>
              <w:fldChar w:fldCharType="begin"/>
            </w:r>
            <w:r w:rsidR="00866E9A">
              <w:rPr>
                <w:noProof/>
                <w:webHidden/>
              </w:rPr>
              <w:instrText xml:space="preserve"> PAGEREF _Toc26788386 \h </w:instrText>
            </w:r>
            <w:r w:rsidR="00866E9A">
              <w:rPr>
                <w:noProof/>
                <w:webHidden/>
              </w:rPr>
            </w:r>
            <w:r w:rsidR="00866E9A">
              <w:rPr>
                <w:noProof/>
                <w:webHidden/>
              </w:rPr>
              <w:fldChar w:fldCharType="separate"/>
            </w:r>
            <w:r w:rsidR="00866E9A">
              <w:rPr>
                <w:noProof/>
                <w:webHidden/>
              </w:rPr>
              <w:t>4</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87" w:history="1">
            <w:r w:rsidR="00866E9A" w:rsidRPr="003A0CC7">
              <w:rPr>
                <w:rStyle w:val="Hyperlink"/>
                <w:noProof/>
              </w:rPr>
              <w:t>The review process</w:t>
            </w:r>
            <w:r w:rsidR="00866E9A">
              <w:rPr>
                <w:noProof/>
                <w:webHidden/>
              </w:rPr>
              <w:tab/>
            </w:r>
            <w:r w:rsidR="00866E9A">
              <w:rPr>
                <w:noProof/>
                <w:webHidden/>
              </w:rPr>
              <w:fldChar w:fldCharType="begin"/>
            </w:r>
            <w:r w:rsidR="00866E9A">
              <w:rPr>
                <w:noProof/>
                <w:webHidden/>
              </w:rPr>
              <w:instrText xml:space="preserve"> PAGEREF _Toc26788387 \h </w:instrText>
            </w:r>
            <w:r w:rsidR="00866E9A">
              <w:rPr>
                <w:noProof/>
                <w:webHidden/>
              </w:rPr>
            </w:r>
            <w:r w:rsidR="00866E9A">
              <w:rPr>
                <w:noProof/>
                <w:webHidden/>
              </w:rPr>
              <w:fldChar w:fldCharType="separate"/>
            </w:r>
            <w:r w:rsidR="00866E9A">
              <w:rPr>
                <w:noProof/>
                <w:webHidden/>
              </w:rPr>
              <w:t>4</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388" w:history="1">
            <w:r w:rsidR="00866E9A" w:rsidRPr="003A0CC7">
              <w:rPr>
                <w:rStyle w:val="Hyperlink"/>
                <w:noProof/>
              </w:rPr>
              <w:t>3.</w:t>
            </w:r>
            <w:r w:rsidR="00866E9A">
              <w:rPr>
                <w:noProof/>
                <w:sz w:val="22"/>
                <w:szCs w:val="22"/>
                <w:lang w:eastAsia="en-AU"/>
              </w:rPr>
              <w:tab/>
            </w:r>
            <w:r w:rsidR="00866E9A" w:rsidRPr="003A0CC7">
              <w:rPr>
                <w:rStyle w:val="Hyperlink"/>
                <w:noProof/>
              </w:rPr>
              <w:t>The home care sector</w:t>
            </w:r>
            <w:r w:rsidR="00866E9A">
              <w:rPr>
                <w:noProof/>
                <w:webHidden/>
              </w:rPr>
              <w:tab/>
            </w:r>
            <w:r w:rsidR="00866E9A">
              <w:rPr>
                <w:noProof/>
                <w:webHidden/>
              </w:rPr>
              <w:fldChar w:fldCharType="begin"/>
            </w:r>
            <w:r w:rsidR="00866E9A">
              <w:rPr>
                <w:noProof/>
                <w:webHidden/>
              </w:rPr>
              <w:instrText xml:space="preserve"> PAGEREF _Toc26788388 \h </w:instrText>
            </w:r>
            <w:r w:rsidR="00866E9A">
              <w:rPr>
                <w:noProof/>
                <w:webHidden/>
              </w:rPr>
            </w:r>
            <w:r w:rsidR="00866E9A">
              <w:rPr>
                <w:noProof/>
                <w:webHidden/>
              </w:rPr>
              <w:fldChar w:fldCharType="separate"/>
            </w:r>
            <w:r w:rsidR="00866E9A">
              <w:rPr>
                <w:noProof/>
                <w:webHidden/>
              </w:rPr>
              <w:t>6</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389" w:history="1">
            <w:r w:rsidR="00866E9A" w:rsidRPr="003A0CC7">
              <w:rPr>
                <w:rStyle w:val="Hyperlink"/>
                <w:noProof/>
              </w:rPr>
              <w:t>4.</w:t>
            </w:r>
            <w:r w:rsidR="00866E9A">
              <w:rPr>
                <w:noProof/>
                <w:sz w:val="22"/>
                <w:szCs w:val="22"/>
                <w:lang w:eastAsia="en-AU"/>
              </w:rPr>
              <w:tab/>
            </w:r>
            <w:r w:rsidR="00866E9A" w:rsidRPr="003A0CC7">
              <w:rPr>
                <w:rStyle w:val="Hyperlink"/>
                <w:noProof/>
              </w:rPr>
              <w:t>The implementation timetable being considered by Government</w:t>
            </w:r>
            <w:r w:rsidR="00866E9A">
              <w:rPr>
                <w:noProof/>
                <w:webHidden/>
              </w:rPr>
              <w:tab/>
            </w:r>
            <w:r w:rsidR="00866E9A">
              <w:rPr>
                <w:noProof/>
                <w:webHidden/>
              </w:rPr>
              <w:fldChar w:fldCharType="begin"/>
            </w:r>
            <w:r w:rsidR="00866E9A">
              <w:rPr>
                <w:noProof/>
                <w:webHidden/>
              </w:rPr>
              <w:instrText xml:space="preserve"> PAGEREF _Toc26788389 \h </w:instrText>
            </w:r>
            <w:r w:rsidR="00866E9A">
              <w:rPr>
                <w:noProof/>
                <w:webHidden/>
              </w:rPr>
            </w:r>
            <w:r w:rsidR="00866E9A">
              <w:rPr>
                <w:noProof/>
                <w:webHidden/>
              </w:rPr>
              <w:fldChar w:fldCharType="separate"/>
            </w:r>
            <w:r w:rsidR="00866E9A">
              <w:rPr>
                <w:noProof/>
                <w:webHidden/>
              </w:rPr>
              <w:t>7</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390" w:history="1">
            <w:r w:rsidR="00866E9A" w:rsidRPr="003A0CC7">
              <w:rPr>
                <w:rStyle w:val="Hyperlink"/>
                <w:noProof/>
              </w:rPr>
              <w:t>5.</w:t>
            </w:r>
            <w:r w:rsidR="00866E9A">
              <w:rPr>
                <w:noProof/>
                <w:sz w:val="22"/>
                <w:szCs w:val="22"/>
                <w:lang w:eastAsia="en-AU"/>
              </w:rPr>
              <w:tab/>
            </w:r>
            <w:r w:rsidR="00866E9A" w:rsidRPr="003A0CC7">
              <w:rPr>
                <w:rStyle w:val="Hyperlink"/>
                <w:noProof/>
              </w:rPr>
              <w:t>Current payment arrangements in home care</w:t>
            </w:r>
            <w:r w:rsidR="00866E9A">
              <w:rPr>
                <w:noProof/>
                <w:webHidden/>
              </w:rPr>
              <w:tab/>
            </w:r>
            <w:r w:rsidR="00866E9A">
              <w:rPr>
                <w:noProof/>
                <w:webHidden/>
              </w:rPr>
              <w:fldChar w:fldCharType="begin"/>
            </w:r>
            <w:r w:rsidR="00866E9A">
              <w:rPr>
                <w:noProof/>
                <w:webHidden/>
              </w:rPr>
              <w:instrText xml:space="preserve"> PAGEREF _Toc26788390 \h </w:instrText>
            </w:r>
            <w:r w:rsidR="00866E9A">
              <w:rPr>
                <w:noProof/>
                <w:webHidden/>
              </w:rPr>
            </w:r>
            <w:r w:rsidR="00866E9A">
              <w:rPr>
                <w:noProof/>
                <w:webHidden/>
              </w:rPr>
              <w:fldChar w:fldCharType="separate"/>
            </w:r>
            <w:r w:rsidR="00866E9A">
              <w:rPr>
                <w:noProof/>
                <w:webHidden/>
              </w:rPr>
              <w:t>8</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91" w:history="1">
            <w:r w:rsidR="00866E9A" w:rsidRPr="003A0CC7">
              <w:rPr>
                <w:rStyle w:val="Hyperlink"/>
                <w:noProof/>
              </w:rPr>
              <w:t>Unspent funds</w:t>
            </w:r>
            <w:r w:rsidR="00866E9A">
              <w:rPr>
                <w:noProof/>
                <w:webHidden/>
              </w:rPr>
              <w:tab/>
            </w:r>
            <w:r w:rsidR="00866E9A">
              <w:rPr>
                <w:noProof/>
                <w:webHidden/>
              </w:rPr>
              <w:fldChar w:fldCharType="begin"/>
            </w:r>
            <w:r w:rsidR="00866E9A">
              <w:rPr>
                <w:noProof/>
                <w:webHidden/>
              </w:rPr>
              <w:instrText xml:space="preserve"> PAGEREF _Toc26788391 \h </w:instrText>
            </w:r>
            <w:r w:rsidR="00866E9A">
              <w:rPr>
                <w:noProof/>
                <w:webHidden/>
              </w:rPr>
            </w:r>
            <w:r w:rsidR="00866E9A">
              <w:rPr>
                <w:noProof/>
                <w:webHidden/>
              </w:rPr>
              <w:fldChar w:fldCharType="separate"/>
            </w:r>
            <w:r w:rsidR="00866E9A">
              <w:rPr>
                <w:noProof/>
                <w:webHidden/>
              </w:rPr>
              <w:t>9</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392" w:history="1">
            <w:r w:rsidR="00866E9A" w:rsidRPr="003A0CC7">
              <w:rPr>
                <w:rStyle w:val="Hyperlink"/>
                <w:noProof/>
              </w:rPr>
              <w:t>6.</w:t>
            </w:r>
            <w:r w:rsidR="00866E9A">
              <w:rPr>
                <w:noProof/>
                <w:sz w:val="22"/>
                <w:szCs w:val="22"/>
                <w:lang w:eastAsia="en-AU"/>
              </w:rPr>
              <w:tab/>
            </w:r>
            <w:r w:rsidR="00866E9A" w:rsidRPr="003A0CC7">
              <w:rPr>
                <w:rStyle w:val="Hyperlink"/>
                <w:noProof/>
              </w:rPr>
              <w:t>Issues raised in consultations</w:t>
            </w:r>
            <w:r w:rsidR="00866E9A">
              <w:rPr>
                <w:noProof/>
                <w:webHidden/>
              </w:rPr>
              <w:tab/>
            </w:r>
            <w:r w:rsidR="00866E9A">
              <w:rPr>
                <w:noProof/>
                <w:webHidden/>
              </w:rPr>
              <w:fldChar w:fldCharType="begin"/>
            </w:r>
            <w:r w:rsidR="00866E9A">
              <w:rPr>
                <w:noProof/>
                <w:webHidden/>
              </w:rPr>
              <w:instrText xml:space="preserve"> PAGEREF _Toc26788392 \h </w:instrText>
            </w:r>
            <w:r w:rsidR="00866E9A">
              <w:rPr>
                <w:noProof/>
                <w:webHidden/>
              </w:rPr>
            </w:r>
            <w:r w:rsidR="00866E9A">
              <w:rPr>
                <w:noProof/>
                <w:webHidden/>
              </w:rPr>
              <w:fldChar w:fldCharType="separate"/>
            </w:r>
            <w:r w:rsidR="00866E9A">
              <w:rPr>
                <w:noProof/>
                <w:webHidden/>
              </w:rPr>
              <w:t>10</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93" w:history="1">
            <w:r w:rsidR="00866E9A" w:rsidRPr="003A0CC7">
              <w:rPr>
                <w:rStyle w:val="Hyperlink"/>
                <w:noProof/>
              </w:rPr>
              <w:t>Current arrangements</w:t>
            </w:r>
            <w:r w:rsidR="00866E9A">
              <w:rPr>
                <w:noProof/>
                <w:webHidden/>
              </w:rPr>
              <w:tab/>
            </w:r>
            <w:r w:rsidR="00866E9A">
              <w:rPr>
                <w:noProof/>
                <w:webHidden/>
              </w:rPr>
              <w:fldChar w:fldCharType="begin"/>
            </w:r>
            <w:r w:rsidR="00866E9A">
              <w:rPr>
                <w:noProof/>
                <w:webHidden/>
              </w:rPr>
              <w:instrText xml:space="preserve"> PAGEREF _Toc26788393 \h </w:instrText>
            </w:r>
            <w:r w:rsidR="00866E9A">
              <w:rPr>
                <w:noProof/>
                <w:webHidden/>
              </w:rPr>
            </w:r>
            <w:r w:rsidR="00866E9A">
              <w:rPr>
                <w:noProof/>
                <w:webHidden/>
              </w:rPr>
              <w:fldChar w:fldCharType="separate"/>
            </w:r>
            <w:r w:rsidR="00866E9A">
              <w:rPr>
                <w:noProof/>
                <w:webHidden/>
              </w:rPr>
              <w:t>10</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94" w:history="1">
            <w:r w:rsidR="00866E9A" w:rsidRPr="003A0CC7">
              <w:rPr>
                <w:rStyle w:val="Hyperlink"/>
                <w:noProof/>
              </w:rPr>
              <w:t>Phase 1 – moving from advance to arrears payments</w:t>
            </w:r>
            <w:r w:rsidR="00866E9A">
              <w:rPr>
                <w:noProof/>
                <w:webHidden/>
              </w:rPr>
              <w:tab/>
            </w:r>
            <w:r w:rsidR="00866E9A">
              <w:rPr>
                <w:noProof/>
                <w:webHidden/>
              </w:rPr>
              <w:fldChar w:fldCharType="begin"/>
            </w:r>
            <w:r w:rsidR="00866E9A">
              <w:rPr>
                <w:noProof/>
                <w:webHidden/>
              </w:rPr>
              <w:instrText xml:space="preserve"> PAGEREF _Toc26788394 \h </w:instrText>
            </w:r>
            <w:r w:rsidR="00866E9A">
              <w:rPr>
                <w:noProof/>
                <w:webHidden/>
              </w:rPr>
            </w:r>
            <w:r w:rsidR="00866E9A">
              <w:rPr>
                <w:noProof/>
                <w:webHidden/>
              </w:rPr>
              <w:fldChar w:fldCharType="separate"/>
            </w:r>
            <w:r w:rsidR="00866E9A">
              <w:rPr>
                <w:noProof/>
                <w:webHidden/>
              </w:rPr>
              <w:t>11</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95" w:history="1">
            <w:r w:rsidR="00866E9A" w:rsidRPr="003A0CC7">
              <w:rPr>
                <w:rStyle w:val="Hyperlink"/>
                <w:noProof/>
              </w:rPr>
              <w:t>Phase 2 – payment for services provided</w:t>
            </w:r>
            <w:r w:rsidR="00866E9A">
              <w:rPr>
                <w:noProof/>
                <w:webHidden/>
              </w:rPr>
              <w:tab/>
            </w:r>
            <w:r w:rsidR="00866E9A">
              <w:rPr>
                <w:noProof/>
                <w:webHidden/>
              </w:rPr>
              <w:fldChar w:fldCharType="begin"/>
            </w:r>
            <w:r w:rsidR="00866E9A">
              <w:rPr>
                <w:noProof/>
                <w:webHidden/>
              </w:rPr>
              <w:instrText xml:space="preserve"> PAGEREF _Toc26788395 \h </w:instrText>
            </w:r>
            <w:r w:rsidR="00866E9A">
              <w:rPr>
                <w:noProof/>
                <w:webHidden/>
              </w:rPr>
            </w:r>
            <w:r w:rsidR="00866E9A">
              <w:rPr>
                <w:noProof/>
                <w:webHidden/>
              </w:rPr>
              <w:fldChar w:fldCharType="separate"/>
            </w:r>
            <w:r w:rsidR="00866E9A">
              <w:rPr>
                <w:noProof/>
                <w:webHidden/>
              </w:rPr>
              <w:t>12</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96" w:history="1">
            <w:r w:rsidR="00866E9A" w:rsidRPr="003A0CC7">
              <w:rPr>
                <w:rStyle w:val="Hyperlink"/>
                <w:noProof/>
              </w:rPr>
              <w:t>Phase 3 – reducing provider held unspent funds</w:t>
            </w:r>
            <w:r w:rsidR="00866E9A">
              <w:rPr>
                <w:noProof/>
                <w:webHidden/>
              </w:rPr>
              <w:tab/>
            </w:r>
            <w:r w:rsidR="00866E9A">
              <w:rPr>
                <w:noProof/>
                <w:webHidden/>
              </w:rPr>
              <w:fldChar w:fldCharType="begin"/>
            </w:r>
            <w:r w:rsidR="00866E9A">
              <w:rPr>
                <w:noProof/>
                <w:webHidden/>
              </w:rPr>
              <w:instrText xml:space="preserve"> PAGEREF _Toc26788396 \h </w:instrText>
            </w:r>
            <w:r w:rsidR="00866E9A">
              <w:rPr>
                <w:noProof/>
                <w:webHidden/>
              </w:rPr>
            </w:r>
            <w:r w:rsidR="00866E9A">
              <w:rPr>
                <w:noProof/>
                <w:webHidden/>
              </w:rPr>
              <w:fldChar w:fldCharType="separate"/>
            </w:r>
            <w:r w:rsidR="00866E9A">
              <w:rPr>
                <w:noProof/>
                <w:webHidden/>
              </w:rPr>
              <w:t>13</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97" w:history="1">
            <w:r w:rsidR="00866E9A" w:rsidRPr="003A0CC7">
              <w:rPr>
                <w:rStyle w:val="Hyperlink"/>
                <w:noProof/>
              </w:rPr>
              <w:t>Possible impact on viability of some providers</w:t>
            </w:r>
            <w:r w:rsidR="00866E9A">
              <w:rPr>
                <w:noProof/>
                <w:webHidden/>
              </w:rPr>
              <w:tab/>
            </w:r>
            <w:r w:rsidR="00866E9A">
              <w:rPr>
                <w:noProof/>
                <w:webHidden/>
              </w:rPr>
              <w:fldChar w:fldCharType="begin"/>
            </w:r>
            <w:r w:rsidR="00866E9A">
              <w:rPr>
                <w:noProof/>
                <w:webHidden/>
              </w:rPr>
              <w:instrText xml:space="preserve"> PAGEREF _Toc26788397 \h </w:instrText>
            </w:r>
            <w:r w:rsidR="00866E9A">
              <w:rPr>
                <w:noProof/>
                <w:webHidden/>
              </w:rPr>
            </w:r>
            <w:r w:rsidR="00866E9A">
              <w:rPr>
                <w:noProof/>
                <w:webHidden/>
              </w:rPr>
              <w:fldChar w:fldCharType="separate"/>
            </w:r>
            <w:r w:rsidR="00866E9A">
              <w:rPr>
                <w:noProof/>
                <w:webHidden/>
              </w:rPr>
              <w:t>14</w:t>
            </w:r>
            <w:r w:rsidR="00866E9A">
              <w:rPr>
                <w:noProof/>
                <w:webHidden/>
              </w:rPr>
              <w:fldChar w:fldCharType="end"/>
            </w:r>
          </w:hyperlink>
        </w:p>
        <w:p w:rsidR="00866E9A" w:rsidRDefault="00531D53">
          <w:pPr>
            <w:pStyle w:val="TOC2"/>
            <w:tabs>
              <w:tab w:val="right" w:leader="dot" w:pos="9016"/>
            </w:tabs>
            <w:rPr>
              <w:noProof/>
              <w:sz w:val="22"/>
              <w:szCs w:val="22"/>
              <w:lang w:eastAsia="en-AU"/>
            </w:rPr>
          </w:pPr>
          <w:hyperlink w:anchor="_Toc26788398" w:history="1">
            <w:r w:rsidR="00866E9A" w:rsidRPr="003A0CC7">
              <w:rPr>
                <w:rStyle w:val="Hyperlink"/>
                <w:noProof/>
              </w:rPr>
              <w:t>Possible impact on consumers</w:t>
            </w:r>
            <w:r w:rsidR="00866E9A">
              <w:rPr>
                <w:noProof/>
                <w:webHidden/>
              </w:rPr>
              <w:tab/>
            </w:r>
            <w:r w:rsidR="00866E9A">
              <w:rPr>
                <w:noProof/>
                <w:webHidden/>
              </w:rPr>
              <w:fldChar w:fldCharType="begin"/>
            </w:r>
            <w:r w:rsidR="00866E9A">
              <w:rPr>
                <w:noProof/>
                <w:webHidden/>
              </w:rPr>
              <w:instrText xml:space="preserve"> PAGEREF _Toc26788398 \h </w:instrText>
            </w:r>
            <w:r w:rsidR="00866E9A">
              <w:rPr>
                <w:noProof/>
                <w:webHidden/>
              </w:rPr>
            </w:r>
            <w:r w:rsidR="00866E9A">
              <w:rPr>
                <w:noProof/>
                <w:webHidden/>
              </w:rPr>
              <w:fldChar w:fldCharType="separate"/>
            </w:r>
            <w:r w:rsidR="00866E9A">
              <w:rPr>
                <w:noProof/>
                <w:webHidden/>
              </w:rPr>
              <w:t>14</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399" w:history="1">
            <w:r w:rsidR="00866E9A" w:rsidRPr="003A0CC7">
              <w:rPr>
                <w:rStyle w:val="Hyperlink"/>
                <w:noProof/>
              </w:rPr>
              <w:t>7.</w:t>
            </w:r>
            <w:r w:rsidR="00866E9A">
              <w:rPr>
                <w:noProof/>
                <w:sz w:val="22"/>
                <w:szCs w:val="22"/>
                <w:lang w:eastAsia="en-AU"/>
              </w:rPr>
              <w:tab/>
            </w:r>
            <w:r w:rsidR="00866E9A" w:rsidRPr="003A0CC7">
              <w:rPr>
                <w:rStyle w:val="Hyperlink"/>
                <w:noProof/>
              </w:rPr>
              <w:t>Data analysis</w:t>
            </w:r>
            <w:r w:rsidR="00866E9A">
              <w:rPr>
                <w:noProof/>
                <w:webHidden/>
              </w:rPr>
              <w:tab/>
            </w:r>
            <w:r w:rsidR="00866E9A">
              <w:rPr>
                <w:noProof/>
                <w:webHidden/>
              </w:rPr>
              <w:fldChar w:fldCharType="begin"/>
            </w:r>
            <w:r w:rsidR="00866E9A">
              <w:rPr>
                <w:noProof/>
                <w:webHidden/>
              </w:rPr>
              <w:instrText xml:space="preserve"> PAGEREF _Toc26788399 \h </w:instrText>
            </w:r>
            <w:r w:rsidR="00866E9A">
              <w:rPr>
                <w:noProof/>
                <w:webHidden/>
              </w:rPr>
            </w:r>
            <w:r w:rsidR="00866E9A">
              <w:rPr>
                <w:noProof/>
                <w:webHidden/>
              </w:rPr>
              <w:fldChar w:fldCharType="separate"/>
            </w:r>
            <w:r w:rsidR="00866E9A">
              <w:rPr>
                <w:noProof/>
                <w:webHidden/>
              </w:rPr>
              <w:t>16</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400" w:history="1">
            <w:r w:rsidR="00866E9A" w:rsidRPr="003A0CC7">
              <w:rPr>
                <w:rStyle w:val="Hyperlink"/>
                <w:noProof/>
              </w:rPr>
              <w:t>8.</w:t>
            </w:r>
            <w:r w:rsidR="00866E9A">
              <w:rPr>
                <w:noProof/>
                <w:sz w:val="22"/>
                <w:szCs w:val="22"/>
                <w:lang w:eastAsia="en-AU"/>
              </w:rPr>
              <w:tab/>
            </w:r>
            <w:r w:rsidR="00866E9A" w:rsidRPr="003A0CC7">
              <w:rPr>
                <w:rStyle w:val="Hyperlink"/>
                <w:noProof/>
              </w:rPr>
              <w:t>Assessment of issues raised</w:t>
            </w:r>
            <w:r w:rsidR="00866E9A">
              <w:rPr>
                <w:noProof/>
                <w:webHidden/>
              </w:rPr>
              <w:tab/>
            </w:r>
            <w:r w:rsidR="00866E9A">
              <w:rPr>
                <w:noProof/>
                <w:webHidden/>
              </w:rPr>
              <w:fldChar w:fldCharType="begin"/>
            </w:r>
            <w:r w:rsidR="00866E9A">
              <w:rPr>
                <w:noProof/>
                <w:webHidden/>
              </w:rPr>
              <w:instrText xml:space="preserve"> PAGEREF _Toc26788400 \h </w:instrText>
            </w:r>
            <w:r w:rsidR="00866E9A">
              <w:rPr>
                <w:noProof/>
                <w:webHidden/>
              </w:rPr>
            </w:r>
            <w:r w:rsidR="00866E9A">
              <w:rPr>
                <w:noProof/>
                <w:webHidden/>
              </w:rPr>
              <w:fldChar w:fldCharType="separate"/>
            </w:r>
            <w:r w:rsidR="00866E9A">
              <w:rPr>
                <w:noProof/>
                <w:webHidden/>
              </w:rPr>
              <w:t>17</w:t>
            </w:r>
            <w:r w:rsidR="00866E9A">
              <w:rPr>
                <w:noProof/>
                <w:webHidden/>
              </w:rPr>
              <w:fldChar w:fldCharType="end"/>
            </w:r>
          </w:hyperlink>
        </w:p>
        <w:p w:rsidR="00866E9A" w:rsidRDefault="00531D53">
          <w:pPr>
            <w:pStyle w:val="TOC1"/>
            <w:tabs>
              <w:tab w:val="left" w:pos="660"/>
              <w:tab w:val="right" w:leader="dot" w:pos="9016"/>
            </w:tabs>
            <w:rPr>
              <w:noProof/>
              <w:sz w:val="22"/>
              <w:szCs w:val="22"/>
              <w:lang w:eastAsia="en-AU"/>
            </w:rPr>
          </w:pPr>
          <w:hyperlink w:anchor="_Toc26788401" w:history="1">
            <w:r w:rsidR="00866E9A" w:rsidRPr="003A0CC7">
              <w:rPr>
                <w:rStyle w:val="Hyperlink"/>
                <w:noProof/>
              </w:rPr>
              <w:t>9.</w:t>
            </w:r>
            <w:r w:rsidR="00866E9A">
              <w:rPr>
                <w:noProof/>
                <w:sz w:val="22"/>
                <w:szCs w:val="22"/>
                <w:lang w:eastAsia="en-AU"/>
              </w:rPr>
              <w:tab/>
            </w:r>
            <w:r w:rsidR="00866E9A" w:rsidRPr="003A0CC7">
              <w:rPr>
                <w:rStyle w:val="Hyperlink"/>
                <w:noProof/>
              </w:rPr>
              <w:t>Conclusions and Recommendations</w:t>
            </w:r>
            <w:r w:rsidR="00866E9A">
              <w:rPr>
                <w:noProof/>
                <w:webHidden/>
              </w:rPr>
              <w:tab/>
            </w:r>
            <w:r w:rsidR="00866E9A">
              <w:rPr>
                <w:noProof/>
                <w:webHidden/>
              </w:rPr>
              <w:fldChar w:fldCharType="begin"/>
            </w:r>
            <w:r w:rsidR="00866E9A">
              <w:rPr>
                <w:noProof/>
                <w:webHidden/>
              </w:rPr>
              <w:instrText xml:space="preserve"> PAGEREF _Toc26788401 \h </w:instrText>
            </w:r>
            <w:r w:rsidR="00866E9A">
              <w:rPr>
                <w:noProof/>
                <w:webHidden/>
              </w:rPr>
            </w:r>
            <w:r w:rsidR="00866E9A">
              <w:rPr>
                <w:noProof/>
                <w:webHidden/>
              </w:rPr>
              <w:fldChar w:fldCharType="separate"/>
            </w:r>
            <w:r w:rsidR="00866E9A">
              <w:rPr>
                <w:noProof/>
                <w:webHidden/>
              </w:rPr>
              <w:t>19</w:t>
            </w:r>
            <w:r w:rsidR="00866E9A">
              <w:rPr>
                <w:noProof/>
                <w:webHidden/>
              </w:rPr>
              <w:fldChar w:fldCharType="end"/>
            </w:r>
          </w:hyperlink>
        </w:p>
        <w:p w:rsidR="004223C3" w:rsidRDefault="004223C3">
          <w:r>
            <w:rPr>
              <w:b/>
              <w:bCs/>
              <w:noProof/>
            </w:rPr>
            <w:fldChar w:fldCharType="end"/>
          </w:r>
        </w:p>
      </w:sdtContent>
    </w:sdt>
    <w:p w:rsidR="00546867" w:rsidRDefault="00546867">
      <w:pPr>
        <w:rPr>
          <w:rFonts w:asciiTheme="majorHAnsi" w:eastAsiaTheme="majorEastAsia" w:hAnsiTheme="majorHAnsi" w:cstheme="majorBidi"/>
          <w:color w:val="404040" w:themeColor="text1" w:themeTint="BF"/>
          <w:sz w:val="28"/>
          <w:szCs w:val="28"/>
        </w:rPr>
      </w:pPr>
      <w:r>
        <w:br w:type="page"/>
      </w:r>
    </w:p>
    <w:p w:rsidR="00580474" w:rsidRDefault="00580474" w:rsidP="00A731EB">
      <w:pPr>
        <w:pStyle w:val="Heading1"/>
        <w:numPr>
          <w:ilvl w:val="0"/>
          <w:numId w:val="14"/>
        </w:numPr>
        <w:spacing w:before="0" w:after="180"/>
      </w:pPr>
      <w:bookmarkStart w:id="0" w:name="_Toc25851846"/>
      <w:bookmarkStart w:id="1" w:name="_Toc25938491"/>
      <w:bookmarkStart w:id="2" w:name="_Toc26109054"/>
      <w:bookmarkStart w:id="3" w:name="_Toc26788384"/>
      <w:bookmarkStart w:id="4" w:name="_Ref25312686"/>
      <w:bookmarkStart w:id="5" w:name="_Toc25325882"/>
      <w:r>
        <w:lastRenderedPageBreak/>
        <w:t>Executive Summary</w:t>
      </w:r>
      <w:bookmarkEnd w:id="0"/>
      <w:bookmarkEnd w:id="1"/>
      <w:bookmarkEnd w:id="2"/>
      <w:bookmarkEnd w:id="3"/>
    </w:p>
    <w:p w:rsidR="00C4729D" w:rsidRDefault="00C4729D" w:rsidP="007027DE">
      <w:pPr>
        <w:spacing w:after="180" w:line="240" w:lineRule="auto"/>
      </w:pPr>
      <w:r>
        <w:t>The Aged Care Financing Authority (ACFA) was asked by the Minister for Aged Care and Senior Australians to examine the potential financial impact on home care providers of the Government’s 2019-20 Budget measure to change the way provide</w:t>
      </w:r>
      <w:r w:rsidR="007027DE">
        <w:t>r</w:t>
      </w:r>
      <w:r>
        <w:t xml:space="preserve">s are paid Government subsidies. ACFA was also asked </w:t>
      </w:r>
      <w:r w:rsidR="0090207B">
        <w:t>to</w:t>
      </w:r>
      <w:r>
        <w:t xml:space="preserve"> </w:t>
      </w:r>
      <w:proofErr w:type="gramStart"/>
      <w:r>
        <w:t>advi</w:t>
      </w:r>
      <w:r w:rsidR="0090207B">
        <w:t>s</w:t>
      </w:r>
      <w:r>
        <w:t>e</w:t>
      </w:r>
      <w:proofErr w:type="gramEnd"/>
      <w:r>
        <w:t xml:space="preserve"> on any significant impact of the new arrangements on consumers.</w:t>
      </w:r>
    </w:p>
    <w:p w:rsidR="00C4729D" w:rsidRDefault="00C4729D" w:rsidP="007027DE">
      <w:pPr>
        <w:spacing w:after="180" w:line="240" w:lineRule="auto"/>
      </w:pPr>
      <w:r>
        <w:t>The Government is considering introducing the change in payme</w:t>
      </w:r>
      <w:r w:rsidR="0076704B">
        <w:t>nt arrangements in three phases:</w:t>
      </w:r>
    </w:p>
    <w:p w:rsidR="00C4729D" w:rsidRDefault="00C4729D" w:rsidP="0076704B">
      <w:pPr>
        <w:spacing w:after="180" w:line="240" w:lineRule="auto"/>
        <w:ind w:left="567"/>
      </w:pPr>
      <w:r>
        <w:rPr>
          <w:b/>
        </w:rPr>
        <w:t xml:space="preserve">Phase 1 </w:t>
      </w:r>
      <w:r>
        <w:t xml:space="preserve">would commence in June 2020 and would involve home care subsidies for </w:t>
      </w:r>
      <w:r w:rsidR="003657B7">
        <w:t>consumer</w:t>
      </w:r>
      <w:r w:rsidR="006A6C7D">
        <w:t>s</w:t>
      </w:r>
      <w:r>
        <w:t xml:space="preserve"> being paid after the month </w:t>
      </w:r>
      <w:r w:rsidR="006A6C7D">
        <w:t>(in</w:t>
      </w:r>
      <w:r>
        <w:t xml:space="preserve"> arrears) rather than at the start of the month </w:t>
      </w:r>
      <w:r w:rsidR="006A6C7D">
        <w:t>(in</w:t>
      </w:r>
      <w:r w:rsidR="004B46C0">
        <w:t> </w:t>
      </w:r>
      <w:r>
        <w:t>advance).</w:t>
      </w:r>
    </w:p>
    <w:p w:rsidR="00B625DF" w:rsidRDefault="00C4729D" w:rsidP="0076704B">
      <w:pPr>
        <w:spacing w:after="180" w:line="240" w:lineRule="auto"/>
        <w:ind w:left="567"/>
      </w:pPr>
      <w:r>
        <w:rPr>
          <w:b/>
        </w:rPr>
        <w:t xml:space="preserve">Phase 2 </w:t>
      </w:r>
      <w:r w:rsidR="00B625DF">
        <w:t xml:space="preserve">would commence in April 2021 and providers would only be paid the subsidy for the goods and services they actually provide to the </w:t>
      </w:r>
      <w:r w:rsidR="003657B7">
        <w:t>consumer</w:t>
      </w:r>
      <w:r w:rsidR="00B625DF">
        <w:t xml:space="preserve"> rather than receiving the full monthly </w:t>
      </w:r>
      <w:r w:rsidR="00363C72">
        <w:t xml:space="preserve">subsidy </w:t>
      </w:r>
      <w:r w:rsidR="00B625DF">
        <w:t xml:space="preserve">amount for the </w:t>
      </w:r>
      <w:r w:rsidR="006A6C7D">
        <w:t>recipient</w:t>
      </w:r>
      <w:r w:rsidR="00B625DF">
        <w:t xml:space="preserve">. Any unspent package funds for the </w:t>
      </w:r>
      <w:r w:rsidR="006A6C7D">
        <w:t>recipient</w:t>
      </w:r>
      <w:r w:rsidR="00B625DF">
        <w:t xml:space="preserve"> would be held by </w:t>
      </w:r>
      <w:r w:rsidR="00472D85">
        <w:t>the Department of Human Services (</w:t>
      </w:r>
      <w:r w:rsidR="00B625DF">
        <w:t>DHS</w:t>
      </w:r>
      <w:r w:rsidR="00472D85">
        <w:t>)</w:t>
      </w:r>
      <w:r w:rsidR="00B625DF">
        <w:t>.</w:t>
      </w:r>
    </w:p>
    <w:p w:rsidR="00B625DF" w:rsidRDefault="00B625DF" w:rsidP="0076704B">
      <w:pPr>
        <w:spacing w:after="180" w:line="240" w:lineRule="auto"/>
        <w:ind w:left="567"/>
      </w:pPr>
      <w:r>
        <w:rPr>
          <w:b/>
        </w:rPr>
        <w:t xml:space="preserve">Phase 3 </w:t>
      </w:r>
      <w:r>
        <w:t xml:space="preserve">would commence in April 2021 and subsidy payments to providers for a </w:t>
      </w:r>
      <w:r w:rsidR="003657B7">
        <w:t>consumer</w:t>
      </w:r>
      <w:r>
        <w:t xml:space="preserve"> would be reduced by a </w:t>
      </w:r>
      <w:r w:rsidRPr="00E93A9C">
        <w:t xml:space="preserve">portion of the </w:t>
      </w:r>
      <w:r w:rsidR="000533DE" w:rsidRPr="00E93A9C">
        <w:t xml:space="preserve">unspent package </w:t>
      </w:r>
      <w:r w:rsidRPr="00E93A9C">
        <w:t>funds held</w:t>
      </w:r>
      <w:r>
        <w:t xml:space="preserve"> by the provider for that </w:t>
      </w:r>
      <w:r w:rsidR="006A6C7D">
        <w:t>recipient</w:t>
      </w:r>
      <w:r>
        <w:t xml:space="preserve">. The portion </w:t>
      </w:r>
      <w:r w:rsidR="0090207B">
        <w:t>is</w:t>
      </w:r>
      <w:r>
        <w:t xml:space="preserve"> to be determined.</w:t>
      </w:r>
    </w:p>
    <w:p w:rsidR="00B625DF" w:rsidRDefault="00B625DF" w:rsidP="007027DE">
      <w:pPr>
        <w:spacing w:after="180" w:line="240" w:lineRule="auto"/>
      </w:pPr>
      <w:r>
        <w:t xml:space="preserve">In preparing this report ACFA consulted with a cross section of providers, </w:t>
      </w:r>
      <w:r w:rsidR="00796130">
        <w:t>d</w:t>
      </w:r>
      <w:r>
        <w:t xml:space="preserve">epartments and </w:t>
      </w:r>
      <w:r w:rsidR="00B74645">
        <w:t>software</w:t>
      </w:r>
      <w:r>
        <w:t xml:space="preserve"> providers. It issued a consultation paper and received submissions from a wide range of stakeholders. ACFA also comm</w:t>
      </w:r>
      <w:r w:rsidR="006D282A">
        <w:t xml:space="preserve">issioned the accounting firm </w:t>
      </w:r>
      <w:proofErr w:type="spellStart"/>
      <w:r w:rsidR="006D282A">
        <w:t>St</w:t>
      </w:r>
      <w:r>
        <w:t>e</w:t>
      </w:r>
      <w:r w:rsidR="006D282A">
        <w:t>w</w:t>
      </w:r>
      <w:r>
        <w:t>artBrown</w:t>
      </w:r>
      <w:proofErr w:type="spellEnd"/>
      <w:r>
        <w:t xml:space="preserve"> to undertake a data analysis to assess the liquidity position of providers.</w:t>
      </w:r>
    </w:p>
    <w:p w:rsidR="0090207B" w:rsidRPr="0076704B" w:rsidRDefault="0090207B" w:rsidP="007027DE">
      <w:pPr>
        <w:spacing w:after="180" w:line="240" w:lineRule="auto"/>
        <w:rPr>
          <w:b/>
        </w:rPr>
      </w:pPr>
      <w:r>
        <w:rPr>
          <w:b/>
        </w:rPr>
        <w:t>Assessment</w:t>
      </w:r>
    </w:p>
    <w:p w:rsidR="003039A5" w:rsidRDefault="003039A5" w:rsidP="007027DE">
      <w:pPr>
        <w:spacing w:after="180" w:line="240" w:lineRule="auto"/>
      </w:pPr>
      <w:r>
        <w:t xml:space="preserve">ACFA assessed the potential financial impact on providers of each phase of the implementation of the new payment arrangements, along with how consumers may be affected. It has made a number of recommendations that the Government could </w:t>
      </w:r>
      <w:r w:rsidR="00B74645">
        <w:t>take to</w:t>
      </w:r>
      <w:r>
        <w:t xml:space="preserve"> limit </w:t>
      </w:r>
      <w:r w:rsidR="001C1F62">
        <w:t xml:space="preserve">the </w:t>
      </w:r>
      <w:r>
        <w:t>potential impacts and risk of each phase.</w:t>
      </w:r>
    </w:p>
    <w:p w:rsidR="003039A5" w:rsidRDefault="003039A5" w:rsidP="007027DE">
      <w:pPr>
        <w:spacing w:after="180" w:line="240" w:lineRule="auto"/>
        <w:rPr>
          <w:b/>
        </w:rPr>
      </w:pPr>
      <w:r>
        <w:rPr>
          <w:b/>
        </w:rPr>
        <w:t>Phase 1</w:t>
      </w:r>
      <w:r w:rsidR="00B74645">
        <w:rPr>
          <w:b/>
        </w:rPr>
        <w:t xml:space="preserve"> – moving from advance to arrears payments</w:t>
      </w:r>
    </w:p>
    <w:p w:rsidR="004C3665" w:rsidRDefault="003039A5" w:rsidP="007027DE">
      <w:pPr>
        <w:spacing w:after="180" w:line="240" w:lineRule="auto"/>
      </w:pPr>
      <w:r>
        <w:t>ACFA’s assessment is that most home care providers should be able to accommodate the cash flow impact of the change in the payment of subsidies from in advance to in arrears. It</w:t>
      </w:r>
      <w:r w:rsidR="004B46C0">
        <w:t> </w:t>
      </w:r>
      <w:r>
        <w:t xml:space="preserve">is possible, however, that some smaller providers operating in thin or difficult markets and under financial pressure may face challenges in dealing with </w:t>
      </w:r>
      <w:r w:rsidR="004C3665">
        <w:t xml:space="preserve">the </w:t>
      </w:r>
      <w:r>
        <w:t xml:space="preserve">change </w:t>
      </w:r>
      <w:r w:rsidR="004C3665">
        <w:t>in payment arrangements. Accordingly, ACFA recommends that short-term financial assistance be available to support such providers. Any provider seeking such support should first utilise the Business Advisory Service operated by</w:t>
      </w:r>
      <w:r w:rsidR="002477FE">
        <w:t xml:space="preserve"> PricewaterhouseCoopers</w:t>
      </w:r>
      <w:r w:rsidR="004C3665">
        <w:t xml:space="preserve"> </w:t>
      </w:r>
      <w:r w:rsidR="002477FE">
        <w:t>(</w:t>
      </w:r>
      <w:r w:rsidR="004C3665">
        <w:t>PwC</w:t>
      </w:r>
      <w:r w:rsidR="002477FE">
        <w:t>)</w:t>
      </w:r>
      <w:r w:rsidR="004C3665">
        <w:t xml:space="preserve"> on behalf of the Government </w:t>
      </w:r>
      <w:r w:rsidR="00894227">
        <w:t>which</w:t>
      </w:r>
      <w:r w:rsidR="004C3665">
        <w:t xml:space="preserve"> offers managerial and accounting advice to both residential and home care providers. </w:t>
      </w:r>
    </w:p>
    <w:p w:rsidR="004C3665" w:rsidRDefault="004C3665" w:rsidP="000C6B2A">
      <w:pPr>
        <w:spacing w:after="180" w:line="240" w:lineRule="auto"/>
      </w:pPr>
      <w:r>
        <w:br w:type="page"/>
      </w:r>
    </w:p>
    <w:p w:rsidR="004C3665" w:rsidRDefault="004C3665" w:rsidP="000C6B2A">
      <w:pPr>
        <w:spacing w:after="180" w:line="240" w:lineRule="auto"/>
        <w:rPr>
          <w:b/>
        </w:rPr>
      </w:pPr>
      <w:r>
        <w:rPr>
          <w:b/>
        </w:rPr>
        <w:lastRenderedPageBreak/>
        <w:t>Phase 2</w:t>
      </w:r>
      <w:r w:rsidR="00B74645">
        <w:rPr>
          <w:b/>
        </w:rPr>
        <w:t xml:space="preserve"> – payment for services provided</w:t>
      </w:r>
    </w:p>
    <w:p w:rsidR="004C3665" w:rsidRDefault="004C3665" w:rsidP="000C6B2A">
      <w:pPr>
        <w:spacing w:after="180" w:line="240" w:lineRule="auto"/>
      </w:pPr>
      <w:r>
        <w:t xml:space="preserve">Phase 2 presents a potential risk for providers and the Government. This is primarily due to the extent </w:t>
      </w:r>
      <w:r w:rsidR="00B74645">
        <w:t>of</w:t>
      </w:r>
      <w:r>
        <w:t xml:space="preserve"> new system requirements for both providers and DHS to </w:t>
      </w:r>
      <w:r w:rsidR="00B74645">
        <w:t>deal</w:t>
      </w:r>
      <w:r>
        <w:t xml:space="preserve"> with the changes and how smoothly these systems operate. Providers are seeking clarification on many aspects of how </w:t>
      </w:r>
      <w:r w:rsidR="003919D0">
        <w:t>Phase 2 will operate and point to past experiences where the introduction of new payment arrangements have not run smoothly and have imposed substantial administrative costs on providers. Increased costs to providers will be passed on to consumers who will see a reduction in the care available under a home care package</w:t>
      </w:r>
      <w:r w:rsidR="00796130">
        <w:t>.</w:t>
      </w:r>
      <w:r w:rsidR="003919D0">
        <w:t xml:space="preserve"> </w:t>
      </w:r>
    </w:p>
    <w:p w:rsidR="004C3665" w:rsidRDefault="004C3665" w:rsidP="000C6B2A">
      <w:pPr>
        <w:spacing w:after="180" w:line="240" w:lineRule="auto"/>
      </w:pPr>
      <w:r>
        <w:t xml:space="preserve">ACFA recommends that all aspects of how the new payment system will </w:t>
      </w:r>
      <w:r w:rsidR="00B74645">
        <w:t>operate need</w:t>
      </w:r>
      <w:r w:rsidR="003919D0">
        <w:t xml:space="preserve"> to be settled as quickly as possible to determine the system changes required by both providers and DHS. In settling this detail, the focus should be on minimising the costs to providers and avoiding any reduction in the flexibility of the current system in providing goods and services to consumers when they need them.</w:t>
      </w:r>
    </w:p>
    <w:p w:rsidR="003919D0" w:rsidRDefault="003919D0" w:rsidP="000C6B2A">
      <w:pPr>
        <w:spacing w:after="180" w:line="240" w:lineRule="auto"/>
      </w:pPr>
      <w:r>
        <w:t xml:space="preserve">Once the details of the arrangements under Phase 2 are </w:t>
      </w:r>
      <w:r w:rsidR="00B74645">
        <w:t>settled</w:t>
      </w:r>
      <w:r>
        <w:t xml:space="preserve">, ACFA recommends that consultations take place between DHS, providers and </w:t>
      </w:r>
      <w:r w:rsidR="00B74645">
        <w:t>software</w:t>
      </w:r>
      <w:r>
        <w:t xml:space="preserve"> developers to determine the appropriate timeframe to introduce, and trial, the new systems as smoothly as possible</w:t>
      </w:r>
      <w:r w:rsidR="006A6C7D">
        <w:t xml:space="preserve">. The existing timeframe for Phase 2 should be </w:t>
      </w:r>
      <w:r w:rsidR="00B74645">
        <w:t>reviewed</w:t>
      </w:r>
      <w:r w:rsidR="006A6C7D">
        <w:t xml:space="preserve"> in light of the outcome from these consultations.</w:t>
      </w:r>
    </w:p>
    <w:p w:rsidR="006A6C7D" w:rsidRDefault="006A6C7D" w:rsidP="000C6B2A">
      <w:pPr>
        <w:spacing w:after="180" w:line="240" w:lineRule="auto"/>
        <w:rPr>
          <w:b/>
        </w:rPr>
      </w:pPr>
      <w:r>
        <w:rPr>
          <w:b/>
        </w:rPr>
        <w:t>Phase 3</w:t>
      </w:r>
      <w:r w:rsidR="00B74645">
        <w:rPr>
          <w:b/>
        </w:rPr>
        <w:t xml:space="preserve"> </w:t>
      </w:r>
      <w:r w:rsidR="00BE300B">
        <w:rPr>
          <w:b/>
        </w:rPr>
        <w:t>–</w:t>
      </w:r>
      <w:r w:rsidR="00B74645">
        <w:rPr>
          <w:b/>
        </w:rPr>
        <w:t xml:space="preserve"> reducing unspent funds held by providers</w:t>
      </w:r>
    </w:p>
    <w:p w:rsidR="006A6C7D" w:rsidRPr="00F11C12" w:rsidRDefault="006A6C7D" w:rsidP="000C6B2A">
      <w:pPr>
        <w:spacing w:after="180" w:line="240" w:lineRule="auto"/>
        <w:rPr>
          <w:szCs w:val="24"/>
        </w:rPr>
      </w:pPr>
      <w:r>
        <w:t xml:space="preserve">The proposed </w:t>
      </w:r>
      <w:r w:rsidR="004B46C0">
        <w:t>return</w:t>
      </w:r>
      <w:r>
        <w:t xml:space="preserve"> </w:t>
      </w:r>
      <w:r w:rsidR="00640EFD">
        <w:t xml:space="preserve">of </w:t>
      </w:r>
      <w:r>
        <w:t xml:space="preserve">the unspent funds held by providers on behalf of existing consumers </w:t>
      </w:r>
      <w:proofErr w:type="gramStart"/>
      <w:r>
        <w:t>as</w:t>
      </w:r>
      <w:proofErr w:type="gramEnd"/>
      <w:r>
        <w:t xml:space="preserve"> at April 2021 will be complex and </w:t>
      </w:r>
      <w:r w:rsidR="001C1F62">
        <w:t xml:space="preserve">will </w:t>
      </w:r>
      <w:r>
        <w:t xml:space="preserve">increase administrative costs for both providers and DHS. ACFA recommends that the Government not proceed with the proposed proportional </w:t>
      </w:r>
      <w:r w:rsidR="00FB601A">
        <w:t>return</w:t>
      </w:r>
      <w:r>
        <w:t xml:space="preserve"> and </w:t>
      </w:r>
      <w:r w:rsidR="00B74645">
        <w:t>instead</w:t>
      </w:r>
      <w:r>
        <w:t xml:space="preserve"> providers </w:t>
      </w:r>
      <w:r w:rsidR="00B50FCD">
        <w:t>be given the</w:t>
      </w:r>
      <w:r>
        <w:t xml:space="preserve"> choice to either:</w:t>
      </w:r>
      <w:r w:rsidRPr="00F11C12">
        <w:rPr>
          <w:szCs w:val="24"/>
        </w:rPr>
        <w:t xml:space="preserve"> </w:t>
      </w:r>
    </w:p>
    <w:p w:rsidR="006A6C7D" w:rsidRPr="00CE6C24" w:rsidRDefault="006A6C7D" w:rsidP="000C6B2A">
      <w:pPr>
        <w:pStyle w:val="ListParagraph"/>
        <w:numPr>
          <w:ilvl w:val="0"/>
          <w:numId w:val="32"/>
        </w:numPr>
        <w:spacing w:after="180" w:line="240" w:lineRule="auto"/>
        <w:ind w:left="284"/>
        <w:rPr>
          <w:szCs w:val="24"/>
        </w:rPr>
      </w:pPr>
      <w:r>
        <w:rPr>
          <w:szCs w:val="24"/>
        </w:rPr>
        <w:t xml:space="preserve">return the unspent funds of all existing </w:t>
      </w:r>
      <w:r w:rsidR="003657B7">
        <w:rPr>
          <w:szCs w:val="24"/>
        </w:rPr>
        <w:t>consumer</w:t>
      </w:r>
      <w:r>
        <w:rPr>
          <w:szCs w:val="24"/>
        </w:rPr>
        <w:t xml:space="preserve">s immediately when </w:t>
      </w:r>
      <w:r w:rsidR="00472D85">
        <w:rPr>
          <w:szCs w:val="24"/>
        </w:rPr>
        <w:t>Phase</w:t>
      </w:r>
      <w:r>
        <w:rPr>
          <w:szCs w:val="24"/>
        </w:rPr>
        <w:t xml:space="preserve"> 3 commences</w:t>
      </w:r>
      <w:r w:rsidR="00FB601A">
        <w:rPr>
          <w:szCs w:val="24"/>
        </w:rPr>
        <w:t>;</w:t>
      </w:r>
      <w:r w:rsidRPr="00CE6C24">
        <w:rPr>
          <w:szCs w:val="24"/>
        </w:rPr>
        <w:t xml:space="preserve"> or </w:t>
      </w:r>
    </w:p>
    <w:p w:rsidR="006A6C7D" w:rsidRPr="00BE300B" w:rsidRDefault="006A6C7D" w:rsidP="000C6B2A">
      <w:pPr>
        <w:pStyle w:val="ListParagraph"/>
        <w:numPr>
          <w:ilvl w:val="0"/>
          <w:numId w:val="32"/>
        </w:numPr>
        <w:spacing w:after="180" w:line="240" w:lineRule="auto"/>
        <w:ind w:left="284"/>
      </w:pPr>
      <w:proofErr w:type="gramStart"/>
      <w:r w:rsidRPr="006A6C7D">
        <w:rPr>
          <w:szCs w:val="24"/>
        </w:rPr>
        <w:t>retain</w:t>
      </w:r>
      <w:proofErr w:type="gramEnd"/>
      <w:r w:rsidRPr="006A6C7D">
        <w:rPr>
          <w:szCs w:val="24"/>
        </w:rPr>
        <w:t xml:space="preserve"> the unspent funds of existing </w:t>
      </w:r>
      <w:r w:rsidR="003657B7">
        <w:rPr>
          <w:szCs w:val="24"/>
        </w:rPr>
        <w:t>consumer</w:t>
      </w:r>
      <w:r w:rsidRPr="00B74645">
        <w:rPr>
          <w:szCs w:val="24"/>
        </w:rPr>
        <w:t xml:space="preserve">s and allow those funds to be drawn down by the </w:t>
      </w:r>
      <w:r w:rsidRPr="00BF5608">
        <w:rPr>
          <w:szCs w:val="24"/>
        </w:rPr>
        <w:t xml:space="preserve">recipient or returned to the Government when the </w:t>
      </w:r>
      <w:r w:rsidR="003657B7">
        <w:rPr>
          <w:szCs w:val="24"/>
        </w:rPr>
        <w:t>consumer</w:t>
      </w:r>
      <w:r w:rsidRPr="00BF5608">
        <w:rPr>
          <w:szCs w:val="24"/>
        </w:rPr>
        <w:t xml:space="preserve"> leaves home care. Consideration should be given to setting a maximum period providers can retain existing unspent funds.</w:t>
      </w:r>
    </w:p>
    <w:p w:rsidR="00580474" w:rsidRPr="00580474" w:rsidRDefault="00580474" w:rsidP="00580474">
      <w:r>
        <w:br w:type="page"/>
      </w:r>
    </w:p>
    <w:p w:rsidR="00982EDA" w:rsidRDefault="00F70828" w:rsidP="00247C07">
      <w:pPr>
        <w:pStyle w:val="Heading1"/>
        <w:numPr>
          <w:ilvl w:val="0"/>
          <w:numId w:val="14"/>
        </w:numPr>
        <w:spacing w:before="0" w:after="180"/>
      </w:pPr>
      <w:bookmarkStart w:id="6" w:name="_Toc25851847"/>
      <w:bookmarkStart w:id="7" w:name="_Toc25938492"/>
      <w:bookmarkStart w:id="8" w:name="_Toc26109055"/>
      <w:bookmarkStart w:id="9" w:name="_Toc26788385"/>
      <w:r w:rsidRPr="001079F3">
        <w:lastRenderedPageBreak/>
        <w:t>Introduction</w:t>
      </w:r>
      <w:bookmarkEnd w:id="4"/>
      <w:bookmarkEnd w:id="5"/>
      <w:bookmarkEnd w:id="6"/>
      <w:bookmarkEnd w:id="7"/>
      <w:bookmarkEnd w:id="8"/>
      <w:bookmarkEnd w:id="9"/>
    </w:p>
    <w:p w:rsidR="004A740E" w:rsidRPr="00960484" w:rsidRDefault="004A740E" w:rsidP="00840D91">
      <w:pPr>
        <w:pStyle w:val="BodyText"/>
        <w:spacing w:before="0" w:after="180" w:line="240" w:lineRule="auto"/>
        <w:jc w:val="left"/>
        <w:rPr>
          <w:rFonts w:asciiTheme="minorHAnsi" w:eastAsiaTheme="minorEastAsia" w:hAnsiTheme="minorHAnsi" w:cstheme="minorHAnsi"/>
          <w:szCs w:val="24"/>
        </w:rPr>
      </w:pPr>
      <w:r w:rsidRPr="00960484">
        <w:rPr>
          <w:rFonts w:asciiTheme="minorHAnsi" w:eastAsiaTheme="minorEastAsia" w:hAnsiTheme="minorHAnsi" w:cstheme="minorHAnsi"/>
          <w:szCs w:val="24"/>
        </w:rPr>
        <w:t xml:space="preserve">The Aged Care Financing Authority (ACFA) is a statutory committee whose role is to provide independent, transparent advice to the Australian Government on financing and funding issues in the aged care industry. </w:t>
      </w:r>
    </w:p>
    <w:p w:rsidR="002C4C53" w:rsidRDefault="00473C49" w:rsidP="00046386">
      <w:pPr>
        <w:pStyle w:val="Heading2"/>
      </w:pPr>
      <w:bookmarkStart w:id="10" w:name="_Toc25325883"/>
      <w:bookmarkStart w:id="11" w:name="_Toc25851848"/>
      <w:bookmarkStart w:id="12" w:name="_Toc25938493"/>
      <w:bookmarkStart w:id="13" w:name="_Toc26109056"/>
      <w:bookmarkStart w:id="14" w:name="_Toc26788386"/>
      <w:r w:rsidRPr="00473C49">
        <w:t xml:space="preserve">The project and terms of </w:t>
      </w:r>
      <w:r w:rsidRPr="00046386">
        <w:t>reference</w:t>
      </w:r>
      <w:bookmarkEnd w:id="10"/>
      <w:bookmarkEnd w:id="11"/>
      <w:bookmarkEnd w:id="12"/>
      <w:bookmarkEnd w:id="13"/>
      <w:bookmarkEnd w:id="14"/>
    </w:p>
    <w:p w:rsidR="005A6232" w:rsidRDefault="004371B0" w:rsidP="00840D91">
      <w:pPr>
        <w:pStyle w:val="BodyText"/>
        <w:spacing w:before="0" w:after="180" w:line="240" w:lineRule="auto"/>
        <w:jc w:val="left"/>
        <w:rPr>
          <w:rFonts w:asciiTheme="minorHAnsi" w:eastAsiaTheme="minorEastAsia" w:hAnsiTheme="minorHAnsi" w:cstheme="minorHAnsi"/>
          <w:szCs w:val="24"/>
        </w:rPr>
      </w:pPr>
      <w:r w:rsidRPr="008D4119">
        <w:rPr>
          <w:rFonts w:asciiTheme="minorHAnsi" w:eastAsiaTheme="minorEastAsia" w:hAnsiTheme="minorHAnsi" w:cstheme="minorHAnsi"/>
          <w:szCs w:val="24"/>
        </w:rPr>
        <w:t>On 2 October 2019, t</w:t>
      </w:r>
      <w:r w:rsidR="00473C49" w:rsidRPr="008D4119">
        <w:rPr>
          <w:rFonts w:asciiTheme="minorHAnsi" w:eastAsiaTheme="minorEastAsia" w:hAnsiTheme="minorHAnsi" w:cstheme="minorHAnsi"/>
          <w:szCs w:val="24"/>
        </w:rPr>
        <w:t xml:space="preserve">he Minister for Aged Care and </w:t>
      </w:r>
      <w:r w:rsidRPr="008D4119">
        <w:rPr>
          <w:rFonts w:asciiTheme="minorHAnsi" w:eastAsiaTheme="minorEastAsia" w:hAnsiTheme="minorHAnsi" w:cstheme="minorHAnsi"/>
          <w:szCs w:val="24"/>
        </w:rPr>
        <w:t>Senior Australians, Senator the </w:t>
      </w:r>
      <w:r w:rsidR="00473C49" w:rsidRPr="008D4119">
        <w:rPr>
          <w:rFonts w:asciiTheme="minorHAnsi" w:eastAsiaTheme="minorEastAsia" w:hAnsiTheme="minorHAnsi" w:cstheme="minorHAnsi"/>
          <w:szCs w:val="24"/>
        </w:rPr>
        <w:t>Hon</w:t>
      </w:r>
      <w:r w:rsidRPr="008D4119">
        <w:rPr>
          <w:rFonts w:asciiTheme="minorHAnsi" w:eastAsiaTheme="minorEastAsia" w:hAnsiTheme="minorHAnsi" w:cstheme="minorHAnsi"/>
          <w:szCs w:val="24"/>
        </w:rPr>
        <w:t> </w:t>
      </w:r>
      <w:r w:rsidR="00473C49" w:rsidRPr="008D4119">
        <w:rPr>
          <w:rFonts w:asciiTheme="minorHAnsi" w:eastAsiaTheme="minorEastAsia" w:hAnsiTheme="minorHAnsi" w:cstheme="minorHAnsi"/>
          <w:szCs w:val="24"/>
        </w:rPr>
        <w:t xml:space="preserve">Richard Colbeck, asked </w:t>
      </w:r>
      <w:r w:rsidR="00C44C48" w:rsidRPr="008D4119">
        <w:rPr>
          <w:rFonts w:asciiTheme="minorHAnsi" w:eastAsiaTheme="minorEastAsia" w:hAnsiTheme="minorHAnsi" w:cstheme="minorHAnsi"/>
          <w:szCs w:val="24"/>
        </w:rPr>
        <w:t xml:space="preserve">ACFA </w:t>
      </w:r>
      <w:r w:rsidR="00473C49" w:rsidRPr="008D4119">
        <w:rPr>
          <w:rFonts w:asciiTheme="minorHAnsi" w:eastAsiaTheme="minorEastAsia" w:hAnsiTheme="minorHAnsi" w:cstheme="minorHAnsi"/>
          <w:szCs w:val="24"/>
        </w:rPr>
        <w:t>to examine the potential financial impact on home care providers of the Australian Government’s 2019</w:t>
      </w:r>
      <w:r w:rsidR="00473C49" w:rsidRPr="008D4119">
        <w:rPr>
          <w:rFonts w:asciiTheme="minorHAnsi" w:eastAsiaTheme="minorEastAsia" w:hAnsiTheme="minorHAnsi" w:cstheme="minorHAnsi"/>
          <w:szCs w:val="24"/>
        </w:rPr>
        <w:noBreakHyphen/>
        <w:t xml:space="preserve">20 Budget measure to improve the way home care providers are paid Government subsidy </w:t>
      </w:r>
      <w:r w:rsidR="00DF4A73">
        <w:rPr>
          <w:rFonts w:asciiTheme="minorHAnsi" w:eastAsiaTheme="minorEastAsia" w:hAnsiTheme="minorHAnsi" w:cstheme="minorHAnsi"/>
          <w:szCs w:val="24"/>
        </w:rPr>
        <w:t xml:space="preserve">on behalf of home care package holders, </w:t>
      </w:r>
      <w:r w:rsidR="00473C49" w:rsidRPr="008D4119">
        <w:rPr>
          <w:rFonts w:asciiTheme="minorHAnsi" w:eastAsiaTheme="minorEastAsia" w:hAnsiTheme="minorHAnsi" w:cstheme="minorHAnsi"/>
          <w:szCs w:val="24"/>
        </w:rPr>
        <w:t xml:space="preserve">and </w:t>
      </w:r>
      <w:r w:rsidR="00DF4A73">
        <w:rPr>
          <w:rFonts w:asciiTheme="minorHAnsi" w:eastAsiaTheme="minorEastAsia" w:hAnsiTheme="minorHAnsi" w:cstheme="minorHAnsi"/>
          <w:szCs w:val="24"/>
        </w:rPr>
        <w:t xml:space="preserve">to </w:t>
      </w:r>
      <w:r w:rsidR="00980FDA" w:rsidRPr="008D4119">
        <w:rPr>
          <w:rFonts w:asciiTheme="minorHAnsi" w:eastAsiaTheme="minorEastAsia" w:hAnsiTheme="minorHAnsi" w:cstheme="minorHAnsi"/>
          <w:szCs w:val="24"/>
        </w:rPr>
        <w:t xml:space="preserve">bring </w:t>
      </w:r>
      <w:r w:rsidR="006224FE" w:rsidRPr="008D4119">
        <w:rPr>
          <w:rFonts w:asciiTheme="minorHAnsi" w:eastAsiaTheme="minorEastAsia" w:hAnsiTheme="minorHAnsi" w:cstheme="minorHAnsi"/>
          <w:szCs w:val="24"/>
        </w:rPr>
        <w:t>these arrangements</w:t>
      </w:r>
      <w:r w:rsidR="00980FDA" w:rsidRPr="008D4119">
        <w:rPr>
          <w:rFonts w:asciiTheme="minorHAnsi" w:eastAsiaTheme="minorEastAsia" w:hAnsiTheme="minorHAnsi" w:cstheme="minorHAnsi"/>
          <w:szCs w:val="24"/>
        </w:rPr>
        <w:t xml:space="preserve"> in line with contemporary business practice.</w:t>
      </w:r>
      <w:r w:rsidR="00686688" w:rsidRPr="008D4119">
        <w:rPr>
          <w:rFonts w:asciiTheme="minorHAnsi" w:eastAsiaTheme="minorEastAsia" w:hAnsiTheme="minorHAnsi" w:cstheme="minorHAnsi"/>
          <w:szCs w:val="24"/>
        </w:rPr>
        <w:t xml:space="preserve"> </w:t>
      </w:r>
    </w:p>
    <w:p w:rsidR="0009188C" w:rsidRDefault="005A6232" w:rsidP="00840D91">
      <w:pPr>
        <w:pStyle w:val="BodyText"/>
        <w:spacing w:before="0" w:after="180" w:line="240" w:lineRule="auto"/>
        <w:jc w:val="left"/>
        <w:rPr>
          <w:rFonts w:asciiTheme="minorHAnsi" w:eastAsiaTheme="minorEastAsia" w:hAnsiTheme="minorHAnsi" w:cstheme="minorHAnsi"/>
          <w:szCs w:val="24"/>
        </w:rPr>
      </w:pPr>
      <w:r>
        <w:rPr>
          <w:rFonts w:asciiTheme="minorHAnsi" w:eastAsiaTheme="minorEastAsia" w:hAnsiTheme="minorHAnsi" w:cstheme="minorHAnsi"/>
          <w:szCs w:val="24"/>
        </w:rPr>
        <w:t xml:space="preserve">Home care providers are currently paid a </w:t>
      </w:r>
      <w:r w:rsidR="003657B7">
        <w:rPr>
          <w:rFonts w:asciiTheme="minorHAnsi" w:eastAsiaTheme="minorEastAsia" w:hAnsiTheme="minorHAnsi" w:cstheme="minorHAnsi"/>
          <w:szCs w:val="24"/>
        </w:rPr>
        <w:t>consumer</w:t>
      </w:r>
      <w:r>
        <w:rPr>
          <w:rFonts w:asciiTheme="minorHAnsi" w:eastAsiaTheme="minorEastAsia" w:hAnsiTheme="minorHAnsi" w:cstheme="minorHAnsi"/>
          <w:szCs w:val="24"/>
        </w:rPr>
        <w:t xml:space="preserve">’s full entitlement to Government subsidy for each month, less any income-tested care fee, regardless of the services </w:t>
      </w:r>
      <w:r w:rsidR="0009188C">
        <w:rPr>
          <w:rFonts w:asciiTheme="minorHAnsi" w:eastAsiaTheme="minorEastAsia" w:hAnsiTheme="minorHAnsi" w:cstheme="minorHAnsi"/>
          <w:szCs w:val="24"/>
        </w:rPr>
        <w:t xml:space="preserve">actually provided to the </w:t>
      </w:r>
      <w:r w:rsidR="003657B7">
        <w:rPr>
          <w:rFonts w:asciiTheme="minorHAnsi" w:eastAsiaTheme="minorEastAsia" w:hAnsiTheme="minorHAnsi" w:cstheme="minorHAnsi"/>
          <w:szCs w:val="24"/>
        </w:rPr>
        <w:t>consumer</w:t>
      </w:r>
      <w:r w:rsidR="0009188C">
        <w:rPr>
          <w:rFonts w:asciiTheme="minorHAnsi" w:eastAsiaTheme="minorEastAsia" w:hAnsiTheme="minorHAnsi" w:cstheme="minorHAnsi"/>
          <w:szCs w:val="24"/>
        </w:rPr>
        <w:t xml:space="preserve">. The subsidy is paid in advance </w:t>
      </w:r>
      <w:r w:rsidR="00E42489">
        <w:rPr>
          <w:rFonts w:asciiTheme="minorHAnsi" w:eastAsiaTheme="minorEastAsia" w:hAnsiTheme="minorHAnsi" w:cstheme="minorHAnsi"/>
          <w:szCs w:val="24"/>
        </w:rPr>
        <w:t xml:space="preserve">at </w:t>
      </w:r>
      <w:r w:rsidR="0009188C">
        <w:rPr>
          <w:rFonts w:asciiTheme="minorHAnsi" w:eastAsiaTheme="minorEastAsia" w:hAnsiTheme="minorHAnsi" w:cstheme="minorHAnsi"/>
          <w:szCs w:val="24"/>
        </w:rPr>
        <w:t xml:space="preserve">the </w:t>
      </w:r>
      <w:r w:rsidR="00E42489">
        <w:rPr>
          <w:rFonts w:asciiTheme="minorHAnsi" w:eastAsiaTheme="minorEastAsia" w:hAnsiTheme="minorHAnsi" w:cstheme="minorHAnsi"/>
          <w:szCs w:val="24"/>
        </w:rPr>
        <w:t xml:space="preserve">start of </w:t>
      </w:r>
      <w:r w:rsidR="0009188C">
        <w:rPr>
          <w:rFonts w:asciiTheme="minorHAnsi" w:eastAsiaTheme="minorEastAsia" w:hAnsiTheme="minorHAnsi" w:cstheme="minorHAnsi"/>
          <w:szCs w:val="24"/>
        </w:rPr>
        <w:t xml:space="preserve">the month. Any amount that is not spent providing care and services to a </w:t>
      </w:r>
      <w:r w:rsidR="003657B7">
        <w:rPr>
          <w:rFonts w:asciiTheme="minorHAnsi" w:eastAsiaTheme="minorEastAsia" w:hAnsiTheme="minorHAnsi" w:cstheme="minorHAnsi"/>
          <w:szCs w:val="24"/>
        </w:rPr>
        <w:t>consumer</w:t>
      </w:r>
      <w:r w:rsidR="0009188C">
        <w:rPr>
          <w:rFonts w:asciiTheme="minorHAnsi" w:eastAsiaTheme="minorEastAsia" w:hAnsiTheme="minorHAnsi" w:cstheme="minorHAnsi"/>
          <w:szCs w:val="24"/>
        </w:rPr>
        <w:t xml:space="preserve"> in a month is held by the provider as unspent funds to be drawn upon by the </w:t>
      </w:r>
      <w:r w:rsidR="003657B7">
        <w:rPr>
          <w:rFonts w:asciiTheme="minorHAnsi" w:eastAsiaTheme="minorEastAsia" w:hAnsiTheme="minorHAnsi" w:cstheme="minorHAnsi"/>
          <w:szCs w:val="24"/>
        </w:rPr>
        <w:t>consumer</w:t>
      </w:r>
      <w:r w:rsidR="0009188C">
        <w:rPr>
          <w:rFonts w:asciiTheme="minorHAnsi" w:eastAsiaTheme="minorEastAsia" w:hAnsiTheme="minorHAnsi" w:cstheme="minorHAnsi"/>
          <w:szCs w:val="24"/>
        </w:rPr>
        <w:t xml:space="preserve"> in the future.</w:t>
      </w:r>
    </w:p>
    <w:p w:rsidR="00925078" w:rsidRDefault="00925078" w:rsidP="00840D91">
      <w:pPr>
        <w:pStyle w:val="BodyText"/>
        <w:spacing w:before="0" w:after="180" w:line="240" w:lineRule="auto"/>
        <w:jc w:val="left"/>
        <w:rPr>
          <w:rFonts w:asciiTheme="minorHAnsi" w:eastAsiaTheme="minorEastAsia" w:hAnsiTheme="minorHAnsi" w:cstheme="minorHAnsi"/>
          <w:szCs w:val="24"/>
        </w:rPr>
      </w:pPr>
      <w:r w:rsidRPr="00925078">
        <w:rPr>
          <w:rFonts w:asciiTheme="minorHAnsi" w:eastAsiaTheme="minorEastAsia" w:hAnsiTheme="minorHAnsi" w:cstheme="minorHAnsi"/>
          <w:szCs w:val="24"/>
        </w:rPr>
        <w:t xml:space="preserve">The Budget measure involves a change in timing of the Government subsidy from payment in advance to payment in arrears for services actually provided. The difference between the full Government subsidy for the claim period and the cost to the </w:t>
      </w:r>
      <w:r w:rsidR="003657B7">
        <w:rPr>
          <w:rFonts w:asciiTheme="minorHAnsi" w:eastAsiaTheme="minorEastAsia" w:hAnsiTheme="minorHAnsi" w:cstheme="minorHAnsi"/>
          <w:szCs w:val="24"/>
        </w:rPr>
        <w:t>consumer</w:t>
      </w:r>
      <w:r w:rsidRPr="00925078">
        <w:rPr>
          <w:rFonts w:asciiTheme="minorHAnsi" w:eastAsiaTheme="minorEastAsia" w:hAnsiTheme="minorHAnsi" w:cstheme="minorHAnsi"/>
          <w:szCs w:val="24"/>
        </w:rPr>
        <w:t xml:space="preserve"> for the services actually provided (i</w:t>
      </w:r>
      <w:r w:rsidR="00796130">
        <w:rPr>
          <w:rFonts w:asciiTheme="minorHAnsi" w:eastAsiaTheme="minorEastAsia" w:hAnsiTheme="minorHAnsi" w:cstheme="minorHAnsi"/>
          <w:szCs w:val="24"/>
        </w:rPr>
        <w:t>.</w:t>
      </w:r>
      <w:r w:rsidRPr="00925078">
        <w:rPr>
          <w:rFonts w:asciiTheme="minorHAnsi" w:eastAsiaTheme="minorEastAsia" w:hAnsiTheme="minorHAnsi" w:cstheme="minorHAnsi"/>
          <w:szCs w:val="24"/>
        </w:rPr>
        <w:t>e</w:t>
      </w:r>
      <w:r w:rsidR="00796130">
        <w:rPr>
          <w:rFonts w:asciiTheme="minorHAnsi" w:eastAsiaTheme="minorEastAsia" w:hAnsiTheme="minorHAnsi" w:cstheme="minorHAnsi"/>
          <w:szCs w:val="24"/>
        </w:rPr>
        <w:t>.</w:t>
      </w:r>
      <w:r w:rsidRPr="00925078">
        <w:rPr>
          <w:rFonts w:asciiTheme="minorHAnsi" w:eastAsiaTheme="minorEastAsia" w:hAnsiTheme="minorHAnsi" w:cstheme="minorHAnsi"/>
          <w:szCs w:val="24"/>
        </w:rPr>
        <w:t xml:space="preserve"> the unspent funds) will be held by the Government to be drawn upon by the </w:t>
      </w:r>
      <w:r w:rsidR="003657B7">
        <w:rPr>
          <w:rFonts w:asciiTheme="minorHAnsi" w:eastAsiaTheme="minorEastAsia" w:hAnsiTheme="minorHAnsi" w:cstheme="minorHAnsi"/>
          <w:szCs w:val="24"/>
        </w:rPr>
        <w:t>consumer</w:t>
      </w:r>
      <w:r w:rsidRPr="00925078">
        <w:rPr>
          <w:rFonts w:asciiTheme="minorHAnsi" w:eastAsiaTheme="minorEastAsia" w:hAnsiTheme="minorHAnsi" w:cstheme="minorHAnsi"/>
          <w:szCs w:val="24"/>
        </w:rPr>
        <w:t xml:space="preserve"> in future, through the provider. This change does not impact the amount that is available overall to the </w:t>
      </w:r>
      <w:r w:rsidR="003657B7">
        <w:rPr>
          <w:rFonts w:asciiTheme="minorHAnsi" w:eastAsiaTheme="minorEastAsia" w:hAnsiTheme="minorHAnsi" w:cstheme="minorHAnsi"/>
          <w:szCs w:val="24"/>
        </w:rPr>
        <w:t>consumer</w:t>
      </w:r>
      <w:r w:rsidRPr="00925078">
        <w:rPr>
          <w:rFonts w:asciiTheme="minorHAnsi" w:eastAsiaTheme="minorEastAsia" w:hAnsiTheme="minorHAnsi" w:cstheme="minorHAnsi"/>
          <w:szCs w:val="24"/>
        </w:rPr>
        <w:t xml:space="preserve">. </w:t>
      </w:r>
    </w:p>
    <w:p w:rsidR="00CA17EF" w:rsidRDefault="00CA17EF" w:rsidP="00840D91">
      <w:pPr>
        <w:pStyle w:val="BodyText"/>
        <w:spacing w:before="0" w:after="180" w:line="240" w:lineRule="auto"/>
        <w:jc w:val="left"/>
        <w:rPr>
          <w:rFonts w:asciiTheme="minorHAnsi" w:eastAsiaTheme="minorEastAsia" w:hAnsiTheme="minorHAnsi" w:cstheme="minorHAnsi"/>
          <w:i/>
          <w:szCs w:val="24"/>
        </w:rPr>
      </w:pPr>
      <w:r>
        <w:rPr>
          <w:rFonts w:asciiTheme="minorHAnsi" w:eastAsiaTheme="minorEastAsia" w:hAnsiTheme="minorHAnsi" w:cstheme="minorHAnsi"/>
          <w:szCs w:val="24"/>
        </w:rPr>
        <w:t>When announcing the measure in the 2019-20 Budget, the Government said the change in payment arrangements would address stakeholder concerns regarding unspent funds and align home care</w:t>
      </w:r>
      <w:r w:rsidR="003657B7">
        <w:rPr>
          <w:rFonts w:asciiTheme="minorHAnsi" w:eastAsiaTheme="minorEastAsia" w:hAnsiTheme="minorHAnsi" w:cstheme="minorHAnsi"/>
          <w:szCs w:val="24"/>
        </w:rPr>
        <w:t xml:space="preserve"> payment</w:t>
      </w:r>
      <w:r>
        <w:rPr>
          <w:rFonts w:asciiTheme="minorHAnsi" w:eastAsiaTheme="minorEastAsia" w:hAnsiTheme="minorHAnsi" w:cstheme="minorHAnsi"/>
          <w:szCs w:val="24"/>
        </w:rPr>
        <w:t xml:space="preserve"> arrangements with other Government programs – most notably the </w:t>
      </w:r>
      <w:r>
        <w:rPr>
          <w:rFonts w:asciiTheme="minorHAnsi" w:eastAsiaTheme="minorEastAsia" w:hAnsiTheme="minorHAnsi" w:cstheme="minorHAnsi"/>
          <w:i/>
          <w:szCs w:val="24"/>
        </w:rPr>
        <w:t>National Disability Insurance Scheme</w:t>
      </w:r>
      <w:r w:rsidR="00E37FD0">
        <w:rPr>
          <w:rFonts w:asciiTheme="minorHAnsi" w:eastAsiaTheme="minorEastAsia" w:hAnsiTheme="minorHAnsi" w:cstheme="minorHAnsi"/>
          <w:i/>
          <w:szCs w:val="24"/>
        </w:rPr>
        <w:t xml:space="preserve"> </w:t>
      </w:r>
      <w:r w:rsidR="00E37FD0" w:rsidRPr="00E37FD0">
        <w:rPr>
          <w:rFonts w:asciiTheme="minorHAnsi" w:eastAsiaTheme="minorEastAsia" w:hAnsiTheme="minorHAnsi" w:cstheme="minorHAnsi"/>
          <w:szCs w:val="24"/>
        </w:rPr>
        <w:t>(NDIS)</w:t>
      </w:r>
      <w:r w:rsidRPr="00E37FD0">
        <w:rPr>
          <w:rFonts w:asciiTheme="minorHAnsi" w:eastAsiaTheme="minorEastAsia" w:hAnsiTheme="minorHAnsi" w:cstheme="minorHAnsi"/>
          <w:szCs w:val="24"/>
        </w:rPr>
        <w:t>.</w:t>
      </w:r>
    </w:p>
    <w:p w:rsidR="001B114A" w:rsidRDefault="00CA17EF" w:rsidP="00840D91">
      <w:pPr>
        <w:pStyle w:val="BodyText"/>
        <w:spacing w:before="0" w:after="180" w:line="240" w:lineRule="auto"/>
        <w:jc w:val="left"/>
        <w:rPr>
          <w:rFonts w:asciiTheme="minorHAnsi" w:eastAsiaTheme="minorEastAsia" w:hAnsiTheme="minorHAnsi" w:cstheme="minorHAnsi"/>
          <w:szCs w:val="24"/>
        </w:rPr>
      </w:pPr>
      <w:r>
        <w:rPr>
          <w:rFonts w:asciiTheme="minorHAnsi" w:eastAsiaTheme="minorEastAsia" w:hAnsiTheme="minorHAnsi" w:cstheme="minorHAnsi"/>
          <w:szCs w:val="24"/>
        </w:rPr>
        <w:t>The Minister for Aged Care and Senior Australians sought ACFA’s advice on how the new payment arrangements</w:t>
      </w:r>
      <w:r w:rsidR="00C66C0E">
        <w:rPr>
          <w:rFonts w:asciiTheme="minorHAnsi" w:eastAsiaTheme="minorEastAsia" w:hAnsiTheme="minorHAnsi" w:cstheme="minorHAnsi"/>
          <w:szCs w:val="24"/>
        </w:rPr>
        <w:t xml:space="preserve"> would impact on pro</w:t>
      </w:r>
      <w:r w:rsidR="00524284">
        <w:rPr>
          <w:rFonts w:asciiTheme="minorHAnsi" w:eastAsiaTheme="minorEastAsia" w:hAnsiTheme="minorHAnsi" w:cstheme="minorHAnsi"/>
          <w:szCs w:val="24"/>
        </w:rPr>
        <w:t xml:space="preserve">viders’ finances and whether </w:t>
      </w:r>
      <w:r w:rsidR="00C66C0E">
        <w:rPr>
          <w:rFonts w:asciiTheme="minorHAnsi" w:eastAsiaTheme="minorEastAsia" w:hAnsiTheme="minorHAnsi" w:cstheme="minorHAnsi"/>
          <w:szCs w:val="24"/>
        </w:rPr>
        <w:t xml:space="preserve">the transition to the new arrangements </w:t>
      </w:r>
      <w:r w:rsidR="00524284">
        <w:rPr>
          <w:rFonts w:asciiTheme="minorHAnsi" w:eastAsiaTheme="minorEastAsia" w:hAnsiTheme="minorHAnsi" w:cstheme="minorHAnsi"/>
          <w:szCs w:val="24"/>
        </w:rPr>
        <w:t>is</w:t>
      </w:r>
      <w:r w:rsidR="00C66C0E">
        <w:rPr>
          <w:rFonts w:asciiTheme="minorHAnsi" w:eastAsiaTheme="minorEastAsia" w:hAnsiTheme="minorHAnsi" w:cstheme="minorHAnsi"/>
          <w:szCs w:val="24"/>
        </w:rPr>
        <w:t xml:space="preserve"> likely to </w:t>
      </w:r>
      <w:r w:rsidR="00524284">
        <w:rPr>
          <w:rFonts w:asciiTheme="minorHAnsi" w:eastAsiaTheme="minorEastAsia" w:hAnsiTheme="minorHAnsi" w:cstheme="minorHAnsi"/>
          <w:szCs w:val="24"/>
        </w:rPr>
        <w:t>present</w:t>
      </w:r>
      <w:r w:rsidR="00C66C0E">
        <w:rPr>
          <w:rFonts w:asciiTheme="minorHAnsi" w:eastAsiaTheme="minorEastAsia" w:hAnsiTheme="minorHAnsi" w:cstheme="minorHAnsi"/>
          <w:szCs w:val="24"/>
        </w:rPr>
        <w:t xml:space="preserve"> any significant challenges to providers in providing services to </w:t>
      </w:r>
      <w:r w:rsidR="003657B7">
        <w:rPr>
          <w:rFonts w:asciiTheme="minorHAnsi" w:eastAsiaTheme="minorEastAsia" w:hAnsiTheme="minorHAnsi" w:cstheme="minorHAnsi"/>
          <w:szCs w:val="24"/>
        </w:rPr>
        <w:t>consumer</w:t>
      </w:r>
      <w:r w:rsidR="00E42489">
        <w:rPr>
          <w:rFonts w:asciiTheme="minorHAnsi" w:eastAsiaTheme="minorEastAsia" w:hAnsiTheme="minorHAnsi" w:cstheme="minorHAnsi"/>
          <w:szCs w:val="24"/>
        </w:rPr>
        <w:t xml:space="preserve">s </w:t>
      </w:r>
      <w:r w:rsidR="00C66C0E">
        <w:rPr>
          <w:rFonts w:asciiTheme="minorHAnsi" w:eastAsiaTheme="minorEastAsia" w:hAnsiTheme="minorHAnsi" w:cstheme="minorHAnsi"/>
          <w:szCs w:val="24"/>
        </w:rPr>
        <w:t xml:space="preserve">and their ongoing financial arrangements. ACFA was also asked to </w:t>
      </w:r>
      <w:proofErr w:type="gramStart"/>
      <w:r w:rsidR="00C66C0E">
        <w:rPr>
          <w:rFonts w:asciiTheme="minorHAnsi" w:eastAsiaTheme="minorEastAsia" w:hAnsiTheme="minorHAnsi" w:cstheme="minorHAnsi"/>
          <w:szCs w:val="24"/>
        </w:rPr>
        <w:t>advise</w:t>
      </w:r>
      <w:proofErr w:type="gramEnd"/>
      <w:r w:rsidR="00C66C0E">
        <w:rPr>
          <w:rFonts w:asciiTheme="minorHAnsi" w:eastAsiaTheme="minorEastAsia" w:hAnsiTheme="minorHAnsi" w:cstheme="minorHAnsi"/>
          <w:szCs w:val="24"/>
        </w:rPr>
        <w:t xml:space="preserve"> on possible measures the Go</w:t>
      </w:r>
      <w:r w:rsidR="003039A5">
        <w:rPr>
          <w:rFonts w:asciiTheme="minorHAnsi" w:eastAsiaTheme="minorEastAsia" w:hAnsiTheme="minorHAnsi" w:cstheme="minorHAnsi"/>
          <w:szCs w:val="24"/>
        </w:rPr>
        <w:t>vernment could take to limit</w:t>
      </w:r>
      <w:r w:rsidR="00C66C0E">
        <w:rPr>
          <w:rFonts w:asciiTheme="minorHAnsi" w:eastAsiaTheme="minorEastAsia" w:hAnsiTheme="minorHAnsi" w:cstheme="minorHAnsi"/>
          <w:szCs w:val="24"/>
        </w:rPr>
        <w:t xml:space="preserve"> potential impacts and risk. </w:t>
      </w:r>
    </w:p>
    <w:p w:rsidR="00AF42F0" w:rsidRDefault="00C66C0E" w:rsidP="00AF42F0">
      <w:pPr>
        <w:pStyle w:val="Heading2"/>
      </w:pPr>
      <w:bookmarkStart w:id="15" w:name="_Toc25325884"/>
      <w:bookmarkStart w:id="16" w:name="_Toc25851849"/>
      <w:bookmarkStart w:id="17" w:name="_Toc25938494"/>
      <w:bookmarkStart w:id="18" w:name="_Toc26109057"/>
      <w:bookmarkStart w:id="19" w:name="_Toc26788387"/>
      <w:r>
        <w:t>The review</w:t>
      </w:r>
      <w:r w:rsidR="00AF42F0">
        <w:t xml:space="preserve"> process</w:t>
      </w:r>
      <w:bookmarkEnd w:id="15"/>
      <w:bookmarkEnd w:id="16"/>
      <w:bookmarkEnd w:id="17"/>
      <w:bookmarkEnd w:id="18"/>
      <w:bookmarkEnd w:id="19"/>
    </w:p>
    <w:p w:rsidR="00046386" w:rsidRPr="008D4119" w:rsidRDefault="001B114A" w:rsidP="00247C07">
      <w:pPr>
        <w:pStyle w:val="BodyText"/>
        <w:spacing w:before="0" w:after="180" w:line="240" w:lineRule="auto"/>
        <w:jc w:val="left"/>
        <w:rPr>
          <w:rFonts w:asciiTheme="minorHAnsi" w:eastAsiaTheme="minorEastAsia" w:hAnsiTheme="minorHAnsi" w:cstheme="minorHAnsi"/>
          <w:szCs w:val="24"/>
        </w:rPr>
      </w:pPr>
      <w:r w:rsidRPr="008D4119">
        <w:rPr>
          <w:rFonts w:asciiTheme="minorHAnsi" w:eastAsiaTheme="minorEastAsia" w:hAnsiTheme="minorHAnsi" w:cstheme="minorHAnsi"/>
          <w:szCs w:val="24"/>
        </w:rPr>
        <w:t xml:space="preserve">ACFA </w:t>
      </w:r>
      <w:r w:rsidR="00206955" w:rsidRPr="008D4119">
        <w:rPr>
          <w:rFonts w:asciiTheme="minorHAnsi" w:eastAsiaTheme="minorEastAsia" w:hAnsiTheme="minorHAnsi" w:cstheme="minorHAnsi"/>
          <w:szCs w:val="24"/>
        </w:rPr>
        <w:t>considered</w:t>
      </w:r>
      <w:r w:rsidRPr="008D4119">
        <w:rPr>
          <w:rFonts w:asciiTheme="minorHAnsi" w:eastAsiaTheme="minorEastAsia" w:hAnsiTheme="minorHAnsi" w:cstheme="minorHAnsi"/>
          <w:szCs w:val="24"/>
        </w:rPr>
        <w:t xml:space="preserve"> the potential financial </w:t>
      </w:r>
      <w:r w:rsidR="00406950" w:rsidRPr="008D4119">
        <w:rPr>
          <w:rFonts w:asciiTheme="minorHAnsi" w:eastAsiaTheme="minorEastAsia" w:hAnsiTheme="minorHAnsi" w:cstheme="minorHAnsi"/>
          <w:szCs w:val="24"/>
        </w:rPr>
        <w:t>impact</w:t>
      </w:r>
      <w:r w:rsidRPr="008D4119">
        <w:rPr>
          <w:rFonts w:asciiTheme="minorHAnsi" w:eastAsiaTheme="minorEastAsia" w:hAnsiTheme="minorHAnsi" w:cstheme="minorHAnsi"/>
          <w:szCs w:val="24"/>
        </w:rPr>
        <w:t xml:space="preserve"> on home care providers </w:t>
      </w:r>
      <w:r w:rsidR="00C66C0E">
        <w:rPr>
          <w:rFonts w:asciiTheme="minorHAnsi" w:eastAsiaTheme="minorEastAsia" w:hAnsiTheme="minorHAnsi" w:cstheme="minorHAnsi"/>
          <w:szCs w:val="24"/>
        </w:rPr>
        <w:t xml:space="preserve">and implications for consumers </w:t>
      </w:r>
      <w:r w:rsidR="00406950" w:rsidRPr="008D4119">
        <w:rPr>
          <w:rFonts w:asciiTheme="minorHAnsi" w:eastAsiaTheme="minorEastAsia" w:hAnsiTheme="minorHAnsi" w:cstheme="minorHAnsi"/>
          <w:szCs w:val="24"/>
        </w:rPr>
        <w:t xml:space="preserve">through a </w:t>
      </w:r>
      <w:r w:rsidR="00206955" w:rsidRPr="008D4119">
        <w:rPr>
          <w:rFonts w:asciiTheme="minorHAnsi" w:eastAsiaTheme="minorEastAsia" w:hAnsiTheme="minorHAnsi" w:cstheme="minorHAnsi"/>
          <w:szCs w:val="24"/>
        </w:rPr>
        <w:t xml:space="preserve">public request for </w:t>
      </w:r>
      <w:r w:rsidR="00406950" w:rsidRPr="008D4119">
        <w:rPr>
          <w:rFonts w:asciiTheme="minorHAnsi" w:eastAsiaTheme="minorEastAsia" w:hAnsiTheme="minorHAnsi" w:cstheme="minorHAnsi"/>
          <w:szCs w:val="24"/>
        </w:rPr>
        <w:t>written submission</w:t>
      </w:r>
      <w:r w:rsidR="00206955" w:rsidRPr="008D4119">
        <w:rPr>
          <w:rFonts w:asciiTheme="minorHAnsi" w:eastAsiaTheme="minorEastAsia" w:hAnsiTheme="minorHAnsi" w:cstheme="minorHAnsi"/>
          <w:szCs w:val="24"/>
        </w:rPr>
        <w:t>s,</w:t>
      </w:r>
      <w:r w:rsidR="00406950" w:rsidRPr="008D4119">
        <w:rPr>
          <w:rFonts w:asciiTheme="minorHAnsi" w:eastAsiaTheme="minorEastAsia" w:hAnsiTheme="minorHAnsi" w:cstheme="minorHAnsi"/>
          <w:szCs w:val="24"/>
        </w:rPr>
        <w:t xml:space="preserve"> </w:t>
      </w:r>
      <w:r w:rsidR="00F30355" w:rsidRPr="008D4119">
        <w:rPr>
          <w:rFonts w:asciiTheme="minorHAnsi" w:eastAsiaTheme="minorEastAsia" w:hAnsiTheme="minorHAnsi" w:cstheme="minorHAnsi"/>
          <w:szCs w:val="24"/>
        </w:rPr>
        <w:t>face-to-face</w:t>
      </w:r>
      <w:r w:rsidR="00406950" w:rsidRPr="008D4119">
        <w:rPr>
          <w:rFonts w:asciiTheme="minorHAnsi" w:eastAsiaTheme="minorEastAsia" w:hAnsiTheme="minorHAnsi" w:cstheme="minorHAnsi"/>
          <w:szCs w:val="24"/>
        </w:rPr>
        <w:t xml:space="preserve"> consultation</w:t>
      </w:r>
      <w:r w:rsidR="000F499A" w:rsidRPr="008D4119">
        <w:rPr>
          <w:rFonts w:asciiTheme="minorHAnsi" w:eastAsiaTheme="minorEastAsia" w:hAnsiTheme="minorHAnsi" w:cstheme="minorHAnsi"/>
          <w:szCs w:val="24"/>
        </w:rPr>
        <w:t>s</w:t>
      </w:r>
      <w:r w:rsidR="00206955" w:rsidRPr="008D4119">
        <w:rPr>
          <w:rFonts w:asciiTheme="minorHAnsi" w:eastAsiaTheme="minorEastAsia" w:hAnsiTheme="minorHAnsi" w:cstheme="minorHAnsi"/>
          <w:szCs w:val="24"/>
        </w:rPr>
        <w:t xml:space="preserve"> with </w:t>
      </w:r>
      <w:r w:rsidR="00C66C0E">
        <w:rPr>
          <w:rFonts w:asciiTheme="minorHAnsi" w:eastAsiaTheme="minorEastAsia" w:hAnsiTheme="minorHAnsi" w:cstheme="minorHAnsi"/>
          <w:szCs w:val="24"/>
        </w:rPr>
        <w:t>stakeholders</w:t>
      </w:r>
      <w:r w:rsidR="00206955" w:rsidRPr="008D4119">
        <w:rPr>
          <w:rFonts w:asciiTheme="minorHAnsi" w:eastAsiaTheme="minorEastAsia" w:hAnsiTheme="minorHAnsi" w:cstheme="minorHAnsi"/>
          <w:szCs w:val="24"/>
        </w:rPr>
        <w:t xml:space="preserve">, discussions with </w:t>
      </w:r>
      <w:r w:rsidR="00E157AB" w:rsidRPr="008D4119">
        <w:rPr>
          <w:rFonts w:asciiTheme="minorHAnsi" w:eastAsiaTheme="minorEastAsia" w:hAnsiTheme="minorHAnsi" w:cstheme="minorHAnsi"/>
          <w:szCs w:val="24"/>
        </w:rPr>
        <w:t>the Department of Health</w:t>
      </w:r>
      <w:r w:rsidR="00E157AB">
        <w:rPr>
          <w:rFonts w:asciiTheme="minorHAnsi" w:eastAsiaTheme="minorEastAsia" w:hAnsiTheme="minorHAnsi" w:cstheme="minorHAnsi"/>
          <w:szCs w:val="24"/>
        </w:rPr>
        <w:t xml:space="preserve"> </w:t>
      </w:r>
      <w:r w:rsidR="00247C07">
        <w:rPr>
          <w:rFonts w:asciiTheme="minorHAnsi" w:eastAsiaTheme="minorEastAsia" w:hAnsiTheme="minorHAnsi" w:cstheme="minorHAnsi"/>
          <w:szCs w:val="24"/>
        </w:rPr>
        <w:t>(Health)</w:t>
      </w:r>
      <w:r w:rsidR="00E157AB" w:rsidRPr="008D4119">
        <w:rPr>
          <w:rFonts w:asciiTheme="minorHAnsi" w:eastAsiaTheme="minorEastAsia" w:hAnsiTheme="minorHAnsi" w:cstheme="minorHAnsi"/>
          <w:szCs w:val="24"/>
        </w:rPr>
        <w:t xml:space="preserve"> and </w:t>
      </w:r>
      <w:r w:rsidR="00247C07">
        <w:rPr>
          <w:rFonts w:asciiTheme="minorHAnsi" w:eastAsiaTheme="minorEastAsia" w:hAnsiTheme="minorHAnsi" w:cstheme="minorHAnsi"/>
          <w:szCs w:val="24"/>
        </w:rPr>
        <w:t>DHS</w:t>
      </w:r>
      <w:r w:rsidR="001A23FE" w:rsidRPr="008D4119">
        <w:rPr>
          <w:rFonts w:asciiTheme="minorHAnsi" w:eastAsiaTheme="minorEastAsia" w:hAnsiTheme="minorHAnsi" w:cstheme="minorHAnsi"/>
          <w:szCs w:val="24"/>
        </w:rPr>
        <w:t>,</w:t>
      </w:r>
      <w:r w:rsidR="00206955" w:rsidRPr="008D4119">
        <w:rPr>
          <w:rFonts w:asciiTheme="minorHAnsi" w:eastAsiaTheme="minorEastAsia" w:hAnsiTheme="minorHAnsi" w:cstheme="minorHAnsi"/>
          <w:szCs w:val="24"/>
        </w:rPr>
        <w:t xml:space="preserve"> software vendors</w:t>
      </w:r>
      <w:r w:rsidR="00C66C0E">
        <w:rPr>
          <w:rFonts w:asciiTheme="minorHAnsi" w:eastAsiaTheme="minorEastAsia" w:hAnsiTheme="minorHAnsi" w:cstheme="minorHAnsi"/>
          <w:szCs w:val="24"/>
        </w:rPr>
        <w:t xml:space="preserve"> </w:t>
      </w:r>
      <w:r w:rsidR="00206955" w:rsidRPr="008D4119">
        <w:rPr>
          <w:rFonts w:asciiTheme="minorHAnsi" w:eastAsiaTheme="minorEastAsia" w:hAnsiTheme="minorHAnsi" w:cstheme="minorHAnsi"/>
          <w:szCs w:val="24"/>
        </w:rPr>
        <w:t>and data analysis</w:t>
      </w:r>
      <w:r w:rsidR="000F499A" w:rsidRPr="00247C07">
        <w:rPr>
          <w:rFonts w:asciiTheme="minorHAnsi" w:eastAsiaTheme="minorEastAsia" w:hAnsiTheme="minorHAnsi" w:cstheme="minorHAnsi"/>
          <w:sz w:val="16"/>
          <w:szCs w:val="16"/>
        </w:rPr>
        <w:t>.</w:t>
      </w:r>
      <w:r w:rsidR="00F30355" w:rsidRPr="008D4119">
        <w:rPr>
          <w:rFonts w:asciiTheme="minorHAnsi" w:eastAsiaTheme="minorEastAsia" w:hAnsiTheme="minorHAnsi" w:cstheme="minorHAnsi"/>
          <w:szCs w:val="24"/>
        </w:rPr>
        <w:t xml:space="preserve"> ACFA engaged </w:t>
      </w:r>
      <w:proofErr w:type="spellStart"/>
      <w:r w:rsidR="00F30355" w:rsidRPr="008D4119">
        <w:rPr>
          <w:rFonts w:asciiTheme="minorHAnsi" w:eastAsiaTheme="minorEastAsia" w:hAnsiTheme="minorHAnsi" w:cstheme="minorHAnsi"/>
          <w:szCs w:val="24"/>
        </w:rPr>
        <w:t>StewartBrown</w:t>
      </w:r>
      <w:proofErr w:type="spellEnd"/>
      <w:r w:rsidR="00F30355" w:rsidRPr="008D4119">
        <w:rPr>
          <w:rFonts w:asciiTheme="minorHAnsi" w:eastAsiaTheme="minorEastAsia" w:hAnsiTheme="minorHAnsi" w:cstheme="minorHAnsi"/>
          <w:szCs w:val="24"/>
        </w:rPr>
        <w:t xml:space="preserve"> to analys</w:t>
      </w:r>
      <w:r w:rsidR="002B53F5">
        <w:rPr>
          <w:rFonts w:asciiTheme="minorHAnsi" w:eastAsiaTheme="minorEastAsia" w:hAnsiTheme="minorHAnsi" w:cstheme="minorHAnsi"/>
          <w:szCs w:val="24"/>
        </w:rPr>
        <w:t>e</w:t>
      </w:r>
      <w:r w:rsidR="00F30355" w:rsidRPr="008D4119">
        <w:rPr>
          <w:rFonts w:asciiTheme="minorHAnsi" w:eastAsiaTheme="minorEastAsia" w:hAnsiTheme="minorHAnsi" w:cstheme="minorHAnsi"/>
          <w:szCs w:val="24"/>
        </w:rPr>
        <w:t xml:space="preserve"> the </w:t>
      </w:r>
      <w:r w:rsidR="00B90759">
        <w:rPr>
          <w:rFonts w:asciiTheme="minorHAnsi" w:eastAsiaTheme="minorEastAsia" w:hAnsiTheme="minorHAnsi" w:cstheme="minorHAnsi"/>
          <w:szCs w:val="24"/>
        </w:rPr>
        <w:t xml:space="preserve">financial </w:t>
      </w:r>
      <w:r w:rsidR="00F30355" w:rsidRPr="008D4119">
        <w:rPr>
          <w:rFonts w:asciiTheme="minorHAnsi" w:eastAsiaTheme="minorEastAsia" w:hAnsiTheme="minorHAnsi" w:cstheme="minorHAnsi"/>
          <w:szCs w:val="24"/>
        </w:rPr>
        <w:t xml:space="preserve">accounts of home care providers </w:t>
      </w:r>
      <w:r w:rsidR="00B90759">
        <w:rPr>
          <w:rFonts w:asciiTheme="minorHAnsi" w:eastAsiaTheme="minorEastAsia" w:hAnsiTheme="minorHAnsi" w:cstheme="minorHAnsi"/>
          <w:szCs w:val="24"/>
        </w:rPr>
        <w:t xml:space="preserve">and provide an assessment of </w:t>
      </w:r>
      <w:r w:rsidR="00BE23A9">
        <w:rPr>
          <w:rFonts w:asciiTheme="minorHAnsi" w:eastAsiaTheme="minorEastAsia" w:hAnsiTheme="minorHAnsi" w:cstheme="minorHAnsi"/>
          <w:szCs w:val="24"/>
        </w:rPr>
        <w:t>their</w:t>
      </w:r>
      <w:r w:rsidR="00F30355" w:rsidRPr="008D4119">
        <w:rPr>
          <w:rFonts w:asciiTheme="minorHAnsi" w:eastAsiaTheme="minorEastAsia" w:hAnsiTheme="minorHAnsi" w:cstheme="minorHAnsi"/>
          <w:szCs w:val="24"/>
        </w:rPr>
        <w:t xml:space="preserve"> current capacity to absorb the change in payment arrangements.</w:t>
      </w:r>
    </w:p>
    <w:p w:rsidR="00AF42F0" w:rsidRPr="008D4119" w:rsidRDefault="00AF42F0" w:rsidP="008D4119">
      <w:pPr>
        <w:pStyle w:val="BodyText"/>
        <w:spacing w:before="0" w:after="180" w:line="240" w:lineRule="auto"/>
        <w:rPr>
          <w:rFonts w:asciiTheme="minorHAnsi" w:eastAsiaTheme="minorEastAsia" w:hAnsiTheme="minorHAnsi" w:cstheme="minorHAnsi"/>
          <w:szCs w:val="24"/>
        </w:rPr>
      </w:pPr>
      <w:r w:rsidRPr="008D4119">
        <w:rPr>
          <w:rFonts w:asciiTheme="minorHAnsi" w:eastAsiaTheme="minorEastAsia" w:hAnsiTheme="minorHAnsi" w:cstheme="minorHAnsi"/>
          <w:szCs w:val="24"/>
        </w:rPr>
        <w:t>ACFA received</w:t>
      </w:r>
      <w:r w:rsidR="00000534" w:rsidRPr="008D4119">
        <w:rPr>
          <w:rFonts w:asciiTheme="minorHAnsi" w:eastAsiaTheme="minorEastAsia" w:hAnsiTheme="minorHAnsi" w:cstheme="minorHAnsi"/>
          <w:szCs w:val="24"/>
        </w:rPr>
        <w:t xml:space="preserve"> </w:t>
      </w:r>
      <w:r w:rsidR="005E091B" w:rsidRPr="008D4119">
        <w:rPr>
          <w:rFonts w:asciiTheme="minorHAnsi" w:eastAsiaTheme="minorEastAsia" w:hAnsiTheme="minorHAnsi" w:cstheme="minorHAnsi"/>
          <w:szCs w:val="24"/>
        </w:rPr>
        <w:t>4</w:t>
      </w:r>
      <w:r w:rsidR="005E091B">
        <w:rPr>
          <w:rFonts w:asciiTheme="minorHAnsi" w:eastAsiaTheme="minorEastAsia" w:hAnsiTheme="minorHAnsi" w:cstheme="minorHAnsi"/>
          <w:szCs w:val="24"/>
        </w:rPr>
        <w:t>3</w:t>
      </w:r>
      <w:r w:rsidRPr="008D4119">
        <w:rPr>
          <w:rFonts w:asciiTheme="minorHAnsi" w:eastAsiaTheme="minorEastAsia" w:hAnsiTheme="minorHAnsi" w:cstheme="minorHAnsi"/>
          <w:szCs w:val="24"/>
        </w:rPr>
        <w:t xml:space="preserve"> submissions from home care providers, aged care peak bodies</w:t>
      </w:r>
      <w:r>
        <w:rPr>
          <w:rFonts w:asciiTheme="minorHAnsi" w:eastAsiaTheme="minorEastAsia" w:hAnsiTheme="minorHAnsi" w:cstheme="minorHAnsi"/>
          <w:szCs w:val="24"/>
        </w:rPr>
        <w:t>, carers, carer advocacy groups</w:t>
      </w:r>
      <w:r w:rsidR="00840D91">
        <w:rPr>
          <w:rFonts w:asciiTheme="minorHAnsi" w:eastAsiaTheme="minorEastAsia" w:hAnsiTheme="minorHAnsi" w:cstheme="minorHAnsi"/>
          <w:szCs w:val="24"/>
        </w:rPr>
        <w:t>,</w:t>
      </w:r>
      <w:r>
        <w:rPr>
          <w:rFonts w:asciiTheme="minorHAnsi" w:eastAsiaTheme="minorEastAsia" w:hAnsiTheme="minorHAnsi" w:cstheme="minorHAnsi"/>
          <w:szCs w:val="24"/>
        </w:rPr>
        <w:t xml:space="preserve"> </w:t>
      </w:r>
      <w:r w:rsidRPr="008D4119">
        <w:rPr>
          <w:rFonts w:asciiTheme="minorHAnsi" w:eastAsiaTheme="minorEastAsia" w:hAnsiTheme="minorHAnsi" w:cstheme="minorHAnsi"/>
          <w:szCs w:val="24"/>
        </w:rPr>
        <w:t xml:space="preserve">concerned individuals and </w:t>
      </w:r>
      <w:r w:rsidR="002F130A" w:rsidRPr="008D4119">
        <w:rPr>
          <w:rFonts w:asciiTheme="minorHAnsi" w:eastAsiaTheme="minorEastAsia" w:hAnsiTheme="minorHAnsi" w:cstheme="minorHAnsi"/>
          <w:szCs w:val="24"/>
        </w:rPr>
        <w:t>payment</w:t>
      </w:r>
      <w:r w:rsidRPr="008D4119">
        <w:rPr>
          <w:rFonts w:asciiTheme="minorHAnsi" w:eastAsiaTheme="minorEastAsia" w:hAnsiTheme="minorHAnsi" w:cstheme="minorHAnsi"/>
          <w:szCs w:val="24"/>
        </w:rPr>
        <w:t xml:space="preserve"> management companies.</w:t>
      </w:r>
    </w:p>
    <w:p w:rsidR="00AF42F0" w:rsidRPr="008D4119" w:rsidRDefault="00A35477" w:rsidP="00840D91">
      <w:pPr>
        <w:pStyle w:val="BodyText"/>
        <w:spacing w:before="0" w:after="180" w:line="240" w:lineRule="auto"/>
        <w:jc w:val="left"/>
        <w:rPr>
          <w:rFonts w:asciiTheme="minorHAnsi" w:eastAsiaTheme="minorEastAsia" w:hAnsiTheme="minorHAnsi" w:cstheme="minorHAnsi"/>
          <w:szCs w:val="24"/>
        </w:rPr>
      </w:pPr>
      <w:r>
        <w:rPr>
          <w:rFonts w:asciiTheme="minorHAnsi" w:eastAsiaTheme="minorEastAsia" w:hAnsiTheme="minorHAnsi" w:cstheme="minorHAnsi"/>
          <w:szCs w:val="24"/>
        </w:rPr>
        <w:lastRenderedPageBreak/>
        <w:t>F</w:t>
      </w:r>
      <w:r w:rsidR="00AF42F0" w:rsidRPr="008D4119">
        <w:rPr>
          <w:rFonts w:asciiTheme="minorHAnsi" w:eastAsiaTheme="minorEastAsia" w:hAnsiTheme="minorHAnsi" w:cstheme="minorHAnsi"/>
          <w:szCs w:val="24"/>
        </w:rPr>
        <w:t>ace</w:t>
      </w:r>
      <w:r w:rsidR="003F5BC0">
        <w:rPr>
          <w:rFonts w:asciiTheme="minorHAnsi" w:eastAsiaTheme="minorEastAsia" w:hAnsiTheme="minorHAnsi" w:cstheme="minorHAnsi"/>
          <w:szCs w:val="24"/>
        </w:rPr>
        <w:t>-</w:t>
      </w:r>
      <w:r w:rsidR="00AF42F0" w:rsidRPr="008D4119">
        <w:rPr>
          <w:rFonts w:asciiTheme="minorHAnsi" w:eastAsiaTheme="minorEastAsia" w:hAnsiTheme="minorHAnsi" w:cstheme="minorHAnsi"/>
          <w:szCs w:val="24"/>
        </w:rPr>
        <w:t>to</w:t>
      </w:r>
      <w:r w:rsidR="003F5BC0">
        <w:rPr>
          <w:rFonts w:asciiTheme="minorHAnsi" w:eastAsiaTheme="minorEastAsia" w:hAnsiTheme="minorHAnsi" w:cstheme="minorHAnsi"/>
          <w:szCs w:val="24"/>
        </w:rPr>
        <w:t>-</w:t>
      </w:r>
      <w:r w:rsidR="00AF42F0" w:rsidRPr="008D4119">
        <w:rPr>
          <w:rFonts w:asciiTheme="minorHAnsi" w:eastAsiaTheme="minorEastAsia" w:hAnsiTheme="minorHAnsi" w:cstheme="minorHAnsi"/>
          <w:szCs w:val="24"/>
        </w:rPr>
        <w:t xml:space="preserve">face consultations </w:t>
      </w:r>
      <w:r>
        <w:rPr>
          <w:rFonts w:asciiTheme="minorHAnsi" w:eastAsiaTheme="minorEastAsia" w:hAnsiTheme="minorHAnsi" w:cstheme="minorHAnsi"/>
          <w:szCs w:val="24"/>
        </w:rPr>
        <w:t xml:space="preserve">were held </w:t>
      </w:r>
      <w:r w:rsidR="00AF42F0" w:rsidRPr="008D4119">
        <w:rPr>
          <w:rFonts w:asciiTheme="minorHAnsi" w:eastAsiaTheme="minorEastAsia" w:hAnsiTheme="minorHAnsi" w:cstheme="minorHAnsi"/>
          <w:szCs w:val="24"/>
        </w:rPr>
        <w:t xml:space="preserve">with </w:t>
      </w:r>
      <w:r w:rsidR="00764E91" w:rsidRPr="008D4119">
        <w:rPr>
          <w:rFonts w:asciiTheme="minorHAnsi" w:eastAsiaTheme="minorEastAsia" w:hAnsiTheme="minorHAnsi" w:cstheme="minorHAnsi"/>
          <w:szCs w:val="24"/>
        </w:rPr>
        <w:t>79</w:t>
      </w:r>
      <w:r w:rsidR="00AF42F0" w:rsidRPr="008D4119">
        <w:rPr>
          <w:rFonts w:asciiTheme="minorHAnsi" w:eastAsiaTheme="minorEastAsia" w:hAnsiTheme="minorHAnsi" w:cstheme="minorHAnsi"/>
          <w:szCs w:val="24"/>
        </w:rPr>
        <w:t xml:space="preserve"> home care providers attending forums </w:t>
      </w:r>
      <w:r w:rsidR="002F130A" w:rsidRPr="008D4119">
        <w:rPr>
          <w:rFonts w:asciiTheme="minorHAnsi" w:eastAsiaTheme="minorEastAsia" w:hAnsiTheme="minorHAnsi" w:cstheme="minorHAnsi"/>
          <w:szCs w:val="24"/>
        </w:rPr>
        <w:t>in</w:t>
      </w:r>
      <w:r w:rsidR="00AF42F0" w:rsidRPr="008D4119">
        <w:rPr>
          <w:rFonts w:asciiTheme="minorHAnsi" w:eastAsiaTheme="minorEastAsia" w:hAnsiTheme="minorHAnsi" w:cstheme="minorHAnsi"/>
          <w:szCs w:val="24"/>
        </w:rPr>
        <w:t xml:space="preserve"> Brisbane, Adelaide, Perth, Melbourne and Sydney. </w:t>
      </w:r>
      <w:r w:rsidR="002F130A" w:rsidRPr="008D4119">
        <w:rPr>
          <w:rFonts w:asciiTheme="minorHAnsi" w:eastAsiaTheme="minorEastAsia" w:hAnsiTheme="minorHAnsi" w:cstheme="minorHAnsi"/>
          <w:szCs w:val="24"/>
        </w:rPr>
        <w:t xml:space="preserve">This included a </w:t>
      </w:r>
      <w:r w:rsidR="001E7524" w:rsidRPr="008D4119">
        <w:rPr>
          <w:rFonts w:asciiTheme="minorHAnsi" w:eastAsiaTheme="minorEastAsia" w:hAnsiTheme="minorHAnsi" w:cstheme="minorHAnsi"/>
          <w:szCs w:val="24"/>
        </w:rPr>
        <w:t>cross section</w:t>
      </w:r>
      <w:r w:rsidR="002F130A" w:rsidRPr="008D4119">
        <w:rPr>
          <w:rFonts w:asciiTheme="minorHAnsi" w:eastAsiaTheme="minorEastAsia" w:hAnsiTheme="minorHAnsi" w:cstheme="minorHAnsi"/>
          <w:szCs w:val="24"/>
        </w:rPr>
        <w:t xml:space="preserve"> of providers including small home care only providers,</w:t>
      </w:r>
      <w:r w:rsidR="00190C49" w:rsidRPr="008D4119">
        <w:rPr>
          <w:rFonts w:asciiTheme="minorHAnsi" w:eastAsiaTheme="minorEastAsia" w:hAnsiTheme="minorHAnsi" w:cstheme="minorHAnsi"/>
          <w:szCs w:val="24"/>
        </w:rPr>
        <w:t xml:space="preserve"> medium and large providers, providers that also engage in other aged care and non</w:t>
      </w:r>
      <w:r w:rsidR="00190C49" w:rsidRPr="008D4119">
        <w:rPr>
          <w:rFonts w:asciiTheme="minorHAnsi" w:eastAsiaTheme="minorEastAsia" w:hAnsiTheme="minorHAnsi" w:cstheme="minorHAnsi"/>
          <w:szCs w:val="24"/>
        </w:rPr>
        <w:noBreakHyphen/>
        <w:t>aged care business,</w:t>
      </w:r>
      <w:r w:rsidR="002F130A" w:rsidRPr="008D4119">
        <w:rPr>
          <w:rFonts w:asciiTheme="minorHAnsi" w:eastAsiaTheme="minorEastAsia" w:hAnsiTheme="minorHAnsi" w:cstheme="minorHAnsi"/>
          <w:szCs w:val="24"/>
        </w:rPr>
        <w:t xml:space="preserve"> remote </w:t>
      </w:r>
      <w:r w:rsidR="00524284">
        <w:rPr>
          <w:rFonts w:asciiTheme="minorHAnsi" w:eastAsiaTheme="minorEastAsia" w:hAnsiTheme="minorHAnsi" w:cstheme="minorHAnsi"/>
          <w:szCs w:val="24"/>
        </w:rPr>
        <w:t>providers, providers servicing culturally and linguistically diverse (C</w:t>
      </w:r>
      <w:r w:rsidR="002F130A" w:rsidRPr="008D4119">
        <w:rPr>
          <w:rFonts w:asciiTheme="minorHAnsi" w:eastAsiaTheme="minorEastAsia" w:hAnsiTheme="minorHAnsi" w:cstheme="minorHAnsi"/>
          <w:szCs w:val="24"/>
        </w:rPr>
        <w:t>ALD</w:t>
      </w:r>
      <w:r w:rsidR="00524284">
        <w:rPr>
          <w:rFonts w:asciiTheme="minorHAnsi" w:eastAsiaTheme="minorEastAsia" w:hAnsiTheme="minorHAnsi" w:cstheme="minorHAnsi"/>
          <w:szCs w:val="24"/>
        </w:rPr>
        <w:t>)</w:t>
      </w:r>
      <w:r w:rsidR="002F130A" w:rsidRPr="008D4119">
        <w:rPr>
          <w:rFonts w:asciiTheme="minorHAnsi" w:eastAsiaTheme="minorEastAsia" w:hAnsiTheme="minorHAnsi" w:cstheme="minorHAnsi"/>
          <w:szCs w:val="24"/>
        </w:rPr>
        <w:t xml:space="preserve"> communities, for profit, not</w:t>
      </w:r>
      <w:r w:rsidR="00190C49" w:rsidRPr="008D4119">
        <w:rPr>
          <w:rFonts w:asciiTheme="minorHAnsi" w:eastAsiaTheme="minorEastAsia" w:hAnsiTheme="minorHAnsi" w:cstheme="minorHAnsi"/>
          <w:szCs w:val="24"/>
        </w:rPr>
        <w:noBreakHyphen/>
      </w:r>
      <w:r w:rsidR="002F130A" w:rsidRPr="008D4119">
        <w:rPr>
          <w:rFonts w:asciiTheme="minorHAnsi" w:eastAsiaTheme="minorEastAsia" w:hAnsiTheme="minorHAnsi" w:cstheme="minorHAnsi"/>
          <w:szCs w:val="24"/>
        </w:rPr>
        <w:t>for</w:t>
      </w:r>
      <w:r w:rsidR="00190C49" w:rsidRPr="008D4119">
        <w:rPr>
          <w:rFonts w:asciiTheme="minorHAnsi" w:eastAsiaTheme="minorEastAsia" w:hAnsiTheme="minorHAnsi" w:cstheme="minorHAnsi"/>
          <w:szCs w:val="24"/>
        </w:rPr>
        <w:noBreakHyphen/>
      </w:r>
      <w:r w:rsidR="002F130A" w:rsidRPr="008D4119">
        <w:rPr>
          <w:rFonts w:asciiTheme="minorHAnsi" w:eastAsiaTheme="minorEastAsia" w:hAnsiTheme="minorHAnsi" w:cstheme="minorHAnsi"/>
          <w:szCs w:val="24"/>
        </w:rPr>
        <w:t>profit</w:t>
      </w:r>
      <w:r w:rsidR="00190C49" w:rsidRPr="008D4119">
        <w:rPr>
          <w:rFonts w:asciiTheme="minorHAnsi" w:eastAsiaTheme="minorEastAsia" w:hAnsiTheme="minorHAnsi" w:cstheme="minorHAnsi"/>
          <w:szCs w:val="24"/>
        </w:rPr>
        <w:t xml:space="preserve"> and faith</w:t>
      </w:r>
      <w:r w:rsidR="00190C49" w:rsidRPr="008D4119">
        <w:rPr>
          <w:rFonts w:asciiTheme="minorHAnsi" w:eastAsiaTheme="minorEastAsia" w:hAnsiTheme="minorHAnsi" w:cstheme="minorHAnsi"/>
          <w:szCs w:val="24"/>
        </w:rPr>
        <w:noBreakHyphen/>
      </w:r>
      <w:r w:rsidR="002F130A" w:rsidRPr="008D4119">
        <w:rPr>
          <w:rFonts w:asciiTheme="minorHAnsi" w:eastAsiaTheme="minorEastAsia" w:hAnsiTheme="minorHAnsi" w:cstheme="minorHAnsi"/>
          <w:szCs w:val="24"/>
        </w:rPr>
        <w:t>based providers.</w:t>
      </w:r>
    </w:p>
    <w:p w:rsidR="00DF4A73" w:rsidRDefault="006F0193" w:rsidP="00840D91">
      <w:pPr>
        <w:pStyle w:val="BodyText"/>
        <w:spacing w:before="0" w:after="180" w:line="240" w:lineRule="auto"/>
        <w:jc w:val="left"/>
        <w:rPr>
          <w:rFonts w:asciiTheme="minorHAnsi" w:eastAsiaTheme="minorEastAsia" w:hAnsiTheme="minorHAnsi" w:cstheme="minorHAnsi"/>
          <w:szCs w:val="24"/>
        </w:rPr>
      </w:pPr>
      <w:r>
        <w:rPr>
          <w:rFonts w:asciiTheme="minorHAnsi" w:eastAsiaTheme="minorEastAsia" w:hAnsiTheme="minorHAnsi" w:cstheme="minorHAnsi"/>
          <w:szCs w:val="24"/>
        </w:rPr>
        <w:t>Health</w:t>
      </w:r>
      <w:r w:rsidR="00265A67">
        <w:rPr>
          <w:rFonts w:asciiTheme="minorHAnsi" w:eastAsiaTheme="minorEastAsia" w:hAnsiTheme="minorHAnsi" w:cstheme="minorHAnsi"/>
          <w:szCs w:val="24"/>
        </w:rPr>
        <w:t xml:space="preserve"> provided ACFA with a</w:t>
      </w:r>
      <w:r w:rsidR="0054141E" w:rsidRPr="008D4119">
        <w:rPr>
          <w:rFonts w:asciiTheme="minorHAnsi" w:eastAsiaTheme="minorEastAsia" w:hAnsiTheme="minorHAnsi" w:cstheme="minorHAnsi"/>
          <w:szCs w:val="24"/>
        </w:rPr>
        <w:t xml:space="preserve"> broad outline of the </w:t>
      </w:r>
      <w:r w:rsidR="00265A67">
        <w:rPr>
          <w:rFonts w:asciiTheme="minorHAnsi" w:eastAsiaTheme="minorEastAsia" w:hAnsiTheme="minorHAnsi" w:cstheme="minorHAnsi"/>
          <w:szCs w:val="24"/>
        </w:rPr>
        <w:t xml:space="preserve">implementation </w:t>
      </w:r>
      <w:r w:rsidR="0054141E" w:rsidRPr="008D4119">
        <w:rPr>
          <w:rFonts w:asciiTheme="minorHAnsi" w:eastAsiaTheme="minorEastAsia" w:hAnsiTheme="minorHAnsi" w:cstheme="minorHAnsi"/>
          <w:szCs w:val="24"/>
        </w:rPr>
        <w:t>arrangements the Government was considering</w:t>
      </w:r>
      <w:r w:rsidR="00265A67">
        <w:rPr>
          <w:rFonts w:asciiTheme="minorHAnsi" w:eastAsiaTheme="minorEastAsia" w:hAnsiTheme="minorHAnsi" w:cstheme="minorHAnsi"/>
          <w:szCs w:val="24"/>
        </w:rPr>
        <w:t>, and this was the basis of ACFA’s consultations</w:t>
      </w:r>
      <w:r w:rsidR="007504F2">
        <w:rPr>
          <w:rFonts w:asciiTheme="minorHAnsi" w:eastAsiaTheme="minorEastAsia" w:hAnsiTheme="minorHAnsi" w:cstheme="minorHAnsi"/>
          <w:szCs w:val="24"/>
        </w:rPr>
        <w:t xml:space="preserve"> </w:t>
      </w:r>
      <w:r w:rsidR="00BE23A9">
        <w:rPr>
          <w:rFonts w:asciiTheme="minorHAnsi" w:eastAsiaTheme="minorEastAsia" w:hAnsiTheme="minorHAnsi" w:cstheme="minorHAnsi"/>
          <w:szCs w:val="24"/>
        </w:rPr>
        <w:t>(see</w:t>
      </w:r>
      <w:r w:rsidR="007504F2">
        <w:rPr>
          <w:rFonts w:asciiTheme="minorHAnsi" w:eastAsiaTheme="minorEastAsia" w:hAnsiTheme="minorHAnsi" w:cstheme="minorHAnsi"/>
          <w:szCs w:val="24"/>
        </w:rPr>
        <w:t xml:space="preserve"> Section 4)</w:t>
      </w:r>
      <w:r w:rsidR="0054141E" w:rsidRPr="008D4119">
        <w:rPr>
          <w:rFonts w:asciiTheme="minorHAnsi" w:eastAsiaTheme="minorEastAsia" w:hAnsiTheme="minorHAnsi" w:cstheme="minorHAnsi"/>
          <w:szCs w:val="24"/>
        </w:rPr>
        <w:t xml:space="preserve">. </w:t>
      </w:r>
      <w:r w:rsidR="00265A67">
        <w:rPr>
          <w:rFonts w:asciiTheme="minorHAnsi" w:eastAsiaTheme="minorEastAsia" w:hAnsiTheme="minorHAnsi" w:cstheme="minorHAnsi"/>
          <w:szCs w:val="24"/>
        </w:rPr>
        <w:t>The</w:t>
      </w:r>
      <w:r w:rsidR="00B90759">
        <w:rPr>
          <w:rFonts w:asciiTheme="minorHAnsi" w:eastAsiaTheme="minorEastAsia" w:hAnsiTheme="minorHAnsi" w:cstheme="minorHAnsi"/>
          <w:szCs w:val="24"/>
        </w:rPr>
        <w:t xml:space="preserve"> </w:t>
      </w:r>
      <w:r w:rsidR="00265A67">
        <w:rPr>
          <w:rFonts w:asciiTheme="minorHAnsi" w:eastAsiaTheme="minorEastAsia" w:hAnsiTheme="minorHAnsi" w:cstheme="minorHAnsi"/>
          <w:szCs w:val="24"/>
        </w:rPr>
        <w:t xml:space="preserve">arrangements were included in the </w:t>
      </w:r>
      <w:r w:rsidR="00B90759">
        <w:rPr>
          <w:rFonts w:asciiTheme="minorHAnsi" w:eastAsiaTheme="minorEastAsia" w:hAnsiTheme="minorHAnsi" w:cstheme="minorHAnsi"/>
          <w:szCs w:val="24"/>
        </w:rPr>
        <w:t xml:space="preserve">Consultation Paper ACFA released when inviting submissions. </w:t>
      </w:r>
    </w:p>
    <w:p w:rsidR="00DF4A73" w:rsidRDefault="00265A67" w:rsidP="00840D91">
      <w:pPr>
        <w:pStyle w:val="BodyText"/>
        <w:spacing w:before="0" w:after="180" w:line="240" w:lineRule="auto"/>
        <w:jc w:val="left"/>
        <w:rPr>
          <w:rFonts w:asciiTheme="minorHAnsi" w:eastAsiaTheme="minorEastAsia" w:hAnsiTheme="minorHAnsi" w:cstheme="minorHAnsi"/>
          <w:szCs w:val="24"/>
        </w:rPr>
      </w:pPr>
      <w:r>
        <w:rPr>
          <w:rFonts w:asciiTheme="minorHAnsi" w:eastAsiaTheme="minorEastAsia" w:hAnsiTheme="minorHAnsi" w:cstheme="minorHAnsi"/>
          <w:szCs w:val="24"/>
        </w:rPr>
        <w:t>During the course of the consultations, p</w:t>
      </w:r>
      <w:r w:rsidR="005F69B3" w:rsidRPr="008D4119">
        <w:rPr>
          <w:rFonts w:asciiTheme="minorHAnsi" w:eastAsiaTheme="minorEastAsia" w:hAnsiTheme="minorHAnsi" w:cstheme="minorHAnsi"/>
          <w:szCs w:val="24"/>
        </w:rPr>
        <w:t xml:space="preserve">roviders </w:t>
      </w:r>
      <w:r w:rsidR="0054141E" w:rsidRPr="008D4119">
        <w:rPr>
          <w:rFonts w:asciiTheme="minorHAnsi" w:eastAsiaTheme="minorEastAsia" w:hAnsiTheme="minorHAnsi" w:cstheme="minorHAnsi"/>
          <w:szCs w:val="24"/>
        </w:rPr>
        <w:t xml:space="preserve">raised a number of questions </w:t>
      </w:r>
      <w:r w:rsidR="006F0193">
        <w:rPr>
          <w:rFonts w:asciiTheme="minorHAnsi" w:eastAsiaTheme="minorEastAsia" w:hAnsiTheme="minorHAnsi" w:cstheme="minorHAnsi"/>
          <w:szCs w:val="24"/>
        </w:rPr>
        <w:t>regarding</w:t>
      </w:r>
      <w:r w:rsidR="0054141E" w:rsidRPr="008D4119">
        <w:rPr>
          <w:rFonts w:asciiTheme="minorHAnsi" w:eastAsiaTheme="minorEastAsia" w:hAnsiTheme="minorHAnsi" w:cstheme="minorHAnsi"/>
          <w:szCs w:val="24"/>
        </w:rPr>
        <w:t xml:space="preserve"> how the new funding arrangements would operate that were not covered in the</w:t>
      </w:r>
      <w:r w:rsidR="00FF3DA2">
        <w:rPr>
          <w:rFonts w:asciiTheme="minorHAnsi" w:eastAsiaTheme="minorEastAsia" w:hAnsiTheme="minorHAnsi" w:cstheme="minorHAnsi"/>
          <w:szCs w:val="24"/>
        </w:rPr>
        <w:t xml:space="preserve"> </w:t>
      </w:r>
      <w:r w:rsidR="00BE23A9">
        <w:rPr>
          <w:rFonts w:asciiTheme="minorHAnsi" w:eastAsiaTheme="minorEastAsia" w:hAnsiTheme="minorHAnsi" w:cstheme="minorHAnsi"/>
          <w:szCs w:val="24"/>
        </w:rPr>
        <w:t xml:space="preserve">implementation </w:t>
      </w:r>
      <w:r w:rsidR="00BE23A9" w:rsidRPr="008D4119">
        <w:rPr>
          <w:rFonts w:asciiTheme="minorHAnsi" w:eastAsiaTheme="minorEastAsia" w:hAnsiTheme="minorHAnsi" w:cstheme="minorHAnsi"/>
          <w:szCs w:val="24"/>
        </w:rPr>
        <w:t>outline</w:t>
      </w:r>
      <w:r w:rsidR="00BE23A9">
        <w:rPr>
          <w:rFonts w:asciiTheme="minorHAnsi" w:eastAsiaTheme="minorEastAsia" w:hAnsiTheme="minorHAnsi" w:cstheme="minorHAnsi"/>
          <w:szCs w:val="24"/>
        </w:rPr>
        <w:t xml:space="preserve"> ACFA</w:t>
      </w:r>
      <w:r w:rsidR="00536EB6">
        <w:rPr>
          <w:rFonts w:asciiTheme="minorHAnsi" w:eastAsiaTheme="minorEastAsia" w:hAnsiTheme="minorHAnsi" w:cstheme="minorHAnsi"/>
          <w:szCs w:val="24"/>
        </w:rPr>
        <w:t xml:space="preserve"> received from Health. Some of the details providers were seeking to clarify could have a bearing on the financial impact of the change in payment arrangements, as well </w:t>
      </w:r>
      <w:r w:rsidR="007D2166">
        <w:rPr>
          <w:rFonts w:asciiTheme="minorHAnsi" w:eastAsiaTheme="minorEastAsia" w:hAnsiTheme="minorHAnsi" w:cstheme="minorHAnsi"/>
          <w:szCs w:val="24"/>
        </w:rPr>
        <w:t>as</w:t>
      </w:r>
      <w:r w:rsidR="00536EB6">
        <w:rPr>
          <w:rFonts w:asciiTheme="minorHAnsi" w:eastAsiaTheme="minorEastAsia" w:hAnsiTheme="minorHAnsi" w:cstheme="minorHAnsi"/>
          <w:szCs w:val="24"/>
        </w:rPr>
        <w:t xml:space="preserve"> implications for the provision of services to consumers.</w:t>
      </w:r>
      <w:r w:rsidR="0054141E" w:rsidRPr="008D4119">
        <w:rPr>
          <w:rFonts w:asciiTheme="minorHAnsi" w:eastAsiaTheme="minorEastAsia" w:hAnsiTheme="minorHAnsi" w:cstheme="minorHAnsi"/>
          <w:szCs w:val="24"/>
        </w:rPr>
        <w:t xml:space="preserve"> </w:t>
      </w:r>
      <w:r w:rsidR="00BC5042">
        <w:rPr>
          <w:rFonts w:asciiTheme="minorHAnsi" w:eastAsiaTheme="minorEastAsia" w:hAnsiTheme="minorHAnsi" w:cstheme="minorHAnsi"/>
          <w:szCs w:val="24"/>
        </w:rPr>
        <w:t xml:space="preserve">During the course of ACFA’s consultations, </w:t>
      </w:r>
      <w:r w:rsidR="001C5DD7" w:rsidRPr="008D4119">
        <w:rPr>
          <w:rFonts w:asciiTheme="minorHAnsi" w:eastAsiaTheme="minorEastAsia" w:hAnsiTheme="minorHAnsi" w:cstheme="minorHAnsi"/>
          <w:szCs w:val="24"/>
        </w:rPr>
        <w:t>Health was conducting a separate consultation process on the implementation arrangements</w:t>
      </w:r>
      <w:r w:rsidR="001C5DD7">
        <w:rPr>
          <w:rFonts w:asciiTheme="minorHAnsi" w:eastAsiaTheme="minorEastAsia" w:hAnsiTheme="minorHAnsi" w:cstheme="minorHAnsi"/>
          <w:szCs w:val="24"/>
        </w:rPr>
        <w:t xml:space="preserve"> for the Budget measure. ACFA has advised Health about the points of detail around the operation of the new arrangements that providers are seeking to clarify</w:t>
      </w:r>
      <w:r w:rsidR="00536EB6" w:rsidRPr="006A62A0">
        <w:rPr>
          <w:rFonts w:asciiTheme="minorHAnsi" w:eastAsiaTheme="minorEastAsia" w:hAnsiTheme="minorHAnsi" w:cstheme="minorHAnsi"/>
          <w:szCs w:val="24"/>
        </w:rPr>
        <w:t>.</w:t>
      </w:r>
    </w:p>
    <w:p w:rsidR="0054141E" w:rsidRDefault="00524284" w:rsidP="00840D91">
      <w:pPr>
        <w:pStyle w:val="BodyText"/>
        <w:spacing w:before="0" w:after="180" w:line="240" w:lineRule="auto"/>
        <w:jc w:val="left"/>
        <w:rPr>
          <w:rFonts w:asciiTheme="minorHAnsi" w:eastAsiaTheme="minorEastAsia" w:hAnsiTheme="minorHAnsi" w:cstheme="minorHAnsi"/>
          <w:szCs w:val="24"/>
        </w:rPr>
      </w:pPr>
      <w:r>
        <w:rPr>
          <w:rFonts w:asciiTheme="minorHAnsi" w:eastAsiaTheme="minorEastAsia" w:hAnsiTheme="minorHAnsi" w:cstheme="minorHAnsi"/>
          <w:szCs w:val="24"/>
        </w:rPr>
        <w:t>In ACFA’s consultations, p</w:t>
      </w:r>
      <w:r w:rsidR="00536EB6">
        <w:rPr>
          <w:rFonts w:asciiTheme="minorHAnsi" w:eastAsiaTheme="minorEastAsia" w:hAnsiTheme="minorHAnsi" w:cstheme="minorHAnsi"/>
          <w:szCs w:val="24"/>
        </w:rPr>
        <w:t xml:space="preserve">roviders also </w:t>
      </w:r>
      <w:r w:rsidR="00BE23A9">
        <w:rPr>
          <w:rFonts w:asciiTheme="minorHAnsi" w:eastAsiaTheme="minorEastAsia" w:hAnsiTheme="minorHAnsi" w:cstheme="minorHAnsi"/>
          <w:szCs w:val="24"/>
        </w:rPr>
        <w:t xml:space="preserve">raised </w:t>
      </w:r>
      <w:r w:rsidR="00FF3DA2">
        <w:rPr>
          <w:rFonts w:asciiTheme="minorHAnsi" w:eastAsiaTheme="minorEastAsia" w:hAnsiTheme="minorHAnsi" w:cstheme="minorHAnsi"/>
          <w:szCs w:val="24"/>
        </w:rPr>
        <w:t xml:space="preserve">comments </w:t>
      </w:r>
      <w:r w:rsidR="00536EB6">
        <w:rPr>
          <w:rFonts w:asciiTheme="minorHAnsi" w:eastAsiaTheme="minorEastAsia" w:hAnsiTheme="minorHAnsi" w:cstheme="minorHAnsi"/>
          <w:szCs w:val="24"/>
        </w:rPr>
        <w:t xml:space="preserve">on the merits of the Budget measure and </w:t>
      </w:r>
      <w:r w:rsidR="00FF3DA2">
        <w:rPr>
          <w:rFonts w:asciiTheme="minorHAnsi" w:eastAsiaTheme="minorEastAsia" w:hAnsiTheme="minorHAnsi" w:cstheme="minorHAnsi"/>
          <w:szCs w:val="24"/>
        </w:rPr>
        <w:t>the broader</w:t>
      </w:r>
      <w:r w:rsidR="00265A67">
        <w:rPr>
          <w:rFonts w:asciiTheme="minorHAnsi" w:eastAsiaTheme="minorEastAsia" w:hAnsiTheme="minorHAnsi" w:cstheme="minorHAnsi"/>
          <w:szCs w:val="24"/>
        </w:rPr>
        <w:t xml:space="preserve"> operation of </w:t>
      </w:r>
      <w:r w:rsidR="00DF4A73">
        <w:rPr>
          <w:rFonts w:asciiTheme="minorHAnsi" w:eastAsiaTheme="minorEastAsia" w:hAnsiTheme="minorHAnsi" w:cstheme="minorHAnsi"/>
          <w:szCs w:val="24"/>
        </w:rPr>
        <w:t>the h</w:t>
      </w:r>
      <w:r w:rsidR="00265A67">
        <w:rPr>
          <w:rFonts w:asciiTheme="minorHAnsi" w:eastAsiaTheme="minorEastAsia" w:hAnsiTheme="minorHAnsi" w:cstheme="minorHAnsi"/>
          <w:szCs w:val="24"/>
        </w:rPr>
        <w:t xml:space="preserve">ome </w:t>
      </w:r>
      <w:r w:rsidR="00DF4A73">
        <w:rPr>
          <w:rFonts w:asciiTheme="minorHAnsi" w:eastAsiaTheme="minorEastAsia" w:hAnsiTheme="minorHAnsi" w:cstheme="minorHAnsi"/>
          <w:szCs w:val="24"/>
        </w:rPr>
        <w:t>c</w:t>
      </w:r>
      <w:r w:rsidR="00265A67">
        <w:rPr>
          <w:rFonts w:asciiTheme="minorHAnsi" w:eastAsiaTheme="minorEastAsia" w:hAnsiTheme="minorHAnsi" w:cstheme="minorHAnsi"/>
          <w:szCs w:val="24"/>
        </w:rPr>
        <w:t>are</w:t>
      </w:r>
      <w:r w:rsidR="00DF4A73">
        <w:rPr>
          <w:rFonts w:asciiTheme="minorHAnsi" w:eastAsiaTheme="minorEastAsia" w:hAnsiTheme="minorHAnsi" w:cstheme="minorHAnsi"/>
          <w:szCs w:val="24"/>
        </w:rPr>
        <w:t xml:space="preserve"> program</w:t>
      </w:r>
      <w:r w:rsidR="00265A67">
        <w:rPr>
          <w:rFonts w:asciiTheme="minorHAnsi" w:eastAsiaTheme="minorEastAsia" w:hAnsiTheme="minorHAnsi" w:cstheme="minorHAnsi"/>
          <w:szCs w:val="24"/>
        </w:rPr>
        <w:t xml:space="preserve">. ACFA noted that </w:t>
      </w:r>
      <w:r w:rsidR="00FF3DA2">
        <w:rPr>
          <w:rFonts w:asciiTheme="minorHAnsi" w:eastAsiaTheme="minorEastAsia" w:hAnsiTheme="minorHAnsi" w:cstheme="minorHAnsi"/>
          <w:szCs w:val="24"/>
        </w:rPr>
        <w:t>it had not been asked to advise</w:t>
      </w:r>
      <w:r w:rsidR="00265A67">
        <w:rPr>
          <w:rFonts w:asciiTheme="minorHAnsi" w:eastAsiaTheme="minorEastAsia" w:hAnsiTheme="minorHAnsi" w:cstheme="minorHAnsi"/>
          <w:szCs w:val="24"/>
        </w:rPr>
        <w:t xml:space="preserve"> on the merits of the change in payment arrangements</w:t>
      </w:r>
      <w:r w:rsidR="007E64CE">
        <w:rPr>
          <w:rFonts w:asciiTheme="minorHAnsi" w:eastAsiaTheme="minorEastAsia" w:hAnsiTheme="minorHAnsi" w:cstheme="minorHAnsi"/>
          <w:szCs w:val="24"/>
        </w:rPr>
        <w:t xml:space="preserve"> or broader reforms to home care</w:t>
      </w:r>
      <w:r w:rsidR="00265A67">
        <w:rPr>
          <w:rFonts w:asciiTheme="minorHAnsi" w:eastAsiaTheme="minorEastAsia" w:hAnsiTheme="minorHAnsi" w:cstheme="minorHAnsi"/>
          <w:szCs w:val="24"/>
        </w:rPr>
        <w:t>.</w:t>
      </w:r>
    </w:p>
    <w:p w:rsidR="000D34F5" w:rsidRDefault="000D34F5" w:rsidP="00840D91">
      <w:pPr>
        <w:pStyle w:val="BodyText"/>
        <w:spacing w:before="0" w:after="180" w:line="240" w:lineRule="auto"/>
        <w:jc w:val="left"/>
        <w:rPr>
          <w:rFonts w:asciiTheme="minorHAnsi" w:eastAsiaTheme="minorEastAsia" w:hAnsiTheme="minorHAnsi" w:cstheme="minorHAnsi"/>
          <w:szCs w:val="24"/>
        </w:rPr>
      </w:pPr>
    </w:p>
    <w:p w:rsidR="000D34F5" w:rsidRDefault="000D34F5">
      <w:pPr>
        <w:rPr>
          <w:rFonts w:cstheme="minorHAnsi"/>
          <w:szCs w:val="24"/>
        </w:rPr>
      </w:pPr>
      <w:r>
        <w:rPr>
          <w:rFonts w:cstheme="minorHAnsi"/>
          <w:szCs w:val="24"/>
        </w:rPr>
        <w:br w:type="page"/>
      </w:r>
    </w:p>
    <w:p w:rsidR="00B9468F" w:rsidRPr="006F112F" w:rsidRDefault="00B9468F" w:rsidP="00840D91">
      <w:pPr>
        <w:pStyle w:val="Heading1"/>
        <w:numPr>
          <w:ilvl w:val="0"/>
          <w:numId w:val="14"/>
        </w:numPr>
        <w:spacing w:before="0" w:after="180"/>
      </w:pPr>
      <w:bookmarkStart w:id="20" w:name="_Toc23174326"/>
      <w:bookmarkStart w:id="21" w:name="_Toc25325887"/>
      <w:bookmarkStart w:id="22" w:name="_Toc25851850"/>
      <w:bookmarkStart w:id="23" w:name="_Toc25938495"/>
      <w:bookmarkStart w:id="24" w:name="_Toc26109058"/>
      <w:bookmarkStart w:id="25" w:name="_Toc26788388"/>
      <w:r>
        <w:lastRenderedPageBreak/>
        <w:t>The home care sector</w:t>
      </w:r>
      <w:bookmarkEnd w:id="20"/>
      <w:bookmarkEnd w:id="21"/>
      <w:bookmarkEnd w:id="22"/>
      <w:bookmarkEnd w:id="23"/>
      <w:bookmarkEnd w:id="24"/>
      <w:bookmarkEnd w:id="25"/>
    </w:p>
    <w:p w:rsidR="00B9468F" w:rsidRPr="00E91916" w:rsidRDefault="00B9468F" w:rsidP="00840D91">
      <w:pPr>
        <w:spacing w:after="180" w:line="240" w:lineRule="auto"/>
      </w:pPr>
      <w:r w:rsidRPr="000F01DF">
        <w:t xml:space="preserve">Home care services were provided to 116,843 </w:t>
      </w:r>
      <w:r w:rsidR="003657B7">
        <w:t>consumer</w:t>
      </w:r>
      <w:r w:rsidR="004D1542">
        <w:t>s</w:t>
      </w:r>
      <w:r w:rsidRPr="000F01DF">
        <w:t xml:space="preserve"> in 2017-18</w:t>
      </w:r>
      <w:r w:rsidRPr="00E93A9C">
        <w:t xml:space="preserve">, </w:t>
      </w:r>
      <w:r w:rsidR="00DF4A73" w:rsidRPr="00E93A9C">
        <w:t>c</w:t>
      </w:r>
      <w:r w:rsidR="00E93A9C" w:rsidRPr="00E93A9C">
        <w:t>ompared with</w:t>
      </w:r>
      <w:r w:rsidRPr="00E93A9C">
        <w:t xml:space="preserve"> </w:t>
      </w:r>
      <w:r w:rsidR="00D4119A" w:rsidRPr="00E93A9C">
        <w:t>97,516</w:t>
      </w:r>
      <w:r w:rsidRPr="00E93A9C">
        <w:t xml:space="preserve"> in 2016-17. The total Government expenditure on home care in 2017-18 was $2</w:t>
      </w:r>
      <w:r w:rsidRPr="000F01DF">
        <w:t xml:space="preserve"> billion dollars, an increase of</w:t>
      </w:r>
      <w:r>
        <w:t xml:space="preserve"> </w:t>
      </w:r>
      <w:r w:rsidRPr="000F01DF">
        <w:t>$400 million from 2016-17. Consumer contributions in home care in 2017-18 were $122</w:t>
      </w:r>
      <w:r>
        <w:t xml:space="preserve"> </w:t>
      </w:r>
      <w:r w:rsidRPr="000F01DF">
        <w:t>m</w:t>
      </w:r>
      <w:r>
        <w:t>illion</w:t>
      </w:r>
      <w:r w:rsidRPr="000F01DF">
        <w:t>.</w:t>
      </w:r>
    </w:p>
    <w:p w:rsidR="00B9468F" w:rsidRDefault="00B9468F" w:rsidP="00840D91">
      <w:pPr>
        <w:spacing w:after="180" w:line="240" w:lineRule="auto"/>
      </w:pPr>
      <w:r>
        <w:t>As at 30 July 2018</w:t>
      </w:r>
      <w:r w:rsidR="008573A5">
        <w:t>,</w:t>
      </w:r>
      <w:r>
        <w:t xml:space="preserve"> there were 873 home care providers. Over half </w:t>
      </w:r>
      <w:r w:rsidR="00840D91">
        <w:t>of all providers</w:t>
      </w:r>
      <w:r>
        <w:t xml:space="preserve"> were not-for-profit. The balance of providers was for-profit (35 per cent) and Government (12</w:t>
      </w:r>
      <w:r w:rsidR="00840D91">
        <w:t> </w:t>
      </w:r>
      <w:r>
        <w:t>per</w:t>
      </w:r>
      <w:r w:rsidR="00840D91">
        <w:t> </w:t>
      </w:r>
      <w:r>
        <w:t>cent). Home care providers mainly serviced metropolitan locations (55 per cent), with 36 per cent operating regionally and 9 per cent operating in both metropolitan and regional locations.</w:t>
      </w:r>
    </w:p>
    <w:p w:rsidR="00B9468F" w:rsidRDefault="00B9468F" w:rsidP="00840D91">
      <w:pPr>
        <w:spacing w:after="180" w:line="240" w:lineRule="auto"/>
      </w:pPr>
      <w:r>
        <w:t>Sixty</w:t>
      </w:r>
      <w:r>
        <w:noBreakHyphen/>
        <w:t>two per cent of home care providers also provide residential care and/or services under the Commonwealth Home Support Program</w:t>
      </w:r>
      <w:r w:rsidR="00840D91">
        <w:t xml:space="preserve"> (CHSP)</w:t>
      </w:r>
      <w:r>
        <w:t>. Many home care providers also provide other services including retirement living, wellbeing and disability services, outreach community health and housing support services.</w:t>
      </w:r>
    </w:p>
    <w:p w:rsidR="00FF3DA2" w:rsidRDefault="00B9468F" w:rsidP="00840D91">
      <w:pPr>
        <w:spacing w:after="180" w:line="240" w:lineRule="auto"/>
        <w:rPr>
          <w:szCs w:val="24"/>
        </w:rPr>
      </w:pPr>
      <w:r w:rsidRPr="000F01DF">
        <w:rPr>
          <w:szCs w:val="24"/>
        </w:rPr>
        <w:t xml:space="preserve">The home care sector has experienced significant growth in recent times, both in </w:t>
      </w:r>
      <w:r>
        <w:rPr>
          <w:szCs w:val="24"/>
        </w:rPr>
        <w:t>terms of Government expenditure</w:t>
      </w:r>
      <w:r w:rsidR="00822FC0">
        <w:rPr>
          <w:szCs w:val="24"/>
        </w:rPr>
        <w:t>,</w:t>
      </w:r>
      <w:r w:rsidR="00A35477">
        <w:rPr>
          <w:szCs w:val="24"/>
        </w:rPr>
        <w:t xml:space="preserve"> </w:t>
      </w:r>
      <w:r w:rsidRPr="000F01DF">
        <w:rPr>
          <w:szCs w:val="24"/>
        </w:rPr>
        <w:t xml:space="preserve">the number </w:t>
      </w:r>
      <w:r>
        <w:rPr>
          <w:szCs w:val="24"/>
        </w:rPr>
        <w:t xml:space="preserve">of </w:t>
      </w:r>
      <w:r w:rsidR="003657B7">
        <w:rPr>
          <w:szCs w:val="24"/>
        </w:rPr>
        <w:t>consumer</w:t>
      </w:r>
      <w:r w:rsidR="004D1542">
        <w:rPr>
          <w:szCs w:val="24"/>
        </w:rPr>
        <w:t>s</w:t>
      </w:r>
      <w:r>
        <w:rPr>
          <w:szCs w:val="24"/>
        </w:rPr>
        <w:t xml:space="preserve"> serviced</w:t>
      </w:r>
      <w:r w:rsidR="00822FC0">
        <w:rPr>
          <w:szCs w:val="24"/>
        </w:rPr>
        <w:t xml:space="preserve"> and an increase in the number of providers servicing the sector</w:t>
      </w:r>
      <w:r w:rsidR="00FF3DA2">
        <w:rPr>
          <w:szCs w:val="24"/>
        </w:rPr>
        <w:t>.</w:t>
      </w:r>
    </w:p>
    <w:p w:rsidR="00B9468F" w:rsidRPr="000F01DF" w:rsidRDefault="00FF3DA2" w:rsidP="00840D91">
      <w:pPr>
        <w:spacing w:after="180" w:line="240" w:lineRule="auto"/>
        <w:rPr>
          <w:szCs w:val="24"/>
        </w:rPr>
      </w:pPr>
      <w:r>
        <w:rPr>
          <w:szCs w:val="24"/>
        </w:rPr>
        <w:t xml:space="preserve">Home care providers are still in the process of adjusting to the introduction of packages following consumers </w:t>
      </w:r>
      <w:r w:rsidR="006F0193">
        <w:rPr>
          <w:szCs w:val="24"/>
        </w:rPr>
        <w:t>(</w:t>
      </w:r>
      <w:r w:rsidR="00822FC0">
        <w:rPr>
          <w:szCs w:val="24"/>
        </w:rPr>
        <w:t>portability of the package</w:t>
      </w:r>
      <w:r w:rsidR="006F0193">
        <w:rPr>
          <w:szCs w:val="24"/>
        </w:rPr>
        <w:t xml:space="preserve">) </w:t>
      </w:r>
      <w:r>
        <w:rPr>
          <w:szCs w:val="24"/>
        </w:rPr>
        <w:t>rather than being allocated to providers. This reform allows c</w:t>
      </w:r>
      <w:r w:rsidR="00521B7F">
        <w:rPr>
          <w:szCs w:val="24"/>
        </w:rPr>
        <w:t>onsumers to direct their care package to the provider of their choice as well as to change providers. The changes have resulted in a large increase in the n</w:t>
      </w:r>
      <w:r w:rsidR="00D4119A">
        <w:rPr>
          <w:szCs w:val="24"/>
        </w:rPr>
        <w:t>umber of approved providers and, in</w:t>
      </w:r>
      <w:r w:rsidR="00521B7F">
        <w:rPr>
          <w:szCs w:val="24"/>
        </w:rPr>
        <w:t xml:space="preserve"> turn</w:t>
      </w:r>
      <w:r w:rsidR="008573A5">
        <w:rPr>
          <w:szCs w:val="24"/>
        </w:rPr>
        <w:t>,</w:t>
      </w:r>
      <w:r w:rsidR="00521B7F">
        <w:rPr>
          <w:szCs w:val="24"/>
        </w:rPr>
        <w:t xml:space="preserve"> greater competition which has resulted i</w:t>
      </w:r>
      <w:r w:rsidR="006A507C">
        <w:rPr>
          <w:szCs w:val="24"/>
        </w:rPr>
        <w:t>n a decline in profit margins</w:t>
      </w:r>
      <w:r w:rsidR="006F0193">
        <w:rPr>
          <w:szCs w:val="24"/>
        </w:rPr>
        <w:t xml:space="preserve"> for individual providers</w:t>
      </w:r>
      <w:r w:rsidR="006A507C">
        <w:rPr>
          <w:szCs w:val="24"/>
        </w:rPr>
        <w:t xml:space="preserve">. </w:t>
      </w:r>
      <w:r w:rsidR="00521B7F">
        <w:rPr>
          <w:szCs w:val="24"/>
        </w:rPr>
        <w:t xml:space="preserve">As noted in ACFA’s 2019 Annual Report, in 2017-18 the Earnings </w:t>
      </w:r>
      <w:proofErr w:type="gramStart"/>
      <w:r w:rsidR="00521B7F">
        <w:rPr>
          <w:szCs w:val="24"/>
        </w:rPr>
        <w:t>Before</w:t>
      </w:r>
      <w:proofErr w:type="gramEnd"/>
      <w:r w:rsidR="00521B7F">
        <w:rPr>
          <w:szCs w:val="24"/>
        </w:rPr>
        <w:t xml:space="preserve"> Interest, Tax, Depreciation and Amortisation (EBITDA) for home care providers fell by over 60 per cent. The preliminary results from the </w:t>
      </w:r>
      <w:proofErr w:type="spellStart"/>
      <w:r w:rsidR="003F5BC0">
        <w:rPr>
          <w:szCs w:val="24"/>
        </w:rPr>
        <w:t>StewartBrown</w:t>
      </w:r>
      <w:proofErr w:type="spellEnd"/>
      <w:r w:rsidR="00521B7F">
        <w:rPr>
          <w:szCs w:val="24"/>
        </w:rPr>
        <w:t xml:space="preserve"> </w:t>
      </w:r>
      <w:r w:rsidR="00BE23A9">
        <w:rPr>
          <w:szCs w:val="24"/>
        </w:rPr>
        <w:t>survey for</w:t>
      </w:r>
      <w:r w:rsidR="00521B7F">
        <w:rPr>
          <w:szCs w:val="24"/>
        </w:rPr>
        <w:t xml:space="preserve"> 2018-19 suggests a further small decline in the financial performance </w:t>
      </w:r>
      <w:r w:rsidR="007504F2">
        <w:rPr>
          <w:szCs w:val="24"/>
        </w:rPr>
        <w:t>of home care providers</w:t>
      </w:r>
      <w:r w:rsidR="008573A5">
        <w:rPr>
          <w:szCs w:val="24"/>
        </w:rPr>
        <w:t>. T</w:t>
      </w:r>
      <w:r w:rsidR="00521B7F">
        <w:rPr>
          <w:szCs w:val="24"/>
        </w:rPr>
        <w:t xml:space="preserve">he large falls in the previous two </w:t>
      </w:r>
      <w:r w:rsidR="008573A5">
        <w:rPr>
          <w:szCs w:val="24"/>
        </w:rPr>
        <w:t>y</w:t>
      </w:r>
      <w:r w:rsidR="00521B7F">
        <w:rPr>
          <w:szCs w:val="24"/>
        </w:rPr>
        <w:t>ears appear to have been arrested.</w:t>
      </w:r>
    </w:p>
    <w:p w:rsidR="00B9468F" w:rsidRPr="00406950" w:rsidRDefault="00B9468F" w:rsidP="003E646C">
      <w:pPr>
        <w:spacing w:after="180" w:line="240" w:lineRule="auto"/>
        <w:rPr>
          <w:rFonts w:cstheme="minorHAnsi"/>
          <w:szCs w:val="24"/>
        </w:rPr>
      </w:pPr>
    </w:p>
    <w:p w:rsidR="00E157AB" w:rsidRDefault="00E157AB" w:rsidP="003E646C">
      <w:pPr>
        <w:spacing w:after="180"/>
        <w:rPr>
          <w:rFonts w:asciiTheme="majorHAnsi" w:eastAsiaTheme="majorEastAsia" w:hAnsiTheme="majorHAnsi" w:cstheme="majorBidi"/>
          <w:color w:val="2E74B5" w:themeColor="accent1" w:themeShade="BF"/>
          <w:sz w:val="32"/>
          <w:szCs w:val="28"/>
        </w:rPr>
      </w:pPr>
      <w:r>
        <w:br w:type="page"/>
      </w:r>
    </w:p>
    <w:p w:rsidR="001079F3" w:rsidRDefault="007504F2" w:rsidP="00840D91">
      <w:pPr>
        <w:pStyle w:val="Heading1"/>
        <w:numPr>
          <w:ilvl w:val="0"/>
          <w:numId w:val="14"/>
        </w:numPr>
        <w:spacing w:before="0" w:after="180"/>
      </w:pPr>
      <w:bookmarkStart w:id="26" w:name="_Ref25312663"/>
      <w:bookmarkStart w:id="27" w:name="_Toc25325886"/>
      <w:bookmarkStart w:id="28" w:name="_Toc25851851"/>
      <w:bookmarkStart w:id="29" w:name="_Toc25938496"/>
      <w:bookmarkStart w:id="30" w:name="_Toc26109059"/>
      <w:bookmarkStart w:id="31" w:name="_Toc26788389"/>
      <w:r>
        <w:lastRenderedPageBreak/>
        <w:t>The</w:t>
      </w:r>
      <w:r w:rsidR="00FB7805">
        <w:t xml:space="preserve"> </w:t>
      </w:r>
      <w:r w:rsidR="002101F1">
        <w:t>i</w:t>
      </w:r>
      <w:r w:rsidR="00FB7805">
        <w:t>mplementation</w:t>
      </w:r>
      <w:bookmarkEnd w:id="26"/>
      <w:bookmarkEnd w:id="27"/>
      <w:bookmarkEnd w:id="28"/>
      <w:bookmarkEnd w:id="29"/>
      <w:r>
        <w:t xml:space="preserve"> timetable being considered by Government</w:t>
      </w:r>
      <w:bookmarkEnd w:id="30"/>
      <w:bookmarkEnd w:id="31"/>
    </w:p>
    <w:p w:rsidR="00FB7805" w:rsidRDefault="00FB7805" w:rsidP="00840D91">
      <w:pPr>
        <w:spacing w:after="180" w:line="240" w:lineRule="auto"/>
        <w:rPr>
          <w:szCs w:val="24"/>
        </w:rPr>
      </w:pPr>
      <w:r w:rsidRPr="00FB7805">
        <w:rPr>
          <w:szCs w:val="24"/>
        </w:rPr>
        <w:t xml:space="preserve">The Budget measure involves home care providers being paid </w:t>
      </w:r>
      <w:r w:rsidR="006F0193">
        <w:rPr>
          <w:szCs w:val="24"/>
        </w:rPr>
        <w:t xml:space="preserve">in arrears </w:t>
      </w:r>
      <w:r w:rsidRPr="00FB7805">
        <w:rPr>
          <w:szCs w:val="24"/>
        </w:rPr>
        <w:t xml:space="preserve">for the services </w:t>
      </w:r>
      <w:r w:rsidR="007504F2">
        <w:rPr>
          <w:szCs w:val="24"/>
        </w:rPr>
        <w:t xml:space="preserve">actually </w:t>
      </w:r>
      <w:r w:rsidRPr="00FB7805">
        <w:rPr>
          <w:szCs w:val="24"/>
        </w:rPr>
        <w:t xml:space="preserve">provided to </w:t>
      </w:r>
      <w:r w:rsidR="003657B7">
        <w:rPr>
          <w:szCs w:val="24"/>
        </w:rPr>
        <w:t>consumer</w:t>
      </w:r>
      <w:r w:rsidRPr="00FB7805">
        <w:rPr>
          <w:szCs w:val="24"/>
        </w:rPr>
        <w:t xml:space="preserve">s. The difference between the full Government </w:t>
      </w:r>
      <w:proofErr w:type="gramStart"/>
      <w:r w:rsidRPr="00FB7805">
        <w:rPr>
          <w:szCs w:val="24"/>
        </w:rPr>
        <w:t>subsidy</w:t>
      </w:r>
      <w:proofErr w:type="gramEnd"/>
      <w:r w:rsidRPr="00FB7805">
        <w:rPr>
          <w:szCs w:val="24"/>
        </w:rPr>
        <w:t xml:space="preserve"> that the </w:t>
      </w:r>
      <w:r w:rsidR="003657B7">
        <w:rPr>
          <w:szCs w:val="24"/>
        </w:rPr>
        <w:t>consumer</w:t>
      </w:r>
      <w:r w:rsidRPr="00FB7805">
        <w:rPr>
          <w:szCs w:val="24"/>
        </w:rPr>
        <w:t xml:space="preserve"> is eligible to receive based on package level and days in care and the cost of the services actually provided to the </w:t>
      </w:r>
      <w:r w:rsidR="003657B7">
        <w:rPr>
          <w:szCs w:val="24"/>
        </w:rPr>
        <w:t>consumer</w:t>
      </w:r>
      <w:r w:rsidRPr="00FB7805">
        <w:rPr>
          <w:szCs w:val="24"/>
        </w:rPr>
        <w:t xml:space="preserve"> will be held by DHS to be drawn upon by the </w:t>
      </w:r>
      <w:r w:rsidR="003657B7">
        <w:rPr>
          <w:szCs w:val="24"/>
        </w:rPr>
        <w:t>consumer</w:t>
      </w:r>
      <w:r w:rsidRPr="00FB7805">
        <w:rPr>
          <w:szCs w:val="24"/>
        </w:rPr>
        <w:t xml:space="preserve"> in future, through the provider. </w:t>
      </w:r>
    </w:p>
    <w:p w:rsidR="00FB7805" w:rsidRDefault="00D82A8D" w:rsidP="00840D91">
      <w:pPr>
        <w:spacing w:after="180" w:line="240" w:lineRule="auto"/>
        <w:rPr>
          <w:szCs w:val="24"/>
        </w:rPr>
      </w:pPr>
      <w:r>
        <w:rPr>
          <w:szCs w:val="24"/>
        </w:rPr>
        <w:t xml:space="preserve">As advised by Health, </w:t>
      </w:r>
      <w:r w:rsidR="007504F2">
        <w:rPr>
          <w:szCs w:val="24"/>
        </w:rPr>
        <w:t>the Government is considering the following three</w:t>
      </w:r>
      <w:r w:rsidR="00440E28">
        <w:rPr>
          <w:szCs w:val="24"/>
        </w:rPr>
        <w:t>-</w:t>
      </w:r>
      <w:r w:rsidR="007504F2">
        <w:rPr>
          <w:szCs w:val="24"/>
        </w:rPr>
        <w:t>phase implementation timetable for the new home care payment arrangements.</w:t>
      </w:r>
    </w:p>
    <w:p w:rsidR="00840D91" w:rsidRPr="008D4119" w:rsidRDefault="00840D91" w:rsidP="00840D91">
      <w:pPr>
        <w:spacing w:after="180" w:line="240" w:lineRule="auto"/>
        <w:rPr>
          <w:szCs w:val="24"/>
        </w:rPr>
      </w:pPr>
    </w:p>
    <w:tbl>
      <w:tblPr>
        <w:tblStyle w:val="TableGrid"/>
        <w:tblW w:w="9067" w:type="dxa"/>
        <w:tblLook w:val="04A0" w:firstRow="1" w:lastRow="0" w:firstColumn="1" w:lastColumn="0" w:noHBand="0" w:noVBand="1"/>
        <w:tblDescription w:val="The following implementation timetable for the new home care payment arrangements. The implementation arrangements will involve three phases."/>
      </w:tblPr>
      <w:tblGrid>
        <w:gridCol w:w="2830"/>
        <w:gridCol w:w="3119"/>
        <w:gridCol w:w="3118"/>
      </w:tblGrid>
      <w:tr w:rsidR="00FB7805" w:rsidRPr="00FB3369" w:rsidTr="00E63712">
        <w:trPr>
          <w:tblHeader/>
        </w:trPr>
        <w:tc>
          <w:tcPr>
            <w:tcW w:w="2830" w:type="dxa"/>
            <w:tcBorders>
              <w:bottom w:val="single" w:sz="4" w:space="0" w:color="auto"/>
            </w:tcBorders>
          </w:tcPr>
          <w:p w:rsidR="00FB7805" w:rsidRPr="002E30B8" w:rsidRDefault="00FB7805" w:rsidP="00136E9B">
            <w:pPr>
              <w:spacing w:before="40" w:after="40"/>
              <w:rPr>
                <w:rFonts w:asciiTheme="minorHAnsi" w:hAnsiTheme="minorHAnsi" w:cstheme="minorHAnsi"/>
                <w:b/>
                <w:sz w:val="20"/>
                <w:szCs w:val="20"/>
              </w:rPr>
            </w:pPr>
            <w:r w:rsidRPr="002E30B8">
              <w:rPr>
                <w:rFonts w:asciiTheme="minorHAnsi" w:hAnsiTheme="minorHAnsi" w:cstheme="minorHAnsi"/>
                <w:b/>
                <w:sz w:val="20"/>
                <w:szCs w:val="20"/>
              </w:rPr>
              <w:t xml:space="preserve">Phase 1 </w:t>
            </w:r>
            <w:r w:rsidR="00875763">
              <w:rPr>
                <w:rFonts w:asciiTheme="minorHAnsi" w:hAnsiTheme="minorHAnsi" w:cstheme="minorHAnsi"/>
                <w:b/>
                <w:sz w:val="20"/>
                <w:szCs w:val="20"/>
              </w:rPr>
              <w:br/>
            </w:r>
            <w:r w:rsidRPr="002E30B8">
              <w:rPr>
                <w:rFonts w:asciiTheme="minorHAnsi" w:hAnsiTheme="minorHAnsi" w:cstheme="minorHAnsi"/>
                <w:b/>
                <w:sz w:val="20"/>
                <w:szCs w:val="20"/>
              </w:rPr>
              <w:t>(</w:t>
            </w:r>
            <w:r>
              <w:rPr>
                <w:rFonts w:asciiTheme="minorHAnsi" w:hAnsiTheme="minorHAnsi" w:cstheme="minorHAnsi"/>
                <w:b/>
                <w:sz w:val="20"/>
                <w:szCs w:val="20"/>
              </w:rPr>
              <w:t xml:space="preserve">to </w:t>
            </w:r>
            <w:r w:rsidRPr="002E30B8">
              <w:rPr>
                <w:rFonts w:asciiTheme="minorHAnsi" w:hAnsiTheme="minorHAnsi" w:cstheme="minorHAnsi"/>
                <w:b/>
                <w:sz w:val="20"/>
                <w:szCs w:val="20"/>
              </w:rPr>
              <w:t>commenc</w:t>
            </w:r>
            <w:r>
              <w:rPr>
                <w:rFonts w:asciiTheme="minorHAnsi" w:hAnsiTheme="minorHAnsi" w:cstheme="minorHAnsi"/>
                <w:b/>
                <w:sz w:val="20"/>
                <w:szCs w:val="20"/>
              </w:rPr>
              <w:t>e in</w:t>
            </w:r>
            <w:r w:rsidRPr="002E30B8">
              <w:rPr>
                <w:rFonts w:asciiTheme="minorHAnsi" w:hAnsiTheme="minorHAnsi" w:cstheme="minorHAnsi"/>
                <w:b/>
                <w:sz w:val="20"/>
                <w:szCs w:val="20"/>
              </w:rPr>
              <w:t xml:space="preserve"> June 2020)</w:t>
            </w:r>
          </w:p>
        </w:tc>
        <w:tc>
          <w:tcPr>
            <w:tcW w:w="3119" w:type="dxa"/>
            <w:tcBorders>
              <w:bottom w:val="single" w:sz="4" w:space="0" w:color="auto"/>
            </w:tcBorders>
          </w:tcPr>
          <w:p w:rsidR="00FB7805" w:rsidRPr="002E30B8" w:rsidRDefault="00FB7805" w:rsidP="00136E9B">
            <w:pPr>
              <w:spacing w:before="40" w:after="40"/>
              <w:rPr>
                <w:rFonts w:asciiTheme="minorHAnsi" w:hAnsiTheme="minorHAnsi" w:cstheme="minorHAnsi"/>
                <w:b/>
                <w:sz w:val="20"/>
                <w:szCs w:val="20"/>
              </w:rPr>
            </w:pPr>
            <w:r w:rsidRPr="002E30B8">
              <w:rPr>
                <w:rFonts w:asciiTheme="minorHAnsi" w:hAnsiTheme="minorHAnsi" w:cstheme="minorHAnsi"/>
                <w:b/>
                <w:sz w:val="20"/>
                <w:szCs w:val="20"/>
              </w:rPr>
              <w:t xml:space="preserve">Phase 2 </w:t>
            </w:r>
            <w:r w:rsidR="00875763">
              <w:rPr>
                <w:rFonts w:asciiTheme="minorHAnsi" w:hAnsiTheme="minorHAnsi" w:cstheme="minorHAnsi"/>
                <w:b/>
                <w:sz w:val="20"/>
                <w:szCs w:val="20"/>
              </w:rPr>
              <w:br/>
            </w:r>
            <w:r w:rsidRPr="002E30B8">
              <w:rPr>
                <w:rFonts w:asciiTheme="minorHAnsi" w:hAnsiTheme="minorHAnsi" w:cstheme="minorHAnsi"/>
                <w:b/>
                <w:sz w:val="20"/>
                <w:szCs w:val="20"/>
              </w:rPr>
              <w:t>(</w:t>
            </w:r>
            <w:r>
              <w:rPr>
                <w:rFonts w:asciiTheme="minorHAnsi" w:hAnsiTheme="minorHAnsi" w:cstheme="minorHAnsi"/>
                <w:b/>
                <w:sz w:val="20"/>
                <w:szCs w:val="20"/>
              </w:rPr>
              <w:t xml:space="preserve">to </w:t>
            </w:r>
            <w:r w:rsidRPr="002E30B8">
              <w:rPr>
                <w:rFonts w:asciiTheme="minorHAnsi" w:hAnsiTheme="minorHAnsi" w:cstheme="minorHAnsi"/>
                <w:b/>
                <w:sz w:val="20"/>
                <w:szCs w:val="20"/>
              </w:rPr>
              <w:t>commenc</w:t>
            </w:r>
            <w:r>
              <w:rPr>
                <w:rFonts w:asciiTheme="minorHAnsi" w:hAnsiTheme="minorHAnsi" w:cstheme="minorHAnsi"/>
                <w:b/>
                <w:sz w:val="20"/>
                <w:szCs w:val="20"/>
              </w:rPr>
              <w:t>e</w:t>
            </w:r>
            <w:r w:rsidRPr="002E30B8">
              <w:rPr>
                <w:rFonts w:asciiTheme="minorHAnsi" w:hAnsiTheme="minorHAnsi" w:cstheme="minorHAnsi"/>
                <w:b/>
                <w:sz w:val="20"/>
                <w:szCs w:val="20"/>
              </w:rPr>
              <w:t xml:space="preserve"> </w:t>
            </w:r>
            <w:r>
              <w:rPr>
                <w:rFonts w:asciiTheme="minorHAnsi" w:hAnsiTheme="minorHAnsi" w:cstheme="minorHAnsi"/>
                <w:b/>
                <w:sz w:val="20"/>
                <w:szCs w:val="20"/>
              </w:rPr>
              <w:t xml:space="preserve">in </w:t>
            </w:r>
            <w:r w:rsidRPr="002E30B8">
              <w:rPr>
                <w:rFonts w:asciiTheme="minorHAnsi" w:hAnsiTheme="minorHAnsi" w:cstheme="minorHAnsi"/>
                <w:b/>
                <w:sz w:val="20"/>
                <w:szCs w:val="20"/>
              </w:rPr>
              <w:t>April 2021)</w:t>
            </w:r>
          </w:p>
        </w:tc>
        <w:tc>
          <w:tcPr>
            <w:tcW w:w="3118" w:type="dxa"/>
            <w:tcBorders>
              <w:bottom w:val="single" w:sz="4" w:space="0" w:color="auto"/>
            </w:tcBorders>
          </w:tcPr>
          <w:p w:rsidR="00FB7805" w:rsidRPr="002E30B8" w:rsidRDefault="00FB7805" w:rsidP="0096519A">
            <w:pPr>
              <w:spacing w:before="40" w:after="40"/>
              <w:rPr>
                <w:rFonts w:asciiTheme="minorHAnsi" w:hAnsiTheme="minorHAnsi" w:cstheme="minorHAnsi"/>
                <w:b/>
                <w:sz w:val="20"/>
                <w:szCs w:val="20"/>
              </w:rPr>
            </w:pPr>
            <w:r>
              <w:rPr>
                <w:rFonts w:asciiTheme="minorHAnsi" w:hAnsiTheme="minorHAnsi" w:cstheme="minorHAnsi"/>
                <w:b/>
                <w:sz w:val="20"/>
                <w:szCs w:val="20"/>
              </w:rPr>
              <w:t xml:space="preserve">Phase 3 </w:t>
            </w:r>
            <w:r w:rsidR="00875763">
              <w:rPr>
                <w:rFonts w:asciiTheme="minorHAnsi" w:hAnsiTheme="minorHAnsi" w:cstheme="minorHAnsi"/>
                <w:b/>
                <w:sz w:val="20"/>
                <w:szCs w:val="20"/>
              </w:rPr>
              <w:br/>
            </w:r>
            <w:r>
              <w:rPr>
                <w:rFonts w:asciiTheme="minorHAnsi" w:hAnsiTheme="minorHAnsi" w:cstheme="minorHAnsi"/>
                <w:b/>
                <w:sz w:val="20"/>
                <w:szCs w:val="20"/>
              </w:rPr>
              <w:t>(</w:t>
            </w:r>
            <w:r w:rsidR="00875763">
              <w:rPr>
                <w:rFonts w:asciiTheme="minorHAnsi" w:hAnsiTheme="minorHAnsi" w:cstheme="minorHAnsi"/>
                <w:b/>
                <w:sz w:val="20"/>
                <w:szCs w:val="20"/>
              </w:rPr>
              <w:t xml:space="preserve">to </w:t>
            </w:r>
            <w:r w:rsidR="00E157AB">
              <w:rPr>
                <w:rFonts w:asciiTheme="minorHAnsi" w:hAnsiTheme="minorHAnsi" w:cstheme="minorHAnsi"/>
                <w:b/>
                <w:sz w:val="20"/>
                <w:szCs w:val="20"/>
              </w:rPr>
              <w:t>commenc</w:t>
            </w:r>
            <w:r w:rsidR="00875763">
              <w:rPr>
                <w:rFonts w:asciiTheme="minorHAnsi" w:hAnsiTheme="minorHAnsi" w:cstheme="minorHAnsi"/>
                <w:b/>
                <w:sz w:val="20"/>
                <w:szCs w:val="20"/>
              </w:rPr>
              <w:t>e in</w:t>
            </w:r>
            <w:r w:rsidR="00E157AB">
              <w:rPr>
                <w:rFonts w:asciiTheme="minorHAnsi" w:hAnsiTheme="minorHAnsi" w:cstheme="minorHAnsi"/>
                <w:b/>
                <w:sz w:val="20"/>
                <w:szCs w:val="20"/>
              </w:rPr>
              <w:t xml:space="preserve"> April 202</w:t>
            </w:r>
            <w:r w:rsidR="0096519A">
              <w:rPr>
                <w:rFonts w:asciiTheme="minorHAnsi" w:hAnsiTheme="minorHAnsi" w:cstheme="minorHAnsi"/>
                <w:b/>
                <w:sz w:val="20"/>
                <w:szCs w:val="20"/>
              </w:rPr>
              <w:t>1</w:t>
            </w:r>
            <w:r>
              <w:rPr>
                <w:rFonts w:asciiTheme="minorHAnsi" w:hAnsiTheme="minorHAnsi" w:cstheme="minorHAnsi"/>
                <w:b/>
                <w:sz w:val="20"/>
                <w:szCs w:val="20"/>
              </w:rPr>
              <w:t>)</w:t>
            </w:r>
          </w:p>
        </w:tc>
      </w:tr>
      <w:tr w:rsidR="00FB7805" w:rsidRPr="00BD5FE2" w:rsidTr="00E63712">
        <w:trPr>
          <w:trHeight w:val="1715"/>
        </w:trPr>
        <w:tc>
          <w:tcPr>
            <w:tcW w:w="2830" w:type="dxa"/>
            <w:tcBorders>
              <w:bottom w:val="dashed" w:sz="4" w:space="0" w:color="auto"/>
            </w:tcBorders>
          </w:tcPr>
          <w:p w:rsidR="00FB7805" w:rsidRPr="00BD5FE2" w:rsidRDefault="00FB7805" w:rsidP="00BD5FE2">
            <w:pPr>
              <w:keepNext/>
              <w:spacing w:before="120"/>
              <w:rPr>
                <w:rFonts w:asciiTheme="minorHAnsi" w:hAnsiTheme="minorHAnsi" w:cstheme="minorHAnsi"/>
                <w:b/>
                <w:sz w:val="20"/>
                <w:szCs w:val="20"/>
              </w:rPr>
            </w:pPr>
            <w:r w:rsidRPr="00BD5FE2">
              <w:rPr>
                <w:rFonts w:asciiTheme="minorHAnsi" w:hAnsiTheme="minorHAnsi" w:cstheme="minorHAnsi"/>
                <w:sz w:val="20"/>
                <w:szCs w:val="20"/>
              </w:rPr>
              <w:t>Subsidies and supplements will be paid in arrears at the full rate of subsidy based on package level and days in care, through the usual monthly claim.</w:t>
            </w:r>
          </w:p>
        </w:tc>
        <w:tc>
          <w:tcPr>
            <w:tcW w:w="3119" w:type="dxa"/>
            <w:tcBorders>
              <w:bottom w:val="dashed" w:sz="4" w:space="0" w:color="auto"/>
            </w:tcBorders>
          </w:tcPr>
          <w:p w:rsidR="00FB7805" w:rsidRPr="00BD5FE2" w:rsidRDefault="00FB7805" w:rsidP="00E157AB">
            <w:pPr>
              <w:keepNext/>
              <w:spacing w:before="120"/>
              <w:rPr>
                <w:rFonts w:asciiTheme="minorHAnsi" w:hAnsiTheme="minorHAnsi" w:cstheme="minorHAnsi"/>
                <w:sz w:val="20"/>
                <w:szCs w:val="20"/>
              </w:rPr>
            </w:pPr>
            <w:r w:rsidRPr="00BD5FE2">
              <w:rPr>
                <w:rFonts w:asciiTheme="minorHAnsi" w:hAnsiTheme="minorHAnsi" w:cstheme="minorHAnsi"/>
                <w:sz w:val="20"/>
                <w:szCs w:val="20"/>
              </w:rPr>
              <w:t xml:space="preserve">Payments will be based on services provided to </w:t>
            </w:r>
            <w:r w:rsidR="003657B7">
              <w:rPr>
                <w:rFonts w:asciiTheme="minorHAnsi" w:hAnsiTheme="minorHAnsi" w:cstheme="minorHAnsi"/>
                <w:sz w:val="20"/>
                <w:szCs w:val="20"/>
              </w:rPr>
              <w:t>consumer</w:t>
            </w:r>
            <w:r w:rsidRPr="00BD5FE2">
              <w:rPr>
                <w:rFonts w:asciiTheme="minorHAnsi" w:hAnsiTheme="minorHAnsi" w:cstheme="minorHAnsi"/>
                <w:sz w:val="20"/>
                <w:szCs w:val="20"/>
              </w:rPr>
              <w:t xml:space="preserve">s and unspent funds will be held by the Government. </w:t>
            </w:r>
          </w:p>
          <w:p w:rsidR="00FB7805" w:rsidRPr="00BD5FE2" w:rsidRDefault="00FB7805" w:rsidP="00BD5FE2">
            <w:pPr>
              <w:keepNext/>
              <w:rPr>
                <w:rFonts w:cstheme="minorHAnsi"/>
              </w:rPr>
            </w:pPr>
          </w:p>
        </w:tc>
        <w:tc>
          <w:tcPr>
            <w:tcW w:w="3118" w:type="dxa"/>
            <w:tcBorders>
              <w:bottom w:val="dashed" w:sz="4" w:space="0" w:color="auto"/>
            </w:tcBorders>
          </w:tcPr>
          <w:p w:rsidR="00FB7805" w:rsidRPr="00BD5FE2" w:rsidRDefault="00FB7805" w:rsidP="00E157AB">
            <w:pPr>
              <w:keepNext/>
              <w:spacing w:before="120"/>
              <w:rPr>
                <w:rFonts w:asciiTheme="minorHAnsi" w:hAnsiTheme="minorHAnsi" w:cstheme="minorHAnsi"/>
                <w:sz w:val="20"/>
                <w:szCs w:val="20"/>
              </w:rPr>
            </w:pPr>
            <w:r w:rsidRPr="00BD5FE2">
              <w:rPr>
                <w:rFonts w:asciiTheme="minorHAnsi" w:hAnsiTheme="minorHAnsi" w:cstheme="minorHAnsi"/>
                <w:sz w:val="20"/>
                <w:szCs w:val="20"/>
              </w:rPr>
              <w:t xml:space="preserve">Commencing with the March 2021 claim lodged in April, DHS will reduce a payment for a </w:t>
            </w:r>
            <w:r w:rsidR="003657B7">
              <w:rPr>
                <w:rFonts w:asciiTheme="minorHAnsi" w:hAnsiTheme="minorHAnsi" w:cstheme="minorHAnsi"/>
                <w:sz w:val="20"/>
                <w:szCs w:val="20"/>
              </w:rPr>
              <w:t>consumer</w:t>
            </w:r>
            <w:r w:rsidRPr="00BD5FE2">
              <w:rPr>
                <w:rFonts w:asciiTheme="minorHAnsi" w:hAnsiTheme="minorHAnsi" w:cstheme="minorHAnsi"/>
                <w:sz w:val="20"/>
                <w:szCs w:val="20"/>
              </w:rPr>
              <w:t xml:space="preserve"> by a portion of the available funds held by the provider for that </w:t>
            </w:r>
            <w:r w:rsidR="003657B7">
              <w:rPr>
                <w:rFonts w:asciiTheme="minorHAnsi" w:hAnsiTheme="minorHAnsi" w:cstheme="minorHAnsi"/>
                <w:sz w:val="20"/>
                <w:szCs w:val="20"/>
              </w:rPr>
              <w:t>consumer</w:t>
            </w:r>
            <w:r w:rsidRPr="00BD5FE2">
              <w:rPr>
                <w:rFonts w:asciiTheme="minorHAnsi" w:hAnsiTheme="minorHAnsi" w:cstheme="minorHAnsi"/>
                <w:sz w:val="20"/>
                <w:szCs w:val="20"/>
              </w:rPr>
              <w:t>.</w:t>
            </w:r>
          </w:p>
        </w:tc>
      </w:tr>
      <w:tr w:rsidR="00FB7805" w:rsidTr="00E63712">
        <w:trPr>
          <w:trHeight w:val="6336"/>
        </w:trPr>
        <w:tc>
          <w:tcPr>
            <w:tcW w:w="2830" w:type="dxa"/>
            <w:tcBorders>
              <w:top w:val="dashed" w:sz="4" w:space="0" w:color="auto"/>
            </w:tcBorders>
          </w:tcPr>
          <w:p w:rsidR="00FB7805" w:rsidRPr="002E30B8" w:rsidRDefault="00E157AB" w:rsidP="00E63712">
            <w:pPr>
              <w:tabs>
                <w:tab w:val="left" w:pos="458"/>
              </w:tabs>
              <w:spacing w:before="120" w:after="120"/>
              <w:rPr>
                <w:rFonts w:asciiTheme="minorHAnsi" w:hAnsiTheme="minorHAnsi" w:cstheme="minorHAnsi"/>
                <w:b/>
                <w:sz w:val="20"/>
                <w:szCs w:val="20"/>
              </w:rPr>
            </w:pPr>
            <w:r>
              <w:rPr>
                <w:rFonts w:asciiTheme="minorHAnsi" w:hAnsiTheme="minorHAnsi" w:cstheme="minorHAnsi"/>
                <w:b/>
                <w:sz w:val="20"/>
                <w:szCs w:val="20"/>
              </w:rPr>
              <w:tab/>
            </w:r>
            <w:r w:rsidR="00FB7805" w:rsidRPr="002E30B8">
              <w:rPr>
                <w:rFonts w:asciiTheme="minorHAnsi" w:hAnsiTheme="minorHAnsi" w:cstheme="minorHAnsi"/>
                <w:b/>
                <w:sz w:val="20"/>
                <w:szCs w:val="20"/>
              </w:rPr>
              <w:t>Practical application</w:t>
            </w:r>
          </w:p>
          <w:p w:rsidR="00FB7805" w:rsidRPr="002E30B8" w:rsidRDefault="00FB7805" w:rsidP="00E63712">
            <w:pPr>
              <w:pStyle w:val="ListParagraph"/>
              <w:numPr>
                <w:ilvl w:val="0"/>
                <w:numId w:val="11"/>
              </w:numPr>
              <w:tabs>
                <w:tab w:val="left" w:pos="317"/>
              </w:tabs>
              <w:spacing w:before="120" w:after="120"/>
              <w:ind w:left="317" w:hanging="317"/>
              <w:rPr>
                <w:rFonts w:asciiTheme="minorHAnsi" w:hAnsiTheme="minorHAnsi" w:cstheme="minorHAnsi"/>
                <w:sz w:val="20"/>
                <w:szCs w:val="20"/>
              </w:rPr>
            </w:pPr>
            <w:r w:rsidRPr="00E9438D">
              <w:rPr>
                <w:rFonts w:asciiTheme="minorHAnsi" w:hAnsiTheme="minorHAnsi" w:cstheme="minorHAnsi"/>
                <w:sz w:val="20"/>
                <w:szCs w:val="20"/>
              </w:rPr>
              <w:t>The ‘advance’ payment made at the start of May 2020, for the month of May, will be the last ‘advance’ payment</w:t>
            </w:r>
            <w:r>
              <w:rPr>
                <w:rFonts w:asciiTheme="minorHAnsi" w:hAnsiTheme="minorHAnsi" w:cstheme="minorHAnsi"/>
                <w:sz w:val="20"/>
                <w:szCs w:val="20"/>
              </w:rPr>
              <w:t xml:space="preserve"> made.</w:t>
            </w:r>
          </w:p>
          <w:p w:rsidR="00FB7805" w:rsidRPr="002E30B8" w:rsidRDefault="00FB7805" w:rsidP="00E63712">
            <w:pPr>
              <w:pStyle w:val="ListParagraph"/>
              <w:numPr>
                <w:ilvl w:val="0"/>
                <w:numId w:val="11"/>
              </w:numPr>
              <w:tabs>
                <w:tab w:val="left" w:pos="317"/>
              </w:tabs>
              <w:spacing w:before="120" w:after="120"/>
              <w:ind w:left="317" w:hanging="317"/>
              <w:rPr>
                <w:rFonts w:asciiTheme="minorHAnsi" w:hAnsiTheme="minorHAnsi" w:cstheme="minorHAnsi"/>
                <w:sz w:val="20"/>
                <w:szCs w:val="20"/>
              </w:rPr>
            </w:pPr>
            <w:r w:rsidRPr="002E30B8">
              <w:rPr>
                <w:rFonts w:asciiTheme="minorHAnsi" w:hAnsiTheme="minorHAnsi" w:cstheme="minorHAnsi"/>
                <w:sz w:val="20"/>
                <w:szCs w:val="20"/>
              </w:rPr>
              <w:t>Providers will</w:t>
            </w:r>
            <w:r>
              <w:rPr>
                <w:rFonts w:asciiTheme="minorHAnsi" w:hAnsiTheme="minorHAnsi" w:cstheme="minorHAnsi"/>
                <w:sz w:val="20"/>
                <w:szCs w:val="20"/>
              </w:rPr>
              <w:t xml:space="preserve"> then</w:t>
            </w:r>
            <w:r w:rsidRPr="002E30B8">
              <w:rPr>
                <w:rFonts w:asciiTheme="minorHAnsi" w:hAnsiTheme="minorHAnsi" w:cstheme="minorHAnsi"/>
                <w:sz w:val="20"/>
                <w:szCs w:val="20"/>
              </w:rPr>
              <w:t xml:space="preserve"> lodge their May claim in June</w:t>
            </w:r>
            <w:r>
              <w:rPr>
                <w:rFonts w:asciiTheme="minorHAnsi" w:hAnsiTheme="minorHAnsi" w:cstheme="minorHAnsi"/>
                <w:sz w:val="20"/>
                <w:szCs w:val="20"/>
              </w:rPr>
              <w:t xml:space="preserve"> as per normal</w:t>
            </w:r>
            <w:r w:rsidRPr="002E30B8">
              <w:rPr>
                <w:rFonts w:asciiTheme="minorHAnsi" w:hAnsiTheme="minorHAnsi" w:cstheme="minorHAnsi"/>
                <w:sz w:val="20"/>
                <w:szCs w:val="20"/>
              </w:rPr>
              <w:t>. The usual reconciliation will occur</w:t>
            </w:r>
            <w:r>
              <w:rPr>
                <w:rFonts w:asciiTheme="minorHAnsi" w:hAnsiTheme="minorHAnsi" w:cstheme="minorHAnsi"/>
                <w:sz w:val="20"/>
                <w:szCs w:val="20"/>
              </w:rPr>
              <w:t xml:space="preserve"> for the month of May</w:t>
            </w:r>
            <w:r w:rsidRPr="002E30B8">
              <w:rPr>
                <w:rFonts w:asciiTheme="minorHAnsi" w:hAnsiTheme="minorHAnsi" w:cstheme="minorHAnsi"/>
                <w:sz w:val="20"/>
                <w:szCs w:val="20"/>
              </w:rPr>
              <w:t>.</w:t>
            </w:r>
          </w:p>
          <w:p w:rsidR="00FB7805" w:rsidRPr="002E30B8" w:rsidRDefault="00FB7805" w:rsidP="00E63712">
            <w:pPr>
              <w:pStyle w:val="ListParagraph"/>
              <w:numPr>
                <w:ilvl w:val="0"/>
                <w:numId w:val="11"/>
              </w:numPr>
              <w:tabs>
                <w:tab w:val="left" w:pos="317"/>
              </w:tabs>
              <w:spacing w:before="120" w:after="120"/>
              <w:ind w:left="317" w:hanging="317"/>
              <w:rPr>
                <w:rFonts w:asciiTheme="minorHAnsi" w:hAnsiTheme="minorHAnsi" w:cstheme="minorHAnsi"/>
                <w:sz w:val="20"/>
                <w:szCs w:val="20"/>
              </w:rPr>
            </w:pPr>
            <w:r w:rsidRPr="002E30B8">
              <w:rPr>
                <w:rFonts w:asciiTheme="minorHAnsi" w:hAnsiTheme="minorHAnsi" w:cstheme="minorHAnsi"/>
                <w:sz w:val="20"/>
                <w:szCs w:val="20"/>
              </w:rPr>
              <w:t xml:space="preserve">There will not be an </w:t>
            </w:r>
            <w:r>
              <w:rPr>
                <w:rFonts w:asciiTheme="minorHAnsi" w:hAnsiTheme="minorHAnsi" w:cstheme="minorHAnsi"/>
                <w:sz w:val="20"/>
                <w:szCs w:val="20"/>
              </w:rPr>
              <w:t>‘</w:t>
            </w:r>
            <w:r w:rsidRPr="002E30B8">
              <w:rPr>
                <w:rFonts w:asciiTheme="minorHAnsi" w:hAnsiTheme="minorHAnsi" w:cstheme="minorHAnsi"/>
                <w:sz w:val="20"/>
                <w:szCs w:val="20"/>
              </w:rPr>
              <w:t>advance</w:t>
            </w:r>
            <w:r>
              <w:rPr>
                <w:rFonts w:asciiTheme="minorHAnsi" w:hAnsiTheme="minorHAnsi" w:cstheme="minorHAnsi"/>
                <w:sz w:val="20"/>
                <w:szCs w:val="20"/>
              </w:rPr>
              <w:t>’</w:t>
            </w:r>
            <w:r w:rsidRPr="002E30B8">
              <w:rPr>
                <w:rFonts w:asciiTheme="minorHAnsi" w:hAnsiTheme="minorHAnsi" w:cstheme="minorHAnsi"/>
                <w:sz w:val="20"/>
                <w:szCs w:val="20"/>
              </w:rPr>
              <w:t xml:space="preserve"> payment at the start of June (or any subsequent month).</w:t>
            </w:r>
          </w:p>
          <w:p w:rsidR="00FB7805" w:rsidRPr="002E30B8" w:rsidRDefault="00FB7805" w:rsidP="00E63712">
            <w:pPr>
              <w:pStyle w:val="ListParagraph"/>
              <w:numPr>
                <w:ilvl w:val="0"/>
                <w:numId w:val="11"/>
              </w:numPr>
              <w:tabs>
                <w:tab w:val="left" w:pos="317"/>
              </w:tabs>
              <w:spacing w:before="120" w:after="120"/>
              <w:ind w:left="317" w:hanging="317"/>
              <w:rPr>
                <w:rFonts w:asciiTheme="minorHAnsi" w:hAnsiTheme="minorHAnsi" w:cstheme="minorHAnsi"/>
                <w:sz w:val="20"/>
                <w:szCs w:val="20"/>
              </w:rPr>
            </w:pPr>
            <w:r w:rsidRPr="002E30B8">
              <w:rPr>
                <w:rFonts w:asciiTheme="minorHAnsi" w:hAnsiTheme="minorHAnsi" w:cstheme="minorHAnsi"/>
                <w:sz w:val="20"/>
                <w:szCs w:val="20"/>
              </w:rPr>
              <w:t xml:space="preserve">In July, providers will lodge </w:t>
            </w:r>
            <w:r>
              <w:rPr>
                <w:rFonts w:asciiTheme="minorHAnsi" w:hAnsiTheme="minorHAnsi" w:cstheme="minorHAnsi"/>
                <w:sz w:val="20"/>
                <w:szCs w:val="20"/>
              </w:rPr>
              <w:t>their</w:t>
            </w:r>
            <w:r w:rsidRPr="002E30B8">
              <w:rPr>
                <w:rFonts w:asciiTheme="minorHAnsi" w:hAnsiTheme="minorHAnsi" w:cstheme="minorHAnsi"/>
                <w:sz w:val="20"/>
                <w:szCs w:val="20"/>
              </w:rPr>
              <w:t xml:space="preserve"> claim </w:t>
            </w:r>
            <w:r>
              <w:rPr>
                <w:rFonts w:asciiTheme="minorHAnsi" w:hAnsiTheme="minorHAnsi" w:cstheme="minorHAnsi"/>
                <w:sz w:val="20"/>
                <w:szCs w:val="20"/>
              </w:rPr>
              <w:t xml:space="preserve">for June </w:t>
            </w:r>
            <w:r w:rsidRPr="002E30B8">
              <w:rPr>
                <w:rFonts w:asciiTheme="minorHAnsi" w:hAnsiTheme="minorHAnsi" w:cstheme="minorHAnsi"/>
                <w:sz w:val="20"/>
                <w:szCs w:val="20"/>
              </w:rPr>
              <w:t xml:space="preserve">and receive payment of the full </w:t>
            </w:r>
            <w:r>
              <w:rPr>
                <w:rFonts w:asciiTheme="minorHAnsi" w:hAnsiTheme="minorHAnsi" w:cstheme="minorHAnsi"/>
                <w:sz w:val="20"/>
                <w:szCs w:val="20"/>
              </w:rPr>
              <w:t>subsidy</w:t>
            </w:r>
            <w:r w:rsidRPr="002E30B8">
              <w:rPr>
                <w:rFonts w:asciiTheme="minorHAnsi" w:hAnsiTheme="minorHAnsi" w:cstheme="minorHAnsi"/>
                <w:sz w:val="20"/>
                <w:szCs w:val="20"/>
              </w:rPr>
              <w:t xml:space="preserve"> for which each </w:t>
            </w:r>
            <w:r w:rsidR="003657B7">
              <w:rPr>
                <w:rFonts w:asciiTheme="minorHAnsi" w:hAnsiTheme="minorHAnsi" w:cstheme="minorHAnsi"/>
                <w:sz w:val="20"/>
                <w:szCs w:val="20"/>
              </w:rPr>
              <w:t>consumer</w:t>
            </w:r>
            <w:r w:rsidRPr="002E30B8">
              <w:rPr>
                <w:rFonts w:asciiTheme="minorHAnsi" w:hAnsiTheme="minorHAnsi" w:cstheme="minorHAnsi"/>
                <w:sz w:val="20"/>
                <w:szCs w:val="20"/>
              </w:rPr>
              <w:t xml:space="preserve"> is eligible</w:t>
            </w:r>
            <w:r>
              <w:rPr>
                <w:rFonts w:asciiTheme="minorHAnsi" w:hAnsiTheme="minorHAnsi" w:cstheme="minorHAnsi"/>
                <w:sz w:val="20"/>
                <w:szCs w:val="20"/>
              </w:rPr>
              <w:t xml:space="preserve"> (i.e. based on their full entitlement and number of days in care)</w:t>
            </w:r>
            <w:r w:rsidRPr="002E30B8">
              <w:rPr>
                <w:rFonts w:asciiTheme="minorHAnsi" w:hAnsiTheme="minorHAnsi" w:cstheme="minorHAnsi"/>
                <w:sz w:val="20"/>
                <w:szCs w:val="20"/>
              </w:rPr>
              <w:t>.</w:t>
            </w:r>
          </w:p>
        </w:tc>
        <w:tc>
          <w:tcPr>
            <w:tcW w:w="3119" w:type="dxa"/>
            <w:tcBorders>
              <w:top w:val="dashed" w:sz="4" w:space="0" w:color="auto"/>
            </w:tcBorders>
          </w:tcPr>
          <w:p w:rsidR="00FB7805" w:rsidRPr="002E30B8" w:rsidRDefault="00FB7805" w:rsidP="00136E9B">
            <w:pPr>
              <w:spacing w:before="120" w:after="120"/>
              <w:ind w:left="482"/>
              <w:rPr>
                <w:rFonts w:asciiTheme="minorHAnsi" w:hAnsiTheme="minorHAnsi" w:cstheme="minorHAnsi"/>
                <w:b/>
                <w:sz w:val="20"/>
                <w:szCs w:val="20"/>
              </w:rPr>
            </w:pPr>
            <w:r w:rsidRPr="002E30B8">
              <w:rPr>
                <w:rFonts w:asciiTheme="minorHAnsi" w:hAnsiTheme="minorHAnsi" w:cstheme="minorHAnsi"/>
                <w:b/>
                <w:sz w:val="20"/>
                <w:szCs w:val="20"/>
              </w:rPr>
              <w:t>Practical application</w:t>
            </w:r>
          </w:p>
          <w:p w:rsidR="00FB7805" w:rsidRPr="002E30B8" w:rsidRDefault="00FB7805" w:rsidP="00E63712">
            <w:pPr>
              <w:pStyle w:val="ListParagraph"/>
              <w:numPr>
                <w:ilvl w:val="0"/>
                <w:numId w:val="10"/>
              </w:numPr>
              <w:ind w:left="312" w:hanging="284"/>
              <w:rPr>
                <w:rFonts w:asciiTheme="minorHAnsi" w:hAnsiTheme="minorHAnsi" w:cstheme="minorHAnsi"/>
                <w:sz w:val="20"/>
                <w:szCs w:val="20"/>
              </w:rPr>
            </w:pPr>
            <w:proofErr w:type="gramStart"/>
            <w:r w:rsidRPr="002E30B8">
              <w:rPr>
                <w:rFonts w:asciiTheme="minorHAnsi" w:hAnsiTheme="minorHAnsi" w:cstheme="minorHAnsi"/>
                <w:sz w:val="20"/>
                <w:szCs w:val="20"/>
              </w:rPr>
              <w:t>Providers</w:t>
            </w:r>
            <w:proofErr w:type="gramEnd"/>
            <w:r w:rsidRPr="002E30B8">
              <w:rPr>
                <w:rFonts w:asciiTheme="minorHAnsi" w:hAnsiTheme="minorHAnsi" w:cstheme="minorHAnsi"/>
                <w:sz w:val="20"/>
                <w:szCs w:val="20"/>
              </w:rPr>
              <w:t xml:space="preserve"> lodge their March claim in April based on the amount of services provided for each </w:t>
            </w:r>
            <w:r w:rsidR="003657B7">
              <w:rPr>
                <w:rFonts w:asciiTheme="minorHAnsi" w:hAnsiTheme="minorHAnsi" w:cstheme="minorHAnsi"/>
                <w:sz w:val="20"/>
                <w:szCs w:val="20"/>
              </w:rPr>
              <w:t>consumer</w:t>
            </w:r>
            <w:r>
              <w:rPr>
                <w:rFonts w:asciiTheme="minorHAnsi" w:hAnsiTheme="minorHAnsi" w:cstheme="minorHAnsi"/>
                <w:sz w:val="20"/>
                <w:szCs w:val="20"/>
              </w:rPr>
              <w:t xml:space="preserve"> in March</w:t>
            </w:r>
            <w:r w:rsidRPr="002E30B8">
              <w:rPr>
                <w:rFonts w:asciiTheme="minorHAnsi" w:hAnsiTheme="minorHAnsi" w:cstheme="minorHAnsi"/>
                <w:sz w:val="20"/>
                <w:szCs w:val="20"/>
              </w:rPr>
              <w:t xml:space="preserve">. </w:t>
            </w:r>
          </w:p>
          <w:p w:rsidR="00FB7805" w:rsidRPr="002E30B8" w:rsidRDefault="00FB7805" w:rsidP="00E63712">
            <w:pPr>
              <w:pStyle w:val="ListParagraph"/>
              <w:numPr>
                <w:ilvl w:val="0"/>
                <w:numId w:val="10"/>
              </w:numPr>
              <w:ind w:left="312" w:hanging="284"/>
              <w:rPr>
                <w:rFonts w:asciiTheme="minorHAnsi" w:hAnsiTheme="minorHAnsi" w:cstheme="minorHAnsi"/>
                <w:sz w:val="20"/>
                <w:szCs w:val="20"/>
              </w:rPr>
            </w:pPr>
            <w:r w:rsidRPr="002E30B8">
              <w:rPr>
                <w:rFonts w:asciiTheme="minorHAnsi" w:hAnsiTheme="minorHAnsi" w:cstheme="minorHAnsi"/>
                <w:sz w:val="20"/>
                <w:szCs w:val="20"/>
              </w:rPr>
              <w:t xml:space="preserve">DHS determines the amount to be paid for each </w:t>
            </w:r>
            <w:r w:rsidR="003657B7">
              <w:rPr>
                <w:rFonts w:asciiTheme="minorHAnsi" w:hAnsiTheme="minorHAnsi" w:cstheme="minorHAnsi"/>
                <w:sz w:val="20"/>
                <w:szCs w:val="20"/>
              </w:rPr>
              <w:t>consumer</w:t>
            </w:r>
            <w:r w:rsidRPr="002E30B8">
              <w:rPr>
                <w:rFonts w:asciiTheme="minorHAnsi" w:hAnsiTheme="minorHAnsi" w:cstheme="minorHAnsi"/>
                <w:sz w:val="20"/>
                <w:szCs w:val="20"/>
              </w:rPr>
              <w:t xml:space="preserve"> considering:</w:t>
            </w:r>
          </w:p>
          <w:p w:rsidR="00FB7805" w:rsidRDefault="00FB7805" w:rsidP="00E63712">
            <w:pPr>
              <w:pStyle w:val="ListParagraph"/>
              <w:numPr>
                <w:ilvl w:val="1"/>
                <w:numId w:val="10"/>
              </w:numPr>
              <w:ind w:left="595" w:hanging="284"/>
              <w:rPr>
                <w:rFonts w:asciiTheme="minorHAnsi" w:hAnsiTheme="minorHAnsi" w:cstheme="minorHAnsi"/>
                <w:sz w:val="20"/>
                <w:szCs w:val="20"/>
              </w:rPr>
            </w:pPr>
            <w:r>
              <w:rPr>
                <w:rFonts w:asciiTheme="minorHAnsi" w:hAnsiTheme="minorHAnsi" w:cstheme="minorHAnsi"/>
                <w:sz w:val="20"/>
                <w:szCs w:val="20"/>
              </w:rPr>
              <w:t>the amount of the claim;</w:t>
            </w:r>
          </w:p>
          <w:p w:rsidR="00FB7805" w:rsidRPr="002E30B8" w:rsidRDefault="00FB7805" w:rsidP="00E63712">
            <w:pPr>
              <w:pStyle w:val="ListParagraph"/>
              <w:numPr>
                <w:ilvl w:val="1"/>
                <w:numId w:val="10"/>
              </w:numPr>
              <w:ind w:left="595" w:hanging="284"/>
              <w:rPr>
                <w:rFonts w:asciiTheme="minorHAnsi" w:hAnsiTheme="minorHAnsi" w:cstheme="minorHAnsi"/>
                <w:sz w:val="20"/>
                <w:szCs w:val="20"/>
              </w:rPr>
            </w:pPr>
            <w:r w:rsidRPr="002E30B8">
              <w:rPr>
                <w:rFonts w:asciiTheme="minorHAnsi" w:hAnsiTheme="minorHAnsi" w:cstheme="minorHAnsi"/>
                <w:sz w:val="20"/>
                <w:szCs w:val="20"/>
              </w:rPr>
              <w:t xml:space="preserve">the </w:t>
            </w:r>
            <w:r>
              <w:rPr>
                <w:rFonts w:asciiTheme="minorHAnsi" w:hAnsiTheme="minorHAnsi" w:cstheme="minorHAnsi"/>
                <w:sz w:val="20"/>
                <w:szCs w:val="20"/>
              </w:rPr>
              <w:t>full entitlement</w:t>
            </w:r>
            <w:r w:rsidRPr="002E30B8">
              <w:rPr>
                <w:rFonts w:asciiTheme="minorHAnsi" w:hAnsiTheme="minorHAnsi" w:cstheme="minorHAnsi"/>
                <w:sz w:val="20"/>
                <w:szCs w:val="20"/>
              </w:rPr>
              <w:t xml:space="preserve"> for which that </w:t>
            </w:r>
            <w:r w:rsidR="003657B7">
              <w:rPr>
                <w:rFonts w:asciiTheme="minorHAnsi" w:hAnsiTheme="minorHAnsi" w:cstheme="minorHAnsi"/>
                <w:sz w:val="20"/>
                <w:szCs w:val="20"/>
              </w:rPr>
              <w:t>consumer</w:t>
            </w:r>
            <w:r w:rsidRPr="002E30B8">
              <w:rPr>
                <w:rFonts w:asciiTheme="minorHAnsi" w:hAnsiTheme="minorHAnsi" w:cstheme="minorHAnsi"/>
                <w:sz w:val="20"/>
                <w:szCs w:val="20"/>
              </w:rPr>
              <w:t xml:space="preserve"> is eligible for that month</w:t>
            </w:r>
            <w:r>
              <w:rPr>
                <w:rFonts w:asciiTheme="minorHAnsi" w:hAnsiTheme="minorHAnsi" w:cstheme="minorHAnsi"/>
                <w:sz w:val="20"/>
                <w:szCs w:val="20"/>
              </w:rPr>
              <w:t>;</w:t>
            </w:r>
          </w:p>
          <w:p w:rsidR="00FB7805" w:rsidRDefault="00FB7805" w:rsidP="00E63712">
            <w:pPr>
              <w:pStyle w:val="ListParagraph"/>
              <w:numPr>
                <w:ilvl w:val="1"/>
                <w:numId w:val="10"/>
              </w:numPr>
              <w:ind w:left="595" w:hanging="284"/>
              <w:rPr>
                <w:rFonts w:asciiTheme="minorHAnsi" w:hAnsiTheme="minorHAnsi" w:cstheme="minorHAnsi"/>
                <w:sz w:val="20"/>
                <w:szCs w:val="20"/>
              </w:rPr>
            </w:pPr>
            <w:r w:rsidRPr="002E30B8">
              <w:rPr>
                <w:rFonts w:asciiTheme="minorHAnsi" w:hAnsiTheme="minorHAnsi" w:cstheme="minorHAnsi"/>
                <w:sz w:val="20"/>
                <w:szCs w:val="20"/>
              </w:rPr>
              <w:t>any income</w:t>
            </w:r>
            <w:r w:rsidRPr="002E30B8">
              <w:rPr>
                <w:rFonts w:asciiTheme="minorHAnsi" w:hAnsiTheme="minorHAnsi" w:cstheme="minorHAnsi"/>
                <w:sz w:val="20"/>
                <w:szCs w:val="20"/>
              </w:rPr>
              <w:noBreakHyphen/>
              <w:t xml:space="preserve">tested care fee payable by that </w:t>
            </w:r>
            <w:r w:rsidR="003657B7">
              <w:rPr>
                <w:rFonts w:asciiTheme="minorHAnsi" w:hAnsiTheme="minorHAnsi" w:cstheme="minorHAnsi"/>
                <w:sz w:val="20"/>
                <w:szCs w:val="20"/>
              </w:rPr>
              <w:t>consumer</w:t>
            </w:r>
            <w:r>
              <w:rPr>
                <w:rFonts w:asciiTheme="minorHAnsi" w:hAnsiTheme="minorHAnsi" w:cstheme="minorHAnsi"/>
                <w:sz w:val="20"/>
                <w:szCs w:val="20"/>
              </w:rPr>
              <w:t>; and</w:t>
            </w:r>
          </w:p>
          <w:p w:rsidR="00FB7805" w:rsidRPr="002E30B8" w:rsidRDefault="00FB7805" w:rsidP="00E63712">
            <w:pPr>
              <w:pStyle w:val="ListParagraph"/>
              <w:numPr>
                <w:ilvl w:val="1"/>
                <w:numId w:val="10"/>
              </w:numPr>
              <w:ind w:left="595" w:hanging="284"/>
              <w:rPr>
                <w:rFonts w:asciiTheme="minorHAnsi" w:hAnsiTheme="minorHAnsi" w:cstheme="minorHAnsi"/>
                <w:sz w:val="20"/>
                <w:szCs w:val="20"/>
              </w:rPr>
            </w:pPr>
            <w:r>
              <w:rPr>
                <w:rFonts w:asciiTheme="minorHAnsi" w:hAnsiTheme="minorHAnsi" w:cstheme="minorHAnsi"/>
                <w:sz w:val="20"/>
                <w:szCs w:val="20"/>
              </w:rPr>
              <w:t>[In future months] available</w:t>
            </w:r>
            <w:r w:rsidRPr="002E30B8">
              <w:rPr>
                <w:rFonts w:asciiTheme="minorHAnsi" w:hAnsiTheme="minorHAnsi" w:cstheme="minorHAnsi"/>
                <w:sz w:val="20"/>
                <w:szCs w:val="20"/>
              </w:rPr>
              <w:t xml:space="preserve"> funds held by DHS for that </w:t>
            </w:r>
            <w:r w:rsidR="003657B7">
              <w:rPr>
                <w:rFonts w:asciiTheme="minorHAnsi" w:hAnsiTheme="minorHAnsi" w:cstheme="minorHAnsi"/>
                <w:sz w:val="20"/>
                <w:szCs w:val="20"/>
              </w:rPr>
              <w:t>consumer</w:t>
            </w:r>
            <w:r>
              <w:rPr>
                <w:rFonts w:asciiTheme="minorHAnsi" w:hAnsiTheme="minorHAnsi" w:cstheme="minorHAnsi"/>
                <w:sz w:val="20"/>
                <w:szCs w:val="20"/>
              </w:rPr>
              <w:t>.</w:t>
            </w:r>
          </w:p>
          <w:p w:rsidR="00FB7805" w:rsidRPr="002E30B8" w:rsidRDefault="00FB7805" w:rsidP="00E63712">
            <w:pPr>
              <w:pStyle w:val="ListParagraph"/>
              <w:numPr>
                <w:ilvl w:val="0"/>
                <w:numId w:val="10"/>
              </w:numPr>
              <w:ind w:left="312" w:hanging="284"/>
              <w:rPr>
                <w:rFonts w:asciiTheme="minorHAnsi" w:hAnsiTheme="minorHAnsi" w:cstheme="minorHAnsi"/>
                <w:sz w:val="20"/>
                <w:szCs w:val="20"/>
              </w:rPr>
            </w:pPr>
            <w:r w:rsidRPr="002E30B8">
              <w:rPr>
                <w:rFonts w:asciiTheme="minorHAnsi" w:hAnsiTheme="minorHAnsi" w:cstheme="minorHAnsi"/>
                <w:sz w:val="20"/>
                <w:szCs w:val="20"/>
              </w:rPr>
              <w:t>Any amount of subsidy</w:t>
            </w:r>
            <w:r>
              <w:rPr>
                <w:rFonts w:asciiTheme="minorHAnsi" w:hAnsiTheme="minorHAnsi" w:cstheme="minorHAnsi"/>
                <w:sz w:val="20"/>
                <w:szCs w:val="20"/>
              </w:rPr>
              <w:t>, less any income</w:t>
            </w:r>
            <w:r>
              <w:rPr>
                <w:rFonts w:asciiTheme="minorHAnsi" w:hAnsiTheme="minorHAnsi" w:cstheme="minorHAnsi"/>
                <w:sz w:val="20"/>
                <w:szCs w:val="20"/>
              </w:rPr>
              <w:noBreakHyphen/>
              <w:t>tested care fee,</w:t>
            </w:r>
            <w:r w:rsidRPr="002E30B8">
              <w:rPr>
                <w:rFonts w:asciiTheme="minorHAnsi" w:hAnsiTheme="minorHAnsi" w:cstheme="minorHAnsi"/>
                <w:sz w:val="20"/>
                <w:szCs w:val="20"/>
              </w:rPr>
              <w:t xml:space="preserve"> that is not paid to a provider for a particular </w:t>
            </w:r>
            <w:r w:rsidR="003657B7">
              <w:rPr>
                <w:rFonts w:asciiTheme="minorHAnsi" w:hAnsiTheme="minorHAnsi" w:cstheme="minorHAnsi"/>
                <w:sz w:val="20"/>
                <w:szCs w:val="20"/>
              </w:rPr>
              <w:t>consumer</w:t>
            </w:r>
            <w:r w:rsidRPr="002E30B8">
              <w:rPr>
                <w:rFonts w:asciiTheme="minorHAnsi" w:hAnsiTheme="minorHAnsi" w:cstheme="minorHAnsi"/>
                <w:sz w:val="20"/>
                <w:szCs w:val="20"/>
              </w:rPr>
              <w:t xml:space="preserve"> accrues and is held by DHS to be drawn down in future.</w:t>
            </w:r>
          </w:p>
        </w:tc>
        <w:tc>
          <w:tcPr>
            <w:tcW w:w="3118" w:type="dxa"/>
            <w:tcBorders>
              <w:top w:val="dashed" w:sz="4" w:space="0" w:color="auto"/>
            </w:tcBorders>
          </w:tcPr>
          <w:p w:rsidR="00FB7805" w:rsidRPr="00B457E0" w:rsidRDefault="00FB7805" w:rsidP="00136E9B">
            <w:pPr>
              <w:spacing w:before="120" w:after="120"/>
              <w:ind w:left="482"/>
              <w:rPr>
                <w:rFonts w:asciiTheme="minorHAnsi" w:hAnsiTheme="minorHAnsi" w:cstheme="minorHAnsi"/>
                <w:b/>
                <w:sz w:val="20"/>
                <w:szCs w:val="20"/>
              </w:rPr>
            </w:pPr>
            <w:r w:rsidRPr="00B457E0">
              <w:rPr>
                <w:rFonts w:asciiTheme="minorHAnsi" w:hAnsiTheme="minorHAnsi" w:cstheme="minorHAnsi"/>
                <w:b/>
                <w:sz w:val="20"/>
                <w:szCs w:val="20"/>
              </w:rPr>
              <w:t>Practical application</w:t>
            </w:r>
          </w:p>
          <w:p w:rsidR="00FB7805" w:rsidRPr="002E30B8" w:rsidRDefault="00FB7805" w:rsidP="00E63712">
            <w:pPr>
              <w:pStyle w:val="ListParagraph"/>
              <w:numPr>
                <w:ilvl w:val="0"/>
                <w:numId w:val="12"/>
              </w:numPr>
              <w:ind w:left="319" w:hanging="319"/>
              <w:rPr>
                <w:rFonts w:asciiTheme="minorHAnsi" w:hAnsiTheme="minorHAnsi" w:cstheme="minorHAnsi"/>
                <w:sz w:val="20"/>
                <w:szCs w:val="20"/>
              </w:rPr>
            </w:pPr>
            <w:r>
              <w:rPr>
                <w:rFonts w:asciiTheme="minorHAnsi" w:hAnsiTheme="minorHAnsi" w:cstheme="minorHAnsi"/>
                <w:sz w:val="20"/>
                <w:szCs w:val="20"/>
              </w:rPr>
              <w:t xml:space="preserve">In </w:t>
            </w:r>
            <w:r w:rsidRPr="002E30B8">
              <w:rPr>
                <w:rFonts w:asciiTheme="minorHAnsi" w:hAnsiTheme="minorHAnsi" w:cstheme="minorHAnsi"/>
                <w:sz w:val="20"/>
                <w:szCs w:val="20"/>
              </w:rPr>
              <w:t xml:space="preserve">February 2021 providers </w:t>
            </w:r>
            <w:proofErr w:type="gramStart"/>
            <w:r w:rsidRPr="002E30B8">
              <w:rPr>
                <w:rFonts w:asciiTheme="minorHAnsi" w:hAnsiTheme="minorHAnsi" w:cstheme="minorHAnsi"/>
                <w:sz w:val="20"/>
                <w:szCs w:val="20"/>
              </w:rPr>
              <w:t>advise</w:t>
            </w:r>
            <w:proofErr w:type="gramEnd"/>
            <w:r w:rsidRPr="002E30B8">
              <w:rPr>
                <w:rFonts w:asciiTheme="minorHAnsi" w:hAnsiTheme="minorHAnsi" w:cstheme="minorHAnsi"/>
                <w:sz w:val="20"/>
                <w:szCs w:val="20"/>
              </w:rPr>
              <w:t xml:space="preserve"> the amount of </w:t>
            </w:r>
            <w:r>
              <w:rPr>
                <w:rFonts w:asciiTheme="minorHAnsi" w:hAnsiTheme="minorHAnsi" w:cstheme="minorHAnsi"/>
                <w:sz w:val="20"/>
                <w:szCs w:val="20"/>
              </w:rPr>
              <w:t>available</w:t>
            </w:r>
            <w:r w:rsidRPr="002E30B8">
              <w:rPr>
                <w:rFonts w:asciiTheme="minorHAnsi" w:hAnsiTheme="minorHAnsi" w:cstheme="minorHAnsi"/>
                <w:sz w:val="20"/>
                <w:szCs w:val="20"/>
              </w:rPr>
              <w:t xml:space="preserve"> funds held for each </w:t>
            </w:r>
            <w:r w:rsidR="003657B7">
              <w:rPr>
                <w:rFonts w:asciiTheme="minorHAnsi" w:hAnsiTheme="minorHAnsi" w:cstheme="minorHAnsi"/>
                <w:sz w:val="20"/>
                <w:szCs w:val="20"/>
              </w:rPr>
              <w:t>consumer</w:t>
            </w:r>
            <w:r w:rsidRPr="002E30B8">
              <w:rPr>
                <w:rFonts w:asciiTheme="minorHAnsi" w:hAnsiTheme="minorHAnsi" w:cstheme="minorHAnsi"/>
                <w:sz w:val="20"/>
                <w:szCs w:val="20"/>
              </w:rPr>
              <w:t>.</w:t>
            </w:r>
          </w:p>
          <w:p w:rsidR="00FB7805" w:rsidRDefault="00FB7805" w:rsidP="00E63712">
            <w:pPr>
              <w:pStyle w:val="ListParagraph"/>
              <w:numPr>
                <w:ilvl w:val="0"/>
                <w:numId w:val="12"/>
              </w:numPr>
              <w:spacing w:before="120" w:after="120"/>
              <w:ind w:left="319" w:hanging="319"/>
              <w:rPr>
                <w:rFonts w:asciiTheme="minorHAnsi" w:hAnsiTheme="minorHAnsi" w:cstheme="minorHAnsi"/>
                <w:sz w:val="20"/>
                <w:szCs w:val="20"/>
              </w:rPr>
            </w:pPr>
            <w:r>
              <w:rPr>
                <w:rFonts w:asciiTheme="minorHAnsi" w:hAnsiTheme="minorHAnsi" w:cstheme="minorHAnsi"/>
                <w:sz w:val="20"/>
                <w:szCs w:val="20"/>
              </w:rPr>
              <w:t xml:space="preserve">In addition to the matters taken into account when determining an amount of payment for a claim, DHS will reduce a payment </w:t>
            </w:r>
            <w:r w:rsidR="00F866C4">
              <w:rPr>
                <w:rFonts w:asciiTheme="minorHAnsi" w:hAnsiTheme="minorHAnsi" w:cstheme="minorHAnsi"/>
                <w:sz w:val="20"/>
                <w:szCs w:val="20"/>
              </w:rPr>
              <w:t>for</w:t>
            </w:r>
            <w:r>
              <w:rPr>
                <w:rFonts w:asciiTheme="minorHAnsi" w:hAnsiTheme="minorHAnsi" w:cstheme="minorHAnsi"/>
                <w:sz w:val="20"/>
                <w:szCs w:val="20"/>
              </w:rPr>
              <w:t xml:space="preserve"> a </w:t>
            </w:r>
            <w:r w:rsidR="003657B7">
              <w:rPr>
                <w:rFonts w:asciiTheme="minorHAnsi" w:hAnsiTheme="minorHAnsi" w:cstheme="minorHAnsi"/>
                <w:sz w:val="20"/>
                <w:szCs w:val="20"/>
              </w:rPr>
              <w:t>consumer</w:t>
            </w:r>
            <w:r>
              <w:rPr>
                <w:rFonts w:asciiTheme="minorHAnsi" w:hAnsiTheme="minorHAnsi" w:cstheme="minorHAnsi"/>
                <w:sz w:val="20"/>
                <w:szCs w:val="20"/>
              </w:rPr>
              <w:t xml:space="preserve"> by a percentage amount (yet to be determined) in recognition of available funds held by the provider for that </w:t>
            </w:r>
            <w:r w:rsidR="003657B7">
              <w:rPr>
                <w:rFonts w:asciiTheme="minorHAnsi" w:hAnsiTheme="minorHAnsi" w:cstheme="minorHAnsi"/>
                <w:sz w:val="20"/>
                <w:szCs w:val="20"/>
              </w:rPr>
              <w:t>consumer</w:t>
            </w:r>
            <w:r>
              <w:rPr>
                <w:rFonts w:asciiTheme="minorHAnsi" w:hAnsiTheme="minorHAnsi" w:cstheme="minorHAnsi"/>
                <w:sz w:val="20"/>
                <w:szCs w:val="20"/>
              </w:rPr>
              <w:t>.</w:t>
            </w:r>
          </w:p>
          <w:p w:rsidR="00FB7805" w:rsidRDefault="00FB7805" w:rsidP="00E63712">
            <w:pPr>
              <w:pStyle w:val="ListParagraph"/>
              <w:numPr>
                <w:ilvl w:val="0"/>
                <w:numId w:val="12"/>
              </w:numPr>
              <w:spacing w:before="120" w:after="120"/>
              <w:ind w:left="319" w:hanging="319"/>
              <w:rPr>
                <w:rFonts w:asciiTheme="minorHAnsi" w:hAnsiTheme="minorHAnsi" w:cstheme="minorHAnsi"/>
                <w:sz w:val="20"/>
                <w:szCs w:val="20"/>
              </w:rPr>
            </w:pPr>
            <w:r>
              <w:rPr>
                <w:rFonts w:asciiTheme="minorHAnsi" w:hAnsiTheme="minorHAnsi" w:cstheme="minorHAnsi"/>
                <w:sz w:val="20"/>
                <w:szCs w:val="20"/>
              </w:rPr>
              <w:t xml:space="preserve">This will occur until the provider no longer holds available funds for that </w:t>
            </w:r>
            <w:r w:rsidR="003657B7">
              <w:rPr>
                <w:rFonts w:asciiTheme="minorHAnsi" w:hAnsiTheme="minorHAnsi" w:cstheme="minorHAnsi"/>
                <w:sz w:val="20"/>
                <w:szCs w:val="20"/>
              </w:rPr>
              <w:t>consumer</w:t>
            </w:r>
            <w:r>
              <w:rPr>
                <w:rFonts w:asciiTheme="minorHAnsi" w:hAnsiTheme="minorHAnsi" w:cstheme="minorHAnsi"/>
                <w:sz w:val="20"/>
                <w:szCs w:val="20"/>
              </w:rPr>
              <w:t>.</w:t>
            </w:r>
          </w:p>
          <w:p w:rsidR="00FB7805" w:rsidRDefault="00FB7805" w:rsidP="00E63712">
            <w:pPr>
              <w:pStyle w:val="ListParagraph"/>
              <w:numPr>
                <w:ilvl w:val="0"/>
                <w:numId w:val="12"/>
              </w:numPr>
              <w:spacing w:before="120" w:after="120"/>
              <w:ind w:left="319" w:hanging="319"/>
              <w:rPr>
                <w:rFonts w:asciiTheme="minorHAnsi" w:hAnsiTheme="minorHAnsi" w:cstheme="minorHAnsi"/>
                <w:sz w:val="20"/>
                <w:szCs w:val="20"/>
              </w:rPr>
            </w:pPr>
            <w:r>
              <w:rPr>
                <w:rFonts w:asciiTheme="minorHAnsi" w:hAnsiTheme="minorHAnsi" w:cstheme="minorHAnsi"/>
                <w:sz w:val="20"/>
                <w:szCs w:val="20"/>
              </w:rPr>
              <w:t xml:space="preserve">The portion of the </w:t>
            </w:r>
            <w:r w:rsidR="003657B7">
              <w:rPr>
                <w:rFonts w:asciiTheme="minorHAnsi" w:hAnsiTheme="minorHAnsi" w:cstheme="minorHAnsi"/>
                <w:sz w:val="20"/>
                <w:szCs w:val="20"/>
              </w:rPr>
              <w:t>consumer</w:t>
            </w:r>
            <w:r>
              <w:rPr>
                <w:rFonts w:asciiTheme="minorHAnsi" w:hAnsiTheme="minorHAnsi" w:cstheme="minorHAnsi"/>
                <w:sz w:val="20"/>
                <w:szCs w:val="20"/>
              </w:rPr>
              <w:t xml:space="preserve">’s subsidy that is not paid to the provider during the drawdown will be accrued by DHS. </w:t>
            </w:r>
          </w:p>
          <w:p w:rsidR="00FB7805" w:rsidRDefault="00FB7805" w:rsidP="00136E9B">
            <w:pPr>
              <w:pStyle w:val="ListParagraph"/>
              <w:spacing w:before="120" w:after="120"/>
              <w:rPr>
                <w:rFonts w:asciiTheme="minorHAnsi" w:hAnsiTheme="minorHAnsi" w:cstheme="minorHAnsi"/>
                <w:sz w:val="20"/>
                <w:szCs w:val="20"/>
              </w:rPr>
            </w:pPr>
          </w:p>
          <w:p w:rsidR="00FB7805" w:rsidRDefault="00FB7805" w:rsidP="00136E9B">
            <w:pPr>
              <w:pStyle w:val="ListParagraph"/>
              <w:spacing w:before="120" w:after="120"/>
              <w:rPr>
                <w:rFonts w:asciiTheme="minorHAnsi" w:hAnsiTheme="minorHAnsi" w:cstheme="minorHAnsi"/>
                <w:sz w:val="20"/>
                <w:szCs w:val="20"/>
              </w:rPr>
            </w:pPr>
          </w:p>
        </w:tc>
      </w:tr>
    </w:tbl>
    <w:p w:rsidR="000D34F5" w:rsidRDefault="000D34F5" w:rsidP="00531D53">
      <w:bookmarkStart w:id="32" w:name="_Toc23174324"/>
      <w:bookmarkStart w:id="33" w:name="_Toc25325885"/>
      <w:bookmarkStart w:id="34" w:name="_Toc25851852"/>
      <w:bookmarkStart w:id="35" w:name="_Toc25938497"/>
      <w:bookmarkStart w:id="36" w:name="_Toc26109060"/>
      <w:bookmarkStart w:id="37" w:name="_Toc23174329"/>
      <w:bookmarkStart w:id="38" w:name="_Toc25325888"/>
    </w:p>
    <w:p w:rsidR="00B3501A" w:rsidRPr="006F112F" w:rsidRDefault="000D34F5" w:rsidP="006F112F">
      <w:pPr>
        <w:pStyle w:val="Heading1"/>
        <w:numPr>
          <w:ilvl w:val="0"/>
          <w:numId w:val="14"/>
        </w:numPr>
        <w:spacing w:before="0" w:after="180"/>
      </w:pPr>
      <w:r>
        <w:br w:type="page"/>
      </w:r>
      <w:bookmarkStart w:id="39" w:name="_Toc26788390"/>
      <w:r w:rsidR="009E3E06">
        <w:lastRenderedPageBreak/>
        <w:t>Current payment arrangements in home care</w:t>
      </w:r>
      <w:bookmarkEnd w:id="32"/>
      <w:bookmarkEnd w:id="33"/>
      <w:bookmarkEnd w:id="34"/>
      <w:bookmarkEnd w:id="35"/>
      <w:bookmarkEnd w:id="36"/>
      <w:bookmarkEnd w:id="39"/>
    </w:p>
    <w:p w:rsidR="009E3E06" w:rsidRDefault="009E3E06" w:rsidP="006F112F">
      <w:pPr>
        <w:spacing w:after="180" w:line="240" w:lineRule="auto"/>
        <w:rPr>
          <w:szCs w:val="24"/>
        </w:rPr>
      </w:pPr>
      <w:r>
        <w:rPr>
          <w:szCs w:val="24"/>
        </w:rPr>
        <w:t xml:space="preserve">Home </w:t>
      </w:r>
      <w:r w:rsidR="003657B7">
        <w:rPr>
          <w:szCs w:val="24"/>
        </w:rPr>
        <w:t>consumer</w:t>
      </w:r>
      <w:r>
        <w:rPr>
          <w:szCs w:val="24"/>
        </w:rPr>
        <w:t xml:space="preserve">s are allocated a level 1, 2, 3 or 4 home care package depending on their assessed needs, with level 1 having the lowest dollar value and level 4 the highest. </w:t>
      </w:r>
      <w:r w:rsidR="006F0193">
        <w:rPr>
          <w:szCs w:val="24"/>
        </w:rPr>
        <w:t xml:space="preserve">Once a package becomes available, </w:t>
      </w:r>
      <w:r w:rsidR="003657B7">
        <w:rPr>
          <w:szCs w:val="24"/>
        </w:rPr>
        <w:t>consumer</w:t>
      </w:r>
      <w:r>
        <w:rPr>
          <w:szCs w:val="24"/>
        </w:rPr>
        <w:t>s enter an agreement with a home care provider to receive care and services under their package.</w:t>
      </w:r>
    </w:p>
    <w:p w:rsidR="009E3E06" w:rsidRDefault="006F0193" w:rsidP="006F112F">
      <w:pPr>
        <w:spacing w:after="180" w:line="240" w:lineRule="auto"/>
        <w:rPr>
          <w:szCs w:val="24"/>
        </w:rPr>
      </w:pPr>
      <w:r>
        <w:rPr>
          <w:szCs w:val="24"/>
        </w:rPr>
        <w:t xml:space="preserve">Government subsidy levels (current to 19 March 2020) </w:t>
      </w:r>
      <w:r w:rsidR="009E3E06">
        <w:rPr>
          <w:szCs w:val="24"/>
        </w:rPr>
        <w:t>are:</w:t>
      </w:r>
    </w:p>
    <w:tbl>
      <w:tblPr>
        <w:tblStyle w:val="TableGrid"/>
        <w:tblW w:w="0" w:type="auto"/>
        <w:tblInd w:w="-5" w:type="dxa"/>
        <w:tblLook w:val="04A0" w:firstRow="1" w:lastRow="0" w:firstColumn="1" w:lastColumn="0" w:noHBand="0" w:noVBand="1"/>
        <w:tblCaption w:val="Government Subsidy levels"/>
        <w:tblDescription w:val="Subsidy rate per day by package levels."/>
      </w:tblPr>
      <w:tblGrid>
        <w:gridCol w:w="993"/>
        <w:gridCol w:w="2976"/>
      </w:tblGrid>
      <w:tr w:rsidR="0093402D" w:rsidRPr="0093402D" w:rsidTr="00DB681C">
        <w:trPr>
          <w:tblHeader/>
        </w:trPr>
        <w:tc>
          <w:tcPr>
            <w:tcW w:w="3969" w:type="dxa"/>
            <w:gridSpan w:val="2"/>
          </w:tcPr>
          <w:p w:rsidR="0093402D" w:rsidRPr="0093402D" w:rsidRDefault="0093402D" w:rsidP="00084819">
            <w:pPr>
              <w:spacing w:after="180"/>
              <w:ind w:left="-114"/>
              <w:jc w:val="center"/>
              <w:rPr>
                <w:rFonts w:cstheme="minorHAnsi"/>
                <w:highlight w:val="yellow"/>
              </w:rPr>
            </w:pPr>
            <w:r w:rsidRPr="006A62A0">
              <w:rPr>
                <w:rFonts w:asciiTheme="minorHAnsi" w:hAnsiTheme="minorHAnsi" w:cstheme="minorHAnsi"/>
              </w:rPr>
              <w:t>Subsidy rate per day by package level</w:t>
            </w:r>
          </w:p>
        </w:tc>
      </w:tr>
      <w:tr w:rsidR="009E3E06" w:rsidRPr="003E646C" w:rsidTr="0093402D">
        <w:tc>
          <w:tcPr>
            <w:tcW w:w="993" w:type="dxa"/>
          </w:tcPr>
          <w:p w:rsidR="009E3E06" w:rsidRPr="003E646C" w:rsidRDefault="009E3E06" w:rsidP="00084819">
            <w:pPr>
              <w:spacing w:after="180"/>
              <w:rPr>
                <w:rFonts w:asciiTheme="minorHAnsi" w:hAnsiTheme="minorHAnsi" w:cstheme="minorHAnsi"/>
              </w:rPr>
            </w:pPr>
            <w:r w:rsidRPr="003E646C">
              <w:rPr>
                <w:rFonts w:asciiTheme="minorHAnsi" w:hAnsiTheme="minorHAnsi" w:cstheme="minorHAnsi"/>
              </w:rPr>
              <w:t>Level</w:t>
            </w:r>
          </w:p>
        </w:tc>
        <w:tc>
          <w:tcPr>
            <w:tcW w:w="2976" w:type="dxa"/>
          </w:tcPr>
          <w:p w:rsidR="009E3E06" w:rsidRPr="003E646C" w:rsidRDefault="009E3E06" w:rsidP="0093402D">
            <w:pPr>
              <w:spacing w:after="180"/>
              <w:ind w:left="-114"/>
              <w:jc w:val="center"/>
              <w:rPr>
                <w:rFonts w:asciiTheme="minorHAnsi" w:hAnsiTheme="minorHAnsi" w:cstheme="minorHAnsi"/>
              </w:rPr>
            </w:pPr>
            <w:r w:rsidRPr="003E646C">
              <w:rPr>
                <w:rFonts w:asciiTheme="minorHAnsi" w:hAnsiTheme="minorHAnsi" w:cstheme="minorHAnsi"/>
              </w:rPr>
              <w:t>Per day</w:t>
            </w:r>
          </w:p>
        </w:tc>
      </w:tr>
      <w:tr w:rsidR="009E3E06" w:rsidRPr="003E646C" w:rsidTr="0093402D">
        <w:tc>
          <w:tcPr>
            <w:tcW w:w="993" w:type="dxa"/>
          </w:tcPr>
          <w:p w:rsidR="009E3E06" w:rsidRPr="003E646C" w:rsidRDefault="009E3E06" w:rsidP="00084819">
            <w:pPr>
              <w:spacing w:after="180"/>
              <w:jc w:val="center"/>
              <w:rPr>
                <w:rFonts w:asciiTheme="minorHAnsi" w:hAnsiTheme="minorHAnsi" w:cstheme="minorHAnsi"/>
              </w:rPr>
            </w:pPr>
            <w:r w:rsidRPr="003E646C">
              <w:rPr>
                <w:rFonts w:asciiTheme="minorHAnsi" w:hAnsiTheme="minorHAnsi" w:cstheme="minorHAnsi"/>
              </w:rPr>
              <w:t>1</w:t>
            </w:r>
          </w:p>
        </w:tc>
        <w:tc>
          <w:tcPr>
            <w:tcW w:w="2976" w:type="dxa"/>
          </w:tcPr>
          <w:p w:rsidR="009E3E06" w:rsidRPr="003E646C" w:rsidRDefault="009E3E06" w:rsidP="006F7415">
            <w:pPr>
              <w:spacing w:after="180"/>
              <w:ind w:left="-114"/>
              <w:jc w:val="center"/>
              <w:rPr>
                <w:rFonts w:asciiTheme="minorHAnsi" w:hAnsiTheme="minorHAnsi" w:cstheme="minorHAnsi"/>
              </w:rPr>
            </w:pPr>
            <w:r w:rsidRPr="003E646C">
              <w:rPr>
                <w:rFonts w:asciiTheme="minorHAnsi" w:hAnsiTheme="minorHAnsi" w:cstheme="minorHAnsi"/>
              </w:rPr>
              <w:t>$24.07</w:t>
            </w:r>
          </w:p>
        </w:tc>
      </w:tr>
      <w:tr w:rsidR="009E3E06" w:rsidRPr="003E646C" w:rsidTr="0093402D">
        <w:tc>
          <w:tcPr>
            <w:tcW w:w="993" w:type="dxa"/>
          </w:tcPr>
          <w:p w:rsidR="009E3E06" w:rsidRPr="003E646C" w:rsidRDefault="009E3E06" w:rsidP="00084819">
            <w:pPr>
              <w:spacing w:after="180"/>
              <w:jc w:val="center"/>
              <w:rPr>
                <w:rFonts w:asciiTheme="minorHAnsi" w:hAnsiTheme="minorHAnsi" w:cstheme="minorHAnsi"/>
              </w:rPr>
            </w:pPr>
            <w:r w:rsidRPr="003E646C">
              <w:rPr>
                <w:rFonts w:asciiTheme="minorHAnsi" w:hAnsiTheme="minorHAnsi" w:cstheme="minorHAnsi"/>
              </w:rPr>
              <w:t>2</w:t>
            </w:r>
          </w:p>
        </w:tc>
        <w:tc>
          <w:tcPr>
            <w:tcW w:w="2976" w:type="dxa"/>
          </w:tcPr>
          <w:p w:rsidR="009E3E06" w:rsidRPr="003E646C" w:rsidRDefault="009E3E06" w:rsidP="006F7415">
            <w:pPr>
              <w:spacing w:after="180"/>
              <w:ind w:left="-114"/>
              <w:jc w:val="center"/>
              <w:rPr>
                <w:rFonts w:asciiTheme="minorHAnsi" w:hAnsiTheme="minorHAnsi" w:cstheme="minorHAnsi"/>
              </w:rPr>
            </w:pPr>
            <w:r w:rsidRPr="003E646C">
              <w:rPr>
                <w:rFonts w:asciiTheme="minorHAnsi" w:hAnsiTheme="minorHAnsi" w:cstheme="minorHAnsi"/>
              </w:rPr>
              <w:t>$42.35</w:t>
            </w:r>
          </w:p>
        </w:tc>
      </w:tr>
      <w:tr w:rsidR="009E3E06" w:rsidRPr="003E646C" w:rsidTr="0093402D">
        <w:tc>
          <w:tcPr>
            <w:tcW w:w="993" w:type="dxa"/>
          </w:tcPr>
          <w:p w:rsidR="009E3E06" w:rsidRPr="003E646C" w:rsidRDefault="009E3E06" w:rsidP="00084819">
            <w:pPr>
              <w:spacing w:after="180"/>
              <w:jc w:val="center"/>
              <w:rPr>
                <w:rFonts w:asciiTheme="minorHAnsi" w:hAnsiTheme="minorHAnsi" w:cstheme="minorHAnsi"/>
              </w:rPr>
            </w:pPr>
            <w:r w:rsidRPr="003E646C">
              <w:rPr>
                <w:rFonts w:asciiTheme="minorHAnsi" w:hAnsiTheme="minorHAnsi" w:cstheme="minorHAnsi"/>
              </w:rPr>
              <w:t>3</w:t>
            </w:r>
          </w:p>
        </w:tc>
        <w:tc>
          <w:tcPr>
            <w:tcW w:w="2976" w:type="dxa"/>
          </w:tcPr>
          <w:p w:rsidR="009E3E06" w:rsidRPr="003E646C" w:rsidRDefault="009E3E06" w:rsidP="006F7415">
            <w:pPr>
              <w:spacing w:after="180"/>
              <w:ind w:left="-114"/>
              <w:jc w:val="center"/>
              <w:rPr>
                <w:rFonts w:asciiTheme="minorHAnsi" w:hAnsiTheme="minorHAnsi" w:cstheme="minorHAnsi"/>
              </w:rPr>
            </w:pPr>
            <w:r w:rsidRPr="003E646C">
              <w:rPr>
                <w:rFonts w:asciiTheme="minorHAnsi" w:hAnsiTheme="minorHAnsi" w:cstheme="minorHAnsi"/>
              </w:rPr>
              <w:t>$92.16</w:t>
            </w:r>
          </w:p>
        </w:tc>
      </w:tr>
      <w:tr w:rsidR="009E3E06" w:rsidRPr="003E646C" w:rsidTr="0093402D">
        <w:tc>
          <w:tcPr>
            <w:tcW w:w="993" w:type="dxa"/>
          </w:tcPr>
          <w:p w:rsidR="009E3E06" w:rsidRPr="003E646C" w:rsidRDefault="009E3E06" w:rsidP="00084819">
            <w:pPr>
              <w:spacing w:after="180"/>
              <w:jc w:val="center"/>
              <w:rPr>
                <w:rFonts w:asciiTheme="minorHAnsi" w:hAnsiTheme="minorHAnsi" w:cstheme="minorHAnsi"/>
              </w:rPr>
            </w:pPr>
            <w:r w:rsidRPr="003E646C">
              <w:rPr>
                <w:rFonts w:asciiTheme="minorHAnsi" w:hAnsiTheme="minorHAnsi" w:cstheme="minorHAnsi"/>
              </w:rPr>
              <w:t>4</w:t>
            </w:r>
          </w:p>
        </w:tc>
        <w:tc>
          <w:tcPr>
            <w:tcW w:w="2976" w:type="dxa"/>
          </w:tcPr>
          <w:p w:rsidR="009E3E06" w:rsidRPr="003E646C" w:rsidRDefault="009E3E06" w:rsidP="006F7415">
            <w:pPr>
              <w:spacing w:after="180"/>
              <w:ind w:left="-114"/>
              <w:jc w:val="center"/>
              <w:rPr>
                <w:rFonts w:asciiTheme="minorHAnsi" w:hAnsiTheme="minorHAnsi" w:cstheme="minorHAnsi"/>
              </w:rPr>
            </w:pPr>
            <w:r w:rsidRPr="003E646C">
              <w:rPr>
                <w:rFonts w:asciiTheme="minorHAnsi" w:hAnsiTheme="minorHAnsi" w:cstheme="minorHAnsi"/>
              </w:rPr>
              <w:t>$139.7</w:t>
            </w:r>
            <w:r w:rsidR="000F56DA">
              <w:rPr>
                <w:rFonts w:asciiTheme="minorHAnsi" w:hAnsiTheme="minorHAnsi" w:cstheme="minorHAnsi"/>
              </w:rPr>
              <w:t>0</w:t>
            </w:r>
          </w:p>
        </w:tc>
      </w:tr>
    </w:tbl>
    <w:p w:rsidR="00896A18" w:rsidRDefault="00896A18" w:rsidP="00896A18">
      <w:pPr>
        <w:spacing w:after="0" w:line="240" w:lineRule="auto"/>
        <w:rPr>
          <w:szCs w:val="24"/>
        </w:rPr>
      </w:pPr>
    </w:p>
    <w:p w:rsidR="009E3E06" w:rsidRDefault="009E3E06" w:rsidP="006F112F">
      <w:pPr>
        <w:spacing w:after="180" w:line="240" w:lineRule="auto"/>
        <w:rPr>
          <w:szCs w:val="24"/>
        </w:rPr>
      </w:pPr>
      <w:r>
        <w:rPr>
          <w:szCs w:val="24"/>
        </w:rPr>
        <w:t xml:space="preserve">Providers may also receive supplementary funding in respect of certain </w:t>
      </w:r>
      <w:r w:rsidR="00603678">
        <w:rPr>
          <w:szCs w:val="24"/>
        </w:rPr>
        <w:t xml:space="preserve">services and </w:t>
      </w:r>
      <w:r w:rsidR="003657B7">
        <w:rPr>
          <w:szCs w:val="24"/>
        </w:rPr>
        <w:t>consumer</w:t>
      </w:r>
      <w:r w:rsidR="005334A2">
        <w:rPr>
          <w:szCs w:val="24"/>
        </w:rPr>
        <w:t>s</w:t>
      </w:r>
      <w:r>
        <w:rPr>
          <w:szCs w:val="24"/>
        </w:rPr>
        <w:t>, for example</w:t>
      </w:r>
      <w:r w:rsidR="000F56DA">
        <w:rPr>
          <w:szCs w:val="24"/>
        </w:rPr>
        <w:t>,</w:t>
      </w:r>
      <w:r>
        <w:rPr>
          <w:szCs w:val="24"/>
        </w:rPr>
        <w:t xml:space="preserve"> </w:t>
      </w:r>
      <w:r w:rsidR="007504F2">
        <w:rPr>
          <w:szCs w:val="24"/>
        </w:rPr>
        <w:t>a</w:t>
      </w:r>
      <w:r>
        <w:rPr>
          <w:szCs w:val="24"/>
        </w:rPr>
        <w:t xml:space="preserve"> viability supplement</w:t>
      </w:r>
      <w:r w:rsidR="007D2166">
        <w:rPr>
          <w:szCs w:val="24"/>
        </w:rPr>
        <w:t xml:space="preserve"> for more remote services</w:t>
      </w:r>
      <w:r>
        <w:rPr>
          <w:szCs w:val="24"/>
        </w:rPr>
        <w:t xml:space="preserve"> </w:t>
      </w:r>
      <w:r w:rsidR="000F56DA">
        <w:rPr>
          <w:szCs w:val="24"/>
        </w:rPr>
        <w:t xml:space="preserve">and </w:t>
      </w:r>
      <w:r>
        <w:rPr>
          <w:szCs w:val="24"/>
        </w:rPr>
        <w:t>dementia and cognition supplement</w:t>
      </w:r>
      <w:r w:rsidR="007504F2">
        <w:rPr>
          <w:szCs w:val="24"/>
        </w:rPr>
        <w:t>s</w:t>
      </w:r>
      <w:r>
        <w:rPr>
          <w:szCs w:val="24"/>
        </w:rPr>
        <w:t>.</w:t>
      </w:r>
    </w:p>
    <w:p w:rsidR="009E3E06" w:rsidRPr="00733F31" w:rsidRDefault="009E3E06" w:rsidP="006F112F">
      <w:pPr>
        <w:spacing w:after="180" w:line="240" w:lineRule="auto"/>
        <w:rPr>
          <w:szCs w:val="24"/>
        </w:rPr>
      </w:pPr>
      <w:r w:rsidRPr="00733F31">
        <w:rPr>
          <w:szCs w:val="24"/>
        </w:rPr>
        <w:t xml:space="preserve">Home care providers are currently paid a </w:t>
      </w:r>
      <w:r w:rsidR="003657B7">
        <w:rPr>
          <w:szCs w:val="24"/>
        </w:rPr>
        <w:t>consumer</w:t>
      </w:r>
      <w:r w:rsidRPr="00733F31">
        <w:rPr>
          <w:szCs w:val="24"/>
        </w:rPr>
        <w:t xml:space="preserve">’s full entitlement to Government subsidy for each month (i.e. their package level </w:t>
      </w:r>
      <w:r>
        <w:rPr>
          <w:szCs w:val="24"/>
        </w:rPr>
        <w:t xml:space="preserve">for each day in </w:t>
      </w:r>
      <w:proofErr w:type="spellStart"/>
      <w:r>
        <w:rPr>
          <w:szCs w:val="24"/>
        </w:rPr>
        <w:t>care</w:t>
      </w:r>
      <w:r w:rsidRPr="00733F31">
        <w:rPr>
          <w:szCs w:val="24"/>
        </w:rPr>
        <w:t xml:space="preserve"> less</w:t>
      </w:r>
      <w:proofErr w:type="spellEnd"/>
      <w:r w:rsidRPr="00733F31">
        <w:rPr>
          <w:szCs w:val="24"/>
        </w:rPr>
        <w:t xml:space="preserve"> </w:t>
      </w:r>
      <w:r w:rsidR="00822FC0">
        <w:rPr>
          <w:szCs w:val="24"/>
        </w:rPr>
        <w:t>the subsidy reduction which is known as an</w:t>
      </w:r>
      <w:r w:rsidRPr="00733F31">
        <w:rPr>
          <w:szCs w:val="24"/>
        </w:rPr>
        <w:t xml:space="preserve"> income-tested care fee), regardless of the services actually provided to the </w:t>
      </w:r>
      <w:r w:rsidR="003657B7">
        <w:rPr>
          <w:szCs w:val="24"/>
        </w:rPr>
        <w:t>consumer</w:t>
      </w:r>
      <w:r w:rsidRPr="00733F31">
        <w:rPr>
          <w:szCs w:val="24"/>
        </w:rPr>
        <w:t>. This is paid in two sta</w:t>
      </w:r>
      <w:r>
        <w:rPr>
          <w:szCs w:val="24"/>
        </w:rPr>
        <w:t>ges. Using the month of June</w:t>
      </w:r>
      <w:r w:rsidRPr="00733F31">
        <w:rPr>
          <w:szCs w:val="24"/>
        </w:rPr>
        <w:t xml:space="preserve"> as an example, the provider receives an advance </w:t>
      </w:r>
      <w:r>
        <w:rPr>
          <w:szCs w:val="24"/>
        </w:rPr>
        <w:t>payment at the start of June</w:t>
      </w:r>
      <w:r w:rsidRPr="00733F31">
        <w:rPr>
          <w:szCs w:val="24"/>
        </w:rPr>
        <w:t xml:space="preserve"> equivalent to the amount received for the month two</w:t>
      </w:r>
      <w:r>
        <w:rPr>
          <w:szCs w:val="24"/>
        </w:rPr>
        <w:t xml:space="preserve"> months earlier, being April</w:t>
      </w:r>
      <w:r w:rsidRPr="00733F31">
        <w:rPr>
          <w:szCs w:val="24"/>
        </w:rPr>
        <w:t>. Then, at the start</w:t>
      </w:r>
      <w:r>
        <w:rPr>
          <w:szCs w:val="24"/>
        </w:rPr>
        <w:t xml:space="preserve"> of the subsequent month, July</w:t>
      </w:r>
      <w:r w:rsidRPr="00733F31">
        <w:rPr>
          <w:szCs w:val="24"/>
        </w:rPr>
        <w:t xml:space="preserve">, the provider lodges a claim specifying the actual subsidy due for </w:t>
      </w:r>
      <w:r>
        <w:rPr>
          <w:szCs w:val="24"/>
        </w:rPr>
        <w:t>June</w:t>
      </w:r>
      <w:r w:rsidRPr="00733F31">
        <w:rPr>
          <w:szCs w:val="24"/>
        </w:rPr>
        <w:t xml:space="preserve">, at which time a reconciliation takes place. </w:t>
      </w:r>
    </w:p>
    <w:p w:rsidR="009E3E06" w:rsidRDefault="009E3E06" w:rsidP="006F112F">
      <w:pPr>
        <w:spacing w:after="180" w:line="240" w:lineRule="auto"/>
        <w:rPr>
          <w:szCs w:val="24"/>
        </w:rPr>
      </w:pPr>
      <w:r>
        <w:rPr>
          <w:szCs w:val="24"/>
        </w:rPr>
        <w:t>Providers also collect an income</w:t>
      </w:r>
      <w:r>
        <w:rPr>
          <w:szCs w:val="24"/>
        </w:rPr>
        <w:noBreakHyphen/>
        <w:t xml:space="preserve">tested care fee from </w:t>
      </w:r>
      <w:r w:rsidR="003657B7">
        <w:rPr>
          <w:szCs w:val="24"/>
        </w:rPr>
        <w:t>consumer</w:t>
      </w:r>
      <w:r>
        <w:rPr>
          <w:szCs w:val="24"/>
        </w:rPr>
        <w:t>s who have sufficient assessable income and</w:t>
      </w:r>
      <w:r w:rsidR="00603678">
        <w:rPr>
          <w:szCs w:val="24"/>
        </w:rPr>
        <w:t>,</w:t>
      </w:r>
      <w:r>
        <w:rPr>
          <w:szCs w:val="24"/>
        </w:rPr>
        <w:t xml:space="preserve"> by agreement with the </w:t>
      </w:r>
      <w:r w:rsidR="003657B7">
        <w:rPr>
          <w:szCs w:val="24"/>
        </w:rPr>
        <w:t>consumer</w:t>
      </w:r>
      <w:r w:rsidR="00603678">
        <w:rPr>
          <w:szCs w:val="24"/>
        </w:rPr>
        <w:t>,</w:t>
      </w:r>
      <w:r>
        <w:rPr>
          <w:szCs w:val="24"/>
        </w:rPr>
        <w:t xml:space="preserve"> </w:t>
      </w:r>
      <w:r w:rsidR="00603678">
        <w:rPr>
          <w:szCs w:val="24"/>
        </w:rPr>
        <w:t xml:space="preserve">can also </w:t>
      </w:r>
      <w:r>
        <w:rPr>
          <w:szCs w:val="24"/>
        </w:rPr>
        <w:t>charge a basic daily fee, c</w:t>
      </w:r>
      <w:r w:rsidR="00524284">
        <w:rPr>
          <w:szCs w:val="24"/>
        </w:rPr>
        <w:t>urrently up to approximately $11</w:t>
      </w:r>
      <w:r>
        <w:rPr>
          <w:szCs w:val="24"/>
        </w:rPr>
        <w:t xml:space="preserve"> per day. These </w:t>
      </w:r>
      <w:r w:rsidR="00822FC0">
        <w:rPr>
          <w:szCs w:val="24"/>
        </w:rPr>
        <w:t>amounts</w:t>
      </w:r>
      <w:r>
        <w:rPr>
          <w:szCs w:val="24"/>
        </w:rPr>
        <w:t xml:space="preserve"> are added to the </w:t>
      </w:r>
      <w:r w:rsidR="003657B7">
        <w:rPr>
          <w:szCs w:val="24"/>
        </w:rPr>
        <w:t>consumer</w:t>
      </w:r>
      <w:r>
        <w:rPr>
          <w:szCs w:val="24"/>
        </w:rPr>
        <w:t xml:space="preserve">’s </w:t>
      </w:r>
      <w:r w:rsidR="00822FC0">
        <w:rPr>
          <w:szCs w:val="24"/>
        </w:rPr>
        <w:t xml:space="preserve">subsidy to form their package budget </w:t>
      </w:r>
      <w:r>
        <w:rPr>
          <w:szCs w:val="24"/>
        </w:rPr>
        <w:t>and can be drawn upon to pay for care and services.</w:t>
      </w:r>
      <w:r w:rsidR="00365619">
        <w:rPr>
          <w:szCs w:val="24"/>
        </w:rPr>
        <w:t xml:space="preserve"> </w:t>
      </w:r>
      <w:r>
        <w:rPr>
          <w:szCs w:val="24"/>
        </w:rPr>
        <w:t>The Government subsidy on average represents 96% of home care providers’ income.</w:t>
      </w:r>
    </w:p>
    <w:p w:rsidR="009E3E06" w:rsidRDefault="009E3E06" w:rsidP="006F112F">
      <w:pPr>
        <w:spacing w:after="180" w:line="240" w:lineRule="auto"/>
      </w:pPr>
      <w:r w:rsidRPr="009E3E06">
        <w:t xml:space="preserve">Any amount that is not spent providing care and services to a </w:t>
      </w:r>
      <w:r w:rsidR="003657B7">
        <w:t>consumer</w:t>
      </w:r>
      <w:r w:rsidRPr="009E3E06">
        <w:t xml:space="preserve"> in a month is held by the provider as available funds to be drawn upon by the </w:t>
      </w:r>
      <w:r w:rsidR="003657B7">
        <w:t>consumer</w:t>
      </w:r>
      <w:r w:rsidRPr="009E3E06">
        <w:t xml:space="preserve"> in future. Available funds are commonly referred to as unspent funds, noting these only become unspent funds when a person exits care.</w:t>
      </w:r>
    </w:p>
    <w:p w:rsidR="000A78D0" w:rsidRDefault="000A78D0" w:rsidP="009E3E06"/>
    <w:p w:rsidR="006F112F" w:rsidRDefault="006F112F">
      <w:r>
        <w:br w:type="page"/>
      </w:r>
    </w:p>
    <w:p w:rsidR="00F70828" w:rsidRPr="009E3E06" w:rsidRDefault="00F70828" w:rsidP="006F112F">
      <w:pPr>
        <w:pStyle w:val="Heading2"/>
        <w:spacing w:before="0" w:after="180"/>
      </w:pPr>
      <w:bookmarkStart w:id="40" w:name="_Toc25851853"/>
      <w:bookmarkStart w:id="41" w:name="_Toc25938498"/>
      <w:bookmarkStart w:id="42" w:name="_Toc26109061"/>
      <w:bookmarkStart w:id="43" w:name="_Toc26788391"/>
      <w:r w:rsidRPr="009E3E06">
        <w:lastRenderedPageBreak/>
        <w:t>Unspent funds</w:t>
      </w:r>
      <w:bookmarkEnd w:id="37"/>
      <w:bookmarkEnd w:id="38"/>
      <w:bookmarkEnd w:id="40"/>
      <w:bookmarkEnd w:id="41"/>
      <w:bookmarkEnd w:id="42"/>
      <w:bookmarkEnd w:id="43"/>
    </w:p>
    <w:p w:rsidR="00807C4B" w:rsidRPr="00365619" w:rsidRDefault="002F5114" w:rsidP="006F112F">
      <w:pPr>
        <w:spacing w:after="180" w:line="240" w:lineRule="auto"/>
      </w:pPr>
      <w:r>
        <w:rPr>
          <w:szCs w:val="24"/>
        </w:rPr>
        <w:t xml:space="preserve">Based on </w:t>
      </w:r>
      <w:r w:rsidR="00524284">
        <w:rPr>
          <w:szCs w:val="24"/>
        </w:rPr>
        <w:t xml:space="preserve">the </w:t>
      </w:r>
      <w:r w:rsidR="00D72E4A">
        <w:rPr>
          <w:szCs w:val="24"/>
        </w:rPr>
        <w:t xml:space="preserve">most recent </w:t>
      </w:r>
      <w:r>
        <w:rPr>
          <w:szCs w:val="24"/>
        </w:rPr>
        <w:t>data</w:t>
      </w:r>
      <w:r w:rsidR="00603678">
        <w:rPr>
          <w:szCs w:val="24"/>
        </w:rPr>
        <w:t>,</w:t>
      </w:r>
      <w:r>
        <w:rPr>
          <w:szCs w:val="24"/>
        </w:rPr>
        <w:t xml:space="preserve"> t</w:t>
      </w:r>
      <w:r w:rsidR="002625BF">
        <w:rPr>
          <w:szCs w:val="24"/>
        </w:rPr>
        <w:t>he</w:t>
      </w:r>
      <w:r w:rsidR="00BA1328">
        <w:rPr>
          <w:szCs w:val="24"/>
        </w:rPr>
        <w:t xml:space="preserve"> current pool of unspent funds </w:t>
      </w:r>
      <w:r w:rsidR="00807C4B">
        <w:rPr>
          <w:szCs w:val="24"/>
        </w:rPr>
        <w:t xml:space="preserve">is </w:t>
      </w:r>
      <w:r w:rsidR="00B74C49">
        <w:rPr>
          <w:szCs w:val="24"/>
        </w:rPr>
        <w:t>around</w:t>
      </w:r>
      <w:r w:rsidR="00807C4B">
        <w:rPr>
          <w:szCs w:val="24"/>
        </w:rPr>
        <w:t xml:space="preserve"> $</w:t>
      </w:r>
      <w:r w:rsidR="005D6721" w:rsidRPr="007036F5">
        <w:rPr>
          <w:szCs w:val="24"/>
        </w:rPr>
        <w:t>750</w:t>
      </w:r>
      <w:r w:rsidR="00D72E4A">
        <w:rPr>
          <w:szCs w:val="24"/>
        </w:rPr>
        <w:t> </w:t>
      </w:r>
      <w:r w:rsidR="005D6721" w:rsidRPr="007036F5">
        <w:rPr>
          <w:szCs w:val="24"/>
        </w:rPr>
        <w:t>million</w:t>
      </w:r>
      <w:r w:rsidR="003B10EC">
        <w:rPr>
          <w:szCs w:val="24"/>
        </w:rPr>
        <w:t xml:space="preserve">. </w:t>
      </w:r>
      <w:r w:rsidR="00807C4B">
        <w:rPr>
          <w:szCs w:val="24"/>
        </w:rPr>
        <w:t>This is an increase of approximately $200</w:t>
      </w:r>
      <w:r w:rsidR="000F56DA">
        <w:rPr>
          <w:szCs w:val="24"/>
        </w:rPr>
        <w:t> </w:t>
      </w:r>
      <w:r w:rsidR="00807C4B">
        <w:rPr>
          <w:szCs w:val="24"/>
        </w:rPr>
        <w:t>million in the last 12 months.</w:t>
      </w:r>
      <w:r w:rsidR="00A50410">
        <w:rPr>
          <w:szCs w:val="24"/>
        </w:rPr>
        <w:t xml:space="preserve"> The average unspent funds per client</w:t>
      </w:r>
      <w:r w:rsidR="00E507A6">
        <w:rPr>
          <w:szCs w:val="24"/>
        </w:rPr>
        <w:t xml:space="preserve"> is</w:t>
      </w:r>
      <w:r>
        <w:rPr>
          <w:szCs w:val="24"/>
        </w:rPr>
        <w:t xml:space="preserve"> approximately $7,000</w:t>
      </w:r>
      <w:r w:rsidR="00C11D7A">
        <w:rPr>
          <w:szCs w:val="24"/>
        </w:rPr>
        <w:t>.</w:t>
      </w:r>
      <w:r w:rsidR="00365619">
        <w:rPr>
          <w:rStyle w:val="FootnoteReference"/>
          <w:szCs w:val="24"/>
        </w:rPr>
        <w:footnoteReference w:id="2"/>
      </w:r>
    </w:p>
    <w:p w:rsidR="00FD4577" w:rsidRDefault="00A35477" w:rsidP="006F112F">
      <w:pPr>
        <w:spacing w:after="180" w:line="240" w:lineRule="auto"/>
        <w:rPr>
          <w:szCs w:val="24"/>
        </w:rPr>
      </w:pPr>
      <w:r>
        <w:rPr>
          <w:szCs w:val="24"/>
        </w:rPr>
        <w:t xml:space="preserve">Unspent </w:t>
      </w:r>
      <w:r w:rsidR="00B74C49">
        <w:rPr>
          <w:szCs w:val="24"/>
        </w:rPr>
        <w:t xml:space="preserve">package </w:t>
      </w:r>
      <w:r>
        <w:rPr>
          <w:szCs w:val="24"/>
        </w:rPr>
        <w:t>funds are</w:t>
      </w:r>
      <w:r w:rsidR="00807C4B">
        <w:rPr>
          <w:szCs w:val="24"/>
        </w:rPr>
        <w:t xml:space="preserve"> </w:t>
      </w:r>
      <w:r w:rsidR="00B74C49">
        <w:rPr>
          <w:szCs w:val="24"/>
        </w:rPr>
        <w:t xml:space="preserve">currently </w:t>
      </w:r>
      <w:r w:rsidR="00807C4B">
        <w:rPr>
          <w:szCs w:val="24"/>
        </w:rPr>
        <w:t>held by providers</w:t>
      </w:r>
      <w:r w:rsidR="00B74C49">
        <w:rPr>
          <w:szCs w:val="24"/>
        </w:rPr>
        <w:t xml:space="preserve"> but should not be recognised as income by the provider until the funds have been spent or </w:t>
      </w:r>
      <w:r w:rsidR="00BE23A9">
        <w:rPr>
          <w:szCs w:val="24"/>
        </w:rPr>
        <w:t>committed</w:t>
      </w:r>
      <w:r w:rsidR="00B74C49">
        <w:rPr>
          <w:szCs w:val="24"/>
        </w:rPr>
        <w:t xml:space="preserve"> for the consumer’s care. </w:t>
      </w:r>
      <w:r w:rsidR="00D65FED">
        <w:rPr>
          <w:szCs w:val="24"/>
        </w:rPr>
        <w:t xml:space="preserve">Some providers </w:t>
      </w:r>
      <w:r w:rsidR="00B74C49">
        <w:rPr>
          <w:szCs w:val="24"/>
        </w:rPr>
        <w:t xml:space="preserve">treat unspent </w:t>
      </w:r>
      <w:r w:rsidR="00D65FED">
        <w:rPr>
          <w:szCs w:val="24"/>
        </w:rPr>
        <w:t xml:space="preserve">funds as </w:t>
      </w:r>
      <w:r w:rsidR="00B74C49">
        <w:rPr>
          <w:szCs w:val="24"/>
        </w:rPr>
        <w:t xml:space="preserve">part of their </w:t>
      </w:r>
      <w:r w:rsidR="00D65FED">
        <w:rPr>
          <w:szCs w:val="24"/>
        </w:rPr>
        <w:t>working capital</w:t>
      </w:r>
      <w:r w:rsidR="005F5572">
        <w:rPr>
          <w:szCs w:val="24"/>
        </w:rPr>
        <w:t xml:space="preserve"> (</w:t>
      </w:r>
      <w:r w:rsidR="00A97F72">
        <w:rPr>
          <w:szCs w:val="24"/>
        </w:rPr>
        <w:t>which</w:t>
      </w:r>
      <w:r w:rsidR="005F5572">
        <w:rPr>
          <w:szCs w:val="24"/>
        </w:rPr>
        <w:t xml:space="preserve"> reduces the need to access other sources of working capital such</w:t>
      </w:r>
      <w:r w:rsidR="00A97F72">
        <w:rPr>
          <w:szCs w:val="24"/>
        </w:rPr>
        <w:t xml:space="preserve"> as through borrowing), but these funds</w:t>
      </w:r>
      <w:r w:rsidR="005F5572">
        <w:rPr>
          <w:szCs w:val="24"/>
        </w:rPr>
        <w:t xml:space="preserve"> should </w:t>
      </w:r>
      <w:r w:rsidR="00A97F72">
        <w:rPr>
          <w:szCs w:val="24"/>
        </w:rPr>
        <w:t xml:space="preserve">then </w:t>
      </w:r>
      <w:r w:rsidR="005F5572">
        <w:rPr>
          <w:szCs w:val="24"/>
        </w:rPr>
        <w:t>be recognised in the providers</w:t>
      </w:r>
      <w:r w:rsidR="00524284">
        <w:rPr>
          <w:szCs w:val="24"/>
        </w:rPr>
        <w:t>’</w:t>
      </w:r>
      <w:r w:rsidR="005F5572">
        <w:rPr>
          <w:szCs w:val="24"/>
        </w:rPr>
        <w:t xml:space="preserve"> accounts as a liability</w:t>
      </w:r>
      <w:r w:rsidR="00D65FED">
        <w:rPr>
          <w:szCs w:val="24"/>
        </w:rPr>
        <w:t xml:space="preserve">. </w:t>
      </w:r>
      <w:r w:rsidR="005F5572">
        <w:rPr>
          <w:szCs w:val="24"/>
        </w:rPr>
        <w:t>It appears s</w:t>
      </w:r>
      <w:r w:rsidR="00D65FED">
        <w:rPr>
          <w:szCs w:val="24"/>
        </w:rPr>
        <w:t xml:space="preserve">ome </w:t>
      </w:r>
      <w:r w:rsidR="005F5572">
        <w:rPr>
          <w:szCs w:val="24"/>
        </w:rPr>
        <w:t xml:space="preserve">providers </w:t>
      </w:r>
      <w:r w:rsidR="00BE23A9">
        <w:rPr>
          <w:szCs w:val="24"/>
        </w:rPr>
        <w:t xml:space="preserve">quarantine </w:t>
      </w:r>
      <w:r w:rsidR="005F5572">
        <w:rPr>
          <w:szCs w:val="24"/>
        </w:rPr>
        <w:t xml:space="preserve">unspent funds </w:t>
      </w:r>
      <w:r w:rsidR="00BE23A9">
        <w:rPr>
          <w:szCs w:val="24"/>
        </w:rPr>
        <w:t>in an</w:t>
      </w:r>
      <w:r w:rsidR="00D65FED">
        <w:rPr>
          <w:szCs w:val="24"/>
        </w:rPr>
        <w:t xml:space="preserve"> account </w:t>
      </w:r>
      <w:r w:rsidR="005F5572">
        <w:rPr>
          <w:szCs w:val="24"/>
        </w:rPr>
        <w:t xml:space="preserve">separate from the operating account </w:t>
      </w:r>
      <w:r w:rsidR="00D65FED">
        <w:rPr>
          <w:szCs w:val="24"/>
        </w:rPr>
        <w:t xml:space="preserve">and use </w:t>
      </w:r>
      <w:r w:rsidR="005F5572">
        <w:rPr>
          <w:szCs w:val="24"/>
        </w:rPr>
        <w:t>the funds</w:t>
      </w:r>
      <w:r w:rsidR="00D65FED">
        <w:rPr>
          <w:szCs w:val="24"/>
        </w:rPr>
        <w:t xml:space="preserve"> only to pay for care and services to </w:t>
      </w:r>
      <w:r w:rsidR="003657B7">
        <w:rPr>
          <w:szCs w:val="24"/>
        </w:rPr>
        <w:t>consumer</w:t>
      </w:r>
      <w:r w:rsidR="00D65FED">
        <w:rPr>
          <w:szCs w:val="24"/>
        </w:rPr>
        <w:t xml:space="preserve">s, although they may use the interest earned on those funds for various purposes. </w:t>
      </w:r>
      <w:r w:rsidR="009B6BC5">
        <w:rPr>
          <w:szCs w:val="24"/>
        </w:rPr>
        <w:t>S</w:t>
      </w:r>
      <w:r w:rsidR="00D65FED">
        <w:rPr>
          <w:szCs w:val="24"/>
        </w:rPr>
        <w:t>ome providers have this money held by a third party, effectively holding it in trust</w:t>
      </w:r>
      <w:r w:rsidR="005F5572">
        <w:rPr>
          <w:szCs w:val="24"/>
        </w:rPr>
        <w:t xml:space="preserve"> for the </w:t>
      </w:r>
      <w:r w:rsidR="003657B7">
        <w:rPr>
          <w:szCs w:val="24"/>
        </w:rPr>
        <w:t>consumer</w:t>
      </w:r>
      <w:r w:rsidR="00BE23A9">
        <w:rPr>
          <w:szCs w:val="24"/>
        </w:rPr>
        <w:t>s</w:t>
      </w:r>
      <w:r w:rsidR="00D65FED">
        <w:rPr>
          <w:szCs w:val="24"/>
        </w:rPr>
        <w:t>.</w:t>
      </w:r>
      <w:r w:rsidR="00365619">
        <w:rPr>
          <w:szCs w:val="24"/>
        </w:rPr>
        <w:t xml:space="preserve"> </w:t>
      </w:r>
    </w:p>
    <w:p w:rsidR="00FD4577" w:rsidRDefault="00D65FED" w:rsidP="009F05A2">
      <w:pPr>
        <w:spacing w:after="180" w:line="240" w:lineRule="auto"/>
        <w:rPr>
          <w:szCs w:val="24"/>
        </w:rPr>
      </w:pPr>
      <w:r>
        <w:rPr>
          <w:szCs w:val="24"/>
        </w:rPr>
        <w:t>The average subsidy utilisation</w:t>
      </w:r>
      <w:r w:rsidR="00781325">
        <w:rPr>
          <w:szCs w:val="24"/>
        </w:rPr>
        <w:t xml:space="preserve"> rate</w:t>
      </w:r>
      <w:r>
        <w:rPr>
          <w:szCs w:val="24"/>
        </w:rPr>
        <w:t xml:space="preserve"> is 90 per cent, meaning that</w:t>
      </w:r>
      <w:r w:rsidR="009F05A2">
        <w:rPr>
          <w:szCs w:val="24"/>
        </w:rPr>
        <w:t xml:space="preserve"> on average</w:t>
      </w:r>
      <w:r>
        <w:rPr>
          <w:szCs w:val="24"/>
        </w:rPr>
        <w:t xml:space="preserve"> 10 per cent of </w:t>
      </w:r>
      <w:r w:rsidR="005F5572">
        <w:rPr>
          <w:szCs w:val="24"/>
        </w:rPr>
        <w:t xml:space="preserve">Government subsidy payments are </w:t>
      </w:r>
      <w:r>
        <w:rPr>
          <w:szCs w:val="24"/>
        </w:rPr>
        <w:t>accruing as unspent funds</w:t>
      </w:r>
      <w:r w:rsidR="00FD4577">
        <w:rPr>
          <w:szCs w:val="24"/>
        </w:rPr>
        <w:t>. While the</w:t>
      </w:r>
      <w:r w:rsidR="000C6B2A">
        <w:rPr>
          <w:szCs w:val="24"/>
        </w:rPr>
        <w:t xml:space="preserve"> </w:t>
      </w:r>
      <w:r w:rsidR="00FD4577">
        <w:rPr>
          <w:szCs w:val="24"/>
        </w:rPr>
        <w:t>growth of an individual’s unspent funds balance will largely be related to how long they are in care, p</w:t>
      </w:r>
      <w:r w:rsidR="009F05A2">
        <w:rPr>
          <w:szCs w:val="24"/>
        </w:rPr>
        <w:t xml:space="preserve">roviders reported that their unspent funds were concentrated on a small number of </w:t>
      </w:r>
      <w:r w:rsidR="003657B7">
        <w:rPr>
          <w:szCs w:val="24"/>
        </w:rPr>
        <w:t>consumer</w:t>
      </w:r>
      <w:r w:rsidR="009F05A2">
        <w:rPr>
          <w:szCs w:val="24"/>
        </w:rPr>
        <w:t xml:space="preserve">s with very large balances. </w:t>
      </w:r>
    </w:p>
    <w:p w:rsidR="000D7367" w:rsidRDefault="00DC04C0" w:rsidP="006F112F">
      <w:pPr>
        <w:spacing w:after="180" w:line="240" w:lineRule="auto"/>
        <w:rPr>
          <w:szCs w:val="24"/>
        </w:rPr>
      </w:pPr>
      <w:r>
        <w:rPr>
          <w:szCs w:val="24"/>
        </w:rPr>
        <w:t xml:space="preserve">A range of factors are behind the growth in </w:t>
      </w:r>
      <w:r w:rsidR="00930319">
        <w:rPr>
          <w:szCs w:val="24"/>
        </w:rPr>
        <w:t>unspent</w:t>
      </w:r>
      <w:r>
        <w:rPr>
          <w:szCs w:val="24"/>
        </w:rPr>
        <w:t xml:space="preserve"> funds, as discussed in ACFA’s 2019 </w:t>
      </w:r>
      <w:r w:rsidR="000D7367">
        <w:rPr>
          <w:szCs w:val="24"/>
        </w:rPr>
        <w:t>a</w:t>
      </w:r>
      <w:r>
        <w:rPr>
          <w:szCs w:val="24"/>
        </w:rPr>
        <w:t>nnual report.</w:t>
      </w:r>
      <w:r>
        <w:rPr>
          <w:rStyle w:val="FootnoteReference"/>
          <w:szCs w:val="24"/>
        </w:rPr>
        <w:footnoteReference w:id="3"/>
      </w:r>
      <w:r w:rsidR="000A78D0">
        <w:rPr>
          <w:szCs w:val="24"/>
        </w:rPr>
        <w:t xml:space="preserve"> </w:t>
      </w:r>
      <w:r w:rsidR="00A97F72" w:rsidRPr="00A97F72">
        <w:rPr>
          <w:szCs w:val="24"/>
        </w:rPr>
        <w:t>The change in payment arrangements, which was the basis of the consultations, will not address the underlying issues causing unspent funds to accumulate, but w</w:t>
      </w:r>
      <w:r w:rsidR="00524284">
        <w:rPr>
          <w:szCs w:val="24"/>
        </w:rPr>
        <w:t xml:space="preserve">ill address who holds </w:t>
      </w:r>
      <w:r w:rsidR="00822FC0">
        <w:rPr>
          <w:szCs w:val="24"/>
        </w:rPr>
        <w:t>the</w:t>
      </w:r>
      <w:r w:rsidR="00CC65B2">
        <w:rPr>
          <w:szCs w:val="24"/>
        </w:rPr>
        <w:t xml:space="preserve"> funds</w:t>
      </w:r>
      <w:r w:rsidR="00C11D7A">
        <w:rPr>
          <w:szCs w:val="24"/>
        </w:rPr>
        <w:t>–</w:t>
      </w:r>
      <w:r w:rsidR="00524284">
        <w:rPr>
          <w:szCs w:val="24"/>
        </w:rPr>
        <w:t xml:space="preserve"> </w:t>
      </w:r>
      <w:r w:rsidR="00A97F72" w:rsidRPr="00A97F72">
        <w:rPr>
          <w:szCs w:val="24"/>
        </w:rPr>
        <w:t>provider</w:t>
      </w:r>
      <w:r w:rsidR="00C11D7A">
        <w:rPr>
          <w:szCs w:val="24"/>
        </w:rPr>
        <w:t xml:space="preserve"> </w:t>
      </w:r>
      <w:r w:rsidR="00A97F72" w:rsidRPr="00A97F72">
        <w:rPr>
          <w:szCs w:val="24"/>
        </w:rPr>
        <w:t>or Government.</w:t>
      </w:r>
    </w:p>
    <w:p w:rsidR="00DC04C0" w:rsidRDefault="000A78D0" w:rsidP="006F112F">
      <w:pPr>
        <w:spacing w:after="180" w:line="240" w:lineRule="auto"/>
        <w:rPr>
          <w:szCs w:val="24"/>
        </w:rPr>
      </w:pPr>
      <w:r>
        <w:rPr>
          <w:szCs w:val="24"/>
        </w:rPr>
        <w:t>During</w:t>
      </w:r>
      <w:r w:rsidR="00786580">
        <w:rPr>
          <w:szCs w:val="24"/>
        </w:rPr>
        <w:t xml:space="preserve"> ACFA’s</w:t>
      </w:r>
      <w:r>
        <w:rPr>
          <w:szCs w:val="24"/>
        </w:rPr>
        <w:t xml:space="preserve"> consultations</w:t>
      </w:r>
      <w:r w:rsidR="00603678">
        <w:rPr>
          <w:szCs w:val="24"/>
        </w:rPr>
        <w:t>,</w:t>
      </w:r>
      <w:r>
        <w:rPr>
          <w:szCs w:val="24"/>
        </w:rPr>
        <w:t xml:space="preserve"> a number of </w:t>
      </w:r>
      <w:r w:rsidR="005F5572">
        <w:rPr>
          <w:szCs w:val="24"/>
        </w:rPr>
        <w:t xml:space="preserve">providers said that the focus should be on addressing the reasons for the build-up in unspent funds rather than changing who holds such funds. A number of </w:t>
      </w:r>
      <w:r w:rsidR="00786580">
        <w:rPr>
          <w:szCs w:val="24"/>
        </w:rPr>
        <w:t xml:space="preserve">suggestions </w:t>
      </w:r>
      <w:r w:rsidR="000D7367">
        <w:rPr>
          <w:szCs w:val="24"/>
        </w:rPr>
        <w:t xml:space="preserve">were </w:t>
      </w:r>
      <w:r w:rsidR="005F5572">
        <w:rPr>
          <w:szCs w:val="24"/>
        </w:rPr>
        <w:t xml:space="preserve">offered on how to reduce the growth </w:t>
      </w:r>
      <w:r w:rsidR="00603678">
        <w:rPr>
          <w:szCs w:val="24"/>
        </w:rPr>
        <w:t>in</w:t>
      </w:r>
      <w:r w:rsidR="000D7367">
        <w:rPr>
          <w:szCs w:val="24"/>
        </w:rPr>
        <w:t xml:space="preserve"> unspent funds, predominantly </w:t>
      </w:r>
      <w:r w:rsidR="00405433">
        <w:rPr>
          <w:szCs w:val="24"/>
        </w:rPr>
        <w:t>involving</w:t>
      </w:r>
      <w:r w:rsidR="000D7367">
        <w:rPr>
          <w:szCs w:val="24"/>
        </w:rPr>
        <w:t xml:space="preserve"> changes to the assessment process to avoid over assessment and to enable downgrading of package levels if a </w:t>
      </w:r>
      <w:r w:rsidR="003657B7">
        <w:rPr>
          <w:szCs w:val="24"/>
        </w:rPr>
        <w:t>consumer</w:t>
      </w:r>
      <w:r w:rsidR="000D7367">
        <w:rPr>
          <w:szCs w:val="24"/>
        </w:rPr>
        <w:t>’s needs reduce</w:t>
      </w:r>
      <w:r>
        <w:rPr>
          <w:szCs w:val="24"/>
        </w:rPr>
        <w:t>.</w:t>
      </w:r>
    </w:p>
    <w:p w:rsidR="008A49BA" w:rsidRDefault="008A49BA" w:rsidP="003E646C">
      <w:pPr>
        <w:spacing w:after="180"/>
        <w:rPr>
          <w:rFonts w:asciiTheme="majorHAnsi" w:eastAsiaTheme="majorEastAsia" w:hAnsiTheme="majorHAnsi" w:cstheme="majorBidi"/>
          <w:b/>
          <w:color w:val="2E74B5" w:themeColor="accent1" w:themeShade="BF"/>
          <w:sz w:val="40"/>
          <w:szCs w:val="32"/>
        </w:rPr>
      </w:pPr>
      <w:r>
        <w:br w:type="page"/>
      </w:r>
    </w:p>
    <w:p w:rsidR="00367D12" w:rsidRDefault="00C423A7" w:rsidP="00DC7117">
      <w:pPr>
        <w:pStyle w:val="Heading1"/>
        <w:numPr>
          <w:ilvl w:val="0"/>
          <w:numId w:val="14"/>
        </w:numPr>
        <w:spacing w:before="0" w:after="180"/>
      </w:pPr>
      <w:bookmarkStart w:id="44" w:name="_Toc25325889"/>
      <w:bookmarkStart w:id="45" w:name="_Toc25851854"/>
      <w:bookmarkStart w:id="46" w:name="_Toc25938499"/>
      <w:bookmarkStart w:id="47" w:name="_Toc26109062"/>
      <w:bookmarkStart w:id="48" w:name="_Toc26788392"/>
      <w:r>
        <w:lastRenderedPageBreak/>
        <w:t xml:space="preserve">Issues </w:t>
      </w:r>
      <w:r w:rsidR="003F368D">
        <w:t>raised</w:t>
      </w:r>
      <w:r w:rsidR="00BD5FE2">
        <w:t xml:space="preserve"> </w:t>
      </w:r>
      <w:r>
        <w:t>in</w:t>
      </w:r>
      <w:r w:rsidR="00BD5FE2">
        <w:t xml:space="preserve"> consultations</w:t>
      </w:r>
      <w:bookmarkEnd w:id="44"/>
      <w:bookmarkEnd w:id="45"/>
      <w:bookmarkEnd w:id="46"/>
      <w:bookmarkEnd w:id="47"/>
      <w:bookmarkEnd w:id="48"/>
      <w:r w:rsidR="004D06BC" w:rsidRPr="004D06BC">
        <w:t xml:space="preserve"> </w:t>
      </w:r>
    </w:p>
    <w:p w:rsidR="004D06BC" w:rsidRPr="004D06BC" w:rsidRDefault="004D06BC" w:rsidP="004D06BC">
      <w:pPr>
        <w:pStyle w:val="Heading2"/>
      </w:pPr>
      <w:bookmarkStart w:id="49" w:name="_Toc25851855"/>
      <w:bookmarkStart w:id="50" w:name="_Toc25938500"/>
      <w:bookmarkStart w:id="51" w:name="_Toc26109063"/>
      <w:bookmarkStart w:id="52" w:name="_Toc26788393"/>
      <w:r w:rsidRPr="004D06BC">
        <w:t>Current arrangements</w:t>
      </w:r>
    </w:p>
    <w:p w:rsidR="00EF2291" w:rsidRDefault="00896A18" w:rsidP="004D06BC">
      <w:r>
        <w:rPr>
          <w:noProof/>
          <w:lang w:eastAsia="en-AU"/>
        </w:rPr>
        <mc:AlternateContent>
          <mc:Choice Requires="wps">
            <w:drawing>
              <wp:inline distT="0" distB="0" distL="0" distR="0">
                <wp:extent cx="5760000" cy="1404620"/>
                <wp:effectExtent l="0" t="0" r="12700" b="1841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61B35" w:rsidRDefault="00E61B35" w:rsidP="00896A18">
                            <w:pPr>
                              <w:pStyle w:val="CommentText"/>
                            </w:pPr>
                            <w:r>
                              <w:t>Providers are currently paid the Government subsidy in advance based on a consumer’s days in care and their package level. Providers retain unspent funds for future drawdown by the consumer.</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" fillcolor="#91bce3 [2164]" strokecolor="#5b9bd5 [3204]" strokeweight=".5pt">
                <v:fill color2="#7aaddd [2612]" rotate="t" colors="0 #b1cbe9;.5 #a3c1e5;1 #92b9e4" focus="100%" type="gradient">
                  <o:fill v:ext="view" type="gradientUnscaled"/>
                </v:fill>
                <v:textbox style="mso-fit-shape-to-text:t">
                  <w:txbxContent>
                    <w:p w:rsidR="00E61B35" w:rsidRDefault="00E61B35" w:rsidP="00896A18">
                      <w:pPr>
                        <w:pStyle w:val="CommentText"/>
                      </w:pPr>
                      <w:r>
                        <w:t>Providers are currently paid the Government subsidy in advance based on a consumer’s days in care and their package level. Providers retain unspent funds for future drawdown by the consumer.</w:t>
                      </w:r>
                    </w:p>
                  </w:txbxContent>
                </v:textbox>
                <w10:anchorlock/>
              </v:shape>
            </w:pict>
          </mc:Fallback>
        </mc:AlternateContent>
      </w:r>
      <w:bookmarkEnd w:id="49"/>
      <w:bookmarkEnd w:id="50"/>
      <w:bookmarkEnd w:id="51"/>
      <w:bookmarkEnd w:id="52"/>
    </w:p>
    <w:p w:rsidR="004E0BBC" w:rsidRDefault="00536C76" w:rsidP="004D06BC">
      <w:pPr>
        <w:spacing w:before="240" w:after="180" w:line="240" w:lineRule="auto"/>
      </w:pPr>
      <w:r>
        <w:t xml:space="preserve">Receiving the Government subsidy in advance has reduced the need for many providers </w:t>
      </w:r>
      <w:r w:rsidR="00545FA6">
        <w:t>to access other means</w:t>
      </w:r>
      <w:r>
        <w:t xml:space="preserve"> to obtain working capital. </w:t>
      </w:r>
      <w:r w:rsidR="006C736A">
        <w:t>P</w:t>
      </w:r>
      <w:r>
        <w:t xml:space="preserve">roviders noted that </w:t>
      </w:r>
      <w:r w:rsidR="00603678">
        <w:t xml:space="preserve">they </w:t>
      </w:r>
      <w:r>
        <w:t xml:space="preserve">still need to finance </w:t>
      </w:r>
      <w:r w:rsidR="00E01A5A">
        <w:t xml:space="preserve">the services provided to new </w:t>
      </w:r>
      <w:r w:rsidR="003657B7">
        <w:t>consumer</w:t>
      </w:r>
      <w:r w:rsidR="00BE23A9">
        <w:t>s</w:t>
      </w:r>
      <w:r w:rsidR="00E01A5A">
        <w:t xml:space="preserve"> pending receipt of their Government subsidy.</w:t>
      </w:r>
    </w:p>
    <w:p w:rsidR="004E0BBC" w:rsidRDefault="004E0BBC" w:rsidP="00894227">
      <w:pPr>
        <w:spacing w:after="180" w:line="240" w:lineRule="auto"/>
      </w:pPr>
      <w:r>
        <w:t>Providers</w:t>
      </w:r>
      <w:r w:rsidR="00E01A5A">
        <w:t xml:space="preserve"> also advised that there can be significant reconciliation issues when they do not receive </w:t>
      </w:r>
      <w:r w:rsidR="00545FA6">
        <w:t xml:space="preserve">what they consider to be </w:t>
      </w:r>
      <w:r w:rsidR="00BE23A9">
        <w:t>the correct</w:t>
      </w:r>
      <w:r w:rsidR="00707E86" w:rsidRPr="00707E86">
        <w:t xml:space="preserve"> </w:t>
      </w:r>
      <w:r w:rsidR="00E01A5A">
        <w:t xml:space="preserve">subsidy </w:t>
      </w:r>
      <w:r w:rsidR="00707E86" w:rsidRPr="00707E86">
        <w:t xml:space="preserve">payments </w:t>
      </w:r>
      <w:r w:rsidR="00E01A5A">
        <w:t xml:space="preserve">for </w:t>
      </w:r>
      <w:r w:rsidR="003657B7">
        <w:t>consumer</w:t>
      </w:r>
      <w:r w:rsidR="00707E86" w:rsidRPr="00707E86">
        <w:t xml:space="preserve">s. </w:t>
      </w:r>
      <w:r w:rsidR="00E01A5A">
        <w:t>Providers said the current payment system is slow to respond to requests for payment adjustments and the reconciliation process can involve significant a</w:t>
      </w:r>
      <w:r w:rsidR="00545FA6">
        <w:t>dministrative effort and cost to</w:t>
      </w:r>
      <w:r w:rsidR="00E01A5A">
        <w:t xml:space="preserve"> providers. </w:t>
      </w:r>
      <w:r>
        <w:t xml:space="preserve">It was observed that gaps in the information flow between providers and </w:t>
      </w:r>
      <w:r w:rsidR="00545FA6">
        <w:t xml:space="preserve">DHS can be caused by such factors as providers not receiving package upgrade notifications, the absence of a mechanism to confirm the subsidy package </w:t>
      </w:r>
      <w:r w:rsidR="00A97F72">
        <w:t xml:space="preserve">that </w:t>
      </w:r>
      <w:r w:rsidR="003657B7">
        <w:t>consumer</w:t>
      </w:r>
      <w:r w:rsidR="00BE23A9">
        <w:t>s</w:t>
      </w:r>
      <w:r w:rsidR="00545FA6">
        <w:t xml:space="preserve"> are receiving when they transfer between providers, and no mechanism for providers to access how many days of leave remain before a package </w:t>
      </w:r>
      <w:r w:rsidR="00BE23A9">
        <w:t>recipients</w:t>
      </w:r>
      <w:r w:rsidR="00545FA6">
        <w:t xml:space="preserve"> subsidy is reduced. One</w:t>
      </w:r>
      <w:r w:rsidR="00415FC9">
        <w:t> </w:t>
      </w:r>
      <w:r w:rsidR="00545FA6">
        <w:t xml:space="preserve">provider reported that </w:t>
      </w:r>
      <w:r w:rsidR="00545FA6">
        <w:rPr>
          <w:szCs w:val="24"/>
        </w:rPr>
        <w:t xml:space="preserve">40 of their </w:t>
      </w:r>
      <w:r w:rsidR="003657B7">
        <w:rPr>
          <w:szCs w:val="24"/>
        </w:rPr>
        <w:t>consumer</w:t>
      </w:r>
      <w:r w:rsidR="00BE23A9">
        <w:rPr>
          <w:szCs w:val="24"/>
        </w:rPr>
        <w:t>s had ‘dropped</w:t>
      </w:r>
      <w:r w:rsidR="00545FA6">
        <w:rPr>
          <w:szCs w:val="24"/>
        </w:rPr>
        <w:t xml:space="preserve"> </w:t>
      </w:r>
      <w:r w:rsidR="00BE23A9" w:rsidRPr="00994E91">
        <w:rPr>
          <w:szCs w:val="24"/>
        </w:rPr>
        <w:t>off</w:t>
      </w:r>
      <w:r w:rsidR="00BE23A9">
        <w:rPr>
          <w:szCs w:val="24"/>
        </w:rPr>
        <w:t xml:space="preserve">’ </w:t>
      </w:r>
      <w:r w:rsidR="00BE23A9" w:rsidRPr="00994E91">
        <w:rPr>
          <w:szCs w:val="24"/>
        </w:rPr>
        <w:t>the</w:t>
      </w:r>
      <w:r w:rsidR="00545FA6" w:rsidRPr="00994E91">
        <w:rPr>
          <w:szCs w:val="24"/>
        </w:rPr>
        <w:t xml:space="preserve"> </w:t>
      </w:r>
      <w:r w:rsidR="006C736A">
        <w:rPr>
          <w:szCs w:val="24"/>
        </w:rPr>
        <w:t xml:space="preserve">DHS </w:t>
      </w:r>
      <w:r w:rsidR="00545FA6" w:rsidRPr="00994E91">
        <w:rPr>
          <w:szCs w:val="24"/>
        </w:rPr>
        <w:t>system</w:t>
      </w:r>
      <w:r w:rsidR="00545FA6">
        <w:rPr>
          <w:szCs w:val="24"/>
        </w:rPr>
        <w:t xml:space="preserve">, resulting </w:t>
      </w:r>
      <w:r w:rsidR="00545FA6" w:rsidRPr="00994E91">
        <w:rPr>
          <w:szCs w:val="24"/>
        </w:rPr>
        <w:t>in unpa</w:t>
      </w:r>
      <w:r w:rsidR="00545FA6">
        <w:rPr>
          <w:szCs w:val="24"/>
        </w:rPr>
        <w:t>id subsidies of $120,000</w:t>
      </w:r>
      <w:r w:rsidR="00415FC9">
        <w:rPr>
          <w:szCs w:val="24"/>
        </w:rPr>
        <w:t>.</w:t>
      </w:r>
    </w:p>
    <w:p w:rsidR="00707E86" w:rsidRPr="00707E86" w:rsidRDefault="00545FA6" w:rsidP="000C6B2A">
      <w:pPr>
        <w:spacing w:after="180" w:line="240" w:lineRule="auto"/>
      </w:pPr>
      <w:r>
        <w:t xml:space="preserve">It was claimed </w:t>
      </w:r>
      <w:r w:rsidR="00BE23A9">
        <w:t>that payment</w:t>
      </w:r>
      <w:r w:rsidR="00E01A5A">
        <w:t xml:space="preserve"> adjustments can take up to six weeks to reach providers’ ba</w:t>
      </w:r>
      <w:r>
        <w:t>nk accounts.</w:t>
      </w:r>
      <w:r w:rsidR="004E0BBC">
        <w:t xml:space="preserve"> Providers </w:t>
      </w:r>
      <w:r w:rsidR="00707E86" w:rsidRPr="00707E86">
        <w:t>noted the</w:t>
      </w:r>
      <w:r w:rsidR="004E0BBC">
        <w:t xml:space="preserve">y faced </w:t>
      </w:r>
      <w:r w:rsidR="00BE23A9">
        <w:t xml:space="preserve">the </w:t>
      </w:r>
      <w:r w:rsidR="00BE23A9" w:rsidRPr="00707E86">
        <w:t>challenge</w:t>
      </w:r>
      <w:r w:rsidR="00707E86" w:rsidRPr="00707E86">
        <w:t xml:space="preserve"> of continuing to fund care and services whilst </w:t>
      </w:r>
      <w:r w:rsidR="00107F23">
        <w:t>payment</w:t>
      </w:r>
      <w:r w:rsidR="00107F23" w:rsidRPr="00707E86">
        <w:t xml:space="preserve"> </w:t>
      </w:r>
      <w:r w:rsidR="00707E86" w:rsidRPr="00707E86">
        <w:t>issues are being worked through</w:t>
      </w:r>
      <w:r w:rsidR="00603678">
        <w:t>;</w:t>
      </w:r>
      <w:r w:rsidR="00707E86" w:rsidRPr="00707E86">
        <w:t xml:space="preserve"> essentially</w:t>
      </w:r>
      <w:r w:rsidR="004E0BBC">
        <w:t xml:space="preserve"> </w:t>
      </w:r>
      <w:r w:rsidR="009B7DC6">
        <w:t>th</w:t>
      </w:r>
      <w:r w:rsidR="004E0BBC">
        <w:t xml:space="preserve">ey had to continue </w:t>
      </w:r>
      <w:r w:rsidR="00BE23A9">
        <w:t>to deliver</w:t>
      </w:r>
      <w:r w:rsidR="00707E86" w:rsidRPr="00707E86">
        <w:t xml:space="preserve"> services </w:t>
      </w:r>
      <w:r w:rsidR="004E0BBC">
        <w:t xml:space="preserve">for some consumers </w:t>
      </w:r>
      <w:r w:rsidR="00707E86" w:rsidRPr="00707E86">
        <w:t>without receiving</w:t>
      </w:r>
      <w:r w:rsidR="00FC6690">
        <w:t xml:space="preserve"> </w:t>
      </w:r>
      <w:r w:rsidR="004E0BBC">
        <w:t xml:space="preserve">the Government subsidy </w:t>
      </w:r>
      <w:r w:rsidR="00BE23A9">
        <w:t>payment.</w:t>
      </w:r>
      <w:r w:rsidR="004E0BBC">
        <w:t xml:space="preserve"> It was </w:t>
      </w:r>
      <w:r>
        <w:t>observed</w:t>
      </w:r>
      <w:r w:rsidR="004E0BBC">
        <w:t xml:space="preserve"> that under current arrangements, the impact of </w:t>
      </w:r>
      <w:r>
        <w:t xml:space="preserve">such financing pressures </w:t>
      </w:r>
      <w:r w:rsidR="004E0BBC">
        <w:t xml:space="preserve">is somewhat cushioned by the subsidy payments being made in advance and providers holding the </w:t>
      </w:r>
      <w:r w:rsidR="003657B7">
        <w:t>consumer</w:t>
      </w:r>
      <w:r w:rsidR="00BE23A9">
        <w:t>s</w:t>
      </w:r>
      <w:r w:rsidR="00A97F72">
        <w:t>’</w:t>
      </w:r>
      <w:r w:rsidR="004E0BBC">
        <w:t xml:space="preserve"> unspent package funds.</w:t>
      </w:r>
      <w:r w:rsidR="00707E86" w:rsidRPr="00707E86">
        <w:t xml:space="preserve"> </w:t>
      </w:r>
    </w:p>
    <w:p w:rsidR="006F112F" w:rsidRPr="00707E86" w:rsidRDefault="008254B4" w:rsidP="006F112F">
      <w:pPr>
        <w:pStyle w:val="CommentText"/>
        <w:spacing w:after="180"/>
      </w:pPr>
      <w:r>
        <w:t xml:space="preserve">It appears that </w:t>
      </w:r>
      <w:r w:rsidR="00BE23A9">
        <w:t>providers</w:t>
      </w:r>
      <w:r w:rsidR="00540D62">
        <w:t xml:space="preserve"> </w:t>
      </w:r>
      <w:r>
        <w:t>are</w:t>
      </w:r>
      <w:r w:rsidR="00540D62">
        <w:t xml:space="preserve"> concerned that the </w:t>
      </w:r>
      <w:r>
        <w:t xml:space="preserve">reconciliation </w:t>
      </w:r>
      <w:r w:rsidR="00540D62">
        <w:t xml:space="preserve">issues </w:t>
      </w:r>
      <w:r>
        <w:t xml:space="preserve">and resulting administrative costs currently </w:t>
      </w:r>
      <w:r w:rsidR="00540D62">
        <w:t xml:space="preserve">being experienced </w:t>
      </w:r>
      <w:r>
        <w:t>c</w:t>
      </w:r>
      <w:r w:rsidR="00540D62">
        <w:t xml:space="preserve">ould be exacerbated by </w:t>
      </w:r>
      <w:r w:rsidR="003D5400">
        <w:t xml:space="preserve">introducing further complexity to the </w:t>
      </w:r>
      <w:r>
        <w:t xml:space="preserve">payment </w:t>
      </w:r>
      <w:r w:rsidR="00BE23A9">
        <w:t>system. Moreover</w:t>
      </w:r>
      <w:r w:rsidR="00A97F72">
        <w:t>,</w:t>
      </w:r>
      <w:r w:rsidR="00BE23A9">
        <w:t xml:space="preserve"> problems</w:t>
      </w:r>
      <w:r>
        <w:t xml:space="preserve"> with the existing system contributed to providers</w:t>
      </w:r>
      <w:r w:rsidR="00C56C10">
        <w:t>’</w:t>
      </w:r>
      <w:r>
        <w:t xml:space="preserve"> scepticism as to whether a change in payment arrangements would be smoothly implemented.</w:t>
      </w:r>
    </w:p>
    <w:p w:rsidR="00114954" w:rsidRDefault="00114954">
      <w:r>
        <w:br w:type="page"/>
      </w:r>
    </w:p>
    <w:p w:rsidR="006F112F" w:rsidRPr="00707E86" w:rsidRDefault="006F112F" w:rsidP="006F112F">
      <w:pPr>
        <w:pStyle w:val="CommentText"/>
        <w:spacing w:after="180"/>
      </w:pPr>
    </w:p>
    <w:p w:rsidR="00EF2291" w:rsidRDefault="00E44522" w:rsidP="006F112F">
      <w:pPr>
        <w:pStyle w:val="Heading2"/>
        <w:spacing w:before="0" w:after="180"/>
      </w:pPr>
      <w:bookmarkStart w:id="53" w:name="_Toc25851856"/>
      <w:bookmarkStart w:id="54" w:name="_Toc25938501"/>
      <w:bookmarkStart w:id="55" w:name="_Toc26109064"/>
      <w:bookmarkStart w:id="56" w:name="_Toc26788394"/>
      <w:r>
        <w:t xml:space="preserve">Phase </w:t>
      </w:r>
      <w:r w:rsidR="00405433">
        <w:t xml:space="preserve">1 </w:t>
      </w:r>
      <w:r w:rsidR="00EF2291">
        <w:t>– moving from advance to arrears payments</w:t>
      </w:r>
      <w:bookmarkEnd w:id="53"/>
      <w:bookmarkEnd w:id="54"/>
      <w:bookmarkEnd w:id="55"/>
      <w:bookmarkEnd w:id="56"/>
    </w:p>
    <w:p w:rsidR="00C56C10" w:rsidRDefault="004D06BC" w:rsidP="003F52BE">
      <w:pPr>
        <w:pStyle w:val="CommentText"/>
        <w:spacing w:after="0"/>
      </w:pPr>
      <w:r>
        <w:rPr>
          <w:noProof/>
          <w:lang w:eastAsia="en-AU"/>
        </w:rPr>
        <mc:AlternateContent>
          <mc:Choice Requires="wps">
            <w:drawing>
              <wp:inline distT="0" distB="0" distL="0" distR="0" wp14:anchorId="308C5F95" wp14:editId="143BA31C">
                <wp:extent cx="5731510" cy="1098908"/>
                <wp:effectExtent l="0" t="0" r="21590" b="2603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098908"/>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D06BC" w:rsidRDefault="004D06BC" w:rsidP="004D06BC">
                            <w:pPr>
                              <w:pStyle w:val="CommentText"/>
                            </w:pPr>
                            <w:r w:rsidRPr="00584706">
                              <w:t xml:space="preserve">Phase </w:t>
                            </w:r>
                            <w:r>
                              <w:t>1 (from June 2020) will change</w:t>
                            </w:r>
                            <w:r w:rsidRPr="00584706">
                              <w:t xml:space="preserve"> payments from</w:t>
                            </w:r>
                            <w:r>
                              <w:t xml:space="preserve"> being made</w:t>
                            </w:r>
                            <w:r w:rsidRPr="00584706">
                              <w:t xml:space="preserve"> in advance to</w:t>
                            </w:r>
                            <w:r>
                              <w:t xml:space="preserve"> being made in</w:t>
                            </w:r>
                            <w:r w:rsidRPr="00584706">
                              <w:t xml:space="preserve"> arrears. In practical terms, </w:t>
                            </w:r>
                            <w:r>
                              <w:t>providers will not receive an advance payment and as a result will receive the entire subsidy for a consumer when they lodge their claim after the end of the month.</w:t>
                            </w:r>
                            <w:r w:rsidRPr="00584706">
                              <w:t xml:space="preserve"> </w:t>
                            </w:r>
                            <w:r>
                              <w:t xml:space="preserve">During Phase 1 </w:t>
                            </w:r>
                            <w:r w:rsidRPr="00584706">
                              <w:t>payments will continue to be made</w:t>
                            </w:r>
                            <w:r>
                              <w:t xml:space="preserve"> based on the number of </w:t>
                            </w:r>
                            <w:r w:rsidRPr="00584706">
                              <w:t xml:space="preserve">days </w:t>
                            </w:r>
                            <w:r>
                              <w:t xml:space="preserve">consumers </w:t>
                            </w:r>
                            <w:r w:rsidRPr="00584706">
                              <w:t>are in care</w:t>
                            </w:r>
                            <w:r>
                              <w:t xml:space="preserve"> and providers will hold unspent funds.</w:t>
                            </w:r>
                          </w:p>
                        </w:txbxContent>
                      </wps:txbx>
                      <wps:bodyPr rot="0" vert="horz" wrap="square" lIns="91440" tIns="45720" rIns="91440" bIns="45720" anchor="t" anchorCtr="0">
                        <a:spAutoFit/>
                      </wps:bodyPr>
                    </wps:wsp>
                  </a:graphicData>
                </a:graphic>
              </wp:inline>
            </w:drawing>
          </mc:Choice>
          <mc:Fallback>
            <w:pict>
              <v:shape w14:anchorId="308C5F95" id="_x0000_s1027" type="#_x0000_t202" style="width:451.3pt;height:8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" fillcolor="#91bce3 [2164]" strokecolor="#5b9bd5 [3204]" strokeweight=".5pt">
                <v:fill color2="#7aaddd [2612]" rotate="t" colors="0 #b1cbe9;.5 #a3c1e5;1 #92b9e4" focus="100%" type="gradient">
                  <o:fill v:ext="view" type="gradientUnscaled"/>
                </v:fill>
                <v:textbox style="mso-fit-shape-to-text:t">
                  <w:txbxContent>
                    <w:p w:rsidR="004D06BC" w:rsidRDefault="004D06BC" w:rsidP="004D06BC">
                      <w:pPr>
                        <w:pStyle w:val="CommentText"/>
                      </w:pPr>
                      <w:r w:rsidRPr="00584706">
                        <w:t xml:space="preserve">Phase </w:t>
                      </w:r>
                      <w:r>
                        <w:t>1 (from June 2020) will change</w:t>
                      </w:r>
                      <w:r w:rsidRPr="00584706">
                        <w:t xml:space="preserve"> payments from</w:t>
                      </w:r>
                      <w:r>
                        <w:t xml:space="preserve"> being made</w:t>
                      </w:r>
                      <w:r w:rsidRPr="00584706">
                        <w:t xml:space="preserve"> in advance to</w:t>
                      </w:r>
                      <w:r>
                        <w:t xml:space="preserve"> being made in</w:t>
                      </w:r>
                      <w:r w:rsidRPr="00584706">
                        <w:t xml:space="preserve"> arrears. In practical terms, </w:t>
                      </w:r>
                      <w:r>
                        <w:t>providers will not receive an advance payment and as a result will receive the entire subsidy for a consumer when they lodge their claim after the end of the month.</w:t>
                      </w:r>
                      <w:r w:rsidRPr="00584706">
                        <w:t xml:space="preserve"> </w:t>
                      </w:r>
                      <w:r>
                        <w:t xml:space="preserve">During Phase 1 </w:t>
                      </w:r>
                      <w:r w:rsidRPr="00584706">
                        <w:t>payments will continue to be made</w:t>
                      </w:r>
                      <w:r>
                        <w:t xml:space="preserve"> based on the number of </w:t>
                      </w:r>
                      <w:r w:rsidRPr="00584706">
                        <w:t xml:space="preserve">days </w:t>
                      </w:r>
                      <w:r>
                        <w:t xml:space="preserve">consumers </w:t>
                      </w:r>
                      <w:r w:rsidRPr="00584706">
                        <w:t>are in care</w:t>
                      </w:r>
                      <w:r>
                        <w:t xml:space="preserve"> and providers will hold unspent funds.</w:t>
                      </w:r>
                    </w:p>
                  </w:txbxContent>
                </v:textbox>
                <w10:anchorlock/>
              </v:shape>
            </w:pict>
          </mc:Fallback>
        </mc:AlternateContent>
      </w:r>
    </w:p>
    <w:p w:rsidR="00707E86" w:rsidRDefault="001507A5" w:rsidP="004D06BC">
      <w:pPr>
        <w:pStyle w:val="CommentText"/>
        <w:spacing w:before="240" w:after="180"/>
      </w:pPr>
      <w:r>
        <w:t>Providers advised that t</w:t>
      </w:r>
      <w:r w:rsidR="00707E86">
        <w:t xml:space="preserve">he </w:t>
      </w:r>
      <w:r w:rsidR="00707E86" w:rsidRPr="009B12D4">
        <w:t>ability to manage the transition from advance</w:t>
      </w:r>
      <w:r w:rsidR="00707E86">
        <w:t xml:space="preserve"> payments</w:t>
      </w:r>
      <w:r w:rsidR="00707E86" w:rsidRPr="009B12D4">
        <w:t xml:space="preserve"> to payments in</w:t>
      </w:r>
      <w:r w:rsidR="00707E86">
        <w:t xml:space="preserve"> arrears is</w:t>
      </w:r>
      <w:r w:rsidR="00707E86" w:rsidRPr="009B12D4">
        <w:t xml:space="preserve"> contingent on </w:t>
      </w:r>
      <w:r w:rsidR="00707E86">
        <w:t>having access to</w:t>
      </w:r>
      <w:r w:rsidR="00707E86" w:rsidRPr="009B12D4">
        <w:t xml:space="preserve"> liquid assets </w:t>
      </w:r>
      <w:r w:rsidR="00D72F95">
        <w:t>or</w:t>
      </w:r>
      <w:r w:rsidR="00D72F95" w:rsidRPr="009B12D4">
        <w:t xml:space="preserve"> </w:t>
      </w:r>
      <w:r w:rsidR="00707E86" w:rsidRPr="009B12D4">
        <w:t>other funding</w:t>
      </w:r>
      <w:r w:rsidR="00707E86">
        <w:t xml:space="preserve"> </w:t>
      </w:r>
      <w:r w:rsidR="00D72F95">
        <w:t>arrangements</w:t>
      </w:r>
      <w:r w:rsidR="006A7285">
        <w:t xml:space="preserve"> so that payments to employees and suppliers can continue.</w:t>
      </w:r>
    </w:p>
    <w:p w:rsidR="00D72F95" w:rsidRDefault="006A7285" w:rsidP="006F112F">
      <w:pPr>
        <w:pStyle w:val="CommentText"/>
        <w:spacing w:after="180"/>
      </w:pPr>
      <w:r>
        <w:t xml:space="preserve">The short-term cash flow </w:t>
      </w:r>
      <w:r w:rsidR="00BE23A9">
        <w:t>shortfalls from</w:t>
      </w:r>
      <w:r>
        <w:t xml:space="preserve"> the transition from payment in advance to payment in </w:t>
      </w:r>
      <w:r w:rsidR="00BE23A9">
        <w:t>arrears</w:t>
      </w:r>
      <w:r>
        <w:t xml:space="preserve"> could be covered by the </w:t>
      </w:r>
      <w:r w:rsidR="00BE23A9">
        <w:t>drawdown</w:t>
      </w:r>
      <w:r>
        <w:t xml:space="preserve"> of cash and liquid assets, including unspent funds, within the home care business of the provider as well as drawing on the liquid assets of </w:t>
      </w:r>
      <w:r w:rsidR="00AE438D">
        <w:t xml:space="preserve">other businesses operated </w:t>
      </w:r>
      <w:r w:rsidR="00D72F95">
        <w:t>by the provider</w:t>
      </w:r>
      <w:r w:rsidR="004F6361">
        <w:t xml:space="preserve">. Alternatively, other </w:t>
      </w:r>
      <w:r w:rsidR="00D72F95">
        <w:t>financing</w:t>
      </w:r>
      <w:r w:rsidR="004F6361">
        <w:t xml:space="preserve"> arrangeme</w:t>
      </w:r>
      <w:r w:rsidR="00A97F72">
        <w:t>nts could be utilised, such as</w:t>
      </w:r>
      <w:r w:rsidR="004F6361">
        <w:t xml:space="preserve"> loans or equity injections</w:t>
      </w:r>
      <w:r w:rsidR="00BE23A9">
        <w:t>.</w:t>
      </w:r>
    </w:p>
    <w:p w:rsidR="0012265D" w:rsidRDefault="00603678" w:rsidP="006F112F">
      <w:pPr>
        <w:pStyle w:val="CommentText"/>
        <w:spacing w:after="180"/>
      </w:pPr>
      <w:r>
        <w:t>Provider c</w:t>
      </w:r>
      <w:r w:rsidR="007D2166">
        <w:t>omments</w:t>
      </w:r>
      <w:r w:rsidR="00707E86">
        <w:t xml:space="preserve"> </w:t>
      </w:r>
      <w:r w:rsidR="007D2166">
        <w:t>in</w:t>
      </w:r>
      <w:r w:rsidR="006C736A">
        <w:t xml:space="preserve"> submissions </w:t>
      </w:r>
      <w:r w:rsidR="00707E86">
        <w:t xml:space="preserve">about </w:t>
      </w:r>
      <w:r>
        <w:t xml:space="preserve">the </w:t>
      </w:r>
      <w:r w:rsidR="00707E86">
        <w:t>cash flow impacts</w:t>
      </w:r>
      <w:r w:rsidR="004F6361">
        <w:t xml:space="preserve"> of the move from payment in advance to payment in arrears in </w:t>
      </w:r>
      <w:r w:rsidR="003044C3">
        <w:t>P</w:t>
      </w:r>
      <w:r w:rsidR="004F6361">
        <w:t>hase 1</w:t>
      </w:r>
      <w:r w:rsidRPr="00603678">
        <w:t xml:space="preserve"> </w:t>
      </w:r>
      <w:r>
        <w:t>were mixed</w:t>
      </w:r>
      <w:r w:rsidR="004F6361">
        <w:t>. S</w:t>
      </w:r>
      <w:r w:rsidR="00707E86" w:rsidRPr="00C65694">
        <w:t xml:space="preserve">ome </w:t>
      </w:r>
      <w:r w:rsidR="006A1FA7">
        <w:t>said</w:t>
      </w:r>
      <w:r w:rsidR="00707E86" w:rsidRPr="00C65694">
        <w:t xml:space="preserve"> they would experience little to no</w:t>
      </w:r>
      <w:r w:rsidR="004F6361">
        <w:t xml:space="preserve"> difficulty in handling </w:t>
      </w:r>
      <w:r w:rsidR="00BE23A9">
        <w:t xml:space="preserve">the </w:t>
      </w:r>
      <w:r w:rsidR="00BE23A9" w:rsidRPr="00C65694">
        <w:t>cash</w:t>
      </w:r>
      <w:r w:rsidR="00707E86" w:rsidRPr="00C65694">
        <w:t xml:space="preserve"> flow impacts, </w:t>
      </w:r>
      <w:r w:rsidR="00707E86" w:rsidRPr="006C6EA0">
        <w:t xml:space="preserve">others </w:t>
      </w:r>
      <w:r w:rsidR="006A1FA7" w:rsidRPr="006C6EA0">
        <w:t xml:space="preserve">suggested moderate </w:t>
      </w:r>
      <w:r w:rsidR="004F6361">
        <w:t>concern</w:t>
      </w:r>
      <w:r w:rsidR="00006B1B">
        <w:t xml:space="preserve">, </w:t>
      </w:r>
      <w:r>
        <w:t xml:space="preserve">and </w:t>
      </w:r>
      <w:r w:rsidR="006C736A">
        <w:t>a few</w:t>
      </w:r>
      <w:r w:rsidR="00006B1B">
        <w:t xml:space="preserve"> suggested</w:t>
      </w:r>
      <w:r w:rsidR="00707E86" w:rsidRPr="00C65694">
        <w:t xml:space="preserve"> significant</w:t>
      </w:r>
      <w:r w:rsidR="00006B1B">
        <w:t xml:space="preserve"> impacts</w:t>
      </w:r>
      <w:r w:rsidR="00707E86" w:rsidRPr="00C65694">
        <w:t xml:space="preserve">. </w:t>
      </w:r>
    </w:p>
    <w:p w:rsidR="00A97F72" w:rsidRDefault="008B5198" w:rsidP="00A97F72">
      <w:pPr>
        <w:pStyle w:val="CommentText"/>
        <w:spacing w:after="180"/>
      </w:pPr>
      <w:r>
        <w:t>One peak body</w:t>
      </w:r>
      <w:r w:rsidR="00A97F72">
        <w:t xml:space="preserve"> reported</w:t>
      </w:r>
      <w:r w:rsidR="00A97F72" w:rsidRPr="008D4119">
        <w:t xml:space="preserve"> </w:t>
      </w:r>
      <w:r w:rsidR="00A97F72">
        <w:t xml:space="preserve">in its submission that of 51 </w:t>
      </w:r>
      <w:r w:rsidR="00A97F72" w:rsidRPr="008D4119">
        <w:t>providers</w:t>
      </w:r>
      <w:r w:rsidR="00A97F72">
        <w:t xml:space="preserve"> surveyed, 37 </w:t>
      </w:r>
      <w:r w:rsidR="00A97F72" w:rsidRPr="008D4119">
        <w:t xml:space="preserve">per cent </w:t>
      </w:r>
      <w:r w:rsidR="00A97F72">
        <w:t xml:space="preserve">felt </w:t>
      </w:r>
      <w:r w:rsidR="00A97F72" w:rsidRPr="008D4119">
        <w:t>that the change to payment in arrears would be</w:t>
      </w:r>
      <w:r w:rsidR="00A97F72">
        <w:t xml:space="preserve"> very</w:t>
      </w:r>
      <w:r w:rsidR="00A97F72" w:rsidRPr="008D4119">
        <w:t xml:space="preserve"> challenging </w:t>
      </w:r>
      <w:r w:rsidR="00A97F72">
        <w:t xml:space="preserve">and 2 per cent felt that it would be </w:t>
      </w:r>
      <w:r w:rsidR="00A97F72" w:rsidRPr="008D4119">
        <w:t>unachievable from a cash flow perspective.</w:t>
      </w:r>
    </w:p>
    <w:p w:rsidR="00707E86" w:rsidRDefault="00707E86" w:rsidP="006F112F">
      <w:pPr>
        <w:pStyle w:val="CommentText"/>
        <w:spacing w:after="180"/>
      </w:pPr>
      <w:r w:rsidRPr="00C65694">
        <w:t>Many submissions</w:t>
      </w:r>
      <w:r>
        <w:t xml:space="preserve"> did not raise cash flow </w:t>
      </w:r>
      <w:r w:rsidR="00F60B98">
        <w:t xml:space="preserve">concerns </w:t>
      </w:r>
      <w:r>
        <w:t xml:space="preserve">through Phase </w:t>
      </w:r>
      <w:r w:rsidR="00405433">
        <w:t xml:space="preserve">1 </w:t>
      </w:r>
      <w:r>
        <w:t>as a specific issue</w:t>
      </w:r>
      <w:r w:rsidR="00AE438D">
        <w:t xml:space="preserve"> for themselves</w:t>
      </w:r>
      <w:r>
        <w:t xml:space="preserve"> but </w:t>
      </w:r>
      <w:r w:rsidR="00A97F72">
        <w:t xml:space="preserve">did </w:t>
      </w:r>
      <w:r>
        <w:t xml:space="preserve">express concern </w:t>
      </w:r>
      <w:r w:rsidR="00DC7117">
        <w:t>about the ability</w:t>
      </w:r>
      <w:r>
        <w:t xml:space="preserve"> for smaller providers</w:t>
      </w:r>
      <w:r w:rsidR="006C736A">
        <w:t>,</w:t>
      </w:r>
      <w:r>
        <w:t xml:space="preserve"> especially those operating in thin markets</w:t>
      </w:r>
      <w:r w:rsidR="00DC7117">
        <w:t>, to remain viable</w:t>
      </w:r>
      <w:r>
        <w:t xml:space="preserve">. </w:t>
      </w:r>
      <w:r w:rsidR="004F6361">
        <w:t>This was also raised in the consultations.</w:t>
      </w:r>
    </w:p>
    <w:p w:rsidR="00AE438D" w:rsidRDefault="004F6361" w:rsidP="006F112F">
      <w:pPr>
        <w:pStyle w:val="CommentText"/>
        <w:spacing w:after="180"/>
      </w:pPr>
      <w:r>
        <w:t xml:space="preserve">It was also noted in the consultations that </w:t>
      </w:r>
      <w:r w:rsidR="00707E86" w:rsidRPr="008D4119">
        <w:t xml:space="preserve">home care providers </w:t>
      </w:r>
      <w:r w:rsidR="00A97F72">
        <w:t xml:space="preserve">who </w:t>
      </w:r>
      <w:r w:rsidR="00707E86" w:rsidRPr="008D4119">
        <w:t>are currently losing money or operating at a minimum margin</w:t>
      </w:r>
      <w:r w:rsidR="00603678">
        <w:t>,</w:t>
      </w:r>
      <w:r>
        <w:t xml:space="preserve"> would likely face significant difficulties in dealing with the change in payment arrangements.</w:t>
      </w:r>
    </w:p>
    <w:p w:rsidR="0012265D" w:rsidRDefault="00707E86" w:rsidP="006F112F">
      <w:pPr>
        <w:pStyle w:val="CommentText"/>
        <w:spacing w:after="180"/>
      </w:pPr>
      <w:r>
        <w:t xml:space="preserve">One large </w:t>
      </w:r>
      <w:r w:rsidR="0095516F">
        <w:t>p</w:t>
      </w:r>
      <w:r w:rsidR="00006B1B">
        <w:t>rovider</w:t>
      </w:r>
      <w:r>
        <w:t xml:space="preserve"> </w:t>
      </w:r>
      <w:r w:rsidRPr="008D4119">
        <w:t xml:space="preserve">suggested </w:t>
      </w:r>
      <w:r w:rsidR="00753EF7">
        <w:t xml:space="preserve">the </w:t>
      </w:r>
      <w:r w:rsidRPr="008D4119">
        <w:t xml:space="preserve">cash flow impact </w:t>
      </w:r>
      <w:r w:rsidR="00BE23A9" w:rsidRPr="008D4119">
        <w:t xml:space="preserve">of </w:t>
      </w:r>
      <w:r w:rsidR="00BE23A9">
        <w:t>the</w:t>
      </w:r>
      <w:r w:rsidR="00753EF7">
        <w:t xml:space="preserve"> change in payment arrangements would represent </w:t>
      </w:r>
      <w:r w:rsidRPr="008D4119">
        <w:t>20 per cent of total cash reserves, equating to approximately $6.5 million.</w:t>
      </w:r>
      <w:r>
        <w:t xml:space="preserve"> </w:t>
      </w:r>
      <w:r w:rsidR="00006B1B" w:rsidRPr="008D4119">
        <w:t>Another submission suggested</w:t>
      </w:r>
      <w:r w:rsidR="007D754F">
        <w:t xml:space="preserve"> that</w:t>
      </w:r>
      <w:r w:rsidR="00006B1B" w:rsidRPr="008D4119">
        <w:t xml:space="preserve"> a four-fold increase </w:t>
      </w:r>
      <w:r w:rsidR="0095516F">
        <w:t>in</w:t>
      </w:r>
      <w:r w:rsidR="00006B1B" w:rsidRPr="008D4119">
        <w:t xml:space="preserve"> working capital would be required to remain solvent through </w:t>
      </w:r>
      <w:r w:rsidR="000F6C83">
        <w:t xml:space="preserve">the </w:t>
      </w:r>
      <w:r w:rsidR="00006B1B" w:rsidRPr="008D4119">
        <w:t>transition.</w:t>
      </w:r>
      <w:r>
        <w:t xml:space="preserve"> </w:t>
      </w:r>
    </w:p>
    <w:p w:rsidR="00707E86" w:rsidRDefault="00753EF7" w:rsidP="006F112F">
      <w:pPr>
        <w:pStyle w:val="CommentText"/>
        <w:spacing w:after="180"/>
      </w:pPr>
      <w:r>
        <w:t xml:space="preserve">Providers were asked during the consultation arrangements whether Phase 1 would require any changes to their payment system and IT </w:t>
      </w:r>
      <w:r w:rsidR="00BE23A9">
        <w:t xml:space="preserve">arrangements. </w:t>
      </w:r>
      <w:r>
        <w:t xml:space="preserve">The overwhelming majority indicated that they would not have to make changes to their payment systems to accommodate </w:t>
      </w:r>
      <w:r w:rsidR="00707E86">
        <w:t xml:space="preserve">Phase </w:t>
      </w:r>
      <w:r w:rsidR="00405433">
        <w:t>1</w:t>
      </w:r>
      <w:r w:rsidR="00707E86" w:rsidRPr="009B12D4">
        <w:t xml:space="preserve">. </w:t>
      </w:r>
    </w:p>
    <w:p w:rsidR="00EF2291" w:rsidRDefault="00E44522" w:rsidP="00951F7A">
      <w:pPr>
        <w:pStyle w:val="Heading2"/>
        <w:spacing w:before="0" w:after="180"/>
      </w:pPr>
      <w:bookmarkStart w:id="57" w:name="_Toc25851857"/>
      <w:bookmarkStart w:id="58" w:name="_Toc25938502"/>
      <w:bookmarkStart w:id="59" w:name="_Toc26109065"/>
      <w:bookmarkStart w:id="60" w:name="_Toc26788395"/>
      <w:r>
        <w:lastRenderedPageBreak/>
        <w:t xml:space="preserve">Phase </w:t>
      </w:r>
      <w:r w:rsidR="000B5356">
        <w:t xml:space="preserve">2 </w:t>
      </w:r>
      <w:r w:rsidR="003F368D">
        <w:t>– payment for services provided</w:t>
      </w:r>
      <w:bookmarkEnd w:id="57"/>
      <w:bookmarkEnd w:id="58"/>
      <w:bookmarkEnd w:id="59"/>
      <w:bookmarkEnd w:id="60"/>
    </w:p>
    <w:p w:rsidR="00896A18" w:rsidRDefault="004D06BC" w:rsidP="00896A18">
      <w:pPr>
        <w:pStyle w:val="CommentText"/>
        <w:spacing w:after="0"/>
      </w:pPr>
      <w:r>
        <w:rPr>
          <w:noProof/>
          <w:lang w:eastAsia="en-AU"/>
        </w:rPr>
        <mc:AlternateContent>
          <mc:Choice Requires="wps">
            <w:drawing>
              <wp:inline distT="0" distB="0" distL="0" distR="0" wp14:anchorId="2F775455" wp14:editId="0FEB103B">
                <wp:extent cx="5731510" cy="652773"/>
                <wp:effectExtent l="0" t="0" r="21590" b="1841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52773"/>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4D06BC" w:rsidRDefault="004D06BC" w:rsidP="004D06BC">
                            <w:pPr>
                              <w:pStyle w:val="CommentText"/>
                              <w:spacing w:after="0"/>
                            </w:pPr>
                            <w:r>
                              <w:t>Phase 2 (as from April 2021) involves subsidy payments based on services actually provided to individual consumers. DHS will retain each consumer’s unspent funds to be drawn down by providers on behalf of consumers when needed.</w:t>
                            </w:r>
                          </w:p>
                        </w:txbxContent>
                      </wps:txbx>
                      <wps:bodyPr rot="0" vert="horz" wrap="square" lIns="91440" tIns="45720" rIns="91440" bIns="45720" anchor="t" anchorCtr="0">
                        <a:spAutoFit/>
                      </wps:bodyPr>
                    </wps:wsp>
                  </a:graphicData>
                </a:graphic>
              </wp:inline>
            </w:drawing>
          </mc:Choice>
          <mc:Fallback>
            <w:pict>
              <v:shape w14:anchorId="2F775455" id="_x0000_s1028" type="#_x0000_t202" style="width:451.3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" fillcolor="#91bce3 [2164]" strokecolor="#5b9bd5 [3204]" strokeweight=".5pt">
                <v:fill color2="#7aaddd [2612]" rotate="t" colors="0 #b1cbe9;.5 #a3c1e5;1 #92b9e4" focus="100%" type="gradient">
                  <o:fill v:ext="view" type="gradientUnscaled"/>
                </v:fill>
                <v:textbox style="mso-fit-shape-to-text:t">
                  <w:txbxContent>
                    <w:p w:rsidR="004D06BC" w:rsidRDefault="004D06BC" w:rsidP="004D06BC">
                      <w:pPr>
                        <w:pStyle w:val="CommentText"/>
                        <w:spacing w:after="0"/>
                      </w:pPr>
                      <w:r>
                        <w:t>Phase 2 (as from April 2021) involves subsidy payments based on services actually provided to individual consumers. DHS will retain each consumer’s unspent funds to be drawn down by providers on behalf of consumers when needed.</w:t>
                      </w:r>
                    </w:p>
                  </w:txbxContent>
                </v:textbox>
                <w10:anchorlock/>
              </v:shape>
            </w:pict>
          </mc:Fallback>
        </mc:AlternateContent>
      </w:r>
    </w:p>
    <w:p w:rsidR="00966B0B" w:rsidRDefault="00753EF7" w:rsidP="004D06BC">
      <w:pPr>
        <w:pStyle w:val="CommentText"/>
        <w:spacing w:before="240" w:after="180"/>
      </w:pPr>
      <w:r>
        <w:t xml:space="preserve">The main concern raised by providers did not involve the impact of </w:t>
      </w:r>
      <w:r w:rsidR="00AB42C6">
        <w:t>Phase 2 on their cash flow</w:t>
      </w:r>
      <w:r w:rsidR="000F6C83">
        <w:t xml:space="preserve">. Their Phase 2 concerns focussed on </w:t>
      </w:r>
      <w:r w:rsidR="00AB42C6">
        <w:t xml:space="preserve">the system </w:t>
      </w:r>
      <w:r w:rsidR="00BE23A9">
        <w:t>changes</w:t>
      </w:r>
      <w:r w:rsidR="000F6C83">
        <w:t xml:space="preserve"> that would be required</w:t>
      </w:r>
      <w:r w:rsidR="00BE23A9">
        <w:t>,</w:t>
      </w:r>
      <w:r w:rsidR="00AB42C6">
        <w:t xml:space="preserve"> both to their systems and DHS payment systems, to accommodate </w:t>
      </w:r>
      <w:r w:rsidR="00BE23A9">
        <w:t>the move</w:t>
      </w:r>
      <w:r w:rsidR="00AB42C6">
        <w:t xml:space="preserve"> to payment </w:t>
      </w:r>
      <w:r w:rsidR="003044C3">
        <w:t>for</w:t>
      </w:r>
      <w:r w:rsidR="00AB42C6">
        <w:t xml:space="preserve"> goods and services actually provided to each of their </w:t>
      </w:r>
      <w:r w:rsidR="003657B7">
        <w:t>consumer</w:t>
      </w:r>
      <w:r w:rsidR="00BE23A9">
        <w:t>s</w:t>
      </w:r>
      <w:r w:rsidR="00AB42C6">
        <w:t xml:space="preserve">. </w:t>
      </w:r>
      <w:r w:rsidR="00BE23A9">
        <w:t>Providers were</w:t>
      </w:r>
      <w:r w:rsidR="0002001B">
        <w:t xml:space="preserve"> concerned about having </w:t>
      </w:r>
      <w:r w:rsidR="00AB42C6">
        <w:t>sufficient</w:t>
      </w:r>
      <w:r w:rsidR="0002001B">
        <w:t xml:space="preserve"> time for system changes to be developed, </w:t>
      </w:r>
      <w:r w:rsidR="000F6C83">
        <w:t xml:space="preserve">tested and </w:t>
      </w:r>
      <w:r w:rsidR="0002001B">
        <w:t>implemented</w:t>
      </w:r>
      <w:r w:rsidR="000F6C83">
        <w:t>,</w:t>
      </w:r>
      <w:r w:rsidR="0002001B">
        <w:t xml:space="preserve"> as well as the </w:t>
      </w:r>
      <w:r w:rsidR="00A22AEF">
        <w:t xml:space="preserve">costs </w:t>
      </w:r>
      <w:r w:rsidR="0002001B">
        <w:t xml:space="preserve">that </w:t>
      </w:r>
      <w:r w:rsidR="00A22AEF">
        <w:t xml:space="preserve">they would </w:t>
      </w:r>
      <w:r w:rsidR="00EC4E12">
        <w:t xml:space="preserve">incur </w:t>
      </w:r>
      <w:r w:rsidR="00A22AEF">
        <w:t>for s</w:t>
      </w:r>
      <w:r w:rsidR="00AB42C6">
        <w:t>uch</w:t>
      </w:r>
      <w:r w:rsidR="00A22AEF">
        <w:t xml:space="preserve"> changes</w:t>
      </w:r>
      <w:r w:rsidR="0002001B">
        <w:t xml:space="preserve"> and </w:t>
      </w:r>
      <w:r w:rsidR="000F6C83">
        <w:t xml:space="preserve">for </w:t>
      </w:r>
      <w:r w:rsidR="0002001B">
        <w:t>staff training</w:t>
      </w:r>
      <w:r w:rsidR="00EC4E12">
        <w:t>, which may be passed on to the consumer</w:t>
      </w:r>
      <w:r w:rsidR="0002001B">
        <w:t>.</w:t>
      </w:r>
      <w:r w:rsidR="000F6C83">
        <w:t xml:space="preserve"> </w:t>
      </w:r>
    </w:p>
    <w:p w:rsidR="004215CB" w:rsidRDefault="0002001B" w:rsidP="006C6EA0">
      <w:pPr>
        <w:pStyle w:val="CommentText"/>
        <w:spacing w:after="180"/>
      </w:pPr>
      <w:r>
        <w:t xml:space="preserve">Providers were </w:t>
      </w:r>
      <w:r w:rsidR="00AB42C6">
        <w:t>particularly</w:t>
      </w:r>
      <w:r>
        <w:t xml:space="preserve"> c</w:t>
      </w:r>
      <w:r w:rsidR="00EE7ED9">
        <w:t>oncern</w:t>
      </w:r>
      <w:r>
        <w:t>ed</w:t>
      </w:r>
      <w:r w:rsidR="00EE7ED9" w:rsidRPr="00F96E27">
        <w:t xml:space="preserve"> about </w:t>
      </w:r>
      <w:r w:rsidR="00D42881">
        <w:t xml:space="preserve">the </w:t>
      </w:r>
      <w:r w:rsidR="00EE7ED9" w:rsidRPr="00F96E27">
        <w:t>ability</w:t>
      </w:r>
      <w:r w:rsidR="00D42881">
        <w:t xml:space="preserve"> of DHS</w:t>
      </w:r>
      <w:r w:rsidR="00EE7ED9" w:rsidRPr="00F96E27">
        <w:t xml:space="preserve"> to introdu</w:t>
      </w:r>
      <w:r w:rsidR="00EE7ED9">
        <w:t xml:space="preserve">ce a new system to support </w:t>
      </w:r>
      <w:r w:rsidR="00BE23A9">
        <w:t>the change</w:t>
      </w:r>
      <w:r w:rsidR="00AB42C6">
        <w:t xml:space="preserve"> </w:t>
      </w:r>
      <w:r w:rsidR="00BE23A9">
        <w:t>in payment</w:t>
      </w:r>
      <w:r w:rsidR="00EE7ED9">
        <w:t xml:space="preserve"> arrangements. </w:t>
      </w:r>
      <w:r w:rsidR="00AE2840">
        <w:t>Their</w:t>
      </w:r>
      <w:r w:rsidR="00EE7ED9" w:rsidRPr="00F96E27">
        <w:t xml:space="preserve"> concern </w:t>
      </w:r>
      <w:r w:rsidR="00AB42C6">
        <w:t xml:space="preserve">was </w:t>
      </w:r>
      <w:r w:rsidR="00EE7ED9" w:rsidRPr="00F96E27">
        <w:t>based on previous negative experiences with significant system upgrades</w:t>
      </w:r>
      <w:r w:rsidR="00AB42C6">
        <w:t xml:space="preserve">, such as those that occurred with the introduction of </w:t>
      </w:r>
      <w:r w:rsidR="000F6C83">
        <w:t xml:space="preserve">funding following the consumer </w:t>
      </w:r>
      <w:r w:rsidR="000533DE">
        <w:t>for</w:t>
      </w:r>
      <w:r w:rsidR="000F6C83">
        <w:t xml:space="preserve"> </w:t>
      </w:r>
      <w:r w:rsidR="0076704B">
        <w:t>home care packages</w:t>
      </w:r>
      <w:r w:rsidR="00AB42C6">
        <w:t>.</w:t>
      </w:r>
      <w:r w:rsidR="00EE7ED9">
        <w:t xml:space="preserve"> </w:t>
      </w:r>
      <w:r w:rsidR="00AB42C6">
        <w:t xml:space="preserve">They observed that if the </w:t>
      </w:r>
      <w:r w:rsidR="00A97F72">
        <w:t xml:space="preserve">required </w:t>
      </w:r>
      <w:r w:rsidR="00AB42C6">
        <w:t xml:space="preserve">changes in payment systems by providers and DHS </w:t>
      </w:r>
      <w:r w:rsidR="00AE2840">
        <w:t xml:space="preserve">are not </w:t>
      </w:r>
      <w:r w:rsidR="00BE23A9">
        <w:t>compatible</w:t>
      </w:r>
      <w:r w:rsidR="000F6C83">
        <w:t>,</w:t>
      </w:r>
      <w:r w:rsidR="00AE2840">
        <w:t xml:space="preserve"> and there are </w:t>
      </w:r>
      <w:r w:rsidR="00BE23A9">
        <w:t>discrepancies</w:t>
      </w:r>
      <w:r w:rsidR="00AE2840">
        <w:t xml:space="preserve"> in </w:t>
      </w:r>
      <w:r w:rsidR="00AB42C6">
        <w:t xml:space="preserve">the flow </w:t>
      </w:r>
      <w:r w:rsidR="00BE23A9">
        <w:t>of information</w:t>
      </w:r>
      <w:r w:rsidR="00AB42C6">
        <w:t xml:space="preserve"> regarding each </w:t>
      </w:r>
      <w:r w:rsidR="003657B7">
        <w:t>consumer</w:t>
      </w:r>
      <w:r w:rsidR="006A507C">
        <w:t xml:space="preserve">, </w:t>
      </w:r>
      <w:r w:rsidR="00AB42C6">
        <w:t xml:space="preserve">there will </w:t>
      </w:r>
      <w:r w:rsidR="00BE23A9">
        <w:t>be reconciliation</w:t>
      </w:r>
      <w:r w:rsidR="00AB42C6">
        <w:t xml:space="preserve"> issues</w:t>
      </w:r>
      <w:r w:rsidR="00A97F72">
        <w:t>. These issues</w:t>
      </w:r>
      <w:r w:rsidR="00AB42C6">
        <w:t xml:space="preserve"> will </w:t>
      </w:r>
      <w:r w:rsidR="00AE2840">
        <w:t xml:space="preserve">pose significant additional administrative effort and costs </w:t>
      </w:r>
      <w:r w:rsidR="000F6C83">
        <w:t>for</w:t>
      </w:r>
      <w:r w:rsidR="00AE2840">
        <w:t xml:space="preserve"> providers</w:t>
      </w:r>
      <w:r w:rsidR="000F6C83">
        <w:t>. I</w:t>
      </w:r>
      <w:r w:rsidR="00AE2840">
        <w:t xml:space="preserve">f there continued to be sizeable delays in sorting out data </w:t>
      </w:r>
      <w:r w:rsidR="00BE23A9">
        <w:t>discrepancies</w:t>
      </w:r>
      <w:r w:rsidR="0058756E">
        <w:t xml:space="preserve"> with the current payment system</w:t>
      </w:r>
      <w:r w:rsidR="00AE2840">
        <w:t xml:space="preserve">, </w:t>
      </w:r>
      <w:r w:rsidR="006A507C">
        <w:t>it could</w:t>
      </w:r>
      <w:r w:rsidR="00AE2840">
        <w:t xml:space="preserve"> cause significant financial problems</w:t>
      </w:r>
      <w:r w:rsidR="002F3AAB">
        <w:t xml:space="preserve"> for</w:t>
      </w:r>
      <w:r w:rsidR="000F6C83">
        <w:t xml:space="preserve"> </w:t>
      </w:r>
      <w:r w:rsidR="002F3AAB">
        <w:t>providers</w:t>
      </w:r>
      <w:r w:rsidR="00AE2840">
        <w:t>.</w:t>
      </w:r>
    </w:p>
    <w:p w:rsidR="002F3AAB" w:rsidRDefault="002F3AAB" w:rsidP="006C6EA0">
      <w:pPr>
        <w:pStyle w:val="CommentText"/>
        <w:spacing w:after="180"/>
      </w:pPr>
      <w:r>
        <w:t xml:space="preserve">Providers </w:t>
      </w:r>
      <w:r w:rsidR="004215CB">
        <w:t xml:space="preserve">would be </w:t>
      </w:r>
      <w:r>
        <w:t>particula</w:t>
      </w:r>
      <w:r w:rsidR="00BE23A9">
        <w:t>rl</w:t>
      </w:r>
      <w:r>
        <w:t xml:space="preserve">y concerned if </w:t>
      </w:r>
      <w:r w:rsidR="003044C3">
        <w:t>P</w:t>
      </w:r>
      <w:r>
        <w:t xml:space="preserve">hase 2 required them to manually input the data on the goods and services actually used by </w:t>
      </w:r>
      <w:r w:rsidR="003657B7">
        <w:t>consumer</w:t>
      </w:r>
      <w:r w:rsidR="00BE23A9">
        <w:t>s</w:t>
      </w:r>
      <w:r>
        <w:t xml:space="preserve"> each month. This would significantly increase their costs.</w:t>
      </w:r>
    </w:p>
    <w:p w:rsidR="002F3AAB" w:rsidRDefault="002F3AAB" w:rsidP="006C6EA0">
      <w:pPr>
        <w:pStyle w:val="CommentText"/>
        <w:spacing w:after="180"/>
      </w:pPr>
      <w:r>
        <w:t>Providers said clarification was required around many aspects of the implementation of Phase 2. Some of the issues raised included:</w:t>
      </w:r>
    </w:p>
    <w:p w:rsidR="002F3AAB" w:rsidRDefault="002F3AAB" w:rsidP="006F7415">
      <w:pPr>
        <w:pStyle w:val="CommentText"/>
        <w:numPr>
          <w:ilvl w:val="0"/>
          <w:numId w:val="31"/>
        </w:numPr>
        <w:ind w:left="714" w:hanging="357"/>
      </w:pPr>
      <w:r>
        <w:t>Who will be responsible for monitoring client balances</w:t>
      </w:r>
      <w:r w:rsidR="00945DCE">
        <w:t xml:space="preserve"> and advising the </w:t>
      </w:r>
      <w:r w:rsidR="003657B7">
        <w:t>consumer</w:t>
      </w:r>
      <w:r w:rsidR="00945DCE">
        <w:t xml:space="preserve"> of their unspent fund balance </w:t>
      </w:r>
      <w:r w:rsidR="00BE23A9">
        <w:t>(provider</w:t>
      </w:r>
      <w:r w:rsidR="00945DCE">
        <w:t xml:space="preserve"> or DHS or jointly)</w:t>
      </w:r>
      <w:r>
        <w:t>?</w:t>
      </w:r>
    </w:p>
    <w:p w:rsidR="002F3AAB" w:rsidRDefault="002F3AAB" w:rsidP="006F7415">
      <w:pPr>
        <w:pStyle w:val="CommentText"/>
        <w:numPr>
          <w:ilvl w:val="0"/>
          <w:numId w:val="31"/>
        </w:numPr>
        <w:ind w:left="714" w:hanging="357"/>
      </w:pPr>
      <w:r>
        <w:t>How will resolution occur if there is a discrepancy between providers</w:t>
      </w:r>
      <w:r w:rsidR="00785C0D">
        <w:t>’</w:t>
      </w:r>
      <w:r>
        <w:t xml:space="preserve"> records and DHS?</w:t>
      </w:r>
    </w:p>
    <w:p w:rsidR="002F3AAB" w:rsidRDefault="002F3AAB" w:rsidP="003241D5">
      <w:pPr>
        <w:pStyle w:val="CommentText"/>
        <w:numPr>
          <w:ilvl w:val="0"/>
          <w:numId w:val="31"/>
        </w:numPr>
        <w:ind w:left="714" w:right="-613" w:hanging="357"/>
      </w:pPr>
      <w:r>
        <w:t>What level of detail is required when claiming for goods and services actually provided?</w:t>
      </w:r>
    </w:p>
    <w:p w:rsidR="002F3AAB" w:rsidRDefault="002F3AAB">
      <w:pPr>
        <w:pStyle w:val="CommentText"/>
        <w:numPr>
          <w:ilvl w:val="0"/>
          <w:numId w:val="31"/>
        </w:numPr>
        <w:ind w:left="714" w:hanging="357"/>
      </w:pPr>
      <w:r>
        <w:t>Will the</w:t>
      </w:r>
      <w:r w:rsidR="00945DCE">
        <w:t>re be a time limit on invoicing?</w:t>
      </w:r>
    </w:p>
    <w:p w:rsidR="00945DCE" w:rsidRDefault="00945DCE">
      <w:pPr>
        <w:pStyle w:val="CommentText"/>
        <w:numPr>
          <w:ilvl w:val="0"/>
          <w:numId w:val="31"/>
        </w:numPr>
        <w:ind w:left="714" w:hanging="357"/>
      </w:pPr>
      <w:r>
        <w:t>Who should be collecting the income</w:t>
      </w:r>
      <w:r>
        <w:noBreakHyphen/>
        <w:t>te</w:t>
      </w:r>
      <w:r w:rsidR="00524284">
        <w:t>sted care fee (provider or DHS)?</w:t>
      </w:r>
    </w:p>
    <w:p w:rsidR="00945DCE" w:rsidRDefault="00697AE8">
      <w:pPr>
        <w:pStyle w:val="CommentText"/>
        <w:numPr>
          <w:ilvl w:val="0"/>
          <w:numId w:val="31"/>
        </w:numPr>
        <w:ind w:left="714" w:hanging="357"/>
      </w:pPr>
      <w:r>
        <w:t>H</w:t>
      </w:r>
      <w:r w:rsidR="00945DCE">
        <w:t>ow would the basic daily fee be treated (would it be deducted from the subsidy payment in the same way</w:t>
      </w:r>
      <w:r w:rsidR="00524284">
        <w:t xml:space="preserve"> as the income</w:t>
      </w:r>
      <w:r w:rsidR="00524284">
        <w:noBreakHyphen/>
        <w:t>tested care fee)?</w:t>
      </w:r>
    </w:p>
    <w:p w:rsidR="00697AE8" w:rsidRDefault="00697AE8" w:rsidP="00945DCE">
      <w:pPr>
        <w:pStyle w:val="CommentText"/>
        <w:numPr>
          <w:ilvl w:val="0"/>
          <w:numId w:val="31"/>
        </w:numPr>
        <w:spacing w:after="180"/>
      </w:pPr>
      <w:r>
        <w:t>Will c</w:t>
      </w:r>
      <w:r w:rsidR="000F6C83">
        <w:t>onsumers</w:t>
      </w:r>
      <w:r>
        <w:t xml:space="preserve"> be allowed to get into negative balance? Currently providers allow </w:t>
      </w:r>
      <w:r w:rsidR="003657B7">
        <w:t>consumer</w:t>
      </w:r>
      <w:r w:rsidR="00BE23A9">
        <w:t>s</w:t>
      </w:r>
      <w:r>
        <w:t xml:space="preserve"> to temporarily go into negative balance in times of particular need, such as following a health related event or when capital items are immediately needed. Under current arrangements, providers recoup an over spend in a few months from subsequent monthly payments. Providers noted that they bear the risk if the </w:t>
      </w:r>
      <w:r w:rsidR="003657B7">
        <w:t>consumer</w:t>
      </w:r>
      <w:r>
        <w:t xml:space="preserve"> departs </w:t>
      </w:r>
      <w:r w:rsidR="00BE23A9">
        <w:t>care before</w:t>
      </w:r>
      <w:r>
        <w:t xml:space="preserve"> the overspent funds are recouped.</w:t>
      </w:r>
    </w:p>
    <w:p w:rsidR="00945DCE" w:rsidRDefault="00945DCE" w:rsidP="006C6EA0">
      <w:pPr>
        <w:pStyle w:val="CommentText"/>
        <w:spacing w:after="180"/>
      </w:pPr>
      <w:r>
        <w:lastRenderedPageBreak/>
        <w:t>As noted previously, these questions have been referred to Health who is consulting on the detail of the implementation of the change in payment arrangements. This detail can impact on the cost to providers of the new arrangements.</w:t>
      </w:r>
    </w:p>
    <w:p w:rsidR="00EE7ED9" w:rsidRDefault="00AE2840" w:rsidP="006C6EA0">
      <w:pPr>
        <w:pStyle w:val="CommentText"/>
        <w:spacing w:after="180"/>
      </w:pPr>
      <w:r>
        <w:t>Most providers said the Government’s timeframe for the implementation of Phase 2 was too</w:t>
      </w:r>
      <w:r w:rsidR="00EE7ED9">
        <w:t xml:space="preserve"> </w:t>
      </w:r>
      <w:r w:rsidR="00EE7ED9" w:rsidRPr="00F96E27">
        <w:t>short</w:t>
      </w:r>
      <w:r>
        <w:t xml:space="preserve">. </w:t>
      </w:r>
      <w:r w:rsidR="0002001B">
        <w:t>There was a strong desire for this phase to be pushed back to allow more time for development, testing and a trial period</w:t>
      </w:r>
      <w:r w:rsidR="0058756E">
        <w:t xml:space="preserve"> to ensure that past issues with the payments system do</w:t>
      </w:r>
      <w:r w:rsidR="00246C0C">
        <w:t xml:space="preserve"> not</w:t>
      </w:r>
      <w:r w:rsidR="0058756E">
        <w:t xml:space="preserve"> occur again</w:t>
      </w:r>
      <w:r w:rsidR="001C3552">
        <w:t>.</w:t>
      </w:r>
      <w:r w:rsidR="001C3552" w:rsidDel="001C3552">
        <w:t xml:space="preserve"> </w:t>
      </w:r>
    </w:p>
    <w:p w:rsidR="00EE7ED9" w:rsidRDefault="00EE7ED9" w:rsidP="006C6EA0">
      <w:pPr>
        <w:pStyle w:val="CommentText"/>
        <w:spacing w:after="180"/>
      </w:pPr>
      <w:r>
        <w:t>Due to the time and cost associated with signific</w:t>
      </w:r>
      <w:r w:rsidR="00A51B44">
        <w:t>ant system change, a number of p</w:t>
      </w:r>
      <w:r>
        <w:t xml:space="preserve">roviders </w:t>
      </w:r>
      <w:r w:rsidR="001C3552">
        <w:t xml:space="preserve">suggested </w:t>
      </w:r>
      <w:r>
        <w:t>that these changes should not be introduced ahead of the final report being delivered by the Royal Commission into Aged Care Quality and Safety.</w:t>
      </w:r>
    </w:p>
    <w:p w:rsidR="006D63C8" w:rsidRDefault="000F1BAC" w:rsidP="007E0645">
      <w:pPr>
        <w:pStyle w:val="CommentText"/>
        <w:spacing w:after="180"/>
      </w:pPr>
      <w:r w:rsidRPr="00472154">
        <w:t>DHS has advised ACFA that they are committed to delivering systems that are modern, adaptable and meet the requirements of their</w:t>
      </w:r>
      <w:r w:rsidR="00853080" w:rsidRPr="00472154">
        <w:t xml:space="preserve"> </w:t>
      </w:r>
      <w:r w:rsidRPr="00472154">
        <w:t>stakeholders. DHS further advised that they will continue to work with Health and engage with service providers to seek input and feedback on how payment systems are designed and operate.</w:t>
      </w:r>
    </w:p>
    <w:p w:rsidR="004D06BC" w:rsidRDefault="004D06BC" w:rsidP="007E0645">
      <w:pPr>
        <w:pStyle w:val="CommentText"/>
        <w:spacing w:after="180"/>
      </w:pPr>
    </w:p>
    <w:p w:rsidR="00426511" w:rsidRPr="006F112F" w:rsidRDefault="004D06BC" w:rsidP="004D06BC">
      <w:pPr>
        <w:pStyle w:val="Heading2"/>
      </w:pPr>
      <w:r>
        <w:t>Phase 3 – reducing provider held unspent funds</w:t>
      </w:r>
    </w:p>
    <w:p w:rsidR="003F368D" w:rsidRDefault="006A507C" w:rsidP="00E663FB">
      <w:bookmarkStart w:id="61" w:name="_Toc25851859"/>
      <w:bookmarkStart w:id="62" w:name="_Toc25938504"/>
      <w:bookmarkStart w:id="63" w:name="_Toc26109067"/>
      <w:bookmarkStart w:id="64" w:name="_Toc26788396"/>
      <w:r>
        <w:rPr>
          <w:noProof/>
          <w:lang w:eastAsia="en-AU"/>
        </w:rPr>
        <mc:AlternateContent>
          <mc:Choice Requires="wps">
            <w:drawing>
              <wp:inline distT="0" distB="0" distL="0" distR="0">
                <wp:extent cx="5760000" cy="1404620"/>
                <wp:effectExtent l="0" t="0" r="12700" b="260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4046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E61B35" w:rsidRDefault="00E61B35" w:rsidP="006A507C">
                            <w:pPr>
                              <w:pStyle w:val="CommentText"/>
                            </w:pPr>
                            <w:r>
                              <w:t>Phase 3 (as from March 2021) will see a percentage reduction (rate to be determined) in the subsidy paid to a provider for a consumer to the extent that the consumer has unspent funds being held by the provider. The reduction in subsidy will be accrued to the consumer’s unspent funds held by DHS and the provider will reduce the amount of unspent funds that it holds on behalf of the consumer.</w:t>
                            </w:r>
                          </w:p>
                        </w:txbxContent>
                      </wps:txbx>
                      <wps:bodyPr rot="0" vert="horz" wrap="square" lIns="91440" tIns="45720" rIns="91440" bIns="45720" anchor="t" anchorCtr="0">
                        <a:spAutoFit/>
                      </wps:bodyPr>
                    </wps:wsp>
                  </a:graphicData>
                </a:graphic>
              </wp:inline>
            </w:drawing>
          </mc:Choice>
          <mc:Fallback>
            <w:pict>
              <v:shape id="_x0000_s1029" type="#_x0000_t202" style="width:45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" fillcolor="#91bce3 [2164]" strokecolor="#5b9bd5 [3204]" strokeweight=".5pt">
                <v:fill color2="#7aaddd [2612]" rotate="t" colors="0 #b1cbe9;.5 #a3c1e5;1 #92b9e4" focus="100%" type="gradient">
                  <o:fill v:ext="view" type="gradientUnscaled"/>
                </v:fill>
                <v:textbox style="mso-fit-shape-to-text:t">
                  <w:txbxContent>
                    <w:p w:rsidR="00E61B35" w:rsidRDefault="00E61B35" w:rsidP="006A507C">
                      <w:pPr>
                        <w:pStyle w:val="CommentText"/>
                      </w:pPr>
                      <w:r>
                        <w:t>Phase 3 (as from March 2021) will see a percentage reduction (rate to be determined) in the subsidy paid to a provider for a consumer to the extent that the consumer has unspent funds being held by the provider. The reduction in subsidy will be accrued to the consumer’s unspent funds held by DHS and the provider will reduce the amount of unspent funds that it holds on behalf of the consumer.</w:t>
                      </w:r>
                    </w:p>
                  </w:txbxContent>
                </v:textbox>
                <w10:anchorlock/>
              </v:shape>
            </w:pict>
          </mc:Fallback>
        </mc:AlternateContent>
      </w:r>
      <w:bookmarkEnd w:id="61"/>
      <w:bookmarkEnd w:id="62"/>
      <w:bookmarkEnd w:id="63"/>
      <w:bookmarkEnd w:id="64"/>
    </w:p>
    <w:p w:rsidR="00C8694E" w:rsidRDefault="00C8694E" w:rsidP="00E663FB">
      <w:pPr>
        <w:pStyle w:val="CommentText"/>
        <w:spacing w:before="240" w:after="180"/>
      </w:pPr>
      <w:r>
        <w:t>Most</w:t>
      </w:r>
      <w:r w:rsidRPr="00F30C5E">
        <w:t xml:space="preserve"> providers agreed that</w:t>
      </w:r>
      <w:r>
        <w:t xml:space="preserve"> the current level of</w:t>
      </w:r>
      <w:r w:rsidRPr="00F30C5E">
        <w:t xml:space="preserve"> unspent funds</w:t>
      </w:r>
      <w:r>
        <w:t xml:space="preserve"> </w:t>
      </w:r>
      <w:r w:rsidRPr="00F30C5E">
        <w:t>needed to be addressed.</w:t>
      </w:r>
      <w:r>
        <w:t xml:space="preserve"> </w:t>
      </w:r>
      <w:r w:rsidR="00023BB0">
        <w:rPr>
          <w:rFonts w:eastAsia="Times New Roman" w:cstheme="minorHAnsi"/>
          <w:szCs w:val="24"/>
          <w:lang w:eastAsia="en-AU"/>
        </w:rPr>
        <w:t>T</w:t>
      </w:r>
      <w:r w:rsidR="00DD70AF">
        <w:rPr>
          <w:rFonts w:eastAsia="Times New Roman" w:cstheme="minorHAnsi"/>
          <w:szCs w:val="24"/>
          <w:lang w:eastAsia="en-AU"/>
        </w:rPr>
        <w:t>here were differing views</w:t>
      </w:r>
      <w:r w:rsidR="00023BB0">
        <w:rPr>
          <w:rFonts w:eastAsia="Times New Roman" w:cstheme="minorHAnsi"/>
          <w:szCs w:val="24"/>
          <w:lang w:eastAsia="en-AU"/>
        </w:rPr>
        <w:t>, however,</w:t>
      </w:r>
      <w:r w:rsidR="00DD70AF">
        <w:rPr>
          <w:rFonts w:eastAsia="Times New Roman" w:cstheme="minorHAnsi"/>
          <w:szCs w:val="24"/>
          <w:lang w:eastAsia="en-AU"/>
        </w:rPr>
        <w:t xml:space="preserve"> on how quickly the balance of unspent funds should be </w:t>
      </w:r>
      <w:r w:rsidR="000F6C83">
        <w:rPr>
          <w:rFonts w:eastAsia="Times New Roman" w:cstheme="minorHAnsi"/>
          <w:szCs w:val="24"/>
          <w:lang w:eastAsia="en-AU"/>
        </w:rPr>
        <w:t>withdrawn from providers</w:t>
      </w:r>
      <w:r w:rsidRPr="003E646C">
        <w:rPr>
          <w:rFonts w:eastAsia="Times New Roman" w:cstheme="minorHAnsi"/>
          <w:szCs w:val="24"/>
          <w:lang w:eastAsia="en-AU"/>
        </w:rPr>
        <w:t>.</w:t>
      </w:r>
    </w:p>
    <w:p w:rsidR="00A22AEF" w:rsidRDefault="00A22AEF" w:rsidP="006F112F">
      <w:pPr>
        <w:pStyle w:val="CommentText"/>
        <w:spacing w:after="180"/>
        <w:rPr>
          <w:rFonts w:eastAsia="Times New Roman" w:cstheme="minorHAnsi"/>
          <w:szCs w:val="24"/>
          <w:lang w:eastAsia="en-AU"/>
        </w:rPr>
      </w:pPr>
      <w:r w:rsidRPr="003E646C">
        <w:rPr>
          <w:szCs w:val="24"/>
        </w:rPr>
        <w:t xml:space="preserve">Some </w:t>
      </w:r>
      <w:r w:rsidR="00707C22">
        <w:rPr>
          <w:rFonts w:eastAsia="Times New Roman" w:cstheme="minorHAnsi"/>
          <w:szCs w:val="24"/>
          <w:lang w:eastAsia="en-AU"/>
        </w:rPr>
        <w:t>p</w:t>
      </w:r>
      <w:r w:rsidRPr="003E646C">
        <w:rPr>
          <w:rFonts w:eastAsia="Times New Roman" w:cstheme="minorHAnsi"/>
          <w:szCs w:val="24"/>
          <w:lang w:eastAsia="en-AU"/>
        </w:rPr>
        <w:t>rovider</w:t>
      </w:r>
      <w:r>
        <w:rPr>
          <w:rFonts w:eastAsia="Times New Roman" w:cstheme="minorHAnsi"/>
          <w:szCs w:val="24"/>
          <w:lang w:eastAsia="en-AU"/>
        </w:rPr>
        <w:t xml:space="preserve">s preferred the option of returning unspent funds immediately. </w:t>
      </w:r>
      <w:r w:rsidR="00023BB0">
        <w:rPr>
          <w:rFonts w:eastAsia="Times New Roman" w:cstheme="minorHAnsi"/>
          <w:szCs w:val="24"/>
          <w:lang w:eastAsia="en-AU"/>
        </w:rPr>
        <w:t>A number</w:t>
      </w:r>
      <w:r>
        <w:rPr>
          <w:rFonts w:eastAsia="Times New Roman" w:cstheme="minorHAnsi"/>
          <w:szCs w:val="24"/>
          <w:lang w:eastAsia="en-AU"/>
        </w:rPr>
        <w:t xml:space="preserve"> in this group saw these funds as a</w:t>
      </w:r>
      <w:r w:rsidR="000F6C83">
        <w:rPr>
          <w:rFonts w:eastAsia="Times New Roman" w:cstheme="minorHAnsi"/>
          <w:szCs w:val="24"/>
          <w:lang w:eastAsia="en-AU"/>
        </w:rPr>
        <w:t>n administrative</w:t>
      </w:r>
      <w:r>
        <w:rPr>
          <w:rFonts w:eastAsia="Times New Roman" w:cstheme="minorHAnsi"/>
          <w:szCs w:val="24"/>
          <w:lang w:eastAsia="en-AU"/>
        </w:rPr>
        <w:t xml:space="preserve"> </w:t>
      </w:r>
      <w:r w:rsidR="00BE23A9">
        <w:rPr>
          <w:rFonts w:eastAsia="Times New Roman" w:cstheme="minorHAnsi"/>
          <w:szCs w:val="24"/>
          <w:lang w:eastAsia="en-AU"/>
        </w:rPr>
        <w:t>nuisance and</w:t>
      </w:r>
      <w:r w:rsidR="00023BB0">
        <w:rPr>
          <w:rFonts w:eastAsia="Times New Roman" w:cstheme="minorHAnsi"/>
          <w:szCs w:val="24"/>
          <w:lang w:eastAsia="en-AU"/>
        </w:rPr>
        <w:t xml:space="preserve"> </w:t>
      </w:r>
      <w:r>
        <w:rPr>
          <w:rFonts w:eastAsia="Times New Roman" w:cstheme="minorHAnsi"/>
          <w:szCs w:val="24"/>
          <w:lang w:eastAsia="en-AU"/>
        </w:rPr>
        <w:t xml:space="preserve">would prefer </w:t>
      </w:r>
      <w:r w:rsidR="004215CB">
        <w:rPr>
          <w:rFonts w:eastAsia="Times New Roman" w:cstheme="minorHAnsi"/>
          <w:szCs w:val="24"/>
          <w:lang w:eastAsia="en-AU"/>
        </w:rPr>
        <w:t xml:space="preserve">to avoid </w:t>
      </w:r>
      <w:r w:rsidR="0058756E">
        <w:rPr>
          <w:rFonts w:eastAsia="Times New Roman" w:cstheme="minorHAnsi"/>
          <w:szCs w:val="24"/>
          <w:lang w:eastAsia="en-AU"/>
        </w:rPr>
        <w:t xml:space="preserve">this and </w:t>
      </w:r>
      <w:r>
        <w:rPr>
          <w:rFonts w:eastAsia="Times New Roman" w:cstheme="minorHAnsi"/>
          <w:szCs w:val="24"/>
          <w:lang w:eastAsia="en-AU"/>
        </w:rPr>
        <w:t xml:space="preserve">have </w:t>
      </w:r>
      <w:r w:rsidR="00023BB0">
        <w:rPr>
          <w:rFonts w:eastAsia="Times New Roman" w:cstheme="minorHAnsi"/>
          <w:szCs w:val="24"/>
          <w:lang w:eastAsia="en-AU"/>
        </w:rPr>
        <w:t xml:space="preserve">them </w:t>
      </w:r>
      <w:r>
        <w:rPr>
          <w:rFonts w:eastAsia="Times New Roman" w:cstheme="minorHAnsi"/>
          <w:szCs w:val="24"/>
          <w:lang w:eastAsia="en-AU"/>
        </w:rPr>
        <w:t>off their books</w:t>
      </w:r>
      <w:r w:rsidR="00707C22">
        <w:rPr>
          <w:rFonts w:eastAsia="Times New Roman" w:cstheme="minorHAnsi"/>
          <w:szCs w:val="24"/>
          <w:lang w:eastAsia="en-AU"/>
        </w:rPr>
        <w:t xml:space="preserve"> as soon as possible</w:t>
      </w:r>
      <w:r w:rsidR="003044C3">
        <w:rPr>
          <w:rFonts w:eastAsia="Times New Roman" w:cstheme="minorHAnsi"/>
          <w:szCs w:val="24"/>
          <w:lang w:eastAsia="en-AU"/>
        </w:rPr>
        <w:t>.</w:t>
      </w:r>
      <w:r w:rsidR="00023BB0">
        <w:rPr>
          <w:rFonts w:eastAsia="Times New Roman" w:cstheme="minorHAnsi"/>
          <w:szCs w:val="24"/>
          <w:lang w:eastAsia="en-AU"/>
        </w:rPr>
        <w:t xml:space="preserve"> Some providers </w:t>
      </w:r>
      <w:r>
        <w:rPr>
          <w:rFonts w:eastAsia="Times New Roman" w:cstheme="minorHAnsi"/>
          <w:szCs w:val="24"/>
          <w:lang w:eastAsia="en-AU"/>
        </w:rPr>
        <w:t xml:space="preserve">cited </w:t>
      </w:r>
      <w:r w:rsidR="00023BB0">
        <w:rPr>
          <w:rFonts w:eastAsia="Times New Roman" w:cstheme="minorHAnsi"/>
          <w:szCs w:val="24"/>
          <w:lang w:eastAsia="en-AU"/>
        </w:rPr>
        <w:t xml:space="preserve">the </w:t>
      </w:r>
      <w:r>
        <w:rPr>
          <w:rFonts w:eastAsia="Times New Roman" w:cstheme="minorHAnsi"/>
          <w:szCs w:val="24"/>
          <w:lang w:eastAsia="en-AU"/>
        </w:rPr>
        <w:t xml:space="preserve">complexities </w:t>
      </w:r>
      <w:r w:rsidR="00707C22">
        <w:rPr>
          <w:rFonts w:eastAsia="Times New Roman" w:cstheme="minorHAnsi"/>
          <w:szCs w:val="24"/>
          <w:lang w:eastAsia="en-AU"/>
        </w:rPr>
        <w:t>associated with</w:t>
      </w:r>
      <w:r>
        <w:rPr>
          <w:rFonts w:eastAsia="Times New Roman" w:cstheme="minorHAnsi"/>
          <w:szCs w:val="24"/>
          <w:lang w:eastAsia="en-AU"/>
        </w:rPr>
        <w:t xml:space="preserve"> a gradual return of unspent funds as </w:t>
      </w:r>
      <w:r w:rsidR="00CF6E67">
        <w:rPr>
          <w:rFonts w:eastAsia="Times New Roman" w:cstheme="minorHAnsi"/>
          <w:szCs w:val="24"/>
          <w:lang w:eastAsia="en-AU"/>
        </w:rPr>
        <w:t>an administrative burden</w:t>
      </w:r>
      <w:r w:rsidR="00235D3C">
        <w:rPr>
          <w:rFonts w:eastAsia="Times New Roman" w:cstheme="minorHAnsi"/>
          <w:szCs w:val="24"/>
          <w:lang w:eastAsia="en-AU"/>
        </w:rPr>
        <w:t>,</w:t>
      </w:r>
      <w:r w:rsidR="00CF6E67">
        <w:rPr>
          <w:rFonts w:eastAsia="Times New Roman" w:cstheme="minorHAnsi"/>
          <w:szCs w:val="24"/>
          <w:lang w:eastAsia="en-AU"/>
        </w:rPr>
        <w:t xml:space="preserve"> and would prefer </w:t>
      </w:r>
      <w:r w:rsidR="00235D3C">
        <w:rPr>
          <w:rFonts w:eastAsia="Times New Roman" w:cstheme="minorHAnsi"/>
          <w:szCs w:val="24"/>
          <w:lang w:eastAsia="en-AU"/>
        </w:rPr>
        <w:t xml:space="preserve">to avoid </w:t>
      </w:r>
      <w:r w:rsidR="00CF6E67">
        <w:rPr>
          <w:rFonts w:eastAsia="Times New Roman" w:cstheme="minorHAnsi"/>
          <w:szCs w:val="24"/>
          <w:lang w:eastAsia="en-AU"/>
        </w:rPr>
        <w:t xml:space="preserve">this additional complexity by returning their unspent funds </w:t>
      </w:r>
      <w:r>
        <w:rPr>
          <w:rFonts w:eastAsia="Times New Roman" w:cstheme="minorHAnsi"/>
          <w:szCs w:val="24"/>
          <w:lang w:eastAsia="en-AU"/>
        </w:rPr>
        <w:t xml:space="preserve">as soon as </w:t>
      </w:r>
      <w:r w:rsidR="004E5B4A">
        <w:rPr>
          <w:rFonts w:eastAsia="Times New Roman" w:cstheme="minorHAnsi"/>
          <w:szCs w:val="24"/>
          <w:lang w:eastAsia="en-AU"/>
        </w:rPr>
        <w:t>practicable.</w:t>
      </w:r>
    </w:p>
    <w:p w:rsidR="00951F7A" w:rsidRDefault="00CF6E67" w:rsidP="006F112F">
      <w:pPr>
        <w:pStyle w:val="CommentText"/>
        <w:spacing w:after="180"/>
        <w:rPr>
          <w:rFonts w:eastAsia="Times New Roman" w:cstheme="minorHAnsi"/>
          <w:szCs w:val="24"/>
          <w:lang w:eastAsia="en-AU"/>
        </w:rPr>
      </w:pPr>
      <w:r>
        <w:rPr>
          <w:rFonts w:eastAsia="Times New Roman" w:cstheme="minorHAnsi"/>
          <w:szCs w:val="24"/>
          <w:lang w:eastAsia="en-AU"/>
        </w:rPr>
        <w:t>Other providers saw the stock of unspent funds as an important buffer to ameliorate cash flow problems associated with the change in payment arrangements. Some of the submissions suggested that t</w:t>
      </w:r>
      <w:r w:rsidR="00A22AEF">
        <w:rPr>
          <w:rFonts w:eastAsia="Times New Roman" w:cstheme="minorHAnsi"/>
          <w:szCs w:val="24"/>
          <w:lang w:eastAsia="en-AU"/>
        </w:rPr>
        <w:t xml:space="preserve">o </w:t>
      </w:r>
      <w:r>
        <w:rPr>
          <w:rFonts w:eastAsia="Times New Roman" w:cstheme="minorHAnsi"/>
          <w:szCs w:val="24"/>
          <w:lang w:eastAsia="en-AU"/>
        </w:rPr>
        <w:t xml:space="preserve">help </w:t>
      </w:r>
      <w:r w:rsidR="00A22AEF">
        <w:rPr>
          <w:rFonts w:eastAsia="Times New Roman" w:cstheme="minorHAnsi"/>
          <w:szCs w:val="24"/>
          <w:lang w:eastAsia="en-AU"/>
        </w:rPr>
        <w:t>ensure working capital</w:t>
      </w:r>
      <w:r>
        <w:rPr>
          <w:rFonts w:eastAsia="Times New Roman" w:cstheme="minorHAnsi"/>
          <w:szCs w:val="24"/>
          <w:lang w:eastAsia="en-AU"/>
        </w:rPr>
        <w:t xml:space="preserve"> through the transition in payment arrangements</w:t>
      </w:r>
      <w:r w:rsidR="00A22AEF">
        <w:rPr>
          <w:rFonts w:eastAsia="Times New Roman" w:cstheme="minorHAnsi"/>
          <w:szCs w:val="24"/>
          <w:lang w:eastAsia="en-AU"/>
        </w:rPr>
        <w:t xml:space="preserve">, a </w:t>
      </w:r>
      <w:r>
        <w:rPr>
          <w:rFonts w:eastAsia="Times New Roman" w:cstheme="minorHAnsi"/>
          <w:szCs w:val="24"/>
          <w:lang w:eastAsia="en-AU"/>
        </w:rPr>
        <w:t xml:space="preserve">proportion of the unspent funds </w:t>
      </w:r>
      <w:r w:rsidR="00A22AEF">
        <w:rPr>
          <w:rFonts w:eastAsia="Times New Roman" w:cstheme="minorHAnsi"/>
          <w:szCs w:val="24"/>
          <w:lang w:eastAsia="en-AU"/>
        </w:rPr>
        <w:t>(</w:t>
      </w:r>
      <w:r w:rsidR="0076704B">
        <w:rPr>
          <w:rFonts w:eastAsia="Times New Roman" w:cstheme="minorHAnsi"/>
          <w:szCs w:val="24"/>
          <w:lang w:eastAsia="en-AU"/>
        </w:rPr>
        <w:t>e.g.</w:t>
      </w:r>
      <w:r w:rsidR="004C2821">
        <w:rPr>
          <w:rFonts w:eastAsia="Times New Roman" w:cstheme="minorHAnsi"/>
          <w:szCs w:val="24"/>
          <w:lang w:eastAsia="en-AU"/>
        </w:rPr>
        <w:t> </w:t>
      </w:r>
      <w:r w:rsidR="00A22AEF">
        <w:rPr>
          <w:rFonts w:eastAsia="Times New Roman" w:cstheme="minorHAnsi"/>
          <w:szCs w:val="24"/>
          <w:lang w:eastAsia="en-AU"/>
        </w:rPr>
        <w:t>10</w:t>
      </w:r>
      <w:r w:rsidR="00951F7A">
        <w:rPr>
          <w:rFonts w:eastAsia="Times New Roman" w:cstheme="minorHAnsi"/>
          <w:szCs w:val="24"/>
          <w:lang w:eastAsia="en-AU"/>
        </w:rPr>
        <w:t> </w:t>
      </w:r>
      <w:r w:rsidR="00A22AEF">
        <w:rPr>
          <w:rFonts w:eastAsia="Times New Roman" w:cstheme="minorHAnsi"/>
          <w:szCs w:val="24"/>
          <w:lang w:eastAsia="en-AU"/>
        </w:rPr>
        <w:t xml:space="preserve">per cent of current holdings per </w:t>
      </w:r>
      <w:r w:rsidR="001C5A1F">
        <w:rPr>
          <w:rFonts w:eastAsia="Times New Roman" w:cstheme="minorHAnsi"/>
          <w:szCs w:val="24"/>
          <w:lang w:eastAsia="en-AU"/>
        </w:rPr>
        <w:t>package</w:t>
      </w:r>
      <w:r w:rsidR="00A22AEF">
        <w:rPr>
          <w:rFonts w:eastAsia="Times New Roman" w:cstheme="minorHAnsi"/>
          <w:szCs w:val="24"/>
          <w:lang w:eastAsia="en-AU"/>
        </w:rPr>
        <w:t xml:space="preserve">) </w:t>
      </w:r>
      <w:r w:rsidR="004215CB" w:rsidRPr="004215CB">
        <w:rPr>
          <w:rFonts w:eastAsia="Times New Roman" w:cstheme="minorHAnsi"/>
          <w:szCs w:val="24"/>
          <w:lang w:eastAsia="en-AU"/>
        </w:rPr>
        <w:t xml:space="preserve">be retained by providers </w:t>
      </w:r>
      <w:r>
        <w:rPr>
          <w:rFonts w:eastAsia="Times New Roman" w:cstheme="minorHAnsi"/>
          <w:szCs w:val="24"/>
          <w:lang w:eastAsia="en-AU"/>
        </w:rPr>
        <w:t>as a contingency.</w:t>
      </w:r>
    </w:p>
    <w:p w:rsidR="00A22AEF" w:rsidRPr="00A22AEF" w:rsidRDefault="00CF6E67" w:rsidP="006F112F">
      <w:pPr>
        <w:pStyle w:val="CommentText"/>
        <w:spacing w:after="180"/>
        <w:rPr>
          <w:rFonts w:eastAsia="Times New Roman" w:cstheme="minorHAnsi"/>
          <w:szCs w:val="24"/>
          <w:lang w:eastAsia="en-AU"/>
        </w:rPr>
      </w:pPr>
      <w:r>
        <w:rPr>
          <w:rFonts w:eastAsia="Times New Roman" w:cstheme="minorHAnsi"/>
          <w:szCs w:val="24"/>
          <w:lang w:eastAsia="en-AU"/>
        </w:rPr>
        <w:t>Another proposal was that</w:t>
      </w:r>
      <w:r w:rsidR="00A22AEF">
        <w:rPr>
          <w:rFonts w:eastAsia="Times New Roman" w:cstheme="minorHAnsi"/>
          <w:szCs w:val="24"/>
          <w:lang w:eastAsia="en-AU"/>
        </w:rPr>
        <w:t xml:space="preserve"> packages be allowed to accrue unspent funds up to a maximum amount (</w:t>
      </w:r>
      <w:r w:rsidR="0076704B">
        <w:rPr>
          <w:rFonts w:eastAsia="Times New Roman" w:cstheme="minorHAnsi"/>
          <w:szCs w:val="24"/>
          <w:lang w:eastAsia="en-AU"/>
        </w:rPr>
        <w:t>e.g.</w:t>
      </w:r>
      <w:r w:rsidR="00853080">
        <w:rPr>
          <w:rFonts w:eastAsia="Times New Roman" w:cstheme="minorHAnsi"/>
          <w:szCs w:val="24"/>
          <w:lang w:eastAsia="en-AU"/>
        </w:rPr>
        <w:t xml:space="preserve"> $7,000).</w:t>
      </w:r>
    </w:p>
    <w:p w:rsidR="00A22AEF" w:rsidRDefault="00A22AEF" w:rsidP="006C6EA0">
      <w:pPr>
        <w:pStyle w:val="CommentText"/>
        <w:keepNext/>
        <w:spacing w:after="180"/>
      </w:pPr>
      <w:r w:rsidRPr="00F30C5E">
        <w:lastRenderedPageBreak/>
        <w:t xml:space="preserve">Some providers </w:t>
      </w:r>
      <w:r>
        <w:t xml:space="preserve">preferred an approach that </w:t>
      </w:r>
      <w:r w:rsidR="004215CB">
        <w:t xml:space="preserve">allowed </w:t>
      </w:r>
      <w:r>
        <w:t>all current</w:t>
      </w:r>
      <w:r w:rsidRPr="00F30C5E">
        <w:t xml:space="preserve"> unspent funds</w:t>
      </w:r>
      <w:r>
        <w:t xml:space="preserve"> </w:t>
      </w:r>
      <w:r w:rsidR="004215CB">
        <w:t xml:space="preserve">to </w:t>
      </w:r>
      <w:r>
        <w:t xml:space="preserve">be retained by </w:t>
      </w:r>
      <w:r w:rsidR="00707C22">
        <w:t>p</w:t>
      </w:r>
      <w:r>
        <w:t>roviders</w:t>
      </w:r>
      <w:r w:rsidR="00EF473F">
        <w:t xml:space="preserve"> and </w:t>
      </w:r>
      <w:r w:rsidR="00CF6E67">
        <w:t>be</w:t>
      </w:r>
      <w:r w:rsidR="00EF473F">
        <w:t xml:space="preserve"> reduced </w:t>
      </w:r>
      <w:r w:rsidRPr="00F30C5E">
        <w:t>through the usual life cycle of a package.</w:t>
      </w:r>
      <w:r w:rsidR="001C5A1F" w:rsidRPr="00166522">
        <w:rPr>
          <w:rStyle w:val="FootnoteReference"/>
        </w:rPr>
        <w:footnoteReference w:id="4"/>
      </w:r>
      <w:r w:rsidR="00EB2F82">
        <w:t xml:space="preserve"> </w:t>
      </w:r>
      <w:r w:rsidR="00EF473F">
        <w:t xml:space="preserve">That is, drawn down through the provision of services in addition to those being claimed from DHS with the balance being returned to DHS when a </w:t>
      </w:r>
      <w:r w:rsidR="003657B7">
        <w:t>consumer</w:t>
      </w:r>
      <w:r w:rsidR="00EF473F">
        <w:t xml:space="preserve"> leaves care as per </w:t>
      </w:r>
      <w:r w:rsidR="00CF6E67">
        <w:t>current arrangements</w:t>
      </w:r>
      <w:r w:rsidR="00EF473F">
        <w:t>.</w:t>
      </w:r>
    </w:p>
    <w:p w:rsidR="006D04F1" w:rsidRDefault="006D04F1" w:rsidP="006F112F">
      <w:pPr>
        <w:pStyle w:val="CommentText"/>
        <w:spacing w:after="180"/>
        <w:rPr>
          <w:rFonts w:eastAsia="Times New Roman" w:cstheme="minorHAnsi"/>
          <w:szCs w:val="24"/>
          <w:lang w:eastAsia="en-AU"/>
        </w:rPr>
      </w:pPr>
      <w:r>
        <w:rPr>
          <w:rFonts w:eastAsia="Times New Roman" w:cstheme="minorHAnsi"/>
          <w:szCs w:val="24"/>
          <w:lang w:eastAsia="en-AU"/>
        </w:rPr>
        <w:t xml:space="preserve">A significant number of submissions </w:t>
      </w:r>
      <w:r w:rsidR="00B86421">
        <w:rPr>
          <w:rFonts w:eastAsia="Times New Roman" w:cstheme="minorHAnsi"/>
          <w:szCs w:val="24"/>
          <w:lang w:eastAsia="en-AU"/>
        </w:rPr>
        <w:t xml:space="preserve">suggested </w:t>
      </w:r>
      <w:r>
        <w:rPr>
          <w:rFonts w:eastAsia="Times New Roman" w:cstheme="minorHAnsi"/>
          <w:szCs w:val="24"/>
          <w:lang w:eastAsia="en-AU"/>
        </w:rPr>
        <w:t>that returned unspent funds should be redirected into the release of more home care packages.</w:t>
      </w:r>
    </w:p>
    <w:p w:rsidR="00EA3E09" w:rsidRDefault="00EA3E09" w:rsidP="006F112F">
      <w:pPr>
        <w:pStyle w:val="CommentText"/>
        <w:spacing w:after="180"/>
      </w:pPr>
      <w:r>
        <w:t xml:space="preserve">Providers advised that </w:t>
      </w:r>
      <w:r w:rsidR="001F207D">
        <w:t>the Government</w:t>
      </w:r>
      <w:r w:rsidR="00235D3C">
        <w:t>’</w:t>
      </w:r>
      <w:r w:rsidR="001F207D">
        <w:t xml:space="preserve">s proposed timetable which involved </w:t>
      </w:r>
      <w:r>
        <w:t xml:space="preserve">reporting the level of unspent funds </w:t>
      </w:r>
      <w:r w:rsidR="001F207D">
        <w:t xml:space="preserve">for each </w:t>
      </w:r>
      <w:r w:rsidR="003657B7">
        <w:t>consumer</w:t>
      </w:r>
      <w:r w:rsidR="001F207D">
        <w:t xml:space="preserve"> </w:t>
      </w:r>
      <w:r>
        <w:t xml:space="preserve">to DHS in </w:t>
      </w:r>
      <w:r w:rsidR="001F207D">
        <w:t xml:space="preserve">February </w:t>
      </w:r>
      <w:r>
        <w:t xml:space="preserve">2021 would be a significant </w:t>
      </w:r>
      <w:r w:rsidR="00235D3C">
        <w:t xml:space="preserve">administrative </w:t>
      </w:r>
      <w:r>
        <w:t>burden given that they will need to ensure that all outstanding charges have been incorporated</w:t>
      </w:r>
      <w:r w:rsidR="00235D3C">
        <w:t xml:space="preserve"> for a pre-determined day</w:t>
      </w:r>
      <w:r>
        <w:t xml:space="preserve">. </w:t>
      </w:r>
      <w:r w:rsidR="00235D3C">
        <w:t xml:space="preserve">This calculation is normally made progressively for each package holder when they exit their package. </w:t>
      </w:r>
      <w:r>
        <w:t>They also noted that this balance will likely change after it is reported as clients may access their unspent funds.</w:t>
      </w:r>
    </w:p>
    <w:p w:rsidR="000D34F5" w:rsidRPr="00F30C5E" w:rsidRDefault="000D34F5" w:rsidP="006F112F">
      <w:pPr>
        <w:pStyle w:val="CommentText"/>
        <w:spacing w:after="180"/>
      </w:pPr>
    </w:p>
    <w:p w:rsidR="003F368D" w:rsidRDefault="00FD7E8C" w:rsidP="003F368D">
      <w:pPr>
        <w:pStyle w:val="Heading2"/>
      </w:pPr>
      <w:bookmarkStart w:id="65" w:name="_Toc25851860"/>
      <w:bookmarkStart w:id="66" w:name="_Toc25938505"/>
      <w:bookmarkStart w:id="67" w:name="_Toc26109068"/>
      <w:bookmarkStart w:id="68" w:name="_Toc26788397"/>
      <w:r>
        <w:t>Possible impact</w:t>
      </w:r>
      <w:r w:rsidR="003F368D">
        <w:t xml:space="preserve"> on </w:t>
      </w:r>
      <w:r>
        <w:t>v</w:t>
      </w:r>
      <w:r w:rsidR="003F368D">
        <w:t>iability of</w:t>
      </w:r>
      <w:r>
        <w:t xml:space="preserve"> some p</w:t>
      </w:r>
      <w:r w:rsidR="003F368D">
        <w:t>roviders</w:t>
      </w:r>
      <w:bookmarkEnd w:id="65"/>
      <w:bookmarkEnd w:id="66"/>
      <w:bookmarkEnd w:id="67"/>
      <w:bookmarkEnd w:id="68"/>
    </w:p>
    <w:p w:rsidR="00A22AEF" w:rsidRPr="0039516F" w:rsidRDefault="001F207D" w:rsidP="006F112F">
      <w:pPr>
        <w:spacing w:after="180" w:line="240" w:lineRule="auto"/>
        <w:rPr>
          <w:szCs w:val="24"/>
        </w:rPr>
      </w:pPr>
      <w:r>
        <w:rPr>
          <w:szCs w:val="24"/>
        </w:rPr>
        <w:t>Some of the submissions suggested that the new payment arrangements would be a risk to the viability of some providers.</w:t>
      </w:r>
      <w:r w:rsidR="00A22AEF" w:rsidRPr="0039516F">
        <w:rPr>
          <w:szCs w:val="24"/>
        </w:rPr>
        <w:t xml:space="preserve"> </w:t>
      </w:r>
      <w:r w:rsidR="007D754F">
        <w:rPr>
          <w:szCs w:val="24"/>
        </w:rPr>
        <w:t>One submission noted that a</w:t>
      </w:r>
      <w:r w:rsidR="00A22AEF" w:rsidRPr="0039516F">
        <w:rPr>
          <w:szCs w:val="24"/>
        </w:rPr>
        <w:t xml:space="preserve"> loss of liquid</w:t>
      </w:r>
      <w:r w:rsidR="00A22AEF">
        <w:rPr>
          <w:szCs w:val="24"/>
        </w:rPr>
        <w:t xml:space="preserve">ity for </w:t>
      </w:r>
      <w:r w:rsidR="00A22AEF" w:rsidRPr="0039516F">
        <w:rPr>
          <w:szCs w:val="24"/>
        </w:rPr>
        <w:t>providers may result in insolvency or pose difficulties for providers to fund significant drawdowns from available funds</w:t>
      </w:r>
      <w:r w:rsidR="003044C3">
        <w:rPr>
          <w:szCs w:val="24"/>
        </w:rPr>
        <w:t>.</w:t>
      </w:r>
      <w:r w:rsidR="00A22AEF">
        <w:rPr>
          <w:rFonts w:ascii="Century Gothic" w:eastAsia="Times New Roman" w:hAnsi="Century Gothic" w:cs="Times New Roman"/>
          <w:color w:val="FF0000"/>
          <w:lang w:eastAsia="en-AU"/>
        </w:rPr>
        <w:t xml:space="preserve"> </w:t>
      </w:r>
      <w:r w:rsidR="00707C22" w:rsidRPr="00707C22">
        <w:rPr>
          <w:szCs w:val="24"/>
        </w:rPr>
        <w:t>Some</w:t>
      </w:r>
      <w:r w:rsidR="003044C3">
        <w:rPr>
          <w:szCs w:val="24"/>
        </w:rPr>
        <w:t xml:space="preserve"> </w:t>
      </w:r>
      <w:r w:rsidR="00707C22" w:rsidRPr="00707C22">
        <w:rPr>
          <w:szCs w:val="24"/>
        </w:rPr>
        <w:t>submission</w:t>
      </w:r>
      <w:r w:rsidR="0077142B">
        <w:rPr>
          <w:szCs w:val="24"/>
        </w:rPr>
        <w:t>s</w:t>
      </w:r>
      <w:r w:rsidR="00707C22" w:rsidRPr="00707C22">
        <w:rPr>
          <w:szCs w:val="24"/>
        </w:rPr>
        <w:t xml:space="preserve"> suggested that</w:t>
      </w:r>
      <w:r w:rsidR="00707C22">
        <w:rPr>
          <w:rFonts w:ascii="Century Gothic" w:eastAsia="Times New Roman" w:hAnsi="Century Gothic" w:cs="Times New Roman"/>
          <w:color w:val="FF0000"/>
          <w:lang w:eastAsia="en-AU"/>
        </w:rPr>
        <w:t xml:space="preserve"> </w:t>
      </w:r>
      <w:r w:rsidR="00707C22">
        <w:rPr>
          <w:szCs w:val="24"/>
        </w:rPr>
        <w:t>s</w:t>
      </w:r>
      <w:r w:rsidR="00A22AEF" w:rsidRPr="003B46A4">
        <w:rPr>
          <w:szCs w:val="24"/>
        </w:rPr>
        <w:t xml:space="preserve">maller providers may no longer be able to operate due to </w:t>
      </w:r>
      <w:r w:rsidR="004215CB">
        <w:rPr>
          <w:szCs w:val="24"/>
        </w:rPr>
        <w:t>an inability</w:t>
      </w:r>
      <w:r w:rsidR="00A22AEF" w:rsidRPr="003B46A4">
        <w:rPr>
          <w:szCs w:val="24"/>
        </w:rPr>
        <w:t xml:space="preserve"> to pay staff or suppliers before the funds are reimbursed</w:t>
      </w:r>
      <w:r>
        <w:rPr>
          <w:szCs w:val="24"/>
        </w:rPr>
        <w:t>.</w:t>
      </w:r>
    </w:p>
    <w:p w:rsidR="009234F8" w:rsidRPr="0039516F" w:rsidRDefault="0038476C" w:rsidP="006F112F">
      <w:pPr>
        <w:spacing w:after="180" w:line="240" w:lineRule="auto"/>
        <w:rPr>
          <w:szCs w:val="24"/>
        </w:rPr>
      </w:pPr>
      <w:r>
        <w:rPr>
          <w:szCs w:val="24"/>
        </w:rPr>
        <w:t xml:space="preserve">One submission </w:t>
      </w:r>
      <w:r w:rsidR="0077142B">
        <w:rPr>
          <w:szCs w:val="24"/>
        </w:rPr>
        <w:t xml:space="preserve">provided details about the anticipated impacts on a group </w:t>
      </w:r>
      <w:r w:rsidR="001F207D">
        <w:rPr>
          <w:szCs w:val="24"/>
        </w:rPr>
        <w:t xml:space="preserve">of providers </w:t>
      </w:r>
      <w:r w:rsidR="0077142B">
        <w:rPr>
          <w:szCs w:val="24"/>
        </w:rPr>
        <w:t>operating in thin markets. This submission advised that</w:t>
      </w:r>
      <w:r>
        <w:rPr>
          <w:szCs w:val="24"/>
        </w:rPr>
        <w:t xml:space="preserve"> </w:t>
      </w:r>
      <w:r w:rsidR="009234F8" w:rsidRPr="006A62A0">
        <w:rPr>
          <w:i/>
          <w:szCs w:val="24"/>
        </w:rPr>
        <w:t>Mo</w:t>
      </w:r>
      <w:r w:rsidR="007D754F" w:rsidRPr="006A62A0">
        <w:rPr>
          <w:i/>
          <w:szCs w:val="24"/>
        </w:rPr>
        <w:t xml:space="preserve">ving to a post-paid individualised </w:t>
      </w:r>
      <w:r w:rsidR="009234F8" w:rsidRPr="006A62A0">
        <w:rPr>
          <w:i/>
          <w:szCs w:val="24"/>
        </w:rPr>
        <w:t>finance model will impact cash flows for remote and very remote service providers in the short and long term and this could be worsened by providers who may be relying on the availability o</w:t>
      </w:r>
      <w:r w:rsidRPr="006A62A0">
        <w:rPr>
          <w:i/>
          <w:szCs w:val="24"/>
        </w:rPr>
        <w:t>f</w:t>
      </w:r>
      <w:r w:rsidR="009234F8" w:rsidRPr="006A62A0">
        <w:rPr>
          <w:i/>
          <w:szCs w:val="24"/>
        </w:rPr>
        <w:t xml:space="preserve"> unspent funds to provide services that otherwise are not financially </w:t>
      </w:r>
      <w:r w:rsidR="007D754F" w:rsidRPr="006A62A0">
        <w:rPr>
          <w:i/>
          <w:szCs w:val="24"/>
        </w:rPr>
        <w:t>viable.</w:t>
      </w:r>
      <w:r w:rsidR="007D754F">
        <w:rPr>
          <w:szCs w:val="24"/>
        </w:rPr>
        <w:t xml:space="preserve"> </w:t>
      </w:r>
    </w:p>
    <w:p w:rsidR="00420235" w:rsidRDefault="00A22AEF" w:rsidP="00420235">
      <w:pPr>
        <w:spacing w:after="180" w:line="240" w:lineRule="auto"/>
        <w:rPr>
          <w:szCs w:val="24"/>
        </w:rPr>
      </w:pPr>
      <w:r>
        <w:rPr>
          <w:szCs w:val="24"/>
        </w:rPr>
        <w:t>Many submissions referenced small providers and those operating in rural and remote locations</w:t>
      </w:r>
      <w:r w:rsidR="00235D3C">
        <w:rPr>
          <w:szCs w:val="24"/>
        </w:rPr>
        <w:t>,</w:t>
      </w:r>
      <w:r>
        <w:rPr>
          <w:szCs w:val="24"/>
        </w:rPr>
        <w:t xml:space="preserve"> </w:t>
      </w:r>
      <w:r w:rsidR="001F207D">
        <w:rPr>
          <w:szCs w:val="24"/>
        </w:rPr>
        <w:t>suggest</w:t>
      </w:r>
      <w:r w:rsidR="00235D3C">
        <w:rPr>
          <w:szCs w:val="24"/>
        </w:rPr>
        <w:t>ing</w:t>
      </w:r>
      <w:r w:rsidR="001F207D">
        <w:rPr>
          <w:szCs w:val="24"/>
        </w:rPr>
        <w:t xml:space="preserve"> </w:t>
      </w:r>
      <w:r w:rsidR="00235D3C">
        <w:rPr>
          <w:szCs w:val="24"/>
        </w:rPr>
        <w:t xml:space="preserve">that </w:t>
      </w:r>
      <w:r w:rsidR="001F207D">
        <w:rPr>
          <w:szCs w:val="24"/>
        </w:rPr>
        <w:t>the risks to the ongoing viabil</w:t>
      </w:r>
      <w:r w:rsidR="00785C0D">
        <w:rPr>
          <w:szCs w:val="24"/>
        </w:rPr>
        <w:t>ity of these providers would be</w:t>
      </w:r>
      <w:r>
        <w:rPr>
          <w:szCs w:val="24"/>
        </w:rPr>
        <w:t xml:space="preserve"> </w:t>
      </w:r>
      <w:r w:rsidR="001E7D76">
        <w:rPr>
          <w:szCs w:val="24"/>
        </w:rPr>
        <w:t>heightened as a result of the change in payment arrangements.</w:t>
      </w:r>
      <w:r>
        <w:rPr>
          <w:szCs w:val="24"/>
        </w:rPr>
        <w:t xml:space="preserve"> Submissions from smaller providers ask</w:t>
      </w:r>
      <w:r w:rsidR="001E7D76">
        <w:rPr>
          <w:szCs w:val="24"/>
        </w:rPr>
        <w:t>ed</w:t>
      </w:r>
      <w:r>
        <w:rPr>
          <w:szCs w:val="24"/>
        </w:rPr>
        <w:t xml:space="preserve"> that they be given special consideration </w:t>
      </w:r>
      <w:r w:rsidR="001E7D76">
        <w:rPr>
          <w:szCs w:val="24"/>
        </w:rPr>
        <w:t>and receive support to ameliorate the costs to them of the change in payment arrangements.</w:t>
      </w:r>
      <w:r>
        <w:rPr>
          <w:szCs w:val="24"/>
        </w:rPr>
        <w:t xml:space="preserve"> </w:t>
      </w:r>
    </w:p>
    <w:p w:rsidR="00420235" w:rsidRDefault="00420235" w:rsidP="00420235">
      <w:pPr>
        <w:spacing w:after="180" w:line="240" w:lineRule="auto"/>
        <w:rPr>
          <w:szCs w:val="24"/>
        </w:rPr>
      </w:pPr>
      <w:r w:rsidRPr="003B46A4">
        <w:rPr>
          <w:szCs w:val="24"/>
        </w:rPr>
        <w:t>In addition to the individual impacts, providers noted that the cumulative effect of this change needs careful consideration</w:t>
      </w:r>
      <w:r>
        <w:rPr>
          <w:szCs w:val="24"/>
        </w:rPr>
        <w:t xml:space="preserve"> in the context of previous and ongoing reforms</w:t>
      </w:r>
      <w:r w:rsidR="001E7D76">
        <w:rPr>
          <w:szCs w:val="24"/>
        </w:rPr>
        <w:t xml:space="preserve"> to home care</w:t>
      </w:r>
      <w:r>
        <w:rPr>
          <w:szCs w:val="24"/>
        </w:rPr>
        <w:t>.</w:t>
      </w:r>
      <w:r w:rsidRPr="003B46A4">
        <w:rPr>
          <w:szCs w:val="24"/>
        </w:rPr>
        <w:t xml:space="preserve"> </w:t>
      </w:r>
    </w:p>
    <w:p w:rsidR="000D34F5" w:rsidRPr="000E2DF1" w:rsidRDefault="000D34F5" w:rsidP="000E2DF1">
      <w:pPr>
        <w:pStyle w:val="CommentText"/>
        <w:spacing w:after="180"/>
      </w:pPr>
      <w:bookmarkStart w:id="69" w:name="_Toc25938506"/>
      <w:bookmarkStart w:id="70" w:name="_Toc26109069"/>
      <w:bookmarkStart w:id="71" w:name="_Toc25851861"/>
    </w:p>
    <w:p w:rsidR="003F368D" w:rsidRPr="003F368D" w:rsidRDefault="003F368D" w:rsidP="006F112F">
      <w:pPr>
        <w:pStyle w:val="Heading2"/>
        <w:spacing w:before="0" w:after="180"/>
      </w:pPr>
      <w:bookmarkStart w:id="72" w:name="_Toc26788398"/>
      <w:r>
        <w:t xml:space="preserve">Possible impact on </w:t>
      </w:r>
      <w:r w:rsidR="004D1542">
        <w:t>c</w:t>
      </w:r>
      <w:r w:rsidR="001E7D76">
        <w:t>onsumers</w:t>
      </w:r>
      <w:bookmarkEnd w:id="69"/>
      <w:bookmarkEnd w:id="70"/>
      <w:bookmarkEnd w:id="72"/>
      <w:r w:rsidR="004D1542">
        <w:t xml:space="preserve"> </w:t>
      </w:r>
      <w:bookmarkEnd w:id="71"/>
    </w:p>
    <w:p w:rsidR="009A3154" w:rsidRDefault="001E7D76" w:rsidP="000C6B2A">
      <w:pPr>
        <w:spacing w:after="180" w:line="240" w:lineRule="auto"/>
        <w:rPr>
          <w:szCs w:val="24"/>
        </w:rPr>
      </w:pPr>
      <w:r>
        <w:rPr>
          <w:szCs w:val="24"/>
        </w:rPr>
        <w:t xml:space="preserve">A number of concerns were raised regarding the possible impact of the new payment arrangements on the delivery of goods and services to consumers. It was noted that should the new arrangements result in </w:t>
      </w:r>
      <w:r w:rsidR="009A3154">
        <w:rPr>
          <w:szCs w:val="24"/>
        </w:rPr>
        <w:t xml:space="preserve">some providers leaving the industry, this would reduce consumer choice. The extent to which the new arrangements adversely impact on the </w:t>
      </w:r>
      <w:r w:rsidR="009A3154">
        <w:rPr>
          <w:szCs w:val="24"/>
        </w:rPr>
        <w:lastRenderedPageBreak/>
        <w:t xml:space="preserve">viability of </w:t>
      </w:r>
      <w:r w:rsidR="00BE23A9">
        <w:rPr>
          <w:szCs w:val="24"/>
        </w:rPr>
        <w:t>providers operating</w:t>
      </w:r>
      <w:r w:rsidR="009A3154">
        <w:rPr>
          <w:szCs w:val="24"/>
        </w:rPr>
        <w:t xml:space="preserve"> in very thin markets in rural and remote locations may have a significant impact on consumers if there are no other providers operating in those markets.</w:t>
      </w:r>
    </w:p>
    <w:p w:rsidR="000F0C65" w:rsidRDefault="009A3154" w:rsidP="003D055F">
      <w:pPr>
        <w:spacing w:after="180" w:line="240" w:lineRule="auto"/>
        <w:rPr>
          <w:szCs w:val="24"/>
        </w:rPr>
      </w:pPr>
      <w:r>
        <w:rPr>
          <w:szCs w:val="24"/>
        </w:rPr>
        <w:t>Some provide</w:t>
      </w:r>
      <w:r w:rsidR="00866DE9">
        <w:rPr>
          <w:szCs w:val="24"/>
        </w:rPr>
        <w:t>rs said that as a result of the</w:t>
      </w:r>
      <w:r>
        <w:rPr>
          <w:szCs w:val="24"/>
        </w:rPr>
        <w:t xml:space="preserve"> cash flow </w:t>
      </w:r>
      <w:r w:rsidR="00235D3C">
        <w:rPr>
          <w:szCs w:val="24"/>
        </w:rPr>
        <w:t xml:space="preserve">pressures arising from </w:t>
      </w:r>
      <w:r>
        <w:rPr>
          <w:szCs w:val="24"/>
        </w:rPr>
        <w:t xml:space="preserve">the changes, they may be reluctant to take on new consumers during the transition period. </w:t>
      </w:r>
      <w:r w:rsidR="00BE23A9">
        <w:rPr>
          <w:szCs w:val="24"/>
        </w:rPr>
        <w:t>Others observed</w:t>
      </w:r>
      <w:r>
        <w:rPr>
          <w:szCs w:val="24"/>
        </w:rPr>
        <w:t xml:space="preserve"> that if this was the case, they saw an opportunity to increase market share. </w:t>
      </w:r>
      <w:r w:rsidR="00235D3C">
        <w:rPr>
          <w:szCs w:val="24"/>
        </w:rPr>
        <w:t>A r</w:t>
      </w:r>
      <w:r w:rsidR="006A507C">
        <w:rPr>
          <w:szCs w:val="24"/>
        </w:rPr>
        <w:t xml:space="preserve">elated </w:t>
      </w:r>
      <w:r>
        <w:rPr>
          <w:szCs w:val="24"/>
        </w:rPr>
        <w:t xml:space="preserve">concern raised by a number of smaller providers was that larger providers </w:t>
      </w:r>
      <w:r w:rsidR="00235D3C">
        <w:rPr>
          <w:szCs w:val="24"/>
        </w:rPr>
        <w:t>would have</w:t>
      </w:r>
      <w:r>
        <w:rPr>
          <w:szCs w:val="24"/>
        </w:rPr>
        <w:t xml:space="preserve"> </w:t>
      </w:r>
      <w:r w:rsidR="00BE23A9">
        <w:rPr>
          <w:szCs w:val="24"/>
        </w:rPr>
        <w:t>greater</w:t>
      </w:r>
      <w:r>
        <w:rPr>
          <w:szCs w:val="24"/>
        </w:rPr>
        <w:t xml:space="preserve"> capacity to absorb the costs associated with the changes</w:t>
      </w:r>
      <w:r w:rsidR="00235D3C">
        <w:rPr>
          <w:szCs w:val="24"/>
        </w:rPr>
        <w:t>,</w:t>
      </w:r>
      <w:r>
        <w:rPr>
          <w:szCs w:val="24"/>
        </w:rPr>
        <w:t xml:space="preserve"> and this would distort the competitive market. </w:t>
      </w:r>
    </w:p>
    <w:p w:rsidR="000F0C65" w:rsidRDefault="000F0C65" w:rsidP="006F7415">
      <w:pPr>
        <w:spacing w:after="180" w:line="240" w:lineRule="auto"/>
        <w:rPr>
          <w:szCs w:val="24"/>
        </w:rPr>
      </w:pPr>
      <w:r>
        <w:rPr>
          <w:szCs w:val="24"/>
        </w:rPr>
        <w:t xml:space="preserve">Many providers suggested that with unspent package funds being held by </w:t>
      </w:r>
      <w:r w:rsidR="009D0A83">
        <w:rPr>
          <w:szCs w:val="24"/>
        </w:rPr>
        <w:t>DHS</w:t>
      </w:r>
      <w:r>
        <w:rPr>
          <w:szCs w:val="24"/>
        </w:rPr>
        <w:t xml:space="preserve">, there would </w:t>
      </w:r>
      <w:r w:rsidR="00BE23A9">
        <w:rPr>
          <w:szCs w:val="24"/>
        </w:rPr>
        <w:t>be significant</w:t>
      </w:r>
      <w:r>
        <w:rPr>
          <w:szCs w:val="24"/>
        </w:rPr>
        <w:t xml:space="preserve"> delays before consumers could access these funds to finance the provision of large capital items. It was noted that </w:t>
      </w:r>
      <w:r w:rsidR="00BE23A9">
        <w:rPr>
          <w:szCs w:val="24"/>
        </w:rPr>
        <w:t>larger</w:t>
      </w:r>
      <w:r>
        <w:rPr>
          <w:szCs w:val="24"/>
        </w:rPr>
        <w:t xml:space="preserve"> providers may have the capacity to finance such purchasers before getting reimbursement from DHS, but smaller providers would not have the same capacity to finance such outlays. This was seen as another consequence impeding the competitiveness of smaller providers.</w:t>
      </w:r>
    </w:p>
    <w:p w:rsidR="004A4E7F" w:rsidRDefault="004A4E7F" w:rsidP="006F7415">
      <w:pPr>
        <w:spacing w:after="180" w:line="240" w:lineRule="auto"/>
        <w:rPr>
          <w:szCs w:val="24"/>
        </w:rPr>
      </w:pPr>
      <w:r>
        <w:rPr>
          <w:szCs w:val="24"/>
        </w:rPr>
        <w:t>It was also noted in the consultations that</w:t>
      </w:r>
      <w:r w:rsidR="00235D3C">
        <w:rPr>
          <w:szCs w:val="24"/>
        </w:rPr>
        <w:t>,</w:t>
      </w:r>
      <w:r>
        <w:rPr>
          <w:szCs w:val="24"/>
        </w:rPr>
        <w:t xml:space="preserve"> to the extent that the new payment arrangements increase administrative costs </w:t>
      </w:r>
      <w:r w:rsidR="00235D3C">
        <w:rPr>
          <w:szCs w:val="24"/>
        </w:rPr>
        <w:t>for</w:t>
      </w:r>
      <w:r>
        <w:rPr>
          <w:szCs w:val="24"/>
        </w:rPr>
        <w:t xml:space="preserve"> providers, th</w:t>
      </w:r>
      <w:r w:rsidR="00235D3C">
        <w:rPr>
          <w:szCs w:val="24"/>
        </w:rPr>
        <w:t>ese costs</w:t>
      </w:r>
      <w:r>
        <w:rPr>
          <w:szCs w:val="24"/>
        </w:rPr>
        <w:t xml:space="preserve"> would be passed on to consumers which in turn would reduce the level of goods and services available to a consumer under a package.</w:t>
      </w:r>
    </w:p>
    <w:p w:rsidR="007C3180" w:rsidRPr="00282774" w:rsidRDefault="00B06E49">
      <w:pPr>
        <w:spacing w:after="180" w:line="240" w:lineRule="auto"/>
        <w:rPr>
          <w:b/>
          <w:szCs w:val="24"/>
        </w:rPr>
      </w:pPr>
      <w:r>
        <w:rPr>
          <w:szCs w:val="24"/>
        </w:rPr>
        <w:t xml:space="preserve">It was also highlighted that consumers would be adversely impacted if </w:t>
      </w:r>
      <w:r w:rsidR="00BE23A9">
        <w:rPr>
          <w:szCs w:val="24"/>
        </w:rPr>
        <w:t>the arrangements</w:t>
      </w:r>
      <w:r>
        <w:rPr>
          <w:szCs w:val="24"/>
        </w:rPr>
        <w:t xml:space="preserve"> involving DHS paying </w:t>
      </w:r>
      <w:r w:rsidR="00BE23A9">
        <w:rPr>
          <w:szCs w:val="24"/>
        </w:rPr>
        <w:t>the subsidy</w:t>
      </w:r>
      <w:r>
        <w:rPr>
          <w:szCs w:val="24"/>
        </w:rPr>
        <w:t xml:space="preserve"> for actual services delivered in the past month reduced the flexibility </w:t>
      </w:r>
      <w:r w:rsidR="00235D3C">
        <w:rPr>
          <w:szCs w:val="24"/>
        </w:rPr>
        <w:t>under</w:t>
      </w:r>
      <w:r>
        <w:rPr>
          <w:szCs w:val="24"/>
        </w:rPr>
        <w:t xml:space="preserve"> current arrangements whereby a provider could overspend on a consumer in one </w:t>
      </w:r>
      <w:r w:rsidR="00BE23A9">
        <w:rPr>
          <w:szCs w:val="24"/>
        </w:rPr>
        <w:t>month</w:t>
      </w:r>
      <w:r w:rsidR="007876E2">
        <w:rPr>
          <w:szCs w:val="24"/>
        </w:rPr>
        <w:t>,</w:t>
      </w:r>
      <w:r w:rsidR="00BE23A9">
        <w:rPr>
          <w:szCs w:val="24"/>
        </w:rPr>
        <w:t xml:space="preserve"> and</w:t>
      </w:r>
      <w:r>
        <w:rPr>
          <w:szCs w:val="24"/>
        </w:rPr>
        <w:t xml:space="preserve"> recoup from subsidy payments in subsequent months.</w:t>
      </w:r>
      <w:r w:rsidR="007C3180" w:rsidRPr="00282774">
        <w:rPr>
          <w:b/>
          <w:szCs w:val="24"/>
        </w:rPr>
        <w:br w:type="page"/>
      </w:r>
    </w:p>
    <w:p w:rsidR="009E6260" w:rsidRDefault="009E6260" w:rsidP="006F112F">
      <w:pPr>
        <w:pStyle w:val="Heading1"/>
        <w:numPr>
          <w:ilvl w:val="0"/>
          <w:numId w:val="14"/>
        </w:numPr>
        <w:spacing w:before="0" w:after="180"/>
      </w:pPr>
      <w:bookmarkStart w:id="73" w:name="_Toc23174354"/>
      <w:bookmarkStart w:id="74" w:name="_Toc25325910"/>
      <w:bookmarkStart w:id="75" w:name="_Toc25851862"/>
      <w:bookmarkStart w:id="76" w:name="_Toc25938507"/>
      <w:bookmarkStart w:id="77" w:name="_Toc26109070"/>
      <w:bookmarkStart w:id="78" w:name="_Toc26788399"/>
      <w:bookmarkStart w:id="79" w:name="_Toc23174339"/>
      <w:bookmarkStart w:id="80" w:name="_Toc25325895"/>
      <w:r>
        <w:lastRenderedPageBreak/>
        <w:t>Data analysis</w:t>
      </w:r>
      <w:bookmarkEnd w:id="73"/>
      <w:bookmarkEnd w:id="74"/>
      <w:bookmarkEnd w:id="75"/>
      <w:bookmarkEnd w:id="76"/>
      <w:bookmarkEnd w:id="77"/>
      <w:bookmarkEnd w:id="78"/>
    </w:p>
    <w:p w:rsidR="0093342E" w:rsidRDefault="0093342E" w:rsidP="00971C8D">
      <w:pPr>
        <w:spacing w:after="180" w:line="240" w:lineRule="auto"/>
        <w:rPr>
          <w:rFonts w:cstheme="minorHAnsi"/>
          <w:szCs w:val="24"/>
        </w:rPr>
      </w:pPr>
      <w:r>
        <w:rPr>
          <w:rFonts w:cstheme="minorHAnsi"/>
          <w:szCs w:val="24"/>
        </w:rPr>
        <w:t xml:space="preserve">The accounting firm </w:t>
      </w:r>
      <w:proofErr w:type="spellStart"/>
      <w:r>
        <w:rPr>
          <w:rFonts w:cstheme="minorHAnsi"/>
          <w:szCs w:val="24"/>
        </w:rPr>
        <w:t>StewartBrown</w:t>
      </w:r>
      <w:proofErr w:type="spellEnd"/>
      <w:r>
        <w:rPr>
          <w:rFonts w:cstheme="minorHAnsi"/>
          <w:szCs w:val="24"/>
        </w:rPr>
        <w:t xml:space="preserve"> was engaged to provide an assessment of the likely financial impact of the proposed changes based on an examination of the financial accounts of home care providers. In undertaking this analysis, </w:t>
      </w:r>
      <w:proofErr w:type="spellStart"/>
      <w:r>
        <w:rPr>
          <w:rFonts w:cstheme="minorHAnsi"/>
          <w:szCs w:val="24"/>
        </w:rPr>
        <w:t>StewartBrown</w:t>
      </w:r>
      <w:proofErr w:type="spellEnd"/>
      <w:r>
        <w:rPr>
          <w:rFonts w:cstheme="minorHAnsi"/>
          <w:szCs w:val="24"/>
        </w:rPr>
        <w:t xml:space="preserve"> used the information available from </w:t>
      </w:r>
      <w:r w:rsidR="003A16DE">
        <w:rPr>
          <w:rFonts w:cstheme="minorHAnsi"/>
          <w:szCs w:val="24"/>
        </w:rPr>
        <w:t xml:space="preserve">the 2018-19 Aged </w:t>
      </w:r>
      <w:r w:rsidR="007876E2">
        <w:rPr>
          <w:rFonts w:cstheme="minorHAnsi"/>
          <w:szCs w:val="24"/>
        </w:rPr>
        <w:t>C</w:t>
      </w:r>
      <w:r w:rsidR="003A16DE">
        <w:rPr>
          <w:rFonts w:cstheme="minorHAnsi"/>
          <w:szCs w:val="24"/>
        </w:rPr>
        <w:t>are Financial Reports</w:t>
      </w:r>
      <w:r w:rsidR="004D2209">
        <w:rPr>
          <w:rFonts w:cstheme="minorHAnsi"/>
          <w:szCs w:val="24"/>
        </w:rPr>
        <w:t xml:space="preserve"> (ACFR)</w:t>
      </w:r>
      <w:r w:rsidR="003A16DE">
        <w:rPr>
          <w:rFonts w:cstheme="minorHAnsi"/>
          <w:szCs w:val="24"/>
        </w:rPr>
        <w:t xml:space="preserve"> submitted by providers, data from the most recent </w:t>
      </w:r>
      <w:proofErr w:type="spellStart"/>
      <w:r w:rsidR="003A16DE">
        <w:rPr>
          <w:rFonts w:cstheme="minorHAnsi"/>
          <w:szCs w:val="24"/>
        </w:rPr>
        <w:t>Ste</w:t>
      </w:r>
      <w:r w:rsidR="00785C0D">
        <w:rPr>
          <w:rFonts w:cstheme="minorHAnsi"/>
          <w:szCs w:val="24"/>
        </w:rPr>
        <w:t>w</w:t>
      </w:r>
      <w:r w:rsidR="003A16DE">
        <w:rPr>
          <w:rFonts w:cstheme="minorHAnsi"/>
          <w:szCs w:val="24"/>
        </w:rPr>
        <w:t>artBrown</w:t>
      </w:r>
      <w:proofErr w:type="spellEnd"/>
      <w:r w:rsidR="003A16DE">
        <w:rPr>
          <w:rFonts w:cstheme="minorHAnsi"/>
          <w:szCs w:val="24"/>
        </w:rPr>
        <w:t xml:space="preserve"> Aged Care Financial Performance Survey, and other relevant financial data.</w:t>
      </w:r>
    </w:p>
    <w:p w:rsidR="003A16DE" w:rsidRDefault="003A16DE" w:rsidP="00971C8D">
      <w:pPr>
        <w:spacing w:after="180" w:line="240" w:lineRule="auto"/>
        <w:rPr>
          <w:rFonts w:cstheme="minorHAnsi"/>
          <w:szCs w:val="24"/>
        </w:rPr>
      </w:pPr>
      <w:proofErr w:type="spellStart"/>
      <w:r>
        <w:rPr>
          <w:rFonts w:cstheme="minorHAnsi"/>
          <w:szCs w:val="24"/>
        </w:rPr>
        <w:t>StewartBrown’s</w:t>
      </w:r>
      <w:proofErr w:type="spellEnd"/>
      <w:r>
        <w:rPr>
          <w:rFonts w:cstheme="minorHAnsi"/>
          <w:szCs w:val="24"/>
        </w:rPr>
        <w:t xml:space="preserve"> report is attached. The key findings from the report are:</w:t>
      </w:r>
    </w:p>
    <w:p w:rsidR="00667836" w:rsidRDefault="00C94BE4" w:rsidP="00971C8D">
      <w:pPr>
        <w:spacing w:after="180" w:line="240" w:lineRule="auto"/>
        <w:rPr>
          <w:rFonts w:cstheme="minorHAnsi"/>
          <w:b/>
          <w:szCs w:val="24"/>
        </w:rPr>
      </w:pPr>
      <w:r>
        <w:rPr>
          <w:rFonts w:cstheme="minorHAnsi"/>
          <w:b/>
          <w:szCs w:val="24"/>
        </w:rPr>
        <w:t xml:space="preserve">Financial impact </w:t>
      </w:r>
      <w:r w:rsidR="00BE23A9">
        <w:rPr>
          <w:rFonts w:cstheme="minorHAnsi"/>
          <w:b/>
          <w:szCs w:val="24"/>
        </w:rPr>
        <w:t>on providers</w:t>
      </w:r>
    </w:p>
    <w:p w:rsidR="00B9665E" w:rsidRDefault="00B9665E" w:rsidP="00971C8D">
      <w:pPr>
        <w:spacing w:after="180" w:line="240" w:lineRule="auto"/>
        <w:rPr>
          <w:rFonts w:cstheme="minorHAnsi"/>
          <w:szCs w:val="24"/>
        </w:rPr>
      </w:pPr>
      <w:r>
        <w:rPr>
          <w:rFonts w:cstheme="minorHAnsi"/>
          <w:szCs w:val="24"/>
        </w:rPr>
        <w:t xml:space="preserve">The overall financial performance </w:t>
      </w:r>
      <w:r w:rsidR="007876E2">
        <w:rPr>
          <w:rFonts w:cstheme="minorHAnsi"/>
          <w:szCs w:val="24"/>
        </w:rPr>
        <w:t xml:space="preserve">of </w:t>
      </w:r>
      <w:r>
        <w:rPr>
          <w:rFonts w:cstheme="minorHAnsi"/>
          <w:szCs w:val="24"/>
        </w:rPr>
        <w:t xml:space="preserve">approved providers, other than the potential </w:t>
      </w:r>
      <w:r w:rsidR="00BE23A9">
        <w:rPr>
          <w:rFonts w:cstheme="minorHAnsi"/>
          <w:szCs w:val="24"/>
        </w:rPr>
        <w:t>additional</w:t>
      </w:r>
      <w:r>
        <w:rPr>
          <w:rFonts w:cstheme="minorHAnsi"/>
          <w:szCs w:val="24"/>
        </w:rPr>
        <w:t xml:space="preserve"> interest expense and possible </w:t>
      </w:r>
      <w:r w:rsidR="007876E2">
        <w:rPr>
          <w:rFonts w:cstheme="minorHAnsi"/>
          <w:szCs w:val="24"/>
        </w:rPr>
        <w:t xml:space="preserve">foregone </w:t>
      </w:r>
      <w:r>
        <w:rPr>
          <w:rFonts w:cstheme="minorHAnsi"/>
          <w:szCs w:val="24"/>
        </w:rPr>
        <w:t xml:space="preserve">interest revenue on unspent funds, will not be materially impacted by the cash flow impact of the proposed </w:t>
      </w:r>
      <w:r w:rsidR="00BE23A9">
        <w:rPr>
          <w:rFonts w:cstheme="minorHAnsi"/>
          <w:szCs w:val="24"/>
        </w:rPr>
        <w:t>changes</w:t>
      </w:r>
      <w:r>
        <w:rPr>
          <w:rFonts w:cstheme="minorHAnsi"/>
          <w:szCs w:val="24"/>
        </w:rPr>
        <w:t xml:space="preserve"> </w:t>
      </w:r>
      <w:r w:rsidR="00BE23A9">
        <w:rPr>
          <w:rFonts w:cstheme="minorHAnsi"/>
          <w:szCs w:val="24"/>
        </w:rPr>
        <w:t>to funding</w:t>
      </w:r>
      <w:r>
        <w:rPr>
          <w:rFonts w:cstheme="minorHAnsi"/>
          <w:szCs w:val="24"/>
        </w:rPr>
        <w:t xml:space="preserve"> arrangements.</w:t>
      </w:r>
      <w:r w:rsidR="00C94BE4">
        <w:rPr>
          <w:rFonts w:cstheme="minorHAnsi"/>
          <w:szCs w:val="24"/>
        </w:rPr>
        <w:t xml:space="preserve"> </w:t>
      </w:r>
    </w:p>
    <w:p w:rsidR="00C94BE4" w:rsidRDefault="00C94BE4" w:rsidP="00971C8D">
      <w:pPr>
        <w:pStyle w:val="ListParagraph"/>
        <w:spacing w:after="180" w:line="240" w:lineRule="auto"/>
        <w:ind w:left="0"/>
        <w:rPr>
          <w:rFonts w:cstheme="minorHAnsi"/>
          <w:szCs w:val="24"/>
        </w:rPr>
      </w:pPr>
      <w:r>
        <w:rPr>
          <w:rFonts w:cstheme="minorHAnsi"/>
          <w:szCs w:val="24"/>
        </w:rPr>
        <w:t xml:space="preserve">On average, and across the cohort of approved providers examined by </w:t>
      </w:r>
      <w:proofErr w:type="spellStart"/>
      <w:r>
        <w:rPr>
          <w:rFonts w:cstheme="minorHAnsi"/>
          <w:szCs w:val="24"/>
        </w:rPr>
        <w:t>StewartBrown</w:t>
      </w:r>
      <w:proofErr w:type="spellEnd"/>
      <w:r>
        <w:rPr>
          <w:rFonts w:cstheme="minorHAnsi"/>
          <w:szCs w:val="24"/>
        </w:rPr>
        <w:t xml:space="preserve">, there are sufficient liquid assets held by </w:t>
      </w:r>
      <w:r w:rsidR="00BE23A9">
        <w:rPr>
          <w:rFonts w:cstheme="minorHAnsi"/>
          <w:szCs w:val="24"/>
        </w:rPr>
        <w:t>at least</w:t>
      </w:r>
      <w:r>
        <w:rPr>
          <w:rFonts w:cstheme="minorHAnsi"/>
          <w:szCs w:val="24"/>
        </w:rPr>
        <w:t xml:space="preserve"> 89 per cent </w:t>
      </w:r>
      <w:r w:rsidR="00BE23A9">
        <w:rPr>
          <w:rFonts w:cstheme="minorHAnsi"/>
          <w:szCs w:val="24"/>
        </w:rPr>
        <w:t>(477</w:t>
      </w:r>
      <w:r>
        <w:rPr>
          <w:rFonts w:cstheme="minorHAnsi"/>
          <w:szCs w:val="24"/>
        </w:rPr>
        <w:t xml:space="preserve"> in number) of approved providers</w:t>
      </w:r>
      <w:r w:rsidR="007876E2">
        <w:rPr>
          <w:rFonts w:cstheme="minorHAnsi"/>
          <w:szCs w:val="24"/>
        </w:rPr>
        <w:t>. They</w:t>
      </w:r>
      <w:r>
        <w:rPr>
          <w:rFonts w:cstheme="minorHAnsi"/>
          <w:szCs w:val="24"/>
        </w:rPr>
        <w:t xml:space="preserve"> have sufficient cash flows to meet normal operating expenses for one month while the arrangements transition </w:t>
      </w:r>
      <w:r w:rsidR="00BE23A9">
        <w:rPr>
          <w:rFonts w:cstheme="minorHAnsi"/>
          <w:szCs w:val="24"/>
        </w:rPr>
        <w:t>from payment</w:t>
      </w:r>
      <w:r>
        <w:rPr>
          <w:rFonts w:cstheme="minorHAnsi"/>
          <w:szCs w:val="24"/>
        </w:rPr>
        <w:t xml:space="preserve"> in advance to payment in arrears.</w:t>
      </w:r>
    </w:p>
    <w:p w:rsidR="00667836" w:rsidRPr="00667836" w:rsidRDefault="00B9665E" w:rsidP="00971C8D">
      <w:pPr>
        <w:spacing w:after="180" w:line="240" w:lineRule="auto"/>
        <w:rPr>
          <w:rFonts w:cstheme="minorHAnsi"/>
          <w:szCs w:val="24"/>
        </w:rPr>
      </w:pPr>
      <w:r>
        <w:rPr>
          <w:rFonts w:cstheme="minorHAnsi"/>
          <w:szCs w:val="24"/>
        </w:rPr>
        <w:t>The potential financial impact</w:t>
      </w:r>
      <w:r w:rsidR="00811A57">
        <w:rPr>
          <w:rFonts w:cstheme="minorHAnsi"/>
          <w:szCs w:val="24"/>
        </w:rPr>
        <w:t>s</w:t>
      </w:r>
      <w:r>
        <w:rPr>
          <w:rFonts w:cstheme="minorHAnsi"/>
          <w:szCs w:val="24"/>
        </w:rPr>
        <w:t xml:space="preserve"> to approved provider</w:t>
      </w:r>
      <w:r w:rsidR="00D67AF9">
        <w:rPr>
          <w:rFonts w:cstheme="minorHAnsi"/>
          <w:szCs w:val="24"/>
        </w:rPr>
        <w:t>s</w:t>
      </w:r>
      <w:r>
        <w:rPr>
          <w:rFonts w:cstheme="minorHAnsi"/>
          <w:szCs w:val="24"/>
        </w:rPr>
        <w:t xml:space="preserve"> are likely to be amplified for smaller providers who do not have other major sources of revenue other than that generated from the delivery of home care packages.</w:t>
      </w:r>
    </w:p>
    <w:p w:rsidR="00E335B3" w:rsidRDefault="00C94BE4" w:rsidP="00971C8D">
      <w:pPr>
        <w:spacing w:after="180" w:line="240" w:lineRule="auto"/>
        <w:rPr>
          <w:rFonts w:cstheme="minorHAnsi"/>
          <w:szCs w:val="24"/>
        </w:rPr>
      </w:pPr>
      <w:r>
        <w:rPr>
          <w:rFonts w:cstheme="minorHAnsi"/>
          <w:szCs w:val="24"/>
        </w:rPr>
        <w:t xml:space="preserve">The other potential major impact on providers would be the </w:t>
      </w:r>
      <w:r w:rsidR="00BE23A9">
        <w:rPr>
          <w:rFonts w:cstheme="minorHAnsi"/>
          <w:szCs w:val="24"/>
        </w:rPr>
        <w:t>additional</w:t>
      </w:r>
      <w:r>
        <w:rPr>
          <w:rFonts w:cstheme="minorHAnsi"/>
          <w:szCs w:val="24"/>
        </w:rPr>
        <w:t xml:space="preserve"> costs associated with the administrative burden resulting </w:t>
      </w:r>
      <w:r w:rsidR="004215CB">
        <w:rPr>
          <w:rFonts w:cstheme="minorHAnsi"/>
          <w:szCs w:val="24"/>
        </w:rPr>
        <w:t>from</w:t>
      </w:r>
      <w:r>
        <w:rPr>
          <w:rFonts w:cstheme="minorHAnsi"/>
          <w:szCs w:val="24"/>
        </w:rPr>
        <w:t xml:space="preserve"> changes in systems in order to accommodate the new payment arrangements</w:t>
      </w:r>
      <w:r w:rsidR="00431719">
        <w:rPr>
          <w:rFonts w:cstheme="minorHAnsi"/>
          <w:szCs w:val="24"/>
        </w:rPr>
        <w:t xml:space="preserve">, along with risks associated with the capacity of DHS to adjust its systems in response to the changes. Related to these risks is the risk of </w:t>
      </w:r>
      <w:r w:rsidR="00E335B3">
        <w:rPr>
          <w:rFonts w:cstheme="minorHAnsi"/>
          <w:szCs w:val="24"/>
        </w:rPr>
        <w:t>a prolonged disruption to payments to providers as a result of the payment system (through DHS or equivalent) not making payments on time</w:t>
      </w:r>
      <w:r w:rsidR="00D55CE2">
        <w:rPr>
          <w:rFonts w:cstheme="minorHAnsi"/>
          <w:szCs w:val="24"/>
        </w:rPr>
        <w:t>,</w:t>
      </w:r>
      <w:r w:rsidR="00E335B3">
        <w:rPr>
          <w:rFonts w:cstheme="minorHAnsi"/>
          <w:szCs w:val="24"/>
        </w:rPr>
        <w:t xml:space="preserve"> </w:t>
      </w:r>
      <w:r w:rsidR="00431719">
        <w:rPr>
          <w:rFonts w:cstheme="minorHAnsi"/>
          <w:szCs w:val="24"/>
        </w:rPr>
        <w:t>and delays in reconciling disputes over</w:t>
      </w:r>
      <w:r w:rsidR="00D55CE2">
        <w:rPr>
          <w:rFonts w:cstheme="minorHAnsi"/>
          <w:szCs w:val="24"/>
        </w:rPr>
        <w:t xml:space="preserve"> </w:t>
      </w:r>
      <w:proofErr w:type="gramStart"/>
      <w:r w:rsidR="00431719">
        <w:rPr>
          <w:rFonts w:cstheme="minorHAnsi"/>
          <w:szCs w:val="24"/>
        </w:rPr>
        <w:t>payments.</w:t>
      </w:r>
      <w:proofErr w:type="gramEnd"/>
    </w:p>
    <w:p w:rsidR="00BD332E" w:rsidRPr="00BD332E" w:rsidRDefault="00BD332E" w:rsidP="00971C8D">
      <w:pPr>
        <w:spacing w:after="180" w:line="240" w:lineRule="auto"/>
        <w:rPr>
          <w:rFonts w:cstheme="minorHAnsi"/>
          <w:b/>
          <w:szCs w:val="24"/>
        </w:rPr>
      </w:pPr>
      <w:r w:rsidRPr="00BD332E">
        <w:rPr>
          <w:rFonts w:cstheme="minorHAnsi"/>
          <w:b/>
          <w:szCs w:val="24"/>
        </w:rPr>
        <w:t xml:space="preserve">Cash flow impacts </w:t>
      </w:r>
      <w:r w:rsidR="00431719">
        <w:rPr>
          <w:rFonts w:cstheme="minorHAnsi"/>
          <w:b/>
          <w:szCs w:val="24"/>
        </w:rPr>
        <w:t xml:space="preserve">from </w:t>
      </w:r>
      <w:r w:rsidRPr="00BD332E">
        <w:rPr>
          <w:rFonts w:cstheme="minorHAnsi"/>
          <w:b/>
          <w:szCs w:val="24"/>
        </w:rPr>
        <w:t>repayment of unspent funds</w:t>
      </w:r>
    </w:p>
    <w:p w:rsidR="00672BC8" w:rsidRDefault="00BD332E" w:rsidP="00971C8D">
      <w:pPr>
        <w:spacing w:after="180" w:line="240" w:lineRule="auto"/>
        <w:rPr>
          <w:rFonts w:cstheme="minorHAnsi"/>
          <w:szCs w:val="24"/>
        </w:rPr>
      </w:pPr>
      <w:r w:rsidRPr="003657B7">
        <w:rPr>
          <w:rFonts w:cstheme="minorHAnsi"/>
          <w:szCs w:val="24"/>
        </w:rPr>
        <w:t xml:space="preserve">On the basis of the analysis </w:t>
      </w:r>
      <w:r w:rsidR="00431719" w:rsidRPr="003657B7">
        <w:rPr>
          <w:rFonts w:cstheme="minorHAnsi"/>
          <w:szCs w:val="24"/>
        </w:rPr>
        <w:t>of the data</w:t>
      </w:r>
      <w:r w:rsidR="0016480A" w:rsidRPr="003657B7">
        <w:rPr>
          <w:rFonts w:cstheme="minorHAnsi"/>
          <w:szCs w:val="24"/>
        </w:rPr>
        <w:t xml:space="preserve"> reported on the ACFR home care segment</w:t>
      </w:r>
      <w:r w:rsidR="004D2209" w:rsidRPr="003657B7">
        <w:rPr>
          <w:rFonts w:cstheme="minorHAnsi"/>
          <w:szCs w:val="24"/>
        </w:rPr>
        <w:t>, ACFA</w:t>
      </w:r>
      <w:r w:rsidR="0016480A" w:rsidRPr="003657B7">
        <w:rPr>
          <w:rFonts w:cstheme="minorHAnsi"/>
          <w:szCs w:val="24"/>
        </w:rPr>
        <w:t xml:space="preserve"> note</w:t>
      </w:r>
      <w:r w:rsidR="004D2209" w:rsidRPr="003657B7">
        <w:rPr>
          <w:rFonts w:cstheme="minorHAnsi"/>
          <w:szCs w:val="24"/>
        </w:rPr>
        <w:t>s that</w:t>
      </w:r>
      <w:r w:rsidRPr="003657B7">
        <w:rPr>
          <w:rFonts w:cstheme="minorHAnsi"/>
          <w:szCs w:val="24"/>
        </w:rPr>
        <w:t xml:space="preserve">, over 95 per cent of approved providers could </w:t>
      </w:r>
      <w:r w:rsidR="0016480A" w:rsidRPr="003657B7">
        <w:rPr>
          <w:rFonts w:cstheme="minorHAnsi"/>
          <w:szCs w:val="24"/>
        </w:rPr>
        <w:t xml:space="preserve">manage </w:t>
      </w:r>
      <w:r w:rsidRPr="003657B7">
        <w:rPr>
          <w:rFonts w:cstheme="minorHAnsi"/>
          <w:szCs w:val="24"/>
        </w:rPr>
        <w:t>a monthly reduction in subsidies equivalent to 20 per cent of the</w:t>
      </w:r>
      <w:r w:rsidR="00431719" w:rsidRPr="003657B7">
        <w:rPr>
          <w:rFonts w:cstheme="minorHAnsi"/>
          <w:szCs w:val="24"/>
        </w:rPr>
        <w:t>ir</w:t>
      </w:r>
      <w:r w:rsidRPr="003657B7">
        <w:rPr>
          <w:rFonts w:cstheme="minorHAnsi"/>
          <w:szCs w:val="24"/>
        </w:rPr>
        <w:t xml:space="preserve"> monthly claim to DHS for services provided</w:t>
      </w:r>
      <w:r w:rsidR="00BE23A9" w:rsidRPr="003657B7">
        <w:rPr>
          <w:rFonts w:cstheme="minorHAnsi"/>
          <w:szCs w:val="24"/>
        </w:rPr>
        <w:t>. At</w:t>
      </w:r>
      <w:r w:rsidRPr="003657B7">
        <w:rPr>
          <w:rFonts w:cstheme="minorHAnsi"/>
          <w:szCs w:val="24"/>
        </w:rPr>
        <w:t xml:space="preserve"> a subsidy reduction rate of 7.5 per cent</w:t>
      </w:r>
      <w:r w:rsidR="00431719" w:rsidRPr="003657B7">
        <w:rPr>
          <w:rFonts w:cstheme="minorHAnsi"/>
          <w:szCs w:val="24"/>
        </w:rPr>
        <w:t>,</w:t>
      </w:r>
      <w:r w:rsidRPr="003657B7">
        <w:rPr>
          <w:rFonts w:cstheme="minorHAnsi"/>
          <w:szCs w:val="24"/>
        </w:rPr>
        <w:t xml:space="preserve"> that percentage rises to 97.6 per cent</w:t>
      </w:r>
      <w:r w:rsidR="0016480A" w:rsidRPr="003657B7">
        <w:rPr>
          <w:rFonts w:cstheme="minorHAnsi"/>
          <w:szCs w:val="24"/>
        </w:rPr>
        <w:t>,</w:t>
      </w:r>
      <w:r w:rsidRPr="003657B7">
        <w:rPr>
          <w:rFonts w:cstheme="minorHAnsi"/>
          <w:szCs w:val="24"/>
        </w:rPr>
        <w:t xml:space="preserve"> with only 13 of 535 providers with insufficient liquid asset levels.</w:t>
      </w:r>
    </w:p>
    <w:p w:rsidR="00431719" w:rsidRDefault="004215CB">
      <w:pPr>
        <w:rPr>
          <w:rFonts w:cstheme="minorHAnsi"/>
          <w:b/>
          <w:szCs w:val="24"/>
        </w:rPr>
      </w:pPr>
      <w:r>
        <w:rPr>
          <w:rFonts w:cstheme="minorHAnsi"/>
          <w:b/>
          <w:szCs w:val="24"/>
        </w:rPr>
        <w:t>Significant r</w:t>
      </w:r>
      <w:r w:rsidR="00431719">
        <w:rPr>
          <w:rFonts w:cstheme="minorHAnsi"/>
          <w:b/>
          <w:szCs w:val="24"/>
        </w:rPr>
        <w:t>isk</w:t>
      </w:r>
    </w:p>
    <w:p w:rsidR="0030477F" w:rsidRDefault="00431719" w:rsidP="00971C8D">
      <w:pPr>
        <w:spacing w:line="240" w:lineRule="auto"/>
        <w:rPr>
          <w:rFonts w:cstheme="minorHAnsi"/>
          <w:szCs w:val="24"/>
        </w:rPr>
      </w:pPr>
      <w:proofErr w:type="spellStart"/>
      <w:r>
        <w:rPr>
          <w:rFonts w:cstheme="minorHAnsi"/>
          <w:szCs w:val="24"/>
        </w:rPr>
        <w:t>Ste</w:t>
      </w:r>
      <w:r w:rsidR="00785C0D">
        <w:rPr>
          <w:rFonts w:cstheme="minorHAnsi"/>
          <w:szCs w:val="24"/>
        </w:rPr>
        <w:t>w</w:t>
      </w:r>
      <w:r>
        <w:rPr>
          <w:rFonts w:cstheme="minorHAnsi"/>
          <w:szCs w:val="24"/>
        </w:rPr>
        <w:t>artBrown</w:t>
      </w:r>
      <w:proofErr w:type="spellEnd"/>
      <w:r>
        <w:rPr>
          <w:rFonts w:cstheme="minorHAnsi"/>
          <w:szCs w:val="24"/>
        </w:rPr>
        <w:t xml:space="preserve"> noted that </w:t>
      </w:r>
      <w:r w:rsidR="00BE23A9">
        <w:rPr>
          <w:rFonts w:cstheme="minorHAnsi"/>
          <w:szCs w:val="24"/>
        </w:rPr>
        <w:t>if the</w:t>
      </w:r>
      <w:r>
        <w:rPr>
          <w:rFonts w:cstheme="minorHAnsi"/>
          <w:szCs w:val="24"/>
        </w:rPr>
        <w:t xml:space="preserve"> Government, through DHS</w:t>
      </w:r>
      <w:r w:rsidR="00D55CE2">
        <w:rPr>
          <w:rFonts w:cstheme="minorHAnsi"/>
          <w:szCs w:val="24"/>
        </w:rPr>
        <w:t>,</w:t>
      </w:r>
      <w:r>
        <w:rPr>
          <w:rFonts w:cstheme="minorHAnsi"/>
          <w:szCs w:val="24"/>
        </w:rPr>
        <w:t xml:space="preserve"> required approved providers</w:t>
      </w:r>
      <w:r w:rsidR="00BE23A9">
        <w:rPr>
          <w:rFonts w:cstheme="minorHAnsi"/>
          <w:szCs w:val="24"/>
        </w:rPr>
        <w:t xml:space="preserve"> </w:t>
      </w:r>
      <w:r>
        <w:rPr>
          <w:rFonts w:cstheme="minorHAnsi"/>
          <w:szCs w:val="24"/>
        </w:rPr>
        <w:t>to</w:t>
      </w:r>
      <w:r w:rsidR="00BE23A9">
        <w:rPr>
          <w:rFonts w:cstheme="minorHAnsi"/>
          <w:szCs w:val="24"/>
        </w:rPr>
        <w:t xml:space="preserve"> </w:t>
      </w:r>
      <w:r>
        <w:rPr>
          <w:rFonts w:cstheme="minorHAnsi"/>
          <w:szCs w:val="24"/>
        </w:rPr>
        <w:t xml:space="preserve">submit each claim at the </w:t>
      </w:r>
      <w:r w:rsidR="0030477F">
        <w:rPr>
          <w:rFonts w:cstheme="minorHAnsi"/>
          <w:szCs w:val="24"/>
        </w:rPr>
        <w:t xml:space="preserve">individual </w:t>
      </w:r>
      <w:r w:rsidR="003657B7">
        <w:rPr>
          <w:rFonts w:cstheme="minorHAnsi"/>
          <w:szCs w:val="24"/>
        </w:rPr>
        <w:t>consumer</w:t>
      </w:r>
      <w:r w:rsidR="0030477F">
        <w:rPr>
          <w:rFonts w:cstheme="minorHAnsi"/>
          <w:szCs w:val="24"/>
        </w:rPr>
        <w:t xml:space="preserve"> level</w:t>
      </w:r>
      <w:r w:rsidR="00D55CE2">
        <w:rPr>
          <w:rFonts w:cstheme="minorHAnsi"/>
          <w:szCs w:val="24"/>
        </w:rPr>
        <w:t>, this</w:t>
      </w:r>
      <w:r w:rsidR="0030477F">
        <w:rPr>
          <w:rFonts w:cstheme="minorHAnsi"/>
          <w:szCs w:val="24"/>
        </w:rPr>
        <w:t xml:space="preserve"> </w:t>
      </w:r>
      <w:r w:rsidR="00D55CE2" w:rsidRPr="006A62A0">
        <w:rPr>
          <w:rFonts w:cstheme="minorHAnsi"/>
          <w:szCs w:val="24"/>
        </w:rPr>
        <w:t xml:space="preserve">would </w:t>
      </w:r>
      <w:r w:rsidR="00E93A9C">
        <w:rPr>
          <w:rFonts w:cstheme="minorHAnsi"/>
          <w:szCs w:val="24"/>
        </w:rPr>
        <w:t>r</w:t>
      </w:r>
      <w:r w:rsidR="0030477F" w:rsidRPr="006A62A0">
        <w:rPr>
          <w:rFonts w:cstheme="minorHAnsi"/>
          <w:szCs w:val="24"/>
        </w:rPr>
        <w:t>esult</w:t>
      </w:r>
      <w:r w:rsidR="0030477F">
        <w:rPr>
          <w:rFonts w:cstheme="minorHAnsi"/>
          <w:szCs w:val="24"/>
        </w:rPr>
        <w:t xml:space="preserve"> in additional </w:t>
      </w:r>
      <w:r w:rsidR="00D55CE2">
        <w:rPr>
          <w:rFonts w:cstheme="minorHAnsi"/>
          <w:szCs w:val="24"/>
        </w:rPr>
        <w:t xml:space="preserve">administrative effort </w:t>
      </w:r>
      <w:r w:rsidR="0030477F">
        <w:rPr>
          <w:rFonts w:cstheme="minorHAnsi"/>
          <w:szCs w:val="24"/>
        </w:rPr>
        <w:t xml:space="preserve">for providers, not only in making claims but also </w:t>
      </w:r>
      <w:r w:rsidR="004215CB">
        <w:rPr>
          <w:rFonts w:cstheme="minorHAnsi"/>
          <w:szCs w:val="24"/>
        </w:rPr>
        <w:t xml:space="preserve">in </w:t>
      </w:r>
      <w:r w:rsidR="0030477F">
        <w:rPr>
          <w:rFonts w:cstheme="minorHAnsi"/>
          <w:szCs w:val="24"/>
        </w:rPr>
        <w:t xml:space="preserve">reconciling the reimbursed funding receipt to the claim on a </w:t>
      </w:r>
      <w:r w:rsidR="003657B7">
        <w:rPr>
          <w:rFonts w:cstheme="minorHAnsi"/>
          <w:szCs w:val="24"/>
        </w:rPr>
        <w:t>consumer</w:t>
      </w:r>
      <w:r w:rsidR="0030477F">
        <w:rPr>
          <w:rFonts w:cstheme="minorHAnsi"/>
          <w:szCs w:val="24"/>
        </w:rPr>
        <w:t xml:space="preserve"> by </w:t>
      </w:r>
      <w:r w:rsidR="003657B7">
        <w:rPr>
          <w:rFonts w:cstheme="minorHAnsi"/>
          <w:szCs w:val="24"/>
        </w:rPr>
        <w:t>consumer</w:t>
      </w:r>
      <w:r w:rsidR="0030477F">
        <w:rPr>
          <w:rFonts w:cstheme="minorHAnsi"/>
          <w:szCs w:val="24"/>
        </w:rPr>
        <w:t xml:space="preserve"> basis.</w:t>
      </w:r>
    </w:p>
    <w:p w:rsidR="00672BC8" w:rsidRDefault="00672BC8">
      <w:pPr>
        <w:rPr>
          <w:rFonts w:cstheme="minorHAnsi"/>
          <w:szCs w:val="24"/>
        </w:rPr>
      </w:pPr>
      <w:r>
        <w:rPr>
          <w:rFonts w:cstheme="minorHAnsi"/>
          <w:szCs w:val="24"/>
        </w:rPr>
        <w:br w:type="page"/>
      </w:r>
    </w:p>
    <w:p w:rsidR="003F368D" w:rsidRDefault="003F368D" w:rsidP="006F112F">
      <w:pPr>
        <w:pStyle w:val="Heading1"/>
        <w:numPr>
          <w:ilvl w:val="0"/>
          <w:numId w:val="14"/>
        </w:numPr>
        <w:spacing w:before="0" w:after="180"/>
      </w:pPr>
      <w:bookmarkStart w:id="81" w:name="_Toc25851864"/>
      <w:bookmarkStart w:id="82" w:name="_Toc25938509"/>
      <w:bookmarkStart w:id="83" w:name="_Toc26109071"/>
      <w:bookmarkStart w:id="84" w:name="_Toc26788400"/>
      <w:r>
        <w:lastRenderedPageBreak/>
        <w:t>Assessment of issues</w:t>
      </w:r>
      <w:r w:rsidR="000B496D">
        <w:t xml:space="preserve"> raised</w:t>
      </w:r>
      <w:bookmarkEnd w:id="81"/>
      <w:bookmarkEnd w:id="82"/>
      <w:bookmarkEnd w:id="83"/>
      <w:bookmarkEnd w:id="84"/>
    </w:p>
    <w:bookmarkEnd w:id="79"/>
    <w:bookmarkEnd w:id="80"/>
    <w:p w:rsidR="00E75384" w:rsidRPr="009A073D" w:rsidRDefault="00E75384" w:rsidP="00445B54">
      <w:pPr>
        <w:spacing w:after="180" w:line="240" w:lineRule="auto"/>
        <w:rPr>
          <w:b/>
        </w:rPr>
      </w:pPr>
      <w:r w:rsidRPr="009A073D">
        <w:rPr>
          <w:b/>
        </w:rPr>
        <w:t xml:space="preserve">Phase </w:t>
      </w:r>
      <w:r w:rsidR="00405433">
        <w:rPr>
          <w:b/>
        </w:rPr>
        <w:t>1</w:t>
      </w:r>
    </w:p>
    <w:p w:rsidR="00E75384" w:rsidRPr="009A073D" w:rsidRDefault="00AD6774" w:rsidP="00445B54">
      <w:pPr>
        <w:spacing w:after="180" w:line="240" w:lineRule="auto"/>
        <w:rPr>
          <w:b/>
        </w:rPr>
      </w:pPr>
      <w:r>
        <w:t>The key issue associated with Phase 1</w:t>
      </w:r>
      <w:r w:rsidR="006A62A0">
        <w:t xml:space="preserve"> </w:t>
      </w:r>
      <w:r>
        <w:t xml:space="preserve">is the capacity of providers to manage the cash flow impact </w:t>
      </w:r>
      <w:r w:rsidR="00BE23A9">
        <w:t xml:space="preserve">of </w:t>
      </w:r>
      <w:r w:rsidR="0016480A">
        <w:t>receiving subsidy payments in arrears</w:t>
      </w:r>
      <w:r>
        <w:t xml:space="preserve">. </w:t>
      </w:r>
    </w:p>
    <w:p w:rsidR="00382475" w:rsidRDefault="00AD6774" w:rsidP="00445B54">
      <w:pPr>
        <w:spacing w:after="180" w:line="240" w:lineRule="auto"/>
      </w:pPr>
      <w:r>
        <w:t>C</w:t>
      </w:r>
      <w:r w:rsidR="00E75384" w:rsidRPr="009A073D">
        <w:t xml:space="preserve">ash flow concerns </w:t>
      </w:r>
      <w:r w:rsidR="00442F81">
        <w:t>were</w:t>
      </w:r>
      <w:r w:rsidR="00E75384" w:rsidRPr="009A073D">
        <w:t xml:space="preserve"> not a</w:t>
      </w:r>
      <w:r w:rsidR="001A1EA8">
        <w:t xml:space="preserve"> major </w:t>
      </w:r>
      <w:r w:rsidR="00E75384" w:rsidRPr="009A073D">
        <w:t>issue</w:t>
      </w:r>
      <w:r>
        <w:t xml:space="preserve"> for providers attending the consultation meetings, although it was noted that </w:t>
      </w:r>
      <w:r w:rsidR="009F4912">
        <w:t xml:space="preserve">some smaller providers may struggle with the new payment </w:t>
      </w:r>
      <w:r w:rsidR="00BE23A9">
        <w:t>arrangements. In</w:t>
      </w:r>
      <w:r w:rsidR="009F4912">
        <w:t xml:space="preserve"> </w:t>
      </w:r>
      <w:r w:rsidR="00BE23A9">
        <w:t>contrast</w:t>
      </w:r>
      <w:r w:rsidR="009F4912">
        <w:t>,</w:t>
      </w:r>
      <w:r w:rsidR="00E75384" w:rsidRPr="009A073D">
        <w:t xml:space="preserve"> written submissions (notably from the provider peak bodies) suggested </w:t>
      </w:r>
      <w:r w:rsidR="009F4912">
        <w:t>the cash flow imp</w:t>
      </w:r>
      <w:r w:rsidR="00785C0D">
        <w:t>acts were a significant concern</w:t>
      </w:r>
      <w:r w:rsidR="001A1EA8">
        <w:t xml:space="preserve"> for </w:t>
      </w:r>
      <w:r w:rsidR="009F4912">
        <w:t xml:space="preserve">a number of </w:t>
      </w:r>
      <w:r w:rsidR="001A1EA8">
        <w:t xml:space="preserve">providers. </w:t>
      </w:r>
    </w:p>
    <w:p w:rsidR="00EA5D80" w:rsidRDefault="001A1EA8" w:rsidP="00445B54">
      <w:pPr>
        <w:spacing w:after="180" w:line="240" w:lineRule="auto"/>
      </w:pPr>
      <w:r>
        <w:t xml:space="preserve">The </w:t>
      </w:r>
      <w:proofErr w:type="spellStart"/>
      <w:r>
        <w:t>StewartBrown</w:t>
      </w:r>
      <w:proofErr w:type="spellEnd"/>
      <w:r>
        <w:t xml:space="preserve"> </w:t>
      </w:r>
      <w:r w:rsidR="009F4912">
        <w:t xml:space="preserve">data </w:t>
      </w:r>
      <w:r>
        <w:t xml:space="preserve">analysis suggests that the </w:t>
      </w:r>
      <w:r w:rsidR="00382475">
        <w:t xml:space="preserve">vast </w:t>
      </w:r>
      <w:r>
        <w:t xml:space="preserve">majority of </w:t>
      </w:r>
      <w:r w:rsidR="00382475">
        <w:t>p</w:t>
      </w:r>
      <w:r>
        <w:t xml:space="preserve">roviders have </w:t>
      </w:r>
      <w:r w:rsidR="00382475">
        <w:t xml:space="preserve">access to </w:t>
      </w:r>
      <w:r>
        <w:t xml:space="preserve">cash holdings that should accommodate </w:t>
      </w:r>
      <w:r w:rsidR="00A80309">
        <w:t>one month without subsidy payments</w:t>
      </w:r>
      <w:r>
        <w:t xml:space="preserve">. </w:t>
      </w:r>
    </w:p>
    <w:p w:rsidR="001A1EA8" w:rsidRDefault="00EA5D80" w:rsidP="001A1EA8">
      <w:pPr>
        <w:spacing w:after="180" w:line="240" w:lineRule="auto"/>
      </w:pPr>
      <w:r>
        <w:t>ACFA</w:t>
      </w:r>
      <w:r w:rsidR="009F4912">
        <w:t xml:space="preserve">’s assessment is that most providers should be able </w:t>
      </w:r>
      <w:r w:rsidR="00BE23A9">
        <w:t>to accommodate</w:t>
      </w:r>
      <w:r w:rsidR="009F4912">
        <w:t xml:space="preserve"> the cash flow impact of the change in payment arrangements associated with Phase 1. Nevertheless, it is possible that a number of smaller providers operating in very thin markets in rural and remote areas, </w:t>
      </w:r>
      <w:r w:rsidR="0072490A">
        <w:t>who are already under financial pressure, may struggle as a result of the changes.</w:t>
      </w:r>
      <w:r w:rsidR="00A80309" w:rsidRPr="00445B54">
        <w:t xml:space="preserve"> Q</w:t>
      </w:r>
      <w:r w:rsidR="00A80309" w:rsidRPr="00A80309">
        <w:t xml:space="preserve">uantifying these concerns, </w:t>
      </w:r>
      <w:r w:rsidR="00F37560">
        <w:t>one</w:t>
      </w:r>
      <w:r w:rsidR="00A80309" w:rsidRPr="00A80309">
        <w:t xml:space="preserve"> submission </w:t>
      </w:r>
      <w:r w:rsidR="00F37560">
        <w:t xml:space="preserve">noted that </w:t>
      </w:r>
      <w:r w:rsidR="00A80309" w:rsidRPr="00A80309">
        <w:t xml:space="preserve">67 per cent </w:t>
      </w:r>
      <w:r w:rsidR="0072490A">
        <w:t xml:space="preserve">of providers operating in rural and remote </w:t>
      </w:r>
      <w:r w:rsidR="00BE23A9">
        <w:t>areas were</w:t>
      </w:r>
      <w:r w:rsidR="00A80309" w:rsidRPr="00A80309">
        <w:t xml:space="preserve"> operating at a loss</w:t>
      </w:r>
      <w:r w:rsidR="00D55CE2">
        <w:t>,</w:t>
      </w:r>
      <w:r w:rsidR="00A80309" w:rsidRPr="00A80309">
        <w:t xml:space="preserve"> and an increasing number are already seeking to leave the industry, with NDIS providers </w:t>
      </w:r>
      <w:r w:rsidR="0058756E">
        <w:t xml:space="preserve">in rural and remote areas </w:t>
      </w:r>
      <w:r w:rsidR="00A80309" w:rsidRPr="00A80309">
        <w:t xml:space="preserve">also in financial difficulty. </w:t>
      </w:r>
    </w:p>
    <w:p w:rsidR="00F1581E" w:rsidRDefault="009A073D" w:rsidP="001A1EA8">
      <w:pPr>
        <w:spacing w:after="180" w:line="240" w:lineRule="auto"/>
      </w:pPr>
      <w:r w:rsidRPr="009A073D">
        <w:t>ACFA</w:t>
      </w:r>
      <w:r w:rsidR="00A80309">
        <w:t xml:space="preserve"> considers </w:t>
      </w:r>
      <w:r w:rsidR="00344DA9">
        <w:t xml:space="preserve">that </w:t>
      </w:r>
      <w:r w:rsidR="00A80309">
        <w:t xml:space="preserve">the viability risk for small providers </w:t>
      </w:r>
      <w:r w:rsidR="0072490A">
        <w:t xml:space="preserve">in thin markets is </w:t>
      </w:r>
      <w:r w:rsidR="00A80309">
        <w:t xml:space="preserve">significant and </w:t>
      </w:r>
      <w:r w:rsidR="00A80309" w:rsidRPr="006A62A0">
        <w:t xml:space="preserve">these providers </w:t>
      </w:r>
      <w:r w:rsidR="00E93A9C">
        <w:t>will</w:t>
      </w:r>
      <w:r w:rsidR="00E93A9C" w:rsidRPr="006A62A0">
        <w:t xml:space="preserve"> </w:t>
      </w:r>
      <w:r w:rsidR="00785C0D" w:rsidRPr="006A62A0">
        <w:t>likely</w:t>
      </w:r>
      <w:r w:rsidR="00A80309">
        <w:t xml:space="preserve"> need support in </w:t>
      </w:r>
      <w:r w:rsidR="0072490A">
        <w:t xml:space="preserve">transitioning to the new </w:t>
      </w:r>
      <w:r w:rsidR="00BE23A9">
        <w:t>arrangements</w:t>
      </w:r>
      <w:r w:rsidR="0072490A">
        <w:t>, not only in Phase 1 but also in Phase</w:t>
      </w:r>
      <w:r w:rsidR="00344DA9">
        <w:t>s</w:t>
      </w:r>
      <w:r w:rsidR="0072490A">
        <w:t xml:space="preserve"> 2 and 3.</w:t>
      </w:r>
    </w:p>
    <w:p w:rsidR="00445B54" w:rsidRPr="00445B54" w:rsidRDefault="00445B54" w:rsidP="00785C0D">
      <w:pPr>
        <w:spacing w:before="180" w:after="180" w:line="240" w:lineRule="auto"/>
        <w:rPr>
          <w:b/>
        </w:rPr>
      </w:pPr>
      <w:r w:rsidRPr="00445B54">
        <w:rPr>
          <w:b/>
        </w:rPr>
        <w:t xml:space="preserve">Phase </w:t>
      </w:r>
      <w:r w:rsidR="000B5356">
        <w:rPr>
          <w:b/>
        </w:rPr>
        <w:t>2</w:t>
      </w:r>
    </w:p>
    <w:p w:rsidR="00F1581E" w:rsidRDefault="0072490A" w:rsidP="00F1581E">
      <w:pPr>
        <w:spacing w:after="180" w:line="240" w:lineRule="auto"/>
        <w:rPr>
          <w:szCs w:val="24"/>
          <w:highlight w:val="yellow"/>
        </w:rPr>
      </w:pPr>
      <w:r>
        <w:t xml:space="preserve">The main concern with Phase 2 raised in the consultation meetings and in </w:t>
      </w:r>
      <w:r w:rsidR="00D067FA">
        <w:t xml:space="preserve">written submissions was the capacity for DHS to implement the required changes to their systems to deal with the new payment arrangements, along with the costs to providers of having to change their payment systems. Providers were particularly concerned that if the new arrangements are not introduced smoothly, there will be significant reconciliation issues in dealing with </w:t>
      </w:r>
      <w:r w:rsidR="00BE23A9">
        <w:t>discrepancies</w:t>
      </w:r>
      <w:r w:rsidR="00D067FA">
        <w:t xml:space="preserve"> in data and this will </w:t>
      </w:r>
      <w:r w:rsidR="00BE23A9">
        <w:t>have</w:t>
      </w:r>
      <w:r w:rsidR="00D067FA">
        <w:t xml:space="preserve"> a significant financial impact on providers.</w:t>
      </w:r>
    </w:p>
    <w:p w:rsidR="00A3660D" w:rsidRPr="00262E8C" w:rsidRDefault="00054228" w:rsidP="00F1581E">
      <w:pPr>
        <w:spacing w:after="180" w:line="240" w:lineRule="auto"/>
        <w:rPr>
          <w:szCs w:val="24"/>
        </w:rPr>
      </w:pPr>
      <w:r w:rsidRPr="00262E8C">
        <w:rPr>
          <w:szCs w:val="24"/>
        </w:rPr>
        <w:t xml:space="preserve">In </w:t>
      </w:r>
      <w:r w:rsidR="00D067FA">
        <w:rPr>
          <w:szCs w:val="24"/>
        </w:rPr>
        <w:t xml:space="preserve">order to gain an insight into the system adjustments </w:t>
      </w:r>
      <w:r w:rsidR="004215CB">
        <w:rPr>
          <w:szCs w:val="24"/>
        </w:rPr>
        <w:t xml:space="preserve">that </w:t>
      </w:r>
      <w:r w:rsidR="00D067FA">
        <w:rPr>
          <w:szCs w:val="24"/>
        </w:rPr>
        <w:t xml:space="preserve">providers may need to introduce to accommodate the change in payment arrangements, </w:t>
      </w:r>
      <w:r w:rsidRPr="00262E8C">
        <w:rPr>
          <w:szCs w:val="24"/>
        </w:rPr>
        <w:t>ACFA consulted with software providers to assess their views on the feasibility of the changes</w:t>
      </w:r>
      <w:r w:rsidR="00262E8C" w:rsidRPr="00262E8C">
        <w:rPr>
          <w:szCs w:val="24"/>
        </w:rPr>
        <w:t xml:space="preserve"> within </w:t>
      </w:r>
      <w:r w:rsidR="00BE23A9">
        <w:rPr>
          <w:szCs w:val="24"/>
        </w:rPr>
        <w:t xml:space="preserve">the </w:t>
      </w:r>
      <w:r w:rsidR="00BE23A9" w:rsidRPr="00262E8C">
        <w:rPr>
          <w:szCs w:val="24"/>
        </w:rPr>
        <w:t>proposed</w:t>
      </w:r>
      <w:r w:rsidR="00262E8C" w:rsidRPr="00262E8C">
        <w:rPr>
          <w:szCs w:val="24"/>
        </w:rPr>
        <w:t xml:space="preserve"> timeframes.</w:t>
      </w:r>
    </w:p>
    <w:p w:rsidR="00A3660D" w:rsidRPr="00262E8C" w:rsidRDefault="00262E8C" w:rsidP="00F1581E">
      <w:pPr>
        <w:spacing w:after="180" w:line="240" w:lineRule="auto"/>
        <w:rPr>
          <w:szCs w:val="24"/>
        </w:rPr>
      </w:pPr>
      <w:r w:rsidRPr="00262E8C">
        <w:rPr>
          <w:szCs w:val="24"/>
        </w:rPr>
        <w:t>Software providers noted</w:t>
      </w:r>
      <w:r w:rsidR="00A3660D" w:rsidRPr="00262E8C">
        <w:rPr>
          <w:szCs w:val="24"/>
        </w:rPr>
        <w:t xml:space="preserve"> that the </w:t>
      </w:r>
      <w:r w:rsidR="0016480A">
        <w:rPr>
          <w:szCs w:val="24"/>
        </w:rPr>
        <w:t>most important</w:t>
      </w:r>
      <w:r w:rsidR="00A3660D" w:rsidRPr="00262E8C">
        <w:rPr>
          <w:szCs w:val="24"/>
        </w:rPr>
        <w:t xml:space="preserve"> pre</w:t>
      </w:r>
      <w:r w:rsidR="0016480A">
        <w:rPr>
          <w:szCs w:val="24"/>
        </w:rPr>
        <w:t>-</w:t>
      </w:r>
      <w:r w:rsidR="00A3660D" w:rsidRPr="00262E8C">
        <w:rPr>
          <w:szCs w:val="24"/>
        </w:rPr>
        <w:t>condition to managing a smooth transition</w:t>
      </w:r>
      <w:r w:rsidRPr="00262E8C">
        <w:rPr>
          <w:szCs w:val="24"/>
        </w:rPr>
        <w:t xml:space="preserve"> process is</w:t>
      </w:r>
      <w:r w:rsidR="00A3660D" w:rsidRPr="00262E8C">
        <w:rPr>
          <w:szCs w:val="24"/>
        </w:rPr>
        <w:t xml:space="preserve"> getting the systems development </w:t>
      </w:r>
      <w:r w:rsidRPr="00262E8C">
        <w:rPr>
          <w:szCs w:val="24"/>
        </w:rPr>
        <w:t>phase in place and agreed to by key stakeholders as</w:t>
      </w:r>
      <w:r w:rsidR="00A3660D" w:rsidRPr="00262E8C">
        <w:rPr>
          <w:szCs w:val="24"/>
        </w:rPr>
        <w:t xml:space="preserve"> early as possible.</w:t>
      </w:r>
      <w:r w:rsidRPr="00262E8C">
        <w:rPr>
          <w:szCs w:val="24"/>
        </w:rPr>
        <w:t xml:space="preserve"> It was further noted that the ability for software developers to implement timely and accurate changes for their clients (home care provider</w:t>
      </w:r>
      <w:r w:rsidR="003F4EA3">
        <w:rPr>
          <w:szCs w:val="24"/>
        </w:rPr>
        <w:t>s</w:t>
      </w:r>
      <w:r w:rsidRPr="00262E8C">
        <w:rPr>
          <w:szCs w:val="24"/>
        </w:rPr>
        <w:t>)</w:t>
      </w:r>
      <w:r w:rsidR="00A3660D" w:rsidRPr="00262E8C">
        <w:rPr>
          <w:szCs w:val="24"/>
        </w:rPr>
        <w:t xml:space="preserve"> </w:t>
      </w:r>
      <w:r w:rsidRPr="00262E8C">
        <w:rPr>
          <w:szCs w:val="24"/>
        </w:rPr>
        <w:t>was condition</w:t>
      </w:r>
      <w:r w:rsidR="003F4EA3">
        <w:rPr>
          <w:szCs w:val="24"/>
        </w:rPr>
        <w:t>al</w:t>
      </w:r>
      <w:r w:rsidRPr="00262E8C">
        <w:rPr>
          <w:szCs w:val="24"/>
        </w:rPr>
        <w:t xml:space="preserve"> on DHS being able to manage system requirement</w:t>
      </w:r>
      <w:r w:rsidR="001174D9">
        <w:rPr>
          <w:szCs w:val="24"/>
        </w:rPr>
        <w:t>s</w:t>
      </w:r>
      <w:r w:rsidRPr="00262E8C">
        <w:rPr>
          <w:szCs w:val="24"/>
        </w:rPr>
        <w:t xml:space="preserve"> </w:t>
      </w:r>
      <w:r w:rsidR="00855BE7" w:rsidRPr="00262E8C">
        <w:rPr>
          <w:szCs w:val="24"/>
        </w:rPr>
        <w:t>effectively</w:t>
      </w:r>
      <w:r w:rsidRPr="00262E8C">
        <w:rPr>
          <w:szCs w:val="24"/>
        </w:rPr>
        <w:t xml:space="preserve"> from their end.</w:t>
      </w:r>
    </w:p>
    <w:p w:rsidR="00054228" w:rsidRDefault="00A3660D" w:rsidP="00F1581E">
      <w:pPr>
        <w:spacing w:after="180" w:line="240" w:lineRule="auto"/>
        <w:rPr>
          <w:szCs w:val="24"/>
        </w:rPr>
      </w:pPr>
      <w:r w:rsidRPr="00262E8C">
        <w:rPr>
          <w:szCs w:val="24"/>
        </w:rPr>
        <w:lastRenderedPageBreak/>
        <w:t xml:space="preserve">Software providers </w:t>
      </w:r>
      <w:r w:rsidR="00FE7CCB">
        <w:rPr>
          <w:szCs w:val="24"/>
        </w:rPr>
        <w:t xml:space="preserve">observed </w:t>
      </w:r>
      <w:r w:rsidRPr="00262E8C">
        <w:rPr>
          <w:szCs w:val="24"/>
        </w:rPr>
        <w:t xml:space="preserve">that a fully integrated system (business to Government) would </w:t>
      </w:r>
      <w:r w:rsidR="00262E8C" w:rsidRPr="00262E8C">
        <w:rPr>
          <w:szCs w:val="24"/>
        </w:rPr>
        <w:t>not be achievable</w:t>
      </w:r>
      <w:r w:rsidRPr="00262E8C">
        <w:rPr>
          <w:szCs w:val="24"/>
        </w:rPr>
        <w:t xml:space="preserve"> within the timeframe.</w:t>
      </w:r>
    </w:p>
    <w:p w:rsidR="00625D56" w:rsidRPr="00262E8C" w:rsidRDefault="00625D56" w:rsidP="00F1581E">
      <w:pPr>
        <w:spacing w:after="180" w:line="240" w:lineRule="auto"/>
        <w:rPr>
          <w:szCs w:val="24"/>
        </w:rPr>
      </w:pPr>
      <w:r>
        <w:rPr>
          <w:szCs w:val="24"/>
        </w:rPr>
        <w:t xml:space="preserve">ACFA notes that it is important that the new arrangements whereby Government subsidies are paid for actual services provided maintains the flexibility of the current </w:t>
      </w:r>
      <w:r w:rsidR="00BE23A9">
        <w:rPr>
          <w:szCs w:val="24"/>
        </w:rPr>
        <w:t xml:space="preserve">system </w:t>
      </w:r>
      <w:r w:rsidR="00F677C1">
        <w:rPr>
          <w:szCs w:val="24"/>
        </w:rPr>
        <w:t>which enables</w:t>
      </w:r>
      <w:r>
        <w:rPr>
          <w:szCs w:val="24"/>
        </w:rPr>
        <w:t xml:space="preserve"> a </w:t>
      </w:r>
      <w:r w:rsidR="003657B7">
        <w:rPr>
          <w:szCs w:val="24"/>
        </w:rPr>
        <w:t>consumer</w:t>
      </w:r>
      <w:r w:rsidR="001174D9">
        <w:rPr>
          <w:szCs w:val="24"/>
        </w:rPr>
        <w:t>’</w:t>
      </w:r>
      <w:r w:rsidR="00BE23A9">
        <w:rPr>
          <w:szCs w:val="24"/>
        </w:rPr>
        <w:t>s</w:t>
      </w:r>
      <w:r>
        <w:rPr>
          <w:szCs w:val="24"/>
        </w:rPr>
        <w:t xml:space="preserve"> </w:t>
      </w:r>
      <w:r w:rsidR="00F677C1">
        <w:rPr>
          <w:szCs w:val="24"/>
        </w:rPr>
        <w:t>package to</w:t>
      </w:r>
      <w:r w:rsidR="003F4EA3">
        <w:rPr>
          <w:szCs w:val="24"/>
        </w:rPr>
        <w:t xml:space="preserve"> go into negative </w:t>
      </w:r>
      <w:r>
        <w:rPr>
          <w:szCs w:val="24"/>
        </w:rPr>
        <w:t>balance if need</w:t>
      </w:r>
      <w:r w:rsidR="001174D9">
        <w:rPr>
          <w:szCs w:val="24"/>
        </w:rPr>
        <w:t>ed</w:t>
      </w:r>
      <w:r>
        <w:rPr>
          <w:szCs w:val="24"/>
        </w:rPr>
        <w:t xml:space="preserve"> and </w:t>
      </w:r>
      <w:r w:rsidR="00F677C1">
        <w:rPr>
          <w:szCs w:val="24"/>
        </w:rPr>
        <w:t xml:space="preserve">to </w:t>
      </w:r>
      <w:r w:rsidR="006A507C">
        <w:rPr>
          <w:szCs w:val="24"/>
        </w:rPr>
        <w:t>be</w:t>
      </w:r>
      <w:r>
        <w:rPr>
          <w:szCs w:val="24"/>
        </w:rPr>
        <w:t xml:space="preserve"> recouped from subsequent monthly subsidy payments.</w:t>
      </w:r>
    </w:p>
    <w:p w:rsidR="00511F0D" w:rsidRDefault="005D2400" w:rsidP="00785C0D">
      <w:pPr>
        <w:spacing w:before="180" w:after="180" w:line="240" w:lineRule="auto"/>
        <w:rPr>
          <w:b/>
        </w:rPr>
      </w:pPr>
      <w:r w:rsidRPr="00F1581E">
        <w:rPr>
          <w:b/>
        </w:rPr>
        <w:t xml:space="preserve">Phase </w:t>
      </w:r>
      <w:r w:rsidR="000B5356">
        <w:rPr>
          <w:b/>
        </w:rPr>
        <w:t>3</w:t>
      </w:r>
    </w:p>
    <w:p w:rsidR="00FE7CCB" w:rsidRDefault="00FE7CCB" w:rsidP="00F1581E">
      <w:pPr>
        <w:spacing w:after="180" w:line="240" w:lineRule="auto"/>
      </w:pPr>
      <w:r>
        <w:t xml:space="preserve">A </w:t>
      </w:r>
      <w:r w:rsidR="00BE23A9">
        <w:t>key consideration</w:t>
      </w:r>
      <w:r>
        <w:t xml:space="preserve"> with Phase 3 involves the potential impact of the return of unspent funds on the liquidity position of some providers and the administrative burden associated with </w:t>
      </w:r>
      <w:r w:rsidR="00625D56">
        <w:t>a phased drawdown in unspent funds. ACFA also notes the concerns raise</w:t>
      </w:r>
      <w:r w:rsidR="0076300B">
        <w:t xml:space="preserve">d by providers regarding having to report on the level of unspent funds for each </w:t>
      </w:r>
      <w:r w:rsidR="003657B7">
        <w:t>consumer</w:t>
      </w:r>
      <w:r w:rsidR="0076300B">
        <w:t xml:space="preserve"> as at February 2021.</w:t>
      </w:r>
    </w:p>
    <w:p w:rsidR="0076300B" w:rsidRDefault="003D3A74" w:rsidP="00F1581E">
      <w:pPr>
        <w:spacing w:after="180" w:line="240" w:lineRule="auto"/>
      </w:pPr>
      <w:r>
        <w:t xml:space="preserve">The </w:t>
      </w:r>
      <w:r w:rsidR="00BE23A9">
        <w:t>administrative</w:t>
      </w:r>
      <w:r w:rsidR="0076300B">
        <w:t xml:space="preserve"> costs associated with Phase 3 may be significant</w:t>
      </w:r>
      <w:r>
        <w:t xml:space="preserve"> and</w:t>
      </w:r>
      <w:r w:rsidR="0076300B">
        <w:t xml:space="preserve"> ACFA recognises that some providers see the stock of unspent funds as an important buffer to the cash flow impacts associated with the transition to the new payment arrangements. However</w:t>
      </w:r>
      <w:r>
        <w:t>,</w:t>
      </w:r>
      <w:r w:rsidR="0076300B">
        <w:t xml:space="preserve"> it </w:t>
      </w:r>
      <w:r w:rsidR="00BE23A9">
        <w:t>is acknowledged</w:t>
      </w:r>
      <w:r w:rsidR="0076300B">
        <w:t xml:space="preserve"> that some providers are seeking to return their unspent funds as soon as possible.</w:t>
      </w:r>
    </w:p>
    <w:p w:rsidR="00C10EFA" w:rsidRDefault="00C10EFA" w:rsidP="00F1581E">
      <w:pPr>
        <w:spacing w:after="180" w:line="240" w:lineRule="auto"/>
      </w:pPr>
      <w:r>
        <w:t xml:space="preserve">It would be preferable if the arrangements for the return of unspent funds provided some flexibility </w:t>
      </w:r>
      <w:r w:rsidR="003F4EA3">
        <w:t>for</w:t>
      </w:r>
      <w:r>
        <w:t xml:space="preserve"> providers in terms of when these funds should be returned.</w:t>
      </w:r>
    </w:p>
    <w:p w:rsidR="008A49BA" w:rsidRDefault="008A49BA">
      <w:pPr>
        <w:rPr>
          <w:rFonts w:asciiTheme="majorHAnsi" w:eastAsiaTheme="majorEastAsia" w:hAnsiTheme="majorHAnsi" w:cstheme="majorBidi"/>
          <w:b/>
          <w:color w:val="2E74B5" w:themeColor="accent1" w:themeShade="BF"/>
          <w:sz w:val="40"/>
          <w:szCs w:val="32"/>
        </w:rPr>
      </w:pPr>
      <w:r>
        <w:br w:type="page"/>
      </w:r>
    </w:p>
    <w:p w:rsidR="008A49BA" w:rsidRDefault="00282774" w:rsidP="008A49BA">
      <w:pPr>
        <w:pStyle w:val="Heading1"/>
        <w:numPr>
          <w:ilvl w:val="0"/>
          <w:numId w:val="14"/>
        </w:numPr>
        <w:spacing w:before="0" w:after="180"/>
      </w:pPr>
      <w:bookmarkStart w:id="85" w:name="_Toc23174357"/>
      <w:bookmarkStart w:id="86" w:name="_Toc25325913"/>
      <w:bookmarkStart w:id="87" w:name="_Toc25851865"/>
      <w:bookmarkStart w:id="88" w:name="_Toc25938510"/>
      <w:bookmarkStart w:id="89" w:name="_Toc26109072"/>
      <w:bookmarkStart w:id="90" w:name="_Toc26788401"/>
      <w:bookmarkEnd w:id="85"/>
      <w:bookmarkEnd w:id="86"/>
      <w:r>
        <w:lastRenderedPageBreak/>
        <w:t>Conclusion</w:t>
      </w:r>
      <w:r w:rsidR="003F368D">
        <w:t>s and Recommendations</w:t>
      </w:r>
      <w:bookmarkEnd w:id="87"/>
      <w:bookmarkEnd w:id="88"/>
      <w:bookmarkEnd w:id="89"/>
      <w:bookmarkEnd w:id="90"/>
    </w:p>
    <w:p w:rsidR="00C36F7A" w:rsidRPr="00C36F7A" w:rsidRDefault="00C36F7A" w:rsidP="006F7415">
      <w:pPr>
        <w:spacing w:after="180" w:line="240" w:lineRule="auto"/>
        <w:rPr>
          <w:szCs w:val="24"/>
        </w:rPr>
      </w:pPr>
      <w:r w:rsidRPr="00C36F7A">
        <w:rPr>
          <w:szCs w:val="24"/>
        </w:rPr>
        <w:t xml:space="preserve">With some exceptions, there is general acceptance and support amongst providers and peak bodies that there is merit in the </w:t>
      </w:r>
      <w:r w:rsidR="00C10EFA">
        <w:rPr>
          <w:szCs w:val="24"/>
        </w:rPr>
        <w:t>Government’s decision to pay home care subsidies in arrears and for</w:t>
      </w:r>
      <w:r w:rsidRPr="00C36F7A">
        <w:rPr>
          <w:szCs w:val="24"/>
        </w:rPr>
        <w:t xml:space="preserve"> DHS to retain unspent funds.</w:t>
      </w:r>
    </w:p>
    <w:p w:rsidR="002323C6" w:rsidRPr="007C44A2" w:rsidRDefault="00C36F7A" w:rsidP="006F7415">
      <w:pPr>
        <w:spacing w:after="180" w:line="240" w:lineRule="auto"/>
        <w:rPr>
          <w:szCs w:val="24"/>
        </w:rPr>
      </w:pPr>
      <w:r>
        <w:rPr>
          <w:szCs w:val="24"/>
        </w:rPr>
        <w:t>Notwithstanding th</w:t>
      </w:r>
      <w:r w:rsidR="003F4EA3">
        <w:rPr>
          <w:szCs w:val="24"/>
        </w:rPr>
        <w:t>is</w:t>
      </w:r>
      <w:r>
        <w:rPr>
          <w:szCs w:val="24"/>
        </w:rPr>
        <w:t xml:space="preserve"> general acceptance and support, </w:t>
      </w:r>
      <w:r w:rsidR="00C94369">
        <w:rPr>
          <w:szCs w:val="24"/>
        </w:rPr>
        <w:t>ACFA’s c</w:t>
      </w:r>
      <w:r w:rsidR="002323C6" w:rsidRPr="007C44A2">
        <w:rPr>
          <w:szCs w:val="24"/>
        </w:rPr>
        <w:t>onsultation</w:t>
      </w:r>
      <w:r w:rsidR="007C44A2" w:rsidRPr="007C44A2">
        <w:rPr>
          <w:szCs w:val="24"/>
        </w:rPr>
        <w:t xml:space="preserve"> raised</w:t>
      </w:r>
      <w:r w:rsidR="00C94369">
        <w:rPr>
          <w:szCs w:val="24"/>
        </w:rPr>
        <w:t xml:space="preserve"> a</w:t>
      </w:r>
      <w:r w:rsidR="007C44A2" w:rsidRPr="007C44A2">
        <w:rPr>
          <w:szCs w:val="24"/>
        </w:rPr>
        <w:t xml:space="preserve"> range of</w:t>
      </w:r>
      <w:r w:rsidR="002323C6" w:rsidRPr="007C44A2">
        <w:rPr>
          <w:szCs w:val="24"/>
        </w:rPr>
        <w:t xml:space="preserve"> </w:t>
      </w:r>
      <w:r>
        <w:rPr>
          <w:szCs w:val="24"/>
        </w:rPr>
        <w:t>concerns</w:t>
      </w:r>
      <w:r w:rsidRPr="007C44A2">
        <w:rPr>
          <w:szCs w:val="24"/>
        </w:rPr>
        <w:t xml:space="preserve"> </w:t>
      </w:r>
      <w:r w:rsidR="002323C6" w:rsidRPr="007C44A2">
        <w:rPr>
          <w:szCs w:val="24"/>
        </w:rPr>
        <w:t>around the implications of the new funding arrangements</w:t>
      </w:r>
      <w:r w:rsidR="00C10EFA">
        <w:rPr>
          <w:szCs w:val="24"/>
        </w:rPr>
        <w:t xml:space="preserve">. </w:t>
      </w:r>
      <w:r w:rsidR="00BE23A9">
        <w:rPr>
          <w:szCs w:val="24"/>
        </w:rPr>
        <w:t>A few</w:t>
      </w:r>
      <w:r w:rsidR="00B90E48">
        <w:rPr>
          <w:szCs w:val="24"/>
        </w:rPr>
        <w:t xml:space="preserve"> p</w:t>
      </w:r>
      <w:r w:rsidR="002323C6" w:rsidRPr="007C44A2">
        <w:rPr>
          <w:szCs w:val="24"/>
        </w:rPr>
        <w:t xml:space="preserve">roviders </w:t>
      </w:r>
      <w:r w:rsidR="00C10EFA">
        <w:rPr>
          <w:szCs w:val="24"/>
        </w:rPr>
        <w:t xml:space="preserve">advocated for the maintenance </w:t>
      </w:r>
      <w:r w:rsidR="00BE23A9">
        <w:rPr>
          <w:szCs w:val="24"/>
        </w:rPr>
        <w:t xml:space="preserve">of </w:t>
      </w:r>
      <w:r w:rsidR="00BE23A9" w:rsidRPr="007C44A2">
        <w:rPr>
          <w:szCs w:val="24"/>
        </w:rPr>
        <w:t>current</w:t>
      </w:r>
      <w:r w:rsidR="002323C6" w:rsidRPr="007C44A2">
        <w:rPr>
          <w:szCs w:val="24"/>
        </w:rPr>
        <w:t xml:space="preserve"> funding arrangem</w:t>
      </w:r>
      <w:r w:rsidR="00C94369">
        <w:rPr>
          <w:szCs w:val="24"/>
        </w:rPr>
        <w:t>ents</w:t>
      </w:r>
      <w:r w:rsidR="00C10EFA">
        <w:rPr>
          <w:szCs w:val="24"/>
        </w:rPr>
        <w:t>.</w:t>
      </w:r>
      <w:r w:rsidR="00C94369">
        <w:rPr>
          <w:szCs w:val="24"/>
        </w:rPr>
        <w:t xml:space="preserve"> While </w:t>
      </w:r>
      <w:r w:rsidR="00B90E48">
        <w:rPr>
          <w:szCs w:val="24"/>
        </w:rPr>
        <w:t>some p</w:t>
      </w:r>
      <w:r w:rsidR="00785C0D">
        <w:rPr>
          <w:szCs w:val="24"/>
        </w:rPr>
        <w:t xml:space="preserve">roviders </w:t>
      </w:r>
      <w:r w:rsidR="002323C6" w:rsidRPr="007C44A2">
        <w:rPr>
          <w:szCs w:val="24"/>
        </w:rPr>
        <w:t>supported the intent of the changes</w:t>
      </w:r>
      <w:r w:rsidR="00160F64">
        <w:rPr>
          <w:szCs w:val="24"/>
        </w:rPr>
        <w:t xml:space="preserve"> in payment arrangements</w:t>
      </w:r>
      <w:r w:rsidR="003F4EA3">
        <w:rPr>
          <w:szCs w:val="24"/>
        </w:rPr>
        <w:t>,</w:t>
      </w:r>
      <w:r w:rsidR="002323C6" w:rsidRPr="007C44A2">
        <w:rPr>
          <w:szCs w:val="24"/>
        </w:rPr>
        <w:t xml:space="preserve"> they </w:t>
      </w:r>
      <w:r w:rsidR="00C10EFA">
        <w:rPr>
          <w:szCs w:val="24"/>
        </w:rPr>
        <w:t>argued</w:t>
      </w:r>
      <w:r w:rsidR="002323C6" w:rsidRPr="007C44A2">
        <w:rPr>
          <w:szCs w:val="24"/>
        </w:rPr>
        <w:t xml:space="preserve"> that no c</w:t>
      </w:r>
      <w:r w:rsidR="00CD0BED">
        <w:rPr>
          <w:szCs w:val="24"/>
        </w:rPr>
        <w:t>hanges should be made until the</w:t>
      </w:r>
      <w:r w:rsidR="00B24511">
        <w:rPr>
          <w:szCs w:val="24"/>
        </w:rPr>
        <w:t xml:space="preserve"> </w:t>
      </w:r>
      <w:r w:rsidR="002323C6" w:rsidRPr="007C44A2">
        <w:rPr>
          <w:szCs w:val="24"/>
        </w:rPr>
        <w:t>Royal</w:t>
      </w:r>
      <w:r w:rsidR="00B24511">
        <w:rPr>
          <w:szCs w:val="24"/>
        </w:rPr>
        <w:t> </w:t>
      </w:r>
      <w:r w:rsidR="002323C6" w:rsidRPr="007C44A2">
        <w:rPr>
          <w:szCs w:val="24"/>
        </w:rPr>
        <w:t>Commission into Aged Care Quality and Safety has delivered its final report</w:t>
      </w:r>
      <w:r w:rsidR="00E92A24">
        <w:rPr>
          <w:szCs w:val="24"/>
        </w:rPr>
        <w:t>.</w:t>
      </w:r>
    </w:p>
    <w:p w:rsidR="00860274" w:rsidRDefault="005858B1" w:rsidP="006F7415">
      <w:pPr>
        <w:spacing w:after="180" w:line="240" w:lineRule="auto"/>
        <w:rPr>
          <w:szCs w:val="24"/>
        </w:rPr>
      </w:pPr>
      <w:r>
        <w:rPr>
          <w:szCs w:val="24"/>
        </w:rPr>
        <w:t xml:space="preserve">Acknowledging </w:t>
      </w:r>
      <w:r w:rsidR="00A2477F">
        <w:rPr>
          <w:szCs w:val="24"/>
        </w:rPr>
        <w:t xml:space="preserve">the range of </w:t>
      </w:r>
      <w:r w:rsidR="00C94369">
        <w:rPr>
          <w:szCs w:val="24"/>
        </w:rPr>
        <w:t xml:space="preserve">themes raised during </w:t>
      </w:r>
      <w:r w:rsidR="00A2477F">
        <w:rPr>
          <w:szCs w:val="24"/>
        </w:rPr>
        <w:t xml:space="preserve">the </w:t>
      </w:r>
      <w:r w:rsidR="00C94369">
        <w:rPr>
          <w:szCs w:val="24"/>
        </w:rPr>
        <w:t xml:space="preserve">consultation, ACFA makes the </w:t>
      </w:r>
      <w:r w:rsidR="002323C6">
        <w:rPr>
          <w:szCs w:val="24"/>
        </w:rPr>
        <w:t>following</w:t>
      </w:r>
      <w:r w:rsidR="00860274">
        <w:rPr>
          <w:szCs w:val="24"/>
        </w:rPr>
        <w:t xml:space="preserve"> </w:t>
      </w:r>
      <w:r w:rsidR="00AD136F" w:rsidRPr="009F09A0">
        <w:rPr>
          <w:szCs w:val="24"/>
        </w:rPr>
        <w:t>conclusions</w:t>
      </w:r>
      <w:r w:rsidR="002323C6">
        <w:rPr>
          <w:szCs w:val="24"/>
        </w:rPr>
        <w:t xml:space="preserve"> and </w:t>
      </w:r>
      <w:r w:rsidR="002323C6" w:rsidRPr="006A62A0">
        <w:rPr>
          <w:szCs w:val="24"/>
        </w:rPr>
        <w:t>recommendations</w:t>
      </w:r>
      <w:r w:rsidR="00C94369" w:rsidRPr="006A62A0">
        <w:rPr>
          <w:szCs w:val="24"/>
        </w:rPr>
        <w:t xml:space="preserve">. </w:t>
      </w:r>
      <w:r w:rsidR="00A2477F" w:rsidRPr="006A62A0">
        <w:rPr>
          <w:szCs w:val="24"/>
        </w:rPr>
        <w:t>The r</w:t>
      </w:r>
      <w:r w:rsidR="00C94369" w:rsidRPr="006A62A0">
        <w:rPr>
          <w:szCs w:val="24"/>
        </w:rPr>
        <w:t xml:space="preserve">ecommendations </w:t>
      </w:r>
      <w:r w:rsidR="00E93A9C">
        <w:rPr>
          <w:szCs w:val="24"/>
        </w:rPr>
        <w:t xml:space="preserve">are framed within </w:t>
      </w:r>
      <w:r w:rsidR="00C94369" w:rsidRPr="006A62A0">
        <w:rPr>
          <w:szCs w:val="24"/>
        </w:rPr>
        <w:t>the three proposed implementation phases.</w:t>
      </w:r>
      <w:bookmarkStart w:id="91" w:name="_GoBack"/>
      <w:bookmarkEnd w:id="91"/>
    </w:p>
    <w:p w:rsidR="00A00B94" w:rsidRPr="00A00B94" w:rsidRDefault="00A00B94" w:rsidP="006F112F">
      <w:pPr>
        <w:spacing w:after="180" w:line="240" w:lineRule="auto"/>
        <w:rPr>
          <w:b/>
          <w:szCs w:val="24"/>
        </w:rPr>
      </w:pPr>
      <w:r w:rsidRPr="00A00B94">
        <w:rPr>
          <w:b/>
          <w:szCs w:val="24"/>
        </w:rPr>
        <w:t xml:space="preserve">Phase </w:t>
      </w:r>
      <w:r w:rsidR="00405433">
        <w:rPr>
          <w:b/>
          <w:szCs w:val="24"/>
        </w:rPr>
        <w:t>1</w:t>
      </w:r>
    </w:p>
    <w:p w:rsidR="003F4EA3" w:rsidRDefault="009D75EC" w:rsidP="006F112F">
      <w:pPr>
        <w:spacing w:after="180" w:line="240" w:lineRule="auto"/>
        <w:rPr>
          <w:szCs w:val="24"/>
        </w:rPr>
      </w:pPr>
      <w:r>
        <w:rPr>
          <w:szCs w:val="24"/>
        </w:rPr>
        <w:t xml:space="preserve">Based on the face-to-face </w:t>
      </w:r>
      <w:r w:rsidR="00BE23A9">
        <w:rPr>
          <w:szCs w:val="24"/>
        </w:rPr>
        <w:t>consultations</w:t>
      </w:r>
      <w:r>
        <w:rPr>
          <w:szCs w:val="24"/>
        </w:rPr>
        <w:t xml:space="preserve">, </w:t>
      </w:r>
      <w:r w:rsidR="00BE23A9">
        <w:rPr>
          <w:szCs w:val="24"/>
        </w:rPr>
        <w:t>t</w:t>
      </w:r>
      <w:r w:rsidR="00BE23A9" w:rsidRPr="009F09A0">
        <w:rPr>
          <w:szCs w:val="24"/>
        </w:rPr>
        <w:t xml:space="preserve">he </w:t>
      </w:r>
      <w:r w:rsidR="00BE23A9">
        <w:rPr>
          <w:szCs w:val="24"/>
        </w:rPr>
        <w:t>majority</w:t>
      </w:r>
      <w:r w:rsidR="00AD136F" w:rsidRPr="009F09A0">
        <w:rPr>
          <w:szCs w:val="24"/>
        </w:rPr>
        <w:t xml:space="preserve"> of providers </w:t>
      </w:r>
      <w:r>
        <w:rPr>
          <w:szCs w:val="24"/>
        </w:rPr>
        <w:t>indicated that they would</w:t>
      </w:r>
      <w:r w:rsidR="00AD136F" w:rsidRPr="009F09A0">
        <w:rPr>
          <w:szCs w:val="24"/>
        </w:rPr>
        <w:t xml:space="preserve"> be able to cope with Phase </w:t>
      </w:r>
      <w:r w:rsidR="00405433">
        <w:rPr>
          <w:szCs w:val="24"/>
        </w:rPr>
        <w:t>1</w:t>
      </w:r>
      <w:r w:rsidR="00405433" w:rsidRPr="009F09A0">
        <w:rPr>
          <w:szCs w:val="24"/>
        </w:rPr>
        <w:t xml:space="preserve"> </w:t>
      </w:r>
      <w:r w:rsidR="00AD136F" w:rsidRPr="009F09A0">
        <w:rPr>
          <w:szCs w:val="24"/>
        </w:rPr>
        <w:t>c</w:t>
      </w:r>
      <w:r w:rsidR="00F574C2">
        <w:rPr>
          <w:szCs w:val="24"/>
        </w:rPr>
        <w:t>hanges in terms of liquidity management</w:t>
      </w:r>
      <w:r w:rsidR="00453D34" w:rsidRPr="00453D34">
        <w:rPr>
          <w:szCs w:val="24"/>
        </w:rPr>
        <w:t xml:space="preserve">. </w:t>
      </w:r>
      <w:r w:rsidR="005858B1">
        <w:rPr>
          <w:szCs w:val="24"/>
        </w:rPr>
        <w:t xml:space="preserve">ACFA </w:t>
      </w:r>
      <w:r w:rsidR="00453D34" w:rsidRPr="00453D34">
        <w:rPr>
          <w:szCs w:val="24"/>
        </w:rPr>
        <w:t>note</w:t>
      </w:r>
      <w:r w:rsidR="005858B1">
        <w:rPr>
          <w:szCs w:val="24"/>
        </w:rPr>
        <w:t>s</w:t>
      </w:r>
      <w:r w:rsidR="006F7415">
        <w:rPr>
          <w:szCs w:val="24"/>
        </w:rPr>
        <w:t>,</w:t>
      </w:r>
      <w:r w:rsidR="005858B1">
        <w:rPr>
          <w:szCs w:val="24"/>
        </w:rPr>
        <w:t xml:space="preserve"> however, that </w:t>
      </w:r>
      <w:r>
        <w:rPr>
          <w:szCs w:val="24"/>
        </w:rPr>
        <w:t>the</w:t>
      </w:r>
      <w:r w:rsidR="003F4EA3">
        <w:rPr>
          <w:szCs w:val="24"/>
        </w:rPr>
        <w:t xml:space="preserve"> consultations involved</w:t>
      </w:r>
      <w:r w:rsidR="00453D34" w:rsidRPr="00453D34">
        <w:rPr>
          <w:szCs w:val="24"/>
        </w:rPr>
        <w:t xml:space="preserve"> a relatively small sample of the total</w:t>
      </w:r>
      <w:r w:rsidR="005858B1">
        <w:rPr>
          <w:szCs w:val="24"/>
        </w:rPr>
        <w:t xml:space="preserve"> number of home care providers. T</w:t>
      </w:r>
      <w:r w:rsidR="00453D34" w:rsidRPr="00453D34">
        <w:rPr>
          <w:szCs w:val="24"/>
        </w:rPr>
        <w:t>hese providers</w:t>
      </w:r>
      <w:r w:rsidR="00453D34">
        <w:rPr>
          <w:szCs w:val="24"/>
        </w:rPr>
        <w:t>, whilst a</w:t>
      </w:r>
      <w:r w:rsidR="005F54C9">
        <w:rPr>
          <w:szCs w:val="24"/>
        </w:rPr>
        <w:t xml:space="preserve"> reasonable</w:t>
      </w:r>
      <w:r w:rsidR="00453D34">
        <w:rPr>
          <w:szCs w:val="24"/>
        </w:rPr>
        <w:t xml:space="preserve"> cross section of the aged care sector, may not necessarily represent </w:t>
      </w:r>
      <w:r w:rsidR="00BE23A9">
        <w:rPr>
          <w:szCs w:val="24"/>
        </w:rPr>
        <w:t>the view</w:t>
      </w:r>
      <w:r w:rsidR="00A2477F">
        <w:rPr>
          <w:szCs w:val="24"/>
        </w:rPr>
        <w:t xml:space="preserve"> </w:t>
      </w:r>
      <w:r w:rsidR="00453D34">
        <w:rPr>
          <w:szCs w:val="24"/>
        </w:rPr>
        <w:t xml:space="preserve">of </w:t>
      </w:r>
      <w:r>
        <w:rPr>
          <w:szCs w:val="24"/>
        </w:rPr>
        <w:t xml:space="preserve">all </w:t>
      </w:r>
      <w:r w:rsidR="00453D34">
        <w:rPr>
          <w:szCs w:val="24"/>
        </w:rPr>
        <w:t>providers</w:t>
      </w:r>
      <w:r w:rsidR="003F4EA3">
        <w:rPr>
          <w:szCs w:val="24"/>
        </w:rPr>
        <w:t>,</w:t>
      </w:r>
      <w:r>
        <w:rPr>
          <w:szCs w:val="24"/>
        </w:rPr>
        <w:t xml:space="preserve"> and concern was expressed about whether some smaller providers could deal with the change</w:t>
      </w:r>
      <w:r w:rsidR="00453D34">
        <w:rPr>
          <w:szCs w:val="24"/>
        </w:rPr>
        <w:t xml:space="preserve">. </w:t>
      </w:r>
    </w:p>
    <w:p w:rsidR="00453D34" w:rsidRDefault="00453D34" w:rsidP="006F112F">
      <w:pPr>
        <w:spacing w:after="180" w:line="240" w:lineRule="auto"/>
        <w:rPr>
          <w:szCs w:val="24"/>
        </w:rPr>
      </w:pPr>
      <w:r>
        <w:rPr>
          <w:szCs w:val="24"/>
        </w:rPr>
        <w:t>Submissions received from the peak bodies desc</w:t>
      </w:r>
      <w:r w:rsidR="005858B1">
        <w:rPr>
          <w:szCs w:val="24"/>
        </w:rPr>
        <w:t xml:space="preserve">ribed a larger potential impact under </w:t>
      </w:r>
      <w:r w:rsidR="00405433">
        <w:rPr>
          <w:szCs w:val="24"/>
        </w:rPr>
        <w:t>Phase</w:t>
      </w:r>
      <w:r w:rsidR="00BF5608">
        <w:rPr>
          <w:szCs w:val="24"/>
        </w:rPr>
        <w:t> </w:t>
      </w:r>
      <w:r w:rsidR="00405433">
        <w:rPr>
          <w:szCs w:val="24"/>
        </w:rPr>
        <w:t xml:space="preserve">1 </w:t>
      </w:r>
      <w:r w:rsidR="009D75EC">
        <w:rPr>
          <w:szCs w:val="24"/>
        </w:rPr>
        <w:t xml:space="preserve">compared with the views expressed in </w:t>
      </w:r>
      <w:r w:rsidR="00115FC3">
        <w:rPr>
          <w:szCs w:val="24"/>
        </w:rPr>
        <w:t>the face-to-</w:t>
      </w:r>
      <w:r w:rsidR="005858B1">
        <w:rPr>
          <w:szCs w:val="24"/>
        </w:rPr>
        <w:t>face consultations.</w:t>
      </w:r>
    </w:p>
    <w:p w:rsidR="00F01374" w:rsidRDefault="00A2477F" w:rsidP="006F112F">
      <w:pPr>
        <w:spacing w:after="180" w:line="240" w:lineRule="auto"/>
        <w:rPr>
          <w:szCs w:val="24"/>
        </w:rPr>
      </w:pPr>
      <w:r>
        <w:rPr>
          <w:szCs w:val="24"/>
        </w:rPr>
        <w:t xml:space="preserve">There was a significant </w:t>
      </w:r>
      <w:r w:rsidR="00E34496">
        <w:rPr>
          <w:szCs w:val="24"/>
        </w:rPr>
        <w:t>divergence of opinions</w:t>
      </w:r>
      <w:r w:rsidR="00E34496" w:rsidRPr="009F09A0">
        <w:rPr>
          <w:szCs w:val="24"/>
        </w:rPr>
        <w:t xml:space="preserve"> expressed </w:t>
      </w:r>
      <w:r>
        <w:rPr>
          <w:szCs w:val="24"/>
        </w:rPr>
        <w:t>in</w:t>
      </w:r>
      <w:r w:rsidR="00E34496" w:rsidRPr="009F09A0">
        <w:rPr>
          <w:szCs w:val="24"/>
        </w:rPr>
        <w:t xml:space="preserve"> the written submissions about</w:t>
      </w:r>
      <w:r w:rsidR="00FB2964">
        <w:rPr>
          <w:szCs w:val="24"/>
        </w:rPr>
        <w:t xml:space="preserve"> Phase </w:t>
      </w:r>
      <w:r w:rsidR="00405433">
        <w:rPr>
          <w:szCs w:val="24"/>
        </w:rPr>
        <w:t xml:space="preserve">1 </w:t>
      </w:r>
      <w:r w:rsidR="00FB2964">
        <w:rPr>
          <w:szCs w:val="24"/>
        </w:rPr>
        <w:t>cash-</w:t>
      </w:r>
      <w:r w:rsidR="00E34496" w:rsidRPr="009F09A0">
        <w:rPr>
          <w:szCs w:val="24"/>
        </w:rPr>
        <w:t xml:space="preserve">flow concerns. </w:t>
      </w:r>
      <w:r w:rsidR="00A679D4">
        <w:rPr>
          <w:szCs w:val="24"/>
        </w:rPr>
        <w:t>On balance</w:t>
      </w:r>
      <w:r w:rsidR="006F7415">
        <w:rPr>
          <w:szCs w:val="24"/>
        </w:rPr>
        <w:t>,</w:t>
      </w:r>
      <w:r w:rsidR="00A679D4">
        <w:rPr>
          <w:szCs w:val="24"/>
        </w:rPr>
        <w:t xml:space="preserve"> however, and </w:t>
      </w:r>
      <w:r w:rsidR="009D75EC">
        <w:rPr>
          <w:szCs w:val="24"/>
        </w:rPr>
        <w:t>taking into account the data</w:t>
      </w:r>
      <w:r w:rsidR="00E34496" w:rsidRPr="009F09A0">
        <w:rPr>
          <w:szCs w:val="24"/>
        </w:rPr>
        <w:t xml:space="preserve"> analysis </w:t>
      </w:r>
      <w:r w:rsidR="00AD47B3">
        <w:rPr>
          <w:szCs w:val="24"/>
        </w:rPr>
        <w:t>provided by</w:t>
      </w:r>
      <w:r w:rsidR="00E34496" w:rsidRPr="009F09A0">
        <w:rPr>
          <w:szCs w:val="24"/>
        </w:rPr>
        <w:t xml:space="preserve"> </w:t>
      </w:r>
      <w:proofErr w:type="spellStart"/>
      <w:r w:rsidR="00E34496" w:rsidRPr="009F09A0">
        <w:rPr>
          <w:szCs w:val="24"/>
        </w:rPr>
        <w:t>StewartBrown</w:t>
      </w:r>
      <w:proofErr w:type="spellEnd"/>
      <w:r w:rsidR="00F01374">
        <w:rPr>
          <w:szCs w:val="24"/>
        </w:rPr>
        <w:t xml:space="preserve">, </w:t>
      </w:r>
      <w:r w:rsidR="009D75EC">
        <w:rPr>
          <w:szCs w:val="24"/>
        </w:rPr>
        <w:t>ACFA conc</w:t>
      </w:r>
      <w:r w:rsidR="00C0358B">
        <w:rPr>
          <w:szCs w:val="24"/>
        </w:rPr>
        <w:t xml:space="preserve">ludes that </w:t>
      </w:r>
      <w:r w:rsidR="00F01374">
        <w:rPr>
          <w:szCs w:val="24"/>
        </w:rPr>
        <w:t>t</w:t>
      </w:r>
      <w:r w:rsidR="00453D34">
        <w:rPr>
          <w:szCs w:val="24"/>
        </w:rPr>
        <w:t>he majority of</w:t>
      </w:r>
      <w:r w:rsidR="00F01374">
        <w:rPr>
          <w:szCs w:val="24"/>
        </w:rPr>
        <w:t xml:space="preserve"> </w:t>
      </w:r>
      <w:r w:rsidR="00AD47B3">
        <w:rPr>
          <w:szCs w:val="24"/>
        </w:rPr>
        <w:t>p</w:t>
      </w:r>
      <w:r w:rsidR="00E34496" w:rsidRPr="009F09A0">
        <w:rPr>
          <w:szCs w:val="24"/>
        </w:rPr>
        <w:t>roviders</w:t>
      </w:r>
      <w:r w:rsidR="00A679D4">
        <w:rPr>
          <w:szCs w:val="24"/>
        </w:rPr>
        <w:t xml:space="preserve"> should</w:t>
      </w:r>
      <w:r w:rsidR="00E34496" w:rsidRPr="009F09A0">
        <w:rPr>
          <w:szCs w:val="24"/>
        </w:rPr>
        <w:t xml:space="preserve"> be able to cope</w:t>
      </w:r>
      <w:r w:rsidR="00453D34">
        <w:rPr>
          <w:szCs w:val="24"/>
        </w:rPr>
        <w:t xml:space="preserve"> with Phase </w:t>
      </w:r>
      <w:r w:rsidR="00405433">
        <w:rPr>
          <w:szCs w:val="24"/>
        </w:rPr>
        <w:t xml:space="preserve">1 </w:t>
      </w:r>
      <w:r w:rsidR="00453D34">
        <w:rPr>
          <w:szCs w:val="24"/>
        </w:rPr>
        <w:t>changes</w:t>
      </w:r>
      <w:r w:rsidR="00E34496" w:rsidRPr="009F09A0">
        <w:rPr>
          <w:szCs w:val="24"/>
        </w:rPr>
        <w:t xml:space="preserve"> from a liquidity management perspective, noting that some providers </w:t>
      </w:r>
      <w:r w:rsidR="00C0358B">
        <w:rPr>
          <w:szCs w:val="24"/>
        </w:rPr>
        <w:t>may</w:t>
      </w:r>
      <w:r w:rsidR="00E34496" w:rsidRPr="009F09A0">
        <w:rPr>
          <w:szCs w:val="24"/>
        </w:rPr>
        <w:t xml:space="preserve"> need access to assistance</w:t>
      </w:r>
      <w:r w:rsidR="00FB2964">
        <w:rPr>
          <w:szCs w:val="24"/>
        </w:rPr>
        <w:t xml:space="preserve"> w</w:t>
      </w:r>
      <w:r w:rsidR="00AD47B3">
        <w:rPr>
          <w:szCs w:val="24"/>
        </w:rPr>
        <w:t xml:space="preserve">hether it is </w:t>
      </w:r>
      <w:r w:rsidR="00C0358B">
        <w:rPr>
          <w:szCs w:val="24"/>
        </w:rPr>
        <w:t>through advice</w:t>
      </w:r>
      <w:r w:rsidR="00AD47B3">
        <w:rPr>
          <w:szCs w:val="24"/>
        </w:rPr>
        <w:t xml:space="preserve">, </w:t>
      </w:r>
      <w:r w:rsidR="00C0358B">
        <w:rPr>
          <w:szCs w:val="24"/>
        </w:rPr>
        <w:t xml:space="preserve">temporary </w:t>
      </w:r>
      <w:r w:rsidR="00FB2964">
        <w:rPr>
          <w:szCs w:val="24"/>
        </w:rPr>
        <w:t xml:space="preserve">financial </w:t>
      </w:r>
      <w:r w:rsidR="00C0358B">
        <w:rPr>
          <w:szCs w:val="24"/>
        </w:rPr>
        <w:t>assistance</w:t>
      </w:r>
      <w:r w:rsidR="00AD47B3">
        <w:rPr>
          <w:szCs w:val="24"/>
        </w:rPr>
        <w:t>, or both.</w:t>
      </w:r>
    </w:p>
    <w:p w:rsidR="00453D34" w:rsidRDefault="00AD47B3" w:rsidP="006F112F">
      <w:pPr>
        <w:spacing w:after="180" w:line="240" w:lineRule="auto"/>
        <w:rPr>
          <w:szCs w:val="24"/>
        </w:rPr>
      </w:pPr>
      <w:r>
        <w:rPr>
          <w:szCs w:val="24"/>
        </w:rPr>
        <w:t xml:space="preserve">Prior to </w:t>
      </w:r>
      <w:r w:rsidR="003D3A74">
        <w:rPr>
          <w:szCs w:val="24"/>
        </w:rPr>
        <w:t xml:space="preserve">Phase </w:t>
      </w:r>
      <w:r w:rsidR="00405433">
        <w:rPr>
          <w:szCs w:val="24"/>
        </w:rPr>
        <w:t xml:space="preserve">1 </w:t>
      </w:r>
      <w:r>
        <w:rPr>
          <w:szCs w:val="24"/>
        </w:rPr>
        <w:t>commencing, p</w:t>
      </w:r>
      <w:r w:rsidR="007C44A2">
        <w:rPr>
          <w:szCs w:val="24"/>
        </w:rPr>
        <w:t xml:space="preserve">roviders </w:t>
      </w:r>
      <w:r w:rsidR="00F01374">
        <w:rPr>
          <w:szCs w:val="24"/>
        </w:rPr>
        <w:t xml:space="preserve">need to be well informed </w:t>
      </w:r>
      <w:r w:rsidR="003F4EA3">
        <w:rPr>
          <w:szCs w:val="24"/>
        </w:rPr>
        <w:t>about</w:t>
      </w:r>
      <w:r w:rsidR="007C44A2">
        <w:rPr>
          <w:szCs w:val="24"/>
        </w:rPr>
        <w:t xml:space="preserve"> the</w:t>
      </w:r>
      <w:r w:rsidR="00F01374">
        <w:rPr>
          <w:szCs w:val="24"/>
        </w:rPr>
        <w:t xml:space="preserve"> </w:t>
      </w:r>
      <w:r w:rsidR="007C44A2">
        <w:rPr>
          <w:szCs w:val="24"/>
        </w:rPr>
        <w:t>operational changes</w:t>
      </w:r>
      <w:r w:rsidR="00F01374">
        <w:rPr>
          <w:szCs w:val="24"/>
        </w:rPr>
        <w:t xml:space="preserve"> required and</w:t>
      </w:r>
      <w:r w:rsidR="007C44A2">
        <w:rPr>
          <w:szCs w:val="24"/>
        </w:rPr>
        <w:t xml:space="preserve"> advised of</w:t>
      </w:r>
      <w:r w:rsidR="00F01374">
        <w:rPr>
          <w:szCs w:val="24"/>
        </w:rPr>
        <w:t xml:space="preserve"> the</w:t>
      </w:r>
      <w:r w:rsidR="007C44A2">
        <w:rPr>
          <w:szCs w:val="24"/>
        </w:rPr>
        <w:t xml:space="preserve"> services available to assist t</w:t>
      </w:r>
      <w:r w:rsidR="00F01374">
        <w:rPr>
          <w:szCs w:val="24"/>
        </w:rPr>
        <w:t xml:space="preserve">hem in the lead up to the </w:t>
      </w:r>
      <w:r w:rsidR="00A2477F">
        <w:rPr>
          <w:szCs w:val="24"/>
        </w:rPr>
        <w:t>commencement of Phase 1</w:t>
      </w:r>
      <w:r w:rsidR="003D3A74">
        <w:rPr>
          <w:szCs w:val="24"/>
        </w:rPr>
        <w:t>.</w:t>
      </w:r>
      <w:r w:rsidR="00453D34">
        <w:rPr>
          <w:szCs w:val="24"/>
        </w:rPr>
        <w:t xml:space="preserve"> </w:t>
      </w:r>
    </w:p>
    <w:p w:rsidR="00AD47B3" w:rsidRDefault="00A2477F" w:rsidP="006F112F">
      <w:pPr>
        <w:spacing w:after="180" w:line="240" w:lineRule="auto"/>
        <w:rPr>
          <w:rFonts w:cstheme="minorHAnsi"/>
          <w:szCs w:val="24"/>
        </w:rPr>
      </w:pPr>
      <w:r>
        <w:rPr>
          <w:rFonts w:cstheme="minorHAnsi"/>
          <w:szCs w:val="24"/>
        </w:rPr>
        <w:t>In this regard, t</w:t>
      </w:r>
      <w:r w:rsidR="00072E72" w:rsidRPr="00EA6103">
        <w:rPr>
          <w:rFonts w:cstheme="minorHAnsi"/>
          <w:szCs w:val="24"/>
        </w:rPr>
        <w:t>he B</w:t>
      </w:r>
      <w:r w:rsidR="00F01374">
        <w:rPr>
          <w:rFonts w:cstheme="minorHAnsi"/>
          <w:szCs w:val="24"/>
        </w:rPr>
        <w:t xml:space="preserve">usiness Advisory Service </w:t>
      </w:r>
      <w:r w:rsidR="00072E72" w:rsidRPr="00EA6103">
        <w:rPr>
          <w:rFonts w:cstheme="minorHAnsi"/>
          <w:szCs w:val="24"/>
        </w:rPr>
        <w:t>is</w:t>
      </w:r>
      <w:r w:rsidR="00E54202">
        <w:rPr>
          <w:rFonts w:cstheme="minorHAnsi"/>
          <w:szCs w:val="24"/>
        </w:rPr>
        <w:t xml:space="preserve"> a free service</w:t>
      </w:r>
      <w:r w:rsidR="00072E72" w:rsidRPr="00EA6103">
        <w:rPr>
          <w:rFonts w:cstheme="minorHAnsi"/>
          <w:szCs w:val="24"/>
        </w:rPr>
        <w:t xml:space="preserve"> </w:t>
      </w:r>
      <w:r w:rsidR="00721EE0">
        <w:rPr>
          <w:rFonts w:cstheme="minorHAnsi"/>
          <w:szCs w:val="24"/>
        </w:rPr>
        <w:t>provided</w:t>
      </w:r>
      <w:r w:rsidR="00072E72" w:rsidRPr="00EA6103">
        <w:rPr>
          <w:rFonts w:cstheme="minorHAnsi"/>
          <w:szCs w:val="24"/>
        </w:rPr>
        <w:t xml:space="preserve"> by PricewaterhouseCoopers (PwC) on behal</w:t>
      </w:r>
      <w:r w:rsidR="00CD0BED">
        <w:rPr>
          <w:rFonts w:cstheme="minorHAnsi"/>
          <w:szCs w:val="24"/>
        </w:rPr>
        <w:t>f of the Australian Government</w:t>
      </w:r>
      <w:r w:rsidR="00AD47B3">
        <w:rPr>
          <w:rFonts w:cstheme="minorHAnsi"/>
          <w:szCs w:val="24"/>
        </w:rPr>
        <w:t xml:space="preserve"> </w:t>
      </w:r>
      <w:r w:rsidR="00C0358B">
        <w:rPr>
          <w:rFonts w:cstheme="minorHAnsi"/>
          <w:szCs w:val="24"/>
        </w:rPr>
        <w:t xml:space="preserve">for aged </w:t>
      </w:r>
      <w:r w:rsidR="00BE23A9">
        <w:rPr>
          <w:rFonts w:cstheme="minorHAnsi"/>
          <w:szCs w:val="24"/>
        </w:rPr>
        <w:t>care providers</w:t>
      </w:r>
      <w:r w:rsidR="00721EE0">
        <w:rPr>
          <w:rFonts w:cstheme="minorHAnsi"/>
          <w:szCs w:val="24"/>
        </w:rPr>
        <w:t>,</w:t>
      </w:r>
      <w:r w:rsidR="00C0358B">
        <w:rPr>
          <w:rFonts w:cstheme="minorHAnsi"/>
          <w:szCs w:val="24"/>
        </w:rPr>
        <w:t xml:space="preserve"> and</w:t>
      </w:r>
      <w:r w:rsidR="00AD47B3">
        <w:rPr>
          <w:rFonts w:cstheme="minorHAnsi"/>
          <w:szCs w:val="24"/>
        </w:rPr>
        <w:t xml:space="preserve"> </w:t>
      </w:r>
      <w:r w:rsidR="00721EE0">
        <w:rPr>
          <w:rFonts w:cstheme="minorHAnsi"/>
          <w:szCs w:val="24"/>
        </w:rPr>
        <w:t xml:space="preserve">its availability </w:t>
      </w:r>
      <w:r w:rsidR="00AD47B3">
        <w:rPr>
          <w:rFonts w:cstheme="minorHAnsi"/>
          <w:szCs w:val="24"/>
        </w:rPr>
        <w:t>should be promoted as a tool</w:t>
      </w:r>
      <w:r w:rsidR="00011C1A">
        <w:rPr>
          <w:rFonts w:cstheme="minorHAnsi"/>
          <w:szCs w:val="24"/>
        </w:rPr>
        <w:t xml:space="preserve"> that</w:t>
      </w:r>
      <w:r w:rsidR="00AD47B3">
        <w:rPr>
          <w:rFonts w:cstheme="minorHAnsi"/>
          <w:szCs w:val="24"/>
        </w:rPr>
        <w:t xml:space="preserve"> </w:t>
      </w:r>
      <w:r w:rsidR="00C0358B">
        <w:rPr>
          <w:rFonts w:cstheme="minorHAnsi"/>
          <w:szCs w:val="24"/>
        </w:rPr>
        <w:t xml:space="preserve">home care </w:t>
      </w:r>
      <w:r w:rsidR="00AD47B3">
        <w:rPr>
          <w:rFonts w:cstheme="minorHAnsi"/>
          <w:szCs w:val="24"/>
        </w:rPr>
        <w:t xml:space="preserve">providers can access </w:t>
      </w:r>
      <w:r w:rsidR="00011C1A">
        <w:rPr>
          <w:rFonts w:cstheme="minorHAnsi"/>
          <w:szCs w:val="24"/>
        </w:rPr>
        <w:t xml:space="preserve">to </w:t>
      </w:r>
      <w:r>
        <w:rPr>
          <w:rFonts w:cstheme="minorHAnsi"/>
          <w:szCs w:val="24"/>
        </w:rPr>
        <w:t xml:space="preserve">assist them in </w:t>
      </w:r>
      <w:r w:rsidR="00AD47B3">
        <w:rPr>
          <w:rFonts w:cstheme="minorHAnsi"/>
          <w:szCs w:val="24"/>
        </w:rPr>
        <w:t xml:space="preserve">preparing for the </w:t>
      </w:r>
      <w:r w:rsidR="00011C1A">
        <w:rPr>
          <w:rFonts w:cstheme="minorHAnsi"/>
          <w:szCs w:val="24"/>
        </w:rPr>
        <w:t xml:space="preserve">new </w:t>
      </w:r>
      <w:r w:rsidR="00C0358B">
        <w:rPr>
          <w:rFonts w:cstheme="minorHAnsi"/>
          <w:szCs w:val="24"/>
        </w:rPr>
        <w:t>payment arrangements</w:t>
      </w:r>
      <w:r w:rsidR="00AD47B3">
        <w:rPr>
          <w:rFonts w:cstheme="minorHAnsi"/>
          <w:szCs w:val="24"/>
        </w:rPr>
        <w:t xml:space="preserve">. </w:t>
      </w:r>
    </w:p>
    <w:p w:rsidR="00072E72" w:rsidRDefault="00C0358B" w:rsidP="006F112F">
      <w:pPr>
        <w:spacing w:after="180" w:line="240" w:lineRule="auto"/>
        <w:rPr>
          <w:rFonts w:cstheme="minorHAnsi"/>
          <w:szCs w:val="24"/>
        </w:rPr>
      </w:pPr>
      <w:r>
        <w:rPr>
          <w:rFonts w:cstheme="minorHAnsi"/>
          <w:szCs w:val="24"/>
        </w:rPr>
        <w:t xml:space="preserve">The Business Advisory Service is </w:t>
      </w:r>
      <w:r w:rsidR="00BE23A9">
        <w:rPr>
          <w:rFonts w:cstheme="minorHAnsi"/>
          <w:szCs w:val="24"/>
        </w:rPr>
        <w:t xml:space="preserve">a </w:t>
      </w:r>
      <w:r w:rsidR="00BE23A9" w:rsidRPr="00EA6103">
        <w:rPr>
          <w:rFonts w:cstheme="minorHAnsi"/>
          <w:szCs w:val="24"/>
        </w:rPr>
        <w:t>program</w:t>
      </w:r>
      <w:r w:rsidR="00CD0BED" w:rsidRPr="00EA6103">
        <w:rPr>
          <w:rFonts w:cstheme="minorHAnsi"/>
          <w:szCs w:val="24"/>
        </w:rPr>
        <w:t xml:space="preserve"> </w:t>
      </w:r>
      <w:r>
        <w:rPr>
          <w:rFonts w:cstheme="minorHAnsi"/>
          <w:szCs w:val="24"/>
        </w:rPr>
        <w:t xml:space="preserve">that </w:t>
      </w:r>
      <w:r w:rsidR="00CD0BED" w:rsidRPr="00EA6103">
        <w:rPr>
          <w:rFonts w:cstheme="minorHAnsi"/>
          <w:szCs w:val="24"/>
        </w:rPr>
        <w:t>prov</w:t>
      </w:r>
      <w:r w:rsidR="00785C0D">
        <w:rPr>
          <w:rFonts w:cstheme="minorHAnsi"/>
          <w:szCs w:val="24"/>
        </w:rPr>
        <w:t xml:space="preserve">ides residential and home care </w:t>
      </w:r>
      <w:r w:rsidR="00CD0BED" w:rsidRPr="00EA6103">
        <w:rPr>
          <w:rFonts w:cstheme="minorHAnsi"/>
          <w:szCs w:val="24"/>
        </w:rPr>
        <w:t xml:space="preserve">providers with access to independent accounting and business advisory services to help review and assess their operations and provide advice on financial strategies to support their </w:t>
      </w:r>
      <w:r w:rsidR="00BE23A9" w:rsidRPr="00EA6103">
        <w:rPr>
          <w:rFonts w:cstheme="minorHAnsi"/>
          <w:szCs w:val="24"/>
        </w:rPr>
        <w:t>business</w:t>
      </w:r>
      <w:r w:rsidR="00CD0BED" w:rsidRPr="00EA6103">
        <w:rPr>
          <w:rFonts w:cstheme="minorHAnsi"/>
          <w:szCs w:val="24"/>
        </w:rPr>
        <w:t>.</w:t>
      </w:r>
      <w:r w:rsidR="00CD0BED">
        <w:rPr>
          <w:rFonts w:cstheme="minorHAnsi"/>
          <w:szCs w:val="24"/>
        </w:rPr>
        <w:t xml:space="preserve"> This </w:t>
      </w:r>
      <w:r w:rsidR="00957A4B">
        <w:rPr>
          <w:rFonts w:cstheme="minorHAnsi"/>
          <w:szCs w:val="24"/>
        </w:rPr>
        <w:t>c</w:t>
      </w:r>
      <w:r w:rsidR="00CD0BED">
        <w:rPr>
          <w:rFonts w:cstheme="minorHAnsi"/>
          <w:szCs w:val="24"/>
        </w:rPr>
        <w:t>ould include strategies to transition to and operate under the new payment arrangements. S</w:t>
      </w:r>
      <w:r w:rsidR="00072E72" w:rsidRPr="00EA6103">
        <w:rPr>
          <w:rFonts w:cstheme="minorHAnsi"/>
          <w:szCs w:val="24"/>
        </w:rPr>
        <w:t>ervices</w:t>
      </w:r>
      <w:r w:rsidR="00CD0BED">
        <w:rPr>
          <w:rFonts w:cstheme="minorHAnsi"/>
          <w:szCs w:val="24"/>
        </w:rPr>
        <w:t xml:space="preserve"> under the Business Advisory Service are currently</w:t>
      </w:r>
      <w:r w:rsidR="00072E72" w:rsidRPr="00EA6103">
        <w:rPr>
          <w:rFonts w:cstheme="minorHAnsi"/>
          <w:szCs w:val="24"/>
        </w:rPr>
        <w:t xml:space="preserve"> available until 30</w:t>
      </w:r>
      <w:r w:rsidR="0029122C">
        <w:rPr>
          <w:rFonts w:cstheme="minorHAnsi"/>
          <w:szCs w:val="24"/>
        </w:rPr>
        <w:t> </w:t>
      </w:r>
      <w:r w:rsidR="00072E72" w:rsidRPr="00EA6103">
        <w:rPr>
          <w:rFonts w:cstheme="minorHAnsi"/>
          <w:szCs w:val="24"/>
        </w:rPr>
        <w:t>June 2021</w:t>
      </w:r>
      <w:r w:rsidR="00072E72">
        <w:rPr>
          <w:rFonts w:cstheme="minorHAnsi"/>
          <w:szCs w:val="24"/>
        </w:rPr>
        <w:t>.</w:t>
      </w:r>
    </w:p>
    <w:p w:rsidR="00455CCE" w:rsidRPr="00707292" w:rsidRDefault="00010D1E" w:rsidP="006F112F">
      <w:pPr>
        <w:spacing w:after="180" w:line="240" w:lineRule="auto"/>
        <w:rPr>
          <w:szCs w:val="24"/>
        </w:rPr>
      </w:pPr>
      <w:r>
        <w:rPr>
          <w:szCs w:val="24"/>
        </w:rPr>
        <w:lastRenderedPageBreak/>
        <w:t xml:space="preserve">Transitional financial assistance </w:t>
      </w:r>
      <w:r w:rsidR="00831693">
        <w:rPr>
          <w:szCs w:val="24"/>
        </w:rPr>
        <w:t xml:space="preserve">in the form of short-term grants or loans </w:t>
      </w:r>
      <w:r>
        <w:rPr>
          <w:szCs w:val="24"/>
        </w:rPr>
        <w:t xml:space="preserve">may be required for providers operating in very thin or difficult </w:t>
      </w:r>
      <w:r w:rsidR="00BE23A9">
        <w:rPr>
          <w:szCs w:val="24"/>
        </w:rPr>
        <w:t>markets,</w:t>
      </w:r>
      <w:r>
        <w:rPr>
          <w:szCs w:val="24"/>
        </w:rPr>
        <w:t xml:space="preserve"> such as in rural and remote areas, or providers who represent a significant public benefit by providing </w:t>
      </w:r>
      <w:r w:rsidR="00BE23A9">
        <w:rPr>
          <w:szCs w:val="24"/>
        </w:rPr>
        <w:t xml:space="preserve">a </w:t>
      </w:r>
      <w:r w:rsidR="00011C1A">
        <w:rPr>
          <w:szCs w:val="24"/>
        </w:rPr>
        <w:t xml:space="preserve">necessary </w:t>
      </w:r>
      <w:r w:rsidR="00BE23A9">
        <w:rPr>
          <w:szCs w:val="24"/>
        </w:rPr>
        <w:t>service</w:t>
      </w:r>
      <w:r>
        <w:rPr>
          <w:szCs w:val="24"/>
        </w:rPr>
        <w:t xml:space="preserve"> which would not be available if they left the industry </w:t>
      </w:r>
      <w:r w:rsidR="00BE23A9">
        <w:rPr>
          <w:szCs w:val="24"/>
        </w:rPr>
        <w:t>(for</w:t>
      </w:r>
      <w:r w:rsidR="00831693">
        <w:rPr>
          <w:szCs w:val="24"/>
        </w:rPr>
        <w:t xml:space="preserve"> example</w:t>
      </w:r>
      <w:r w:rsidR="00B27D08">
        <w:rPr>
          <w:szCs w:val="24"/>
        </w:rPr>
        <w:t>,</w:t>
      </w:r>
      <w:r w:rsidR="00831693">
        <w:rPr>
          <w:szCs w:val="24"/>
        </w:rPr>
        <w:t xml:space="preserve"> they may be the only provider of home care services within a specific area). Such providers may already be under financial pressure and may have difficulties in accommodating the cash flow consequences of Phase</w:t>
      </w:r>
      <w:r w:rsidR="00011C1A">
        <w:rPr>
          <w:szCs w:val="24"/>
        </w:rPr>
        <w:t> </w:t>
      </w:r>
      <w:r w:rsidR="00831693">
        <w:rPr>
          <w:szCs w:val="24"/>
        </w:rPr>
        <w:t>1. However</w:t>
      </w:r>
      <w:r w:rsidR="00B27D08">
        <w:rPr>
          <w:szCs w:val="24"/>
        </w:rPr>
        <w:t>,</w:t>
      </w:r>
      <w:r w:rsidR="00831693">
        <w:rPr>
          <w:szCs w:val="24"/>
        </w:rPr>
        <w:t xml:space="preserve"> </w:t>
      </w:r>
      <w:r w:rsidR="00032953">
        <w:rPr>
          <w:szCs w:val="24"/>
        </w:rPr>
        <w:t>as previously addressed</w:t>
      </w:r>
      <w:r w:rsidR="00B27D08">
        <w:rPr>
          <w:szCs w:val="24"/>
        </w:rPr>
        <w:t>,</w:t>
      </w:r>
      <w:r w:rsidR="00831693">
        <w:rPr>
          <w:szCs w:val="24"/>
        </w:rPr>
        <w:t xml:space="preserve"> any provider seeking transitional financial assistance should first be required to access the Business Advisory Service</w:t>
      </w:r>
      <w:r w:rsidR="00011C1A">
        <w:rPr>
          <w:szCs w:val="24"/>
        </w:rPr>
        <w:t>.</w:t>
      </w:r>
      <w:r w:rsidR="005F54C9" w:rsidRPr="00707292">
        <w:rPr>
          <w:szCs w:val="24"/>
        </w:rPr>
        <w:t xml:space="preserve"> </w:t>
      </w:r>
    </w:p>
    <w:p w:rsidR="00CD0BED" w:rsidRPr="00CD0BED" w:rsidRDefault="00CD0BED" w:rsidP="006F112F">
      <w:pPr>
        <w:spacing w:after="180" w:line="240" w:lineRule="auto"/>
        <w:rPr>
          <w:szCs w:val="24"/>
        </w:rPr>
      </w:pPr>
      <w:r w:rsidRPr="00CD0BED">
        <w:rPr>
          <w:b/>
          <w:szCs w:val="24"/>
        </w:rPr>
        <w:t xml:space="preserve">Phase </w:t>
      </w:r>
      <w:r w:rsidR="00405433">
        <w:rPr>
          <w:b/>
          <w:szCs w:val="24"/>
        </w:rPr>
        <w:t>1</w:t>
      </w:r>
      <w:r w:rsidR="00405433" w:rsidRPr="00CD0BED">
        <w:rPr>
          <w:b/>
          <w:szCs w:val="24"/>
        </w:rPr>
        <w:t xml:space="preserve"> </w:t>
      </w:r>
      <w:r w:rsidRPr="00CD0BED">
        <w:rPr>
          <w:b/>
          <w:szCs w:val="24"/>
        </w:rPr>
        <w:t>recommendations</w:t>
      </w:r>
    </w:p>
    <w:p w:rsidR="007855F4" w:rsidRPr="0013218A" w:rsidRDefault="001B65E1" w:rsidP="006F112F">
      <w:pPr>
        <w:spacing w:after="180" w:line="240" w:lineRule="auto"/>
        <w:ind w:left="720"/>
      </w:pPr>
      <w:r w:rsidRPr="00011C1A">
        <w:rPr>
          <w:b/>
          <w:szCs w:val="24"/>
        </w:rPr>
        <w:t xml:space="preserve">Recommendation </w:t>
      </w:r>
      <w:r w:rsidR="00E93A9C">
        <w:rPr>
          <w:b/>
          <w:szCs w:val="24"/>
        </w:rPr>
        <w:t>1</w:t>
      </w:r>
      <w:r w:rsidR="00174D3D" w:rsidRPr="00011C1A">
        <w:rPr>
          <w:szCs w:val="24"/>
        </w:rPr>
        <w:t xml:space="preserve">: </w:t>
      </w:r>
      <w:r w:rsidR="00442F81">
        <w:rPr>
          <w:szCs w:val="24"/>
        </w:rPr>
        <w:t xml:space="preserve">Providers </w:t>
      </w:r>
      <w:r w:rsidR="00D425FE">
        <w:rPr>
          <w:szCs w:val="24"/>
        </w:rPr>
        <w:t xml:space="preserve">who consider they would be financially vulnerable as a result of the change in payment arrangements should be encouraged to apply to </w:t>
      </w:r>
      <w:r w:rsidR="00D425FE">
        <w:t>t</w:t>
      </w:r>
      <w:r w:rsidR="00072E72" w:rsidRPr="00011C1A">
        <w:t>he Business Advisory Service</w:t>
      </w:r>
      <w:r w:rsidR="00D425FE">
        <w:t>.</w:t>
      </w:r>
      <w:r w:rsidR="00072E72" w:rsidRPr="00011C1A">
        <w:t xml:space="preserve"> </w:t>
      </w:r>
    </w:p>
    <w:p w:rsidR="007E5152" w:rsidRDefault="001B65E1" w:rsidP="006F112F">
      <w:pPr>
        <w:spacing w:after="180" w:line="240" w:lineRule="auto"/>
        <w:ind w:left="720"/>
        <w:rPr>
          <w:szCs w:val="24"/>
        </w:rPr>
      </w:pPr>
      <w:r w:rsidRPr="00F11C12">
        <w:rPr>
          <w:b/>
          <w:szCs w:val="24"/>
        </w:rPr>
        <w:t>R</w:t>
      </w:r>
      <w:r>
        <w:rPr>
          <w:b/>
          <w:szCs w:val="24"/>
        </w:rPr>
        <w:t xml:space="preserve">ecommendation </w:t>
      </w:r>
      <w:r w:rsidR="00E93A9C">
        <w:rPr>
          <w:b/>
          <w:szCs w:val="24"/>
        </w:rPr>
        <w:t>2</w:t>
      </w:r>
      <w:r w:rsidR="00174D3D">
        <w:rPr>
          <w:b/>
          <w:szCs w:val="24"/>
        </w:rPr>
        <w:t xml:space="preserve">: </w:t>
      </w:r>
      <w:r w:rsidR="00D36C7F">
        <w:rPr>
          <w:szCs w:val="24"/>
        </w:rPr>
        <w:t>Transitional f</w:t>
      </w:r>
      <w:r w:rsidR="007855F4" w:rsidRPr="007855F4">
        <w:rPr>
          <w:szCs w:val="24"/>
        </w:rPr>
        <w:t xml:space="preserve">inancial </w:t>
      </w:r>
      <w:r w:rsidR="007855F4">
        <w:rPr>
          <w:szCs w:val="24"/>
        </w:rPr>
        <w:t xml:space="preserve">support should be </w:t>
      </w:r>
      <w:r w:rsidR="00D36C7F">
        <w:rPr>
          <w:szCs w:val="24"/>
        </w:rPr>
        <w:t>available</w:t>
      </w:r>
      <w:r w:rsidR="007855F4">
        <w:rPr>
          <w:szCs w:val="24"/>
        </w:rPr>
        <w:t xml:space="preserve"> for</w:t>
      </w:r>
      <w:r w:rsidR="00174D3D">
        <w:rPr>
          <w:szCs w:val="24"/>
        </w:rPr>
        <w:t xml:space="preserve"> p</w:t>
      </w:r>
      <w:r w:rsidR="007855F4" w:rsidRPr="007855F4">
        <w:rPr>
          <w:szCs w:val="24"/>
        </w:rPr>
        <w:t xml:space="preserve">roviders </w:t>
      </w:r>
      <w:r w:rsidR="0029122C">
        <w:rPr>
          <w:szCs w:val="24"/>
        </w:rPr>
        <w:t xml:space="preserve">in thin </w:t>
      </w:r>
      <w:r w:rsidR="00D36C7F">
        <w:rPr>
          <w:szCs w:val="24"/>
        </w:rPr>
        <w:t xml:space="preserve">and difficult </w:t>
      </w:r>
      <w:r w:rsidR="0029122C">
        <w:rPr>
          <w:szCs w:val="24"/>
        </w:rPr>
        <w:t xml:space="preserve">markets, such as regional and remote </w:t>
      </w:r>
      <w:r w:rsidR="00D36C7F">
        <w:rPr>
          <w:szCs w:val="24"/>
        </w:rPr>
        <w:t>areas</w:t>
      </w:r>
      <w:r w:rsidR="00B27D08">
        <w:rPr>
          <w:szCs w:val="24"/>
        </w:rPr>
        <w:t>,</w:t>
      </w:r>
      <w:r w:rsidR="00D36C7F">
        <w:rPr>
          <w:szCs w:val="24"/>
        </w:rPr>
        <w:t xml:space="preserve"> </w:t>
      </w:r>
      <w:r w:rsidR="0029122C">
        <w:rPr>
          <w:szCs w:val="24"/>
        </w:rPr>
        <w:t xml:space="preserve">or </w:t>
      </w:r>
      <w:r w:rsidR="00B27D08">
        <w:rPr>
          <w:szCs w:val="24"/>
        </w:rPr>
        <w:t xml:space="preserve">those </w:t>
      </w:r>
      <w:r w:rsidR="00D36C7F">
        <w:rPr>
          <w:szCs w:val="24"/>
        </w:rPr>
        <w:t xml:space="preserve">providing specialised </w:t>
      </w:r>
      <w:r w:rsidR="00BE23A9">
        <w:rPr>
          <w:szCs w:val="24"/>
        </w:rPr>
        <w:t>services to</w:t>
      </w:r>
      <w:r w:rsidR="0029122C">
        <w:rPr>
          <w:szCs w:val="24"/>
        </w:rPr>
        <w:t xml:space="preserve"> vulnerable </w:t>
      </w:r>
      <w:r w:rsidR="003657B7">
        <w:rPr>
          <w:szCs w:val="24"/>
        </w:rPr>
        <w:t>consumer</w:t>
      </w:r>
      <w:r w:rsidR="0029122C">
        <w:rPr>
          <w:szCs w:val="24"/>
        </w:rPr>
        <w:t>s</w:t>
      </w:r>
      <w:r w:rsidR="00D36C7F">
        <w:rPr>
          <w:szCs w:val="24"/>
        </w:rPr>
        <w:t xml:space="preserve">. Providers seeking transitional financial support should first utilise </w:t>
      </w:r>
      <w:r w:rsidR="007855F4" w:rsidRPr="007855F4">
        <w:rPr>
          <w:szCs w:val="24"/>
        </w:rPr>
        <w:t>the Business Advisory Service</w:t>
      </w:r>
      <w:r w:rsidR="00D36C7F">
        <w:rPr>
          <w:szCs w:val="24"/>
        </w:rPr>
        <w:t>.</w:t>
      </w:r>
    </w:p>
    <w:p w:rsidR="00D87566" w:rsidRPr="0013218A" w:rsidRDefault="00D87566" w:rsidP="00D87566">
      <w:pPr>
        <w:spacing w:after="180" w:line="240" w:lineRule="auto"/>
        <w:ind w:left="720"/>
        <w:rPr>
          <w:szCs w:val="24"/>
        </w:rPr>
      </w:pPr>
      <w:r w:rsidRPr="00F11C12">
        <w:rPr>
          <w:b/>
          <w:szCs w:val="24"/>
        </w:rPr>
        <w:t>R</w:t>
      </w:r>
      <w:r w:rsidR="00E93A9C">
        <w:rPr>
          <w:b/>
          <w:szCs w:val="24"/>
        </w:rPr>
        <w:t>ecommendation 3</w:t>
      </w:r>
      <w:r>
        <w:rPr>
          <w:b/>
          <w:szCs w:val="24"/>
        </w:rPr>
        <w:t xml:space="preserve">: </w:t>
      </w:r>
      <w:r w:rsidR="006177EF" w:rsidRPr="0076704B">
        <w:rPr>
          <w:szCs w:val="24"/>
        </w:rPr>
        <w:t>All phases</w:t>
      </w:r>
      <w:r>
        <w:rPr>
          <w:szCs w:val="24"/>
        </w:rPr>
        <w:t xml:space="preserve"> should commence</w:t>
      </w:r>
      <w:r w:rsidRPr="00E54202">
        <w:rPr>
          <w:szCs w:val="24"/>
        </w:rPr>
        <w:t xml:space="preserve"> </w:t>
      </w:r>
      <w:r w:rsidRPr="00F11C12">
        <w:rPr>
          <w:szCs w:val="24"/>
        </w:rPr>
        <w:t xml:space="preserve">at the start of </w:t>
      </w:r>
      <w:r>
        <w:rPr>
          <w:szCs w:val="24"/>
        </w:rPr>
        <w:t>a financial year</w:t>
      </w:r>
      <w:r w:rsidRPr="00F11C12">
        <w:rPr>
          <w:szCs w:val="24"/>
        </w:rPr>
        <w:t xml:space="preserve"> </w:t>
      </w:r>
      <w:r>
        <w:rPr>
          <w:szCs w:val="24"/>
        </w:rPr>
        <w:t xml:space="preserve">for consistent reporting within a financial year and </w:t>
      </w:r>
      <w:r w:rsidRPr="00F11C12">
        <w:rPr>
          <w:szCs w:val="24"/>
        </w:rPr>
        <w:t>to minimise impacts on providers</w:t>
      </w:r>
      <w:r>
        <w:rPr>
          <w:szCs w:val="24"/>
        </w:rPr>
        <w:t>’</w:t>
      </w:r>
      <w:r w:rsidRPr="00F11C12">
        <w:rPr>
          <w:szCs w:val="24"/>
        </w:rPr>
        <w:t xml:space="preserve"> end of year financial reporting requirements</w:t>
      </w:r>
      <w:r>
        <w:rPr>
          <w:szCs w:val="24"/>
        </w:rPr>
        <w:t>.</w:t>
      </w:r>
    </w:p>
    <w:p w:rsidR="00A00B94" w:rsidRPr="00A00B94" w:rsidRDefault="00A00B94" w:rsidP="006F112F">
      <w:pPr>
        <w:spacing w:after="180" w:line="240" w:lineRule="auto"/>
        <w:rPr>
          <w:b/>
          <w:szCs w:val="24"/>
        </w:rPr>
      </w:pPr>
      <w:r w:rsidRPr="00A00B94">
        <w:rPr>
          <w:b/>
          <w:szCs w:val="24"/>
        </w:rPr>
        <w:t xml:space="preserve">Phase </w:t>
      </w:r>
      <w:r w:rsidR="00405433">
        <w:rPr>
          <w:b/>
          <w:szCs w:val="24"/>
        </w:rPr>
        <w:t>2</w:t>
      </w:r>
    </w:p>
    <w:p w:rsidR="007F00BC" w:rsidRDefault="00FB2964" w:rsidP="006F112F">
      <w:pPr>
        <w:spacing w:after="180" w:line="240" w:lineRule="auto"/>
        <w:rPr>
          <w:szCs w:val="24"/>
        </w:rPr>
      </w:pPr>
      <w:r>
        <w:rPr>
          <w:szCs w:val="24"/>
        </w:rPr>
        <w:t>P</w:t>
      </w:r>
      <w:r w:rsidR="00EC55B6" w:rsidRPr="00455CCE">
        <w:rPr>
          <w:szCs w:val="24"/>
        </w:rPr>
        <w:t xml:space="preserve">hase </w:t>
      </w:r>
      <w:r w:rsidR="000B5356">
        <w:rPr>
          <w:szCs w:val="24"/>
        </w:rPr>
        <w:t>2</w:t>
      </w:r>
      <w:r w:rsidR="000B5356" w:rsidRPr="00455CCE">
        <w:rPr>
          <w:szCs w:val="24"/>
        </w:rPr>
        <w:t xml:space="preserve"> </w:t>
      </w:r>
      <w:r w:rsidR="00EC55B6" w:rsidRPr="00455CCE">
        <w:rPr>
          <w:szCs w:val="24"/>
        </w:rPr>
        <w:t xml:space="preserve">presents </w:t>
      </w:r>
      <w:r w:rsidR="00D87566">
        <w:rPr>
          <w:szCs w:val="24"/>
        </w:rPr>
        <w:t>a potential</w:t>
      </w:r>
      <w:r w:rsidR="00EC55B6" w:rsidRPr="00455CCE">
        <w:rPr>
          <w:szCs w:val="24"/>
        </w:rPr>
        <w:t xml:space="preserve"> risk for </w:t>
      </w:r>
      <w:r w:rsidR="0009709D">
        <w:rPr>
          <w:szCs w:val="24"/>
        </w:rPr>
        <w:t>p</w:t>
      </w:r>
      <w:r w:rsidR="00EC55B6" w:rsidRPr="00455CCE">
        <w:rPr>
          <w:szCs w:val="24"/>
        </w:rPr>
        <w:t xml:space="preserve">roviders and </w:t>
      </w:r>
      <w:r w:rsidR="00D87566">
        <w:rPr>
          <w:szCs w:val="24"/>
        </w:rPr>
        <w:t xml:space="preserve">the </w:t>
      </w:r>
      <w:r w:rsidR="00EC55B6" w:rsidRPr="00455CCE">
        <w:rPr>
          <w:szCs w:val="24"/>
        </w:rPr>
        <w:t>Government</w:t>
      </w:r>
      <w:r>
        <w:rPr>
          <w:szCs w:val="24"/>
        </w:rPr>
        <w:t>. This is</w:t>
      </w:r>
      <w:r w:rsidR="00174D3D">
        <w:rPr>
          <w:szCs w:val="24"/>
        </w:rPr>
        <w:t xml:space="preserve"> primarily</w:t>
      </w:r>
      <w:r w:rsidR="00EC55B6" w:rsidRPr="00455CCE">
        <w:rPr>
          <w:szCs w:val="24"/>
        </w:rPr>
        <w:t xml:space="preserve"> </w:t>
      </w:r>
      <w:r w:rsidR="00EC55B6">
        <w:rPr>
          <w:szCs w:val="24"/>
        </w:rPr>
        <w:t>due to</w:t>
      </w:r>
      <w:r w:rsidR="00A05B78">
        <w:rPr>
          <w:szCs w:val="24"/>
        </w:rPr>
        <w:t xml:space="preserve"> </w:t>
      </w:r>
      <w:r w:rsidR="00D87566">
        <w:rPr>
          <w:szCs w:val="24"/>
        </w:rPr>
        <w:t xml:space="preserve">the extent of </w:t>
      </w:r>
      <w:r w:rsidR="00A05B78">
        <w:rPr>
          <w:szCs w:val="24"/>
        </w:rPr>
        <w:t>new</w:t>
      </w:r>
      <w:r w:rsidR="00EC55B6">
        <w:rPr>
          <w:szCs w:val="24"/>
        </w:rPr>
        <w:t xml:space="preserve"> system</w:t>
      </w:r>
      <w:r w:rsidR="00EC55B6" w:rsidRPr="00455CCE">
        <w:rPr>
          <w:szCs w:val="24"/>
        </w:rPr>
        <w:t xml:space="preserve"> </w:t>
      </w:r>
      <w:r w:rsidR="00BE23A9">
        <w:rPr>
          <w:szCs w:val="24"/>
        </w:rPr>
        <w:t>requirements to</w:t>
      </w:r>
      <w:r w:rsidR="00D87566">
        <w:rPr>
          <w:szCs w:val="24"/>
        </w:rPr>
        <w:t xml:space="preserve"> deal with the changes in payment arrangements and how smoothly these systems operate</w:t>
      </w:r>
      <w:r w:rsidR="00EC55B6">
        <w:rPr>
          <w:szCs w:val="24"/>
        </w:rPr>
        <w:t>.</w:t>
      </w:r>
      <w:r w:rsidR="007F00BC">
        <w:rPr>
          <w:szCs w:val="24"/>
        </w:rPr>
        <w:t xml:space="preserve"> Providers</w:t>
      </w:r>
      <w:r w:rsidR="00EB5159">
        <w:rPr>
          <w:szCs w:val="24"/>
        </w:rPr>
        <w:t>’</w:t>
      </w:r>
      <w:r w:rsidR="007F00BC">
        <w:rPr>
          <w:szCs w:val="24"/>
        </w:rPr>
        <w:t xml:space="preserve"> concerns relate to a number of </w:t>
      </w:r>
      <w:r w:rsidR="007D754F">
        <w:rPr>
          <w:szCs w:val="24"/>
        </w:rPr>
        <w:t xml:space="preserve">factors </w:t>
      </w:r>
      <w:r w:rsidR="007F00BC">
        <w:rPr>
          <w:szCs w:val="24"/>
        </w:rPr>
        <w:t>that can be broadly categorised into the following groups</w:t>
      </w:r>
      <w:r w:rsidR="00B27D08">
        <w:rPr>
          <w:szCs w:val="24"/>
        </w:rPr>
        <w:t>:</w:t>
      </w:r>
    </w:p>
    <w:p w:rsidR="007F00BC" w:rsidRDefault="00FB2964" w:rsidP="006F112F">
      <w:pPr>
        <w:pStyle w:val="ListParagraph"/>
        <w:numPr>
          <w:ilvl w:val="0"/>
          <w:numId w:val="22"/>
        </w:numPr>
        <w:spacing w:after="180" w:line="240" w:lineRule="auto"/>
        <w:rPr>
          <w:szCs w:val="24"/>
        </w:rPr>
      </w:pPr>
      <w:r>
        <w:rPr>
          <w:szCs w:val="24"/>
        </w:rPr>
        <w:t>S</w:t>
      </w:r>
      <w:r w:rsidR="001F3690">
        <w:rPr>
          <w:szCs w:val="24"/>
        </w:rPr>
        <w:t>ystem</w:t>
      </w:r>
      <w:r w:rsidR="007F00BC">
        <w:rPr>
          <w:szCs w:val="24"/>
        </w:rPr>
        <w:t xml:space="preserve"> costs</w:t>
      </w:r>
      <w:r w:rsidR="001F3690">
        <w:rPr>
          <w:szCs w:val="24"/>
        </w:rPr>
        <w:t xml:space="preserve"> and increased staffing</w:t>
      </w:r>
      <w:r>
        <w:rPr>
          <w:szCs w:val="24"/>
        </w:rPr>
        <w:t xml:space="preserve"> </w:t>
      </w:r>
      <w:r w:rsidR="001F3690">
        <w:rPr>
          <w:szCs w:val="24"/>
        </w:rPr>
        <w:t xml:space="preserve">costs associated with increased </w:t>
      </w:r>
      <w:r w:rsidR="007E5152">
        <w:rPr>
          <w:szCs w:val="24"/>
        </w:rPr>
        <w:t>administration</w:t>
      </w:r>
      <w:r w:rsidR="001F3690">
        <w:rPr>
          <w:szCs w:val="24"/>
        </w:rPr>
        <w:t xml:space="preserve"> (</w:t>
      </w:r>
      <w:r w:rsidR="00D87566">
        <w:rPr>
          <w:szCs w:val="24"/>
        </w:rPr>
        <w:t xml:space="preserve">particularly if </w:t>
      </w:r>
      <w:r w:rsidR="001F3690">
        <w:rPr>
          <w:szCs w:val="24"/>
        </w:rPr>
        <w:t>manual data entry</w:t>
      </w:r>
      <w:r w:rsidR="00D87566">
        <w:rPr>
          <w:szCs w:val="24"/>
        </w:rPr>
        <w:t xml:space="preserve"> is required</w:t>
      </w:r>
      <w:r w:rsidR="0042672C">
        <w:rPr>
          <w:szCs w:val="24"/>
        </w:rPr>
        <w:t>).</w:t>
      </w:r>
    </w:p>
    <w:p w:rsidR="00D87566" w:rsidRDefault="00D87566" w:rsidP="006F112F">
      <w:pPr>
        <w:pStyle w:val="ListParagraph"/>
        <w:numPr>
          <w:ilvl w:val="0"/>
          <w:numId w:val="22"/>
        </w:numPr>
        <w:spacing w:after="180" w:line="240" w:lineRule="auto"/>
        <w:rPr>
          <w:szCs w:val="24"/>
        </w:rPr>
      </w:pPr>
      <w:r>
        <w:rPr>
          <w:szCs w:val="24"/>
        </w:rPr>
        <w:t>Significant increase in reconciliation requirements which will add to administrative expenses and impact on providers</w:t>
      </w:r>
      <w:r w:rsidR="00A846D6">
        <w:rPr>
          <w:szCs w:val="24"/>
        </w:rPr>
        <w:t>’</w:t>
      </w:r>
      <w:r>
        <w:rPr>
          <w:szCs w:val="24"/>
        </w:rPr>
        <w:t xml:space="preserve"> financial position if there is a sizeable delay in resolving </w:t>
      </w:r>
      <w:r w:rsidR="00BE23A9">
        <w:rPr>
          <w:szCs w:val="24"/>
        </w:rPr>
        <w:t>discrepancies</w:t>
      </w:r>
      <w:r>
        <w:rPr>
          <w:szCs w:val="24"/>
        </w:rPr>
        <w:t xml:space="preserve"> and receiving payments.</w:t>
      </w:r>
    </w:p>
    <w:p w:rsidR="007F00BC" w:rsidRDefault="00BE23A9" w:rsidP="006F112F">
      <w:pPr>
        <w:pStyle w:val="ListParagraph"/>
        <w:numPr>
          <w:ilvl w:val="0"/>
          <w:numId w:val="22"/>
        </w:numPr>
        <w:spacing w:after="180" w:line="240" w:lineRule="auto"/>
        <w:rPr>
          <w:szCs w:val="24"/>
        </w:rPr>
      </w:pPr>
      <w:r>
        <w:rPr>
          <w:szCs w:val="24"/>
        </w:rPr>
        <w:t>Previous</w:t>
      </w:r>
      <w:r w:rsidR="007F00BC" w:rsidRPr="00761B74">
        <w:rPr>
          <w:szCs w:val="24"/>
        </w:rPr>
        <w:t xml:space="preserve"> negative experiences with significant systems change</w:t>
      </w:r>
      <w:r w:rsidR="00A4364E">
        <w:rPr>
          <w:szCs w:val="24"/>
        </w:rPr>
        <w:t xml:space="preserve">s and concerns that short lead times will not allow time </w:t>
      </w:r>
      <w:r w:rsidR="00D87566">
        <w:rPr>
          <w:szCs w:val="24"/>
        </w:rPr>
        <w:t>to</w:t>
      </w:r>
      <w:r w:rsidR="00A4364E">
        <w:rPr>
          <w:szCs w:val="24"/>
        </w:rPr>
        <w:t xml:space="preserve"> trial the changes</w:t>
      </w:r>
      <w:r w:rsidR="00D87566">
        <w:rPr>
          <w:szCs w:val="24"/>
        </w:rPr>
        <w:t>.</w:t>
      </w:r>
      <w:r w:rsidR="00A4364E">
        <w:rPr>
          <w:szCs w:val="24"/>
        </w:rPr>
        <w:t xml:space="preserve"> </w:t>
      </w:r>
    </w:p>
    <w:p w:rsidR="007F00BC" w:rsidRPr="00761B74" w:rsidRDefault="00BE23A9" w:rsidP="006F112F">
      <w:pPr>
        <w:pStyle w:val="ListParagraph"/>
        <w:numPr>
          <w:ilvl w:val="0"/>
          <w:numId w:val="22"/>
        </w:numPr>
        <w:spacing w:after="180" w:line="240" w:lineRule="auto"/>
        <w:rPr>
          <w:szCs w:val="24"/>
        </w:rPr>
      </w:pPr>
      <w:r w:rsidRPr="00761B74">
        <w:rPr>
          <w:szCs w:val="24"/>
        </w:rPr>
        <w:t>A</w:t>
      </w:r>
      <w:r w:rsidR="007F00BC" w:rsidRPr="00761B74">
        <w:rPr>
          <w:szCs w:val="24"/>
        </w:rPr>
        <w:t xml:space="preserve"> high degree of uncertainty </w:t>
      </w:r>
      <w:r w:rsidR="00936CF3">
        <w:rPr>
          <w:szCs w:val="24"/>
        </w:rPr>
        <w:t>as to how Phase 2 will operate</w:t>
      </w:r>
      <w:r w:rsidR="007F00BC" w:rsidRPr="00761B74">
        <w:rPr>
          <w:szCs w:val="24"/>
        </w:rPr>
        <w:t xml:space="preserve"> given numerous substantive matters are not yet resolved. </w:t>
      </w:r>
    </w:p>
    <w:p w:rsidR="00936CF3" w:rsidRDefault="007F00BC" w:rsidP="006F112F">
      <w:pPr>
        <w:spacing w:after="180" w:line="240" w:lineRule="auto"/>
        <w:rPr>
          <w:szCs w:val="24"/>
        </w:rPr>
      </w:pPr>
      <w:r>
        <w:rPr>
          <w:szCs w:val="24"/>
        </w:rPr>
        <w:t>R</w:t>
      </w:r>
      <w:r w:rsidR="00174D3D">
        <w:rPr>
          <w:szCs w:val="24"/>
        </w:rPr>
        <w:t>isks are heightened for p</w:t>
      </w:r>
      <w:r w:rsidR="00EC55B6">
        <w:rPr>
          <w:szCs w:val="24"/>
        </w:rPr>
        <w:t>roviders operating in thin markets and</w:t>
      </w:r>
      <w:r w:rsidR="007855F4">
        <w:rPr>
          <w:szCs w:val="24"/>
        </w:rPr>
        <w:t xml:space="preserve"> </w:t>
      </w:r>
      <w:r w:rsidR="00174D3D">
        <w:rPr>
          <w:szCs w:val="24"/>
        </w:rPr>
        <w:t>deliver</w:t>
      </w:r>
      <w:r w:rsidR="00936CF3">
        <w:rPr>
          <w:szCs w:val="24"/>
        </w:rPr>
        <w:t>ing</w:t>
      </w:r>
      <w:r w:rsidR="00EC55B6">
        <w:rPr>
          <w:szCs w:val="24"/>
        </w:rPr>
        <w:t xml:space="preserve"> niche service</w:t>
      </w:r>
      <w:r w:rsidR="007855F4">
        <w:rPr>
          <w:szCs w:val="24"/>
        </w:rPr>
        <w:t>s</w:t>
      </w:r>
      <w:r w:rsidR="00EC55B6">
        <w:rPr>
          <w:szCs w:val="24"/>
        </w:rPr>
        <w:t xml:space="preserve">. </w:t>
      </w:r>
    </w:p>
    <w:p w:rsidR="00A846D6" w:rsidRPr="00D67AF9" w:rsidRDefault="00EC55B6" w:rsidP="006F112F">
      <w:pPr>
        <w:spacing w:after="180" w:line="240" w:lineRule="auto"/>
        <w:rPr>
          <w:szCs w:val="24"/>
        </w:rPr>
      </w:pPr>
      <w:r>
        <w:rPr>
          <w:szCs w:val="24"/>
        </w:rPr>
        <w:t xml:space="preserve">ACFA </w:t>
      </w:r>
      <w:r w:rsidR="0029122C">
        <w:rPr>
          <w:szCs w:val="24"/>
        </w:rPr>
        <w:t xml:space="preserve">notes the complexity of the changes </w:t>
      </w:r>
      <w:r w:rsidR="0043023E">
        <w:rPr>
          <w:szCs w:val="24"/>
        </w:rPr>
        <w:t xml:space="preserve">required </w:t>
      </w:r>
      <w:r w:rsidR="0029122C">
        <w:rPr>
          <w:szCs w:val="24"/>
        </w:rPr>
        <w:t>to</w:t>
      </w:r>
      <w:r w:rsidR="00B27D08">
        <w:rPr>
          <w:szCs w:val="24"/>
        </w:rPr>
        <w:t xml:space="preserve"> the</w:t>
      </w:r>
      <w:r w:rsidR="0029122C">
        <w:rPr>
          <w:szCs w:val="24"/>
        </w:rPr>
        <w:t xml:space="preserve"> </w:t>
      </w:r>
      <w:r>
        <w:rPr>
          <w:szCs w:val="24"/>
        </w:rPr>
        <w:t xml:space="preserve">DHS </w:t>
      </w:r>
      <w:r w:rsidR="0029122C">
        <w:rPr>
          <w:szCs w:val="24"/>
        </w:rPr>
        <w:t>payment system</w:t>
      </w:r>
      <w:r w:rsidR="00936CF3">
        <w:rPr>
          <w:szCs w:val="24"/>
        </w:rPr>
        <w:t>.</w:t>
      </w:r>
      <w:r>
        <w:rPr>
          <w:szCs w:val="24"/>
        </w:rPr>
        <w:t xml:space="preserve"> </w:t>
      </w:r>
      <w:r w:rsidR="009A64E5" w:rsidRPr="00455CCE">
        <w:rPr>
          <w:szCs w:val="24"/>
        </w:rPr>
        <w:t>F</w:t>
      </w:r>
      <w:r w:rsidR="00FB2964">
        <w:rPr>
          <w:szCs w:val="24"/>
        </w:rPr>
        <w:t xml:space="preserve">or this Phase to be </w:t>
      </w:r>
      <w:r w:rsidR="009A64E5" w:rsidRPr="00455CCE">
        <w:rPr>
          <w:szCs w:val="24"/>
        </w:rPr>
        <w:t>implemented</w:t>
      </w:r>
      <w:r w:rsidR="00174D3D">
        <w:rPr>
          <w:szCs w:val="24"/>
        </w:rPr>
        <w:t xml:space="preserve"> with minimal disruption to p</w:t>
      </w:r>
      <w:r w:rsidR="00FB2964">
        <w:rPr>
          <w:szCs w:val="24"/>
        </w:rPr>
        <w:t xml:space="preserve">roviders and </w:t>
      </w:r>
      <w:r w:rsidR="00936CF3">
        <w:rPr>
          <w:szCs w:val="24"/>
        </w:rPr>
        <w:t>consumers</w:t>
      </w:r>
      <w:r w:rsidR="00FB2964">
        <w:rPr>
          <w:szCs w:val="24"/>
        </w:rPr>
        <w:t>,</w:t>
      </w:r>
      <w:r w:rsidR="009A64E5" w:rsidRPr="00455CCE">
        <w:rPr>
          <w:szCs w:val="24"/>
        </w:rPr>
        <w:t xml:space="preserve"> system implementation requirements </w:t>
      </w:r>
      <w:r w:rsidR="00936CF3">
        <w:rPr>
          <w:szCs w:val="24"/>
        </w:rPr>
        <w:t>need to</w:t>
      </w:r>
      <w:r w:rsidR="009A64E5" w:rsidRPr="00455CCE">
        <w:rPr>
          <w:szCs w:val="24"/>
        </w:rPr>
        <w:t xml:space="preserve"> be well considered and articulated to the sector as soon as possible.</w:t>
      </w:r>
      <w:r w:rsidR="003D532A">
        <w:rPr>
          <w:szCs w:val="24"/>
        </w:rPr>
        <w:t xml:space="preserve"> The focus should also be on minimising the administrative costs for providers under </w:t>
      </w:r>
      <w:r w:rsidR="00A846D6">
        <w:rPr>
          <w:szCs w:val="24"/>
        </w:rPr>
        <w:t>P</w:t>
      </w:r>
      <w:r w:rsidR="003D532A">
        <w:rPr>
          <w:szCs w:val="24"/>
        </w:rPr>
        <w:t>hase</w:t>
      </w:r>
      <w:r w:rsidR="00A846D6">
        <w:rPr>
          <w:szCs w:val="24"/>
        </w:rPr>
        <w:t> </w:t>
      </w:r>
      <w:r w:rsidR="003D532A">
        <w:rPr>
          <w:szCs w:val="24"/>
        </w:rPr>
        <w:t xml:space="preserve">2. </w:t>
      </w:r>
      <w:r w:rsidR="003D532A" w:rsidRPr="00D67AF9">
        <w:rPr>
          <w:szCs w:val="24"/>
        </w:rPr>
        <w:t xml:space="preserve">In this regard, consideration should be given to the suggestion raised in </w:t>
      </w:r>
      <w:proofErr w:type="spellStart"/>
      <w:r w:rsidR="003D532A" w:rsidRPr="00D67AF9">
        <w:rPr>
          <w:szCs w:val="24"/>
        </w:rPr>
        <w:t>StewartBrown’s</w:t>
      </w:r>
      <w:proofErr w:type="spellEnd"/>
      <w:r w:rsidR="003D532A" w:rsidRPr="00D67AF9">
        <w:rPr>
          <w:szCs w:val="24"/>
        </w:rPr>
        <w:t xml:space="preserve"> report that rather than requiring providers to submit a claim for services actually provided at the individual level, providers submit an aggregate amount of the services provided. </w:t>
      </w:r>
    </w:p>
    <w:p w:rsidR="00455CCE" w:rsidRDefault="003D532A" w:rsidP="006F112F">
      <w:pPr>
        <w:spacing w:after="180" w:line="240" w:lineRule="auto"/>
      </w:pPr>
      <w:r w:rsidRPr="00D67AF9">
        <w:rPr>
          <w:szCs w:val="24"/>
        </w:rPr>
        <w:lastRenderedPageBreak/>
        <w:t>It is also important that the details of the operation of the payment arrangements under Phase</w:t>
      </w:r>
      <w:r w:rsidR="00A846D6" w:rsidRPr="00D67AF9">
        <w:rPr>
          <w:szCs w:val="24"/>
        </w:rPr>
        <w:t> </w:t>
      </w:r>
      <w:r w:rsidRPr="00D67AF9">
        <w:rPr>
          <w:szCs w:val="24"/>
        </w:rPr>
        <w:t xml:space="preserve">2 do not have an adverse impact on consumers. In particular, </w:t>
      </w:r>
      <w:r w:rsidR="0043023E">
        <w:rPr>
          <w:szCs w:val="24"/>
        </w:rPr>
        <w:t xml:space="preserve">the new system should retain </w:t>
      </w:r>
      <w:r w:rsidRPr="00D67AF9">
        <w:rPr>
          <w:szCs w:val="24"/>
        </w:rPr>
        <w:t>the flexibility of the current system whereby providers allow a consumer</w:t>
      </w:r>
      <w:r w:rsidR="00A846D6" w:rsidRPr="00D67AF9">
        <w:rPr>
          <w:szCs w:val="24"/>
        </w:rPr>
        <w:t>’</w:t>
      </w:r>
      <w:r w:rsidRPr="00D67AF9">
        <w:rPr>
          <w:szCs w:val="24"/>
        </w:rPr>
        <w:t xml:space="preserve">s balance </w:t>
      </w:r>
      <w:r w:rsidR="004215CB">
        <w:rPr>
          <w:szCs w:val="24"/>
        </w:rPr>
        <w:t xml:space="preserve">to </w:t>
      </w:r>
      <w:r w:rsidRPr="00D67AF9">
        <w:rPr>
          <w:szCs w:val="24"/>
        </w:rPr>
        <w:t xml:space="preserve">go into arrears if needed and recoup the amount from subsidy payments in subsequent months. </w:t>
      </w:r>
      <w:r w:rsidR="00BE23A9" w:rsidRPr="00D67AF9">
        <w:rPr>
          <w:szCs w:val="24"/>
        </w:rPr>
        <w:t>Flexibility may</w:t>
      </w:r>
      <w:r w:rsidRPr="00D67AF9">
        <w:rPr>
          <w:szCs w:val="24"/>
        </w:rPr>
        <w:t xml:space="preserve"> also be needed </w:t>
      </w:r>
      <w:r w:rsidR="00B3723A" w:rsidRPr="00D67AF9">
        <w:rPr>
          <w:szCs w:val="24"/>
        </w:rPr>
        <w:t>to allow</w:t>
      </w:r>
      <w:r w:rsidRPr="00D67AF9">
        <w:rPr>
          <w:szCs w:val="24"/>
        </w:rPr>
        <w:t xml:space="preserve"> </w:t>
      </w:r>
      <w:r w:rsidR="00BE23A9" w:rsidRPr="00D67AF9">
        <w:rPr>
          <w:szCs w:val="24"/>
        </w:rPr>
        <w:t>providers early</w:t>
      </w:r>
      <w:r w:rsidR="00B3723A" w:rsidRPr="00D67AF9">
        <w:rPr>
          <w:szCs w:val="24"/>
        </w:rPr>
        <w:t xml:space="preserve"> access to a </w:t>
      </w:r>
      <w:r w:rsidR="003657B7">
        <w:rPr>
          <w:szCs w:val="24"/>
        </w:rPr>
        <w:t>consumer</w:t>
      </w:r>
      <w:r w:rsidR="00A846D6" w:rsidRPr="00D67AF9">
        <w:rPr>
          <w:szCs w:val="24"/>
        </w:rPr>
        <w:t>’</w:t>
      </w:r>
      <w:r w:rsidR="00BE23A9" w:rsidRPr="00D67AF9">
        <w:rPr>
          <w:szCs w:val="24"/>
        </w:rPr>
        <w:t>s</w:t>
      </w:r>
      <w:r w:rsidR="00B3723A" w:rsidRPr="00D67AF9">
        <w:rPr>
          <w:szCs w:val="24"/>
        </w:rPr>
        <w:t xml:space="preserve"> unspent balances held by DHS in order to finance large capital items.</w:t>
      </w:r>
      <w:r>
        <w:rPr>
          <w:szCs w:val="24"/>
        </w:rPr>
        <w:t xml:space="preserve"> </w:t>
      </w:r>
      <w:r w:rsidR="00A679D4">
        <w:rPr>
          <w:szCs w:val="24"/>
        </w:rPr>
        <w:t>ACFA recognises</w:t>
      </w:r>
      <w:r w:rsidR="00CB527E">
        <w:rPr>
          <w:szCs w:val="24"/>
        </w:rPr>
        <w:t xml:space="preserve"> the </w:t>
      </w:r>
      <w:r w:rsidR="00936CF3">
        <w:rPr>
          <w:szCs w:val="24"/>
        </w:rPr>
        <w:t>s</w:t>
      </w:r>
      <w:r w:rsidR="0009709D">
        <w:rPr>
          <w:szCs w:val="24"/>
        </w:rPr>
        <w:t xml:space="preserve">ignificant </w:t>
      </w:r>
      <w:r w:rsidR="00455CCE" w:rsidRPr="00455CCE">
        <w:rPr>
          <w:szCs w:val="24"/>
        </w:rPr>
        <w:t>cost</w:t>
      </w:r>
      <w:r w:rsidR="00FB2964">
        <w:rPr>
          <w:szCs w:val="24"/>
        </w:rPr>
        <w:t>s</w:t>
      </w:r>
      <w:r w:rsidR="0009709D">
        <w:rPr>
          <w:szCs w:val="24"/>
        </w:rPr>
        <w:t xml:space="preserve"> </w:t>
      </w:r>
      <w:r w:rsidR="00936CF3">
        <w:rPr>
          <w:szCs w:val="24"/>
        </w:rPr>
        <w:t>providers may</w:t>
      </w:r>
      <w:r w:rsidR="00455CCE" w:rsidRPr="00455CCE">
        <w:rPr>
          <w:szCs w:val="24"/>
        </w:rPr>
        <w:t xml:space="preserve"> </w:t>
      </w:r>
      <w:r w:rsidR="00BE23A9" w:rsidRPr="00455CCE">
        <w:rPr>
          <w:szCs w:val="24"/>
        </w:rPr>
        <w:t>incur</w:t>
      </w:r>
      <w:r w:rsidR="00455CCE" w:rsidRPr="00455CCE">
        <w:rPr>
          <w:szCs w:val="24"/>
        </w:rPr>
        <w:t xml:space="preserve"> </w:t>
      </w:r>
      <w:r w:rsidR="004215CB">
        <w:rPr>
          <w:szCs w:val="24"/>
        </w:rPr>
        <w:t xml:space="preserve">in </w:t>
      </w:r>
      <w:r w:rsidR="00455CCE" w:rsidRPr="00455CCE">
        <w:rPr>
          <w:szCs w:val="24"/>
        </w:rPr>
        <w:t>changing their systems and the smoothness of moving to</w:t>
      </w:r>
      <w:r w:rsidR="00936CF3">
        <w:rPr>
          <w:szCs w:val="24"/>
        </w:rPr>
        <w:t xml:space="preserve"> the payment arrangements under Phase 2</w:t>
      </w:r>
      <w:r w:rsidR="00455CCE" w:rsidRPr="00455CCE">
        <w:rPr>
          <w:szCs w:val="24"/>
        </w:rPr>
        <w:t xml:space="preserve"> is very </w:t>
      </w:r>
      <w:r w:rsidR="00BE23A9" w:rsidRPr="00455CCE">
        <w:rPr>
          <w:szCs w:val="24"/>
        </w:rPr>
        <w:t>dependent</w:t>
      </w:r>
      <w:r w:rsidR="00455CCE" w:rsidRPr="00455CCE">
        <w:rPr>
          <w:szCs w:val="24"/>
        </w:rPr>
        <w:t xml:space="preserve"> on how effectively DHS can </w:t>
      </w:r>
      <w:r w:rsidR="00174D3D">
        <w:rPr>
          <w:szCs w:val="24"/>
        </w:rPr>
        <w:t>manage</w:t>
      </w:r>
      <w:r w:rsidR="00455CCE" w:rsidRPr="00455CCE">
        <w:rPr>
          <w:szCs w:val="24"/>
        </w:rPr>
        <w:t xml:space="preserve"> their systems</w:t>
      </w:r>
      <w:r w:rsidR="00174D3D">
        <w:rPr>
          <w:szCs w:val="24"/>
        </w:rPr>
        <w:t xml:space="preserve"> changes</w:t>
      </w:r>
      <w:r w:rsidR="00455CCE" w:rsidRPr="00455CCE">
        <w:rPr>
          <w:szCs w:val="24"/>
        </w:rPr>
        <w:t xml:space="preserve">. </w:t>
      </w:r>
    </w:p>
    <w:p w:rsidR="007F00BC" w:rsidRDefault="00936CF3" w:rsidP="006F112F">
      <w:pPr>
        <w:spacing w:after="180" w:line="240" w:lineRule="auto"/>
        <w:rPr>
          <w:szCs w:val="24"/>
        </w:rPr>
      </w:pPr>
      <w:r>
        <w:rPr>
          <w:szCs w:val="24"/>
        </w:rPr>
        <w:t xml:space="preserve">The prudent course to minimise the risks associated with Phase 2 is for Health to finalise the details of how this phase will operate in consultation with providers and to discuss with DHS and software providers what realistic time frame </w:t>
      </w:r>
      <w:r w:rsidR="0043023E">
        <w:rPr>
          <w:szCs w:val="24"/>
        </w:rPr>
        <w:t xml:space="preserve">is </w:t>
      </w:r>
      <w:r>
        <w:rPr>
          <w:szCs w:val="24"/>
        </w:rPr>
        <w:t xml:space="preserve">required to </w:t>
      </w:r>
      <w:r w:rsidR="00DF7C58">
        <w:rPr>
          <w:szCs w:val="24"/>
        </w:rPr>
        <w:t xml:space="preserve">trial </w:t>
      </w:r>
      <w:r w:rsidR="00BE23A9">
        <w:rPr>
          <w:szCs w:val="24"/>
        </w:rPr>
        <w:t>and implement</w:t>
      </w:r>
      <w:r w:rsidR="00DF7C58">
        <w:rPr>
          <w:szCs w:val="24"/>
        </w:rPr>
        <w:t xml:space="preserve"> system changes</w:t>
      </w:r>
      <w:r w:rsidR="007F00BC">
        <w:rPr>
          <w:szCs w:val="24"/>
        </w:rPr>
        <w:t>.</w:t>
      </w:r>
    </w:p>
    <w:p w:rsidR="007E5152" w:rsidRPr="007E5152" w:rsidRDefault="007E5152" w:rsidP="006F112F">
      <w:pPr>
        <w:spacing w:after="180" w:line="240" w:lineRule="auto"/>
        <w:rPr>
          <w:b/>
          <w:szCs w:val="24"/>
        </w:rPr>
      </w:pPr>
      <w:r w:rsidRPr="007E5152">
        <w:rPr>
          <w:b/>
          <w:szCs w:val="24"/>
        </w:rPr>
        <w:t xml:space="preserve">Phase </w:t>
      </w:r>
      <w:r w:rsidR="00405433">
        <w:rPr>
          <w:b/>
          <w:szCs w:val="24"/>
        </w:rPr>
        <w:t>2</w:t>
      </w:r>
      <w:r w:rsidR="00405433" w:rsidRPr="007E5152">
        <w:rPr>
          <w:b/>
          <w:szCs w:val="24"/>
        </w:rPr>
        <w:t xml:space="preserve"> </w:t>
      </w:r>
      <w:r w:rsidRPr="007E5152">
        <w:rPr>
          <w:b/>
          <w:szCs w:val="24"/>
        </w:rPr>
        <w:t>recommendations</w:t>
      </w:r>
    </w:p>
    <w:p w:rsidR="007E5152" w:rsidRPr="007D754F" w:rsidRDefault="001B65E1" w:rsidP="006F112F">
      <w:pPr>
        <w:spacing w:after="180" w:line="240" w:lineRule="auto"/>
        <w:ind w:left="720"/>
        <w:rPr>
          <w:b/>
          <w:szCs w:val="24"/>
        </w:rPr>
      </w:pPr>
      <w:r>
        <w:rPr>
          <w:b/>
          <w:szCs w:val="24"/>
        </w:rPr>
        <w:t xml:space="preserve">Recommendation </w:t>
      </w:r>
      <w:r w:rsidR="00E93A9C">
        <w:rPr>
          <w:b/>
          <w:szCs w:val="24"/>
        </w:rPr>
        <w:t>4</w:t>
      </w:r>
      <w:r w:rsidR="00174D3D">
        <w:rPr>
          <w:b/>
          <w:szCs w:val="24"/>
        </w:rPr>
        <w:t xml:space="preserve">: </w:t>
      </w:r>
      <w:r w:rsidR="007E5152" w:rsidRPr="007D754F">
        <w:rPr>
          <w:szCs w:val="24"/>
        </w:rPr>
        <w:t xml:space="preserve">All aspects of </w:t>
      </w:r>
      <w:r w:rsidR="00DF7C58">
        <w:rPr>
          <w:szCs w:val="24"/>
        </w:rPr>
        <w:t xml:space="preserve">how the new payment arrangements will operate </w:t>
      </w:r>
      <w:r w:rsidR="007E5152" w:rsidRPr="007D754F">
        <w:rPr>
          <w:szCs w:val="24"/>
        </w:rPr>
        <w:t>need to be settled as quickly as possible</w:t>
      </w:r>
      <w:r w:rsidR="00430AF5">
        <w:rPr>
          <w:szCs w:val="24"/>
        </w:rPr>
        <w:t xml:space="preserve"> to </w:t>
      </w:r>
      <w:r w:rsidR="00DF7C58">
        <w:rPr>
          <w:szCs w:val="24"/>
        </w:rPr>
        <w:t xml:space="preserve">determine the </w:t>
      </w:r>
      <w:r w:rsidR="00430AF5">
        <w:rPr>
          <w:szCs w:val="24"/>
        </w:rPr>
        <w:t xml:space="preserve">system changes </w:t>
      </w:r>
      <w:r w:rsidR="00DF7C58">
        <w:rPr>
          <w:szCs w:val="24"/>
        </w:rPr>
        <w:t xml:space="preserve">required by </w:t>
      </w:r>
      <w:r w:rsidR="00430AF5">
        <w:rPr>
          <w:szCs w:val="24"/>
        </w:rPr>
        <w:t>both DHS and providers.</w:t>
      </w:r>
      <w:r w:rsidR="00B3723A">
        <w:rPr>
          <w:szCs w:val="24"/>
        </w:rPr>
        <w:t xml:space="preserve"> In settling this detail, the focus should be on minimising the costs to providers and avoiding any reduction in the flexibility of the current system in providing goods and </w:t>
      </w:r>
      <w:r w:rsidR="00BE23A9">
        <w:rPr>
          <w:szCs w:val="24"/>
        </w:rPr>
        <w:t>services</w:t>
      </w:r>
      <w:r w:rsidR="00B3723A">
        <w:rPr>
          <w:szCs w:val="24"/>
        </w:rPr>
        <w:t xml:space="preserve"> to consumers as they need them.</w:t>
      </w:r>
    </w:p>
    <w:p w:rsidR="005A76DF" w:rsidRPr="007D754F" w:rsidRDefault="001B65E1" w:rsidP="006F112F">
      <w:pPr>
        <w:spacing w:after="180" w:line="240" w:lineRule="auto"/>
        <w:ind w:left="720"/>
        <w:rPr>
          <w:b/>
          <w:szCs w:val="24"/>
        </w:rPr>
      </w:pPr>
      <w:r>
        <w:rPr>
          <w:b/>
          <w:szCs w:val="24"/>
        </w:rPr>
        <w:t xml:space="preserve">Recommendation </w:t>
      </w:r>
      <w:r w:rsidR="00E93A9C">
        <w:rPr>
          <w:b/>
          <w:szCs w:val="24"/>
        </w:rPr>
        <w:t>5</w:t>
      </w:r>
      <w:r w:rsidR="00174D3D">
        <w:rPr>
          <w:b/>
          <w:szCs w:val="24"/>
        </w:rPr>
        <w:t xml:space="preserve">: </w:t>
      </w:r>
      <w:r w:rsidR="007E5152" w:rsidRPr="007D754F">
        <w:rPr>
          <w:szCs w:val="24"/>
        </w:rPr>
        <w:t xml:space="preserve">Once the details of the </w:t>
      </w:r>
      <w:r w:rsidR="00B3723A">
        <w:rPr>
          <w:szCs w:val="24"/>
        </w:rPr>
        <w:t>new arrangements</w:t>
      </w:r>
      <w:r w:rsidR="007E5152" w:rsidRPr="007D754F">
        <w:rPr>
          <w:szCs w:val="24"/>
        </w:rPr>
        <w:t xml:space="preserve"> are settled, there need to be consultations between DHS, providers and software developers to determine a</w:t>
      </w:r>
      <w:r w:rsidR="00B3723A">
        <w:rPr>
          <w:szCs w:val="24"/>
        </w:rPr>
        <w:t>n appropriate</w:t>
      </w:r>
      <w:r w:rsidR="007E5152" w:rsidRPr="007D754F">
        <w:rPr>
          <w:szCs w:val="24"/>
        </w:rPr>
        <w:t xml:space="preserve"> time</w:t>
      </w:r>
      <w:r w:rsidR="005E1551">
        <w:rPr>
          <w:szCs w:val="24"/>
        </w:rPr>
        <w:t xml:space="preserve"> </w:t>
      </w:r>
      <w:r w:rsidR="007E5152" w:rsidRPr="007D754F">
        <w:rPr>
          <w:szCs w:val="24"/>
        </w:rPr>
        <w:t>frame to ensure a smooth change to the new funding scheme, and also what can be done to minimise the administrative burden on providers.</w:t>
      </w:r>
      <w:r w:rsidR="00B3723A">
        <w:rPr>
          <w:szCs w:val="24"/>
        </w:rPr>
        <w:t xml:space="preserve"> There should be a reasonable trial period of the new systems before full implementation. The current time frame for the introduction of Phase 2 </w:t>
      </w:r>
      <w:r w:rsidR="00BE23A9">
        <w:rPr>
          <w:szCs w:val="24"/>
        </w:rPr>
        <w:t>(April</w:t>
      </w:r>
      <w:r w:rsidR="00B3723A">
        <w:rPr>
          <w:szCs w:val="24"/>
        </w:rPr>
        <w:t xml:space="preserve"> 2021) should be </w:t>
      </w:r>
      <w:r w:rsidR="00BE23A9">
        <w:rPr>
          <w:szCs w:val="24"/>
        </w:rPr>
        <w:t>reviewed</w:t>
      </w:r>
      <w:r w:rsidR="00F21C30">
        <w:rPr>
          <w:szCs w:val="24"/>
        </w:rPr>
        <w:t xml:space="preserve"> following these consultations between DHS, providers and software developers.</w:t>
      </w:r>
    </w:p>
    <w:p w:rsidR="005A76DF" w:rsidRDefault="001B65E1" w:rsidP="006F112F">
      <w:pPr>
        <w:spacing w:after="180" w:line="240" w:lineRule="auto"/>
        <w:ind w:left="720"/>
        <w:rPr>
          <w:szCs w:val="24"/>
        </w:rPr>
      </w:pPr>
      <w:r>
        <w:rPr>
          <w:b/>
          <w:szCs w:val="24"/>
        </w:rPr>
        <w:t xml:space="preserve">Recommendation </w:t>
      </w:r>
      <w:r w:rsidR="00E93A9C">
        <w:rPr>
          <w:b/>
          <w:szCs w:val="24"/>
        </w:rPr>
        <w:t>6</w:t>
      </w:r>
      <w:r w:rsidR="00174D3D">
        <w:rPr>
          <w:b/>
          <w:szCs w:val="24"/>
        </w:rPr>
        <w:t xml:space="preserve">: </w:t>
      </w:r>
      <w:r w:rsidR="007E5152" w:rsidRPr="007D754F">
        <w:rPr>
          <w:szCs w:val="24"/>
        </w:rPr>
        <w:t xml:space="preserve">Consideration should be given to </w:t>
      </w:r>
      <w:r w:rsidR="00F21C30">
        <w:rPr>
          <w:szCs w:val="24"/>
        </w:rPr>
        <w:t xml:space="preserve">providing financial support to providers operating in thin and difficult markets who may find it particularly challenging to adjust their systems to deal with the requirements of the new payment arrangements. </w:t>
      </w:r>
    </w:p>
    <w:p w:rsidR="00A00B94" w:rsidRPr="00A00B94" w:rsidRDefault="00A00B94" w:rsidP="006F112F">
      <w:pPr>
        <w:spacing w:after="180" w:line="240" w:lineRule="auto"/>
        <w:rPr>
          <w:b/>
          <w:szCs w:val="24"/>
        </w:rPr>
      </w:pPr>
      <w:r w:rsidRPr="00A00B94">
        <w:rPr>
          <w:b/>
          <w:szCs w:val="24"/>
        </w:rPr>
        <w:t xml:space="preserve">Phase </w:t>
      </w:r>
      <w:r w:rsidR="00405433">
        <w:rPr>
          <w:b/>
          <w:szCs w:val="24"/>
        </w:rPr>
        <w:t>3</w:t>
      </w:r>
    </w:p>
    <w:p w:rsidR="00AC64E7" w:rsidRDefault="005A76DF" w:rsidP="006F112F">
      <w:pPr>
        <w:spacing w:after="180" w:line="240" w:lineRule="auto"/>
        <w:rPr>
          <w:szCs w:val="24"/>
        </w:rPr>
      </w:pPr>
      <w:r>
        <w:rPr>
          <w:szCs w:val="24"/>
        </w:rPr>
        <w:t xml:space="preserve">With some exceptions, there </w:t>
      </w:r>
      <w:r w:rsidR="00F21C30">
        <w:rPr>
          <w:szCs w:val="24"/>
        </w:rPr>
        <w:t>appears to be</w:t>
      </w:r>
      <w:r>
        <w:rPr>
          <w:szCs w:val="24"/>
        </w:rPr>
        <w:t xml:space="preserve"> general ac</w:t>
      </w:r>
      <w:r w:rsidR="00174D3D">
        <w:rPr>
          <w:szCs w:val="24"/>
        </w:rPr>
        <w:t xml:space="preserve">ceptance and support </w:t>
      </w:r>
      <w:r w:rsidR="00BE23A9">
        <w:rPr>
          <w:szCs w:val="24"/>
        </w:rPr>
        <w:t>from providers</w:t>
      </w:r>
      <w:r>
        <w:rPr>
          <w:szCs w:val="24"/>
        </w:rPr>
        <w:t xml:space="preserve"> and peak bodies </w:t>
      </w:r>
      <w:r w:rsidR="00287984">
        <w:rPr>
          <w:szCs w:val="24"/>
        </w:rPr>
        <w:t xml:space="preserve">for </w:t>
      </w:r>
      <w:r>
        <w:rPr>
          <w:szCs w:val="24"/>
        </w:rPr>
        <w:t xml:space="preserve">home care </w:t>
      </w:r>
      <w:r w:rsidR="00F21C30">
        <w:rPr>
          <w:szCs w:val="24"/>
        </w:rPr>
        <w:t xml:space="preserve">subsidies to be paid </w:t>
      </w:r>
      <w:r w:rsidR="00721EE0">
        <w:rPr>
          <w:szCs w:val="24"/>
        </w:rPr>
        <w:t xml:space="preserve">in </w:t>
      </w:r>
      <w:r>
        <w:rPr>
          <w:szCs w:val="24"/>
        </w:rPr>
        <w:t xml:space="preserve">arrears and for DHS to retain </w:t>
      </w:r>
      <w:r w:rsidR="00F21C30">
        <w:rPr>
          <w:szCs w:val="24"/>
        </w:rPr>
        <w:t xml:space="preserve">the </w:t>
      </w:r>
      <w:r>
        <w:rPr>
          <w:szCs w:val="24"/>
        </w:rPr>
        <w:t xml:space="preserve">unspent </w:t>
      </w:r>
      <w:r w:rsidR="00F21C30">
        <w:rPr>
          <w:szCs w:val="24"/>
        </w:rPr>
        <w:t xml:space="preserve">package </w:t>
      </w:r>
      <w:r>
        <w:rPr>
          <w:szCs w:val="24"/>
        </w:rPr>
        <w:t>funds</w:t>
      </w:r>
      <w:r w:rsidR="00F21C30">
        <w:rPr>
          <w:szCs w:val="24"/>
        </w:rPr>
        <w:t xml:space="preserve"> of </w:t>
      </w:r>
      <w:r w:rsidR="003657B7">
        <w:rPr>
          <w:szCs w:val="24"/>
        </w:rPr>
        <w:t>consumer</w:t>
      </w:r>
      <w:r w:rsidR="00BE23A9">
        <w:rPr>
          <w:szCs w:val="24"/>
        </w:rPr>
        <w:t>s</w:t>
      </w:r>
      <w:r>
        <w:rPr>
          <w:szCs w:val="24"/>
        </w:rPr>
        <w:t>.</w:t>
      </w:r>
      <w:r w:rsidR="00396FBF">
        <w:rPr>
          <w:szCs w:val="24"/>
        </w:rPr>
        <w:t xml:space="preserve"> Providers offered var</w:t>
      </w:r>
      <w:r w:rsidR="00721EE0">
        <w:rPr>
          <w:szCs w:val="24"/>
        </w:rPr>
        <w:t>ious</w:t>
      </w:r>
      <w:r w:rsidR="00396FBF">
        <w:rPr>
          <w:szCs w:val="24"/>
        </w:rPr>
        <w:t xml:space="preserve"> reasons for the growth in unspent funds</w:t>
      </w:r>
      <w:r w:rsidR="00721EE0">
        <w:rPr>
          <w:szCs w:val="24"/>
        </w:rPr>
        <w:t>,</w:t>
      </w:r>
      <w:r w:rsidR="00396FBF">
        <w:rPr>
          <w:szCs w:val="24"/>
        </w:rPr>
        <w:t xml:space="preserve"> and a number suggested </w:t>
      </w:r>
      <w:r w:rsidR="00721EE0">
        <w:rPr>
          <w:szCs w:val="24"/>
        </w:rPr>
        <w:t xml:space="preserve">that </w:t>
      </w:r>
      <w:r w:rsidR="00396FBF">
        <w:rPr>
          <w:szCs w:val="24"/>
        </w:rPr>
        <w:t>further investigation into the causes behind th</w:t>
      </w:r>
      <w:r w:rsidR="00174D3D">
        <w:rPr>
          <w:szCs w:val="24"/>
        </w:rPr>
        <w:t>e</w:t>
      </w:r>
      <w:r w:rsidR="00396FBF">
        <w:rPr>
          <w:szCs w:val="24"/>
        </w:rPr>
        <w:t xml:space="preserve"> growth</w:t>
      </w:r>
      <w:r w:rsidR="00174D3D">
        <w:rPr>
          <w:szCs w:val="24"/>
        </w:rPr>
        <w:t xml:space="preserve"> in unspent funds</w:t>
      </w:r>
      <w:r w:rsidR="00396FBF">
        <w:rPr>
          <w:szCs w:val="24"/>
        </w:rPr>
        <w:t xml:space="preserve"> is warranted.</w:t>
      </w:r>
      <w:r>
        <w:rPr>
          <w:szCs w:val="24"/>
        </w:rPr>
        <w:t xml:space="preserve"> </w:t>
      </w:r>
    </w:p>
    <w:p w:rsidR="005A76DF" w:rsidRDefault="00AC64E7" w:rsidP="006F112F">
      <w:pPr>
        <w:spacing w:after="180" w:line="240" w:lineRule="auto"/>
        <w:rPr>
          <w:szCs w:val="24"/>
        </w:rPr>
      </w:pPr>
      <w:r>
        <w:rPr>
          <w:szCs w:val="24"/>
        </w:rPr>
        <w:t>Views differed as to the return of unspent funds in accordance with the arrangements under Phase 3.</w:t>
      </w:r>
      <w:r w:rsidR="005A76DF">
        <w:rPr>
          <w:szCs w:val="24"/>
        </w:rPr>
        <w:t xml:space="preserve"> </w:t>
      </w:r>
    </w:p>
    <w:p w:rsidR="005A76DF" w:rsidRDefault="00AC64E7" w:rsidP="006F112F">
      <w:pPr>
        <w:spacing w:after="180" w:line="240" w:lineRule="auto"/>
        <w:rPr>
          <w:szCs w:val="24"/>
        </w:rPr>
      </w:pPr>
      <w:r>
        <w:rPr>
          <w:szCs w:val="24"/>
        </w:rPr>
        <w:t>Some p</w:t>
      </w:r>
      <w:r w:rsidR="005A76DF">
        <w:rPr>
          <w:szCs w:val="24"/>
        </w:rPr>
        <w:t xml:space="preserve">roviders </w:t>
      </w:r>
      <w:r>
        <w:rPr>
          <w:szCs w:val="24"/>
        </w:rPr>
        <w:t xml:space="preserve">saw </w:t>
      </w:r>
      <w:r w:rsidR="00BE23A9">
        <w:rPr>
          <w:szCs w:val="24"/>
        </w:rPr>
        <w:t>the gradual</w:t>
      </w:r>
      <w:r w:rsidR="00A00B94">
        <w:rPr>
          <w:szCs w:val="24"/>
        </w:rPr>
        <w:t xml:space="preserve"> return </w:t>
      </w:r>
      <w:r>
        <w:rPr>
          <w:szCs w:val="24"/>
        </w:rPr>
        <w:t xml:space="preserve">of </w:t>
      </w:r>
      <w:r w:rsidR="00A00B94">
        <w:rPr>
          <w:szCs w:val="24"/>
        </w:rPr>
        <w:t xml:space="preserve">unspent funds at a designated </w:t>
      </w:r>
      <w:r w:rsidR="005A76DF">
        <w:rPr>
          <w:szCs w:val="24"/>
        </w:rPr>
        <w:t>rate over a phased period</w:t>
      </w:r>
      <w:r>
        <w:rPr>
          <w:szCs w:val="24"/>
        </w:rPr>
        <w:t xml:space="preserve"> as adding additional and unnecessary administrative costs</w:t>
      </w:r>
      <w:r w:rsidR="00260360">
        <w:rPr>
          <w:szCs w:val="24"/>
        </w:rPr>
        <w:t xml:space="preserve"> and would prefer to hand unspent funds back upfront</w:t>
      </w:r>
      <w:r w:rsidR="00287984">
        <w:rPr>
          <w:szCs w:val="24"/>
        </w:rPr>
        <w:t>.</w:t>
      </w:r>
      <w:r>
        <w:rPr>
          <w:szCs w:val="24"/>
        </w:rPr>
        <w:t xml:space="preserve"> DHS also advised that it would be </w:t>
      </w:r>
      <w:r w:rsidR="005A76DF">
        <w:rPr>
          <w:szCs w:val="24"/>
        </w:rPr>
        <w:t xml:space="preserve">challenging to build and manage </w:t>
      </w:r>
      <w:r>
        <w:rPr>
          <w:szCs w:val="24"/>
        </w:rPr>
        <w:t>a system to handle the arrangements outlined in Phase 3.</w:t>
      </w:r>
    </w:p>
    <w:p w:rsidR="00592801" w:rsidRDefault="00AC64E7" w:rsidP="006F112F">
      <w:pPr>
        <w:spacing w:after="180" w:line="240" w:lineRule="auto"/>
        <w:rPr>
          <w:szCs w:val="24"/>
        </w:rPr>
      </w:pPr>
      <w:r>
        <w:rPr>
          <w:szCs w:val="24"/>
        </w:rPr>
        <w:lastRenderedPageBreak/>
        <w:t xml:space="preserve">Other providers were keen to retain unspent package funds attached to existing consumers </w:t>
      </w:r>
      <w:r w:rsidR="00592801">
        <w:rPr>
          <w:szCs w:val="24"/>
        </w:rPr>
        <w:t xml:space="preserve">until it is returned to the </w:t>
      </w:r>
      <w:r w:rsidR="00D4119A">
        <w:rPr>
          <w:szCs w:val="24"/>
        </w:rPr>
        <w:t>Government when</w:t>
      </w:r>
      <w:r w:rsidR="00592801">
        <w:rPr>
          <w:szCs w:val="24"/>
        </w:rPr>
        <w:t xml:space="preserve"> the </w:t>
      </w:r>
      <w:r w:rsidR="003657B7">
        <w:rPr>
          <w:szCs w:val="24"/>
        </w:rPr>
        <w:t>consumer</w:t>
      </w:r>
      <w:r w:rsidR="00592801">
        <w:rPr>
          <w:szCs w:val="24"/>
        </w:rPr>
        <w:t xml:space="preserve"> leaves home care. These funds were seen as an important buffer for providers in dealing with the liquidity issues associated with the introduction of the new payment arrangements.</w:t>
      </w:r>
    </w:p>
    <w:p w:rsidR="00396FBF" w:rsidRDefault="00A00B94" w:rsidP="006F112F">
      <w:pPr>
        <w:spacing w:after="180" w:line="240" w:lineRule="auto"/>
        <w:rPr>
          <w:szCs w:val="24"/>
        </w:rPr>
      </w:pPr>
      <w:r>
        <w:rPr>
          <w:szCs w:val="24"/>
        </w:rPr>
        <w:t>ACFA sugges</w:t>
      </w:r>
      <w:r w:rsidR="00396FBF">
        <w:rPr>
          <w:szCs w:val="24"/>
        </w:rPr>
        <w:t xml:space="preserve">ts </w:t>
      </w:r>
      <w:r w:rsidR="00174D3D">
        <w:rPr>
          <w:szCs w:val="24"/>
        </w:rPr>
        <w:t>p</w:t>
      </w:r>
      <w:r>
        <w:rPr>
          <w:szCs w:val="24"/>
        </w:rPr>
        <w:t xml:space="preserve">roviders should be given the option to return the </w:t>
      </w:r>
      <w:r w:rsidR="00592801">
        <w:rPr>
          <w:szCs w:val="24"/>
        </w:rPr>
        <w:t xml:space="preserve">unspent </w:t>
      </w:r>
      <w:r>
        <w:rPr>
          <w:szCs w:val="24"/>
        </w:rPr>
        <w:t xml:space="preserve">funds </w:t>
      </w:r>
      <w:r w:rsidR="00592801">
        <w:rPr>
          <w:szCs w:val="24"/>
        </w:rPr>
        <w:t xml:space="preserve">of existing </w:t>
      </w:r>
      <w:r w:rsidR="003657B7">
        <w:rPr>
          <w:szCs w:val="24"/>
        </w:rPr>
        <w:t>consumer</w:t>
      </w:r>
      <w:r w:rsidR="00592801">
        <w:rPr>
          <w:szCs w:val="24"/>
        </w:rPr>
        <w:t xml:space="preserve">s </w:t>
      </w:r>
      <w:r w:rsidR="00174D3D">
        <w:rPr>
          <w:szCs w:val="24"/>
        </w:rPr>
        <w:t xml:space="preserve">immediately once Phase </w:t>
      </w:r>
      <w:r w:rsidR="000B5356">
        <w:rPr>
          <w:szCs w:val="24"/>
        </w:rPr>
        <w:t xml:space="preserve">3 </w:t>
      </w:r>
      <w:r w:rsidR="00174D3D">
        <w:rPr>
          <w:szCs w:val="24"/>
        </w:rPr>
        <w:t>commences</w:t>
      </w:r>
      <w:r w:rsidR="00396FBF">
        <w:rPr>
          <w:szCs w:val="24"/>
        </w:rPr>
        <w:t xml:space="preserve">. </w:t>
      </w:r>
      <w:r w:rsidR="00592801">
        <w:rPr>
          <w:szCs w:val="24"/>
        </w:rPr>
        <w:t>This could be</w:t>
      </w:r>
      <w:r w:rsidR="00174D3D">
        <w:rPr>
          <w:szCs w:val="24"/>
        </w:rPr>
        <w:t xml:space="preserve"> </w:t>
      </w:r>
      <w:r w:rsidR="00396FBF">
        <w:rPr>
          <w:szCs w:val="24"/>
        </w:rPr>
        <w:t xml:space="preserve">managed through subsidy reductions based on </w:t>
      </w:r>
      <w:r w:rsidR="00C068E1">
        <w:rPr>
          <w:szCs w:val="24"/>
        </w:rPr>
        <w:t xml:space="preserve">the </w:t>
      </w:r>
      <w:r w:rsidR="00396FBF">
        <w:rPr>
          <w:szCs w:val="24"/>
        </w:rPr>
        <w:t>current unspe</w:t>
      </w:r>
      <w:r w:rsidR="00174D3D">
        <w:rPr>
          <w:szCs w:val="24"/>
        </w:rPr>
        <w:t xml:space="preserve">nt funds held per </w:t>
      </w:r>
      <w:r w:rsidR="003657B7">
        <w:rPr>
          <w:szCs w:val="24"/>
        </w:rPr>
        <w:t>consumer</w:t>
      </w:r>
      <w:r w:rsidR="00260360">
        <w:rPr>
          <w:szCs w:val="24"/>
        </w:rPr>
        <w:t xml:space="preserve">. That is, a provider does not receive a payment of subsidy for a particular </w:t>
      </w:r>
      <w:r w:rsidR="003657B7">
        <w:rPr>
          <w:szCs w:val="24"/>
        </w:rPr>
        <w:t>consumer</w:t>
      </w:r>
      <w:r w:rsidR="00260360">
        <w:rPr>
          <w:szCs w:val="24"/>
        </w:rPr>
        <w:t xml:space="preserve"> until that </w:t>
      </w:r>
      <w:r w:rsidR="003657B7">
        <w:rPr>
          <w:szCs w:val="24"/>
        </w:rPr>
        <w:t>consumer</w:t>
      </w:r>
      <w:r w:rsidR="00260360">
        <w:rPr>
          <w:szCs w:val="24"/>
        </w:rPr>
        <w:t>’s unspent funds balance held by the provider is exhausted</w:t>
      </w:r>
      <w:r w:rsidR="00174D3D">
        <w:rPr>
          <w:szCs w:val="24"/>
        </w:rPr>
        <w:t xml:space="preserve">. </w:t>
      </w:r>
      <w:r w:rsidR="00592801">
        <w:rPr>
          <w:szCs w:val="24"/>
        </w:rPr>
        <w:t>T</w:t>
      </w:r>
      <w:r w:rsidR="00396FBF">
        <w:rPr>
          <w:szCs w:val="24"/>
        </w:rPr>
        <w:t xml:space="preserve">his should be the default option, unless providers elect to retain </w:t>
      </w:r>
      <w:r w:rsidR="00907CCB">
        <w:rPr>
          <w:szCs w:val="24"/>
        </w:rPr>
        <w:t>the</w:t>
      </w:r>
      <w:r w:rsidR="00396FBF">
        <w:rPr>
          <w:szCs w:val="24"/>
        </w:rPr>
        <w:t xml:space="preserve"> unspent funds </w:t>
      </w:r>
      <w:r w:rsidR="00592801">
        <w:rPr>
          <w:szCs w:val="24"/>
        </w:rPr>
        <w:t xml:space="preserve">of existing consumers </w:t>
      </w:r>
      <w:r w:rsidR="00A86573">
        <w:rPr>
          <w:szCs w:val="24"/>
        </w:rPr>
        <w:t xml:space="preserve">and allow those funds to be drawn down </w:t>
      </w:r>
      <w:r w:rsidR="00907CCB">
        <w:rPr>
          <w:szCs w:val="24"/>
        </w:rPr>
        <w:t>by the consumer or returned to the Government when the consumer leaves home care.</w:t>
      </w:r>
      <w:r w:rsidR="00592801">
        <w:rPr>
          <w:szCs w:val="24"/>
        </w:rPr>
        <w:t xml:space="preserve"> If providers are given the option to retain existing unspent funds, consideration should be given to imposing a </w:t>
      </w:r>
      <w:r w:rsidR="00A86573">
        <w:rPr>
          <w:szCs w:val="24"/>
        </w:rPr>
        <w:t xml:space="preserve">maximum period </w:t>
      </w:r>
      <w:r w:rsidR="00BE23A9">
        <w:rPr>
          <w:szCs w:val="24"/>
        </w:rPr>
        <w:t>(for</w:t>
      </w:r>
      <w:r w:rsidR="00A86573">
        <w:rPr>
          <w:szCs w:val="24"/>
        </w:rPr>
        <w:t xml:space="preserve"> example 3 years</w:t>
      </w:r>
      <w:r w:rsidR="00C068E1">
        <w:rPr>
          <w:szCs w:val="24"/>
        </w:rPr>
        <w:t>)</w:t>
      </w:r>
      <w:r w:rsidR="00BE300B">
        <w:rPr>
          <w:rStyle w:val="FootnoteReference"/>
          <w:szCs w:val="24"/>
        </w:rPr>
        <w:footnoteReference w:id="5"/>
      </w:r>
      <w:r w:rsidR="00A86573">
        <w:rPr>
          <w:szCs w:val="24"/>
        </w:rPr>
        <w:t xml:space="preserve"> the funds can be retained before being returned to the Government.</w:t>
      </w:r>
    </w:p>
    <w:p w:rsidR="00CA4F70" w:rsidRPr="00CA4F70" w:rsidRDefault="00CA4F70" w:rsidP="006F112F">
      <w:pPr>
        <w:spacing w:after="180" w:line="240" w:lineRule="auto"/>
        <w:rPr>
          <w:b/>
          <w:szCs w:val="24"/>
        </w:rPr>
      </w:pPr>
      <w:r w:rsidRPr="00CA4F70">
        <w:rPr>
          <w:b/>
          <w:szCs w:val="24"/>
        </w:rPr>
        <w:t>Phase 3 recommendation</w:t>
      </w:r>
    </w:p>
    <w:p w:rsidR="0084721E" w:rsidRPr="00F11C12" w:rsidRDefault="00077699" w:rsidP="000B5356">
      <w:pPr>
        <w:spacing w:after="180" w:line="240" w:lineRule="auto"/>
        <w:ind w:left="709"/>
        <w:rPr>
          <w:szCs w:val="24"/>
        </w:rPr>
      </w:pPr>
      <w:r>
        <w:rPr>
          <w:b/>
          <w:szCs w:val="24"/>
        </w:rPr>
        <w:t xml:space="preserve">Recommendation </w:t>
      </w:r>
      <w:r w:rsidR="00E93A9C">
        <w:rPr>
          <w:b/>
          <w:szCs w:val="24"/>
        </w:rPr>
        <w:t>7</w:t>
      </w:r>
      <w:r w:rsidR="00954898">
        <w:rPr>
          <w:b/>
          <w:szCs w:val="24"/>
        </w:rPr>
        <w:t>:</w:t>
      </w:r>
      <w:r w:rsidR="0084721E">
        <w:rPr>
          <w:b/>
          <w:szCs w:val="24"/>
        </w:rPr>
        <w:t xml:space="preserve"> </w:t>
      </w:r>
      <w:r w:rsidR="0084721E" w:rsidRPr="00F11C12">
        <w:rPr>
          <w:szCs w:val="24"/>
        </w:rPr>
        <w:t xml:space="preserve">Do not proceed with </w:t>
      </w:r>
      <w:r w:rsidR="00A86573">
        <w:rPr>
          <w:szCs w:val="24"/>
        </w:rPr>
        <w:t xml:space="preserve">the </w:t>
      </w:r>
      <w:r w:rsidR="0084721E" w:rsidRPr="00F11C12">
        <w:rPr>
          <w:szCs w:val="24"/>
        </w:rPr>
        <w:t xml:space="preserve">proposed proportional </w:t>
      </w:r>
      <w:r w:rsidR="00260360">
        <w:rPr>
          <w:szCs w:val="24"/>
        </w:rPr>
        <w:t xml:space="preserve">return </w:t>
      </w:r>
      <w:r w:rsidR="00A86573">
        <w:rPr>
          <w:szCs w:val="24"/>
        </w:rPr>
        <w:t xml:space="preserve">of </w:t>
      </w:r>
      <w:proofErr w:type="gramStart"/>
      <w:r w:rsidR="00A86573">
        <w:rPr>
          <w:szCs w:val="24"/>
        </w:rPr>
        <w:t>existing</w:t>
      </w:r>
      <w:proofErr w:type="gramEnd"/>
      <w:r w:rsidR="00A86573">
        <w:rPr>
          <w:szCs w:val="24"/>
        </w:rPr>
        <w:t xml:space="preserve"> unspent funds under Phase 3. Instead p</w:t>
      </w:r>
      <w:r w:rsidR="003F147A">
        <w:rPr>
          <w:szCs w:val="24"/>
        </w:rPr>
        <w:t>roviders should have a choice to either</w:t>
      </w:r>
      <w:r w:rsidR="0084721E" w:rsidRPr="00F11C12">
        <w:rPr>
          <w:szCs w:val="24"/>
        </w:rPr>
        <w:t xml:space="preserve">: </w:t>
      </w:r>
    </w:p>
    <w:p w:rsidR="0084721E" w:rsidRPr="00CE6C24" w:rsidRDefault="00A86573" w:rsidP="006F112F">
      <w:pPr>
        <w:pStyle w:val="ListParagraph"/>
        <w:numPr>
          <w:ilvl w:val="1"/>
          <w:numId w:val="18"/>
        </w:numPr>
        <w:spacing w:after="180" w:line="240" w:lineRule="auto"/>
        <w:rPr>
          <w:szCs w:val="24"/>
        </w:rPr>
      </w:pPr>
      <w:r>
        <w:rPr>
          <w:szCs w:val="24"/>
        </w:rPr>
        <w:t xml:space="preserve">return the unspent funds of all existing </w:t>
      </w:r>
      <w:r w:rsidR="003657B7">
        <w:rPr>
          <w:szCs w:val="24"/>
        </w:rPr>
        <w:t>consumer</w:t>
      </w:r>
      <w:r w:rsidR="00BE23A9">
        <w:rPr>
          <w:szCs w:val="24"/>
        </w:rPr>
        <w:t>s</w:t>
      </w:r>
      <w:r>
        <w:rPr>
          <w:szCs w:val="24"/>
        </w:rPr>
        <w:t xml:space="preserve"> immediately when </w:t>
      </w:r>
      <w:r w:rsidR="00472D85">
        <w:rPr>
          <w:szCs w:val="24"/>
        </w:rPr>
        <w:t>Phase</w:t>
      </w:r>
      <w:r w:rsidR="001330E5">
        <w:rPr>
          <w:szCs w:val="24"/>
        </w:rPr>
        <w:t> </w:t>
      </w:r>
      <w:r>
        <w:rPr>
          <w:szCs w:val="24"/>
        </w:rPr>
        <w:t>3 commences</w:t>
      </w:r>
      <w:r w:rsidR="00260360">
        <w:rPr>
          <w:szCs w:val="24"/>
        </w:rPr>
        <w:t>;</w:t>
      </w:r>
      <w:r w:rsidR="003F147A" w:rsidRPr="00CE6C24">
        <w:rPr>
          <w:szCs w:val="24"/>
        </w:rPr>
        <w:t xml:space="preserve"> or</w:t>
      </w:r>
      <w:r w:rsidR="0084721E" w:rsidRPr="00CE6C24">
        <w:rPr>
          <w:szCs w:val="24"/>
        </w:rPr>
        <w:t xml:space="preserve"> </w:t>
      </w:r>
    </w:p>
    <w:p w:rsidR="00396FBF" w:rsidRPr="0013218A" w:rsidRDefault="00A86573" w:rsidP="006F112F">
      <w:pPr>
        <w:pStyle w:val="ListParagraph"/>
        <w:numPr>
          <w:ilvl w:val="1"/>
          <w:numId w:val="18"/>
        </w:numPr>
        <w:spacing w:after="180" w:line="240" w:lineRule="auto"/>
        <w:rPr>
          <w:szCs w:val="24"/>
        </w:rPr>
      </w:pPr>
      <w:proofErr w:type="gramStart"/>
      <w:r>
        <w:rPr>
          <w:szCs w:val="24"/>
        </w:rPr>
        <w:t>retain</w:t>
      </w:r>
      <w:proofErr w:type="gramEnd"/>
      <w:r>
        <w:rPr>
          <w:szCs w:val="24"/>
        </w:rPr>
        <w:t xml:space="preserve"> the unspent funds of</w:t>
      </w:r>
      <w:r w:rsidR="00907CCB">
        <w:rPr>
          <w:szCs w:val="24"/>
        </w:rPr>
        <w:t xml:space="preserve"> existing </w:t>
      </w:r>
      <w:r w:rsidR="003657B7">
        <w:rPr>
          <w:szCs w:val="24"/>
        </w:rPr>
        <w:t>consumer</w:t>
      </w:r>
      <w:r w:rsidR="00BE23A9">
        <w:rPr>
          <w:szCs w:val="24"/>
        </w:rPr>
        <w:t>s</w:t>
      </w:r>
      <w:r w:rsidR="00907CCB">
        <w:rPr>
          <w:szCs w:val="24"/>
        </w:rPr>
        <w:t xml:space="preserve"> and allow those funds to be drawn down by the </w:t>
      </w:r>
      <w:r w:rsidR="00BE23A9">
        <w:rPr>
          <w:szCs w:val="24"/>
        </w:rPr>
        <w:t>recipient</w:t>
      </w:r>
      <w:r w:rsidR="00907CCB">
        <w:rPr>
          <w:szCs w:val="24"/>
        </w:rPr>
        <w:t xml:space="preserve"> or returned to the Government when the </w:t>
      </w:r>
      <w:r w:rsidR="00BE23A9">
        <w:rPr>
          <w:szCs w:val="24"/>
        </w:rPr>
        <w:t>recipient</w:t>
      </w:r>
      <w:r w:rsidR="00907CCB">
        <w:rPr>
          <w:szCs w:val="24"/>
        </w:rPr>
        <w:t xml:space="preserve"> leaves home care. Consideration should be given to setting a maximum period </w:t>
      </w:r>
      <w:r w:rsidR="004215CB">
        <w:rPr>
          <w:szCs w:val="24"/>
        </w:rPr>
        <w:t xml:space="preserve">that </w:t>
      </w:r>
      <w:r w:rsidR="00907CCB">
        <w:rPr>
          <w:szCs w:val="24"/>
        </w:rPr>
        <w:t>providers can retain existing unspent funds.</w:t>
      </w:r>
    </w:p>
    <w:p w:rsidR="0084721E" w:rsidRPr="00CE6C24" w:rsidRDefault="00907CCB" w:rsidP="00BE300B">
      <w:pPr>
        <w:spacing w:after="180" w:line="240" w:lineRule="auto"/>
        <w:rPr>
          <w:szCs w:val="24"/>
        </w:rPr>
      </w:pPr>
      <w:r>
        <w:rPr>
          <w:szCs w:val="24"/>
        </w:rPr>
        <w:t>While outside</w:t>
      </w:r>
      <w:r w:rsidR="00E66000">
        <w:rPr>
          <w:szCs w:val="24"/>
        </w:rPr>
        <w:t xml:space="preserve"> the</w:t>
      </w:r>
      <w:r>
        <w:rPr>
          <w:szCs w:val="24"/>
        </w:rPr>
        <w:t xml:space="preserve"> terms of reference for this report, ACFA suggests that</w:t>
      </w:r>
      <w:r w:rsidR="00396FBF" w:rsidRPr="00963214">
        <w:rPr>
          <w:szCs w:val="24"/>
        </w:rPr>
        <w:t xml:space="preserve"> work </w:t>
      </w:r>
      <w:r>
        <w:rPr>
          <w:szCs w:val="24"/>
        </w:rPr>
        <w:t xml:space="preserve">should be undertaken </w:t>
      </w:r>
      <w:r w:rsidR="00C068E1">
        <w:rPr>
          <w:szCs w:val="24"/>
        </w:rPr>
        <w:t>to determine</w:t>
      </w:r>
      <w:r w:rsidR="00396FBF" w:rsidRPr="00963214">
        <w:rPr>
          <w:szCs w:val="24"/>
        </w:rPr>
        <w:t xml:space="preserve"> the underlying causes for the growing </w:t>
      </w:r>
      <w:r w:rsidR="00963214" w:rsidRPr="00963214">
        <w:rPr>
          <w:szCs w:val="24"/>
        </w:rPr>
        <w:t>accumulation</w:t>
      </w:r>
      <w:r w:rsidR="00396FBF" w:rsidRPr="00963214">
        <w:rPr>
          <w:szCs w:val="24"/>
        </w:rPr>
        <w:t xml:space="preserve"> of unspent funds within </w:t>
      </w:r>
      <w:r w:rsidR="00963214" w:rsidRPr="00963214">
        <w:rPr>
          <w:szCs w:val="24"/>
        </w:rPr>
        <w:t>home</w:t>
      </w:r>
      <w:r w:rsidR="00396FBF" w:rsidRPr="00963214">
        <w:rPr>
          <w:szCs w:val="24"/>
        </w:rPr>
        <w:t xml:space="preserve"> </w:t>
      </w:r>
      <w:r w:rsidR="006C188F">
        <w:rPr>
          <w:szCs w:val="24"/>
        </w:rPr>
        <w:t>c</w:t>
      </w:r>
      <w:r w:rsidR="00396FBF" w:rsidRPr="00963214">
        <w:rPr>
          <w:szCs w:val="24"/>
        </w:rPr>
        <w:t>are packages</w:t>
      </w:r>
      <w:r w:rsidR="0084721E" w:rsidRPr="00CE6C24">
        <w:rPr>
          <w:szCs w:val="24"/>
        </w:rPr>
        <w:t>.</w:t>
      </w:r>
      <w:r w:rsidR="003F147A" w:rsidRPr="00963214">
        <w:rPr>
          <w:szCs w:val="24"/>
        </w:rPr>
        <w:t xml:space="preserve"> </w:t>
      </w:r>
    </w:p>
    <w:p w:rsidR="00FB5DD1" w:rsidRDefault="00FB5DD1"/>
    <w:sectPr w:rsidR="00FB5DD1" w:rsidSect="00F816C1">
      <w:footerReference w:type="default" r:id="rId14"/>
      <w:pgSz w:w="11906" w:h="16838"/>
      <w:pgMar w:top="1276" w:right="1440" w:bottom="680" w:left="1440" w:header="709" w:footer="709"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B61711" w16cid:durableId="218FD20F"/>
  <w16cid:commentId w16cid:paraId="59C34CED" w16cid:durableId="218FD210"/>
  <w16cid:commentId w16cid:paraId="346B0AA6" w16cid:durableId="218FD211"/>
  <w16cid:commentId w16cid:paraId="09844106" w16cid:durableId="218FD2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53" w:rsidRDefault="00D16253" w:rsidP="006F1D87">
      <w:pPr>
        <w:spacing w:after="0" w:line="240" w:lineRule="auto"/>
      </w:pPr>
      <w:r>
        <w:separator/>
      </w:r>
    </w:p>
  </w:endnote>
  <w:endnote w:type="continuationSeparator" w:id="0">
    <w:p w:rsidR="00D16253" w:rsidRDefault="00D16253" w:rsidP="006F1D87">
      <w:pPr>
        <w:spacing w:after="0" w:line="240" w:lineRule="auto"/>
      </w:pPr>
      <w:r>
        <w:continuationSeparator/>
      </w:r>
    </w:p>
  </w:endnote>
  <w:endnote w:type="continuationNotice" w:id="1">
    <w:p w:rsidR="00D16253" w:rsidRDefault="00D16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Univers 45 Light">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698986"/>
      <w:docPartObj>
        <w:docPartGallery w:val="Page Numbers (Bottom of Page)"/>
        <w:docPartUnique/>
      </w:docPartObj>
    </w:sdtPr>
    <w:sdtEndPr>
      <w:rPr>
        <w:noProof/>
      </w:rPr>
    </w:sdtEndPr>
    <w:sdtContent>
      <w:p w:rsidR="00E61B35" w:rsidRDefault="00E61B35">
        <w:pPr>
          <w:pStyle w:val="Footer"/>
          <w:jc w:val="center"/>
        </w:pPr>
        <w:r>
          <w:fldChar w:fldCharType="begin"/>
        </w:r>
        <w:r>
          <w:instrText xml:space="preserve"> PAGE   \* MERGEFORMAT </w:instrText>
        </w:r>
        <w:r>
          <w:fldChar w:fldCharType="separate"/>
        </w:r>
        <w:r w:rsidR="00531D53">
          <w:rPr>
            <w:noProof/>
          </w:rPr>
          <w:t>21</w:t>
        </w:r>
        <w:r>
          <w:rPr>
            <w:noProof/>
          </w:rPr>
          <w:fldChar w:fldCharType="end"/>
        </w:r>
      </w:p>
    </w:sdtContent>
  </w:sdt>
  <w:p w:rsidR="00E61B35" w:rsidRDefault="00E6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53" w:rsidRDefault="00D16253" w:rsidP="006F1D87">
      <w:pPr>
        <w:spacing w:after="0" w:line="240" w:lineRule="auto"/>
      </w:pPr>
      <w:r>
        <w:separator/>
      </w:r>
    </w:p>
  </w:footnote>
  <w:footnote w:type="continuationSeparator" w:id="0">
    <w:p w:rsidR="00D16253" w:rsidRDefault="00D16253" w:rsidP="006F1D87">
      <w:pPr>
        <w:spacing w:after="0" w:line="240" w:lineRule="auto"/>
      </w:pPr>
      <w:r>
        <w:continuationSeparator/>
      </w:r>
    </w:p>
  </w:footnote>
  <w:footnote w:type="continuationNotice" w:id="1">
    <w:p w:rsidR="00D16253" w:rsidRDefault="00D16253">
      <w:pPr>
        <w:spacing w:after="0" w:line="240" w:lineRule="auto"/>
      </w:pPr>
    </w:p>
  </w:footnote>
  <w:footnote w:id="2">
    <w:p w:rsidR="00E61B35" w:rsidRDefault="00E61B35">
      <w:pPr>
        <w:pStyle w:val="FootnoteText"/>
      </w:pPr>
      <w:r>
        <w:rPr>
          <w:rStyle w:val="FootnoteReference"/>
        </w:rPr>
        <w:footnoteRef/>
      </w:r>
      <w:r>
        <w:t xml:space="preserve"> </w:t>
      </w:r>
      <w:proofErr w:type="spellStart"/>
      <w:r>
        <w:rPr>
          <w:sz w:val="18"/>
          <w:szCs w:val="18"/>
        </w:rPr>
        <w:t>StewartBrown</w:t>
      </w:r>
      <w:proofErr w:type="spellEnd"/>
      <w:r>
        <w:rPr>
          <w:sz w:val="18"/>
          <w:szCs w:val="18"/>
        </w:rPr>
        <w:t>, Home care Funding Analysis (November 2019), p.9.</w:t>
      </w:r>
    </w:p>
  </w:footnote>
  <w:footnote w:id="3">
    <w:p w:rsidR="00E61B35" w:rsidRDefault="00E61B35">
      <w:pPr>
        <w:pStyle w:val="FootnoteText"/>
      </w:pPr>
      <w:r>
        <w:rPr>
          <w:rStyle w:val="FootnoteReference"/>
        </w:rPr>
        <w:footnoteRef/>
      </w:r>
      <w:r>
        <w:t xml:space="preserve"> </w:t>
      </w:r>
      <w:r w:rsidRPr="00930319">
        <w:rPr>
          <w:sz w:val="18"/>
          <w:szCs w:val="18"/>
        </w:rPr>
        <w:t>ACFA’s 2019 Annual Report noted that unspent funds accumulate for a variety of reasons including that consumers wish to save a proportion of their budget for future events, misconceptions that money not spent under the package belongs to the consumer, or because the consumer does not require all the funds allocated to them.</w:t>
      </w:r>
    </w:p>
  </w:footnote>
  <w:footnote w:id="4">
    <w:p w:rsidR="00E61B35" w:rsidRPr="008F0397" w:rsidRDefault="00E61B35">
      <w:pPr>
        <w:pStyle w:val="FootnoteText"/>
        <w:rPr>
          <w:sz w:val="18"/>
          <w:szCs w:val="18"/>
        </w:rPr>
      </w:pPr>
      <w:r w:rsidRPr="008F0397">
        <w:rPr>
          <w:rStyle w:val="FootnoteReference"/>
          <w:sz w:val="18"/>
          <w:szCs w:val="18"/>
        </w:rPr>
        <w:footnoteRef/>
      </w:r>
      <w:r w:rsidRPr="008F0397">
        <w:rPr>
          <w:sz w:val="18"/>
          <w:szCs w:val="18"/>
        </w:rPr>
        <w:t xml:space="preserve"> </w:t>
      </w:r>
      <w:r>
        <w:rPr>
          <w:sz w:val="18"/>
          <w:szCs w:val="18"/>
        </w:rPr>
        <w:t>T</w:t>
      </w:r>
      <w:r w:rsidRPr="008F0397">
        <w:rPr>
          <w:sz w:val="18"/>
          <w:szCs w:val="18"/>
        </w:rPr>
        <w:t>his approach will not see growth in unspent funds with providers as current holdings will be deducted from subsidy payments.</w:t>
      </w:r>
    </w:p>
  </w:footnote>
  <w:footnote w:id="5">
    <w:p w:rsidR="00E61B35" w:rsidRDefault="00E61B35">
      <w:pPr>
        <w:pStyle w:val="FootnoteText"/>
      </w:pPr>
      <w:r>
        <w:rPr>
          <w:rStyle w:val="FootnoteReference"/>
        </w:rPr>
        <w:footnoteRef/>
      </w:r>
      <w:r>
        <w:t xml:space="preserve"> </w:t>
      </w:r>
      <w:r>
        <w:rPr>
          <w:sz w:val="16"/>
          <w:szCs w:val="16"/>
        </w:rPr>
        <w:t>The median</w:t>
      </w:r>
      <w:r w:rsidRPr="00BE300B">
        <w:rPr>
          <w:sz w:val="16"/>
          <w:szCs w:val="16"/>
        </w:rPr>
        <w:t xml:space="preserve"> length of time</w:t>
      </w:r>
      <w:r>
        <w:rPr>
          <w:sz w:val="16"/>
          <w:szCs w:val="16"/>
        </w:rPr>
        <w:t xml:space="preserve"> in home care is 17 months</w:t>
      </w:r>
      <w:r w:rsidRPr="00BE300B">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7B7"/>
    <w:multiLevelType w:val="hybridMultilevel"/>
    <w:tmpl w:val="D06428C8"/>
    <w:lvl w:ilvl="0" w:tplc="08924B2A">
      <w:start w:val="1"/>
      <w:numFmt w:val="bullet"/>
      <w:lvlText w:val="-"/>
      <w:lvlJc w:val="left"/>
      <w:pPr>
        <w:ind w:left="420" w:hanging="360"/>
      </w:pPr>
      <w:rPr>
        <w:rFonts w:ascii="Calibri" w:eastAsiaTheme="minorEastAsia" w:hAnsi="Calibri" w:cs="Calibri" w:hint="default"/>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081003EF"/>
    <w:multiLevelType w:val="hybridMultilevel"/>
    <w:tmpl w:val="EB06D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25641"/>
    <w:multiLevelType w:val="hybridMultilevel"/>
    <w:tmpl w:val="87B6B0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5C4C92"/>
    <w:multiLevelType w:val="hybridMultilevel"/>
    <w:tmpl w:val="84E6F1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E65B39"/>
    <w:multiLevelType w:val="hybridMultilevel"/>
    <w:tmpl w:val="59EE6068"/>
    <w:lvl w:ilvl="0" w:tplc="01EAC2C8">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474B5"/>
    <w:multiLevelType w:val="hybridMultilevel"/>
    <w:tmpl w:val="163E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559BB"/>
    <w:multiLevelType w:val="hybridMultilevel"/>
    <w:tmpl w:val="40764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47087"/>
    <w:multiLevelType w:val="hybridMultilevel"/>
    <w:tmpl w:val="553C6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77821"/>
    <w:multiLevelType w:val="hybridMultilevel"/>
    <w:tmpl w:val="9A0414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204DBD"/>
    <w:multiLevelType w:val="hybridMultilevel"/>
    <w:tmpl w:val="24AA0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6370A1"/>
    <w:multiLevelType w:val="hybridMultilevel"/>
    <w:tmpl w:val="69DCB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D0190F"/>
    <w:multiLevelType w:val="hybridMultilevel"/>
    <w:tmpl w:val="05BC5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E82C77"/>
    <w:multiLevelType w:val="hybridMultilevel"/>
    <w:tmpl w:val="3318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D59B8"/>
    <w:multiLevelType w:val="hybridMultilevel"/>
    <w:tmpl w:val="53D0B894"/>
    <w:lvl w:ilvl="0" w:tplc="584834FA">
      <w:start w:val="1"/>
      <w:numFmt w:val="bullet"/>
      <w:lvlText w:val=""/>
      <w:lvlJc w:val="left"/>
      <w:pPr>
        <w:ind w:left="720" w:hanging="360"/>
      </w:pPr>
      <w:rPr>
        <w:rFonts w:ascii="Symbol" w:hAnsi="Symbol" w:hint="default"/>
        <w:color w:val="FF66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DD20FF"/>
    <w:multiLevelType w:val="hybridMultilevel"/>
    <w:tmpl w:val="0C0EDBD6"/>
    <w:lvl w:ilvl="0" w:tplc="11DEE2B0">
      <w:start w:val="2"/>
      <w:numFmt w:val="bullet"/>
      <w:lvlText w:val="-"/>
      <w:lvlJc w:val="left"/>
      <w:pPr>
        <w:ind w:left="420" w:hanging="360"/>
      </w:pPr>
      <w:rPr>
        <w:rFonts w:ascii="Calibri" w:eastAsiaTheme="minorEastAsia" w:hAnsi="Calibri"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49AE4986"/>
    <w:multiLevelType w:val="hybridMultilevel"/>
    <w:tmpl w:val="FD80A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FF4B8C"/>
    <w:multiLevelType w:val="hybridMultilevel"/>
    <w:tmpl w:val="1AC43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F5943DB"/>
    <w:multiLevelType w:val="hybridMultilevel"/>
    <w:tmpl w:val="79D8B8F2"/>
    <w:lvl w:ilvl="0" w:tplc="0C090001">
      <w:start w:val="1"/>
      <w:numFmt w:val="bullet"/>
      <w:lvlText w:val=""/>
      <w:lvlJc w:val="left"/>
      <w:pPr>
        <w:ind w:left="2302" w:hanging="360"/>
      </w:pPr>
      <w:rPr>
        <w:rFonts w:ascii="Symbol" w:hAnsi="Symbol" w:hint="default"/>
      </w:rPr>
    </w:lvl>
    <w:lvl w:ilvl="1" w:tplc="0C090003" w:tentative="1">
      <w:start w:val="1"/>
      <w:numFmt w:val="bullet"/>
      <w:lvlText w:val="o"/>
      <w:lvlJc w:val="left"/>
      <w:pPr>
        <w:ind w:left="3022" w:hanging="360"/>
      </w:pPr>
      <w:rPr>
        <w:rFonts w:ascii="Courier New" w:hAnsi="Courier New" w:cs="Courier New" w:hint="default"/>
      </w:rPr>
    </w:lvl>
    <w:lvl w:ilvl="2" w:tplc="0C090005" w:tentative="1">
      <w:start w:val="1"/>
      <w:numFmt w:val="bullet"/>
      <w:lvlText w:val=""/>
      <w:lvlJc w:val="left"/>
      <w:pPr>
        <w:ind w:left="3742" w:hanging="360"/>
      </w:pPr>
      <w:rPr>
        <w:rFonts w:ascii="Wingdings" w:hAnsi="Wingdings" w:hint="default"/>
      </w:rPr>
    </w:lvl>
    <w:lvl w:ilvl="3" w:tplc="0C090001" w:tentative="1">
      <w:start w:val="1"/>
      <w:numFmt w:val="bullet"/>
      <w:lvlText w:val=""/>
      <w:lvlJc w:val="left"/>
      <w:pPr>
        <w:ind w:left="4462" w:hanging="360"/>
      </w:pPr>
      <w:rPr>
        <w:rFonts w:ascii="Symbol" w:hAnsi="Symbol" w:hint="default"/>
      </w:rPr>
    </w:lvl>
    <w:lvl w:ilvl="4" w:tplc="0C090003" w:tentative="1">
      <w:start w:val="1"/>
      <w:numFmt w:val="bullet"/>
      <w:lvlText w:val="o"/>
      <w:lvlJc w:val="left"/>
      <w:pPr>
        <w:ind w:left="5182" w:hanging="360"/>
      </w:pPr>
      <w:rPr>
        <w:rFonts w:ascii="Courier New" w:hAnsi="Courier New" w:cs="Courier New" w:hint="default"/>
      </w:rPr>
    </w:lvl>
    <w:lvl w:ilvl="5" w:tplc="0C090005" w:tentative="1">
      <w:start w:val="1"/>
      <w:numFmt w:val="bullet"/>
      <w:lvlText w:val=""/>
      <w:lvlJc w:val="left"/>
      <w:pPr>
        <w:ind w:left="5902" w:hanging="360"/>
      </w:pPr>
      <w:rPr>
        <w:rFonts w:ascii="Wingdings" w:hAnsi="Wingdings" w:hint="default"/>
      </w:rPr>
    </w:lvl>
    <w:lvl w:ilvl="6" w:tplc="0C090001" w:tentative="1">
      <w:start w:val="1"/>
      <w:numFmt w:val="bullet"/>
      <w:lvlText w:val=""/>
      <w:lvlJc w:val="left"/>
      <w:pPr>
        <w:ind w:left="6622" w:hanging="360"/>
      </w:pPr>
      <w:rPr>
        <w:rFonts w:ascii="Symbol" w:hAnsi="Symbol" w:hint="default"/>
      </w:rPr>
    </w:lvl>
    <w:lvl w:ilvl="7" w:tplc="0C090003" w:tentative="1">
      <w:start w:val="1"/>
      <w:numFmt w:val="bullet"/>
      <w:lvlText w:val="o"/>
      <w:lvlJc w:val="left"/>
      <w:pPr>
        <w:ind w:left="7342" w:hanging="360"/>
      </w:pPr>
      <w:rPr>
        <w:rFonts w:ascii="Courier New" w:hAnsi="Courier New" w:cs="Courier New" w:hint="default"/>
      </w:rPr>
    </w:lvl>
    <w:lvl w:ilvl="8" w:tplc="0C090005" w:tentative="1">
      <w:start w:val="1"/>
      <w:numFmt w:val="bullet"/>
      <w:lvlText w:val=""/>
      <w:lvlJc w:val="left"/>
      <w:pPr>
        <w:ind w:left="8062" w:hanging="360"/>
      </w:pPr>
      <w:rPr>
        <w:rFonts w:ascii="Wingdings" w:hAnsi="Wingdings" w:hint="default"/>
      </w:rPr>
    </w:lvl>
  </w:abstractNum>
  <w:abstractNum w:abstractNumId="18" w15:restartNumberingAfterBreak="0">
    <w:nsid w:val="52F24DD0"/>
    <w:multiLevelType w:val="hybridMultilevel"/>
    <w:tmpl w:val="1152BC44"/>
    <w:lvl w:ilvl="0" w:tplc="2B04A068">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303C8E"/>
    <w:multiLevelType w:val="hybridMultilevel"/>
    <w:tmpl w:val="8DC08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BB0BAE"/>
    <w:multiLevelType w:val="hybridMultilevel"/>
    <w:tmpl w:val="449206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DC4DB6"/>
    <w:multiLevelType w:val="hybridMultilevel"/>
    <w:tmpl w:val="F06E6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F80D8E"/>
    <w:multiLevelType w:val="hybridMultilevel"/>
    <w:tmpl w:val="9628E526"/>
    <w:lvl w:ilvl="0" w:tplc="DE06237E">
      <w:start w:val="1"/>
      <w:numFmt w:val="decimal"/>
      <w:lvlText w:val="%1."/>
      <w:lvlJc w:val="left"/>
      <w:pPr>
        <w:ind w:left="567" w:hanging="567"/>
      </w:pPr>
      <w:rPr>
        <w:rFonts w:hint="default"/>
      </w:rPr>
    </w:lvl>
    <w:lvl w:ilvl="1" w:tplc="6478C2F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811612"/>
    <w:multiLevelType w:val="hybridMultilevel"/>
    <w:tmpl w:val="AB5A1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2E0529"/>
    <w:multiLevelType w:val="hybridMultilevel"/>
    <w:tmpl w:val="1B946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FF39AE"/>
    <w:multiLevelType w:val="hybridMultilevel"/>
    <w:tmpl w:val="0100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8338E"/>
    <w:multiLevelType w:val="hybridMultilevel"/>
    <w:tmpl w:val="230CE81A"/>
    <w:lvl w:ilvl="0" w:tplc="0C090017">
      <w:start w:val="1"/>
      <w:numFmt w:val="lowerLetter"/>
      <w:lvlText w:val="%1)"/>
      <w:lvlJc w:val="left"/>
      <w:pPr>
        <w:ind w:left="862"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15:restartNumberingAfterBreak="0">
    <w:nsid w:val="6757492C"/>
    <w:multiLevelType w:val="hybridMultilevel"/>
    <w:tmpl w:val="D3CCC0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1D5501"/>
    <w:multiLevelType w:val="hybridMultilevel"/>
    <w:tmpl w:val="93441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124C21"/>
    <w:multiLevelType w:val="hybridMultilevel"/>
    <w:tmpl w:val="91B8B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CF6BCA"/>
    <w:multiLevelType w:val="hybridMultilevel"/>
    <w:tmpl w:val="41D262DE"/>
    <w:lvl w:ilvl="0" w:tplc="6B48396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C04B58"/>
    <w:multiLevelType w:val="hybridMultilevel"/>
    <w:tmpl w:val="F9561A8A"/>
    <w:lvl w:ilvl="0" w:tplc="FCC47B26">
      <w:start w:val="1"/>
      <w:numFmt w:val="decimal"/>
      <w:lvlText w:val="%1."/>
      <w:lvlJc w:val="left"/>
      <w:pPr>
        <w:ind w:left="560" w:hanging="360"/>
      </w:pPr>
      <w:rPr>
        <w:rFonts w:hint="default"/>
      </w:rPr>
    </w:lvl>
    <w:lvl w:ilvl="1" w:tplc="0C090019" w:tentative="1">
      <w:start w:val="1"/>
      <w:numFmt w:val="lowerLetter"/>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num w:numId="1">
    <w:abstractNumId w:val="14"/>
  </w:num>
  <w:num w:numId="2">
    <w:abstractNumId w:val="0"/>
  </w:num>
  <w:num w:numId="3">
    <w:abstractNumId w:val="31"/>
  </w:num>
  <w:num w:numId="4">
    <w:abstractNumId w:val="24"/>
  </w:num>
  <w:num w:numId="5">
    <w:abstractNumId w:val="15"/>
  </w:num>
  <w:num w:numId="6">
    <w:abstractNumId w:val="20"/>
  </w:num>
  <w:num w:numId="7">
    <w:abstractNumId w:val="3"/>
  </w:num>
  <w:num w:numId="8">
    <w:abstractNumId w:val="18"/>
  </w:num>
  <w:num w:numId="9">
    <w:abstractNumId w:val="4"/>
  </w:num>
  <w:num w:numId="10">
    <w:abstractNumId w:val="2"/>
  </w:num>
  <w:num w:numId="11">
    <w:abstractNumId w:val="30"/>
  </w:num>
  <w:num w:numId="12">
    <w:abstractNumId w:val="8"/>
  </w:num>
  <w:num w:numId="13">
    <w:abstractNumId w:val="21"/>
  </w:num>
  <w:num w:numId="14">
    <w:abstractNumId w:val="22"/>
  </w:num>
  <w:num w:numId="15">
    <w:abstractNumId w:val="13"/>
  </w:num>
  <w:num w:numId="16">
    <w:abstractNumId w:val="23"/>
  </w:num>
  <w:num w:numId="17">
    <w:abstractNumId w:val="11"/>
  </w:num>
  <w:num w:numId="18">
    <w:abstractNumId w:val="26"/>
  </w:num>
  <w:num w:numId="19">
    <w:abstractNumId w:val="16"/>
  </w:num>
  <w:num w:numId="20">
    <w:abstractNumId w:val="6"/>
  </w:num>
  <w:num w:numId="21">
    <w:abstractNumId w:val="7"/>
  </w:num>
  <w:num w:numId="22">
    <w:abstractNumId w:val="19"/>
  </w:num>
  <w:num w:numId="23">
    <w:abstractNumId w:val="25"/>
  </w:num>
  <w:num w:numId="24">
    <w:abstractNumId w:val="5"/>
  </w:num>
  <w:num w:numId="25">
    <w:abstractNumId w:val="1"/>
  </w:num>
  <w:num w:numId="26">
    <w:abstractNumId w:val="28"/>
  </w:num>
  <w:num w:numId="27">
    <w:abstractNumId w:val="29"/>
  </w:num>
  <w:num w:numId="28">
    <w:abstractNumId w:val="27"/>
  </w:num>
  <w:num w:numId="29">
    <w:abstractNumId w:val="9"/>
  </w:num>
  <w:num w:numId="30">
    <w:abstractNumId w:val="12"/>
  </w:num>
  <w:num w:numId="31">
    <w:abstractNumId w:val="1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en-AU" w:vendorID="64" w:dllVersion="6" w:nlCheck="1" w:checkStyle="1"/>
  <w:activeWritingStyle w:appName="MSWord" w:lang="en-AU" w:vendorID="64" w:dllVersion="4096" w:nlCheck="1" w:checkStyle="0"/>
  <w:activeWritingStyle w:appName="MSWord" w:lang="en-AU"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66"/>
    <w:rsid w:val="00000534"/>
    <w:rsid w:val="0000161A"/>
    <w:rsid w:val="00004D95"/>
    <w:rsid w:val="00006B1B"/>
    <w:rsid w:val="00010D1E"/>
    <w:rsid w:val="00011C1A"/>
    <w:rsid w:val="00012746"/>
    <w:rsid w:val="00013B12"/>
    <w:rsid w:val="000143AB"/>
    <w:rsid w:val="000158D6"/>
    <w:rsid w:val="0002001B"/>
    <w:rsid w:val="000206D3"/>
    <w:rsid w:val="00023BB0"/>
    <w:rsid w:val="00024657"/>
    <w:rsid w:val="0002544A"/>
    <w:rsid w:val="00025B79"/>
    <w:rsid w:val="000326AA"/>
    <w:rsid w:val="00032953"/>
    <w:rsid w:val="00032EC1"/>
    <w:rsid w:val="00034737"/>
    <w:rsid w:val="00035659"/>
    <w:rsid w:val="0003602D"/>
    <w:rsid w:val="0003609F"/>
    <w:rsid w:val="00044852"/>
    <w:rsid w:val="00045AFB"/>
    <w:rsid w:val="00046386"/>
    <w:rsid w:val="0005142F"/>
    <w:rsid w:val="00051A7D"/>
    <w:rsid w:val="0005307B"/>
    <w:rsid w:val="000533DE"/>
    <w:rsid w:val="00054228"/>
    <w:rsid w:val="0005495A"/>
    <w:rsid w:val="000568EA"/>
    <w:rsid w:val="0006644E"/>
    <w:rsid w:val="000704B7"/>
    <w:rsid w:val="00072E72"/>
    <w:rsid w:val="00073CAB"/>
    <w:rsid w:val="00077699"/>
    <w:rsid w:val="00077FD2"/>
    <w:rsid w:val="00083DA0"/>
    <w:rsid w:val="00084819"/>
    <w:rsid w:val="0008779F"/>
    <w:rsid w:val="0009188C"/>
    <w:rsid w:val="0009455A"/>
    <w:rsid w:val="000963DE"/>
    <w:rsid w:val="0009709D"/>
    <w:rsid w:val="000A08F4"/>
    <w:rsid w:val="000A3C25"/>
    <w:rsid w:val="000A5D48"/>
    <w:rsid w:val="000A6CA5"/>
    <w:rsid w:val="000A78D0"/>
    <w:rsid w:val="000B496D"/>
    <w:rsid w:val="000B5356"/>
    <w:rsid w:val="000C093C"/>
    <w:rsid w:val="000C5A40"/>
    <w:rsid w:val="000C6717"/>
    <w:rsid w:val="000C6B2A"/>
    <w:rsid w:val="000C7D6D"/>
    <w:rsid w:val="000D3445"/>
    <w:rsid w:val="000D34F5"/>
    <w:rsid w:val="000D4099"/>
    <w:rsid w:val="000D40F9"/>
    <w:rsid w:val="000D51A6"/>
    <w:rsid w:val="000D6B82"/>
    <w:rsid w:val="000D7367"/>
    <w:rsid w:val="000D7989"/>
    <w:rsid w:val="000E2DF1"/>
    <w:rsid w:val="000F01DF"/>
    <w:rsid w:val="000F0C65"/>
    <w:rsid w:val="000F121F"/>
    <w:rsid w:val="000F1BAC"/>
    <w:rsid w:val="000F499A"/>
    <w:rsid w:val="000F56DA"/>
    <w:rsid w:val="000F6C83"/>
    <w:rsid w:val="000F7C7A"/>
    <w:rsid w:val="00103496"/>
    <w:rsid w:val="00107283"/>
    <w:rsid w:val="001072CA"/>
    <w:rsid w:val="001079F3"/>
    <w:rsid w:val="00107DB0"/>
    <w:rsid w:val="00107F23"/>
    <w:rsid w:val="0011376A"/>
    <w:rsid w:val="00114335"/>
    <w:rsid w:val="00114954"/>
    <w:rsid w:val="00115FC3"/>
    <w:rsid w:val="001174D9"/>
    <w:rsid w:val="00120200"/>
    <w:rsid w:val="0012265D"/>
    <w:rsid w:val="00122B5F"/>
    <w:rsid w:val="001230D2"/>
    <w:rsid w:val="001262CF"/>
    <w:rsid w:val="00131312"/>
    <w:rsid w:val="0013218A"/>
    <w:rsid w:val="001330E5"/>
    <w:rsid w:val="00136410"/>
    <w:rsid w:val="00136A98"/>
    <w:rsid w:val="00136BE2"/>
    <w:rsid w:val="00136E9B"/>
    <w:rsid w:val="00136FE2"/>
    <w:rsid w:val="0014005F"/>
    <w:rsid w:val="00144B01"/>
    <w:rsid w:val="001507A5"/>
    <w:rsid w:val="00153285"/>
    <w:rsid w:val="00160951"/>
    <w:rsid w:val="00160F64"/>
    <w:rsid w:val="00162C19"/>
    <w:rsid w:val="0016480A"/>
    <w:rsid w:val="00165731"/>
    <w:rsid w:val="00166522"/>
    <w:rsid w:val="001710D8"/>
    <w:rsid w:val="00174D3D"/>
    <w:rsid w:val="00174E3E"/>
    <w:rsid w:val="00175089"/>
    <w:rsid w:val="00181D20"/>
    <w:rsid w:val="0018413D"/>
    <w:rsid w:val="00185BF5"/>
    <w:rsid w:val="0018766C"/>
    <w:rsid w:val="00187F46"/>
    <w:rsid w:val="0019014E"/>
    <w:rsid w:val="00190C49"/>
    <w:rsid w:val="00191660"/>
    <w:rsid w:val="00192330"/>
    <w:rsid w:val="001934A6"/>
    <w:rsid w:val="00196F69"/>
    <w:rsid w:val="0019701C"/>
    <w:rsid w:val="001A1EA8"/>
    <w:rsid w:val="001A23FE"/>
    <w:rsid w:val="001A755B"/>
    <w:rsid w:val="001A7AD6"/>
    <w:rsid w:val="001B114A"/>
    <w:rsid w:val="001B19E8"/>
    <w:rsid w:val="001B279E"/>
    <w:rsid w:val="001B2F44"/>
    <w:rsid w:val="001B3D7B"/>
    <w:rsid w:val="001B4535"/>
    <w:rsid w:val="001B65E1"/>
    <w:rsid w:val="001B7D20"/>
    <w:rsid w:val="001C1F2D"/>
    <w:rsid w:val="001C1F62"/>
    <w:rsid w:val="001C3552"/>
    <w:rsid w:val="001C3BAE"/>
    <w:rsid w:val="001C5A1F"/>
    <w:rsid w:val="001C5DD7"/>
    <w:rsid w:val="001D50E9"/>
    <w:rsid w:val="001D5438"/>
    <w:rsid w:val="001D70D5"/>
    <w:rsid w:val="001E6C93"/>
    <w:rsid w:val="001E7524"/>
    <w:rsid w:val="001E777D"/>
    <w:rsid w:val="001E7D76"/>
    <w:rsid w:val="001F207D"/>
    <w:rsid w:val="001F3690"/>
    <w:rsid w:val="001F4FCA"/>
    <w:rsid w:val="00200C6B"/>
    <w:rsid w:val="00205EC9"/>
    <w:rsid w:val="00206955"/>
    <w:rsid w:val="0020779F"/>
    <w:rsid w:val="002101F1"/>
    <w:rsid w:val="00231850"/>
    <w:rsid w:val="002323C6"/>
    <w:rsid w:val="002351B7"/>
    <w:rsid w:val="00235656"/>
    <w:rsid w:val="00235D3C"/>
    <w:rsid w:val="00240BEB"/>
    <w:rsid w:val="00243A0C"/>
    <w:rsid w:val="002440EB"/>
    <w:rsid w:val="0024542B"/>
    <w:rsid w:val="00246C0C"/>
    <w:rsid w:val="00247358"/>
    <w:rsid w:val="002473B9"/>
    <w:rsid w:val="002477FE"/>
    <w:rsid w:val="00247C07"/>
    <w:rsid w:val="00257585"/>
    <w:rsid w:val="00260360"/>
    <w:rsid w:val="002610DD"/>
    <w:rsid w:val="00261455"/>
    <w:rsid w:val="0026194B"/>
    <w:rsid w:val="00262103"/>
    <w:rsid w:val="002625BF"/>
    <w:rsid w:val="00262E8C"/>
    <w:rsid w:val="002645FA"/>
    <w:rsid w:val="00265A67"/>
    <w:rsid w:val="00267DD5"/>
    <w:rsid w:val="00280050"/>
    <w:rsid w:val="002807C4"/>
    <w:rsid w:val="00282774"/>
    <w:rsid w:val="00284FD1"/>
    <w:rsid w:val="00287984"/>
    <w:rsid w:val="0029122C"/>
    <w:rsid w:val="00291432"/>
    <w:rsid w:val="0029267F"/>
    <w:rsid w:val="00292CC7"/>
    <w:rsid w:val="00293A0A"/>
    <w:rsid w:val="002942FB"/>
    <w:rsid w:val="00295509"/>
    <w:rsid w:val="00296DD4"/>
    <w:rsid w:val="002A023E"/>
    <w:rsid w:val="002A1A96"/>
    <w:rsid w:val="002A3A89"/>
    <w:rsid w:val="002A4F15"/>
    <w:rsid w:val="002A5B81"/>
    <w:rsid w:val="002B0FB4"/>
    <w:rsid w:val="002B110C"/>
    <w:rsid w:val="002B53F5"/>
    <w:rsid w:val="002B5776"/>
    <w:rsid w:val="002B7D9C"/>
    <w:rsid w:val="002B7DA1"/>
    <w:rsid w:val="002C072D"/>
    <w:rsid w:val="002C4C53"/>
    <w:rsid w:val="002C4F58"/>
    <w:rsid w:val="002D0D6D"/>
    <w:rsid w:val="002D3CDB"/>
    <w:rsid w:val="002D4588"/>
    <w:rsid w:val="002D4F37"/>
    <w:rsid w:val="002E117A"/>
    <w:rsid w:val="002E2DC2"/>
    <w:rsid w:val="002E4741"/>
    <w:rsid w:val="002E4E3A"/>
    <w:rsid w:val="002E5EC0"/>
    <w:rsid w:val="002E7153"/>
    <w:rsid w:val="002F130A"/>
    <w:rsid w:val="002F3AAB"/>
    <w:rsid w:val="002F5114"/>
    <w:rsid w:val="002F6426"/>
    <w:rsid w:val="002F6C48"/>
    <w:rsid w:val="00302A6B"/>
    <w:rsid w:val="003039A5"/>
    <w:rsid w:val="003044C3"/>
    <w:rsid w:val="0030477F"/>
    <w:rsid w:val="00310761"/>
    <w:rsid w:val="00321DB1"/>
    <w:rsid w:val="003241D5"/>
    <w:rsid w:val="00330D6C"/>
    <w:rsid w:val="00335753"/>
    <w:rsid w:val="0033660C"/>
    <w:rsid w:val="00337F1A"/>
    <w:rsid w:val="0034361D"/>
    <w:rsid w:val="00344DA9"/>
    <w:rsid w:val="00346C25"/>
    <w:rsid w:val="003502C1"/>
    <w:rsid w:val="003503CD"/>
    <w:rsid w:val="003538EA"/>
    <w:rsid w:val="0035393F"/>
    <w:rsid w:val="00361E81"/>
    <w:rsid w:val="00363C72"/>
    <w:rsid w:val="00365619"/>
    <w:rsid w:val="003657B7"/>
    <w:rsid w:val="00365A62"/>
    <w:rsid w:val="00367D12"/>
    <w:rsid w:val="0037408C"/>
    <w:rsid w:val="003750E3"/>
    <w:rsid w:val="003751F0"/>
    <w:rsid w:val="00377CAA"/>
    <w:rsid w:val="00382475"/>
    <w:rsid w:val="0038476C"/>
    <w:rsid w:val="00384E41"/>
    <w:rsid w:val="003851C6"/>
    <w:rsid w:val="00386518"/>
    <w:rsid w:val="00386D62"/>
    <w:rsid w:val="00387D89"/>
    <w:rsid w:val="003919D0"/>
    <w:rsid w:val="00395023"/>
    <w:rsid w:val="0039516F"/>
    <w:rsid w:val="00396FBF"/>
    <w:rsid w:val="003A0904"/>
    <w:rsid w:val="003A16DE"/>
    <w:rsid w:val="003A24EB"/>
    <w:rsid w:val="003A4DE5"/>
    <w:rsid w:val="003A5B7A"/>
    <w:rsid w:val="003A5D5E"/>
    <w:rsid w:val="003A6108"/>
    <w:rsid w:val="003B10EC"/>
    <w:rsid w:val="003B1F0E"/>
    <w:rsid w:val="003B2313"/>
    <w:rsid w:val="003B276E"/>
    <w:rsid w:val="003B2C24"/>
    <w:rsid w:val="003B3B79"/>
    <w:rsid w:val="003B3EDE"/>
    <w:rsid w:val="003B46A4"/>
    <w:rsid w:val="003B7260"/>
    <w:rsid w:val="003C0C97"/>
    <w:rsid w:val="003C1E4D"/>
    <w:rsid w:val="003C2C12"/>
    <w:rsid w:val="003C2C91"/>
    <w:rsid w:val="003C3581"/>
    <w:rsid w:val="003C64C8"/>
    <w:rsid w:val="003C6B80"/>
    <w:rsid w:val="003D04D2"/>
    <w:rsid w:val="003D055F"/>
    <w:rsid w:val="003D0754"/>
    <w:rsid w:val="003D0B09"/>
    <w:rsid w:val="003D24EB"/>
    <w:rsid w:val="003D3652"/>
    <w:rsid w:val="003D3A74"/>
    <w:rsid w:val="003D4BD8"/>
    <w:rsid w:val="003D532A"/>
    <w:rsid w:val="003D5400"/>
    <w:rsid w:val="003D7A2B"/>
    <w:rsid w:val="003E646C"/>
    <w:rsid w:val="003E7D92"/>
    <w:rsid w:val="003F0039"/>
    <w:rsid w:val="003F147A"/>
    <w:rsid w:val="003F368D"/>
    <w:rsid w:val="003F37F3"/>
    <w:rsid w:val="003F451A"/>
    <w:rsid w:val="003F4EA3"/>
    <w:rsid w:val="003F52BE"/>
    <w:rsid w:val="003F5BC0"/>
    <w:rsid w:val="003F5DC9"/>
    <w:rsid w:val="004035D2"/>
    <w:rsid w:val="00405433"/>
    <w:rsid w:val="00406950"/>
    <w:rsid w:val="0041122B"/>
    <w:rsid w:val="004122DB"/>
    <w:rsid w:val="00415FC9"/>
    <w:rsid w:val="00420235"/>
    <w:rsid w:val="00421427"/>
    <w:rsid w:val="004215CB"/>
    <w:rsid w:val="004223C3"/>
    <w:rsid w:val="00426511"/>
    <w:rsid w:val="0042672C"/>
    <w:rsid w:val="0043023E"/>
    <w:rsid w:val="00430AF5"/>
    <w:rsid w:val="00431719"/>
    <w:rsid w:val="00433355"/>
    <w:rsid w:val="004346AC"/>
    <w:rsid w:val="00436F6A"/>
    <w:rsid w:val="004371B0"/>
    <w:rsid w:val="0043778F"/>
    <w:rsid w:val="00437895"/>
    <w:rsid w:val="00440E28"/>
    <w:rsid w:val="00441D91"/>
    <w:rsid w:val="0044240E"/>
    <w:rsid w:val="00442E61"/>
    <w:rsid w:val="00442F81"/>
    <w:rsid w:val="0044418F"/>
    <w:rsid w:val="00444E26"/>
    <w:rsid w:val="00445B54"/>
    <w:rsid w:val="0044660C"/>
    <w:rsid w:val="00447B99"/>
    <w:rsid w:val="004523D3"/>
    <w:rsid w:val="00453D34"/>
    <w:rsid w:val="00455CCE"/>
    <w:rsid w:val="00455EF5"/>
    <w:rsid w:val="00456168"/>
    <w:rsid w:val="00460D54"/>
    <w:rsid w:val="00465C35"/>
    <w:rsid w:val="00466023"/>
    <w:rsid w:val="00472154"/>
    <w:rsid w:val="004723C2"/>
    <w:rsid w:val="00472D85"/>
    <w:rsid w:val="00473C49"/>
    <w:rsid w:val="00476873"/>
    <w:rsid w:val="00480703"/>
    <w:rsid w:val="00480988"/>
    <w:rsid w:val="00483ADB"/>
    <w:rsid w:val="004854C2"/>
    <w:rsid w:val="0048590C"/>
    <w:rsid w:val="00491485"/>
    <w:rsid w:val="004918AE"/>
    <w:rsid w:val="0049363E"/>
    <w:rsid w:val="0049501F"/>
    <w:rsid w:val="00497E1C"/>
    <w:rsid w:val="004A4D87"/>
    <w:rsid w:val="004A4E7F"/>
    <w:rsid w:val="004A6F12"/>
    <w:rsid w:val="004A740E"/>
    <w:rsid w:val="004A79E6"/>
    <w:rsid w:val="004B00C6"/>
    <w:rsid w:val="004B46C0"/>
    <w:rsid w:val="004B4D2F"/>
    <w:rsid w:val="004B7AD3"/>
    <w:rsid w:val="004C1926"/>
    <w:rsid w:val="004C2821"/>
    <w:rsid w:val="004C305C"/>
    <w:rsid w:val="004C3665"/>
    <w:rsid w:val="004C38E1"/>
    <w:rsid w:val="004C55E6"/>
    <w:rsid w:val="004C6AF6"/>
    <w:rsid w:val="004D06BC"/>
    <w:rsid w:val="004D1542"/>
    <w:rsid w:val="004D2209"/>
    <w:rsid w:val="004D479D"/>
    <w:rsid w:val="004D4BF9"/>
    <w:rsid w:val="004D6AEC"/>
    <w:rsid w:val="004D7870"/>
    <w:rsid w:val="004E0BBC"/>
    <w:rsid w:val="004E1DBD"/>
    <w:rsid w:val="004E4C35"/>
    <w:rsid w:val="004E5B4A"/>
    <w:rsid w:val="004F378F"/>
    <w:rsid w:val="004F6361"/>
    <w:rsid w:val="00500725"/>
    <w:rsid w:val="005008D3"/>
    <w:rsid w:val="00502F9C"/>
    <w:rsid w:val="00511F0D"/>
    <w:rsid w:val="00514260"/>
    <w:rsid w:val="005142AD"/>
    <w:rsid w:val="00516B36"/>
    <w:rsid w:val="005206D7"/>
    <w:rsid w:val="0052149E"/>
    <w:rsid w:val="00521B7F"/>
    <w:rsid w:val="00524284"/>
    <w:rsid w:val="00531D53"/>
    <w:rsid w:val="00532044"/>
    <w:rsid w:val="00532C36"/>
    <w:rsid w:val="005334A2"/>
    <w:rsid w:val="00536C76"/>
    <w:rsid w:val="00536EB6"/>
    <w:rsid w:val="00537F35"/>
    <w:rsid w:val="00540761"/>
    <w:rsid w:val="00540D62"/>
    <w:rsid w:val="0054141E"/>
    <w:rsid w:val="00542528"/>
    <w:rsid w:val="00545C16"/>
    <w:rsid w:val="00545FA6"/>
    <w:rsid w:val="00546645"/>
    <w:rsid w:val="00546867"/>
    <w:rsid w:val="0054765C"/>
    <w:rsid w:val="005477A9"/>
    <w:rsid w:val="005504C6"/>
    <w:rsid w:val="00550A60"/>
    <w:rsid w:val="005537AB"/>
    <w:rsid w:val="00554AD3"/>
    <w:rsid w:val="00554F4B"/>
    <w:rsid w:val="00562773"/>
    <w:rsid w:val="005638D3"/>
    <w:rsid w:val="00573146"/>
    <w:rsid w:val="00575555"/>
    <w:rsid w:val="00577F70"/>
    <w:rsid w:val="00580474"/>
    <w:rsid w:val="0058111A"/>
    <w:rsid w:val="00581C0F"/>
    <w:rsid w:val="00583DF2"/>
    <w:rsid w:val="00583FEA"/>
    <w:rsid w:val="00584706"/>
    <w:rsid w:val="005858B1"/>
    <w:rsid w:val="00585C9C"/>
    <w:rsid w:val="00585E77"/>
    <w:rsid w:val="0058756E"/>
    <w:rsid w:val="00592801"/>
    <w:rsid w:val="0059414B"/>
    <w:rsid w:val="005A047E"/>
    <w:rsid w:val="005A6232"/>
    <w:rsid w:val="005A76DF"/>
    <w:rsid w:val="005B2DEF"/>
    <w:rsid w:val="005B30EC"/>
    <w:rsid w:val="005B59C1"/>
    <w:rsid w:val="005B6EF4"/>
    <w:rsid w:val="005B77D7"/>
    <w:rsid w:val="005C0BBC"/>
    <w:rsid w:val="005C214D"/>
    <w:rsid w:val="005C3A78"/>
    <w:rsid w:val="005C7C27"/>
    <w:rsid w:val="005D0919"/>
    <w:rsid w:val="005D0DA6"/>
    <w:rsid w:val="005D119E"/>
    <w:rsid w:val="005D1F6D"/>
    <w:rsid w:val="005D2400"/>
    <w:rsid w:val="005D6721"/>
    <w:rsid w:val="005E091B"/>
    <w:rsid w:val="005E0BC3"/>
    <w:rsid w:val="005E1172"/>
    <w:rsid w:val="005E1551"/>
    <w:rsid w:val="005E2CD6"/>
    <w:rsid w:val="005E571F"/>
    <w:rsid w:val="005F12DB"/>
    <w:rsid w:val="005F25CA"/>
    <w:rsid w:val="005F2D1F"/>
    <w:rsid w:val="005F54C9"/>
    <w:rsid w:val="005F5572"/>
    <w:rsid w:val="005F69B3"/>
    <w:rsid w:val="005F7378"/>
    <w:rsid w:val="00603583"/>
    <w:rsid w:val="00603678"/>
    <w:rsid w:val="00603ABF"/>
    <w:rsid w:val="006074BE"/>
    <w:rsid w:val="0060758D"/>
    <w:rsid w:val="00607679"/>
    <w:rsid w:val="00611993"/>
    <w:rsid w:val="0061203A"/>
    <w:rsid w:val="0061233F"/>
    <w:rsid w:val="00612B09"/>
    <w:rsid w:val="00615549"/>
    <w:rsid w:val="006177EF"/>
    <w:rsid w:val="006210BF"/>
    <w:rsid w:val="00621E3E"/>
    <w:rsid w:val="006224FE"/>
    <w:rsid w:val="0062305E"/>
    <w:rsid w:val="00624595"/>
    <w:rsid w:val="006252E9"/>
    <w:rsid w:val="00625D56"/>
    <w:rsid w:val="00627CA5"/>
    <w:rsid w:val="0063075A"/>
    <w:rsid w:val="00631299"/>
    <w:rsid w:val="00640EFD"/>
    <w:rsid w:val="0064611E"/>
    <w:rsid w:val="00646D47"/>
    <w:rsid w:val="006479C2"/>
    <w:rsid w:val="00650A4B"/>
    <w:rsid w:val="00651CEF"/>
    <w:rsid w:val="006555C3"/>
    <w:rsid w:val="00657246"/>
    <w:rsid w:val="00661E51"/>
    <w:rsid w:val="00665924"/>
    <w:rsid w:val="00666C99"/>
    <w:rsid w:val="00667230"/>
    <w:rsid w:val="00667836"/>
    <w:rsid w:val="0067085E"/>
    <w:rsid w:val="00672BA7"/>
    <w:rsid w:val="00672BC8"/>
    <w:rsid w:val="00673FEA"/>
    <w:rsid w:val="00674F48"/>
    <w:rsid w:val="006808AB"/>
    <w:rsid w:val="00682367"/>
    <w:rsid w:val="006838B8"/>
    <w:rsid w:val="00685590"/>
    <w:rsid w:val="00686688"/>
    <w:rsid w:val="0068690C"/>
    <w:rsid w:val="00691770"/>
    <w:rsid w:val="00694692"/>
    <w:rsid w:val="00695274"/>
    <w:rsid w:val="0069597B"/>
    <w:rsid w:val="00695ADD"/>
    <w:rsid w:val="0069754B"/>
    <w:rsid w:val="00697AE8"/>
    <w:rsid w:val="006A1FA7"/>
    <w:rsid w:val="006A507C"/>
    <w:rsid w:val="006A62A0"/>
    <w:rsid w:val="006A6C7D"/>
    <w:rsid w:val="006A7285"/>
    <w:rsid w:val="006B0179"/>
    <w:rsid w:val="006B47FD"/>
    <w:rsid w:val="006B55A2"/>
    <w:rsid w:val="006B6241"/>
    <w:rsid w:val="006B7DE5"/>
    <w:rsid w:val="006C0DF1"/>
    <w:rsid w:val="006C188F"/>
    <w:rsid w:val="006C1D6A"/>
    <w:rsid w:val="006C31A6"/>
    <w:rsid w:val="006C394A"/>
    <w:rsid w:val="006C4C31"/>
    <w:rsid w:val="006C4F37"/>
    <w:rsid w:val="006C6EA0"/>
    <w:rsid w:val="006C725C"/>
    <w:rsid w:val="006C736A"/>
    <w:rsid w:val="006D04F1"/>
    <w:rsid w:val="006D0A77"/>
    <w:rsid w:val="006D0B1B"/>
    <w:rsid w:val="006D282A"/>
    <w:rsid w:val="006D2D2A"/>
    <w:rsid w:val="006D2D94"/>
    <w:rsid w:val="006D3EDE"/>
    <w:rsid w:val="006D63C8"/>
    <w:rsid w:val="006D6E4B"/>
    <w:rsid w:val="006D7186"/>
    <w:rsid w:val="006D73A3"/>
    <w:rsid w:val="006E30C3"/>
    <w:rsid w:val="006E64D7"/>
    <w:rsid w:val="006E6554"/>
    <w:rsid w:val="006F0193"/>
    <w:rsid w:val="006F112F"/>
    <w:rsid w:val="006F1A77"/>
    <w:rsid w:val="006F1D87"/>
    <w:rsid w:val="006F2C19"/>
    <w:rsid w:val="006F730E"/>
    <w:rsid w:val="006F7415"/>
    <w:rsid w:val="006F770D"/>
    <w:rsid w:val="00702315"/>
    <w:rsid w:val="007027DE"/>
    <w:rsid w:val="007036F5"/>
    <w:rsid w:val="00705D26"/>
    <w:rsid w:val="00706FCD"/>
    <w:rsid w:val="00707292"/>
    <w:rsid w:val="007074F2"/>
    <w:rsid w:val="00707C22"/>
    <w:rsid w:val="00707E86"/>
    <w:rsid w:val="00710C4B"/>
    <w:rsid w:val="007128B6"/>
    <w:rsid w:val="00712E2D"/>
    <w:rsid w:val="00713261"/>
    <w:rsid w:val="00715A62"/>
    <w:rsid w:val="00720914"/>
    <w:rsid w:val="00721EE0"/>
    <w:rsid w:val="0072490A"/>
    <w:rsid w:val="00724C4E"/>
    <w:rsid w:val="00725016"/>
    <w:rsid w:val="00726C0E"/>
    <w:rsid w:val="00730EB5"/>
    <w:rsid w:val="00733F31"/>
    <w:rsid w:val="0073464A"/>
    <w:rsid w:val="0073616F"/>
    <w:rsid w:val="007362F9"/>
    <w:rsid w:val="0074040E"/>
    <w:rsid w:val="00743F3C"/>
    <w:rsid w:val="00743FF0"/>
    <w:rsid w:val="007504F2"/>
    <w:rsid w:val="0075060C"/>
    <w:rsid w:val="00751C70"/>
    <w:rsid w:val="00753EF5"/>
    <w:rsid w:val="00753EF7"/>
    <w:rsid w:val="00756C40"/>
    <w:rsid w:val="00761415"/>
    <w:rsid w:val="00761B74"/>
    <w:rsid w:val="00762A65"/>
    <w:rsid w:val="0076300B"/>
    <w:rsid w:val="00764E91"/>
    <w:rsid w:val="00766195"/>
    <w:rsid w:val="0076704B"/>
    <w:rsid w:val="00770BF1"/>
    <w:rsid w:val="0077142B"/>
    <w:rsid w:val="00775D00"/>
    <w:rsid w:val="00781325"/>
    <w:rsid w:val="00783E76"/>
    <w:rsid w:val="007855F4"/>
    <w:rsid w:val="00785C0D"/>
    <w:rsid w:val="00786580"/>
    <w:rsid w:val="007876E2"/>
    <w:rsid w:val="007916C7"/>
    <w:rsid w:val="007922DB"/>
    <w:rsid w:val="00796130"/>
    <w:rsid w:val="0079751D"/>
    <w:rsid w:val="007A23F4"/>
    <w:rsid w:val="007A2BEE"/>
    <w:rsid w:val="007B191C"/>
    <w:rsid w:val="007B3CD1"/>
    <w:rsid w:val="007B5D03"/>
    <w:rsid w:val="007B7606"/>
    <w:rsid w:val="007C0661"/>
    <w:rsid w:val="007C0BA7"/>
    <w:rsid w:val="007C2758"/>
    <w:rsid w:val="007C3180"/>
    <w:rsid w:val="007C44A2"/>
    <w:rsid w:val="007C4EC0"/>
    <w:rsid w:val="007D0042"/>
    <w:rsid w:val="007D2166"/>
    <w:rsid w:val="007D22D9"/>
    <w:rsid w:val="007D2ED5"/>
    <w:rsid w:val="007D3163"/>
    <w:rsid w:val="007D3EFA"/>
    <w:rsid w:val="007D754F"/>
    <w:rsid w:val="007D7749"/>
    <w:rsid w:val="007E0645"/>
    <w:rsid w:val="007E0A03"/>
    <w:rsid w:val="007E281B"/>
    <w:rsid w:val="007E2AC0"/>
    <w:rsid w:val="007E508F"/>
    <w:rsid w:val="007E5152"/>
    <w:rsid w:val="007E6053"/>
    <w:rsid w:val="007E64CE"/>
    <w:rsid w:val="007E7ACD"/>
    <w:rsid w:val="007F00BC"/>
    <w:rsid w:val="007F1C1A"/>
    <w:rsid w:val="007F5E74"/>
    <w:rsid w:val="007F6D2C"/>
    <w:rsid w:val="008015F2"/>
    <w:rsid w:val="00801767"/>
    <w:rsid w:val="00803D2D"/>
    <w:rsid w:val="00804684"/>
    <w:rsid w:val="00804CB5"/>
    <w:rsid w:val="00804D5B"/>
    <w:rsid w:val="008054A3"/>
    <w:rsid w:val="00807C4B"/>
    <w:rsid w:val="00811A57"/>
    <w:rsid w:val="00812558"/>
    <w:rsid w:val="0081281F"/>
    <w:rsid w:val="0081790A"/>
    <w:rsid w:val="00822F44"/>
    <w:rsid w:val="00822FC0"/>
    <w:rsid w:val="00825350"/>
    <w:rsid w:val="008254B4"/>
    <w:rsid w:val="00826694"/>
    <w:rsid w:val="00831693"/>
    <w:rsid w:val="00836615"/>
    <w:rsid w:val="0084092C"/>
    <w:rsid w:val="00840D91"/>
    <w:rsid w:val="00842226"/>
    <w:rsid w:val="00845610"/>
    <w:rsid w:val="008457B8"/>
    <w:rsid w:val="0084721E"/>
    <w:rsid w:val="00853080"/>
    <w:rsid w:val="00853703"/>
    <w:rsid w:val="00855BE7"/>
    <w:rsid w:val="008567B4"/>
    <w:rsid w:val="00856C95"/>
    <w:rsid w:val="008573A5"/>
    <w:rsid w:val="00860274"/>
    <w:rsid w:val="00866998"/>
    <w:rsid w:val="00866DE9"/>
    <w:rsid w:val="00866E9A"/>
    <w:rsid w:val="008677F3"/>
    <w:rsid w:val="008755EB"/>
    <w:rsid w:val="00875763"/>
    <w:rsid w:val="00875954"/>
    <w:rsid w:val="00875F8F"/>
    <w:rsid w:val="00876266"/>
    <w:rsid w:val="00881A83"/>
    <w:rsid w:val="00881D4E"/>
    <w:rsid w:val="00881F7C"/>
    <w:rsid w:val="00882CD8"/>
    <w:rsid w:val="008848EE"/>
    <w:rsid w:val="008854EB"/>
    <w:rsid w:val="0088733C"/>
    <w:rsid w:val="008903D2"/>
    <w:rsid w:val="0089268A"/>
    <w:rsid w:val="008927FF"/>
    <w:rsid w:val="00892928"/>
    <w:rsid w:val="00893BE7"/>
    <w:rsid w:val="00894227"/>
    <w:rsid w:val="008947CE"/>
    <w:rsid w:val="00894A10"/>
    <w:rsid w:val="00896A18"/>
    <w:rsid w:val="00896A7F"/>
    <w:rsid w:val="008A2EF0"/>
    <w:rsid w:val="008A3441"/>
    <w:rsid w:val="008A49BA"/>
    <w:rsid w:val="008A62C1"/>
    <w:rsid w:val="008A6550"/>
    <w:rsid w:val="008A66CF"/>
    <w:rsid w:val="008A6C91"/>
    <w:rsid w:val="008B2B6F"/>
    <w:rsid w:val="008B5198"/>
    <w:rsid w:val="008B563C"/>
    <w:rsid w:val="008C027D"/>
    <w:rsid w:val="008C46C2"/>
    <w:rsid w:val="008C4728"/>
    <w:rsid w:val="008C6EAB"/>
    <w:rsid w:val="008D021B"/>
    <w:rsid w:val="008D0FE8"/>
    <w:rsid w:val="008D2DFB"/>
    <w:rsid w:val="008D4119"/>
    <w:rsid w:val="008D52C7"/>
    <w:rsid w:val="008E060A"/>
    <w:rsid w:val="008E2D91"/>
    <w:rsid w:val="008E5C7D"/>
    <w:rsid w:val="008E5E4D"/>
    <w:rsid w:val="008F0116"/>
    <w:rsid w:val="008F0397"/>
    <w:rsid w:val="008F11F7"/>
    <w:rsid w:val="008F2C45"/>
    <w:rsid w:val="008F2D1A"/>
    <w:rsid w:val="008F42E2"/>
    <w:rsid w:val="008F5E6E"/>
    <w:rsid w:val="008F7FF3"/>
    <w:rsid w:val="00900C12"/>
    <w:rsid w:val="0090207B"/>
    <w:rsid w:val="00905B62"/>
    <w:rsid w:val="00905C01"/>
    <w:rsid w:val="00906EB0"/>
    <w:rsid w:val="00907CCB"/>
    <w:rsid w:val="00910A89"/>
    <w:rsid w:val="00910CF5"/>
    <w:rsid w:val="0091109F"/>
    <w:rsid w:val="0091214B"/>
    <w:rsid w:val="00912E2B"/>
    <w:rsid w:val="009136A6"/>
    <w:rsid w:val="00914A84"/>
    <w:rsid w:val="009152C8"/>
    <w:rsid w:val="00917E7E"/>
    <w:rsid w:val="00922003"/>
    <w:rsid w:val="00922C8C"/>
    <w:rsid w:val="00922E8E"/>
    <w:rsid w:val="009234F8"/>
    <w:rsid w:val="00924A1F"/>
    <w:rsid w:val="00925078"/>
    <w:rsid w:val="00925FE1"/>
    <w:rsid w:val="00926FDA"/>
    <w:rsid w:val="00930319"/>
    <w:rsid w:val="00930469"/>
    <w:rsid w:val="00932286"/>
    <w:rsid w:val="00932440"/>
    <w:rsid w:val="0093342E"/>
    <w:rsid w:val="0093402D"/>
    <w:rsid w:val="009368A7"/>
    <w:rsid w:val="00936CF3"/>
    <w:rsid w:val="00940AF8"/>
    <w:rsid w:val="00941C0E"/>
    <w:rsid w:val="009427F4"/>
    <w:rsid w:val="00944370"/>
    <w:rsid w:val="00945DCE"/>
    <w:rsid w:val="00947C12"/>
    <w:rsid w:val="00950DA8"/>
    <w:rsid w:val="00951C5A"/>
    <w:rsid w:val="00951F7A"/>
    <w:rsid w:val="00954898"/>
    <w:rsid w:val="00954CFF"/>
    <w:rsid w:val="00954FBE"/>
    <w:rsid w:val="00954FCE"/>
    <w:rsid w:val="0095516F"/>
    <w:rsid w:val="00957A4B"/>
    <w:rsid w:val="00957A9C"/>
    <w:rsid w:val="00960018"/>
    <w:rsid w:val="00960484"/>
    <w:rsid w:val="00962447"/>
    <w:rsid w:val="00963214"/>
    <w:rsid w:val="0096519A"/>
    <w:rsid w:val="00965460"/>
    <w:rsid w:val="009654FE"/>
    <w:rsid w:val="0096696B"/>
    <w:rsid w:val="00966B0B"/>
    <w:rsid w:val="00971C8D"/>
    <w:rsid w:val="00971FFE"/>
    <w:rsid w:val="0097239A"/>
    <w:rsid w:val="009736C2"/>
    <w:rsid w:val="0097533D"/>
    <w:rsid w:val="00975A1D"/>
    <w:rsid w:val="0097707A"/>
    <w:rsid w:val="00980069"/>
    <w:rsid w:val="009806B7"/>
    <w:rsid w:val="00980FDA"/>
    <w:rsid w:val="009812D6"/>
    <w:rsid w:val="00982EDA"/>
    <w:rsid w:val="00983223"/>
    <w:rsid w:val="00983C15"/>
    <w:rsid w:val="009844B1"/>
    <w:rsid w:val="00984B4D"/>
    <w:rsid w:val="00985841"/>
    <w:rsid w:val="00993DAE"/>
    <w:rsid w:val="0099401D"/>
    <w:rsid w:val="00994B16"/>
    <w:rsid w:val="00994E91"/>
    <w:rsid w:val="009952DD"/>
    <w:rsid w:val="00995730"/>
    <w:rsid w:val="00995DDA"/>
    <w:rsid w:val="00996EDC"/>
    <w:rsid w:val="0099763E"/>
    <w:rsid w:val="009A073D"/>
    <w:rsid w:val="009A3154"/>
    <w:rsid w:val="009A64E5"/>
    <w:rsid w:val="009A7780"/>
    <w:rsid w:val="009B498C"/>
    <w:rsid w:val="009B6BC5"/>
    <w:rsid w:val="009B701E"/>
    <w:rsid w:val="009B7249"/>
    <w:rsid w:val="009B7755"/>
    <w:rsid w:val="009B7DC6"/>
    <w:rsid w:val="009C158B"/>
    <w:rsid w:val="009C30B4"/>
    <w:rsid w:val="009C3A4D"/>
    <w:rsid w:val="009C54D4"/>
    <w:rsid w:val="009C56F8"/>
    <w:rsid w:val="009C69E8"/>
    <w:rsid w:val="009D09AC"/>
    <w:rsid w:val="009D0A83"/>
    <w:rsid w:val="009D0E26"/>
    <w:rsid w:val="009D0FBA"/>
    <w:rsid w:val="009D488C"/>
    <w:rsid w:val="009D75EC"/>
    <w:rsid w:val="009E0F76"/>
    <w:rsid w:val="009E2A76"/>
    <w:rsid w:val="009E3E06"/>
    <w:rsid w:val="009E46CB"/>
    <w:rsid w:val="009E5AAC"/>
    <w:rsid w:val="009E6260"/>
    <w:rsid w:val="009F05A2"/>
    <w:rsid w:val="009F09A0"/>
    <w:rsid w:val="009F211C"/>
    <w:rsid w:val="009F2AC0"/>
    <w:rsid w:val="009F4912"/>
    <w:rsid w:val="009F4D80"/>
    <w:rsid w:val="00A00B94"/>
    <w:rsid w:val="00A033D2"/>
    <w:rsid w:val="00A05B78"/>
    <w:rsid w:val="00A0764B"/>
    <w:rsid w:val="00A07886"/>
    <w:rsid w:val="00A10BE1"/>
    <w:rsid w:val="00A15A01"/>
    <w:rsid w:val="00A15F05"/>
    <w:rsid w:val="00A22762"/>
    <w:rsid w:val="00A22AEF"/>
    <w:rsid w:val="00A2336F"/>
    <w:rsid w:val="00A233C1"/>
    <w:rsid w:val="00A2477F"/>
    <w:rsid w:val="00A247A0"/>
    <w:rsid w:val="00A26284"/>
    <w:rsid w:val="00A26DE9"/>
    <w:rsid w:val="00A27497"/>
    <w:rsid w:val="00A30337"/>
    <w:rsid w:val="00A34F5C"/>
    <w:rsid w:val="00A350D4"/>
    <w:rsid w:val="00A35477"/>
    <w:rsid w:val="00A35579"/>
    <w:rsid w:val="00A3660D"/>
    <w:rsid w:val="00A40138"/>
    <w:rsid w:val="00A40571"/>
    <w:rsid w:val="00A4364E"/>
    <w:rsid w:val="00A44AFD"/>
    <w:rsid w:val="00A476BB"/>
    <w:rsid w:val="00A50410"/>
    <w:rsid w:val="00A5060C"/>
    <w:rsid w:val="00A51B44"/>
    <w:rsid w:val="00A52D89"/>
    <w:rsid w:val="00A5489B"/>
    <w:rsid w:val="00A54E2A"/>
    <w:rsid w:val="00A553EA"/>
    <w:rsid w:val="00A554DA"/>
    <w:rsid w:val="00A60CCA"/>
    <w:rsid w:val="00A611EB"/>
    <w:rsid w:val="00A66EBE"/>
    <w:rsid w:val="00A679D4"/>
    <w:rsid w:val="00A713C3"/>
    <w:rsid w:val="00A731EB"/>
    <w:rsid w:val="00A74262"/>
    <w:rsid w:val="00A80309"/>
    <w:rsid w:val="00A80BAE"/>
    <w:rsid w:val="00A80F2F"/>
    <w:rsid w:val="00A824F3"/>
    <w:rsid w:val="00A839A4"/>
    <w:rsid w:val="00A842B8"/>
    <w:rsid w:val="00A846D6"/>
    <w:rsid w:val="00A86573"/>
    <w:rsid w:val="00A87026"/>
    <w:rsid w:val="00A91057"/>
    <w:rsid w:val="00A910E5"/>
    <w:rsid w:val="00A944BE"/>
    <w:rsid w:val="00A97F72"/>
    <w:rsid w:val="00AA003F"/>
    <w:rsid w:val="00AA0F4C"/>
    <w:rsid w:val="00AA6B2E"/>
    <w:rsid w:val="00AB317B"/>
    <w:rsid w:val="00AB42C6"/>
    <w:rsid w:val="00AB4C7A"/>
    <w:rsid w:val="00AB51D9"/>
    <w:rsid w:val="00AB7893"/>
    <w:rsid w:val="00AC085B"/>
    <w:rsid w:val="00AC0899"/>
    <w:rsid w:val="00AC3FA2"/>
    <w:rsid w:val="00AC61FE"/>
    <w:rsid w:val="00AC64E7"/>
    <w:rsid w:val="00AC6FC6"/>
    <w:rsid w:val="00AD136F"/>
    <w:rsid w:val="00AD1796"/>
    <w:rsid w:val="00AD3AC3"/>
    <w:rsid w:val="00AD47B3"/>
    <w:rsid w:val="00AD53FB"/>
    <w:rsid w:val="00AD6774"/>
    <w:rsid w:val="00AD6F6A"/>
    <w:rsid w:val="00AD72D6"/>
    <w:rsid w:val="00AE1591"/>
    <w:rsid w:val="00AE1E60"/>
    <w:rsid w:val="00AE2840"/>
    <w:rsid w:val="00AE2E70"/>
    <w:rsid w:val="00AE346E"/>
    <w:rsid w:val="00AE438D"/>
    <w:rsid w:val="00AF0167"/>
    <w:rsid w:val="00AF066F"/>
    <w:rsid w:val="00AF2723"/>
    <w:rsid w:val="00AF42F0"/>
    <w:rsid w:val="00AF5902"/>
    <w:rsid w:val="00B00082"/>
    <w:rsid w:val="00B00536"/>
    <w:rsid w:val="00B022A8"/>
    <w:rsid w:val="00B0278C"/>
    <w:rsid w:val="00B03F33"/>
    <w:rsid w:val="00B064EE"/>
    <w:rsid w:val="00B06E49"/>
    <w:rsid w:val="00B1036E"/>
    <w:rsid w:val="00B1052E"/>
    <w:rsid w:val="00B109C5"/>
    <w:rsid w:val="00B11EA3"/>
    <w:rsid w:val="00B13653"/>
    <w:rsid w:val="00B162CC"/>
    <w:rsid w:val="00B17686"/>
    <w:rsid w:val="00B20C88"/>
    <w:rsid w:val="00B20F88"/>
    <w:rsid w:val="00B21C92"/>
    <w:rsid w:val="00B24511"/>
    <w:rsid w:val="00B25A69"/>
    <w:rsid w:val="00B2664D"/>
    <w:rsid w:val="00B27D08"/>
    <w:rsid w:val="00B327BE"/>
    <w:rsid w:val="00B3501A"/>
    <w:rsid w:val="00B36244"/>
    <w:rsid w:val="00B3723A"/>
    <w:rsid w:val="00B37B77"/>
    <w:rsid w:val="00B448E0"/>
    <w:rsid w:val="00B473EC"/>
    <w:rsid w:val="00B50020"/>
    <w:rsid w:val="00B50258"/>
    <w:rsid w:val="00B50FCD"/>
    <w:rsid w:val="00B52025"/>
    <w:rsid w:val="00B6080A"/>
    <w:rsid w:val="00B61F03"/>
    <w:rsid w:val="00B625DF"/>
    <w:rsid w:val="00B64CF2"/>
    <w:rsid w:val="00B721B6"/>
    <w:rsid w:val="00B74645"/>
    <w:rsid w:val="00B74C49"/>
    <w:rsid w:val="00B76A91"/>
    <w:rsid w:val="00B76CD7"/>
    <w:rsid w:val="00B76EEB"/>
    <w:rsid w:val="00B7711B"/>
    <w:rsid w:val="00B7725E"/>
    <w:rsid w:val="00B82C77"/>
    <w:rsid w:val="00B8452F"/>
    <w:rsid w:val="00B849EF"/>
    <w:rsid w:val="00B84B69"/>
    <w:rsid w:val="00B86421"/>
    <w:rsid w:val="00B90759"/>
    <w:rsid w:val="00B90E48"/>
    <w:rsid w:val="00B916B9"/>
    <w:rsid w:val="00B939CE"/>
    <w:rsid w:val="00B9468F"/>
    <w:rsid w:val="00B95FEC"/>
    <w:rsid w:val="00B9665E"/>
    <w:rsid w:val="00BA009E"/>
    <w:rsid w:val="00BA04DF"/>
    <w:rsid w:val="00BA1199"/>
    <w:rsid w:val="00BA1328"/>
    <w:rsid w:val="00BA3C23"/>
    <w:rsid w:val="00BA59A6"/>
    <w:rsid w:val="00BA7584"/>
    <w:rsid w:val="00BB032B"/>
    <w:rsid w:val="00BB0EF8"/>
    <w:rsid w:val="00BB66D4"/>
    <w:rsid w:val="00BC3570"/>
    <w:rsid w:val="00BC38E6"/>
    <w:rsid w:val="00BC5042"/>
    <w:rsid w:val="00BC6956"/>
    <w:rsid w:val="00BC732C"/>
    <w:rsid w:val="00BD144D"/>
    <w:rsid w:val="00BD2BB7"/>
    <w:rsid w:val="00BD332E"/>
    <w:rsid w:val="00BD4EC0"/>
    <w:rsid w:val="00BD5FE2"/>
    <w:rsid w:val="00BE1CC9"/>
    <w:rsid w:val="00BE23A9"/>
    <w:rsid w:val="00BE256E"/>
    <w:rsid w:val="00BE300B"/>
    <w:rsid w:val="00BE32FA"/>
    <w:rsid w:val="00BE5550"/>
    <w:rsid w:val="00BF12C4"/>
    <w:rsid w:val="00BF1305"/>
    <w:rsid w:val="00BF1863"/>
    <w:rsid w:val="00BF26BD"/>
    <w:rsid w:val="00BF5608"/>
    <w:rsid w:val="00C014F5"/>
    <w:rsid w:val="00C0358B"/>
    <w:rsid w:val="00C039DC"/>
    <w:rsid w:val="00C047CC"/>
    <w:rsid w:val="00C05F17"/>
    <w:rsid w:val="00C068E1"/>
    <w:rsid w:val="00C0768C"/>
    <w:rsid w:val="00C10EFA"/>
    <w:rsid w:val="00C112B1"/>
    <w:rsid w:val="00C11D7A"/>
    <w:rsid w:val="00C120C9"/>
    <w:rsid w:val="00C12E45"/>
    <w:rsid w:val="00C15379"/>
    <w:rsid w:val="00C15E00"/>
    <w:rsid w:val="00C21201"/>
    <w:rsid w:val="00C2516E"/>
    <w:rsid w:val="00C26ABF"/>
    <w:rsid w:val="00C30F64"/>
    <w:rsid w:val="00C32DD7"/>
    <w:rsid w:val="00C35BEF"/>
    <w:rsid w:val="00C35FCF"/>
    <w:rsid w:val="00C36F7A"/>
    <w:rsid w:val="00C370FE"/>
    <w:rsid w:val="00C376BB"/>
    <w:rsid w:val="00C404AB"/>
    <w:rsid w:val="00C40C52"/>
    <w:rsid w:val="00C42100"/>
    <w:rsid w:val="00C423A7"/>
    <w:rsid w:val="00C44C48"/>
    <w:rsid w:val="00C458FE"/>
    <w:rsid w:val="00C4729D"/>
    <w:rsid w:val="00C50173"/>
    <w:rsid w:val="00C51B84"/>
    <w:rsid w:val="00C54429"/>
    <w:rsid w:val="00C54940"/>
    <w:rsid w:val="00C56C10"/>
    <w:rsid w:val="00C6026B"/>
    <w:rsid w:val="00C61AF9"/>
    <w:rsid w:val="00C61C66"/>
    <w:rsid w:val="00C61DEB"/>
    <w:rsid w:val="00C6238C"/>
    <w:rsid w:val="00C635FA"/>
    <w:rsid w:val="00C66C0E"/>
    <w:rsid w:val="00C675EB"/>
    <w:rsid w:val="00C726E9"/>
    <w:rsid w:val="00C734DE"/>
    <w:rsid w:val="00C75772"/>
    <w:rsid w:val="00C8185E"/>
    <w:rsid w:val="00C822A0"/>
    <w:rsid w:val="00C833A4"/>
    <w:rsid w:val="00C8694E"/>
    <w:rsid w:val="00C93960"/>
    <w:rsid w:val="00C94369"/>
    <w:rsid w:val="00C94BE4"/>
    <w:rsid w:val="00C961AD"/>
    <w:rsid w:val="00CA1387"/>
    <w:rsid w:val="00CA166E"/>
    <w:rsid w:val="00CA17EF"/>
    <w:rsid w:val="00CA468F"/>
    <w:rsid w:val="00CA4F70"/>
    <w:rsid w:val="00CA75E0"/>
    <w:rsid w:val="00CB0C20"/>
    <w:rsid w:val="00CB0D15"/>
    <w:rsid w:val="00CB5064"/>
    <w:rsid w:val="00CB527E"/>
    <w:rsid w:val="00CB77AE"/>
    <w:rsid w:val="00CC65B2"/>
    <w:rsid w:val="00CD0BED"/>
    <w:rsid w:val="00CD1780"/>
    <w:rsid w:val="00CD28C3"/>
    <w:rsid w:val="00CD3B97"/>
    <w:rsid w:val="00CD453F"/>
    <w:rsid w:val="00CD4641"/>
    <w:rsid w:val="00CE4E83"/>
    <w:rsid w:val="00CE5EAE"/>
    <w:rsid w:val="00CE5F61"/>
    <w:rsid w:val="00CE6C24"/>
    <w:rsid w:val="00CE7690"/>
    <w:rsid w:val="00CF0674"/>
    <w:rsid w:val="00CF2DA2"/>
    <w:rsid w:val="00CF6E67"/>
    <w:rsid w:val="00D00309"/>
    <w:rsid w:val="00D01AC2"/>
    <w:rsid w:val="00D03C1A"/>
    <w:rsid w:val="00D04BC1"/>
    <w:rsid w:val="00D067FA"/>
    <w:rsid w:val="00D0772A"/>
    <w:rsid w:val="00D11BE7"/>
    <w:rsid w:val="00D13598"/>
    <w:rsid w:val="00D13CA5"/>
    <w:rsid w:val="00D15250"/>
    <w:rsid w:val="00D16253"/>
    <w:rsid w:val="00D1656F"/>
    <w:rsid w:val="00D17F77"/>
    <w:rsid w:val="00D20F34"/>
    <w:rsid w:val="00D248D0"/>
    <w:rsid w:val="00D257CD"/>
    <w:rsid w:val="00D34575"/>
    <w:rsid w:val="00D36C7F"/>
    <w:rsid w:val="00D36D9B"/>
    <w:rsid w:val="00D40CE0"/>
    <w:rsid w:val="00D4119A"/>
    <w:rsid w:val="00D41F17"/>
    <w:rsid w:val="00D425FE"/>
    <w:rsid w:val="00D42881"/>
    <w:rsid w:val="00D4537F"/>
    <w:rsid w:val="00D5065F"/>
    <w:rsid w:val="00D5558F"/>
    <w:rsid w:val="00D55653"/>
    <w:rsid w:val="00D55CE2"/>
    <w:rsid w:val="00D65FED"/>
    <w:rsid w:val="00D66F65"/>
    <w:rsid w:val="00D675F1"/>
    <w:rsid w:val="00D67AF9"/>
    <w:rsid w:val="00D70AE8"/>
    <w:rsid w:val="00D7159B"/>
    <w:rsid w:val="00D71BC7"/>
    <w:rsid w:val="00D71EDD"/>
    <w:rsid w:val="00D72E4A"/>
    <w:rsid w:val="00D72F95"/>
    <w:rsid w:val="00D735F9"/>
    <w:rsid w:val="00D73C6D"/>
    <w:rsid w:val="00D7599A"/>
    <w:rsid w:val="00D77D29"/>
    <w:rsid w:val="00D77F8C"/>
    <w:rsid w:val="00D81D42"/>
    <w:rsid w:val="00D820F5"/>
    <w:rsid w:val="00D82A8D"/>
    <w:rsid w:val="00D83C37"/>
    <w:rsid w:val="00D87566"/>
    <w:rsid w:val="00D918AF"/>
    <w:rsid w:val="00D9280C"/>
    <w:rsid w:val="00D93A09"/>
    <w:rsid w:val="00D94835"/>
    <w:rsid w:val="00D94BAA"/>
    <w:rsid w:val="00D94F1D"/>
    <w:rsid w:val="00DA0227"/>
    <w:rsid w:val="00DA060B"/>
    <w:rsid w:val="00DA54E4"/>
    <w:rsid w:val="00DB058A"/>
    <w:rsid w:val="00DB548E"/>
    <w:rsid w:val="00DB681C"/>
    <w:rsid w:val="00DB7EA2"/>
    <w:rsid w:val="00DC04C0"/>
    <w:rsid w:val="00DC0CC6"/>
    <w:rsid w:val="00DC2664"/>
    <w:rsid w:val="00DC7117"/>
    <w:rsid w:val="00DC764F"/>
    <w:rsid w:val="00DD2EA3"/>
    <w:rsid w:val="00DD4935"/>
    <w:rsid w:val="00DD5ED2"/>
    <w:rsid w:val="00DD70AF"/>
    <w:rsid w:val="00DE15B8"/>
    <w:rsid w:val="00DE1E1A"/>
    <w:rsid w:val="00DE230C"/>
    <w:rsid w:val="00DF1C2F"/>
    <w:rsid w:val="00DF1F29"/>
    <w:rsid w:val="00DF43BD"/>
    <w:rsid w:val="00DF4A73"/>
    <w:rsid w:val="00DF74A5"/>
    <w:rsid w:val="00DF7C58"/>
    <w:rsid w:val="00E00926"/>
    <w:rsid w:val="00E01A5A"/>
    <w:rsid w:val="00E04A1A"/>
    <w:rsid w:val="00E075A9"/>
    <w:rsid w:val="00E07EFE"/>
    <w:rsid w:val="00E157AB"/>
    <w:rsid w:val="00E16BD0"/>
    <w:rsid w:val="00E20601"/>
    <w:rsid w:val="00E238D1"/>
    <w:rsid w:val="00E24160"/>
    <w:rsid w:val="00E24311"/>
    <w:rsid w:val="00E266C9"/>
    <w:rsid w:val="00E27766"/>
    <w:rsid w:val="00E33036"/>
    <w:rsid w:val="00E335B3"/>
    <w:rsid w:val="00E33E30"/>
    <w:rsid w:val="00E34496"/>
    <w:rsid w:val="00E37FD0"/>
    <w:rsid w:val="00E42489"/>
    <w:rsid w:val="00E44522"/>
    <w:rsid w:val="00E46AE2"/>
    <w:rsid w:val="00E47678"/>
    <w:rsid w:val="00E476FF"/>
    <w:rsid w:val="00E507A6"/>
    <w:rsid w:val="00E53534"/>
    <w:rsid w:val="00E54202"/>
    <w:rsid w:val="00E55F6B"/>
    <w:rsid w:val="00E56AA5"/>
    <w:rsid w:val="00E57797"/>
    <w:rsid w:val="00E61B35"/>
    <w:rsid w:val="00E61BCA"/>
    <w:rsid w:val="00E6223D"/>
    <w:rsid w:val="00E63712"/>
    <w:rsid w:val="00E648B9"/>
    <w:rsid w:val="00E66000"/>
    <w:rsid w:val="00E663FB"/>
    <w:rsid w:val="00E7093C"/>
    <w:rsid w:val="00E741E3"/>
    <w:rsid w:val="00E75384"/>
    <w:rsid w:val="00E75FC1"/>
    <w:rsid w:val="00E80052"/>
    <w:rsid w:val="00E81DC9"/>
    <w:rsid w:val="00E854ED"/>
    <w:rsid w:val="00E85C28"/>
    <w:rsid w:val="00E863EA"/>
    <w:rsid w:val="00E868A0"/>
    <w:rsid w:val="00E86C20"/>
    <w:rsid w:val="00E90E1F"/>
    <w:rsid w:val="00E91916"/>
    <w:rsid w:val="00E91C77"/>
    <w:rsid w:val="00E92A24"/>
    <w:rsid w:val="00E932B3"/>
    <w:rsid w:val="00E93A9C"/>
    <w:rsid w:val="00E943C9"/>
    <w:rsid w:val="00E94D89"/>
    <w:rsid w:val="00E958D1"/>
    <w:rsid w:val="00EA0CEB"/>
    <w:rsid w:val="00EA3E09"/>
    <w:rsid w:val="00EA5D80"/>
    <w:rsid w:val="00EA6103"/>
    <w:rsid w:val="00EA636D"/>
    <w:rsid w:val="00EA6C18"/>
    <w:rsid w:val="00EB2C90"/>
    <w:rsid w:val="00EB2F82"/>
    <w:rsid w:val="00EB5159"/>
    <w:rsid w:val="00EB5C32"/>
    <w:rsid w:val="00EB727F"/>
    <w:rsid w:val="00EB7F2C"/>
    <w:rsid w:val="00EC08CD"/>
    <w:rsid w:val="00EC0ECC"/>
    <w:rsid w:val="00EC19C2"/>
    <w:rsid w:val="00EC1F06"/>
    <w:rsid w:val="00EC457F"/>
    <w:rsid w:val="00EC4E12"/>
    <w:rsid w:val="00EC55B6"/>
    <w:rsid w:val="00EC574E"/>
    <w:rsid w:val="00EC586B"/>
    <w:rsid w:val="00EC5911"/>
    <w:rsid w:val="00ED13F4"/>
    <w:rsid w:val="00EE0787"/>
    <w:rsid w:val="00EE1DA4"/>
    <w:rsid w:val="00EE3011"/>
    <w:rsid w:val="00EE319E"/>
    <w:rsid w:val="00EE51FE"/>
    <w:rsid w:val="00EE73A3"/>
    <w:rsid w:val="00EE74E3"/>
    <w:rsid w:val="00EE7ED9"/>
    <w:rsid w:val="00EF2291"/>
    <w:rsid w:val="00EF24B2"/>
    <w:rsid w:val="00EF2D1F"/>
    <w:rsid w:val="00EF3C38"/>
    <w:rsid w:val="00EF40E1"/>
    <w:rsid w:val="00EF473F"/>
    <w:rsid w:val="00F00D8A"/>
    <w:rsid w:val="00F01374"/>
    <w:rsid w:val="00F02993"/>
    <w:rsid w:val="00F04F44"/>
    <w:rsid w:val="00F06249"/>
    <w:rsid w:val="00F11B0A"/>
    <w:rsid w:val="00F11C12"/>
    <w:rsid w:val="00F13725"/>
    <w:rsid w:val="00F1380F"/>
    <w:rsid w:val="00F14781"/>
    <w:rsid w:val="00F14D6C"/>
    <w:rsid w:val="00F1581E"/>
    <w:rsid w:val="00F20A06"/>
    <w:rsid w:val="00F21C30"/>
    <w:rsid w:val="00F26599"/>
    <w:rsid w:val="00F27098"/>
    <w:rsid w:val="00F30355"/>
    <w:rsid w:val="00F34D60"/>
    <w:rsid w:val="00F34D62"/>
    <w:rsid w:val="00F355D8"/>
    <w:rsid w:val="00F37560"/>
    <w:rsid w:val="00F40CE8"/>
    <w:rsid w:val="00F430AE"/>
    <w:rsid w:val="00F44805"/>
    <w:rsid w:val="00F4508B"/>
    <w:rsid w:val="00F465B5"/>
    <w:rsid w:val="00F5269D"/>
    <w:rsid w:val="00F55C3C"/>
    <w:rsid w:val="00F567E9"/>
    <w:rsid w:val="00F569DC"/>
    <w:rsid w:val="00F574C2"/>
    <w:rsid w:val="00F60B98"/>
    <w:rsid w:val="00F60BE8"/>
    <w:rsid w:val="00F626E4"/>
    <w:rsid w:val="00F6338F"/>
    <w:rsid w:val="00F63456"/>
    <w:rsid w:val="00F6431E"/>
    <w:rsid w:val="00F677C1"/>
    <w:rsid w:val="00F70828"/>
    <w:rsid w:val="00F71300"/>
    <w:rsid w:val="00F716F9"/>
    <w:rsid w:val="00F71CE4"/>
    <w:rsid w:val="00F73F0E"/>
    <w:rsid w:val="00F8037A"/>
    <w:rsid w:val="00F80F77"/>
    <w:rsid w:val="00F816C1"/>
    <w:rsid w:val="00F82EE9"/>
    <w:rsid w:val="00F83582"/>
    <w:rsid w:val="00F84A04"/>
    <w:rsid w:val="00F853B1"/>
    <w:rsid w:val="00F866C4"/>
    <w:rsid w:val="00F86EDF"/>
    <w:rsid w:val="00F875AC"/>
    <w:rsid w:val="00F91A2F"/>
    <w:rsid w:val="00F923DC"/>
    <w:rsid w:val="00F94250"/>
    <w:rsid w:val="00F96AE9"/>
    <w:rsid w:val="00FA03A1"/>
    <w:rsid w:val="00FA1CDF"/>
    <w:rsid w:val="00FB08CA"/>
    <w:rsid w:val="00FB0A8C"/>
    <w:rsid w:val="00FB2964"/>
    <w:rsid w:val="00FB5065"/>
    <w:rsid w:val="00FB5DD1"/>
    <w:rsid w:val="00FB601A"/>
    <w:rsid w:val="00FB7805"/>
    <w:rsid w:val="00FB7F93"/>
    <w:rsid w:val="00FC0359"/>
    <w:rsid w:val="00FC177D"/>
    <w:rsid w:val="00FC6690"/>
    <w:rsid w:val="00FD3490"/>
    <w:rsid w:val="00FD37B7"/>
    <w:rsid w:val="00FD4577"/>
    <w:rsid w:val="00FD60AF"/>
    <w:rsid w:val="00FD6877"/>
    <w:rsid w:val="00FD7E8C"/>
    <w:rsid w:val="00FE0212"/>
    <w:rsid w:val="00FE1576"/>
    <w:rsid w:val="00FE354A"/>
    <w:rsid w:val="00FE383F"/>
    <w:rsid w:val="00FE471A"/>
    <w:rsid w:val="00FE5043"/>
    <w:rsid w:val="00FE7CCB"/>
    <w:rsid w:val="00FF2D72"/>
    <w:rsid w:val="00FF3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6BFE"/>
  <w15:chartTrackingRefBased/>
  <w15:docId w15:val="{79C1338E-D5FF-471E-85D5-40716DAB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E4A"/>
    <w:rPr>
      <w:sz w:val="24"/>
    </w:rPr>
  </w:style>
  <w:style w:type="paragraph" w:styleId="Heading1">
    <w:name w:val="heading 1"/>
    <w:basedOn w:val="Normal"/>
    <w:next w:val="Normal"/>
    <w:link w:val="Heading1Char"/>
    <w:uiPriority w:val="9"/>
    <w:qFormat/>
    <w:rsid w:val="00F70828"/>
    <w:pPr>
      <w:keepNext/>
      <w:keepLines/>
      <w:spacing w:before="320" w:after="0" w:line="240" w:lineRule="auto"/>
      <w:outlineLvl w:val="0"/>
    </w:pPr>
    <w:rPr>
      <w:rFonts w:asciiTheme="majorHAnsi" w:eastAsiaTheme="majorEastAsia" w:hAnsiTheme="majorHAnsi" w:cstheme="majorBidi"/>
      <w:b/>
      <w:color w:val="2E74B5" w:themeColor="accent1" w:themeShade="BF"/>
      <w:sz w:val="40"/>
      <w:szCs w:val="32"/>
    </w:rPr>
  </w:style>
  <w:style w:type="paragraph" w:styleId="Heading2">
    <w:name w:val="heading 2"/>
    <w:basedOn w:val="Normal"/>
    <w:next w:val="Normal"/>
    <w:link w:val="Heading2Char"/>
    <w:uiPriority w:val="9"/>
    <w:unhideWhenUsed/>
    <w:qFormat/>
    <w:rsid w:val="00046386"/>
    <w:pPr>
      <w:keepNext/>
      <w:keepLines/>
      <w:spacing w:before="240" w:line="240" w:lineRule="auto"/>
      <w:outlineLvl w:val="1"/>
    </w:pPr>
    <w:rPr>
      <w:rFonts w:asciiTheme="majorHAnsi" w:eastAsiaTheme="majorEastAsia" w:hAnsiTheme="majorHAnsi" w:cstheme="majorBidi"/>
      <w:color w:val="2E74B5" w:themeColor="accent1" w:themeShade="BF"/>
      <w:sz w:val="32"/>
      <w:szCs w:val="28"/>
    </w:rPr>
  </w:style>
  <w:style w:type="paragraph" w:styleId="Heading3">
    <w:name w:val="heading 3"/>
    <w:basedOn w:val="Normal"/>
    <w:next w:val="Normal"/>
    <w:link w:val="Heading3Char"/>
    <w:uiPriority w:val="9"/>
    <w:unhideWhenUsed/>
    <w:qFormat/>
    <w:rsid w:val="008A49BA"/>
    <w:pPr>
      <w:keepNext/>
      <w:keepLines/>
      <w:spacing w:before="40" w:after="0" w:line="240" w:lineRule="auto"/>
      <w:outlineLvl w:val="2"/>
    </w:pPr>
    <w:rPr>
      <w:rFonts w:asciiTheme="majorHAnsi" w:eastAsiaTheme="majorEastAsia" w:hAnsiTheme="majorHAnsi" w:cstheme="majorBidi"/>
      <w:color w:val="2E74B5" w:themeColor="accent1" w:themeShade="BF"/>
      <w:szCs w:val="24"/>
    </w:rPr>
  </w:style>
  <w:style w:type="paragraph" w:styleId="Heading4">
    <w:name w:val="heading 4"/>
    <w:basedOn w:val="Normal"/>
    <w:next w:val="Normal"/>
    <w:link w:val="Heading4Char"/>
    <w:uiPriority w:val="9"/>
    <w:semiHidden/>
    <w:unhideWhenUsed/>
    <w:qFormat/>
    <w:rsid w:val="00C61C6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61C6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61C6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61C6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61C6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61C6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66"/>
    <w:rPr>
      <w:rFonts w:asciiTheme="majorHAnsi" w:eastAsiaTheme="majorEastAsia" w:hAnsiTheme="majorHAnsi" w:cstheme="majorBidi"/>
      <w:b/>
      <w:color w:val="2E74B5" w:themeColor="accent1" w:themeShade="BF"/>
      <w:sz w:val="40"/>
      <w:szCs w:val="32"/>
    </w:rPr>
  </w:style>
  <w:style w:type="character" w:customStyle="1" w:styleId="Heading2Char">
    <w:name w:val="Heading 2 Char"/>
    <w:basedOn w:val="DefaultParagraphFont"/>
    <w:link w:val="Heading2"/>
    <w:uiPriority w:val="9"/>
    <w:rsid w:val="00046386"/>
    <w:rPr>
      <w:rFonts w:asciiTheme="majorHAnsi" w:eastAsiaTheme="majorEastAsia" w:hAnsiTheme="majorHAnsi" w:cstheme="majorBidi"/>
      <w:color w:val="2E74B5" w:themeColor="accent1" w:themeShade="BF"/>
      <w:sz w:val="32"/>
      <w:szCs w:val="28"/>
    </w:rPr>
  </w:style>
  <w:style w:type="character" w:customStyle="1" w:styleId="Heading3Char">
    <w:name w:val="Heading 3 Char"/>
    <w:basedOn w:val="DefaultParagraphFont"/>
    <w:link w:val="Heading3"/>
    <w:uiPriority w:val="9"/>
    <w:rsid w:val="00C61C6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semiHidden/>
    <w:rsid w:val="00C61C6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61C6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61C6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61C6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61C6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61C6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61C6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61C6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61C6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C61C66"/>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C61C66"/>
    <w:rPr>
      <w:rFonts w:asciiTheme="majorHAnsi" w:eastAsiaTheme="majorEastAsia" w:hAnsiTheme="majorHAnsi" w:cstheme="majorBidi"/>
      <w:sz w:val="24"/>
      <w:szCs w:val="24"/>
    </w:rPr>
  </w:style>
  <w:style w:type="character" w:styleId="Strong">
    <w:name w:val="Strong"/>
    <w:basedOn w:val="DefaultParagraphFont"/>
    <w:uiPriority w:val="22"/>
    <w:qFormat/>
    <w:rsid w:val="00C61C66"/>
    <w:rPr>
      <w:b/>
      <w:bCs/>
    </w:rPr>
  </w:style>
  <w:style w:type="character" w:styleId="Emphasis">
    <w:name w:val="Emphasis"/>
    <w:basedOn w:val="DefaultParagraphFont"/>
    <w:uiPriority w:val="20"/>
    <w:qFormat/>
    <w:rsid w:val="00C61C66"/>
    <w:rPr>
      <w:i/>
      <w:iCs/>
    </w:rPr>
  </w:style>
  <w:style w:type="paragraph" w:styleId="NoSpacing">
    <w:name w:val="No Spacing"/>
    <w:link w:val="NoSpacingChar"/>
    <w:uiPriority w:val="1"/>
    <w:qFormat/>
    <w:rsid w:val="00C61C66"/>
    <w:pPr>
      <w:spacing w:after="0" w:line="240" w:lineRule="auto"/>
    </w:pPr>
  </w:style>
  <w:style w:type="paragraph" w:styleId="Quote">
    <w:name w:val="Quote"/>
    <w:basedOn w:val="Normal"/>
    <w:next w:val="Normal"/>
    <w:link w:val="QuoteChar"/>
    <w:uiPriority w:val="29"/>
    <w:qFormat/>
    <w:rsid w:val="00C61C6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61C66"/>
    <w:rPr>
      <w:i/>
      <w:iCs/>
      <w:color w:val="404040" w:themeColor="text1" w:themeTint="BF"/>
    </w:rPr>
  </w:style>
  <w:style w:type="paragraph" w:styleId="IntenseQuote">
    <w:name w:val="Intense Quote"/>
    <w:basedOn w:val="Normal"/>
    <w:next w:val="Normal"/>
    <w:link w:val="IntenseQuoteChar"/>
    <w:uiPriority w:val="30"/>
    <w:qFormat/>
    <w:rsid w:val="00C61C6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61C6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61C66"/>
    <w:rPr>
      <w:i/>
      <w:iCs/>
      <w:color w:val="404040" w:themeColor="text1" w:themeTint="BF"/>
    </w:rPr>
  </w:style>
  <w:style w:type="character" w:styleId="IntenseEmphasis">
    <w:name w:val="Intense Emphasis"/>
    <w:basedOn w:val="DefaultParagraphFont"/>
    <w:uiPriority w:val="21"/>
    <w:qFormat/>
    <w:rsid w:val="00C61C66"/>
    <w:rPr>
      <w:b/>
      <w:bCs/>
      <w:i/>
      <w:iCs/>
    </w:rPr>
  </w:style>
  <w:style w:type="character" w:styleId="SubtleReference">
    <w:name w:val="Subtle Reference"/>
    <w:basedOn w:val="DefaultParagraphFont"/>
    <w:uiPriority w:val="31"/>
    <w:qFormat/>
    <w:rsid w:val="00C61C6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1C66"/>
    <w:rPr>
      <w:b/>
      <w:bCs/>
      <w:smallCaps/>
      <w:spacing w:val="5"/>
      <w:u w:val="single"/>
    </w:rPr>
  </w:style>
  <w:style w:type="character" w:styleId="BookTitle">
    <w:name w:val="Book Title"/>
    <w:basedOn w:val="DefaultParagraphFont"/>
    <w:uiPriority w:val="33"/>
    <w:qFormat/>
    <w:rsid w:val="00C61C66"/>
    <w:rPr>
      <w:b/>
      <w:bCs/>
      <w:smallCaps/>
    </w:rPr>
  </w:style>
  <w:style w:type="paragraph" w:styleId="TOCHeading">
    <w:name w:val="TOC Heading"/>
    <w:basedOn w:val="Heading1"/>
    <w:next w:val="Normal"/>
    <w:uiPriority w:val="39"/>
    <w:unhideWhenUsed/>
    <w:qFormat/>
    <w:rsid w:val="00C61C66"/>
    <w:pPr>
      <w:outlineLvl w:val="9"/>
    </w:pPr>
  </w:style>
  <w:style w:type="paragraph" w:styleId="ListParagraph">
    <w:name w:val="List Paragraph"/>
    <w:aliases w:val="dot point 1,Recommendation,List Paragraph1,List Paragraph11,L,#List Paragraph"/>
    <w:basedOn w:val="Normal"/>
    <w:link w:val="ListParagraphChar"/>
    <w:uiPriority w:val="34"/>
    <w:qFormat/>
    <w:rsid w:val="00C61C66"/>
    <w:pPr>
      <w:ind w:left="720"/>
      <w:contextualSpacing/>
    </w:pPr>
  </w:style>
  <w:style w:type="paragraph" w:styleId="TOC2">
    <w:name w:val="toc 2"/>
    <w:basedOn w:val="Normal"/>
    <w:next w:val="Normal"/>
    <w:autoRedefine/>
    <w:uiPriority w:val="39"/>
    <w:unhideWhenUsed/>
    <w:rsid w:val="004223C3"/>
    <w:pPr>
      <w:spacing w:after="100"/>
      <w:ind w:left="200"/>
    </w:pPr>
  </w:style>
  <w:style w:type="paragraph" w:styleId="TOC1">
    <w:name w:val="toc 1"/>
    <w:basedOn w:val="Normal"/>
    <w:next w:val="Normal"/>
    <w:autoRedefine/>
    <w:uiPriority w:val="39"/>
    <w:unhideWhenUsed/>
    <w:rsid w:val="004223C3"/>
    <w:pPr>
      <w:spacing w:after="100"/>
    </w:pPr>
  </w:style>
  <w:style w:type="paragraph" w:styleId="TOC3">
    <w:name w:val="toc 3"/>
    <w:basedOn w:val="Normal"/>
    <w:next w:val="Normal"/>
    <w:autoRedefine/>
    <w:uiPriority w:val="39"/>
    <w:unhideWhenUsed/>
    <w:rsid w:val="004223C3"/>
    <w:pPr>
      <w:spacing w:after="100"/>
      <w:ind w:left="400"/>
    </w:pPr>
  </w:style>
  <w:style w:type="character" w:styleId="Hyperlink">
    <w:name w:val="Hyperlink"/>
    <w:basedOn w:val="DefaultParagraphFont"/>
    <w:uiPriority w:val="99"/>
    <w:unhideWhenUsed/>
    <w:rsid w:val="004223C3"/>
    <w:rPr>
      <w:color w:val="0563C1" w:themeColor="hyperlink"/>
      <w:u w:val="single"/>
    </w:rPr>
  </w:style>
  <w:style w:type="table" w:styleId="TableGrid">
    <w:name w:val="Table Grid"/>
    <w:basedOn w:val="TableNormal"/>
    <w:uiPriority w:val="39"/>
    <w:rsid w:val="001B114A"/>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F1D87"/>
    <w:pPr>
      <w:spacing w:after="0" w:line="240" w:lineRule="auto"/>
    </w:pPr>
  </w:style>
  <w:style w:type="character" w:customStyle="1" w:styleId="FootnoteTextChar">
    <w:name w:val="Footnote Text Char"/>
    <w:basedOn w:val="DefaultParagraphFont"/>
    <w:link w:val="FootnoteText"/>
    <w:uiPriority w:val="99"/>
    <w:semiHidden/>
    <w:rsid w:val="006F1D87"/>
  </w:style>
  <w:style w:type="character" w:styleId="FootnoteReference">
    <w:name w:val="footnote reference"/>
    <w:basedOn w:val="DefaultParagraphFont"/>
    <w:uiPriority w:val="99"/>
    <w:semiHidden/>
    <w:unhideWhenUsed/>
    <w:rsid w:val="006F1D87"/>
    <w:rPr>
      <w:vertAlign w:val="superscript"/>
    </w:rPr>
  </w:style>
  <w:style w:type="paragraph" w:styleId="Header">
    <w:name w:val="header"/>
    <w:basedOn w:val="Normal"/>
    <w:link w:val="HeaderChar"/>
    <w:uiPriority w:val="99"/>
    <w:unhideWhenUsed/>
    <w:rsid w:val="002E5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EC0"/>
  </w:style>
  <w:style w:type="paragraph" w:styleId="Footer">
    <w:name w:val="footer"/>
    <w:basedOn w:val="Normal"/>
    <w:link w:val="FooterChar"/>
    <w:uiPriority w:val="99"/>
    <w:unhideWhenUsed/>
    <w:rsid w:val="002E5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EC0"/>
  </w:style>
  <w:style w:type="character" w:customStyle="1" w:styleId="NoSpacingChar">
    <w:name w:val="No Spacing Char"/>
    <w:basedOn w:val="DefaultParagraphFont"/>
    <w:link w:val="NoSpacing"/>
    <w:uiPriority w:val="1"/>
    <w:rsid w:val="002E5EC0"/>
  </w:style>
  <w:style w:type="paragraph" w:styleId="BalloonText">
    <w:name w:val="Balloon Text"/>
    <w:basedOn w:val="Normal"/>
    <w:link w:val="BalloonTextChar"/>
    <w:uiPriority w:val="99"/>
    <w:semiHidden/>
    <w:unhideWhenUsed/>
    <w:rsid w:val="002E5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EC0"/>
    <w:rPr>
      <w:rFonts w:ascii="Segoe UI" w:hAnsi="Segoe UI" w:cs="Segoe UI"/>
      <w:sz w:val="18"/>
      <w:szCs w:val="18"/>
    </w:rPr>
  </w:style>
  <w:style w:type="character" w:styleId="CommentReference">
    <w:name w:val="annotation reference"/>
    <w:basedOn w:val="DefaultParagraphFont"/>
    <w:uiPriority w:val="99"/>
    <w:semiHidden/>
    <w:unhideWhenUsed/>
    <w:rsid w:val="008848EE"/>
    <w:rPr>
      <w:sz w:val="16"/>
      <w:szCs w:val="16"/>
    </w:rPr>
  </w:style>
  <w:style w:type="paragraph" w:styleId="CommentText">
    <w:name w:val="annotation text"/>
    <w:basedOn w:val="Normal"/>
    <w:link w:val="CommentTextChar"/>
    <w:uiPriority w:val="99"/>
    <w:unhideWhenUsed/>
    <w:rsid w:val="008848EE"/>
    <w:pPr>
      <w:spacing w:line="240" w:lineRule="auto"/>
    </w:pPr>
  </w:style>
  <w:style w:type="character" w:customStyle="1" w:styleId="CommentTextChar">
    <w:name w:val="Comment Text Char"/>
    <w:basedOn w:val="DefaultParagraphFont"/>
    <w:link w:val="CommentText"/>
    <w:uiPriority w:val="99"/>
    <w:rsid w:val="008848EE"/>
  </w:style>
  <w:style w:type="paragraph" w:styleId="CommentSubject">
    <w:name w:val="annotation subject"/>
    <w:basedOn w:val="CommentText"/>
    <w:next w:val="CommentText"/>
    <w:link w:val="CommentSubjectChar"/>
    <w:uiPriority w:val="99"/>
    <w:semiHidden/>
    <w:unhideWhenUsed/>
    <w:rsid w:val="008848EE"/>
    <w:rPr>
      <w:b/>
      <w:bCs/>
    </w:rPr>
  </w:style>
  <w:style w:type="character" w:customStyle="1" w:styleId="CommentSubjectChar">
    <w:name w:val="Comment Subject Char"/>
    <w:basedOn w:val="CommentTextChar"/>
    <w:link w:val="CommentSubject"/>
    <w:uiPriority w:val="99"/>
    <w:semiHidden/>
    <w:rsid w:val="008848EE"/>
    <w:rPr>
      <w:b/>
      <w:bCs/>
    </w:rPr>
  </w:style>
  <w:style w:type="paragraph" w:styleId="BodyText">
    <w:name w:val="Body Text"/>
    <w:basedOn w:val="Normal"/>
    <w:link w:val="BodyTextChar"/>
    <w:uiPriority w:val="99"/>
    <w:rsid w:val="004A740E"/>
    <w:pPr>
      <w:spacing w:before="120" w:line="240" w:lineRule="atLeast"/>
      <w:jc w:val="both"/>
    </w:pPr>
    <w:rPr>
      <w:rFonts w:ascii="Univers 45 Light" w:eastAsia="Times New Roman" w:hAnsi="Univers 45 Light" w:cs="Times New Roman"/>
    </w:rPr>
  </w:style>
  <w:style w:type="character" w:customStyle="1" w:styleId="BodyTextChar">
    <w:name w:val="Body Text Char"/>
    <w:basedOn w:val="DefaultParagraphFont"/>
    <w:link w:val="BodyText"/>
    <w:uiPriority w:val="99"/>
    <w:rsid w:val="004A740E"/>
    <w:rPr>
      <w:rFonts w:ascii="Univers 45 Light" w:eastAsia="Times New Roman" w:hAnsi="Univers 45 Light" w:cs="Times New Roman"/>
      <w:sz w:val="24"/>
    </w:rPr>
  </w:style>
  <w:style w:type="character" w:customStyle="1" w:styleId="ListParagraphChar">
    <w:name w:val="List Paragraph Char"/>
    <w:aliases w:val="dot point 1 Char,Recommendation Char,List Paragraph1 Char,List Paragraph11 Char,L Char,#List Paragraph Char"/>
    <w:link w:val="ListParagraph"/>
    <w:uiPriority w:val="34"/>
    <w:locked/>
    <w:rsid w:val="008677F3"/>
  </w:style>
  <w:style w:type="paragraph" w:customStyle="1" w:styleId="SubHeading">
    <w:name w:val="Sub Heading"/>
    <w:basedOn w:val="Normal"/>
    <w:link w:val="SubHeadingChar"/>
    <w:qFormat/>
    <w:rsid w:val="00B849EF"/>
    <w:pPr>
      <w:spacing w:after="0" w:line="240" w:lineRule="auto"/>
      <w:jc w:val="both"/>
    </w:pPr>
    <w:rPr>
      <w:rFonts w:eastAsia="SimSun"/>
      <w:b/>
      <w:color w:val="C45911" w:themeColor="accent2" w:themeShade="BF"/>
      <w:szCs w:val="24"/>
    </w:rPr>
  </w:style>
  <w:style w:type="character" w:customStyle="1" w:styleId="SubHeadingChar">
    <w:name w:val="Sub Heading Char"/>
    <w:basedOn w:val="DefaultParagraphFont"/>
    <w:link w:val="SubHeading"/>
    <w:rsid w:val="00B849EF"/>
    <w:rPr>
      <w:rFonts w:eastAsia="SimSun"/>
      <w:b/>
      <w:color w:val="C45911" w:themeColor="accent2" w:themeShade="BF"/>
      <w:sz w:val="24"/>
      <w:szCs w:val="24"/>
    </w:rPr>
  </w:style>
  <w:style w:type="paragraph" w:styleId="Revision">
    <w:name w:val="Revision"/>
    <w:hidden/>
    <w:uiPriority w:val="99"/>
    <w:semiHidden/>
    <w:rsid w:val="009F05A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41201">
      <w:bodyDiv w:val="1"/>
      <w:marLeft w:val="0"/>
      <w:marRight w:val="0"/>
      <w:marTop w:val="0"/>
      <w:marBottom w:val="0"/>
      <w:divBdr>
        <w:top w:val="none" w:sz="0" w:space="0" w:color="auto"/>
        <w:left w:val="none" w:sz="0" w:space="0" w:color="auto"/>
        <w:bottom w:val="none" w:sz="0" w:space="0" w:color="auto"/>
        <w:right w:val="none" w:sz="0" w:space="0" w:color="auto"/>
      </w:divBdr>
    </w:div>
    <w:div w:id="1119884249">
      <w:bodyDiv w:val="1"/>
      <w:marLeft w:val="0"/>
      <w:marRight w:val="0"/>
      <w:marTop w:val="0"/>
      <w:marBottom w:val="0"/>
      <w:divBdr>
        <w:top w:val="none" w:sz="0" w:space="0" w:color="auto"/>
        <w:left w:val="none" w:sz="0" w:space="0" w:color="auto"/>
        <w:bottom w:val="none" w:sz="0" w:space="0" w:color="auto"/>
        <w:right w:val="none" w:sz="0" w:space="0" w:color="auto"/>
      </w:divBdr>
    </w:div>
    <w:div w:id="1219244914">
      <w:bodyDiv w:val="1"/>
      <w:marLeft w:val="0"/>
      <w:marRight w:val="0"/>
      <w:marTop w:val="0"/>
      <w:marBottom w:val="0"/>
      <w:divBdr>
        <w:top w:val="none" w:sz="0" w:space="0" w:color="auto"/>
        <w:left w:val="none" w:sz="0" w:space="0" w:color="auto"/>
        <w:bottom w:val="none" w:sz="0" w:space="0" w:color="auto"/>
        <w:right w:val="none" w:sz="0" w:space="0" w:color="auto"/>
      </w:divBdr>
    </w:div>
    <w:div w:id="1338994771">
      <w:bodyDiv w:val="1"/>
      <w:marLeft w:val="0"/>
      <w:marRight w:val="0"/>
      <w:marTop w:val="0"/>
      <w:marBottom w:val="0"/>
      <w:divBdr>
        <w:top w:val="none" w:sz="0" w:space="0" w:color="auto"/>
        <w:left w:val="none" w:sz="0" w:space="0" w:color="auto"/>
        <w:bottom w:val="none" w:sz="0" w:space="0" w:color="auto"/>
        <w:right w:val="none" w:sz="0" w:space="0" w:color="auto"/>
      </w:divBdr>
    </w:div>
    <w:div w:id="1357002461">
      <w:bodyDiv w:val="1"/>
      <w:marLeft w:val="0"/>
      <w:marRight w:val="0"/>
      <w:marTop w:val="0"/>
      <w:marBottom w:val="0"/>
      <w:divBdr>
        <w:top w:val="none" w:sz="0" w:space="0" w:color="auto"/>
        <w:left w:val="none" w:sz="0" w:space="0" w:color="auto"/>
        <w:bottom w:val="none" w:sz="0" w:space="0" w:color="auto"/>
        <w:right w:val="none" w:sz="0" w:space="0" w:color="auto"/>
      </w:divBdr>
    </w:div>
    <w:div w:id="1447891855">
      <w:bodyDiv w:val="1"/>
      <w:marLeft w:val="0"/>
      <w:marRight w:val="0"/>
      <w:marTop w:val="0"/>
      <w:marBottom w:val="0"/>
      <w:divBdr>
        <w:top w:val="none" w:sz="0" w:space="0" w:color="auto"/>
        <w:left w:val="none" w:sz="0" w:space="0" w:color="auto"/>
        <w:bottom w:val="none" w:sz="0" w:space="0" w:color="auto"/>
        <w:right w:val="none" w:sz="0" w:space="0" w:color="auto"/>
      </w:divBdr>
    </w:div>
    <w:div w:id="1544290556">
      <w:bodyDiv w:val="1"/>
      <w:marLeft w:val="0"/>
      <w:marRight w:val="0"/>
      <w:marTop w:val="0"/>
      <w:marBottom w:val="0"/>
      <w:divBdr>
        <w:top w:val="none" w:sz="0" w:space="0" w:color="auto"/>
        <w:left w:val="none" w:sz="0" w:space="0" w:color="auto"/>
        <w:bottom w:val="none" w:sz="0" w:space="0" w:color="auto"/>
        <w:right w:val="none" w:sz="0" w:space="0" w:color="auto"/>
      </w:divBdr>
    </w:div>
    <w:div w:id="1828395724">
      <w:bodyDiv w:val="1"/>
      <w:marLeft w:val="0"/>
      <w:marRight w:val="0"/>
      <w:marTop w:val="0"/>
      <w:marBottom w:val="0"/>
      <w:divBdr>
        <w:top w:val="none" w:sz="0" w:space="0" w:color="auto"/>
        <w:left w:val="none" w:sz="0" w:space="0" w:color="auto"/>
        <w:bottom w:val="none" w:sz="0" w:space="0" w:color="auto"/>
        <w:right w:val="none" w:sz="0" w:space="0" w:color="auto"/>
      </w:divBdr>
    </w:div>
    <w:div w:id="1934438438">
      <w:bodyDiv w:val="1"/>
      <w:marLeft w:val="0"/>
      <w:marRight w:val="0"/>
      <w:marTop w:val="0"/>
      <w:marBottom w:val="0"/>
      <w:divBdr>
        <w:top w:val="none" w:sz="0" w:space="0" w:color="auto"/>
        <w:left w:val="none" w:sz="0" w:space="0" w:color="auto"/>
        <w:bottom w:val="none" w:sz="0" w:space="0" w:color="auto"/>
        <w:right w:val="none" w:sz="0" w:space="0" w:color="auto"/>
      </w:divBdr>
    </w:div>
    <w:div w:id="2049140700">
      <w:bodyDiv w:val="1"/>
      <w:marLeft w:val="0"/>
      <w:marRight w:val="0"/>
      <w:marTop w:val="0"/>
      <w:marBottom w:val="0"/>
      <w:divBdr>
        <w:top w:val="none" w:sz="0" w:space="0" w:color="auto"/>
        <w:left w:val="none" w:sz="0" w:space="0" w:color="auto"/>
        <w:bottom w:val="none" w:sz="0" w:space="0" w:color="auto"/>
        <w:right w:val="none" w:sz="0" w:space="0" w:color="auto"/>
      </w:divBdr>
    </w:div>
    <w:div w:id="20670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5A5E1.9A828F9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Australian Government Aged Care Financing Authority</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Home care Policy</Document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ac5943703cd5190d3ec254a93aac3667">
  <xsd:schema xmlns:xsd="http://www.w3.org/2001/XMLSchema" xmlns:xs="http://www.w3.org/2001/XMLSchema" xmlns:p="http://schemas.microsoft.com/office/2006/metadata/properties" xmlns:ns2="afb5d960-bb3a-4a93-9657-1be85aa79ace" targetNamespace="http://schemas.microsoft.com/office/2006/metadata/properties" ma:root="true" ma:fieldsID="67e941b20fc32f0b092edc803ebf694d"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Royal Commission"/>
          <xsd:enumeration value="Consumer Financing Project - Submissions &amp; Briefings"/>
          <xsd:enumeration value="Dept of Health Aged Care Web Pages"/>
          <xsd:enumeration value="DHS Forms Taskforce"/>
          <xsd:enumeration value="Home care Policy"/>
          <xsd:enumeration value="My Aged Care web redevelopment"/>
          <xsd:enumeration value="Policy Development"/>
          <xsd:enumeration value="Reduction in home care fees"/>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8078AB-56D2-4F15-8A46-F53CC927E4FF}">
  <ds:schemaRefs>
    <ds:schemaRef ds:uri="http://schemas.microsoft.com/office/2006/documentManagement/types"/>
    <ds:schemaRef ds:uri="http://schemas.microsoft.com/office/2006/metadata/properties"/>
    <ds:schemaRef ds:uri="http://purl.org/dc/elements/1.1/"/>
    <ds:schemaRef ds:uri="afb5d960-bb3a-4a93-9657-1be85aa79ace"/>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EA1D275-E6C2-4EDC-A298-F12096A14C18}">
  <ds:schemaRefs>
    <ds:schemaRef ds:uri="http://schemas.microsoft.com/sharepoint/v3/contenttype/forms"/>
  </ds:schemaRefs>
</ds:datastoreItem>
</file>

<file path=customXml/itemProps4.xml><?xml version="1.0" encoding="utf-8"?>
<ds:datastoreItem xmlns:ds="http://schemas.openxmlformats.org/officeDocument/2006/customXml" ds:itemID="{2E3A0D46-5CDB-45E8-856C-3E176A8D5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46811F-A7DD-49CE-91BC-793FEA3E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7672</Words>
  <Characters>45422</Characters>
  <Application>Microsoft Office Word</Application>
  <DocSecurity>0</DocSecurity>
  <Lines>946</Lines>
  <Paragraphs>530</Paragraphs>
  <ScaleCrop>false</ScaleCrop>
  <HeadingPairs>
    <vt:vector size="2" baseType="variant">
      <vt:variant>
        <vt:lpstr>Title</vt:lpstr>
      </vt:variant>
      <vt:variant>
        <vt:i4>1</vt:i4>
      </vt:variant>
    </vt:vector>
  </HeadingPairs>
  <TitlesOfParts>
    <vt:vector size="1" baseType="lpstr">
      <vt:lpstr>Consideration of the financial impact on home care providers as a result of changes in payment arrangements</vt:lpstr>
    </vt:vector>
  </TitlesOfParts>
  <Company>Department of Health</Company>
  <LinksUpToDate>false</LinksUpToDate>
  <CharactersWithSpaces>52564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 of the financial impact on home care providers as a result of changes in payment arrangements</dc:title>
  <dc:subject/>
  <dc:creator>Mike Callaghan</dc:creator>
  <cp:keywords/>
  <dc:description/>
  <cp:lastModifiedBy>ROBERTSON, Jennifer</cp:lastModifiedBy>
  <cp:revision>8</cp:revision>
  <cp:lastPrinted>2019-12-02T00:13:00Z</cp:lastPrinted>
  <dcterms:created xsi:type="dcterms:W3CDTF">2019-12-10T00:38:00Z</dcterms:created>
  <dcterms:modified xsi:type="dcterms:W3CDTF">2020-01-10T03:21:00Z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