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8" w:rsidRPr="001B0418" w:rsidRDefault="007F4A98">
      <w:pPr>
        <w:rPr>
          <w:b/>
          <w:bCs/>
        </w:rPr>
      </w:pPr>
      <w:bookmarkStart w:id="0" w:name="_GoBack"/>
      <w:bookmarkEnd w:id="0"/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1673D1">
        <w:t>October</w:t>
      </w:r>
      <w:r w:rsidR="000C1472">
        <w:t xml:space="preserve"> 2018</w:t>
      </w:r>
      <w:r w:rsidR="00C5744F">
        <w:t xml:space="preserve"> to 3</w:t>
      </w:r>
      <w:r w:rsidR="001673D1">
        <w:t>1</w:t>
      </w:r>
      <w:r w:rsidR="00C5744F">
        <w:t xml:space="preserve"> </w:t>
      </w:r>
      <w:r w:rsidR="001673D1">
        <w:t>December</w:t>
      </w:r>
      <w:r w:rsidR="000C1472">
        <w:t xml:space="preserve"> 2018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1 October 2018 to 31 December 2018"/>
        <w:tblDescription w:val="Total number of ACFI reviews and percentage of downgrade rates per State for the December 2018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DF1829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B033F9" w:rsidRPr="00B033F9">
              <w:rPr>
                <w:b/>
                <w:bCs/>
                <w:color w:val="800000"/>
                <w:sz w:val="20"/>
                <w:szCs w:val="20"/>
              </w:rPr>
              <w:t xml:space="preserve">1 </w:t>
            </w:r>
            <w:r w:rsidR="00DF1829">
              <w:rPr>
                <w:b/>
                <w:bCs/>
                <w:color w:val="800000"/>
                <w:sz w:val="20"/>
                <w:szCs w:val="20"/>
              </w:rPr>
              <w:t>October 2018 to 31</w:t>
            </w:r>
            <w:r w:rsidR="00B033F9" w:rsidRPr="00B033F9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DF1829">
              <w:rPr>
                <w:b/>
                <w:bCs/>
                <w:color w:val="800000"/>
                <w:sz w:val="20"/>
                <w:szCs w:val="20"/>
              </w:rPr>
              <w:t>December</w:t>
            </w:r>
            <w:r w:rsidR="00B033F9" w:rsidRPr="00B033F9">
              <w:rPr>
                <w:b/>
                <w:bCs/>
                <w:color w:val="800000"/>
                <w:sz w:val="20"/>
                <w:szCs w:val="20"/>
              </w:rPr>
              <w:t xml:space="preserve"> 2018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F1829" w:rsidRPr="00A022B9" w:rsidRDefault="00DF1829" w:rsidP="00FB277B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55.4%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343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44.5%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0.1%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771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76</w:t>
            </w: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DF1829" w:rsidRPr="00A022B9" w:rsidRDefault="00DF1829" w:rsidP="00FB277B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46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23.2%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152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76.8%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198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45</w:t>
            </w: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F1829" w:rsidRPr="00A022B9" w:rsidRDefault="00DF1829" w:rsidP="00FB277B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155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52.4%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141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47.6%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A72C39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296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44</w:t>
            </w: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DF1829" w:rsidRPr="00A022B9" w:rsidRDefault="00DF1829" w:rsidP="00FB277B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82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79.6%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21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20.4%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F1829" w:rsidRPr="008B1616" w:rsidRDefault="00DF1829" w:rsidP="00A72C39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103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F1829" w:rsidRPr="008B1616" w:rsidRDefault="00DF1829" w:rsidP="00DF1829">
            <w:pPr>
              <w:jc w:val="center"/>
            </w:pPr>
            <w:r w:rsidRPr="008B1616">
              <w:t>11</w:t>
            </w: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F1829" w:rsidRPr="00A022B9" w:rsidRDefault="00DF1829" w:rsidP="00FB277B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92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41.1%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132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58.9%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A72C39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224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26</w:t>
            </w: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F1829" w:rsidRPr="00A022B9" w:rsidRDefault="00DF1829" w:rsidP="00FB277B"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41.3%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27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58.7%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A72C39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46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5</w:t>
            </w:r>
          </w:p>
        </w:tc>
      </w:tr>
      <w:tr w:rsidR="00DF1829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DF1829" w:rsidRPr="00A022B9" w:rsidRDefault="00DF1829" w:rsidP="00FB277B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821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50.1%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816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49.8%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0.1%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Pr="008B1616" w:rsidRDefault="00DF1829" w:rsidP="00DF1829">
            <w:pPr>
              <w:jc w:val="center"/>
            </w:pPr>
            <w:r w:rsidRPr="008B1616">
              <w:t>1,638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F1829" w:rsidRDefault="00DF1829" w:rsidP="00DF1829">
            <w:pPr>
              <w:jc w:val="center"/>
            </w:pPr>
            <w:r w:rsidRPr="008B1616">
              <w:t>207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1" w:name="OLE_LINK1"/>
      <w:bookmarkStart w:id="2" w:name="OLE_LINK2"/>
      <w:r w:rsidRPr="001B0418">
        <w:t xml:space="preserve">Table 2: Review Outcomes by Question </w:t>
      </w:r>
      <w:r w:rsidR="001673D1" w:rsidRPr="004C6B66">
        <w:t xml:space="preserve">1 </w:t>
      </w:r>
      <w:r w:rsidR="001673D1">
        <w:t>October 2018 to 31 December 2018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October 2018 to 31 December 2018"/>
        <w:tblDescription w:val="Total number of ACFI reviews and percentage of downgrade rates per State for the December 2018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F1829" w:rsidRPr="00B033F9">
              <w:rPr>
                <w:b/>
                <w:bCs/>
                <w:color w:val="800000"/>
                <w:sz w:val="20"/>
                <w:szCs w:val="20"/>
              </w:rPr>
              <w:t xml:space="preserve">1 </w:t>
            </w:r>
            <w:r w:rsidR="00DF1829">
              <w:rPr>
                <w:b/>
                <w:bCs/>
                <w:color w:val="800000"/>
                <w:sz w:val="20"/>
                <w:szCs w:val="20"/>
              </w:rPr>
              <w:t>October 2018 to 31</w:t>
            </w:r>
            <w:r w:rsidR="00DF1829" w:rsidRPr="00B033F9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DF1829">
              <w:rPr>
                <w:b/>
                <w:bCs/>
                <w:color w:val="800000"/>
                <w:sz w:val="20"/>
                <w:szCs w:val="20"/>
              </w:rPr>
              <w:t>December</w:t>
            </w:r>
            <w:r w:rsidR="00DF1829" w:rsidRPr="00B033F9">
              <w:rPr>
                <w:b/>
                <w:bCs/>
                <w:color w:val="800000"/>
                <w:sz w:val="20"/>
                <w:szCs w:val="20"/>
              </w:rPr>
              <w:t xml:space="preserve"> 2018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 w:rsidP="00B87B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1,473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89.9%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0.4%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5744F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1,638</w:t>
            </w:r>
          </w:p>
          <w:p w:rsidR="003C2F8C" w:rsidRPr="0025383A" w:rsidRDefault="003C2F8C" w:rsidP="00046B5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3C2F8C" w:rsidRDefault="003C2F8C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C2F8C" w:rsidRDefault="003C2F8C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290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17.7%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1,347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82.2%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170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10.4%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1,467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89.6%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208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12.7%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1,428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87.2%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113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6.9%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1,522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92.9%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54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3.3%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1,582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96.6%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50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3.1%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1,586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96.8%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08 - Verbal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233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14.2%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1,398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85.3%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09 - Physical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314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19.2%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1,317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80.4%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53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3.2%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1,579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96.4%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1,624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99.1%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F8C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3C2F8C" w:rsidRDefault="003C2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440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26.9%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1,197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73.1%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3C2F8C" w:rsidRPr="00415E69" w:rsidRDefault="003C2F8C" w:rsidP="003C2F8C">
            <w:pPr>
              <w:jc w:val="center"/>
            </w:pPr>
            <w:r w:rsidRPr="00415E69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2F8C" w:rsidRDefault="003C2F8C" w:rsidP="003C2F8C">
            <w:pPr>
              <w:jc w:val="center"/>
            </w:pPr>
            <w:r w:rsidRPr="00415E69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3C2F8C" w:rsidRDefault="003C2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3F07E1">
          <w:headerReference w:type="default" r:id="rId9"/>
          <w:pgSz w:w="11906" w:h="16838" w:code="9"/>
          <w:pgMar w:top="1440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1673D1" w:rsidRPr="004C6B66">
        <w:t xml:space="preserve">1 </w:t>
      </w:r>
      <w:r w:rsidR="001673D1">
        <w:t>October 2018 to 31 December 2018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937" w:type="dxa"/>
        <w:tblInd w:w="93" w:type="dxa"/>
        <w:tblLook w:val="04A0" w:firstRow="1" w:lastRow="0" w:firstColumn="1" w:lastColumn="0" w:noHBand="0" w:noVBand="1"/>
        <w:tblCaption w:val="ACFI  Review Statistics by State: 1 October 2018 to 31 December 2018"/>
        <w:tblDescription w:val="Total number of ACFI reviews and percentage of downgrade rates per State for the December 2018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3C2F8C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3C2F8C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771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3C2F8C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3C2F8C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296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3C2F8C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3C2F8C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224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3C2F8C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2D1E39" w:rsidP="003C2F8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1,</w:t>
            </w:r>
            <w:r w:rsidR="003C2F8C">
              <w:rPr>
                <w:b/>
                <w:bCs/>
                <w:color w:val="000000"/>
                <w:sz w:val="20"/>
                <w:szCs w:val="20"/>
                <w:lang w:eastAsia="en-AU"/>
              </w:rPr>
              <w:t>638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11.8%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4.0%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1.0%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12.2%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17.5%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1.8%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4.3%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9.7%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21.5%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21.6%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12.6%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17.4%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8.7%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17.7%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12.2%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5.6%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12.8%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22.3%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10.4%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17.0%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17.9%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15.5%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12.7%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7.8%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6.4%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23.3%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6.9%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3.4%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5.7%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7.8%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3.3%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0.7%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3.1%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8. Verbal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16.2%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5.1%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0.7%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19.6%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33.0%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4.3%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14.2%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9. Physical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29.8%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8.1%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0.7%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0.9%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19.2%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2.9%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6.1%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3.2%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0.5%</w:t>
            </w:r>
          </w:p>
        </w:tc>
      </w:tr>
      <w:tr w:rsidR="003C2F8C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3C2F8C" w:rsidRPr="002554F2" w:rsidRDefault="003C2F8C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24.3%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16.2%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28.7%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50.5%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32.1%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26.1%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3C2F8C" w:rsidRPr="00652658" w:rsidRDefault="003C2F8C" w:rsidP="003C2F8C">
            <w:pPr>
              <w:jc w:val="center"/>
            </w:pPr>
            <w:r w:rsidRPr="00652658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2F8C" w:rsidRDefault="003C2F8C" w:rsidP="003C2F8C">
            <w:pPr>
              <w:jc w:val="center"/>
            </w:pPr>
            <w:r w:rsidRPr="00652658">
              <w:t>26.9%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1"/>
    <w:bookmarkEnd w:id="2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76" w:rsidRPr="00D07F76" w:rsidRDefault="001673D1" w:rsidP="00D07F76">
    <w:pPr>
      <w:rPr>
        <w:b/>
        <w:bCs/>
      </w:rPr>
    </w:pPr>
    <w:r>
      <w:rPr>
        <w:b/>
        <w:bCs/>
      </w:rPr>
      <w:t>December</w:t>
    </w:r>
    <w:r w:rsidR="000C1472">
      <w:rPr>
        <w:b/>
        <w:bCs/>
      </w:rPr>
      <w:t xml:space="preserve"> 2018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673D1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2F8C"/>
    <w:rsid w:val="003C6366"/>
    <w:rsid w:val="003D6C79"/>
    <w:rsid w:val="003E588C"/>
    <w:rsid w:val="003F07E1"/>
    <w:rsid w:val="003F5E1A"/>
    <w:rsid w:val="00407CE6"/>
    <w:rsid w:val="00416D2E"/>
    <w:rsid w:val="00422E82"/>
    <w:rsid w:val="004274F8"/>
    <w:rsid w:val="004335AD"/>
    <w:rsid w:val="004466FA"/>
    <w:rsid w:val="004468E2"/>
    <w:rsid w:val="00462531"/>
    <w:rsid w:val="00476421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27D8"/>
    <w:rsid w:val="00523616"/>
    <w:rsid w:val="0055654E"/>
    <w:rsid w:val="00570B2E"/>
    <w:rsid w:val="005744D8"/>
    <w:rsid w:val="005837D9"/>
    <w:rsid w:val="0058621D"/>
    <w:rsid w:val="005908A5"/>
    <w:rsid w:val="00594FC0"/>
    <w:rsid w:val="005959FC"/>
    <w:rsid w:val="005B1B6D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27B5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9703E"/>
    <w:rsid w:val="00CA210F"/>
    <w:rsid w:val="00CB1AD4"/>
    <w:rsid w:val="00CB23A5"/>
    <w:rsid w:val="00CB3F25"/>
    <w:rsid w:val="00CC084C"/>
    <w:rsid w:val="00CC340E"/>
    <w:rsid w:val="00CC519F"/>
    <w:rsid w:val="00CC5691"/>
    <w:rsid w:val="00CC5E75"/>
    <w:rsid w:val="00CC6E18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DF1829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0275-C579-4DE6-9E59-8F019A1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>DHA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 Quarter</dc:title>
  <dc:creator>walshn</dc:creator>
  <cp:lastModifiedBy>O'BRIEN, Toby</cp:lastModifiedBy>
  <cp:revision>2</cp:revision>
  <cp:lastPrinted>2019-01-21T00:05:00Z</cp:lastPrinted>
  <dcterms:created xsi:type="dcterms:W3CDTF">2019-03-06T04:05:00Z</dcterms:created>
  <dcterms:modified xsi:type="dcterms:W3CDTF">2019-03-06T04:05:00Z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