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3EA" w:rsidRDefault="007B3980" w:rsidP="003353EA">
      <w:pPr>
        <w:pStyle w:val="BodyText1"/>
        <w:ind w:left="-567"/>
        <w:rPr>
          <w:lang w:val="en-GB"/>
        </w:rPr>
      </w:pPr>
      <w:r>
        <w:rPr>
          <w:lang w:val="en-GB"/>
        </w:rPr>
        <w:t xml:space="preserve"> </w:t>
      </w:r>
      <w:bookmarkStart w:id="0" w:name="_GoBack"/>
      <w:bookmarkEnd w:id="0"/>
    </w:p>
    <w:p w:rsidR="009633A2" w:rsidRPr="00FE623C" w:rsidRDefault="00694F36" w:rsidP="005D698F">
      <w:pPr>
        <w:pStyle w:val="Covertitle1108pt"/>
        <w:ind w:left="-567" w:right="1218"/>
        <w:rPr>
          <w:noProof w:val="0"/>
          <w:color w:val="00338D" w:themeColor="background2"/>
          <w:szCs w:val="96"/>
          <w:lang w:val="en-GB"/>
        </w:rPr>
      </w:pPr>
      <w:r w:rsidRPr="00FE623C">
        <w:rPr>
          <w:noProof w:val="0"/>
          <w:color w:val="00338D" w:themeColor="background2"/>
          <w:szCs w:val="96"/>
          <w:lang w:val="en-GB"/>
        </w:rPr>
        <w:t xml:space="preserve">Review of the </w:t>
      </w:r>
      <w:r w:rsidR="000B1D40" w:rsidRPr="00FE623C">
        <w:rPr>
          <w:noProof w:val="0"/>
          <w:color w:val="00338D" w:themeColor="background2"/>
          <w:szCs w:val="96"/>
          <w:lang w:val="en-GB"/>
        </w:rPr>
        <w:t>Transition Care Programme</w:t>
      </w:r>
    </w:p>
    <w:p w:rsidR="009633A2" w:rsidRPr="005F4136" w:rsidRDefault="009633A2" w:rsidP="005D698F">
      <w:pPr>
        <w:ind w:left="-567" w:right="1218"/>
        <w:rPr>
          <w:color w:val="00338D" w:themeColor="background2"/>
          <w:lang w:val="en-GB"/>
        </w:rPr>
      </w:pPr>
    </w:p>
    <w:p w:rsidR="009633A2" w:rsidRPr="00FE623C" w:rsidRDefault="00F6580E" w:rsidP="005D698F">
      <w:pPr>
        <w:pStyle w:val="Covertitle316ptNB"/>
        <w:ind w:left="-567" w:right="1218"/>
        <w:rPr>
          <w:rFonts w:ascii="Arial" w:hAnsi="Arial" w:cs="Arial"/>
          <w:b/>
          <w:color w:val="00338D" w:themeColor="background2"/>
          <w:lang w:val="en-GB"/>
        </w:rPr>
      </w:pPr>
      <w:r w:rsidRPr="00FE623C">
        <w:rPr>
          <w:rFonts w:ascii="Arial" w:hAnsi="Arial" w:cs="Arial"/>
          <w:b/>
          <w:color w:val="00338D" w:themeColor="background2"/>
          <w:lang w:val="en-GB"/>
        </w:rPr>
        <w:t>Department of Health</w:t>
      </w:r>
    </w:p>
    <w:p w:rsidR="00694F36" w:rsidRPr="00FE623C" w:rsidRDefault="00694F36" w:rsidP="005D698F">
      <w:pPr>
        <w:pStyle w:val="Covertitle316ptNB"/>
        <w:ind w:left="-567" w:right="1218"/>
        <w:rPr>
          <w:rFonts w:ascii="Arial" w:hAnsi="Arial" w:cs="Arial"/>
          <w:b/>
          <w:color w:val="00338D" w:themeColor="background2"/>
          <w:lang w:val="en-GB"/>
        </w:rPr>
      </w:pPr>
    </w:p>
    <w:p w:rsidR="00694F36" w:rsidRPr="00FE623C" w:rsidRDefault="00DE796E" w:rsidP="005D698F">
      <w:pPr>
        <w:pStyle w:val="Covertitle316ptNB"/>
        <w:ind w:left="-567" w:right="1218"/>
        <w:rPr>
          <w:rFonts w:ascii="Arial" w:hAnsi="Arial" w:cs="Arial"/>
          <w:b/>
          <w:color w:val="00338D" w:themeColor="background2"/>
          <w:lang w:val="en-GB"/>
        </w:rPr>
      </w:pPr>
      <w:r w:rsidRPr="00FE623C">
        <w:rPr>
          <w:rFonts w:ascii="Arial" w:hAnsi="Arial" w:cs="Arial"/>
          <w:b/>
          <w:color w:val="00338D" w:themeColor="background2"/>
          <w:lang w:val="en-GB"/>
        </w:rPr>
        <w:t>Final</w:t>
      </w:r>
      <w:r w:rsidR="00694F36" w:rsidRPr="00FE623C">
        <w:rPr>
          <w:rFonts w:ascii="Arial" w:hAnsi="Arial" w:cs="Arial"/>
          <w:b/>
          <w:color w:val="00338D" w:themeColor="background2"/>
          <w:lang w:val="en-GB"/>
        </w:rPr>
        <w:t xml:space="preserve"> report</w:t>
      </w:r>
    </w:p>
    <w:p w:rsidR="009633A2" w:rsidRPr="00FE623C" w:rsidRDefault="00C70AFA" w:rsidP="005D698F">
      <w:pPr>
        <w:pStyle w:val="Covertitle412pt"/>
        <w:ind w:left="-567" w:right="1218"/>
        <w:rPr>
          <w:rFonts w:ascii="Arial" w:hAnsi="Arial" w:cs="Arial"/>
          <w:color w:val="00338D" w:themeColor="background2"/>
          <w:lang w:val="en-GB"/>
        </w:rPr>
      </w:pPr>
      <w:r w:rsidRPr="00FE623C">
        <w:rPr>
          <w:rFonts w:ascii="Arial" w:hAnsi="Arial" w:cs="Arial"/>
          <w:color w:val="00338D" w:themeColor="background2"/>
          <w:lang w:val="en-GB"/>
        </w:rPr>
        <w:t xml:space="preserve">March </w:t>
      </w:r>
      <w:r w:rsidR="000B1D40" w:rsidRPr="00FE623C">
        <w:rPr>
          <w:rFonts w:ascii="Arial" w:hAnsi="Arial" w:cs="Arial"/>
          <w:color w:val="00338D" w:themeColor="background2"/>
          <w:lang w:val="en-GB"/>
        </w:rPr>
        <w:t>2019</w:t>
      </w:r>
    </w:p>
    <w:p w:rsidR="00943D20" w:rsidRPr="007F1A00" w:rsidRDefault="00943D20" w:rsidP="009633A2">
      <w:pPr>
        <w:rPr>
          <w:lang w:val="en-GB"/>
        </w:rPr>
      </w:pPr>
    </w:p>
    <w:p w:rsidR="009633A2" w:rsidRPr="007F1A00" w:rsidRDefault="009633A2" w:rsidP="009633A2">
      <w:pPr>
        <w:rPr>
          <w:lang w:val="en-GB"/>
        </w:rPr>
        <w:sectPr w:rsidR="009633A2" w:rsidRPr="007F1A00" w:rsidSect="001B41A0">
          <w:pgSz w:w="11906" w:h="16838"/>
          <w:pgMar w:top="2665" w:right="1418" w:bottom="1418" w:left="1899" w:header="709" w:footer="709" w:gutter="0"/>
          <w:cols w:space="708"/>
          <w:docGrid w:linePitch="360"/>
        </w:sectPr>
      </w:pPr>
    </w:p>
    <w:p w:rsidR="000B1D40" w:rsidRPr="007F1A00" w:rsidRDefault="000B1D40" w:rsidP="002F7C0C">
      <w:pPr>
        <w:pStyle w:val="Heading1Noshow"/>
        <w:rPr>
          <w:lang w:val="en-GB"/>
        </w:rPr>
      </w:pPr>
      <w:r w:rsidRPr="002F7C0C">
        <w:lastRenderedPageBreak/>
        <w:t>Disclaimer</w:t>
      </w:r>
    </w:p>
    <w:p w:rsidR="0071410D" w:rsidRPr="002F7C0C" w:rsidRDefault="0071410D" w:rsidP="0071410D">
      <w:pPr>
        <w:pStyle w:val="BodyText"/>
        <w:spacing w:before="80" w:after="80"/>
        <w:rPr>
          <w:rFonts w:cs="Arial"/>
          <w:iCs/>
          <w:lang w:val="en-GB"/>
        </w:rPr>
      </w:pPr>
      <w:r w:rsidRPr="002F7C0C">
        <w:rPr>
          <w:rFonts w:cs="Arial"/>
          <w:b/>
          <w:bCs/>
          <w:iCs/>
          <w:lang w:val="en-GB"/>
        </w:rPr>
        <w:t>Inherent Limitations</w:t>
      </w:r>
    </w:p>
    <w:p w:rsidR="0071410D" w:rsidRPr="007F1A00" w:rsidRDefault="0071410D" w:rsidP="002F7C0C">
      <w:pPr>
        <w:pStyle w:val="BodyText1"/>
        <w:rPr>
          <w:iCs/>
          <w:lang w:val="en-GB"/>
        </w:rPr>
      </w:pPr>
      <w:r w:rsidRPr="007F1A00">
        <w:rPr>
          <w:lang w:val="en-GB" w:eastAsia="en-AU"/>
        </w:rPr>
        <w:t>This report has been prepared as outlined in the Scope Section.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w:t>
      </w:r>
      <w:r w:rsidRPr="007F1A00" w:rsidDel="00604D89">
        <w:rPr>
          <w:iCs/>
          <w:lang w:val="en-GB"/>
        </w:rPr>
        <w:t xml:space="preserve"> </w:t>
      </w:r>
    </w:p>
    <w:p w:rsidR="0071410D" w:rsidRPr="007F1A00" w:rsidRDefault="0071410D" w:rsidP="002F7C0C">
      <w:pPr>
        <w:pStyle w:val="BodyText1"/>
        <w:rPr>
          <w:iCs/>
          <w:lang w:val="en-GB"/>
        </w:rPr>
      </w:pPr>
      <w:r w:rsidRPr="007F1A00">
        <w:rPr>
          <w:iCs/>
          <w:lang w:val="en-GB"/>
        </w:rPr>
        <w:t>No warranty of completeness, accuracy or reliability is given in relation to the statements and representations made by, and the information and documentation provided by, Department of Health stakeholders consulted as part of the process.</w:t>
      </w:r>
    </w:p>
    <w:p w:rsidR="0071410D" w:rsidRPr="007F1A00" w:rsidRDefault="0071410D" w:rsidP="002F7C0C">
      <w:pPr>
        <w:pStyle w:val="BodyText1"/>
        <w:rPr>
          <w:iCs/>
          <w:lang w:val="en-GB"/>
        </w:rPr>
      </w:pPr>
      <w:r w:rsidRPr="007F1A00">
        <w:rPr>
          <w:iCs/>
          <w:lang w:val="en-GB"/>
        </w:rPr>
        <w:t>KPMG have indicated within this report the sources of the information provided. We have not sought to independently verify those sources unless otherwise noted within the report.</w:t>
      </w:r>
    </w:p>
    <w:p w:rsidR="0071410D" w:rsidRPr="007F1A00" w:rsidRDefault="0071410D" w:rsidP="002F7C0C">
      <w:pPr>
        <w:pStyle w:val="BodyText1"/>
        <w:rPr>
          <w:iCs/>
          <w:lang w:val="en-GB"/>
        </w:rPr>
      </w:pPr>
      <w:r w:rsidRPr="007F1A00">
        <w:rPr>
          <w:iCs/>
          <w:lang w:val="en-GB"/>
        </w:rPr>
        <w:t>KPMG is under no obligation in any circumstance to update this report, in either oral or written form, for events occurring after the report has been issued in final form.</w:t>
      </w:r>
    </w:p>
    <w:p w:rsidR="0071410D" w:rsidRPr="007F1A00" w:rsidRDefault="0071410D" w:rsidP="002F7C0C">
      <w:pPr>
        <w:pStyle w:val="BodyText1"/>
        <w:rPr>
          <w:iCs/>
          <w:lang w:val="en-GB"/>
        </w:rPr>
      </w:pPr>
      <w:r w:rsidRPr="007F1A00">
        <w:rPr>
          <w:iCs/>
          <w:lang w:val="en-GB"/>
        </w:rPr>
        <w:t>The findings in this report have been formed on the above basis.</w:t>
      </w:r>
    </w:p>
    <w:p w:rsidR="0071410D" w:rsidRPr="002F7C0C" w:rsidRDefault="0071410D" w:rsidP="0071410D">
      <w:pPr>
        <w:pStyle w:val="BodyText"/>
        <w:spacing w:before="80" w:after="80"/>
        <w:rPr>
          <w:rFonts w:cs="Arial"/>
          <w:iCs/>
          <w:lang w:val="en-GB"/>
        </w:rPr>
      </w:pPr>
      <w:r w:rsidRPr="002F7C0C">
        <w:rPr>
          <w:rFonts w:cs="Arial"/>
          <w:b/>
          <w:bCs/>
          <w:iCs/>
          <w:lang w:val="en-GB"/>
        </w:rPr>
        <w:t>Third Party Reliance</w:t>
      </w:r>
    </w:p>
    <w:p w:rsidR="0071410D" w:rsidRPr="007F1A00" w:rsidRDefault="0071410D" w:rsidP="002F7C0C">
      <w:pPr>
        <w:pStyle w:val="BodyText1"/>
        <w:rPr>
          <w:lang w:val="en-GB"/>
        </w:rPr>
      </w:pPr>
      <w:r w:rsidRPr="007F1A00">
        <w:rPr>
          <w:lang w:val="en-GB"/>
        </w:rPr>
        <w:t>This report is solely for the purpose set out in the Scope Section and for Department of Health’s information, and is not to be used for any other purpose or distributed to any other party without KPMG’s prior written consent.</w:t>
      </w:r>
    </w:p>
    <w:p w:rsidR="004D0328" w:rsidRDefault="0071410D" w:rsidP="002F7C0C">
      <w:pPr>
        <w:pStyle w:val="BodyText1"/>
        <w:rPr>
          <w:lang w:val="en-GB"/>
        </w:rPr>
      </w:pPr>
      <w:r w:rsidRPr="007F1A00">
        <w:rPr>
          <w:lang w:val="en-GB"/>
        </w:rPr>
        <w:t xml:space="preserve">This report has been prepared at the request of Department of Health in accordance with the terms of KPMG’s </w:t>
      </w:r>
      <w:r w:rsidR="00531FB7" w:rsidRPr="007F1A00">
        <w:rPr>
          <w:lang w:val="en-GB"/>
        </w:rPr>
        <w:t>contract dated 8 October 2018</w:t>
      </w:r>
      <w:r w:rsidRPr="007F1A00">
        <w:rPr>
          <w:lang w:val="en-GB"/>
        </w:rPr>
        <w:t>. Other than our responsibility to Department of Health, neither KPMG nor any member or employee of KPMG undertakes responsibility arising in any way from reliance placed by a third party on this report. Any reliance placed is that party’s sole responsibility.</w:t>
      </w:r>
    </w:p>
    <w:p w:rsidR="004D0328" w:rsidRPr="002F7C0C" w:rsidRDefault="004D0328" w:rsidP="004D0328">
      <w:pPr>
        <w:pStyle w:val="BodyText"/>
        <w:spacing w:before="80" w:after="80"/>
        <w:rPr>
          <w:rFonts w:cs="Arial"/>
          <w:iCs/>
          <w:lang w:val="en-GB"/>
        </w:rPr>
      </w:pPr>
      <w:r w:rsidRPr="002F7C0C">
        <w:rPr>
          <w:rFonts w:cs="Arial"/>
          <w:b/>
          <w:bCs/>
          <w:iCs/>
          <w:lang w:val="en-GB"/>
        </w:rPr>
        <w:t>Accessibility</w:t>
      </w:r>
    </w:p>
    <w:p w:rsidR="00FE623C" w:rsidRDefault="004D0328" w:rsidP="002F7C0C">
      <w:pPr>
        <w:pStyle w:val="BodyText1"/>
        <w:rPr>
          <w:lang w:val="en-GB"/>
        </w:rPr>
      </w:pPr>
      <w:r w:rsidRPr="004D0328">
        <w:rPr>
          <w:lang w:val="en-GB"/>
        </w:rPr>
        <w:t>To comply with the Commonwealth Government’s accessibility requirements for publishing on the internet, two versions of this report are available: a KPMG-branded PDF version and an unbranded Microsoft Word version. The KPMG-branded PDF version of this report remains the definitive version.</w:t>
      </w:r>
    </w:p>
    <w:p w:rsidR="000B1D40" w:rsidRPr="007F1A00" w:rsidRDefault="004D0328" w:rsidP="002F7C0C">
      <w:pPr>
        <w:pStyle w:val="BodyText1"/>
        <w:rPr>
          <w:rFonts w:ascii="KPMG Light" w:eastAsiaTheme="majorEastAsia" w:hAnsi="KPMG Light" w:cstheme="majorBidi"/>
          <w:color w:val="00338D"/>
          <w:sz w:val="96"/>
          <w:szCs w:val="96"/>
          <w:lang w:val="en-GB"/>
        </w:rPr>
      </w:pPr>
      <w:r w:rsidRPr="004D0328">
        <w:rPr>
          <w:lang w:val="en-GB"/>
        </w:rPr>
        <w:t xml:space="preserve"> </w:t>
      </w:r>
      <w:r w:rsidR="000B1D40" w:rsidRPr="007F1A00">
        <w:rPr>
          <w:lang w:val="en-GB"/>
        </w:rPr>
        <w:br w:type="page"/>
      </w:r>
    </w:p>
    <w:p w:rsidR="00E440C1" w:rsidRDefault="00E440C1" w:rsidP="00E440C1">
      <w:pPr>
        <w:pStyle w:val="HeadingLevel1NoNumber"/>
        <w:rPr>
          <w:lang w:val="en-GB"/>
        </w:rPr>
      </w:pPr>
      <w:bookmarkStart w:id="1" w:name="_Toc5270588"/>
      <w:r w:rsidRPr="007F1A00">
        <w:rPr>
          <w:lang w:val="en-GB"/>
        </w:rPr>
        <w:lastRenderedPageBreak/>
        <w:t>Glossary</w:t>
      </w:r>
      <w:bookmarkEnd w:id="1"/>
    </w:p>
    <w:p w:rsidR="00312F95" w:rsidRPr="00312F95" w:rsidRDefault="00312F95" w:rsidP="002F7C0C">
      <w:pPr>
        <w:pStyle w:val="BodyText1"/>
        <w:rPr>
          <w:lang w:val="en-GB"/>
        </w:rPr>
      </w:pPr>
      <w:r w:rsidRPr="00312F95">
        <w:rPr>
          <w:lang w:val="en-GB"/>
        </w:rPr>
        <w:t>ACAP (ACAT and ACAS)</w:t>
      </w:r>
      <w:r>
        <w:rPr>
          <w:lang w:val="en-GB"/>
        </w:rPr>
        <w:t xml:space="preserve">: </w:t>
      </w:r>
      <w:r w:rsidRPr="00312F95">
        <w:rPr>
          <w:lang w:val="en-GB"/>
        </w:rPr>
        <w:t>Aged Care Assessment Program. The ACAP operates nationally and is provided by Aged Care Assessment Teams (ACATs) in most jurisdictions and Aged Care Assessment Services (ACASs) in Victoria.</w:t>
      </w:r>
    </w:p>
    <w:p w:rsidR="00312F95" w:rsidRPr="00312F95" w:rsidRDefault="00312F95" w:rsidP="002F7C0C">
      <w:pPr>
        <w:pStyle w:val="BodyText1"/>
        <w:rPr>
          <w:lang w:val="en-GB"/>
        </w:rPr>
      </w:pPr>
      <w:r w:rsidRPr="00312F95">
        <w:rPr>
          <w:lang w:val="en-GB"/>
        </w:rPr>
        <w:t>ACT</w:t>
      </w:r>
      <w:r>
        <w:rPr>
          <w:lang w:val="en-GB"/>
        </w:rPr>
        <w:t xml:space="preserve">: </w:t>
      </w:r>
      <w:r w:rsidRPr="00312F95">
        <w:rPr>
          <w:lang w:val="en-GB"/>
        </w:rPr>
        <w:t>Australian Capital Territory</w:t>
      </w:r>
    </w:p>
    <w:p w:rsidR="00312F95" w:rsidRPr="00312F95" w:rsidRDefault="00312F95" w:rsidP="002F7C0C">
      <w:pPr>
        <w:pStyle w:val="BodyText1"/>
        <w:rPr>
          <w:lang w:val="en-GB"/>
        </w:rPr>
      </w:pPr>
      <w:r w:rsidRPr="00312F95">
        <w:rPr>
          <w:lang w:val="en-GB"/>
        </w:rPr>
        <w:t>ADL</w:t>
      </w:r>
      <w:r>
        <w:rPr>
          <w:lang w:val="en-GB"/>
        </w:rPr>
        <w:t xml:space="preserve">: </w:t>
      </w:r>
      <w:r w:rsidRPr="00312F95">
        <w:rPr>
          <w:lang w:val="en-GB"/>
        </w:rPr>
        <w:t>Activities of daily living</w:t>
      </w:r>
    </w:p>
    <w:p w:rsidR="00312F95" w:rsidRPr="00312F95" w:rsidRDefault="00312F95" w:rsidP="002F7C0C">
      <w:pPr>
        <w:pStyle w:val="BodyText1"/>
        <w:rPr>
          <w:lang w:val="en-GB"/>
        </w:rPr>
      </w:pPr>
      <w:r w:rsidRPr="00312F95">
        <w:rPr>
          <w:lang w:val="en-GB"/>
        </w:rPr>
        <w:t>AIHW</w:t>
      </w:r>
      <w:r>
        <w:rPr>
          <w:lang w:val="en-GB"/>
        </w:rPr>
        <w:t xml:space="preserve">: </w:t>
      </w:r>
      <w:r w:rsidRPr="00312F95">
        <w:rPr>
          <w:lang w:val="en-GB"/>
        </w:rPr>
        <w:t>Australian Institute of Health and Welfare</w:t>
      </w:r>
    </w:p>
    <w:p w:rsidR="00312F95" w:rsidRPr="00312F95" w:rsidRDefault="00312F95" w:rsidP="002F7C0C">
      <w:pPr>
        <w:pStyle w:val="BodyText1"/>
        <w:rPr>
          <w:lang w:val="en-GB"/>
        </w:rPr>
      </w:pPr>
      <w:r w:rsidRPr="00312F95">
        <w:rPr>
          <w:lang w:val="en-GB"/>
        </w:rPr>
        <w:t>ANZSGM</w:t>
      </w:r>
      <w:r>
        <w:rPr>
          <w:lang w:val="en-GB"/>
        </w:rPr>
        <w:t xml:space="preserve">: </w:t>
      </w:r>
      <w:r w:rsidRPr="00312F95">
        <w:rPr>
          <w:lang w:val="en-GB"/>
        </w:rPr>
        <w:t>Australian and New Zealand Society for Geriatric Medicine</w:t>
      </w:r>
    </w:p>
    <w:p w:rsidR="00312F95" w:rsidRPr="00312F95" w:rsidRDefault="00312F95" w:rsidP="002F7C0C">
      <w:pPr>
        <w:pStyle w:val="BodyText1"/>
        <w:rPr>
          <w:lang w:val="en-GB"/>
        </w:rPr>
      </w:pPr>
      <w:r w:rsidRPr="00312F95">
        <w:rPr>
          <w:lang w:val="en-GB"/>
        </w:rPr>
        <w:t>AROC</w:t>
      </w:r>
      <w:r>
        <w:rPr>
          <w:lang w:val="en-GB"/>
        </w:rPr>
        <w:t xml:space="preserve">: </w:t>
      </w:r>
      <w:r w:rsidRPr="00312F95">
        <w:rPr>
          <w:lang w:val="en-GB"/>
        </w:rPr>
        <w:t>Australian Rehabilitation Outcomes Centre</w:t>
      </w:r>
    </w:p>
    <w:p w:rsidR="00312F95" w:rsidRPr="00312F95" w:rsidRDefault="00312F95" w:rsidP="002F7C0C">
      <w:pPr>
        <w:pStyle w:val="BodyText1"/>
        <w:rPr>
          <w:lang w:val="en-GB"/>
        </w:rPr>
      </w:pPr>
      <w:r w:rsidRPr="00312F95">
        <w:rPr>
          <w:lang w:val="en-GB"/>
        </w:rPr>
        <w:t>BRASS</w:t>
      </w:r>
      <w:r>
        <w:rPr>
          <w:lang w:val="en-GB"/>
        </w:rPr>
        <w:t xml:space="preserve">: </w:t>
      </w:r>
      <w:r w:rsidRPr="00312F95">
        <w:rPr>
          <w:lang w:val="en-GB"/>
        </w:rPr>
        <w:t>Blaylock Risk Screening Assessment Tool</w:t>
      </w:r>
    </w:p>
    <w:p w:rsidR="00312F95" w:rsidRPr="00312F95" w:rsidRDefault="00312F95" w:rsidP="002F7C0C">
      <w:pPr>
        <w:pStyle w:val="BodyText1"/>
        <w:rPr>
          <w:lang w:val="en-GB"/>
        </w:rPr>
      </w:pPr>
      <w:r w:rsidRPr="00312F95">
        <w:rPr>
          <w:lang w:val="en-GB"/>
        </w:rPr>
        <w:t>CALD</w:t>
      </w:r>
      <w:r>
        <w:rPr>
          <w:lang w:val="en-GB"/>
        </w:rPr>
        <w:t xml:space="preserve">: </w:t>
      </w:r>
      <w:r w:rsidRPr="00312F95">
        <w:rPr>
          <w:lang w:val="en-GB"/>
        </w:rPr>
        <w:t>Culturally and linguistically diverse</w:t>
      </w:r>
    </w:p>
    <w:p w:rsidR="00312F95" w:rsidRPr="00312F95" w:rsidRDefault="00312F95" w:rsidP="002F7C0C">
      <w:pPr>
        <w:pStyle w:val="BodyText1"/>
        <w:rPr>
          <w:lang w:val="en-GB"/>
        </w:rPr>
      </w:pPr>
      <w:r w:rsidRPr="00312F95">
        <w:rPr>
          <w:lang w:val="en-GB"/>
        </w:rPr>
        <w:t>CBMS</w:t>
      </w:r>
      <w:r>
        <w:rPr>
          <w:lang w:val="en-GB"/>
        </w:rPr>
        <w:t xml:space="preserve">: </w:t>
      </w:r>
      <w:r w:rsidRPr="00312F95">
        <w:rPr>
          <w:lang w:val="en-GB"/>
        </w:rPr>
        <w:t>Community Balance and Mobility Scale</w:t>
      </w:r>
    </w:p>
    <w:p w:rsidR="00312F95" w:rsidRPr="00312F95" w:rsidRDefault="00312F95" w:rsidP="002F7C0C">
      <w:pPr>
        <w:pStyle w:val="BodyText1"/>
        <w:rPr>
          <w:lang w:val="en-GB"/>
        </w:rPr>
      </w:pPr>
      <w:r w:rsidRPr="00312F95">
        <w:rPr>
          <w:lang w:val="en-GB"/>
        </w:rPr>
        <w:t>CHSP</w:t>
      </w:r>
      <w:r>
        <w:rPr>
          <w:lang w:val="en-GB"/>
        </w:rPr>
        <w:t xml:space="preserve">: </w:t>
      </w:r>
      <w:r w:rsidRPr="00312F95">
        <w:rPr>
          <w:lang w:val="en-GB"/>
        </w:rPr>
        <w:t>Commonwealth Home Support Programme</w:t>
      </w:r>
    </w:p>
    <w:p w:rsidR="00312F95" w:rsidRPr="00312F95" w:rsidRDefault="00312F95" w:rsidP="002F7C0C">
      <w:pPr>
        <w:pStyle w:val="BodyText1"/>
        <w:rPr>
          <w:lang w:val="en-GB"/>
        </w:rPr>
      </w:pPr>
      <w:r w:rsidRPr="00312F95">
        <w:rPr>
          <w:lang w:val="en-GB"/>
        </w:rPr>
        <w:t>CREST</w:t>
      </w:r>
      <w:r>
        <w:rPr>
          <w:lang w:val="en-GB"/>
        </w:rPr>
        <w:t xml:space="preserve">: </w:t>
      </w:r>
      <w:r w:rsidRPr="00312F95">
        <w:rPr>
          <w:lang w:val="en-GB"/>
        </w:rPr>
        <w:t xml:space="preserve">Community Rehabilitation Enablement and Support Team </w:t>
      </w:r>
    </w:p>
    <w:p w:rsidR="00312F95" w:rsidRPr="00312F95" w:rsidRDefault="00312F95" w:rsidP="002F7C0C">
      <w:pPr>
        <w:pStyle w:val="BodyText1"/>
        <w:rPr>
          <w:lang w:val="en-GB"/>
        </w:rPr>
      </w:pPr>
      <w:r w:rsidRPr="00312F95">
        <w:rPr>
          <w:lang w:val="en-GB"/>
        </w:rPr>
        <w:t>CSI</w:t>
      </w:r>
      <w:r>
        <w:rPr>
          <w:lang w:val="en-GB"/>
        </w:rPr>
        <w:t xml:space="preserve">: </w:t>
      </w:r>
      <w:r w:rsidRPr="00312F95">
        <w:rPr>
          <w:lang w:val="en-GB"/>
        </w:rPr>
        <w:t xml:space="preserve">Carer Strain Index </w:t>
      </w:r>
    </w:p>
    <w:p w:rsidR="00312F95" w:rsidRPr="00312F95" w:rsidRDefault="00312F95" w:rsidP="002F7C0C">
      <w:pPr>
        <w:pStyle w:val="BodyText1"/>
        <w:rPr>
          <w:lang w:val="en-GB"/>
        </w:rPr>
      </w:pPr>
      <w:r w:rsidRPr="00312F95">
        <w:rPr>
          <w:lang w:val="en-GB"/>
        </w:rPr>
        <w:t>CTI</w:t>
      </w:r>
      <w:r>
        <w:rPr>
          <w:lang w:val="en-GB"/>
        </w:rPr>
        <w:t xml:space="preserve">: </w:t>
      </w:r>
      <w:r w:rsidRPr="00312F95">
        <w:rPr>
          <w:lang w:val="en-GB"/>
        </w:rPr>
        <w:t>Care Transitions Intervention, an American program</w:t>
      </w:r>
    </w:p>
    <w:p w:rsidR="00312F95" w:rsidRPr="00312F95" w:rsidRDefault="00312F95" w:rsidP="002F7C0C">
      <w:pPr>
        <w:pStyle w:val="BodyText1"/>
        <w:rPr>
          <w:lang w:val="en-GB"/>
        </w:rPr>
      </w:pPr>
      <w:r w:rsidRPr="00312F95">
        <w:rPr>
          <w:lang w:val="en-GB"/>
        </w:rPr>
        <w:t>DHB</w:t>
      </w:r>
      <w:r>
        <w:rPr>
          <w:lang w:val="en-GB"/>
        </w:rPr>
        <w:t xml:space="preserve">: </w:t>
      </w:r>
      <w:r w:rsidRPr="00312F95">
        <w:rPr>
          <w:lang w:val="en-GB"/>
        </w:rPr>
        <w:t>District Health Board (New Zealand)</w:t>
      </w:r>
    </w:p>
    <w:p w:rsidR="00312F95" w:rsidRPr="00312F95" w:rsidRDefault="00312F95" w:rsidP="002F7C0C">
      <w:pPr>
        <w:pStyle w:val="BodyText1"/>
        <w:rPr>
          <w:lang w:val="en-GB"/>
        </w:rPr>
      </w:pPr>
      <w:r w:rsidRPr="00312F95">
        <w:rPr>
          <w:lang w:val="en-GB"/>
        </w:rPr>
        <w:t>DHHS</w:t>
      </w:r>
      <w:r>
        <w:rPr>
          <w:lang w:val="en-GB"/>
        </w:rPr>
        <w:t xml:space="preserve">: </w:t>
      </w:r>
      <w:r w:rsidRPr="00312F95">
        <w:rPr>
          <w:lang w:val="en-GB"/>
        </w:rPr>
        <w:t>Department of Health and Human Services</w:t>
      </w:r>
    </w:p>
    <w:p w:rsidR="00312F95" w:rsidRPr="00312F95" w:rsidRDefault="00312F95" w:rsidP="002F7C0C">
      <w:pPr>
        <w:pStyle w:val="BodyText1"/>
        <w:rPr>
          <w:lang w:val="en-GB"/>
        </w:rPr>
      </w:pPr>
      <w:r w:rsidRPr="00312F95">
        <w:rPr>
          <w:lang w:val="en-GB"/>
        </w:rPr>
        <w:t>EADL</w:t>
      </w:r>
      <w:r>
        <w:rPr>
          <w:lang w:val="en-GB"/>
        </w:rPr>
        <w:t xml:space="preserve">: </w:t>
      </w:r>
      <w:r w:rsidRPr="00312F95">
        <w:rPr>
          <w:lang w:val="en-GB"/>
        </w:rPr>
        <w:t>The Nottingham Extended Activities of Daily Living</w:t>
      </w:r>
    </w:p>
    <w:p w:rsidR="00312F95" w:rsidRPr="00312F95" w:rsidRDefault="00312F95" w:rsidP="002F7C0C">
      <w:pPr>
        <w:pStyle w:val="BodyText1"/>
        <w:rPr>
          <w:lang w:val="en-GB"/>
        </w:rPr>
      </w:pPr>
      <w:r w:rsidRPr="00312F95">
        <w:rPr>
          <w:lang w:val="en-GB"/>
        </w:rPr>
        <w:t>FECCA</w:t>
      </w:r>
      <w:r>
        <w:rPr>
          <w:lang w:val="en-GB"/>
        </w:rPr>
        <w:t xml:space="preserve">: </w:t>
      </w:r>
      <w:r w:rsidRPr="00312F95">
        <w:rPr>
          <w:lang w:val="en-GB"/>
        </w:rPr>
        <w:t>Federation of Ethnic Communities Councils of Australia</w:t>
      </w:r>
    </w:p>
    <w:p w:rsidR="00312F95" w:rsidRPr="00312F95" w:rsidRDefault="00312F95" w:rsidP="002F7C0C">
      <w:pPr>
        <w:pStyle w:val="BodyText1"/>
        <w:rPr>
          <w:lang w:val="en-GB"/>
        </w:rPr>
      </w:pPr>
      <w:r w:rsidRPr="00312F95">
        <w:rPr>
          <w:lang w:val="en-GB"/>
        </w:rPr>
        <w:t>FIM + FAM</w:t>
      </w:r>
      <w:r>
        <w:rPr>
          <w:lang w:val="en-GB"/>
        </w:rPr>
        <w:t xml:space="preserve">: </w:t>
      </w:r>
      <w:r w:rsidRPr="00312F95">
        <w:rPr>
          <w:lang w:val="en-GB"/>
        </w:rPr>
        <w:t xml:space="preserve">Functional Independence Measure and Functional Assessment Measure </w:t>
      </w:r>
    </w:p>
    <w:p w:rsidR="00312F95" w:rsidRPr="00312F95" w:rsidRDefault="00312F95" w:rsidP="002F7C0C">
      <w:pPr>
        <w:pStyle w:val="BodyText1"/>
        <w:rPr>
          <w:lang w:val="en-GB"/>
        </w:rPr>
      </w:pPr>
      <w:r w:rsidRPr="00312F95">
        <w:rPr>
          <w:lang w:val="en-GB"/>
        </w:rPr>
        <w:t>GCCSA</w:t>
      </w:r>
      <w:r>
        <w:rPr>
          <w:lang w:val="en-GB"/>
        </w:rPr>
        <w:t xml:space="preserve">: </w:t>
      </w:r>
      <w:r w:rsidRPr="00312F95">
        <w:rPr>
          <w:lang w:val="en-GB"/>
        </w:rPr>
        <w:t>Greater Capital City Spatial Areas</w:t>
      </w:r>
    </w:p>
    <w:p w:rsidR="00312F95" w:rsidRPr="00312F95" w:rsidRDefault="00312F95" w:rsidP="002F7C0C">
      <w:pPr>
        <w:pStyle w:val="BodyText1"/>
        <w:rPr>
          <w:lang w:val="en-GB"/>
        </w:rPr>
      </w:pPr>
      <w:r w:rsidRPr="00312F95">
        <w:rPr>
          <w:lang w:val="en-GB"/>
        </w:rPr>
        <w:t>GDS</w:t>
      </w:r>
      <w:r>
        <w:rPr>
          <w:lang w:val="en-GB"/>
        </w:rPr>
        <w:t xml:space="preserve">: </w:t>
      </w:r>
      <w:r w:rsidRPr="00312F95">
        <w:rPr>
          <w:lang w:val="en-GB"/>
        </w:rPr>
        <w:t>Geriatric Depression Scale</w:t>
      </w:r>
    </w:p>
    <w:p w:rsidR="00312F95" w:rsidRPr="00312F95" w:rsidRDefault="00312F95" w:rsidP="002F7C0C">
      <w:pPr>
        <w:pStyle w:val="BodyText1"/>
        <w:rPr>
          <w:lang w:val="en-GB"/>
        </w:rPr>
      </w:pPr>
      <w:r w:rsidRPr="00312F95">
        <w:rPr>
          <w:lang w:val="en-GB"/>
        </w:rPr>
        <w:t>HHS</w:t>
      </w:r>
      <w:r>
        <w:rPr>
          <w:lang w:val="en-GB"/>
        </w:rPr>
        <w:t xml:space="preserve">: </w:t>
      </w:r>
      <w:r w:rsidRPr="00312F95">
        <w:rPr>
          <w:lang w:val="en-GB"/>
        </w:rPr>
        <w:t>Hospital and Health Service (Queensland)</w:t>
      </w:r>
    </w:p>
    <w:p w:rsidR="00312F95" w:rsidRPr="00312F95" w:rsidRDefault="00312F95" w:rsidP="002F7C0C">
      <w:pPr>
        <w:pStyle w:val="BodyText1"/>
        <w:rPr>
          <w:lang w:val="en-GB"/>
        </w:rPr>
      </w:pPr>
      <w:r w:rsidRPr="00312F95">
        <w:rPr>
          <w:lang w:val="en-GB"/>
        </w:rPr>
        <w:t>ICR</w:t>
      </w:r>
      <w:r>
        <w:rPr>
          <w:lang w:val="en-GB"/>
        </w:rPr>
        <w:t xml:space="preserve">: </w:t>
      </w:r>
      <w:r w:rsidRPr="00312F95">
        <w:rPr>
          <w:lang w:val="en-GB"/>
        </w:rPr>
        <w:t>Intermediate Care and Reablement, a British program</w:t>
      </w:r>
    </w:p>
    <w:p w:rsidR="00312F95" w:rsidRPr="00312F95" w:rsidRDefault="00312F95" w:rsidP="002F7C0C">
      <w:pPr>
        <w:pStyle w:val="BodyText1"/>
        <w:rPr>
          <w:lang w:val="en-GB"/>
        </w:rPr>
      </w:pPr>
      <w:r w:rsidRPr="00312F95">
        <w:rPr>
          <w:lang w:val="en-GB"/>
        </w:rPr>
        <w:t>LHD</w:t>
      </w:r>
      <w:r>
        <w:rPr>
          <w:lang w:val="en-GB"/>
        </w:rPr>
        <w:t xml:space="preserve">: </w:t>
      </w:r>
      <w:r w:rsidRPr="00312F95">
        <w:rPr>
          <w:lang w:val="en-GB"/>
        </w:rPr>
        <w:t>Local Health District (New South Wales)</w:t>
      </w:r>
    </w:p>
    <w:p w:rsidR="00312F95" w:rsidRPr="00312F95" w:rsidRDefault="00312F95" w:rsidP="002F7C0C">
      <w:pPr>
        <w:pStyle w:val="BodyText1"/>
        <w:rPr>
          <w:lang w:val="en-GB"/>
        </w:rPr>
      </w:pPr>
      <w:r w:rsidRPr="00312F95">
        <w:rPr>
          <w:lang w:val="en-GB"/>
        </w:rPr>
        <w:t>LOS</w:t>
      </w:r>
      <w:r>
        <w:rPr>
          <w:lang w:val="en-GB"/>
        </w:rPr>
        <w:t xml:space="preserve">: </w:t>
      </w:r>
      <w:r w:rsidRPr="00312F95">
        <w:rPr>
          <w:lang w:val="en-GB"/>
        </w:rPr>
        <w:t>Length of stay</w:t>
      </w:r>
    </w:p>
    <w:p w:rsidR="00312F95" w:rsidRPr="00312F95" w:rsidRDefault="00312F95" w:rsidP="002F7C0C">
      <w:pPr>
        <w:pStyle w:val="BodyText1"/>
        <w:rPr>
          <w:lang w:val="en-GB"/>
        </w:rPr>
      </w:pPr>
      <w:r w:rsidRPr="00312F95">
        <w:rPr>
          <w:lang w:val="en-GB"/>
        </w:rPr>
        <w:t>MBI</w:t>
      </w:r>
      <w:r>
        <w:rPr>
          <w:lang w:val="en-GB"/>
        </w:rPr>
        <w:t xml:space="preserve">: </w:t>
      </w:r>
      <w:r w:rsidRPr="00312F95">
        <w:rPr>
          <w:lang w:val="en-GB"/>
        </w:rPr>
        <w:t>Modified Barthel Index</w:t>
      </w:r>
    </w:p>
    <w:p w:rsidR="00312F95" w:rsidRPr="00312F95" w:rsidRDefault="00312F95" w:rsidP="002F7C0C">
      <w:pPr>
        <w:pStyle w:val="BodyText1"/>
        <w:rPr>
          <w:lang w:val="en-GB"/>
        </w:rPr>
      </w:pPr>
      <w:r w:rsidRPr="00312F95">
        <w:rPr>
          <w:lang w:val="en-GB"/>
        </w:rPr>
        <w:t>MOCA</w:t>
      </w:r>
      <w:r>
        <w:rPr>
          <w:lang w:val="en-GB"/>
        </w:rPr>
        <w:t xml:space="preserve">: </w:t>
      </w:r>
      <w:r w:rsidRPr="00312F95">
        <w:rPr>
          <w:lang w:val="en-GB"/>
        </w:rPr>
        <w:t>Montreal Cognitive Assessment</w:t>
      </w:r>
    </w:p>
    <w:p w:rsidR="00312F95" w:rsidRPr="00312F95" w:rsidRDefault="00312F95" w:rsidP="002F7C0C">
      <w:pPr>
        <w:pStyle w:val="BodyText1"/>
        <w:rPr>
          <w:lang w:val="en-GB"/>
        </w:rPr>
      </w:pPr>
      <w:r w:rsidRPr="00312F95">
        <w:rPr>
          <w:lang w:val="en-GB"/>
        </w:rPr>
        <w:t>MMSE</w:t>
      </w:r>
      <w:r>
        <w:rPr>
          <w:lang w:val="en-GB"/>
        </w:rPr>
        <w:t xml:space="preserve">: </w:t>
      </w:r>
      <w:r w:rsidRPr="00312F95">
        <w:rPr>
          <w:lang w:val="en-GB"/>
        </w:rPr>
        <w:t>Mini Mental State Examination</w:t>
      </w:r>
    </w:p>
    <w:p w:rsidR="00312F95" w:rsidRPr="00312F95" w:rsidRDefault="00312F95" w:rsidP="002F7C0C">
      <w:pPr>
        <w:pStyle w:val="BodyText1"/>
        <w:rPr>
          <w:lang w:val="en-GB"/>
        </w:rPr>
      </w:pPr>
      <w:r w:rsidRPr="00312F95">
        <w:rPr>
          <w:lang w:val="en-GB"/>
        </w:rPr>
        <w:t>NDIS</w:t>
      </w:r>
      <w:r>
        <w:rPr>
          <w:lang w:val="en-GB"/>
        </w:rPr>
        <w:t xml:space="preserve">: </w:t>
      </w:r>
      <w:r w:rsidRPr="00312F95">
        <w:rPr>
          <w:lang w:val="en-GB"/>
        </w:rPr>
        <w:t>National Disability Insurance Scheme</w:t>
      </w:r>
    </w:p>
    <w:p w:rsidR="00312F95" w:rsidRPr="00312F95" w:rsidRDefault="00312F95" w:rsidP="002F7C0C">
      <w:pPr>
        <w:pStyle w:val="BodyText1"/>
        <w:rPr>
          <w:lang w:val="en-GB"/>
        </w:rPr>
      </w:pPr>
      <w:r w:rsidRPr="00312F95">
        <w:rPr>
          <w:lang w:val="en-GB"/>
        </w:rPr>
        <w:t>NGO</w:t>
      </w:r>
      <w:r>
        <w:rPr>
          <w:lang w:val="en-GB"/>
        </w:rPr>
        <w:t xml:space="preserve">: </w:t>
      </w:r>
      <w:r w:rsidRPr="00312F95">
        <w:rPr>
          <w:lang w:val="en-GB"/>
        </w:rPr>
        <w:t>Non-government organisation</w:t>
      </w:r>
    </w:p>
    <w:p w:rsidR="00312F95" w:rsidRPr="00312F95" w:rsidRDefault="00312F95" w:rsidP="002F7C0C">
      <w:pPr>
        <w:pStyle w:val="BodyText1"/>
        <w:rPr>
          <w:lang w:val="en-GB"/>
        </w:rPr>
      </w:pPr>
      <w:r w:rsidRPr="00312F95">
        <w:rPr>
          <w:lang w:val="en-GB"/>
        </w:rPr>
        <w:t>NHP</w:t>
      </w:r>
      <w:r>
        <w:rPr>
          <w:lang w:val="en-GB"/>
        </w:rPr>
        <w:t xml:space="preserve">: </w:t>
      </w:r>
      <w:r w:rsidRPr="00312F95">
        <w:rPr>
          <w:lang w:val="en-GB"/>
        </w:rPr>
        <w:t>Nottingham Health Profile</w:t>
      </w:r>
    </w:p>
    <w:p w:rsidR="00312F95" w:rsidRPr="00312F95" w:rsidRDefault="00312F95" w:rsidP="002F7C0C">
      <w:pPr>
        <w:pStyle w:val="BodyText1"/>
        <w:rPr>
          <w:lang w:val="en-GB"/>
        </w:rPr>
      </w:pPr>
      <w:r w:rsidRPr="00312F95">
        <w:rPr>
          <w:lang w:val="en-GB"/>
        </w:rPr>
        <w:t>NSW</w:t>
      </w:r>
      <w:r>
        <w:rPr>
          <w:lang w:val="en-GB"/>
        </w:rPr>
        <w:t xml:space="preserve">: </w:t>
      </w:r>
      <w:r w:rsidRPr="00312F95">
        <w:rPr>
          <w:lang w:val="en-GB"/>
        </w:rPr>
        <w:t>New South Wales</w:t>
      </w:r>
    </w:p>
    <w:p w:rsidR="00312F95" w:rsidRPr="00312F95" w:rsidRDefault="00312F95" w:rsidP="002F7C0C">
      <w:pPr>
        <w:pStyle w:val="BodyText1"/>
        <w:rPr>
          <w:lang w:val="en-GB"/>
        </w:rPr>
      </w:pPr>
      <w:r w:rsidRPr="00312F95">
        <w:rPr>
          <w:lang w:val="en-GB"/>
        </w:rPr>
        <w:t>NT</w:t>
      </w:r>
      <w:r>
        <w:rPr>
          <w:lang w:val="en-GB"/>
        </w:rPr>
        <w:t xml:space="preserve">: </w:t>
      </w:r>
      <w:r w:rsidRPr="00312F95">
        <w:rPr>
          <w:lang w:val="en-GB"/>
        </w:rPr>
        <w:t>Northern Territory</w:t>
      </w:r>
    </w:p>
    <w:p w:rsidR="00312F95" w:rsidRPr="00312F95" w:rsidRDefault="00312F95" w:rsidP="002F7C0C">
      <w:pPr>
        <w:pStyle w:val="BodyText1"/>
        <w:rPr>
          <w:lang w:val="en-GB"/>
        </w:rPr>
      </w:pPr>
      <w:r w:rsidRPr="00312F95">
        <w:rPr>
          <w:lang w:val="en-GB"/>
        </w:rPr>
        <w:t>SA</w:t>
      </w:r>
      <w:r>
        <w:rPr>
          <w:lang w:val="en-GB"/>
        </w:rPr>
        <w:t xml:space="preserve">: </w:t>
      </w:r>
      <w:r w:rsidRPr="00312F95">
        <w:rPr>
          <w:lang w:val="en-GB"/>
        </w:rPr>
        <w:t>South Australia</w:t>
      </w:r>
    </w:p>
    <w:p w:rsidR="00312F95" w:rsidRPr="00312F95" w:rsidRDefault="00312F95" w:rsidP="002F7C0C">
      <w:pPr>
        <w:pStyle w:val="BodyText1"/>
        <w:rPr>
          <w:lang w:val="en-GB"/>
        </w:rPr>
      </w:pPr>
      <w:r w:rsidRPr="00312F95">
        <w:rPr>
          <w:lang w:val="en-GB"/>
        </w:rPr>
        <w:t>SF-36</w:t>
      </w:r>
      <w:r>
        <w:rPr>
          <w:lang w:val="en-GB"/>
        </w:rPr>
        <w:t xml:space="preserve">: </w:t>
      </w:r>
      <w:r w:rsidRPr="00312F95">
        <w:rPr>
          <w:lang w:val="en-GB"/>
        </w:rPr>
        <w:t>Short Form 36-item</w:t>
      </w:r>
    </w:p>
    <w:p w:rsidR="00312F95" w:rsidRPr="00312F95" w:rsidRDefault="00312F95" w:rsidP="002F7C0C">
      <w:pPr>
        <w:pStyle w:val="BodyText1"/>
        <w:rPr>
          <w:lang w:val="en-GB"/>
        </w:rPr>
      </w:pPr>
      <w:r w:rsidRPr="00312F95">
        <w:rPr>
          <w:lang w:val="en-GB"/>
        </w:rPr>
        <w:t>START</w:t>
      </w:r>
      <w:r>
        <w:rPr>
          <w:lang w:val="en-GB"/>
        </w:rPr>
        <w:t xml:space="preserve">: </w:t>
      </w:r>
      <w:r w:rsidRPr="00312F95">
        <w:rPr>
          <w:lang w:val="en-GB"/>
        </w:rPr>
        <w:t>Supported Transfer Accelerated Rehabilitation Team, a program in New Zealand</w:t>
      </w:r>
    </w:p>
    <w:p w:rsidR="00312F95" w:rsidRPr="00312F95" w:rsidRDefault="00312F95" w:rsidP="002F7C0C">
      <w:pPr>
        <w:pStyle w:val="BodyText1"/>
        <w:rPr>
          <w:lang w:val="en-GB"/>
        </w:rPr>
      </w:pPr>
      <w:r w:rsidRPr="00312F95">
        <w:rPr>
          <w:lang w:val="en-GB"/>
        </w:rPr>
        <w:lastRenderedPageBreak/>
        <w:t>STRC</w:t>
      </w:r>
      <w:r>
        <w:rPr>
          <w:lang w:val="en-GB"/>
        </w:rPr>
        <w:t xml:space="preserve">: </w:t>
      </w:r>
      <w:r w:rsidRPr="00312F95">
        <w:rPr>
          <w:lang w:val="en-GB"/>
        </w:rPr>
        <w:t>Short Term Restorative Care</w:t>
      </w:r>
    </w:p>
    <w:p w:rsidR="00312F95" w:rsidRPr="00312F95" w:rsidRDefault="00312F95" w:rsidP="002F7C0C">
      <w:pPr>
        <w:pStyle w:val="BodyText1"/>
        <w:rPr>
          <w:lang w:val="en-GB"/>
        </w:rPr>
      </w:pPr>
      <w:r w:rsidRPr="00312F95">
        <w:rPr>
          <w:lang w:val="en-GB"/>
        </w:rPr>
        <w:t>TCP</w:t>
      </w:r>
      <w:r>
        <w:rPr>
          <w:lang w:val="en-GB"/>
        </w:rPr>
        <w:t xml:space="preserve">: </w:t>
      </w:r>
      <w:r w:rsidRPr="00312F95">
        <w:rPr>
          <w:lang w:val="en-GB"/>
        </w:rPr>
        <w:t>Transition Care Programme</w:t>
      </w:r>
    </w:p>
    <w:p w:rsidR="00312F95" w:rsidRPr="00312F95" w:rsidRDefault="00312F95" w:rsidP="002F7C0C">
      <w:pPr>
        <w:pStyle w:val="BodyText1"/>
        <w:rPr>
          <w:lang w:val="en-GB"/>
        </w:rPr>
      </w:pPr>
      <w:r w:rsidRPr="00312F95">
        <w:rPr>
          <w:lang w:val="en-GB"/>
        </w:rPr>
        <w:t>Telehealth</w:t>
      </w:r>
      <w:r>
        <w:rPr>
          <w:lang w:val="en-GB"/>
        </w:rPr>
        <w:t xml:space="preserve">: </w:t>
      </w:r>
      <w:r w:rsidRPr="00312F95">
        <w:rPr>
          <w:lang w:val="en-GB"/>
        </w:rPr>
        <w:t>The use of telecommunication techniques for the purpose of providing telemedicine, medical education, and health education over a distance.</w:t>
      </w:r>
    </w:p>
    <w:p w:rsidR="00312F95" w:rsidRPr="00312F95" w:rsidRDefault="00312F95" w:rsidP="002F7C0C">
      <w:pPr>
        <w:pStyle w:val="BodyText1"/>
        <w:rPr>
          <w:lang w:val="en-GB"/>
        </w:rPr>
      </w:pPr>
      <w:r w:rsidRPr="00312F95">
        <w:rPr>
          <w:lang w:val="en-GB"/>
        </w:rPr>
        <w:t>The Programme</w:t>
      </w:r>
      <w:r>
        <w:rPr>
          <w:lang w:val="en-GB"/>
        </w:rPr>
        <w:t xml:space="preserve">: </w:t>
      </w:r>
      <w:r w:rsidRPr="00312F95">
        <w:rPr>
          <w:lang w:val="en-GB"/>
        </w:rPr>
        <w:t>Transition Care Programme</w:t>
      </w:r>
    </w:p>
    <w:p w:rsidR="00312F95" w:rsidRPr="00312F95" w:rsidRDefault="00312F95" w:rsidP="002F7C0C">
      <w:pPr>
        <w:pStyle w:val="BodyText1"/>
        <w:rPr>
          <w:lang w:val="en-GB"/>
        </w:rPr>
      </w:pPr>
      <w:r w:rsidRPr="00312F95">
        <w:rPr>
          <w:lang w:val="en-GB"/>
        </w:rPr>
        <w:t>TIS</w:t>
      </w:r>
      <w:r>
        <w:rPr>
          <w:lang w:val="en-GB"/>
        </w:rPr>
        <w:t xml:space="preserve">: </w:t>
      </w:r>
      <w:r w:rsidRPr="00312F95">
        <w:rPr>
          <w:lang w:val="en-GB"/>
        </w:rPr>
        <w:t>Translating and Interpreting Service</w:t>
      </w:r>
    </w:p>
    <w:p w:rsidR="00312F95" w:rsidRPr="00312F95" w:rsidRDefault="00312F95" w:rsidP="002F7C0C">
      <w:pPr>
        <w:pStyle w:val="BodyText1"/>
        <w:rPr>
          <w:lang w:val="en-GB"/>
        </w:rPr>
      </w:pPr>
      <w:r w:rsidRPr="00312F95">
        <w:rPr>
          <w:lang w:val="en-GB"/>
        </w:rPr>
        <w:t>TUG</w:t>
      </w:r>
      <w:r>
        <w:rPr>
          <w:lang w:val="en-GB"/>
        </w:rPr>
        <w:t xml:space="preserve">: </w:t>
      </w:r>
      <w:r w:rsidRPr="00312F95">
        <w:rPr>
          <w:lang w:val="en-GB"/>
        </w:rPr>
        <w:t>Timed up and go</w:t>
      </w:r>
    </w:p>
    <w:p w:rsidR="00312F95" w:rsidRPr="00312F95" w:rsidRDefault="00312F95" w:rsidP="002F7C0C">
      <w:pPr>
        <w:pStyle w:val="BodyText1"/>
        <w:rPr>
          <w:lang w:val="en-GB"/>
        </w:rPr>
      </w:pPr>
      <w:r w:rsidRPr="00312F95">
        <w:rPr>
          <w:lang w:val="en-GB"/>
        </w:rPr>
        <w:t>WA</w:t>
      </w:r>
      <w:r>
        <w:rPr>
          <w:lang w:val="en-GB"/>
        </w:rPr>
        <w:t xml:space="preserve">: </w:t>
      </w:r>
      <w:r w:rsidRPr="00312F95">
        <w:rPr>
          <w:lang w:val="en-GB"/>
        </w:rPr>
        <w:t>Western Australia</w:t>
      </w:r>
    </w:p>
    <w:p w:rsidR="00E440C1" w:rsidRPr="007F1A00" w:rsidRDefault="00E440C1" w:rsidP="00E440C1">
      <w:pPr>
        <w:pStyle w:val="BodyText"/>
        <w:rPr>
          <w:lang w:val="en-GB"/>
        </w:rPr>
      </w:pPr>
    </w:p>
    <w:p w:rsidR="009633A2" w:rsidRPr="007F1A00" w:rsidRDefault="004A3F32" w:rsidP="00860A83">
      <w:pPr>
        <w:pStyle w:val="HeadingLevel1NoNumber"/>
        <w:rPr>
          <w:lang w:val="en-GB"/>
        </w:rPr>
      </w:pPr>
      <w:bookmarkStart w:id="2" w:name="_Toc5270589"/>
      <w:r w:rsidRPr="007F1A00">
        <w:rPr>
          <w:lang w:val="en-GB"/>
        </w:rPr>
        <w:lastRenderedPageBreak/>
        <w:t>Executive summary</w:t>
      </w:r>
      <w:bookmarkEnd w:id="2"/>
    </w:p>
    <w:p w:rsidR="00432F14" w:rsidRPr="007F1A00" w:rsidRDefault="00432F14" w:rsidP="00432F14">
      <w:pPr>
        <w:pStyle w:val="HeadingLevel2NoNumber"/>
        <w:rPr>
          <w:lang w:val="en-GB"/>
        </w:rPr>
      </w:pPr>
      <w:r w:rsidRPr="007F1A00">
        <w:rPr>
          <w:lang w:val="en-GB"/>
        </w:rPr>
        <w:t xml:space="preserve">Introduction </w:t>
      </w:r>
    </w:p>
    <w:p w:rsidR="00432F14" w:rsidRPr="007F1A00" w:rsidRDefault="00432F14" w:rsidP="002F7C0C">
      <w:pPr>
        <w:pStyle w:val="BodyText1"/>
        <w:rPr>
          <w:lang w:val="en-GB"/>
        </w:rPr>
      </w:pPr>
      <w:r w:rsidRPr="007F1A00">
        <w:rPr>
          <w:lang w:val="en-GB"/>
        </w:rPr>
        <w:t xml:space="preserve">KPMG was engaged by the Department of Health </w:t>
      </w:r>
      <w:r w:rsidR="00A0281B" w:rsidRPr="007F1A00">
        <w:rPr>
          <w:lang w:val="en-GB"/>
        </w:rPr>
        <w:t>(</w:t>
      </w:r>
      <w:r w:rsidR="006C271F">
        <w:rPr>
          <w:lang w:val="en-GB"/>
        </w:rPr>
        <w:t xml:space="preserve">the </w:t>
      </w:r>
      <w:r w:rsidR="00DB0EE5">
        <w:rPr>
          <w:lang w:val="en-GB"/>
        </w:rPr>
        <w:t>Department</w:t>
      </w:r>
      <w:r w:rsidR="00A0281B" w:rsidRPr="007F1A00">
        <w:rPr>
          <w:lang w:val="en-GB"/>
        </w:rPr>
        <w:t xml:space="preserve">) </w:t>
      </w:r>
      <w:r w:rsidRPr="007F1A00">
        <w:rPr>
          <w:lang w:val="en-GB"/>
        </w:rPr>
        <w:t>to review the Transition Care Programme (TCP or the Programme), which provides short term assistance in the form of restorative care for older Australians following discharge from hospital.</w:t>
      </w:r>
    </w:p>
    <w:p w:rsidR="00432F14" w:rsidRPr="007F1A00" w:rsidRDefault="00432F14" w:rsidP="00432F14">
      <w:pPr>
        <w:pStyle w:val="BodyText1"/>
        <w:rPr>
          <w:lang w:val="en-GB"/>
        </w:rPr>
      </w:pPr>
      <w:r w:rsidRPr="007F1A00">
        <w:rPr>
          <w:lang w:val="en-GB"/>
        </w:rPr>
        <w:t xml:space="preserve">The </w:t>
      </w:r>
      <w:r w:rsidR="005175D1">
        <w:rPr>
          <w:lang w:val="en-GB"/>
        </w:rPr>
        <w:t>r</w:t>
      </w:r>
      <w:r w:rsidR="005175D1" w:rsidRPr="007F1A00">
        <w:rPr>
          <w:lang w:val="en-GB"/>
        </w:rPr>
        <w:t xml:space="preserve">eview </w:t>
      </w:r>
      <w:r w:rsidR="00694F36" w:rsidRPr="007F1A00">
        <w:rPr>
          <w:lang w:val="en-GB"/>
        </w:rPr>
        <w:t xml:space="preserve">focused </w:t>
      </w:r>
      <w:r w:rsidRPr="007F1A00">
        <w:rPr>
          <w:lang w:val="en-GB"/>
        </w:rPr>
        <w:t>on</w:t>
      </w:r>
      <w:r w:rsidR="00A52C03">
        <w:rPr>
          <w:lang w:val="en-GB"/>
        </w:rPr>
        <w:t xml:space="preserve"> improving</w:t>
      </w:r>
      <w:r w:rsidRPr="007F1A00">
        <w:rPr>
          <w:lang w:val="en-GB"/>
        </w:rPr>
        <w:t xml:space="preserve"> the administrative, operational and data collection components to enhance the TCP for consumers. </w:t>
      </w:r>
      <w:r w:rsidR="00D57504">
        <w:rPr>
          <w:lang w:val="en-GB"/>
        </w:rPr>
        <w:t>The review</w:t>
      </w:r>
      <w:r w:rsidRPr="007F1A00">
        <w:rPr>
          <w:lang w:val="en-GB"/>
        </w:rPr>
        <w:t>:</w:t>
      </w:r>
    </w:p>
    <w:p w:rsidR="00432F14" w:rsidRPr="007F1A00" w:rsidRDefault="00432F14" w:rsidP="00432F14">
      <w:pPr>
        <w:pStyle w:val="Bullet1stlevel"/>
        <w:rPr>
          <w:lang w:val="en-GB"/>
        </w:rPr>
      </w:pPr>
      <w:r w:rsidRPr="007F1A00">
        <w:rPr>
          <w:lang w:val="en-GB"/>
        </w:rPr>
        <w:t>Examined the ongoing effectiveness, appropriateness and efficiency of the delivery and management of the TCP to enhance the consumer experience</w:t>
      </w:r>
      <w:r w:rsidR="00BA376B">
        <w:rPr>
          <w:lang w:val="en-GB"/>
        </w:rPr>
        <w:t xml:space="preserve">; </w:t>
      </w:r>
    </w:p>
    <w:p w:rsidR="00432F14" w:rsidRPr="007F1A00" w:rsidRDefault="00432F14" w:rsidP="00432F14">
      <w:pPr>
        <w:pStyle w:val="Bullet1stlevel"/>
        <w:rPr>
          <w:lang w:val="en-GB"/>
        </w:rPr>
      </w:pPr>
      <w:r w:rsidRPr="007F1A00">
        <w:rPr>
          <w:lang w:val="en-GB"/>
        </w:rPr>
        <w:t>Identified and developed options for improvements to the TCP to address the administrative and operational issues</w:t>
      </w:r>
      <w:r w:rsidR="00D05FEF" w:rsidRPr="007F1A00">
        <w:rPr>
          <w:lang w:val="en-GB"/>
        </w:rPr>
        <w:t xml:space="preserve"> </w:t>
      </w:r>
      <w:r w:rsidR="0057396C">
        <w:rPr>
          <w:lang w:val="en-GB"/>
        </w:rPr>
        <w:t>identified</w:t>
      </w:r>
      <w:r w:rsidR="00BA376B">
        <w:rPr>
          <w:lang w:val="en-GB"/>
        </w:rPr>
        <w:t xml:space="preserve">; </w:t>
      </w:r>
    </w:p>
    <w:p w:rsidR="00432F14" w:rsidRPr="007F1A00" w:rsidRDefault="00432F14" w:rsidP="00432F14">
      <w:pPr>
        <w:pStyle w:val="Bullet1stlevel"/>
        <w:rPr>
          <w:lang w:val="en-GB"/>
        </w:rPr>
      </w:pPr>
      <w:r w:rsidRPr="007F1A00">
        <w:rPr>
          <w:lang w:val="en-GB"/>
        </w:rPr>
        <w:t>Examined the effectiveness of the TCP Guidelines</w:t>
      </w:r>
      <w:r w:rsidR="00E80FCB">
        <w:rPr>
          <w:lang w:val="en-GB"/>
        </w:rPr>
        <w:t xml:space="preserve"> (Guidelines)</w:t>
      </w:r>
      <w:r w:rsidRPr="007F1A00">
        <w:rPr>
          <w:lang w:val="en-GB"/>
        </w:rPr>
        <w:t>, and their application by State</w:t>
      </w:r>
      <w:r w:rsidR="006C271F">
        <w:rPr>
          <w:lang w:val="en-GB"/>
        </w:rPr>
        <w:t>s</w:t>
      </w:r>
      <w:r w:rsidRPr="007F1A00">
        <w:rPr>
          <w:lang w:val="en-GB"/>
        </w:rPr>
        <w:t xml:space="preserve"> and Territories</w:t>
      </w:r>
      <w:r w:rsidR="00BA376B">
        <w:rPr>
          <w:lang w:val="en-GB"/>
        </w:rPr>
        <w:t>;</w:t>
      </w:r>
    </w:p>
    <w:p w:rsidR="00432F14" w:rsidRPr="007F1A00" w:rsidRDefault="00432F14" w:rsidP="00432F14">
      <w:pPr>
        <w:pStyle w:val="Bullet1stlevel"/>
        <w:rPr>
          <w:lang w:val="en-GB"/>
        </w:rPr>
      </w:pPr>
      <w:r w:rsidRPr="007F1A00">
        <w:rPr>
          <w:lang w:val="en-GB"/>
        </w:rPr>
        <w:t xml:space="preserve">Examined expanding key performance indicators for </w:t>
      </w:r>
      <w:r w:rsidR="00A31899" w:rsidRPr="007F1A00">
        <w:rPr>
          <w:lang w:val="en-GB"/>
        </w:rPr>
        <w:t>care recipient</w:t>
      </w:r>
      <w:r w:rsidRPr="007F1A00">
        <w:rPr>
          <w:lang w:val="en-GB"/>
        </w:rPr>
        <w:t xml:space="preserve"> outcomes beyond the Modified Barthel Index (MBI) by including primary diagnoses, secondary diagnosis, and any other relevant indicator</w:t>
      </w:r>
      <w:r w:rsidR="00BA376B">
        <w:rPr>
          <w:lang w:val="en-GB"/>
        </w:rPr>
        <w:t xml:space="preserve">; </w:t>
      </w:r>
    </w:p>
    <w:p w:rsidR="00432F14" w:rsidRPr="007F1A00" w:rsidRDefault="00432F14" w:rsidP="00432F14">
      <w:pPr>
        <w:pStyle w:val="Bullet1stlevel"/>
        <w:rPr>
          <w:lang w:val="en-GB"/>
        </w:rPr>
      </w:pPr>
      <w:r w:rsidRPr="007F1A00">
        <w:rPr>
          <w:lang w:val="en-GB"/>
        </w:rPr>
        <w:t>Examined the appropriate point for someone to enter transition care after a hospital admission</w:t>
      </w:r>
      <w:r w:rsidR="00BA376B">
        <w:rPr>
          <w:lang w:val="en-GB"/>
        </w:rPr>
        <w:t>;</w:t>
      </w:r>
    </w:p>
    <w:p w:rsidR="00432F14" w:rsidRPr="007F1A00" w:rsidRDefault="00432F14" w:rsidP="00432F14">
      <w:pPr>
        <w:pStyle w:val="Bullet1stlevel"/>
        <w:rPr>
          <w:lang w:val="en-GB"/>
        </w:rPr>
      </w:pPr>
      <w:r w:rsidRPr="007F1A00">
        <w:rPr>
          <w:lang w:val="en-GB"/>
        </w:rPr>
        <w:t>Examined the ideal length of time for someone to be in transition care</w:t>
      </w:r>
      <w:r w:rsidR="00BA376B">
        <w:rPr>
          <w:lang w:val="en-GB"/>
        </w:rPr>
        <w:t xml:space="preserve">; </w:t>
      </w:r>
    </w:p>
    <w:p w:rsidR="00432F14" w:rsidRPr="007F1A00" w:rsidRDefault="00432F14" w:rsidP="00432F14">
      <w:pPr>
        <w:pStyle w:val="Bullet1stlevel"/>
        <w:rPr>
          <w:lang w:val="en-GB"/>
        </w:rPr>
      </w:pPr>
      <w:r w:rsidRPr="007F1A00">
        <w:rPr>
          <w:lang w:val="en-GB"/>
        </w:rPr>
        <w:t>Mapped services of the TCP</w:t>
      </w:r>
      <w:r w:rsidR="00BA376B">
        <w:rPr>
          <w:lang w:val="en-GB"/>
        </w:rPr>
        <w:t>; and</w:t>
      </w:r>
    </w:p>
    <w:p w:rsidR="00432F14" w:rsidRPr="007F1A00" w:rsidRDefault="00432F14" w:rsidP="00432F14">
      <w:pPr>
        <w:pStyle w:val="Bullet1stlevel"/>
        <w:rPr>
          <w:lang w:val="en-GB"/>
        </w:rPr>
      </w:pPr>
      <w:r w:rsidRPr="007F1A00">
        <w:rPr>
          <w:lang w:val="en-GB"/>
        </w:rPr>
        <w:t>Examined how Commonwealth and State and Territory funding is being spent.</w:t>
      </w:r>
    </w:p>
    <w:p w:rsidR="00432F14" w:rsidRPr="007F1A00" w:rsidRDefault="00432F14" w:rsidP="00432F14">
      <w:pPr>
        <w:pStyle w:val="BodyText1"/>
        <w:rPr>
          <w:lang w:val="en-GB"/>
        </w:rPr>
      </w:pPr>
      <w:r w:rsidRPr="007F1A00">
        <w:rPr>
          <w:lang w:val="en-GB"/>
        </w:rPr>
        <w:t xml:space="preserve">The interaction with the Short Term Restorative Care </w:t>
      </w:r>
      <w:r w:rsidR="00D57504">
        <w:rPr>
          <w:lang w:val="en-GB"/>
        </w:rPr>
        <w:t xml:space="preserve">(STRC) </w:t>
      </w:r>
      <w:r w:rsidRPr="007F1A00">
        <w:rPr>
          <w:lang w:val="en-GB"/>
        </w:rPr>
        <w:t>program, the level of Commonwealth funding</w:t>
      </w:r>
      <w:r w:rsidR="00D57504">
        <w:rPr>
          <w:lang w:val="en-GB"/>
        </w:rPr>
        <w:t xml:space="preserve"> for TCP</w:t>
      </w:r>
      <w:r w:rsidRPr="007F1A00">
        <w:rPr>
          <w:lang w:val="en-GB"/>
        </w:rPr>
        <w:t xml:space="preserve">, and the number of TCP places funded by the Commonwealth were out of scope of the review. </w:t>
      </w:r>
    </w:p>
    <w:p w:rsidR="00432F14" w:rsidRPr="007F1A00" w:rsidRDefault="00432F14" w:rsidP="002F7C0C">
      <w:pPr>
        <w:pStyle w:val="BodyText1"/>
        <w:rPr>
          <w:lang w:val="en-GB"/>
        </w:rPr>
      </w:pPr>
      <w:r w:rsidRPr="007F1A00">
        <w:rPr>
          <w:lang w:val="en-GB"/>
        </w:rPr>
        <w:t>Our approach drew on a range of qualitative and quantitative evidence drawn from consultation</w:t>
      </w:r>
      <w:r w:rsidR="006C271F">
        <w:rPr>
          <w:lang w:val="en-GB"/>
        </w:rPr>
        <w:t>s</w:t>
      </w:r>
      <w:r w:rsidRPr="007F1A00">
        <w:rPr>
          <w:lang w:val="en-GB"/>
        </w:rPr>
        <w:t xml:space="preserve"> with a broad range of stakeholders and data extracted from Department of Health records and the GEN Aged Care Data </w:t>
      </w:r>
      <w:r w:rsidR="00EF7F5D">
        <w:rPr>
          <w:lang w:val="en-GB"/>
        </w:rPr>
        <w:t>Clearing</w:t>
      </w:r>
      <w:r w:rsidRPr="007F1A00">
        <w:rPr>
          <w:lang w:val="en-GB"/>
        </w:rPr>
        <w:t xml:space="preserve">house. </w:t>
      </w:r>
    </w:p>
    <w:p w:rsidR="00432F14" w:rsidRPr="007F1A00" w:rsidRDefault="00432F14" w:rsidP="00432F14">
      <w:pPr>
        <w:pStyle w:val="HeadingLevel3NoNumber"/>
        <w:rPr>
          <w:lang w:val="en-GB"/>
        </w:rPr>
      </w:pPr>
      <w:r w:rsidRPr="007F1A00">
        <w:rPr>
          <w:lang w:val="en-GB"/>
        </w:rPr>
        <w:t>Current operations</w:t>
      </w:r>
    </w:p>
    <w:p w:rsidR="00432F14" w:rsidRPr="007F1A00" w:rsidRDefault="00534879" w:rsidP="00432F14">
      <w:pPr>
        <w:pStyle w:val="Bullet1stlevel"/>
        <w:numPr>
          <w:ilvl w:val="0"/>
          <w:numId w:val="0"/>
        </w:numPr>
        <w:rPr>
          <w:lang w:val="en-GB"/>
        </w:rPr>
      </w:pPr>
      <w:r>
        <w:rPr>
          <w:lang w:val="en-GB"/>
        </w:rPr>
        <w:t>Since its launch in 2005/0</w:t>
      </w:r>
      <w:r w:rsidR="00432F14" w:rsidRPr="007F1A00">
        <w:rPr>
          <w:lang w:val="en-GB"/>
        </w:rPr>
        <w:t xml:space="preserve">6, </w:t>
      </w:r>
      <w:r w:rsidR="00BA376B">
        <w:rPr>
          <w:lang w:val="en-GB"/>
        </w:rPr>
        <w:t xml:space="preserve">the </w:t>
      </w:r>
      <w:r w:rsidR="00432F14" w:rsidRPr="007F1A00">
        <w:rPr>
          <w:lang w:val="en-GB"/>
        </w:rPr>
        <w:t xml:space="preserve">TCP has provided short term assistance in the form of restorative care for older Australians following discharge from hospital. </w:t>
      </w:r>
      <w:r w:rsidR="00BA376B">
        <w:rPr>
          <w:lang w:val="en-GB"/>
        </w:rPr>
        <w:t xml:space="preserve">The </w:t>
      </w:r>
      <w:r w:rsidR="00432F14" w:rsidRPr="007F1A00">
        <w:rPr>
          <w:lang w:val="en-GB"/>
        </w:rPr>
        <w:t>TCP is delivered with the aim of helping older people to improve their level of independence and functioning, ultimately delaying entry into residential aged care.</w:t>
      </w:r>
      <w:r w:rsidR="00432F14" w:rsidRPr="007F1A00">
        <w:rPr>
          <w:rStyle w:val="FootnoteReference"/>
          <w:lang w:val="en-GB"/>
        </w:rPr>
        <w:footnoteReference w:id="1"/>
      </w:r>
      <w:r w:rsidR="00432F14" w:rsidRPr="007F1A00">
        <w:rPr>
          <w:lang w:val="en-GB"/>
        </w:rPr>
        <w:t xml:space="preserve"> </w:t>
      </w:r>
      <w:r w:rsidR="00BA376B">
        <w:rPr>
          <w:lang w:val="en-GB"/>
        </w:rPr>
        <w:t xml:space="preserve">The </w:t>
      </w:r>
      <w:r w:rsidR="00432F14" w:rsidRPr="007F1A00">
        <w:rPr>
          <w:lang w:val="en-GB"/>
        </w:rPr>
        <w:t>TCP can be received as home based care or in residential settings and can be provided for up to 12 weeks, with a potential extension of up to a further six weeks.</w:t>
      </w:r>
    </w:p>
    <w:p w:rsidR="00432F14" w:rsidRPr="007F1A00" w:rsidRDefault="00BA376B" w:rsidP="00432F14">
      <w:pPr>
        <w:pStyle w:val="Bullet1stlevel"/>
        <w:numPr>
          <w:ilvl w:val="0"/>
          <w:numId w:val="0"/>
        </w:numPr>
        <w:rPr>
          <w:lang w:val="en-GB"/>
        </w:rPr>
      </w:pPr>
      <w:r>
        <w:rPr>
          <w:lang w:val="en-GB"/>
        </w:rPr>
        <w:t xml:space="preserve">The </w:t>
      </w:r>
      <w:r w:rsidR="00432F14" w:rsidRPr="007F1A00">
        <w:rPr>
          <w:lang w:val="en-GB"/>
        </w:rPr>
        <w:t xml:space="preserve">TCP is largely operationalised by </w:t>
      </w:r>
      <w:r w:rsidR="002812BA" w:rsidRPr="007F1A00">
        <w:rPr>
          <w:lang w:val="en-GB"/>
        </w:rPr>
        <w:t>State</w:t>
      </w:r>
      <w:r w:rsidR="00432F14" w:rsidRPr="007F1A00">
        <w:rPr>
          <w:lang w:val="en-GB"/>
        </w:rPr>
        <w:t xml:space="preserve"> and </w:t>
      </w:r>
      <w:r w:rsidR="006D0B5B" w:rsidRPr="007F1A00">
        <w:rPr>
          <w:lang w:val="en-GB"/>
        </w:rPr>
        <w:t>Territory</w:t>
      </w:r>
      <w:r w:rsidR="00432F14" w:rsidRPr="007F1A00">
        <w:rPr>
          <w:lang w:val="en-GB"/>
        </w:rPr>
        <w:t xml:space="preserve"> governments and</w:t>
      </w:r>
      <w:r>
        <w:rPr>
          <w:lang w:val="en-GB"/>
        </w:rPr>
        <w:t>,</w:t>
      </w:r>
      <w:r w:rsidR="00432F14" w:rsidRPr="007F1A00">
        <w:rPr>
          <w:lang w:val="en-GB"/>
        </w:rPr>
        <w:t xml:space="preserve"> consequently</w:t>
      </w:r>
      <w:r>
        <w:rPr>
          <w:lang w:val="en-GB"/>
        </w:rPr>
        <w:t>,</w:t>
      </w:r>
      <w:r w:rsidR="00432F14" w:rsidRPr="007F1A00">
        <w:rPr>
          <w:lang w:val="en-GB"/>
        </w:rPr>
        <w:t xml:space="preserve"> implementation varies across the different jurisdictions. As an example, some jurisdictions </w:t>
      </w:r>
      <w:r w:rsidR="00B174A5">
        <w:rPr>
          <w:lang w:val="en-GB"/>
        </w:rPr>
        <w:t>broker</w:t>
      </w:r>
      <w:r w:rsidR="00B174A5" w:rsidRPr="007F1A00">
        <w:rPr>
          <w:lang w:val="en-GB"/>
        </w:rPr>
        <w:t xml:space="preserve"> </w:t>
      </w:r>
      <w:r w:rsidR="00432F14" w:rsidRPr="007F1A00">
        <w:rPr>
          <w:lang w:val="en-GB"/>
        </w:rPr>
        <w:t>services to aged care providers to deliver</w:t>
      </w:r>
      <w:r>
        <w:rPr>
          <w:lang w:val="en-GB"/>
        </w:rPr>
        <w:t xml:space="preserve"> the</w:t>
      </w:r>
      <w:r w:rsidR="00432F14" w:rsidRPr="007F1A00">
        <w:rPr>
          <w:lang w:val="en-GB"/>
        </w:rPr>
        <w:t xml:space="preserve"> TCP, </w:t>
      </w:r>
      <w:r w:rsidR="00A80E1D">
        <w:rPr>
          <w:lang w:val="en-GB"/>
        </w:rPr>
        <w:t>while</w:t>
      </w:r>
      <w:r w:rsidR="00432F14" w:rsidRPr="007F1A00">
        <w:rPr>
          <w:lang w:val="en-GB"/>
        </w:rPr>
        <w:t xml:space="preserve"> others deliver their services directly through hospitals and health services. The settings in which </w:t>
      </w:r>
      <w:r>
        <w:rPr>
          <w:lang w:val="en-GB"/>
        </w:rPr>
        <w:t xml:space="preserve">the </w:t>
      </w:r>
      <w:r w:rsidR="00432F14" w:rsidRPr="007F1A00">
        <w:rPr>
          <w:lang w:val="en-GB"/>
        </w:rPr>
        <w:t xml:space="preserve">TCP is delivered </w:t>
      </w:r>
      <w:r>
        <w:rPr>
          <w:lang w:val="en-GB"/>
        </w:rPr>
        <w:t>are</w:t>
      </w:r>
      <w:r w:rsidRPr="007F1A00">
        <w:rPr>
          <w:lang w:val="en-GB"/>
        </w:rPr>
        <w:t xml:space="preserve"> </w:t>
      </w:r>
      <w:r w:rsidR="00432F14" w:rsidRPr="007F1A00">
        <w:rPr>
          <w:lang w:val="en-GB"/>
        </w:rPr>
        <w:t>also dependent on local need</w:t>
      </w:r>
      <w:r>
        <w:rPr>
          <w:lang w:val="en-GB"/>
        </w:rPr>
        <w:t>,</w:t>
      </w:r>
      <w:r w:rsidR="00432F14" w:rsidRPr="007F1A00">
        <w:rPr>
          <w:lang w:val="en-GB"/>
        </w:rPr>
        <w:t xml:space="preserve"> with some areas only offering</w:t>
      </w:r>
      <w:r>
        <w:rPr>
          <w:lang w:val="en-GB"/>
        </w:rPr>
        <w:t xml:space="preserve"> the</w:t>
      </w:r>
      <w:r w:rsidR="00432F14" w:rsidRPr="007F1A00">
        <w:rPr>
          <w:lang w:val="en-GB"/>
        </w:rPr>
        <w:t xml:space="preserve"> TCP in the community, </w:t>
      </w:r>
      <w:r w:rsidR="00A80E1D">
        <w:rPr>
          <w:lang w:val="en-GB"/>
        </w:rPr>
        <w:t>while</w:t>
      </w:r>
      <w:r w:rsidR="00432F14" w:rsidRPr="007F1A00">
        <w:rPr>
          <w:lang w:val="en-GB"/>
        </w:rPr>
        <w:t xml:space="preserve"> others operate the </w:t>
      </w:r>
      <w:r w:rsidR="005578C9" w:rsidRPr="007F1A00">
        <w:rPr>
          <w:lang w:val="en-GB"/>
        </w:rPr>
        <w:t>P</w:t>
      </w:r>
      <w:r w:rsidR="00432F14" w:rsidRPr="007F1A00">
        <w:rPr>
          <w:lang w:val="en-GB"/>
        </w:rPr>
        <w:t>rogram</w:t>
      </w:r>
      <w:r w:rsidR="005578C9" w:rsidRPr="007F1A00">
        <w:rPr>
          <w:lang w:val="en-GB"/>
        </w:rPr>
        <w:t>me</w:t>
      </w:r>
      <w:r w:rsidR="00432F14" w:rsidRPr="007F1A00">
        <w:rPr>
          <w:lang w:val="en-GB"/>
        </w:rPr>
        <w:t xml:space="preserve"> in both residential and home settings. The </w:t>
      </w:r>
      <w:r w:rsidR="009E0E25">
        <w:rPr>
          <w:lang w:val="en-GB"/>
        </w:rPr>
        <w:t>Northern Territory (NT)</w:t>
      </w:r>
      <w:r w:rsidR="00432F14" w:rsidRPr="007F1A00">
        <w:rPr>
          <w:lang w:val="en-GB"/>
        </w:rPr>
        <w:t xml:space="preserve"> has also recently successfully piloted an innovative model to deliver </w:t>
      </w:r>
      <w:r>
        <w:rPr>
          <w:lang w:val="en-GB"/>
        </w:rPr>
        <w:t xml:space="preserve">the </w:t>
      </w:r>
      <w:r w:rsidR="00432F14" w:rsidRPr="007F1A00">
        <w:rPr>
          <w:lang w:val="en-GB"/>
        </w:rPr>
        <w:t>TCP in remote</w:t>
      </w:r>
      <w:r w:rsidR="00A25257">
        <w:rPr>
          <w:lang w:val="en-GB"/>
        </w:rPr>
        <w:t xml:space="preserve"> areas</w:t>
      </w:r>
      <w:r>
        <w:rPr>
          <w:lang w:val="en-GB"/>
        </w:rPr>
        <w:t>.</w:t>
      </w:r>
    </w:p>
    <w:p w:rsidR="00432F14" w:rsidRPr="007F1A00" w:rsidRDefault="00432F14" w:rsidP="00432F14">
      <w:pPr>
        <w:pStyle w:val="HeadingLevel2NoNumber"/>
        <w:rPr>
          <w:lang w:val="en-GB"/>
        </w:rPr>
      </w:pPr>
      <w:r w:rsidRPr="007F1A00">
        <w:rPr>
          <w:lang w:val="en-GB"/>
        </w:rPr>
        <w:lastRenderedPageBreak/>
        <w:t>Key themes</w:t>
      </w:r>
    </w:p>
    <w:p w:rsidR="00432F14" w:rsidRPr="007F1A00" w:rsidRDefault="00432F14" w:rsidP="00432F14">
      <w:pPr>
        <w:pStyle w:val="BodyText1"/>
        <w:rPr>
          <w:lang w:val="en-GB"/>
        </w:rPr>
      </w:pPr>
      <w:r w:rsidRPr="007F1A00">
        <w:rPr>
          <w:lang w:val="en-GB"/>
        </w:rPr>
        <w:t>From our analysis, our findings can be grouped into three broad themes:</w:t>
      </w:r>
    </w:p>
    <w:p w:rsidR="00432F14" w:rsidRPr="007F1A00" w:rsidRDefault="00432F14" w:rsidP="00432F14">
      <w:pPr>
        <w:pStyle w:val="BodyText1"/>
        <w:numPr>
          <w:ilvl w:val="0"/>
          <w:numId w:val="13"/>
        </w:numPr>
        <w:rPr>
          <w:lang w:val="en-GB"/>
        </w:rPr>
      </w:pPr>
      <w:r w:rsidRPr="007F1A00">
        <w:rPr>
          <w:lang w:val="en-GB"/>
        </w:rPr>
        <w:t>Matters relating to the Programme overall</w:t>
      </w:r>
      <w:r w:rsidR="00BA376B">
        <w:rPr>
          <w:lang w:val="en-GB"/>
        </w:rPr>
        <w:t xml:space="preserve">; </w:t>
      </w:r>
    </w:p>
    <w:p w:rsidR="00432F14" w:rsidRPr="007F1A00" w:rsidRDefault="00432F14" w:rsidP="00432F14">
      <w:pPr>
        <w:pStyle w:val="BodyText1"/>
        <w:numPr>
          <w:ilvl w:val="0"/>
          <w:numId w:val="13"/>
        </w:numPr>
        <w:rPr>
          <w:lang w:val="en-GB"/>
        </w:rPr>
      </w:pPr>
      <w:r w:rsidRPr="007F1A00">
        <w:rPr>
          <w:lang w:val="en-GB"/>
        </w:rPr>
        <w:t>Issues relevant to the care recipients of</w:t>
      </w:r>
      <w:r w:rsidR="00BA376B">
        <w:rPr>
          <w:lang w:val="en-GB"/>
        </w:rPr>
        <w:t xml:space="preserve"> the</w:t>
      </w:r>
      <w:r w:rsidRPr="007F1A00">
        <w:rPr>
          <w:lang w:val="en-GB"/>
        </w:rPr>
        <w:t xml:space="preserve"> TCP</w:t>
      </w:r>
      <w:r w:rsidR="00BA376B">
        <w:rPr>
          <w:lang w:val="en-GB"/>
        </w:rPr>
        <w:t xml:space="preserve">; </w:t>
      </w:r>
      <w:r w:rsidRPr="007F1A00">
        <w:rPr>
          <w:lang w:val="en-GB"/>
        </w:rPr>
        <w:t>and</w:t>
      </w:r>
    </w:p>
    <w:p w:rsidR="00432F14" w:rsidRPr="007F1A00" w:rsidRDefault="00432F14" w:rsidP="00432F14">
      <w:pPr>
        <w:pStyle w:val="BodyText1"/>
        <w:numPr>
          <w:ilvl w:val="0"/>
          <w:numId w:val="13"/>
        </w:numPr>
        <w:rPr>
          <w:lang w:val="en-GB"/>
        </w:rPr>
      </w:pPr>
      <w:r w:rsidRPr="007F1A00">
        <w:rPr>
          <w:lang w:val="en-GB"/>
        </w:rPr>
        <w:t>The variation in practice between jurisdictions.</w:t>
      </w:r>
    </w:p>
    <w:p w:rsidR="00FD5DFD" w:rsidRPr="007F1A00" w:rsidRDefault="00FD5DFD" w:rsidP="00FD5DFD">
      <w:pPr>
        <w:pStyle w:val="HeadingLevel3NoNumber"/>
        <w:rPr>
          <w:lang w:val="en-GB"/>
        </w:rPr>
      </w:pPr>
      <w:r w:rsidRPr="007F1A00">
        <w:rPr>
          <w:lang w:val="en-GB"/>
        </w:rPr>
        <w:t>The Programme overall</w:t>
      </w:r>
    </w:p>
    <w:p w:rsidR="00FD5DFD" w:rsidRPr="007F1A00" w:rsidRDefault="00BA376B" w:rsidP="00FD5DFD">
      <w:pPr>
        <w:pStyle w:val="BodyText1"/>
        <w:rPr>
          <w:b/>
          <w:lang w:val="en-GB"/>
        </w:rPr>
      </w:pPr>
      <w:r>
        <w:rPr>
          <w:b/>
          <w:lang w:val="en-GB"/>
        </w:rPr>
        <w:t xml:space="preserve">The </w:t>
      </w:r>
      <w:r w:rsidR="00FD5DFD" w:rsidRPr="007F1A00">
        <w:rPr>
          <w:b/>
          <w:lang w:val="en-GB"/>
        </w:rPr>
        <w:t xml:space="preserve">TCP is seen as a very positive </w:t>
      </w:r>
      <w:r w:rsidR="006F12C7" w:rsidRPr="007F1A00">
        <w:rPr>
          <w:b/>
          <w:lang w:val="en-GB"/>
        </w:rPr>
        <w:t>programme</w:t>
      </w:r>
    </w:p>
    <w:p w:rsidR="0057396C" w:rsidRPr="007F1A00" w:rsidRDefault="00FD5DFD" w:rsidP="0057396C">
      <w:pPr>
        <w:pStyle w:val="Bullet1stlevel"/>
        <w:rPr>
          <w:lang w:val="en-GB"/>
        </w:rPr>
      </w:pPr>
      <w:r w:rsidRPr="007F1A00">
        <w:rPr>
          <w:lang w:val="en-GB"/>
        </w:rPr>
        <w:t>Overwhelmingly, stakeholders reported that</w:t>
      </w:r>
      <w:r w:rsidR="00BA376B">
        <w:rPr>
          <w:lang w:val="en-GB"/>
        </w:rPr>
        <w:t xml:space="preserve"> the </w:t>
      </w:r>
      <w:r w:rsidRPr="007F1A00">
        <w:rPr>
          <w:lang w:val="en-GB"/>
        </w:rPr>
        <w:t xml:space="preserve">TCP is a very positive </w:t>
      </w:r>
      <w:r w:rsidR="00BA376B">
        <w:rPr>
          <w:lang w:val="en-GB"/>
        </w:rPr>
        <w:t>P</w:t>
      </w:r>
      <w:r w:rsidR="00BA376B" w:rsidRPr="007F1A00">
        <w:rPr>
          <w:lang w:val="en-GB"/>
        </w:rPr>
        <w:t xml:space="preserve">rogramme </w:t>
      </w:r>
      <w:r w:rsidRPr="007F1A00">
        <w:rPr>
          <w:lang w:val="en-GB"/>
        </w:rPr>
        <w:t xml:space="preserve">with high quality, multidisciplinary expertise. </w:t>
      </w:r>
      <w:r w:rsidR="0057396C" w:rsidRPr="007F1A00">
        <w:rPr>
          <w:lang w:val="en-GB"/>
        </w:rPr>
        <w:t>Stakeholders reported that the main benefits of the Programme are that it enables people to be discharged from hospital earlier, into supported care</w:t>
      </w:r>
      <w:r w:rsidR="00BA376B">
        <w:rPr>
          <w:lang w:val="en-GB"/>
        </w:rPr>
        <w:t>,</w:t>
      </w:r>
      <w:r w:rsidR="0057396C" w:rsidRPr="007F1A00">
        <w:rPr>
          <w:lang w:val="en-GB"/>
        </w:rPr>
        <w:t xml:space="preserve"> and can also prevent early entry into residential care. </w:t>
      </w:r>
    </w:p>
    <w:p w:rsidR="00FD5DFD" w:rsidRPr="007F1A00" w:rsidRDefault="00BA376B" w:rsidP="0057396C">
      <w:pPr>
        <w:pStyle w:val="Bullet1stlevel"/>
        <w:rPr>
          <w:lang w:val="en-GB"/>
        </w:rPr>
      </w:pPr>
      <w:r>
        <w:rPr>
          <w:lang w:val="en-GB"/>
        </w:rPr>
        <w:t>In relative terms, t</w:t>
      </w:r>
      <w:r w:rsidR="00FD5DFD" w:rsidRPr="007F1A00">
        <w:rPr>
          <w:lang w:val="en-GB"/>
        </w:rPr>
        <w:t>he Programme does not attract many complaints</w:t>
      </w:r>
      <w:r w:rsidR="006F12C7" w:rsidRPr="007F1A00">
        <w:rPr>
          <w:lang w:val="en-GB"/>
        </w:rPr>
        <w:t xml:space="preserve">, evidenced through the low number of complaints received by the Commissioner since the Programme’s inception (13 complaints since </w:t>
      </w:r>
      <w:r>
        <w:rPr>
          <w:lang w:val="en-GB"/>
        </w:rPr>
        <w:t>commencement</w:t>
      </w:r>
      <w:r w:rsidR="006F12C7" w:rsidRPr="007F1A00">
        <w:rPr>
          <w:lang w:val="en-GB"/>
        </w:rPr>
        <w:t>)</w:t>
      </w:r>
      <w:r w:rsidR="00FD5DFD" w:rsidRPr="007F1A00">
        <w:rPr>
          <w:lang w:val="en-GB"/>
        </w:rPr>
        <w:t xml:space="preserve">. </w:t>
      </w:r>
    </w:p>
    <w:p w:rsidR="00FD5DFD" w:rsidRPr="007F1A00" w:rsidRDefault="00A25257" w:rsidP="00FD5DFD">
      <w:pPr>
        <w:pStyle w:val="BodyText1"/>
        <w:rPr>
          <w:b/>
          <w:lang w:val="en-GB"/>
        </w:rPr>
      </w:pPr>
      <w:r>
        <w:rPr>
          <w:b/>
          <w:lang w:val="en-GB"/>
        </w:rPr>
        <w:t xml:space="preserve">The </w:t>
      </w:r>
      <w:r w:rsidR="00FD5DFD" w:rsidRPr="007F1A00">
        <w:rPr>
          <w:b/>
          <w:lang w:val="en-GB"/>
        </w:rPr>
        <w:t>TCP has remained the same while the surrounding aged care space has reformed</w:t>
      </w:r>
    </w:p>
    <w:p w:rsidR="00FD5DFD" w:rsidRPr="007F1A00" w:rsidRDefault="00FD5DFD" w:rsidP="00FD5DFD">
      <w:pPr>
        <w:pStyle w:val="Bullet1stlevel"/>
        <w:rPr>
          <w:lang w:val="en-GB"/>
        </w:rPr>
      </w:pPr>
      <w:r w:rsidRPr="007F1A00">
        <w:rPr>
          <w:lang w:val="en-GB"/>
        </w:rPr>
        <w:t xml:space="preserve">Government stakeholders reported that the Programme seems disconnected from the rest of aged care policy/programs. For example, </w:t>
      </w:r>
      <w:r w:rsidR="00A25257">
        <w:rPr>
          <w:lang w:val="en-GB"/>
        </w:rPr>
        <w:t>a government stakeholder</w:t>
      </w:r>
      <w:r w:rsidRPr="007F1A00">
        <w:rPr>
          <w:lang w:val="en-GB"/>
        </w:rPr>
        <w:t xml:space="preserve"> raised that the entire landscape of aged care has reformed in recent years, while TCP remains unchanged. </w:t>
      </w:r>
    </w:p>
    <w:p w:rsidR="00FD5DFD" w:rsidRPr="007F1A00" w:rsidRDefault="00FD5DFD" w:rsidP="00FD5DFD">
      <w:pPr>
        <w:pStyle w:val="Bullet1stlevel"/>
        <w:rPr>
          <w:lang w:val="en-GB"/>
        </w:rPr>
      </w:pPr>
      <w:r w:rsidRPr="007F1A00">
        <w:rPr>
          <w:lang w:val="en-GB"/>
        </w:rPr>
        <w:t xml:space="preserve">A number of stakeholders reported that the </w:t>
      </w:r>
      <w:r w:rsidR="00212781">
        <w:rPr>
          <w:lang w:val="en-GB"/>
        </w:rPr>
        <w:t>G</w:t>
      </w:r>
      <w:r w:rsidRPr="007F1A00">
        <w:rPr>
          <w:lang w:val="en-GB"/>
        </w:rPr>
        <w:t>uidelines require updating to remain relevant to the current policy and program landscape</w:t>
      </w:r>
      <w:r w:rsidR="00BA376B">
        <w:rPr>
          <w:lang w:val="en-GB"/>
        </w:rPr>
        <w:t>. T</w:t>
      </w:r>
      <w:r w:rsidR="006F12C7" w:rsidRPr="007F1A00">
        <w:rPr>
          <w:lang w:val="en-GB"/>
        </w:rPr>
        <w:t xml:space="preserve">his is at a global level in terms of a refresh in terminology, but also </w:t>
      </w:r>
      <w:r w:rsidR="00516DB6" w:rsidRPr="007F1A00">
        <w:rPr>
          <w:lang w:val="en-GB"/>
        </w:rPr>
        <w:t>in specific sections that have been made less relevant as a result of the aged care reforms.</w:t>
      </w:r>
    </w:p>
    <w:p w:rsidR="00FD5DFD" w:rsidRPr="007F1A00" w:rsidRDefault="00FD5DFD" w:rsidP="00FD5DFD">
      <w:pPr>
        <w:pStyle w:val="Bullet1stlevel"/>
        <w:rPr>
          <w:lang w:val="en-GB"/>
        </w:rPr>
      </w:pPr>
      <w:r w:rsidRPr="007F1A00">
        <w:rPr>
          <w:lang w:val="en-GB"/>
        </w:rPr>
        <w:t xml:space="preserve">For some </w:t>
      </w:r>
      <w:r w:rsidR="007211BF">
        <w:rPr>
          <w:lang w:val="en-GB"/>
        </w:rPr>
        <w:t>States and Territories</w:t>
      </w:r>
      <w:r w:rsidRPr="007F1A00">
        <w:rPr>
          <w:lang w:val="en-GB"/>
        </w:rPr>
        <w:t>, stakeholders noted that pricing disparities will become a significant challenge for the Programme.</w:t>
      </w:r>
    </w:p>
    <w:p w:rsidR="00FD5DFD" w:rsidRPr="007F1A00" w:rsidRDefault="00FD5DFD" w:rsidP="00FD5DFD">
      <w:pPr>
        <w:pStyle w:val="BodyText1"/>
        <w:rPr>
          <w:b/>
          <w:lang w:val="en-GB"/>
        </w:rPr>
      </w:pPr>
      <w:r w:rsidRPr="007F1A00">
        <w:rPr>
          <w:b/>
          <w:lang w:val="en-GB"/>
        </w:rPr>
        <w:t>Stakeholders want greater flexibility around leave provisions, hospital readmissions and occupancy rates</w:t>
      </w:r>
    </w:p>
    <w:p w:rsidR="00BE1370" w:rsidRPr="00BE1370" w:rsidRDefault="00FD5DFD" w:rsidP="007A471F">
      <w:pPr>
        <w:pStyle w:val="Bullet1stlevel"/>
        <w:rPr>
          <w:lang w:val="en-GB"/>
        </w:rPr>
      </w:pPr>
      <w:r w:rsidRPr="00BE1370">
        <w:rPr>
          <w:lang w:val="en-GB"/>
        </w:rPr>
        <w:t xml:space="preserve">The majority of stakeholders raised leave provisions as a major issue that could be easily improved. </w:t>
      </w:r>
      <w:r w:rsidR="00BE1370" w:rsidRPr="00BE1370">
        <w:rPr>
          <w:lang w:val="en-GB"/>
        </w:rPr>
        <w:t xml:space="preserve">It was noted repeatedly that the current leave provisions are too short, and did not allow for flexibility. </w:t>
      </w:r>
      <w:r w:rsidR="00BE1370">
        <w:rPr>
          <w:lang w:val="en-GB"/>
        </w:rPr>
        <w:t>However, o</w:t>
      </w:r>
      <w:r w:rsidR="00212781">
        <w:rPr>
          <w:lang w:val="en-GB"/>
        </w:rPr>
        <w:t>n review of the G</w:t>
      </w:r>
      <w:r w:rsidR="00BE1370" w:rsidRPr="00BE1370">
        <w:rPr>
          <w:lang w:val="en-GB"/>
        </w:rPr>
        <w:t xml:space="preserve">uidelines, legislation and subordinate legislation it was noted that leave (except for hospital admissions) was not explicitly specified. </w:t>
      </w:r>
      <w:r w:rsidR="00BE1370">
        <w:rPr>
          <w:lang w:val="en-GB"/>
        </w:rPr>
        <w:t>T</w:t>
      </w:r>
      <w:r w:rsidR="00BE1370" w:rsidRPr="00BE1370">
        <w:rPr>
          <w:lang w:val="en-GB"/>
        </w:rPr>
        <w:t>he basis for not allowing leave appears to be historical rather than structural, and could be amended to allow for greater flexibility for care recipients.</w:t>
      </w:r>
    </w:p>
    <w:p w:rsidR="00A25257" w:rsidRPr="007F1A00" w:rsidRDefault="00FD5DFD" w:rsidP="00A25257">
      <w:pPr>
        <w:pStyle w:val="Bullet1stlevel"/>
        <w:rPr>
          <w:lang w:val="en-GB"/>
        </w:rPr>
      </w:pPr>
      <w:r w:rsidRPr="007F1A00">
        <w:rPr>
          <w:lang w:val="en-GB"/>
        </w:rPr>
        <w:t>Hospital readmissions was another significant issue</w:t>
      </w:r>
      <w:r w:rsidR="00A25257" w:rsidRPr="00A25257">
        <w:rPr>
          <w:lang w:val="en-GB"/>
        </w:rPr>
        <w:t xml:space="preserve">, with the majority of stakeholders noting that </w:t>
      </w:r>
      <w:r w:rsidR="00A25257">
        <w:rPr>
          <w:lang w:val="en-GB"/>
        </w:rPr>
        <w:t>the requirement to discharge care recipients from the Programme if they are readmitted for longer than an overnight stay is not flexible enough for</w:t>
      </w:r>
      <w:r w:rsidR="00A25257" w:rsidRPr="00A25257">
        <w:rPr>
          <w:lang w:val="en-GB"/>
        </w:rPr>
        <w:t xml:space="preserve"> the TCP’s target cohort</w:t>
      </w:r>
      <w:r w:rsidR="00A25257">
        <w:rPr>
          <w:lang w:val="en-GB"/>
        </w:rPr>
        <w:t>.</w:t>
      </w:r>
    </w:p>
    <w:p w:rsidR="00FD5DFD" w:rsidRPr="007F1A00" w:rsidRDefault="00FD5DFD" w:rsidP="00FD5DFD">
      <w:pPr>
        <w:pStyle w:val="Bullet1stlevel"/>
        <w:rPr>
          <w:lang w:val="en-GB"/>
        </w:rPr>
      </w:pPr>
      <w:r w:rsidRPr="007F1A00">
        <w:rPr>
          <w:lang w:val="en-GB"/>
        </w:rPr>
        <w:t>A number of jurisdictions suggested it would be beneficial if occupancy rate requirements could flexibly shift throughout the year in response to times of low and high demand.</w:t>
      </w:r>
    </w:p>
    <w:p w:rsidR="00FD5DFD" w:rsidRPr="007F1A00" w:rsidRDefault="00FD5DFD" w:rsidP="00FD5DFD">
      <w:pPr>
        <w:pStyle w:val="BodyText1"/>
        <w:rPr>
          <w:b/>
          <w:lang w:val="en-GB"/>
        </w:rPr>
      </w:pPr>
      <w:r w:rsidRPr="007F1A00">
        <w:rPr>
          <w:b/>
          <w:lang w:val="en-GB"/>
        </w:rPr>
        <w:t>There are some challenges with the current assessment and intake processes</w:t>
      </w:r>
    </w:p>
    <w:p w:rsidR="00FD5DFD" w:rsidRDefault="002D559B" w:rsidP="00FD5DFD">
      <w:pPr>
        <w:pStyle w:val="Bullet1stlevel"/>
        <w:rPr>
          <w:lang w:val="en-GB"/>
        </w:rPr>
      </w:pPr>
      <w:r>
        <w:rPr>
          <w:lang w:val="en-GB"/>
        </w:rPr>
        <w:t>Some s</w:t>
      </w:r>
      <w:r w:rsidR="00FD5DFD" w:rsidRPr="007F1A00">
        <w:rPr>
          <w:lang w:val="en-GB"/>
        </w:rPr>
        <w:t xml:space="preserve">takeholders </w:t>
      </w:r>
      <w:r>
        <w:rPr>
          <w:lang w:val="en-GB"/>
        </w:rPr>
        <w:t xml:space="preserve">expressed the view </w:t>
      </w:r>
      <w:r w:rsidR="00FD5DFD" w:rsidRPr="007F1A00">
        <w:rPr>
          <w:lang w:val="en-GB"/>
        </w:rPr>
        <w:t xml:space="preserve">there is ‘over assessment’ of </w:t>
      </w:r>
      <w:r w:rsidR="00A31899" w:rsidRPr="007F1A00">
        <w:rPr>
          <w:lang w:val="en-GB"/>
        </w:rPr>
        <w:t>care recipient</w:t>
      </w:r>
      <w:r w:rsidR="00FD5DFD" w:rsidRPr="007F1A00">
        <w:rPr>
          <w:lang w:val="en-GB"/>
        </w:rPr>
        <w:t>s</w:t>
      </w:r>
      <w:r w:rsidR="00A25257">
        <w:rPr>
          <w:lang w:val="en-GB"/>
        </w:rPr>
        <w:t>.</w:t>
      </w:r>
      <w:r w:rsidR="00FD5DFD" w:rsidRPr="007F1A00">
        <w:rPr>
          <w:lang w:val="en-GB"/>
        </w:rPr>
        <w:t xml:space="preserve"> </w:t>
      </w:r>
      <w:r w:rsidR="00A25257">
        <w:rPr>
          <w:lang w:val="en-GB"/>
        </w:rPr>
        <w:t>W</w:t>
      </w:r>
      <w:r w:rsidR="00FD5DFD" w:rsidRPr="007F1A00">
        <w:rPr>
          <w:lang w:val="en-GB"/>
        </w:rPr>
        <w:t xml:space="preserve">ith </w:t>
      </w:r>
      <w:r w:rsidR="00E2476C" w:rsidRPr="007F1A00">
        <w:rPr>
          <w:lang w:val="en-GB"/>
        </w:rPr>
        <w:t xml:space="preserve">Aged Care Assessment Service (ACAS) </w:t>
      </w:r>
      <w:r w:rsidR="00FD5DFD" w:rsidRPr="007F1A00">
        <w:rPr>
          <w:lang w:val="en-GB"/>
        </w:rPr>
        <w:t>as</w:t>
      </w:r>
      <w:r w:rsidR="00134076" w:rsidRPr="007F1A00">
        <w:rPr>
          <w:lang w:val="en-GB"/>
        </w:rPr>
        <w:t>sessing for eligibility</w:t>
      </w:r>
      <w:r w:rsidR="00BB0664">
        <w:rPr>
          <w:lang w:val="en-GB"/>
        </w:rPr>
        <w:t>,</w:t>
      </w:r>
      <w:r w:rsidR="00134076" w:rsidRPr="007F1A00">
        <w:rPr>
          <w:lang w:val="en-GB"/>
        </w:rPr>
        <w:t xml:space="preserve"> </w:t>
      </w:r>
      <w:r w:rsidR="00FD5DFD" w:rsidRPr="007F1A00">
        <w:rPr>
          <w:lang w:val="en-GB"/>
        </w:rPr>
        <w:t>and TCP teams assessing for suitability</w:t>
      </w:r>
      <w:r w:rsidR="00A25257">
        <w:rPr>
          <w:lang w:val="en-GB"/>
        </w:rPr>
        <w:t>, this is</w:t>
      </w:r>
      <w:r w:rsidR="00FD5DFD" w:rsidRPr="007F1A00">
        <w:rPr>
          <w:lang w:val="en-GB"/>
        </w:rPr>
        <w:t xml:space="preserve"> reportedly disrupting the </w:t>
      </w:r>
      <w:r w:rsidR="00A31899" w:rsidRPr="007F1A00">
        <w:rPr>
          <w:lang w:val="en-GB"/>
        </w:rPr>
        <w:t>care recipient</w:t>
      </w:r>
      <w:r w:rsidR="00FD5DFD" w:rsidRPr="007F1A00">
        <w:rPr>
          <w:lang w:val="en-GB"/>
        </w:rPr>
        <w:t xml:space="preserve"> experience </w:t>
      </w:r>
      <w:r w:rsidR="00A25257">
        <w:rPr>
          <w:lang w:val="en-GB"/>
        </w:rPr>
        <w:t xml:space="preserve">and </w:t>
      </w:r>
      <w:r w:rsidR="00FD5DFD" w:rsidRPr="007F1A00">
        <w:rPr>
          <w:lang w:val="en-GB"/>
        </w:rPr>
        <w:t xml:space="preserve">causing confusion for families. </w:t>
      </w:r>
    </w:p>
    <w:p w:rsidR="00451B7C" w:rsidRPr="007F1A00" w:rsidRDefault="00451B7C" w:rsidP="00FD5DFD">
      <w:pPr>
        <w:pStyle w:val="Bullet1stlevel"/>
        <w:rPr>
          <w:lang w:val="en-GB"/>
        </w:rPr>
      </w:pPr>
      <w:r>
        <w:rPr>
          <w:lang w:val="en-GB"/>
        </w:rPr>
        <w:t xml:space="preserve">It was noted that the </w:t>
      </w:r>
      <w:r w:rsidR="00EB61E6">
        <w:rPr>
          <w:lang w:val="en-GB"/>
        </w:rPr>
        <w:t>G</w:t>
      </w:r>
      <w:r>
        <w:rPr>
          <w:lang w:val="en-GB"/>
        </w:rPr>
        <w:t xml:space="preserve">uidelines are clear in their approach to assessment practices, and that ‘over assessment’ may be a result of locally implemented processes; rather than the Programme structure. </w:t>
      </w:r>
    </w:p>
    <w:p w:rsidR="00FD5DFD" w:rsidRPr="007F1A00" w:rsidRDefault="00FD5DFD" w:rsidP="00FD5DFD">
      <w:pPr>
        <w:pStyle w:val="Bullet1stlevel"/>
        <w:rPr>
          <w:lang w:val="en-GB"/>
        </w:rPr>
      </w:pPr>
      <w:r w:rsidRPr="007F1A00">
        <w:rPr>
          <w:lang w:val="en-GB"/>
        </w:rPr>
        <w:lastRenderedPageBreak/>
        <w:t xml:space="preserve">Stakeholders requested flexibility around the requirement to be discharged directly from hospital into the Programme. </w:t>
      </w:r>
    </w:p>
    <w:p w:rsidR="00FD5DFD" w:rsidRPr="007F1A00" w:rsidRDefault="00FD5DFD" w:rsidP="00FD5DFD">
      <w:pPr>
        <w:pStyle w:val="BodyText1"/>
        <w:rPr>
          <w:b/>
          <w:lang w:val="en-GB"/>
        </w:rPr>
      </w:pPr>
      <w:r w:rsidRPr="007F1A00">
        <w:rPr>
          <w:b/>
          <w:lang w:val="en-GB"/>
        </w:rPr>
        <w:t>There is a need for alternative outcome measures to capture the holistic care provided by TCP</w:t>
      </w:r>
    </w:p>
    <w:p w:rsidR="00FD5DFD" w:rsidRPr="007F1A00" w:rsidRDefault="00FD5DFD" w:rsidP="00FD5DFD">
      <w:pPr>
        <w:pStyle w:val="Bullet1stlevel"/>
        <w:rPr>
          <w:lang w:val="en-GB"/>
        </w:rPr>
      </w:pPr>
      <w:r w:rsidRPr="007F1A00">
        <w:rPr>
          <w:lang w:val="en-GB"/>
        </w:rPr>
        <w:t xml:space="preserve">Stakeholders believed the MBI was quick and simple to use for monitoring changes in </w:t>
      </w:r>
      <w:r w:rsidR="00A31899" w:rsidRPr="007F1A00">
        <w:rPr>
          <w:lang w:val="en-GB"/>
        </w:rPr>
        <w:t>care recipient</w:t>
      </w:r>
      <w:r w:rsidRPr="007F1A00">
        <w:rPr>
          <w:lang w:val="en-GB"/>
        </w:rPr>
        <w:t xml:space="preserve">s’ physical function. However, many stakeholders noted that </w:t>
      </w:r>
      <w:r w:rsidR="002D559B">
        <w:rPr>
          <w:lang w:val="en-GB"/>
        </w:rPr>
        <w:t xml:space="preserve">the </w:t>
      </w:r>
      <w:r w:rsidRPr="007F1A00">
        <w:rPr>
          <w:lang w:val="en-GB"/>
        </w:rPr>
        <w:t xml:space="preserve">TCP provided holistic care beyond improving physical functioning, yet there were no other outcomes measures that captured holistic aspects of care. </w:t>
      </w:r>
    </w:p>
    <w:p w:rsidR="00FD5DFD" w:rsidRDefault="00FD5DFD" w:rsidP="00FD5DFD">
      <w:pPr>
        <w:pStyle w:val="Bullet1stlevel"/>
        <w:rPr>
          <w:lang w:val="en-GB"/>
        </w:rPr>
      </w:pPr>
      <w:r w:rsidRPr="007F1A00">
        <w:rPr>
          <w:lang w:val="en-GB"/>
        </w:rPr>
        <w:t xml:space="preserve">Further, for many </w:t>
      </w:r>
      <w:r w:rsidR="00A31899" w:rsidRPr="007F1A00">
        <w:rPr>
          <w:lang w:val="en-GB"/>
        </w:rPr>
        <w:t>care recipient</w:t>
      </w:r>
      <w:r w:rsidRPr="007F1A00">
        <w:rPr>
          <w:lang w:val="en-GB"/>
        </w:rPr>
        <w:t xml:space="preserve">s the MBI could potentially be misleading in assessing their overall status. </w:t>
      </w:r>
    </w:p>
    <w:p w:rsidR="002A2AA2" w:rsidRPr="007F1A00" w:rsidRDefault="002A2AA2" w:rsidP="00FD5DFD">
      <w:pPr>
        <w:pStyle w:val="Bullet1stlevel"/>
        <w:rPr>
          <w:lang w:val="en-GB"/>
        </w:rPr>
      </w:pPr>
      <w:r>
        <w:rPr>
          <w:lang w:val="en-GB"/>
        </w:rPr>
        <w:t>Any changes to the outcome measures should be tested with care recipients before implementation.</w:t>
      </w:r>
    </w:p>
    <w:p w:rsidR="00FD5DFD" w:rsidRPr="007F1A00" w:rsidRDefault="00FD5DFD" w:rsidP="00FD5DFD">
      <w:pPr>
        <w:pStyle w:val="HeadingLevel3NoNumber"/>
        <w:rPr>
          <w:lang w:val="en-GB"/>
        </w:rPr>
      </w:pPr>
      <w:r w:rsidRPr="007F1A00">
        <w:rPr>
          <w:lang w:val="en-GB"/>
        </w:rPr>
        <w:t>Care recipients</w:t>
      </w:r>
    </w:p>
    <w:p w:rsidR="00FD5DFD" w:rsidRPr="007F1A00" w:rsidRDefault="00FD5DFD" w:rsidP="00FD5DFD">
      <w:pPr>
        <w:pStyle w:val="BodyText1"/>
        <w:rPr>
          <w:b/>
          <w:lang w:val="en-GB"/>
        </w:rPr>
      </w:pPr>
      <w:r w:rsidRPr="007F1A00">
        <w:rPr>
          <w:b/>
          <w:lang w:val="en-GB"/>
        </w:rPr>
        <w:t>Care recipients of</w:t>
      </w:r>
      <w:r w:rsidR="002D559B">
        <w:rPr>
          <w:b/>
          <w:lang w:val="en-GB"/>
        </w:rPr>
        <w:t xml:space="preserve"> the</w:t>
      </w:r>
      <w:r w:rsidRPr="007F1A00">
        <w:rPr>
          <w:b/>
          <w:lang w:val="en-GB"/>
        </w:rPr>
        <w:t xml:space="preserve"> TCP are </w:t>
      </w:r>
      <w:r w:rsidR="00134076" w:rsidRPr="007F1A00">
        <w:rPr>
          <w:b/>
          <w:lang w:val="en-GB"/>
        </w:rPr>
        <w:t>increasingly becoming</w:t>
      </w:r>
      <w:r w:rsidRPr="007F1A00">
        <w:rPr>
          <w:b/>
          <w:lang w:val="en-GB"/>
        </w:rPr>
        <w:t xml:space="preserve"> more complex</w:t>
      </w:r>
    </w:p>
    <w:p w:rsidR="00FD5DFD" w:rsidRPr="007F1A00" w:rsidRDefault="00FD5DFD" w:rsidP="00FD5DFD">
      <w:pPr>
        <w:pStyle w:val="Bullet1stlevel"/>
        <w:rPr>
          <w:lang w:val="en-GB"/>
        </w:rPr>
      </w:pPr>
      <w:r w:rsidRPr="007F1A00">
        <w:rPr>
          <w:lang w:val="en-GB"/>
        </w:rPr>
        <w:t xml:space="preserve">Similar to trends being seen in the broader aged care landscape, multiple stakeholders noted that the TCP </w:t>
      </w:r>
      <w:r w:rsidR="00A31899" w:rsidRPr="007F1A00">
        <w:rPr>
          <w:lang w:val="en-GB"/>
        </w:rPr>
        <w:t>care recipient</w:t>
      </w:r>
      <w:r w:rsidRPr="007F1A00">
        <w:rPr>
          <w:lang w:val="en-GB"/>
        </w:rPr>
        <w:t xml:space="preserve"> cohort </w:t>
      </w:r>
      <w:r w:rsidR="00134076" w:rsidRPr="007F1A00">
        <w:rPr>
          <w:lang w:val="en-GB"/>
        </w:rPr>
        <w:t xml:space="preserve">are </w:t>
      </w:r>
      <w:r w:rsidRPr="007F1A00">
        <w:rPr>
          <w:lang w:val="en-GB"/>
        </w:rPr>
        <w:t xml:space="preserve">trending towards more complex and frail. Stakeholders were concerned that this issue will increase over the time and </w:t>
      </w:r>
      <w:r w:rsidR="003A2412">
        <w:rPr>
          <w:lang w:val="en-GB"/>
        </w:rPr>
        <w:t xml:space="preserve">the </w:t>
      </w:r>
      <w:r w:rsidRPr="007F1A00">
        <w:rPr>
          <w:lang w:val="en-GB"/>
        </w:rPr>
        <w:t>TCP will not be equipped to meet the needs of an ageing population.</w:t>
      </w:r>
    </w:p>
    <w:p w:rsidR="00FD5DFD" w:rsidRPr="007F1A00" w:rsidRDefault="00FD5DFD" w:rsidP="00FD5DFD">
      <w:pPr>
        <w:pStyle w:val="BodyText1"/>
        <w:rPr>
          <w:b/>
          <w:lang w:val="en-GB"/>
        </w:rPr>
      </w:pPr>
      <w:r w:rsidRPr="007F1A00">
        <w:rPr>
          <w:b/>
          <w:lang w:val="en-GB"/>
        </w:rPr>
        <w:t xml:space="preserve">Stakeholders reported challenges in safely discharging care recipients from </w:t>
      </w:r>
      <w:r w:rsidR="002D559B">
        <w:rPr>
          <w:b/>
          <w:lang w:val="en-GB"/>
        </w:rPr>
        <w:t xml:space="preserve">the </w:t>
      </w:r>
      <w:r w:rsidRPr="007F1A00">
        <w:rPr>
          <w:b/>
          <w:lang w:val="en-GB"/>
        </w:rPr>
        <w:t>TCP to other services</w:t>
      </w:r>
    </w:p>
    <w:p w:rsidR="00FD5DFD" w:rsidRPr="007F1A00" w:rsidRDefault="00FD5DFD" w:rsidP="00FD5DFD">
      <w:pPr>
        <w:pStyle w:val="Bullet1stlevel"/>
        <w:rPr>
          <w:lang w:val="en-GB"/>
        </w:rPr>
      </w:pPr>
      <w:r w:rsidRPr="007F1A00">
        <w:rPr>
          <w:lang w:val="en-GB"/>
        </w:rPr>
        <w:t xml:space="preserve">A number of government agencies and providers expressed concerns about discharging care recipients from </w:t>
      </w:r>
      <w:r w:rsidR="002D559B">
        <w:rPr>
          <w:lang w:val="en-GB"/>
        </w:rPr>
        <w:t xml:space="preserve">the </w:t>
      </w:r>
      <w:r w:rsidRPr="007F1A00">
        <w:rPr>
          <w:lang w:val="en-GB"/>
        </w:rPr>
        <w:t xml:space="preserve">TCP without appropriate supports in place. </w:t>
      </w:r>
      <w:r w:rsidR="00BE1370" w:rsidRPr="00BE1370">
        <w:rPr>
          <w:lang w:val="en-GB"/>
        </w:rPr>
        <w:t xml:space="preserve">Service providers identified that it is difficult to maintain a duty of care for their recipients following the care period as there is not enough availability in the Commonwealth Home Support Programme (CHSP) or </w:t>
      </w:r>
      <w:r w:rsidR="00BB0664">
        <w:rPr>
          <w:lang w:val="en-GB"/>
        </w:rPr>
        <w:t>Home Care Packages (</w:t>
      </w:r>
      <w:r w:rsidR="00BE1370" w:rsidRPr="00BE1370">
        <w:rPr>
          <w:lang w:val="en-GB"/>
        </w:rPr>
        <w:t>HCP</w:t>
      </w:r>
      <w:r w:rsidR="00BB0664">
        <w:rPr>
          <w:lang w:val="en-GB"/>
        </w:rPr>
        <w:t>)</w:t>
      </w:r>
      <w:r w:rsidR="00BE1370" w:rsidRPr="00BE1370">
        <w:rPr>
          <w:lang w:val="en-GB"/>
        </w:rPr>
        <w:t xml:space="preserve"> for ongoing support.</w:t>
      </w:r>
      <w:r w:rsidR="00BE1370">
        <w:rPr>
          <w:lang w:val="en-GB"/>
        </w:rPr>
        <w:t xml:space="preserve"> </w:t>
      </w:r>
      <w:r w:rsidR="00BE1370" w:rsidRPr="00BE1370">
        <w:rPr>
          <w:lang w:val="en-GB"/>
        </w:rPr>
        <w:t xml:space="preserve">Similarly, stakeholders identified delays in the </w:t>
      </w:r>
      <w:r w:rsidR="00BC5653">
        <w:rPr>
          <w:lang w:val="en-GB"/>
        </w:rPr>
        <w:t>National Disability Insurance Scheme (</w:t>
      </w:r>
      <w:r w:rsidR="00BE1370" w:rsidRPr="00BE1370">
        <w:rPr>
          <w:lang w:val="en-GB"/>
        </w:rPr>
        <w:t>NDIS</w:t>
      </w:r>
      <w:r w:rsidR="00BC5653">
        <w:rPr>
          <w:lang w:val="en-GB"/>
        </w:rPr>
        <w:t>)</w:t>
      </w:r>
      <w:r w:rsidR="00BE1370" w:rsidRPr="00BE1370">
        <w:rPr>
          <w:lang w:val="en-GB"/>
        </w:rPr>
        <w:t xml:space="preserve"> process as a challenge for care recipients under the age of 65. Indeed, care recipients with ongoing disabilities, and their carers, reported having their TCP care period extended so they could remain supported until they received an approved NDIS pla</w:t>
      </w:r>
      <w:r w:rsidR="00BE1370">
        <w:rPr>
          <w:lang w:val="en-GB"/>
        </w:rPr>
        <w:t>n.</w:t>
      </w:r>
    </w:p>
    <w:p w:rsidR="00FD5DFD" w:rsidRPr="007F1A00" w:rsidRDefault="002D559B" w:rsidP="00FD5DFD">
      <w:pPr>
        <w:pStyle w:val="BodyText1"/>
        <w:rPr>
          <w:b/>
          <w:lang w:val="en-GB"/>
        </w:rPr>
      </w:pPr>
      <w:r>
        <w:rPr>
          <w:b/>
          <w:lang w:val="en-GB"/>
        </w:rPr>
        <w:t xml:space="preserve">The </w:t>
      </w:r>
      <w:r w:rsidR="00FD5DFD" w:rsidRPr="007F1A00">
        <w:rPr>
          <w:b/>
          <w:lang w:val="en-GB"/>
        </w:rPr>
        <w:t>TCP is not accessible for some population groups</w:t>
      </w:r>
    </w:p>
    <w:p w:rsidR="00FD5DFD" w:rsidRPr="007F1A00" w:rsidRDefault="002812BA" w:rsidP="00FD5DFD">
      <w:pPr>
        <w:pStyle w:val="Bullet1stlevel"/>
        <w:rPr>
          <w:lang w:val="en-GB"/>
        </w:rPr>
      </w:pPr>
      <w:r w:rsidRPr="007F1A00">
        <w:rPr>
          <w:lang w:val="en-GB"/>
        </w:rPr>
        <w:t>Aboriginal and Torres Strait Islander</w:t>
      </w:r>
      <w:r w:rsidR="00FD5DFD" w:rsidRPr="007F1A00">
        <w:rPr>
          <w:lang w:val="en-GB"/>
        </w:rPr>
        <w:t xml:space="preserve"> people are under-represented in</w:t>
      </w:r>
      <w:r w:rsidR="002D559B">
        <w:rPr>
          <w:lang w:val="en-GB"/>
        </w:rPr>
        <w:t xml:space="preserve"> the</w:t>
      </w:r>
      <w:r w:rsidR="00FD5DFD" w:rsidRPr="007F1A00">
        <w:rPr>
          <w:lang w:val="en-GB"/>
        </w:rPr>
        <w:t xml:space="preserve"> TCP (as a proportion of the </w:t>
      </w:r>
      <w:r w:rsidRPr="007F1A00">
        <w:rPr>
          <w:lang w:val="en-GB"/>
        </w:rPr>
        <w:t>Aboriginal and Torres Strait Islander</w:t>
      </w:r>
      <w:r w:rsidR="00FD5DFD" w:rsidRPr="007F1A00">
        <w:rPr>
          <w:lang w:val="en-GB"/>
        </w:rPr>
        <w:t xml:space="preserve"> population in each </w:t>
      </w:r>
      <w:r w:rsidRPr="007F1A00">
        <w:rPr>
          <w:lang w:val="en-GB"/>
        </w:rPr>
        <w:t>State</w:t>
      </w:r>
      <w:r w:rsidR="00FD5DFD" w:rsidRPr="007F1A00">
        <w:rPr>
          <w:lang w:val="en-GB"/>
        </w:rPr>
        <w:t xml:space="preserve"> and </w:t>
      </w:r>
      <w:r w:rsidR="006D0B5B" w:rsidRPr="007F1A00">
        <w:rPr>
          <w:lang w:val="en-GB"/>
        </w:rPr>
        <w:t>Territory</w:t>
      </w:r>
      <w:r w:rsidR="00FD5DFD" w:rsidRPr="007F1A00">
        <w:rPr>
          <w:lang w:val="en-GB"/>
        </w:rPr>
        <w:t>).</w:t>
      </w:r>
    </w:p>
    <w:p w:rsidR="00FD5DFD" w:rsidRPr="007F1A00" w:rsidRDefault="00FD5DFD" w:rsidP="00FD5DFD">
      <w:pPr>
        <w:pStyle w:val="Bullet1stlevel"/>
        <w:rPr>
          <w:lang w:val="en-GB"/>
        </w:rPr>
      </w:pPr>
      <w:r w:rsidRPr="007F1A00">
        <w:rPr>
          <w:lang w:val="en-GB"/>
        </w:rPr>
        <w:t xml:space="preserve">Stakeholders reported barriers for care recipients from culturally and linguistically diverse backgrounds. </w:t>
      </w:r>
    </w:p>
    <w:p w:rsidR="00FD5DFD" w:rsidRPr="007F1A00" w:rsidRDefault="00FD5DFD" w:rsidP="00FD5DFD">
      <w:pPr>
        <w:pStyle w:val="Bullet1stlevel"/>
        <w:rPr>
          <w:lang w:val="en-GB"/>
        </w:rPr>
      </w:pPr>
      <w:r w:rsidRPr="007F1A00">
        <w:rPr>
          <w:lang w:val="en-GB"/>
        </w:rPr>
        <w:t>The co-payment can be a financial barrier</w:t>
      </w:r>
      <w:r w:rsidR="002D559B">
        <w:rPr>
          <w:lang w:val="en-GB"/>
        </w:rPr>
        <w:t xml:space="preserve">; </w:t>
      </w:r>
      <w:r w:rsidRPr="007F1A00">
        <w:rPr>
          <w:lang w:val="en-GB"/>
        </w:rPr>
        <w:t>however</w:t>
      </w:r>
      <w:r w:rsidR="002D559B">
        <w:rPr>
          <w:lang w:val="en-GB"/>
        </w:rPr>
        <w:t>,</w:t>
      </w:r>
      <w:r w:rsidRPr="007F1A00">
        <w:rPr>
          <w:lang w:val="en-GB"/>
        </w:rPr>
        <w:t xml:space="preserve"> providers report being flexible in the fees they collect from care recipients. </w:t>
      </w:r>
    </w:p>
    <w:p w:rsidR="00FD5DFD" w:rsidRPr="007F1A00" w:rsidRDefault="00FD5DFD" w:rsidP="00FD5DFD">
      <w:pPr>
        <w:pStyle w:val="Bullet1stlevel"/>
        <w:rPr>
          <w:lang w:val="en-GB"/>
        </w:rPr>
      </w:pPr>
      <w:r w:rsidRPr="007F1A00">
        <w:rPr>
          <w:lang w:val="en-GB"/>
        </w:rPr>
        <w:t xml:space="preserve">Access for people in rural and remote areas is an ongoing issue due to the availability of local services. </w:t>
      </w:r>
    </w:p>
    <w:p w:rsidR="00FD5DFD" w:rsidRPr="007F1A00" w:rsidRDefault="00FD5DFD" w:rsidP="00FD5DFD">
      <w:pPr>
        <w:pStyle w:val="HeadingLevel3NoNumber"/>
        <w:rPr>
          <w:lang w:val="en-GB"/>
        </w:rPr>
      </w:pPr>
      <w:r w:rsidRPr="007F1A00">
        <w:rPr>
          <w:lang w:val="en-GB"/>
        </w:rPr>
        <w:t>Variation across jurisdictions</w:t>
      </w:r>
    </w:p>
    <w:p w:rsidR="00FD5DFD" w:rsidRPr="007F1A00" w:rsidRDefault="00FD5DFD" w:rsidP="00FD5DFD">
      <w:pPr>
        <w:pStyle w:val="BodyText1"/>
        <w:rPr>
          <w:b/>
          <w:lang w:val="en-GB"/>
        </w:rPr>
      </w:pPr>
      <w:r w:rsidRPr="007F1A00">
        <w:rPr>
          <w:b/>
          <w:lang w:val="en-GB"/>
        </w:rPr>
        <w:t xml:space="preserve">The delivery and operation of </w:t>
      </w:r>
      <w:r w:rsidR="002D559B">
        <w:rPr>
          <w:b/>
          <w:lang w:val="en-GB"/>
        </w:rPr>
        <w:t xml:space="preserve">the </w:t>
      </w:r>
      <w:r w:rsidRPr="007F1A00">
        <w:rPr>
          <w:b/>
          <w:lang w:val="en-GB"/>
        </w:rPr>
        <w:t>TCP varies across jurisdictions</w:t>
      </w:r>
    </w:p>
    <w:p w:rsidR="00FD5DFD" w:rsidRPr="007F1A00" w:rsidRDefault="00FD5DFD" w:rsidP="00FD5DFD">
      <w:pPr>
        <w:pStyle w:val="Bullet1stlevel"/>
        <w:rPr>
          <w:lang w:val="en-GB"/>
        </w:rPr>
      </w:pPr>
      <w:r w:rsidRPr="007F1A00">
        <w:rPr>
          <w:lang w:val="en-GB"/>
        </w:rPr>
        <w:t>There are variations in service types offered by each jurisdiction.</w:t>
      </w:r>
    </w:p>
    <w:p w:rsidR="00FD5DFD" w:rsidRPr="007F1A00" w:rsidRDefault="00212781" w:rsidP="00FD5DFD">
      <w:pPr>
        <w:pStyle w:val="Bullet1stlevel"/>
        <w:rPr>
          <w:lang w:val="en-GB"/>
        </w:rPr>
      </w:pPr>
      <w:r>
        <w:rPr>
          <w:lang w:val="en-GB"/>
        </w:rPr>
        <w:t>The application of the G</w:t>
      </w:r>
      <w:r w:rsidR="00FD5DFD" w:rsidRPr="007F1A00">
        <w:rPr>
          <w:lang w:val="en-GB"/>
        </w:rPr>
        <w:t xml:space="preserve">uidelines varies, with reported differences in accepting different cohorts of people (such as </w:t>
      </w:r>
      <w:r w:rsidR="00A31899" w:rsidRPr="007F1A00">
        <w:rPr>
          <w:lang w:val="en-GB"/>
        </w:rPr>
        <w:t>care recipient</w:t>
      </w:r>
      <w:r w:rsidR="00FD5DFD" w:rsidRPr="007F1A00">
        <w:rPr>
          <w:lang w:val="en-GB"/>
        </w:rPr>
        <w:t>s with delirium and non-weight bearing fractures).</w:t>
      </w:r>
    </w:p>
    <w:p w:rsidR="00FD5DFD" w:rsidRPr="007F1A00" w:rsidRDefault="00FD5DFD" w:rsidP="00FD5DFD">
      <w:pPr>
        <w:pStyle w:val="Bullet1stlevel"/>
        <w:rPr>
          <w:lang w:val="en-GB"/>
        </w:rPr>
      </w:pPr>
      <w:r w:rsidRPr="007F1A00">
        <w:rPr>
          <w:lang w:val="en-GB"/>
        </w:rPr>
        <w:t xml:space="preserve">There are examples of </w:t>
      </w:r>
      <w:r w:rsidR="002D559B">
        <w:rPr>
          <w:lang w:val="en-GB"/>
        </w:rPr>
        <w:t xml:space="preserve">the </w:t>
      </w:r>
      <w:r w:rsidRPr="007F1A00">
        <w:rPr>
          <w:lang w:val="en-GB"/>
        </w:rPr>
        <w:t>TCP being used as a ‘stop gap’ measure. Specifically, some jurisdictions have used</w:t>
      </w:r>
      <w:r w:rsidR="002D559B">
        <w:rPr>
          <w:lang w:val="en-GB"/>
        </w:rPr>
        <w:t xml:space="preserve"> the</w:t>
      </w:r>
      <w:r w:rsidRPr="007F1A00">
        <w:rPr>
          <w:lang w:val="en-GB"/>
        </w:rPr>
        <w:t xml:space="preserve"> TCP as a method of socialising ongoing residential facilities for families who may be reluctant to put someone into permanent care. </w:t>
      </w:r>
    </w:p>
    <w:p w:rsidR="00FD5DFD" w:rsidRPr="007F1A00" w:rsidRDefault="00FD5DFD" w:rsidP="00FD5DFD">
      <w:pPr>
        <w:pStyle w:val="Bullet1stlevel"/>
        <w:rPr>
          <w:lang w:val="en-GB"/>
        </w:rPr>
      </w:pPr>
      <w:r w:rsidRPr="007F1A00">
        <w:rPr>
          <w:lang w:val="en-GB"/>
        </w:rPr>
        <w:t>The extent of data collection also varies across the country</w:t>
      </w:r>
      <w:r w:rsidR="00516DB6" w:rsidRPr="007F1A00">
        <w:rPr>
          <w:lang w:val="en-GB"/>
        </w:rPr>
        <w:t xml:space="preserve">, with some jurisdictions reporting only what is mandated by the Commonwealth, while others have significant data collection processes </w:t>
      </w:r>
      <w:r w:rsidR="002D559B">
        <w:rPr>
          <w:lang w:val="en-GB"/>
        </w:rPr>
        <w:t>at</w:t>
      </w:r>
      <w:r w:rsidR="00516DB6" w:rsidRPr="007F1A00">
        <w:rPr>
          <w:lang w:val="en-GB"/>
        </w:rPr>
        <w:t xml:space="preserve"> a State </w:t>
      </w:r>
      <w:r w:rsidR="002D559B">
        <w:rPr>
          <w:lang w:val="en-GB"/>
        </w:rPr>
        <w:t>and/or</w:t>
      </w:r>
      <w:r w:rsidR="00516DB6" w:rsidRPr="007F1A00">
        <w:rPr>
          <w:lang w:val="en-GB"/>
        </w:rPr>
        <w:t xml:space="preserve"> local level</w:t>
      </w:r>
      <w:r w:rsidRPr="007F1A00">
        <w:rPr>
          <w:lang w:val="en-GB"/>
        </w:rPr>
        <w:t xml:space="preserve">. </w:t>
      </w:r>
    </w:p>
    <w:p w:rsidR="00FD5DFD" w:rsidRPr="007F1A00" w:rsidRDefault="00FD5DFD" w:rsidP="00FD5DFD">
      <w:pPr>
        <w:pStyle w:val="Bullet1stlevel"/>
        <w:rPr>
          <w:lang w:val="en-GB"/>
        </w:rPr>
      </w:pPr>
      <w:r w:rsidRPr="007F1A00">
        <w:rPr>
          <w:lang w:val="en-GB"/>
        </w:rPr>
        <w:t xml:space="preserve">Government and non-government stakeholders reported issues and matters specific to the operation of </w:t>
      </w:r>
      <w:r w:rsidR="00EB5492">
        <w:rPr>
          <w:lang w:val="en-GB"/>
        </w:rPr>
        <w:t xml:space="preserve">the </w:t>
      </w:r>
      <w:r w:rsidRPr="007F1A00">
        <w:rPr>
          <w:lang w:val="en-GB"/>
        </w:rPr>
        <w:t xml:space="preserve">TCP in their jurisdiction, which are detailed in Section </w:t>
      </w:r>
      <w:r w:rsidRPr="007F1A00">
        <w:rPr>
          <w:lang w:val="en-GB"/>
        </w:rPr>
        <w:fldChar w:fldCharType="begin"/>
      </w:r>
      <w:r w:rsidRPr="007F1A00">
        <w:rPr>
          <w:lang w:val="en-GB"/>
        </w:rPr>
        <w:instrText xml:space="preserve"> REF _Ref536007863 \r \h  \* MERGEFORMAT </w:instrText>
      </w:r>
      <w:r w:rsidRPr="007F1A00">
        <w:rPr>
          <w:lang w:val="en-GB"/>
        </w:rPr>
      </w:r>
      <w:r w:rsidRPr="007F1A00">
        <w:rPr>
          <w:lang w:val="en-GB"/>
        </w:rPr>
        <w:fldChar w:fldCharType="separate"/>
      </w:r>
      <w:r w:rsidR="00ED07D2">
        <w:rPr>
          <w:lang w:val="en-GB"/>
        </w:rPr>
        <w:t>3.3.1</w:t>
      </w:r>
      <w:r w:rsidRPr="007F1A00">
        <w:rPr>
          <w:lang w:val="en-GB"/>
        </w:rPr>
        <w:fldChar w:fldCharType="end"/>
      </w:r>
      <w:r w:rsidRPr="007F1A00">
        <w:rPr>
          <w:lang w:val="en-GB"/>
        </w:rPr>
        <w:t xml:space="preserve">. </w:t>
      </w:r>
    </w:p>
    <w:p w:rsidR="00FD5DFD" w:rsidRPr="007F1A00" w:rsidRDefault="00FD5DFD" w:rsidP="00FD5DFD">
      <w:pPr>
        <w:pStyle w:val="BodyText1"/>
        <w:rPr>
          <w:b/>
          <w:lang w:val="en-GB"/>
        </w:rPr>
      </w:pPr>
      <w:r w:rsidRPr="007F1A00">
        <w:rPr>
          <w:b/>
          <w:lang w:val="en-GB"/>
        </w:rPr>
        <w:t>Government stakeholders would like more opportunities to network</w:t>
      </w:r>
    </w:p>
    <w:p w:rsidR="001B7AFF" w:rsidRPr="0057396C" w:rsidRDefault="00FD5DFD" w:rsidP="0057396C">
      <w:pPr>
        <w:pStyle w:val="Bullet1stlevel"/>
      </w:pPr>
      <w:r w:rsidRPr="007F1A00">
        <w:rPr>
          <w:lang w:val="en-GB"/>
        </w:rPr>
        <w:t xml:space="preserve">A number </w:t>
      </w:r>
      <w:r w:rsidR="005F355A" w:rsidRPr="007F1A00">
        <w:rPr>
          <w:lang w:val="en-GB"/>
        </w:rPr>
        <w:t xml:space="preserve">of </w:t>
      </w:r>
      <w:r w:rsidR="002812BA" w:rsidRPr="007F1A00">
        <w:rPr>
          <w:lang w:val="en-GB"/>
        </w:rPr>
        <w:t>State</w:t>
      </w:r>
      <w:r w:rsidR="005F355A" w:rsidRPr="007F1A00">
        <w:rPr>
          <w:lang w:val="en-GB"/>
        </w:rPr>
        <w:t xml:space="preserve"> and </w:t>
      </w:r>
      <w:r w:rsidR="006D0B5B" w:rsidRPr="007F1A00">
        <w:rPr>
          <w:lang w:val="en-GB"/>
        </w:rPr>
        <w:t>Territory</w:t>
      </w:r>
      <w:r w:rsidR="005F355A" w:rsidRPr="007F1A00">
        <w:rPr>
          <w:lang w:val="en-GB"/>
        </w:rPr>
        <w:t xml:space="preserve"> government stakeholders</w:t>
      </w:r>
      <w:r w:rsidRPr="007F1A00">
        <w:rPr>
          <w:lang w:val="en-GB"/>
        </w:rPr>
        <w:t xml:space="preserve"> raised previous </w:t>
      </w:r>
      <w:r w:rsidR="00451B7C">
        <w:rPr>
          <w:lang w:val="en-GB"/>
        </w:rPr>
        <w:t xml:space="preserve">aged care </w:t>
      </w:r>
      <w:r w:rsidRPr="007F1A00">
        <w:rPr>
          <w:lang w:val="en-GB"/>
        </w:rPr>
        <w:t xml:space="preserve">networking forums that allowed information sharing with the Commonwealth and other </w:t>
      </w:r>
      <w:r w:rsidR="00EB5492">
        <w:rPr>
          <w:lang w:val="en-GB"/>
        </w:rPr>
        <w:t>jurisdictions</w:t>
      </w:r>
      <w:r w:rsidRPr="007F1A00">
        <w:rPr>
          <w:lang w:val="en-GB"/>
        </w:rPr>
        <w:t>, which were repor</w:t>
      </w:r>
      <w:r w:rsidR="001B7AFF" w:rsidRPr="007F1A00">
        <w:rPr>
          <w:lang w:val="en-GB"/>
        </w:rPr>
        <w:t>ted to be helpful and valuable. These included q</w:t>
      </w:r>
      <w:r w:rsidRPr="007F1A00">
        <w:rPr>
          <w:lang w:val="en-GB"/>
        </w:rPr>
        <w:t xml:space="preserve">uarterly meetings with the </w:t>
      </w:r>
      <w:r w:rsidR="00DB0EE5">
        <w:rPr>
          <w:lang w:val="en-GB"/>
        </w:rPr>
        <w:t>Department</w:t>
      </w:r>
      <w:r w:rsidR="001B7AFF" w:rsidRPr="007F1A00">
        <w:rPr>
          <w:lang w:val="en-GB"/>
        </w:rPr>
        <w:t xml:space="preserve">, </w:t>
      </w:r>
      <w:r w:rsidR="001B7AFF" w:rsidRPr="0057396C">
        <w:t>and b</w:t>
      </w:r>
      <w:r w:rsidRPr="0057396C">
        <w:t xml:space="preserve">road data reports on </w:t>
      </w:r>
      <w:r w:rsidR="002812BA" w:rsidRPr="0057396C">
        <w:t>State</w:t>
      </w:r>
      <w:r w:rsidRPr="0057396C">
        <w:t xml:space="preserve"> and </w:t>
      </w:r>
      <w:r w:rsidR="006D0B5B" w:rsidRPr="0057396C">
        <w:t>Territory</w:t>
      </w:r>
      <w:r w:rsidRPr="0057396C">
        <w:t xml:space="preserve"> performance.</w:t>
      </w:r>
    </w:p>
    <w:p w:rsidR="00FD5DFD" w:rsidRPr="007F1A00" w:rsidRDefault="001B7AFF" w:rsidP="0057396C">
      <w:pPr>
        <w:pStyle w:val="Bullet1stlevel"/>
        <w:rPr>
          <w:lang w:val="en-GB"/>
        </w:rPr>
      </w:pPr>
      <w:r w:rsidRPr="0057396C">
        <w:t>I</w:t>
      </w:r>
      <w:r w:rsidR="00FD5DFD" w:rsidRPr="0057396C">
        <w:t xml:space="preserve">n the absence of these initiatives, jurisdictions are not aware of their performance in comparison to other </w:t>
      </w:r>
      <w:r w:rsidR="007211BF" w:rsidRPr="0057396C">
        <w:t>States and Territories</w:t>
      </w:r>
      <w:r w:rsidR="00FD5DFD" w:rsidRPr="007F1A00">
        <w:rPr>
          <w:lang w:val="en-GB"/>
        </w:rPr>
        <w:t xml:space="preserve">, nor are they aware of challenges and opportunities happening elsewhere in the country. </w:t>
      </w:r>
    </w:p>
    <w:p w:rsidR="00432F14" w:rsidRPr="007F1A00" w:rsidRDefault="00432F14" w:rsidP="00432F14">
      <w:pPr>
        <w:pStyle w:val="HeadingLevel2NoNumber"/>
        <w:rPr>
          <w:lang w:val="en-GB"/>
        </w:rPr>
      </w:pPr>
      <w:r w:rsidRPr="007F1A00">
        <w:rPr>
          <w:lang w:val="en-GB"/>
        </w:rPr>
        <w:t>Recommendations</w:t>
      </w:r>
    </w:p>
    <w:p w:rsidR="00432F14" w:rsidRPr="007F1A00" w:rsidRDefault="005846FC" w:rsidP="002F7C0C">
      <w:pPr>
        <w:pStyle w:val="BodyText1"/>
        <w:rPr>
          <w:lang w:val="en-GB"/>
        </w:rPr>
      </w:pPr>
      <w:r w:rsidRPr="007F1A00">
        <w:rPr>
          <w:lang w:val="en-GB"/>
        </w:rPr>
        <w:t>The high-level recommendations to improve the efficiency and effectiveness of the TCP programme are presented below. These are explored in more detail in Section 5.</w:t>
      </w:r>
    </w:p>
    <w:p w:rsidR="00BE2EB9" w:rsidRPr="007F1A00" w:rsidRDefault="00BE2EB9" w:rsidP="00BE1370">
      <w:pPr>
        <w:pStyle w:val="BodyText1"/>
        <w:numPr>
          <w:ilvl w:val="0"/>
          <w:numId w:val="22"/>
        </w:numPr>
        <w:rPr>
          <w:i/>
          <w:lang w:val="en-GB"/>
        </w:rPr>
      </w:pPr>
      <w:r w:rsidRPr="007F1A00">
        <w:rPr>
          <w:i/>
          <w:lang w:val="en-GB"/>
        </w:rPr>
        <w:t>Update the Guidelines completely with the new terminology</w:t>
      </w:r>
      <w:r w:rsidR="00BE1370">
        <w:rPr>
          <w:i/>
          <w:lang w:val="en-GB"/>
        </w:rPr>
        <w:t xml:space="preserve"> and</w:t>
      </w:r>
      <w:r w:rsidRPr="007F1A00">
        <w:rPr>
          <w:i/>
          <w:lang w:val="en-GB"/>
        </w:rPr>
        <w:t xml:space="preserve"> any changes to the </w:t>
      </w:r>
      <w:r w:rsidR="00BE1370" w:rsidRPr="00BE1370">
        <w:rPr>
          <w:i/>
          <w:lang w:val="en-GB"/>
        </w:rPr>
        <w:t>Transition Care</w:t>
      </w:r>
      <w:r w:rsidR="00BE1370">
        <w:rPr>
          <w:i/>
          <w:lang w:val="en-GB"/>
        </w:rPr>
        <w:t xml:space="preserve"> </w:t>
      </w:r>
      <w:r w:rsidRPr="007F1A00">
        <w:rPr>
          <w:i/>
          <w:lang w:val="en-GB"/>
        </w:rPr>
        <w:t>Programme. This should also include any updates to safety and quality parameters.</w:t>
      </w:r>
    </w:p>
    <w:p w:rsidR="00815431" w:rsidRPr="007F1A00" w:rsidRDefault="00815431" w:rsidP="00815431">
      <w:pPr>
        <w:pStyle w:val="BodyText1"/>
        <w:numPr>
          <w:ilvl w:val="0"/>
          <w:numId w:val="22"/>
        </w:numPr>
        <w:rPr>
          <w:i/>
          <w:lang w:val="en-GB"/>
        </w:rPr>
      </w:pPr>
      <w:r w:rsidRPr="007F1A00">
        <w:rPr>
          <w:i/>
          <w:lang w:val="en-GB"/>
        </w:rPr>
        <w:t>Extend leave provisions to align to practices in the S</w:t>
      </w:r>
      <w:r w:rsidR="00E80FCB">
        <w:rPr>
          <w:i/>
          <w:lang w:val="en-GB"/>
        </w:rPr>
        <w:t>T</w:t>
      </w:r>
      <w:r w:rsidR="00EB61E6">
        <w:rPr>
          <w:i/>
          <w:lang w:val="en-GB"/>
        </w:rPr>
        <w:t>R</w:t>
      </w:r>
      <w:r w:rsidR="00E80FCB">
        <w:rPr>
          <w:i/>
          <w:lang w:val="en-GB"/>
        </w:rPr>
        <w:t>C.</w:t>
      </w:r>
    </w:p>
    <w:p w:rsidR="00815431" w:rsidRPr="007F1A00" w:rsidRDefault="00815431" w:rsidP="00815431">
      <w:pPr>
        <w:pStyle w:val="BodyText1"/>
        <w:numPr>
          <w:ilvl w:val="0"/>
          <w:numId w:val="22"/>
        </w:numPr>
        <w:rPr>
          <w:i/>
          <w:lang w:val="en-GB"/>
        </w:rPr>
      </w:pPr>
      <w:r w:rsidRPr="007F1A00">
        <w:rPr>
          <w:i/>
          <w:lang w:val="en-GB"/>
        </w:rPr>
        <w:t xml:space="preserve">Extend the time period a </w:t>
      </w:r>
      <w:r w:rsidR="00A31899" w:rsidRPr="007F1A00">
        <w:rPr>
          <w:i/>
          <w:lang w:val="en-GB"/>
        </w:rPr>
        <w:t>care recipient</w:t>
      </w:r>
      <w:r w:rsidRPr="007F1A00">
        <w:rPr>
          <w:i/>
          <w:lang w:val="en-GB"/>
        </w:rPr>
        <w:t xml:space="preserve"> can be in hospital without needing to exit the </w:t>
      </w:r>
      <w:r w:rsidR="00BE1370" w:rsidRPr="00BE1370">
        <w:rPr>
          <w:i/>
          <w:lang w:val="en-GB"/>
        </w:rPr>
        <w:t>Transition Care</w:t>
      </w:r>
      <w:r w:rsidR="00BE1370">
        <w:rPr>
          <w:i/>
          <w:lang w:val="en-GB"/>
        </w:rPr>
        <w:t xml:space="preserve"> </w:t>
      </w:r>
      <w:r w:rsidRPr="007F1A00">
        <w:rPr>
          <w:i/>
          <w:lang w:val="en-GB"/>
        </w:rPr>
        <w:t>Programme to 72 hours.</w:t>
      </w:r>
    </w:p>
    <w:p w:rsidR="00815431" w:rsidRPr="007F1A00" w:rsidRDefault="00F60970" w:rsidP="00F60970">
      <w:pPr>
        <w:pStyle w:val="BodyText1"/>
        <w:numPr>
          <w:ilvl w:val="0"/>
          <w:numId w:val="22"/>
        </w:numPr>
        <w:rPr>
          <w:i/>
          <w:lang w:val="en-GB"/>
        </w:rPr>
      </w:pPr>
      <w:r w:rsidRPr="00F60970">
        <w:rPr>
          <w:i/>
          <w:lang w:val="en-GB"/>
        </w:rPr>
        <w:t>Extend the time period from when care recipients can be admitted into the Programme to 48 hours</w:t>
      </w:r>
      <w:r w:rsidR="00A346E8">
        <w:rPr>
          <w:i/>
          <w:lang w:val="en-GB"/>
        </w:rPr>
        <w:t xml:space="preserve">, </w:t>
      </w:r>
      <w:r w:rsidR="00C70AFA">
        <w:rPr>
          <w:i/>
          <w:lang w:val="en-GB"/>
        </w:rPr>
        <w:t xml:space="preserve">to </w:t>
      </w:r>
      <w:r w:rsidR="00A346E8">
        <w:rPr>
          <w:i/>
          <w:lang w:val="en-GB"/>
        </w:rPr>
        <w:t xml:space="preserve">better support </w:t>
      </w:r>
      <w:r w:rsidRPr="00F60970">
        <w:rPr>
          <w:i/>
          <w:lang w:val="en-GB"/>
        </w:rPr>
        <w:t>care recipients who will access the Transition Care Programme in a home setting</w:t>
      </w:r>
      <w:r w:rsidR="00A346E8">
        <w:rPr>
          <w:i/>
          <w:lang w:val="en-GB"/>
        </w:rPr>
        <w:t>, whilst ensuring appropriate hospital patient flow</w:t>
      </w:r>
      <w:r w:rsidRPr="00F60970">
        <w:rPr>
          <w:i/>
          <w:lang w:val="en-GB"/>
        </w:rPr>
        <w:t xml:space="preserve">. Health services </w:t>
      </w:r>
      <w:r w:rsidR="00A346E8">
        <w:rPr>
          <w:i/>
          <w:lang w:val="en-GB"/>
        </w:rPr>
        <w:t xml:space="preserve">should </w:t>
      </w:r>
      <w:r w:rsidRPr="00F60970">
        <w:rPr>
          <w:i/>
          <w:lang w:val="en-GB"/>
        </w:rPr>
        <w:t xml:space="preserve">remain responsible for </w:t>
      </w:r>
      <w:r w:rsidR="00A346E8">
        <w:rPr>
          <w:i/>
          <w:lang w:val="en-GB"/>
        </w:rPr>
        <w:t xml:space="preserve">ensuring </w:t>
      </w:r>
      <w:r w:rsidRPr="00F60970">
        <w:rPr>
          <w:i/>
          <w:lang w:val="en-GB"/>
        </w:rPr>
        <w:t>safe discharge practices</w:t>
      </w:r>
      <w:r w:rsidR="00A346E8">
        <w:rPr>
          <w:i/>
          <w:lang w:val="en-GB"/>
        </w:rPr>
        <w:t xml:space="preserve"> are followed. </w:t>
      </w:r>
    </w:p>
    <w:p w:rsidR="00246474" w:rsidRPr="007F1A00" w:rsidRDefault="004E7B52" w:rsidP="00EB61E6">
      <w:pPr>
        <w:pStyle w:val="BodyText1"/>
        <w:numPr>
          <w:ilvl w:val="0"/>
          <w:numId w:val="22"/>
        </w:numPr>
        <w:rPr>
          <w:i/>
          <w:lang w:val="en-GB"/>
        </w:rPr>
      </w:pPr>
      <w:r w:rsidRPr="004E7B52">
        <w:rPr>
          <w:i/>
          <w:lang w:val="en-GB"/>
        </w:rPr>
        <w:t>Directly engage with</w:t>
      </w:r>
      <w:r w:rsidR="00EB61E6" w:rsidRPr="00EB61E6">
        <w:t xml:space="preserve"> </w:t>
      </w:r>
      <w:r w:rsidR="00EB61E6" w:rsidRPr="00EB61E6">
        <w:rPr>
          <w:i/>
          <w:lang w:val="en-GB"/>
        </w:rPr>
        <w:t>The National Advisory Group for Aboriginal and Torres Strait Islander Aged Care</w:t>
      </w:r>
      <w:r w:rsidRPr="004E7B52">
        <w:rPr>
          <w:i/>
          <w:lang w:val="en-GB"/>
        </w:rPr>
        <w:t xml:space="preserve"> </w:t>
      </w:r>
      <w:r w:rsidR="00EB61E6">
        <w:rPr>
          <w:i/>
          <w:lang w:val="en-GB"/>
        </w:rPr>
        <w:t>t</w:t>
      </w:r>
      <w:r w:rsidRPr="004E7B52">
        <w:rPr>
          <w:i/>
          <w:lang w:val="en-GB"/>
        </w:rPr>
        <w:t xml:space="preserve">o determine how the Programme can be </w:t>
      </w:r>
      <w:r w:rsidR="00A346E8">
        <w:rPr>
          <w:i/>
          <w:lang w:val="en-GB"/>
        </w:rPr>
        <w:t xml:space="preserve">accessed and delivered in a </w:t>
      </w:r>
      <w:r w:rsidRPr="004E7B52">
        <w:rPr>
          <w:i/>
          <w:lang w:val="en-GB"/>
        </w:rPr>
        <w:t>more culturally</w:t>
      </w:r>
      <w:r w:rsidR="00A346E8">
        <w:rPr>
          <w:i/>
          <w:lang w:val="en-GB"/>
        </w:rPr>
        <w:t xml:space="preserve"> appropriate and</w:t>
      </w:r>
      <w:r w:rsidRPr="004E7B52">
        <w:rPr>
          <w:i/>
          <w:lang w:val="en-GB"/>
        </w:rPr>
        <w:t xml:space="preserve"> safe </w:t>
      </w:r>
      <w:r w:rsidR="00A346E8">
        <w:rPr>
          <w:i/>
          <w:lang w:val="en-GB"/>
        </w:rPr>
        <w:t>environment</w:t>
      </w:r>
      <w:r w:rsidRPr="004E7B52">
        <w:rPr>
          <w:i/>
          <w:lang w:val="en-GB"/>
        </w:rPr>
        <w:t xml:space="preserve"> for Aboriginal and Torres Strait Islander people</w:t>
      </w:r>
      <w:r w:rsidR="00815431" w:rsidRPr="007F1A00">
        <w:rPr>
          <w:i/>
          <w:lang w:val="en-GB"/>
        </w:rPr>
        <w:t>.</w:t>
      </w:r>
    </w:p>
    <w:p w:rsidR="00D81698" w:rsidRDefault="00D81698" w:rsidP="00D81698">
      <w:pPr>
        <w:pStyle w:val="BodyText1"/>
        <w:numPr>
          <w:ilvl w:val="0"/>
          <w:numId w:val="22"/>
        </w:numPr>
        <w:rPr>
          <w:i/>
          <w:lang w:val="en-GB"/>
        </w:rPr>
      </w:pPr>
      <w:r w:rsidRPr="00D81698">
        <w:rPr>
          <w:i/>
          <w:lang w:val="en-GB"/>
        </w:rPr>
        <w:t>Care recipients of the Transition Care Programme may be asked to pay fees to contribute to the Programme. The expectations of consumers to pay fees, and the ability for providers to waive fees for those with financial hardship, should be made more explicit within the Programme Guidelines. This will improve consistency across T</w:t>
      </w:r>
      <w:r w:rsidR="00A346E8">
        <w:rPr>
          <w:i/>
          <w:lang w:val="en-GB"/>
        </w:rPr>
        <w:t xml:space="preserve">CP. </w:t>
      </w:r>
    </w:p>
    <w:p w:rsidR="00815431" w:rsidRPr="007F1A00" w:rsidRDefault="00815431" w:rsidP="00815431">
      <w:pPr>
        <w:pStyle w:val="BodyText1"/>
        <w:numPr>
          <w:ilvl w:val="0"/>
          <w:numId w:val="22"/>
        </w:numPr>
        <w:rPr>
          <w:i/>
          <w:lang w:val="en-GB"/>
        </w:rPr>
      </w:pPr>
      <w:r w:rsidRPr="007F1A00">
        <w:rPr>
          <w:i/>
          <w:lang w:val="en-GB"/>
        </w:rPr>
        <w:t>Consider adding additional K</w:t>
      </w:r>
      <w:r w:rsidR="00EB5492">
        <w:rPr>
          <w:i/>
          <w:lang w:val="en-GB"/>
        </w:rPr>
        <w:t xml:space="preserve">ey Performance Indicators </w:t>
      </w:r>
      <w:r w:rsidRPr="007F1A00">
        <w:rPr>
          <w:i/>
          <w:lang w:val="en-GB"/>
        </w:rPr>
        <w:t>to assist with understanding the value of the Programme, especially around activity participation and psychosocial domains.</w:t>
      </w:r>
      <w:r w:rsidR="002A2AA2">
        <w:rPr>
          <w:i/>
          <w:lang w:val="en-GB"/>
        </w:rPr>
        <w:t xml:space="preserve"> These should be tested with </w:t>
      </w:r>
      <w:r w:rsidR="00A346E8">
        <w:rPr>
          <w:i/>
          <w:lang w:val="en-GB"/>
        </w:rPr>
        <w:t xml:space="preserve">providers and </w:t>
      </w:r>
      <w:r w:rsidR="002A2AA2">
        <w:rPr>
          <w:i/>
          <w:lang w:val="en-GB"/>
        </w:rPr>
        <w:t>care recipients before their full implementation.</w:t>
      </w:r>
    </w:p>
    <w:p w:rsidR="00815431" w:rsidRPr="007F1A00" w:rsidRDefault="00D81698" w:rsidP="00EF7F5D">
      <w:pPr>
        <w:pStyle w:val="BodyText1"/>
        <w:numPr>
          <w:ilvl w:val="0"/>
          <w:numId w:val="22"/>
        </w:numPr>
        <w:rPr>
          <w:i/>
          <w:lang w:val="en-GB"/>
        </w:rPr>
      </w:pPr>
      <w:r w:rsidRPr="00D81698">
        <w:rPr>
          <w:i/>
          <w:lang w:val="en-GB"/>
        </w:rPr>
        <w:t xml:space="preserve">Safety and quality expectations need to be made explicit to providers, </w:t>
      </w:r>
      <w:r w:rsidR="002C1618">
        <w:rPr>
          <w:i/>
          <w:lang w:val="en-GB"/>
        </w:rPr>
        <w:t>given</w:t>
      </w:r>
      <w:r w:rsidRPr="00D81698">
        <w:rPr>
          <w:i/>
          <w:lang w:val="en-GB"/>
        </w:rPr>
        <w:t xml:space="preserve"> the </w:t>
      </w:r>
      <w:r w:rsidR="00EF7F5D" w:rsidRPr="00EF7F5D">
        <w:rPr>
          <w:i/>
          <w:lang w:val="en-GB"/>
        </w:rPr>
        <w:t xml:space="preserve">new Aged Care Quality Standards </w:t>
      </w:r>
      <w:r w:rsidR="002C1618">
        <w:rPr>
          <w:i/>
          <w:lang w:val="en-GB"/>
        </w:rPr>
        <w:t xml:space="preserve">apply to TCP </w:t>
      </w:r>
      <w:r w:rsidRPr="00D81698">
        <w:rPr>
          <w:i/>
          <w:lang w:val="en-GB"/>
        </w:rPr>
        <w:t>from 1 July 2019</w:t>
      </w:r>
      <w:r w:rsidR="00A346E8">
        <w:rPr>
          <w:i/>
          <w:lang w:val="en-GB"/>
        </w:rPr>
        <w:t>.</w:t>
      </w:r>
    </w:p>
    <w:p w:rsidR="00815431" w:rsidRPr="007F1A00" w:rsidRDefault="00815431" w:rsidP="00BE1370">
      <w:pPr>
        <w:pStyle w:val="BodyText1"/>
        <w:numPr>
          <w:ilvl w:val="0"/>
          <w:numId w:val="22"/>
        </w:numPr>
        <w:rPr>
          <w:i/>
          <w:lang w:val="en-GB"/>
        </w:rPr>
      </w:pPr>
      <w:r w:rsidRPr="007F1A00">
        <w:rPr>
          <w:i/>
          <w:lang w:val="en-GB"/>
        </w:rPr>
        <w:t xml:space="preserve">The appropriate length of stay for a </w:t>
      </w:r>
      <w:r w:rsidR="00BE1370" w:rsidRPr="00BE1370">
        <w:rPr>
          <w:i/>
          <w:lang w:val="en-GB"/>
        </w:rPr>
        <w:t>Transition Care Programme</w:t>
      </w:r>
      <w:r w:rsidR="00BE1370" w:rsidRPr="00BE1370" w:rsidDel="00BE1370">
        <w:rPr>
          <w:i/>
          <w:lang w:val="en-GB"/>
        </w:rPr>
        <w:t xml:space="preserve"> </w:t>
      </w:r>
      <w:r w:rsidRPr="007F1A00">
        <w:rPr>
          <w:i/>
          <w:lang w:val="en-GB"/>
        </w:rPr>
        <w:t>care recipient should be investigated further.</w:t>
      </w:r>
    </w:p>
    <w:p w:rsidR="00815431" w:rsidRPr="007F1A00" w:rsidRDefault="00815431" w:rsidP="00815431">
      <w:pPr>
        <w:pStyle w:val="BodyText1"/>
        <w:numPr>
          <w:ilvl w:val="0"/>
          <w:numId w:val="22"/>
        </w:numPr>
        <w:rPr>
          <w:i/>
          <w:lang w:val="en-GB"/>
        </w:rPr>
      </w:pPr>
      <w:r w:rsidRPr="007F1A00">
        <w:rPr>
          <w:i/>
          <w:lang w:val="en-GB"/>
        </w:rPr>
        <w:t xml:space="preserve">Consider managing total care </w:t>
      </w:r>
      <w:r w:rsidR="009D03FB">
        <w:rPr>
          <w:i/>
          <w:lang w:val="en-GB"/>
        </w:rPr>
        <w:t>days</w:t>
      </w:r>
      <w:r w:rsidR="009D03FB" w:rsidRPr="007F1A00">
        <w:rPr>
          <w:i/>
          <w:lang w:val="en-GB"/>
        </w:rPr>
        <w:t xml:space="preserve"> </w:t>
      </w:r>
      <w:r w:rsidRPr="007F1A00">
        <w:rPr>
          <w:i/>
          <w:lang w:val="en-GB"/>
        </w:rPr>
        <w:t xml:space="preserve">across an entire year, not daily, in order to provide flexibility for seasonal demand in the </w:t>
      </w:r>
      <w:r w:rsidR="00BE1370" w:rsidRPr="00BE1370">
        <w:rPr>
          <w:i/>
          <w:lang w:val="en-GB"/>
        </w:rPr>
        <w:t>Transition Care</w:t>
      </w:r>
      <w:r w:rsidR="00BE1370">
        <w:rPr>
          <w:i/>
          <w:lang w:val="en-GB"/>
        </w:rPr>
        <w:t xml:space="preserve"> </w:t>
      </w:r>
      <w:r w:rsidRPr="007F1A00">
        <w:rPr>
          <w:i/>
          <w:lang w:val="en-GB"/>
        </w:rPr>
        <w:t>Programme.</w:t>
      </w:r>
    </w:p>
    <w:p w:rsidR="00815431" w:rsidRPr="007F1A00" w:rsidRDefault="00815431" w:rsidP="00815431">
      <w:pPr>
        <w:pStyle w:val="BodyText1"/>
        <w:numPr>
          <w:ilvl w:val="0"/>
          <w:numId w:val="22"/>
        </w:numPr>
        <w:rPr>
          <w:i/>
          <w:lang w:val="en-GB"/>
        </w:rPr>
      </w:pPr>
      <w:r w:rsidRPr="007F1A00">
        <w:rPr>
          <w:i/>
          <w:lang w:val="en-GB"/>
        </w:rPr>
        <w:t xml:space="preserve">The Department of Health should consider implementing </w:t>
      </w:r>
      <w:r w:rsidR="009D03FB">
        <w:rPr>
          <w:i/>
          <w:lang w:val="en-GB"/>
        </w:rPr>
        <w:t xml:space="preserve">more </w:t>
      </w:r>
      <w:r w:rsidRPr="007F1A00">
        <w:rPr>
          <w:i/>
          <w:lang w:val="en-GB"/>
        </w:rPr>
        <w:t>regular meetings between State and Territory health departments to improve collaboration and innovation.</w:t>
      </w:r>
    </w:p>
    <w:p w:rsidR="00312F95" w:rsidRDefault="00815431" w:rsidP="00312F95">
      <w:pPr>
        <w:pStyle w:val="BodyText1"/>
        <w:numPr>
          <w:ilvl w:val="0"/>
          <w:numId w:val="22"/>
        </w:numPr>
        <w:rPr>
          <w:i/>
          <w:lang w:val="en-GB"/>
        </w:rPr>
      </w:pPr>
      <w:r w:rsidRPr="007F1A00">
        <w:rPr>
          <w:i/>
          <w:lang w:val="en-GB"/>
        </w:rPr>
        <w:t>Promote the Commonwealth funded Translating and Interpreting Service to all service providers</w:t>
      </w:r>
      <w:r w:rsidR="009F6653">
        <w:rPr>
          <w:i/>
          <w:lang w:val="en-GB"/>
        </w:rPr>
        <w:t>.</w:t>
      </w:r>
    </w:p>
    <w:p w:rsidR="00432F14" w:rsidRPr="00312F95" w:rsidRDefault="00815431" w:rsidP="00312F95">
      <w:pPr>
        <w:pStyle w:val="BodyText1"/>
        <w:numPr>
          <w:ilvl w:val="0"/>
          <w:numId w:val="22"/>
        </w:numPr>
        <w:rPr>
          <w:i/>
          <w:lang w:val="en-GB"/>
        </w:rPr>
      </w:pPr>
      <w:r w:rsidRPr="00312F95">
        <w:rPr>
          <w:i/>
          <w:lang w:val="en-GB"/>
        </w:rPr>
        <w:t>Data reporting should be made more consistent, especially in relation to Annual Accountability Reports.</w:t>
      </w:r>
    </w:p>
    <w:p w:rsidR="00D65A2D" w:rsidRPr="007F1A00" w:rsidRDefault="00D65A2D" w:rsidP="00D65A2D">
      <w:pPr>
        <w:pStyle w:val="BodyText"/>
        <w:rPr>
          <w:lang w:val="en-GB"/>
        </w:rPr>
        <w:sectPr w:rsidR="00D65A2D" w:rsidRPr="007F1A00" w:rsidSect="00013847">
          <w:headerReference w:type="even" r:id="rId12"/>
          <w:headerReference w:type="default" r:id="rId13"/>
          <w:footerReference w:type="default" r:id="rId14"/>
          <w:headerReference w:type="first" r:id="rId15"/>
          <w:pgSz w:w="11906" w:h="16838"/>
          <w:pgMar w:top="1418" w:right="1418" w:bottom="1418" w:left="1418" w:header="709" w:footer="454" w:gutter="0"/>
          <w:pgNumType w:fmt="lowerRoman" w:start="1"/>
          <w:cols w:space="708"/>
          <w:docGrid w:linePitch="360"/>
        </w:sectPr>
      </w:pPr>
    </w:p>
    <w:p w:rsidR="009633A2" w:rsidRPr="007F1A00" w:rsidRDefault="000B1D40" w:rsidP="00432F14">
      <w:pPr>
        <w:pStyle w:val="Heading1Noshow"/>
        <w:rPr>
          <w:lang w:val="en-GB"/>
        </w:rPr>
      </w:pPr>
      <w:r w:rsidRPr="007F1A00">
        <w:rPr>
          <w:lang w:val="en-GB"/>
        </w:rPr>
        <w:t>Contents</w:t>
      </w:r>
    </w:p>
    <w:p w:rsidR="00FE623C" w:rsidRDefault="00DB3B6B">
      <w:pPr>
        <w:pStyle w:val="TOC1"/>
        <w:rPr>
          <w:rFonts w:asciiTheme="minorHAnsi" w:eastAsiaTheme="minorEastAsia" w:hAnsiTheme="minorHAnsi"/>
          <w:lang w:val="en-GB" w:eastAsia="en-GB"/>
        </w:rPr>
      </w:pPr>
      <w:r w:rsidRPr="002F7C0C">
        <w:rPr>
          <w:rFonts w:cs="Arial"/>
          <w:lang w:val="en-GB"/>
        </w:rPr>
        <w:fldChar w:fldCharType="begin"/>
      </w:r>
      <w:r w:rsidRPr="002F7C0C">
        <w:rPr>
          <w:rFonts w:cs="Arial"/>
          <w:lang w:val="en-GB"/>
        </w:rPr>
        <w:instrText xml:space="preserve"> TOC \h \z \t "Heading 1,1,Heading 2,2,HeadingLevel1NoNumber,1,Appendix heading,1" </w:instrText>
      </w:r>
      <w:r w:rsidRPr="002F7C0C">
        <w:rPr>
          <w:rFonts w:cs="Arial"/>
          <w:lang w:val="en-GB"/>
        </w:rPr>
        <w:fldChar w:fldCharType="separate"/>
      </w:r>
      <w:hyperlink w:anchor="_Toc5270588" w:history="1">
        <w:r w:rsidR="00FE623C" w:rsidRPr="005161B0">
          <w:rPr>
            <w:rStyle w:val="Hyperlink"/>
            <w:lang w:val="en-GB"/>
          </w:rPr>
          <w:t>Glossary</w:t>
        </w:r>
        <w:r w:rsidR="00FE623C">
          <w:rPr>
            <w:webHidden/>
          </w:rPr>
          <w:tab/>
        </w:r>
        <w:r w:rsidR="00FE623C">
          <w:rPr>
            <w:webHidden/>
          </w:rPr>
          <w:fldChar w:fldCharType="begin"/>
        </w:r>
        <w:r w:rsidR="00FE623C">
          <w:rPr>
            <w:webHidden/>
          </w:rPr>
          <w:instrText xml:space="preserve"> PAGEREF _Toc5270588 \h </w:instrText>
        </w:r>
        <w:r w:rsidR="00FE623C">
          <w:rPr>
            <w:webHidden/>
          </w:rPr>
        </w:r>
        <w:r w:rsidR="00FE623C">
          <w:rPr>
            <w:webHidden/>
          </w:rPr>
          <w:fldChar w:fldCharType="separate"/>
        </w:r>
        <w:r w:rsidR="00FE623C">
          <w:rPr>
            <w:webHidden/>
          </w:rPr>
          <w:t>ii</w:t>
        </w:r>
        <w:r w:rsidR="00FE623C">
          <w:rPr>
            <w:webHidden/>
          </w:rPr>
          <w:fldChar w:fldCharType="end"/>
        </w:r>
      </w:hyperlink>
    </w:p>
    <w:p w:rsidR="00FE623C" w:rsidRDefault="007B3980">
      <w:pPr>
        <w:pStyle w:val="TOC1"/>
        <w:rPr>
          <w:rFonts w:asciiTheme="minorHAnsi" w:eastAsiaTheme="minorEastAsia" w:hAnsiTheme="minorHAnsi"/>
          <w:lang w:val="en-GB" w:eastAsia="en-GB"/>
        </w:rPr>
      </w:pPr>
      <w:hyperlink w:anchor="_Toc5270589" w:history="1">
        <w:r w:rsidR="00FE623C" w:rsidRPr="005161B0">
          <w:rPr>
            <w:rStyle w:val="Hyperlink"/>
            <w:lang w:val="en-GB"/>
          </w:rPr>
          <w:t>Executive summary</w:t>
        </w:r>
        <w:r w:rsidR="00FE623C">
          <w:rPr>
            <w:webHidden/>
          </w:rPr>
          <w:tab/>
        </w:r>
        <w:r w:rsidR="00FE623C">
          <w:rPr>
            <w:webHidden/>
          </w:rPr>
          <w:fldChar w:fldCharType="begin"/>
        </w:r>
        <w:r w:rsidR="00FE623C">
          <w:rPr>
            <w:webHidden/>
          </w:rPr>
          <w:instrText xml:space="preserve"> PAGEREF _Toc5270589 \h </w:instrText>
        </w:r>
        <w:r w:rsidR="00FE623C">
          <w:rPr>
            <w:webHidden/>
          </w:rPr>
        </w:r>
        <w:r w:rsidR="00FE623C">
          <w:rPr>
            <w:webHidden/>
          </w:rPr>
          <w:fldChar w:fldCharType="separate"/>
        </w:r>
        <w:r w:rsidR="00FE623C">
          <w:rPr>
            <w:webHidden/>
          </w:rPr>
          <w:t>iv</w:t>
        </w:r>
        <w:r w:rsidR="00FE623C">
          <w:rPr>
            <w:webHidden/>
          </w:rPr>
          <w:fldChar w:fldCharType="end"/>
        </w:r>
      </w:hyperlink>
    </w:p>
    <w:p w:rsidR="00FE623C" w:rsidRDefault="007B3980">
      <w:pPr>
        <w:pStyle w:val="TOC1"/>
        <w:rPr>
          <w:rFonts w:asciiTheme="minorHAnsi" w:eastAsiaTheme="minorEastAsia" w:hAnsiTheme="minorHAnsi"/>
          <w:lang w:val="en-GB" w:eastAsia="en-GB"/>
        </w:rPr>
      </w:pPr>
      <w:hyperlink w:anchor="_Toc5270590" w:history="1">
        <w:r w:rsidR="00FE623C" w:rsidRPr="005161B0">
          <w:rPr>
            <w:rStyle w:val="Hyperlink"/>
            <w:lang w:val="en-GB"/>
          </w:rPr>
          <w:t>1</w:t>
        </w:r>
        <w:r w:rsidR="00FE623C">
          <w:rPr>
            <w:rFonts w:asciiTheme="minorHAnsi" w:eastAsiaTheme="minorEastAsia" w:hAnsiTheme="minorHAnsi"/>
            <w:lang w:val="en-GB" w:eastAsia="en-GB"/>
          </w:rPr>
          <w:tab/>
        </w:r>
        <w:r w:rsidR="00FE623C" w:rsidRPr="005161B0">
          <w:rPr>
            <w:rStyle w:val="Hyperlink"/>
            <w:lang w:val="en-GB"/>
          </w:rPr>
          <w:t>Introduction</w:t>
        </w:r>
        <w:r w:rsidR="00FE623C">
          <w:rPr>
            <w:webHidden/>
          </w:rPr>
          <w:tab/>
        </w:r>
        <w:r w:rsidR="00FE623C">
          <w:rPr>
            <w:webHidden/>
          </w:rPr>
          <w:fldChar w:fldCharType="begin"/>
        </w:r>
        <w:r w:rsidR="00FE623C">
          <w:rPr>
            <w:webHidden/>
          </w:rPr>
          <w:instrText xml:space="preserve"> PAGEREF _Toc5270590 \h </w:instrText>
        </w:r>
        <w:r w:rsidR="00FE623C">
          <w:rPr>
            <w:webHidden/>
          </w:rPr>
        </w:r>
        <w:r w:rsidR="00FE623C">
          <w:rPr>
            <w:webHidden/>
          </w:rPr>
          <w:fldChar w:fldCharType="separate"/>
        </w:r>
        <w:r w:rsidR="00FE623C">
          <w:rPr>
            <w:webHidden/>
          </w:rPr>
          <w:t>9</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591" w:history="1">
        <w:r w:rsidR="00FE623C" w:rsidRPr="005161B0">
          <w:rPr>
            <w:rStyle w:val="Hyperlink"/>
            <w:lang w:val="en-GB"/>
          </w:rPr>
          <w:t>1.1</w:t>
        </w:r>
        <w:r w:rsidR="00FE623C">
          <w:rPr>
            <w:rFonts w:asciiTheme="minorHAnsi" w:eastAsiaTheme="minorEastAsia" w:hAnsiTheme="minorHAnsi"/>
            <w:sz w:val="22"/>
            <w:lang w:val="en-GB" w:eastAsia="en-GB"/>
          </w:rPr>
          <w:tab/>
        </w:r>
        <w:r w:rsidR="00FE623C" w:rsidRPr="005161B0">
          <w:rPr>
            <w:rStyle w:val="Hyperlink"/>
            <w:lang w:val="en-GB"/>
          </w:rPr>
          <w:t>Background for this Review</w:t>
        </w:r>
        <w:r w:rsidR="00FE623C">
          <w:rPr>
            <w:webHidden/>
          </w:rPr>
          <w:tab/>
        </w:r>
        <w:r w:rsidR="00FE623C">
          <w:rPr>
            <w:webHidden/>
          </w:rPr>
          <w:fldChar w:fldCharType="begin"/>
        </w:r>
        <w:r w:rsidR="00FE623C">
          <w:rPr>
            <w:webHidden/>
          </w:rPr>
          <w:instrText xml:space="preserve"> PAGEREF _Toc5270591 \h </w:instrText>
        </w:r>
        <w:r w:rsidR="00FE623C">
          <w:rPr>
            <w:webHidden/>
          </w:rPr>
        </w:r>
        <w:r w:rsidR="00FE623C">
          <w:rPr>
            <w:webHidden/>
          </w:rPr>
          <w:fldChar w:fldCharType="separate"/>
        </w:r>
        <w:r w:rsidR="00FE623C">
          <w:rPr>
            <w:webHidden/>
          </w:rPr>
          <w:t>9</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592" w:history="1">
        <w:r w:rsidR="00FE623C" w:rsidRPr="005161B0">
          <w:rPr>
            <w:rStyle w:val="Hyperlink"/>
            <w:lang w:val="en-GB"/>
          </w:rPr>
          <w:t>1.2</w:t>
        </w:r>
        <w:r w:rsidR="00FE623C">
          <w:rPr>
            <w:rFonts w:asciiTheme="minorHAnsi" w:eastAsiaTheme="minorEastAsia" w:hAnsiTheme="minorHAnsi"/>
            <w:sz w:val="22"/>
            <w:lang w:val="en-GB" w:eastAsia="en-GB"/>
          </w:rPr>
          <w:tab/>
        </w:r>
        <w:r w:rsidR="00FE623C" w:rsidRPr="005161B0">
          <w:rPr>
            <w:rStyle w:val="Hyperlink"/>
            <w:lang w:val="en-GB"/>
          </w:rPr>
          <w:t>Project scope and method</w:t>
        </w:r>
        <w:r w:rsidR="00FE623C">
          <w:rPr>
            <w:webHidden/>
          </w:rPr>
          <w:tab/>
        </w:r>
        <w:r w:rsidR="00FE623C">
          <w:rPr>
            <w:webHidden/>
          </w:rPr>
          <w:fldChar w:fldCharType="begin"/>
        </w:r>
        <w:r w:rsidR="00FE623C">
          <w:rPr>
            <w:webHidden/>
          </w:rPr>
          <w:instrText xml:space="preserve"> PAGEREF _Toc5270592 \h </w:instrText>
        </w:r>
        <w:r w:rsidR="00FE623C">
          <w:rPr>
            <w:webHidden/>
          </w:rPr>
        </w:r>
        <w:r w:rsidR="00FE623C">
          <w:rPr>
            <w:webHidden/>
          </w:rPr>
          <w:fldChar w:fldCharType="separate"/>
        </w:r>
        <w:r w:rsidR="00FE623C">
          <w:rPr>
            <w:webHidden/>
          </w:rPr>
          <w:t>10</w:t>
        </w:r>
        <w:r w:rsidR="00FE623C">
          <w:rPr>
            <w:webHidden/>
          </w:rPr>
          <w:fldChar w:fldCharType="end"/>
        </w:r>
      </w:hyperlink>
    </w:p>
    <w:p w:rsidR="00FE623C" w:rsidRDefault="007B3980">
      <w:pPr>
        <w:pStyle w:val="TOC1"/>
        <w:rPr>
          <w:rFonts w:asciiTheme="minorHAnsi" w:eastAsiaTheme="minorEastAsia" w:hAnsiTheme="minorHAnsi"/>
          <w:lang w:val="en-GB" w:eastAsia="en-GB"/>
        </w:rPr>
      </w:pPr>
      <w:hyperlink w:anchor="_Toc5270593" w:history="1">
        <w:r w:rsidR="00FE623C" w:rsidRPr="005161B0">
          <w:rPr>
            <w:rStyle w:val="Hyperlink"/>
            <w:lang w:val="en-GB"/>
          </w:rPr>
          <w:t>2</w:t>
        </w:r>
        <w:r w:rsidR="00FE623C">
          <w:rPr>
            <w:rFonts w:asciiTheme="minorHAnsi" w:eastAsiaTheme="minorEastAsia" w:hAnsiTheme="minorHAnsi"/>
            <w:lang w:val="en-GB" w:eastAsia="en-GB"/>
          </w:rPr>
          <w:tab/>
        </w:r>
        <w:r w:rsidR="00FE623C" w:rsidRPr="005161B0">
          <w:rPr>
            <w:rStyle w:val="Hyperlink"/>
            <w:lang w:val="en-GB"/>
          </w:rPr>
          <w:t>Current operations</w:t>
        </w:r>
        <w:r w:rsidR="00FE623C">
          <w:rPr>
            <w:webHidden/>
          </w:rPr>
          <w:tab/>
        </w:r>
        <w:r w:rsidR="00FE623C">
          <w:rPr>
            <w:webHidden/>
          </w:rPr>
          <w:fldChar w:fldCharType="begin"/>
        </w:r>
        <w:r w:rsidR="00FE623C">
          <w:rPr>
            <w:webHidden/>
          </w:rPr>
          <w:instrText xml:space="preserve"> PAGEREF _Toc5270593 \h </w:instrText>
        </w:r>
        <w:r w:rsidR="00FE623C">
          <w:rPr>
            <w:webHidden/>
          </w:rPr>
        </w:r>
        <w:r w:rsidR="00FE623C">
          <w:rPr>
            <w:webHidden/>
          </w:rPr>
          <w:fldChar w:fldCharType="separate"/>
        </w:r>
        <w:r w:rsidR="00FE623C">
          <w:rPr>
            <w:webHidden/>
          </w:rPr>
          <w:t>12</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594" w:history="1">
        <w:r w:rsidR="00FE623C" w:rsidRPr="005161B0">
          <w:rPr>
            <w:rStyle w:val="Hyperlink"/>
            <w:lang w:val="en-GB"/>
          </w:rPr>
          <w:t>2.1</w:t>
        </w:r>
        <w:r w:rsidR="00FE623C">
          <w:rPr>
            <w:rFonts w:asciiTheme="minorHAnsi" w:eastAsiaTheme="minorEastAsia" w:hAnsiTheme="minorHAnsi"/>
            <w:sz w:val="22"/>
            <w:lang w:val="en-GB" w:eastAsia="en-GB"/>
          </w:rPr>
          <w:tab/>
        </w:r>
        <w:r w:rsidR="00FE623C" w:rsidRPr="005161B0">
          <w:rPr>
            <w:rStyle w:val="Hyperlink"/>
            <w:lang w:val="en-GB"/>
          </w:rPr>
          <w:t>Overview of the Transition Care Programme</w:t>
        </w:r>
        <w:r w:rsidR="00FE623C">
          <w:rPr>
            <w:webHidden/>
          </w:rPr>
          <w:tab/>
        </w:r>
        <w:r w:rsidR="00FE623C">
          <w:rPr>
            <w:webHidden/>
          </w:rPr>
          <w:fldChar w:fldCharType="begin"/>
        </w:r>
        <w:r w:rsidR="00FE623C">
          <w:rPr>
            <w:webHidden/>
          </w:rPr>
          <w:instrText xml:space="preserve"> PAGEREF _Toc5270594 \h </w:instrText>
        </w:r>
        <w:r w:rsidR="00FE623C">
          <w:rPr>
            <w:webHidden/>
          </w:rPr>
        </w:r>
        <w:r w:rsidR="00FE623C">
          <w:rPr>
            <w:webHidden/>
          </w:rPr>
          <w:fldChar w:fldCharType="separate"/>
        </w:r>
        <w:r w:rsidR="00FE623C">
          <w:rPr>
            <w:webHidden/>
          </w:rPr>
          <w:t>12</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595" w:history="1">
        <w:r w:rsidR="00FE623C" w:rsidRPr="005161B0">
          <w:rPr>
            <w:rStyle w:val="Hyperlink"/>
            <w:lang w:val="en-GB"/>
          </w:rPr>
          <w:t>2.2</w:t>
        </w:r>
        <w:r w:rsidR="00FE623C">
          <w:rPr>
            <w:rFonts w:asciiTheme="minorHAnsi" w:eastAsiaTheme="minorEastAsia" w:hAnsiTheme="minorHAnsi"/>
            <w:sz w:val="22"/>
            <w:lang w:val="en-GB" w:eastAsia="en-GB"/>
          </w:rPr>
          <w:tab/>
        </w:r>
        <w:r w:rsidR="00FE623C" w:rsidRPr="005161B0">
          <w:rPr>
            <w:rStyle w:val="Hyperlink"/>
            <w:lang w:val="en-GB"/>
          </w:rPr>
          <w:t>Funding of the Transition Care Programme</w:t>
        </w:r>
        <w:r w:rsidR="00FE623C">
          <w:rPr>
            <w:webHidden/>
          </w:rPr>
          <w:tab/>
        </w:r>
        <w:r w:rsidR="00FE623C">
          <w:rPr>
            <w:webHidden/>
          </w:rPr>
          <w:fldChar w:fldCharType="begin"/>
        </w:r>
        <w:r w:rsidR="00FE623C">
          <w:rPr>
            <w:webHidden/>
          </w:rPr>
          <w:instrText xml:space="preserve"> PAGEREF _Toc5270595 \h </w:instrText>
        </w:r>
        <w:r w:rsidR="00FE623C">
          <w:rPr>
            <w:webHidden/>
          </w:rPr>
        </w:r>
        <w:r w:rsidR="00FE623C">
          <w:rPr>
            <w:webHidden/>
          </w:rPr>
          <w:fldChar w:fldCharType="separate"/>
        </w:r>
        <w:r w:rsidR="00FE623C">
          <w:rPr>
            <w:webHidden/>
          </w:rPr>
          <w:t>13</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596" w:history="1">
        <w:r w:rsidR="00FE623C" w:rsidRPr="005161B0">
          <w:rPr>
            <w:rStyle w:val="Hyperlink"/>
            <w:lang w:val="en-GB"/>
          </w:rPr>
          <w:t>2.3</w:t>
        </w:r>
        <w:r w:rsidR="00FE623C">
          <w:rPr>
            <w:rFonts w:asciiTheme="minorHAnsi" w:eastAsiaTheme="minorEastAsia" w:hAnsiTheme="minorHAnsi"/>
            <w:sz w:val="22"/>
            <w:lang w:val="en-GB" w:eastAsia="en-GB"/>
          </w:rPr>
          <w:tab/>
        </w:r>
        <w:r w:rsidR="00FE623C" w:rsidRPr="005161B0">
          <w:rPr>
            <w:rStyle w:val="Hyperlink"/>
            <w:lang w:val="en-GB"/>
          </w:rPr>
          <w:t>The operations of the Transition Care Programme</w:t>
        </w:r>
        <w:r w:rsidR="00FE623C">
          <w:rPr>
            <w:webHidden/>
          </w:rPr>
          <w:tab/>
        </w:r>
        <w:r w:rsidR="00FE623C">
          <w:rPr>
            <w:webHidden/>
          </w:rPr>
          <w:fldChar w:fldCharType="begin"/>
        </w:r>
        <w:r w:rsidR="00FE623C">
          <w:rPr>
            <w:webHidden/>
          </w:rPr>
          <w:instrText xml:space="preserve"> PAGEREF _Toc5270596 \h </w:instrText>
        </w:r>
        <w:r w:rsidR="00FE623C">
          <w:rPr>
            <w:webHidden/>
          </w:rPr>
        </w:r>
        <w:r w:rsidR="00FE623C">
          <w:rPr>
            <w:webHidden/>
          </w:rPr>
          <w:fldChar w:fldCharType="separate"/>
        </w:r>
        <w:r w:rsidR="00FE623C">
          <w:rPr>
            <w:webHidden/>
          </w:rPr>
          <w:t>16</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597" w:history="1">
        <w:r w:rsidR="00FE623C" w:rsidRPr="005161B0">
          <w:rPr>
            <w:rStyle w:val="Hyperlink"/>
            <w:lang w:val="en-GB"/>
          </w:rPr>
          <w:t>2.4</w:t>
        </w:r>
        <w:r w:rsidR="00FE623C">
          <w:rPr>
            <w:rFonts w:asciiTheme="minorHAnsi" w:eastAsiaTheme="minorEastAsia" w:hAnsiTheme="minorHAnsi"/>
            <w:sz w:val="22"/>
            <w:lang w:val="en-GB" w:eastAsia="en-GB"/>
          </w:rPr>
          <w:tab/>
        </w:r>
        <w:r w:rsidR="00FE623C" w:rsidRPr="005161B0">
          <w:rPr>
            <w:rStyle w:val="Hyperlink"/>
            <w:lang w:val="en-GB"/>
          </w:rPr>
          <w:t>Length of stay within the Programme</w:t>
        </w:r>
        <w:r w:rsidR="00FE623C">
          <w:rPr>
            <w:webHidden/>
          </w:rPr>
          <w:tab/>
        </w:r>
        <w:r w:rsidR="00FE623C">
          <w:rPr>
            <w:webHidden/>
          </w:rPr>
          <w:fldChar w:fldCharType="begin"/>
        </w:r>
        <w:r w:rsidR="00FE623C">
          <w:rPr>
            <w:webHidden/>
          </w:rPr>
          <w:instrText xml:space="preserve"> PAGEREF _Toc5270597 \h </w:instrText>
        </w:r>
        <w:r w:rsidR="00FE623C">
          <w:rPr>
            <w:webHidden/>
          </w:rPr>
        </w:r>
        <w:r w:rsidR="00FE623C">
          <w:rPr>
            <w:webHidden/>
          </w:rPr>
          <w:fldChar w:fldCharType="separate"/>
        </w:r>
        <w:r w:rsidR="00FE623C">
          <w:rPr>
            <w:webHidden/>
          </w:rPr>
          <w:t>17</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598" w:history="1">
        <w:r w:rsidR="00FE623C" w:rsidRPr="005161B0">
          <w:rPr>
            <w:rStyle w:val="Hyperlink"/>
            <w:lang w:val="en-GB"/>
          </w:rPr>
          <w:t>2.5</w:t>
        </w:r>
        <w:r w:rsidR="00FE623C">
          <w:rPr>
            <w:rFonts w:asciiTheme="minorHAnsi" w:eastAsiaTheme="minorEastAsia" w:hAnsiTheme="minorHAnsi"/>
            <w:sz w:val="22"/>
            <w:lang w:val="en-GB" w:eastAsia="en-GB"/>
          </w:rPr>
          <w:tab/>
        </w:r>
        <w:r w:rsidR="00FE623C" w:rsidRPr="005161B0">
          <w:rPr>
            <w:rStyle w:val="Hyperlink"/>
            <w:lang w:val="en-GB"/>
          </w:rPr>
          <w:t>The effectiveness of the Programme</w:t>
        </w:r>
        <w:r w:rsidR="00FE623C">
          <w:rPr>
            <w:webHidden/>
          </w:rPr>
          <w:tab/>
        </w:r>
        <w:r w:rsidR="00FE623C">
          <w:rPr>
            <w:webHidden/>
          </w:rPr>
          <w:fldChar w:fldCharType="begin"/>
        </w:r>
        <w:r w:rsidR="00FE623C">
          <w:rPr>
            <w:webHidden/>
          </w:rPr>
          <w:instrText xml:space="preserve"> PAGEREF _Toc5270598 \h </w:instrText>
        </w:r>
        <w:r w:rsidR="00FE623C">
          <w:rPr>
            <w:webHidden/>
          </w:rPr>
        </w:r>
        <w:r w:rsidR="00FE623C">
          <w:rPr>
            <w:webHidden/>
          </w:rPr>
          <w:fldChar w:fldCharType="separate"/>
        </w:r>
        <w:r w:rsidR="00FE623C">
          <w:rPr>
            <w:webHidden/>
          </w:rPr>
          <w:t>18</w:t>
        </w:r>
        <w:r w:rsidR="00FE623C">
          <w:rPr>
            <w:webHidden/>
          </w:rPr>
          <w:fldChar w:fldCharType="end"/>
        </w:r>
      </w:hyperlink>
    </w:p>
    <w:p w:rsidR="00FE623C" w:rsidRDefault="007B3980">
      <w:pPr>
        <w:pStyle w:val="TOC1"/>
        <w:rPr>
          <w:rFonts w:asciiTheme="minorHAnsi" w:eastAsiaTheme="minorEastAsia" w:hAnsiTheme="minorHAnsi"/>
          <w:lang w:val="en-GB" w:eastAsia="en-GB"/>
        </w:rPr>
      </w:pPr>
      <w:hyperlink w:anchor="_Toc5270599" w:history="1">
        <w:r w:rsidR="00FE623C" w:rsidRPr="005161B0">
          <w:rPr>
            <w:rStyle w:val="Hyperlink"/>
            <w:lang w:val="en-GB"/>
          </w:rPr>
          <w:t>3</w:t>
        </w:r>
        <w:r w:rsidR="00FE623C">
          <w:rPr>
            <w:rFonts w:asciiTheme="minorHAnsi" w:eastAsiaTheme="minorEastAsia" w:hAnsiTheme="minorHAnsi"/>
            <w:lang w:val="en-GB" w:eastAsia="en-GB"/>
          </w:rPr>
          <w:tab/>
        </w:r>
        <w:r w:rsidR="00FE623C" w:rsidRPr="005161B0">
          <w:rPr>
            <w:rStyle w:val="Hyperlink"/>
            <w:lang w:val="en-GB"/>
          </w:rPr>
          <w:t>Key themes</w:t>
        </w:r>
        <w:r w:rsidR="00FE623C">
          <w:rPr>
            <w:webHidden/>
          </w:rPr>
          <w:tab/>
        </w:r>
        <w:r w:rsidR="00FE623C">
          <w:rPr>
            <w:webHidden/>
          </w:rPr>
          <w:fldChar w:fldCharType="begin"/>
        </w:r>
        <w:r w:rsidR="00FE623C">
          <w:rPr>
            <w:webHidden/>
          </w:rPr>
          <w:instrText xml:space="preserve"> PAGEREF _Toc5270599 \h </w:instrText>
        </w:r>
        <w:r w:rsidR="00FE623C">
          <w:rPr>
            <w:webHidden/>
          </w:rPr>
        </w:r>
        <w:r w:rsidR="00FE623C">
          <w:rPr>
            <w:webHidden/>
          </w:rPr>
          <w:fldChar w:fldCharType="separate"/>
        </w:r>
        <w:r w:rsidR="00FE623C">
          <w:rPr>
            <w:webHidden/>
          </w:rPr>
          <w:t>23</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600" w:history="1">
        <w:r w:rsidR="00FE623C" w:rsidRPr="005161B0">
          <w:rPr>
            <w:rStyle w:val="Hyperlink"/>
            <w:lang w:val="en-GB"/>
          </w:rPr>
          <w:t>3.1</w:t>
        </w:r>
        <w:r w:rsidR="00FE623C">
          <w:rPr>
            <w:rFonts w:asciiTheme="minorHAnsi" w:eastAsiaTheme="minorEastAsia" w:hAnsiTheme="minorHAnsi"/>
            <w:sz w:val="22"/>
            <w:lang w:val="en-GB" w:eastAsia="en-GB"/>
          </w:rPr>
          <w:tab/>
        </w:r>
        <w:r w:rsidR="00FE623C" w:rsidRPr="005161B0">
          <w:rPr>
            <w:rStyle w:val="Hyperlink"/>
            <w:lang w:val="en-GB"/>
          </w:rPr>
          <w:t>The Programme overall</w:t>
        </w:r>
        <w:r w:rsidR="00FE623C">
          <w:rPr>
            <w:webHidden/>
          </w:rPr>
          <w:tab/>
        </w:r>
        <w:r w:rsidR="00FE623C">
          <w:rPr>
            <w:webHidden/>
          </w:rPr>
          <w:fldChar w:fldCharType="begin"/>
        </w:r>
        <w:r w:rsidR="00FE623C">
          <w:rPr>
            <w:webHidden/>
          </w:rPr>
          <w:instrText xml:space="preserve"> PAGEREF _Toc5270600 \h </w:instrText>
        </w:r>
        <w:r w:rsidR="00FE623C">
          <w:rPr>
            <w:webHidden/>
          </w:rPr>
        </w:r>
        <w:r w:rsidR="00FE623C">
          <w:rPr>
            <w:webHidden/>
          </w:rPr>
          <w:fldChar w:fldCharType="separate"/>
        </w:r>
        <w:r w:rsidR="00FE623C">
          <w:rPr>
            <w:webHidden/>
          </w:rPr>
          <w:t>23</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601" w:history="1">
        <w:r w:rsidR="00FE623C" w:rsidRPr="005161B0">
          <w:rPr>
            <w:rStyle w:val="Hyperlink"/>
            <w:lang w:val="en-GB"/>
          </w:rPr>
          <w:t>3.2</w:t>
        </w:r>
        <w:r w:rsidR="00FE623C">
          <w:rPr>
            <w:rFonts w:asciiTheme="minorHAnsi" w:eastAsiaTheme="minorEastAsia" w:hAnsiTheme="minorHAnsi"/>
            <w:sz w:val="22"/>
            <w:lang w:val="en-GB" w:eastAsia="en-GB"/>
          </w:rPr>
          <w:tab/>
        </w:r>
        <w:r w:rsidR="00FE623C" w:rsidRPr="005161B0">
          <w:rPr>
            <w:rStyle w:val="Hyperlink"/>
            <w:lang w:val="en-GB"/>
          </w:rPr>
          <w:t>Care recipients</w:t>
        </w:r>
        <w:r w:rsidR="00FE623C">
          <w:rPr>
            <w:webHidden/>
          </w:rPr>
          <w:tab/>
        </w:r>
        <w:r w:rsidR="00FE623C">
          <w:rPr>
            <w:webHidden/>
          </w:rPr>
          <w:fldChar w:fldCharType="begin"/>
        </w:r>
        <w:r w:rsidR="00FE623C">
          <w:rPr>
            <w:webHidden/>
          </w:rPr>
          <w:instrText xml:space="preserve"> PAGEREF _Toc5270601 \h </w:instrText>
        </w:r>
        <w:r w:rsidR="00FE623C">
          <w:rPr>
            <w:webHidden/>
          </w:rPr>
        </w:r>
        <w:r w:rsidR="00FE623C">
          <w:rPr>
            <w:webHidden/>
          </w:rPr>
          <w:fldChar w:fldCharType="separate"/>
        </w:r>
        <w:r w:rsidR="00FE623C">
          <w:rPr>
            <w:webHidden/>
          </w:rPr>
          <w:t>30</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602" w:history="1">
        <w:r w:rsidR="00FE623C" w:rsidRPr="005161B0">
          <w:rPr>
            <w:rStyle w:val="Hyperlink"/>
            <w:lang w:val="en-GB"/>
          </w:rPr>
          <w:t>3.3</w:t>
        </w:r>
        <w:r w:rsidR="00FE623C">
          <w:rPr>
            <w:rFonts w:asciiTheme="minorHAnsi" w:eastAsiaTheme="minorEastAsia" w:hAnsiTheme="minorHAnsi"/>
            <w:sz w:val="22"/>
            <w:lang w:val="en-GB" w:eastAsia="en-GB"/>
          </w:rPr>
          <w:tab/>
        </w:r>
        <w:r w:rsidR="00FE623C" w:rsidRPr="005161B0">
          <w:rPr>
            <w:rStyle w:val="Hyperlink"/>
            <w:lang w:val="en-GB"/>
          </w:rPr>
          <w:t>Variation across jurisdictions</w:t>
        </w:r>
        <w:r w:rsidR="00FE623C">
          <w:rPr>
            <w:webHidden/>
          </w:rPr>
          <w:tab/>
        </w:r>
        <w:r w:rsidR="00FE623C">
          <w:rPr>
            <w:webHidden/>
          </w:rPr>
          <w:fldChar w:fldCharType="begin"/>
        </w:r>
        <w:r w:rsidR="00FE623C">
          <w:rPr>
            <w:webHidden/>
          </w:rPr>
          <w:instrText xml:space="preserve"> PAGEREF _Toc5270602 \h </w:instrText>
        </w:r>
        <w:r w:rsidR="00FE623C">
          <w:rPr>
            <w:webHidden/>
          </w:rPr>
        </w:r>
        <w:r w:rsidR="00FE623C">
          <w:rPr>
            <w:webHidden/>
          </w:rPr>
          <w:fldChar w:fldCharType="separate"/>
        </w:r>
        <w:r w:rsidR="00FE623C">
          <w:rPr>
            <w:webHidden/>
          </w:rPr>
          <w:t>34</w:t>
        </w:r>
        <w:r w:rsidR="00FE623C">
          <w:rPr>
            <w:webHidden/>
          </w:rPr>
          <w:fldChar w:fldCharType="end"/>
        </w:r>
      </w:hyperlink>
    </w:p>
    <w:p w:rsidR="00FE623C" w:rsidRDefault="007B3980">
      <w:pPr>
        <w:pStyle w:val="TOC1"/>
        <w:rPr>
          <w:rFonts w:asciiTheme="minorHAnsi" w:eastAsiaTheme="minorEastAsia" w:hAnsiTheme="minorHAnsi"/>
          <w:lang w:val="en-GB" w:eastAsia="en-GB"/>
        </w:rPr>
      </w:pPr>
      <w:hyperlink w:anchor="_Toc5270603" w:history="1">
        <w:r w:rsidR="00FE623C" w:rsidRPr="005161B0">
          <w:rPr>
            <w:rStyle w:val="Hyperlink"/>
            <w:lang w:val="en-GB" w:eastAsia="en-AU"/>
          </w:rPr>
          <w:t>4</w:t>
        </w:r>
        <w:r w:rsidR="00FE623C">
          <w:rPr>
            <w:rFonts w:asciiTheme="minorHAnsi" w:eastAsiaTheme="minorEastAsia" w:hAnsiTheme="minorHAnsi"/>
            <w:lang w:val="en-GB" w:eastAsia="en-GB"/>
          </w:rPr>
          <w:tab/>
        </w:r>
        <w:r w:rsidR="00FE623C" w:rsidRPr="005161B0">
          <w:rPr>
            <w:rStyle w:val="Hyperlink"/>
            <w:lang w:val="en-GB"/>
          </w:rPr>
          <w:t>Transition care programs internationally</w:t>
        </w:r>
        <w:r w:rsidR="00FE623C">
          <w:rPr>
            <w:webHidden/>
          </w:rPr>
          <w:tab/>
        </w:r>
        <w:r w:rsidR="00FE623C">
          <w:rPr>
            <w:webHidden/>
          </w:rPr>
          <w:fldChar w:fldCharType="begin"/>
        </w:r>
        <w:r w:rsidR="00FE623C">
          <w:rPr>
            <w:webHidden/>
          </w:rPr>
          <w:instrText xml:space="preserve"> PAGEREF _Toc5270603 \h </w:instrText>
        </w:r>
        <w:r w:rsidR="00FE623C">
          <w:rPr>
            <w:webHidden/>
          </w:rPr>
        </w:r>
        <w:r w:rsidR="00FE623C">
          <w:rPr>
            <w:webHidden/>
          </w:rPr>
          <w:fldChar w:fldCharType="separate"/>
        </w:r>
        <w:r w:rsidR="00FE623C">
          <w:rPr>
            <w:webHidden/>
          </w:rPr>
          <w:t>38</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604" w:history="1">
        <w:r w:rsidR="00FE623C" w:rsidRPr="005161B0">
          <w:rPr>
            <w:rStyle w:val="Hyperlink"/>
            <w:rFonts w:eastAsia="Times New Roman" w:cs="Times New Roman"/>
            <w:lang w:val="en-GB" w:eastAsia="en-AU"/>
          </w:rPr>
          <w:t>4.1</w:t>
        </w:r>
        <w:r w:rsidR="00FE623C">
          <w:rPr>
            <w:rFonts w:asciiTheme="minorHAnsi" w:eastAsiaTheme="minorEastAsia" w:hAnsiTheme="minorHAnsi"/>
            <w:sz w:val="22"/>
            <w:lang w:val="en-GB" w:eastAsia="en-GB"/>
          </w:rPr>
          <w:tab/>
        </w:r>
        <w:r w:rsidR="00FE623C" w:rsidRPr="005161B0">
          <w:rPr>
            <w:rStyle w:val="Hyperlink"/>
            <w:rFonts w:eastAsia="+mn-ea"/>
            <w:lang w:val="en-GB" w:eastAsia="en-AU"/>
          </w:rPr>
          <w:t>United States of America</w:t>
        </w:r>
        <w:r w:rsidR="00FE623C">
          <w:rPr>
            <w:webHidden/>
          </w:rPr>
          <w:tab/>
        </w:r>
        <w:r w:rsidR="00FE623C">
          <w:rPr>
            <w:webHidden/>
          </w:rPr>
          <w:fldChar w:fldCharType="begin"/>
        </w:r>
        <w:r w:rsidR="00FE623C">
          <w:rPr>
            <w:webHidden/>
          </w:rPr>
          <w:instrText xml:space="preserve"> PAGEREF _Toc5270604 \h </w:instrText>
        </w:r>
        <w:r w:rsidR="00FE623C">
          <w:rPr>
            <w:webHidden/>
          </w:rPr>
        </w:r>
        <w:r w:rsidR="00FE623C">
          <w:rPr>
            <w:webHidden/>
          </w:rPr>
          <w:fldChar w:fldCharType="separate"/>
        </w:r>
        <w:r w:rsidR="00FE623C">
          <w:rPr>
            <w:webHidden/>
          </w:rPr>
          <w:t>38</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605" w:history="1">
        <w:r w:rsidR="00FE623C" w:rsidRPr="005161B0">
          <w:rPr>
            <w:rStyle w:val="Hyperlink"/>
            <w:rFonts w:eastAsia="+mn-ea"/>
            <w:lang w:val="en-GB" w:eastAsia="en-AU"/>
          </w:rPr>
          <w:t>4.2</w:t>
        </w:r>
        <w:r w:rsidR="00FE623C">
          <w:rPr>
            <w:rFonts w:asciiTheme="minorHAnsi" w:eastAsiaTheme="minorEastAsia" w:hAnsiTheme="minorHAnsi"/>
            <w:sz w:val="22"/>
            <w:lang w:val="en-GB" w:eastAsia="en-GB"/>
          </w:rPr>
          <w:tab/>
        </w:r>
        <w:r w:rsidR="00FE623C" w:rsidRPr="005161B0">
          <w:rPr>
            <w:rStyle w:val="Hyperlink"/>
            <w:rFonts w:eastAsia="+mn-ea"/>
            <w:lang w:val="en-GB" w:eastAsia="en-AU"/>
          </w:rPr>
          <w:t>United Kingdom</w:t>
        </w:r>
        <w:r w:rsidR="00FE623C">
          <w:rPr>
            <w:webHidden/>
          </w:rPr>
          <w:tab/>
        </w:r>
        <w:r w:rsidR="00FE623C">
          <w:rPr>
            <w:webHidden/>
          </w:rPr>
          <w:fldChar w:fldCharType="begin"/>
        </w:r>
        <w:r w:rsidR="00FE623C">
          <w:rPr>
            <w:webHidden/>
          </w:rPr>
          <w:instrText xml:space="preserve"> PAGEREF _Toc5270605 \h </w:instrText>
        </w:r>
        <w:r w:rsidR="00FE623C">
          <w:rPr>
            <w:webHidden/>
          </w:rPr>
        </w:r>
        <w:r w:rsidR="00FE623C">
          <w:rPr>
            <w:webHidden/>
          </w:rPr>
          <w:fldChar w:fldCharType="separate"/>
        </w:r>
        <w:r w:rsidR="00FE623C">
          <w:rPr>
            <w:webHidden/>
          </w:rPr>
          <w:t>39</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606" w:history="1">
        <w:r w:rsidR="00FE623C" w:rsidRPr="005161B0">
          <w:rPr>
            <w:rStyle w:val="Hyperlink"/>
            <w:rFonts w:eastAsia="+mn-ea"/>
            <w:lang w:val="en-GB" w:eastAsia="en-AU"/>
          </w:rPr>
          <w:t>4.3</w:t>
        </w:r>
        <w:r w:rsidR="00FE623C">
          <w:rPr>
            <w:rFonts w:asciiTheme="minorHAnsi" w:eastAsiaTheme="minorEastAsia" w:hAnsiTheme="minorHAnsi"/>
            <w:sz w:val="22"/>
            <w:lang w:val="en-GB" w:eastAsia="en-GB"/>
          </w:rPr>
          <w:tab/>
        </w:r>
        <w:r w:rsidR="00FE623C" w:rsidRPr="005161B0">
          <w:rPr>
            <w:rStyle w:val="Hyperlink"/>
            <w:rFonts w:eastAsia="+mn-ea"/>
            <w:lang w:val="en-GB" w:eastAsia="en-AU"/>
          </w:rPr>
          <w:t>New Zealand</w:t>
        </w:r>
        <w:r w:rsidR="00FE623C">
          <w:rPr>
            <w:webHidden/>
          </w:rPr>
          <w:tab/>
        </w:r>
        <w:r w:rsidR="00FE623C">
          <w:rPr>
            <w:webHidden/>
          </w:rPr>
          <w:fldChar w:fldCharType="begin"/>
        </w:r>
        <w:r w:rsidR="00FE623C">
          <w:rPr>
            <w:webHidden/>
          </w:rPr>
          <w:instrText xml:space="preserve"> PAGEREF _Toc5270606 \h </w:instrText>
        </w:r>
        <w:r w:rsidR="00FE623C">
          <w:rPr>
            <w:webHidden/>
          </w:rPr>
        </w:r>
        <w:r w:rsidR="00FE623C">
          <w:rPr>
            <w:webHidden/>
          </w:rPr>
          <w:fldChar w:fldCharType="separate"/>
        </w:r>
        <w:r w:rsidR="00FE623C">
          <w:rPr>
            <w:webHidden/>
          </w:rPr>
          <w:t>39</w:t>
        </w:r>
        <w:r w:rsidR="00FE623C">
          <w:rPr>
            <w:webHidden/>
          </w:rPr>
          <w:fldChar w:fldCharType="end"/>
        </w:r>
      </w:hyperlink>
    </w:p>
    <w:p w:rsidR="00FE623C" w:rsidRDefault="007B3980">
      <w:pPr>
        <w:pStyle w:val="TOC2"/>
        <w:rPr>
          <w:rFonts w:asciiTheme="minorHAnsi" w:eastAsiaTheme="minorEastAsia" w:hAnsiTheme="minorHAnsi"/>
          <w:sz w:val="22"/>
          <w:lang w:val="en-GB" w:eastAsia="en-GB"/>
        </w:rPr>
      </w:pPr>
      <w:hyperlink w:anchor="_Toc5270607" w:history="1">
        <w:r w:rsidR="00FE623C" w:rsidRPr="005161B0">
          <w:rPr>
            <w:rStyle w:val="Hyperlink"/>
            <w:rFonts w:eastAsia="+mn-ea"/>
            <w:lang w:val="en-GB" w:eastAsia="en-AU"/>
          </w:rPr>
          <w:t>4.4</w:t>
        </w:r>
        <w:r w:rsidR="00FE623C">
          <w:rPr>
            <w:rFonts w:asciiTheme="minorHAnsi" w:eastAsiaTheme="minorEastAsia" w:hAnsiTheme="minorHAnsi"/>
            <w:sz w:val="22"/>
            <w:lang w:val="en-GB" w:eastAsia="en-GB"/>
          </w:rPr>
          <w:tab/>
        </w:r>
        <w:r w:rsidR="00FE623C" w:rsidRPr="005161B0">
          <w:rPr>
            <w:rStyle w:val="Hyperlink"/>
            <w:rFonts w:eastAsia="+mn-ea"/>
            <w:lang w:val="en-GB" w:eastAsia="en-AU"/>
          </w:rPr>
          <w:t>Canada</w:t>
        </w:r>
        <w:r w:rsidR="00FE623C">
          <w:rPr>
            <w:webHidden/>
          </w:rPr>
          <w:tab/>
        </w:r>
        <w:r w:rsidR="00FE623C">
          <w:rPr>
            <w:webHidden/>
          </w:rPr>
          <w:fldChar w:fldCharType="begin"/>
        </w:r>
        <w:r w:rsidR="00FE623C">
          <w:rPr>
            <w:webHidden/>
          </w:rPr>
          <w:instrText xml:space="preserve"> PAGEREF _Toc5270607 \h </w:instrText>
        </w:r>
        <w:r w:rsidR="00FE623C">
          <w:rPr>
            <w:webHidden/>
          </w:rPr>
        </w:r>
        <w:r w:rsidR="00FE623C">
          <w:rPr>
            <w:webHidden/>
          </w:rPr>
          <w:fldChar w:fldCharType="separate"/>
        </w:r>
        <w:r w:rsidR="00FE623C">
          <w:rPr>
            <w:webHidden/>
          </w:rPr>
          <w:t>40</w:t>
        </w:r>
        <w:r w:rsidR="00FE623C">
          <w:rPr>
            <w:webHidden/>
          </w:rPr>
          <w:fldChar w:fldCharType="end"/>
        </w:r>
      </w:hyperlink>
    </w:p>
    <w:p w:rsidR="00FE623C" w:rsidRDefault="007B3980">
      <w:pPr>
        <w:pStyle w:val="TOC1"/>
        <w:rPr>
          <w:rFonts w:asciiTheme="minorHAnsi" w:eastAsiaTheme="minorEastAsia" w:hAnsiTheme="minorHAnsi"/>
          <w:lang w:val="en-GB" w:eastAsia="en-GB"/>
        </w:rPr>
      </w:pPr>
      <w:hyperlink w:anchor="_Toc5270608" w:history="1">
        <w:r w:rsidR="00FE623C" w:rsidRPr="005161B0">
          <w:rPr>
            <w:rStyle w:val="Hyperlink"/>
            <w:lang w:val="en-GB"/>
          </w:rPr>
          <w:t>5</w:t>
        </w:r>
        <w:r w:rsidR="00FE623C">
          <w:rPr>
            <w:rFonts w:asciiTheme="minorHAnsi" w:eastAsiaTheme="minorEastAsia" w:hAnsiTheme="minorHAnsi"/>
            <w:lang w:val="en-GB" w:eastAsia="en-GB"/>
          </w:rPr>
          <w:tab/>
        </w:r>
        <w:r w:rsidR="00FE623C" w:rsidRPr="005161B0">
          <w:rPr>
            <w:rStyle w:val="Hyperlink"/>
            <w:lang w:val="en-GB"/>
          </w:rPr>
          <w:t>Recommendations</w:t>
        </w:r>
        <w:r w:rsidR="00FE623C">
          <w:rPr>
            <w:webHidden/>
          </w:rPr>
          <w:tab/>
        </w:r>
        <w:r w:rsidR="00FE623C">
          <w:rPr>
            <w:webHidden/>
          </w:rPr>
          <w:fldChar w:fldCharType="begin"/>
        </w:r>
        <w:r w:rsidR="00FE623C">
          <w:rPr>
            <w:webHidden/>
          </w:rPr>
          <w:instrText xml:space="preserve"> PAGEREF _Toc5270608 \h </w:instrText>
        </w:r>
        <w:r w:rsidR="00FE623C">
          <w:rPr>
            <w:webHidden/>
          </w:rPr>
        </w:r>
        <w:r w:rsidR="00FE623C">
          <w:rPr>
            <w:webHidden/>
          </w:rPr>
          <w:fldChar w:fldCharType="separate"/>
        </w:r>
        <w:r w:rsidR="00FE623C">
          <w:rPr>
            <w:webHidden/>
          </w:rPr>
          <w:t>41</w:t>
        </w:r>
        <w:r w:rsidR="00FE623C">
          <w:rPr>
            <w:webHidden/>
          </w:rPr>
          <w:fldChar w:fldCharType="end"/>
        </w:r>
      </w:hyperlink>
    </w:p>
    <w:p w:rsidR="00FE623C" w:rsidRDefault="007B3980">
      <w:pPr>
        <w:pStyle w:val="TOC1"/>
        <w:rPr>
          <w:rFonts w:asciiTheme="minorHAnsi" w:eastAsiaTheme="minorEastAsia" w:hAnsiTheme="minorHAnsi"/>
          <w:lang w:val="en-GB" w:eastAsia="en-GB"/>
        </w:rPr>
      </w:pPr>
      <w:hyperlink w:anchor="_Toc5270609" w:history="1">
        <w:r w:rsidR="00FE623C" w:rsidRPr="005161B0">
          <w:rPr>
            <w:rStyle w:val="Hyperlink"/>
            <w:lang w:val="en-GB"/>
          </w:rPr>
          <w:t>Appendix A : Evidence of alternative key performance indicators</w:t>
        </w:r>
        <w:r w:rsidR="00FE623C">
          <w:rPr>
            <w:webHidden/>
          </w:rPr>
          <w:tab/>
        </w:r>
        <w:r w:rsidR="00FE623C">
          <w:rPr>
            <w:webHidden/>
          </w:rPr>
          <w:fldChar w:fldCharType="begin"/>
        </w:r>
        <w:r w:rsidR="00FE623C">
          <w:rPr>
            <w:webHidden/>
          </w:rPr>
          <w:instrText xml:space="preserve"> PAGEREF _Toc5270609 \h </w:instrText>
        </w:r>
        <w:r w:rsidR="00FE623C">
          <w:rPr>
            <w:webHidden/>
          </w:rPr>
        </w:r>
        <w:r w:rsidR="00FE623C">
          <w:rPr>
            <w:webHidden/>
          </w:rPr>
          <w:fldChar w:fldCharType="separate"/>
        </w:r>
        <w:r w:rsidR="00FE623C">
          <w:rPr>
            <w:webHidden/>
          </w:rPr>
          <w:t>44</w:t>
        </w:r>
        <w:r w:rsidR="00FE623C">
          <w:rPr>
            <w:webHidden/>
          </w:rPr>
          <w:fldChar w:fldCharType="end"/>
        </w:r>
      </w:hyperlink>
    </w:p>
    <w:p w:rsidR="00FE623C" w:rsidRDefault="007B3980">
      <w:pPr>
        <w:pStyle w:val="TOC1"/>
        <w:rPr>
          <w:rFonts w:asciiTheme="minorHAnsi" w:eastAsiaTheme="minorEastAsia" w:hAnsiTheme="minorHAnsi"/>
          <w:lang w:val="en-GB" w:eastAsia="en-GB"/>
        </w:rPr>
      </w:pPr>
      <w:hyperlink w:anchor="_Toc5270610" w:history="1">
        <w:r w:rsidR="00FE623C" w:rsidRPr="005161B0">
          <w:rPr>
            <w:rStyle w:val="Hyperlink"/>
            <w:lang w:val="en-GB"/>
          </w:rPr>
          <w:t>Appendix B : Location of care recipients</w:t>
        </w:r>
        <w:r w:rsidR="00FE623C">
          <w:rPr>
            <w:webHidden/>
          </w:rPr>
          <w:tab/>
        </w:r>
        <w:r w:rsidR="00FE623C">
          <w:rPr>
            <w:webHidden/>
          </w:rPr>
          <w:fldChar w:fldCharType="begin"/>
        </w:r>
        <w:r w:rsidR="00FE623C">
          <w:rPr>
            <w:webHidden/>
          </w:rPr>
          <w:instrText xml:space="preserve"> PAGEREF _Toc5270610 \h </w:instrText>
        </w:r>
        <w:r w:rsidR="00FE623C">
          <w:rPr>
            <w:webHidden/>
          </w:rPr>
        </w:r>
        <w:r w:rsidR="00FE623C">
          <w:rPr>
            <w:webHidden/>
          </w:rPr>
          <w:fldChar w:fldCharType="separate"/>
        </w:r>
        <w:r w:rsidR="00FE623C">
          <w:rPr>
            <w:webHidden/>
          </w:rPr>
          <w:t>54</w:t>
        </w:r>
        <w:r w:rsidR="00FE623C">
          <w:rPr>
            <w:webHidden/>
          </w:rPr>
          <w:fldChar w:fldCharType="end"/>
        </w:r>
      </w:hyperlink>
    </w:p>
    <w:p w:rsidR="00FE623C" w:rsidRDefault="007B3980">
      <w:pPr>
        <w:pStyle w:val="TOC1"/>
        <w:rPr>
          <w:rFonts w:asciiTheme="minorHAnsi" w:eastAsiaTheme="minorEastAsia" w:hAnsiTheme="minorHAnsi"/>
          <w:lang w:val="en-GB" w:eastAsia="en-GB"/>
        </w:rPr>
      </w:pPr>
      <w:hyperlink w:anchor="_Toc5270611" w:history="1">
        <w:r w:rsidR="00FE623C" w:rsidRPr="005161B0">
          <w:rPr>
            <w:rStyle w:val="Hyperlink"/>
            <w:lang w:val="en-GB"/>
          </w:rPr>
          <w:t>Appendix C : Service provider mapping</w:t>
        </w:r>
        <w:r w:rsidR="00FE623C">
          <w:rPr>
            <w:webHidden/>
          </w:rPr>
          <w:tab/>
        </w:r>
        <w:r w:rsidR="00FE623C">
          <w:rPr>
            <w:webHidden/>
          </w:rPr>
          <w:fldChar w:fldCharType="begin"/>
        </w:r>
        <w:r w:rsidR="00FE623C">
          <w:rPr>
            <w:webHidden/>
          </w:rPr>
          <w:instrText xml:space="preserve"> PAGEREF _Toc5270611 \h </w:instrText>
        </w:r>
        <w:r w:rsidR="00FE623C">
          <w:rPr>
            <w:webHidden/>
          </w:rPr>
        </w:r>
        <w:r w:rsidR="00FE623C">
          <w:rPr>
            <w:webHidden/>
          </w:rPr>
          <w:fldChar w:fldCharType="separate"/>
        </w:r>
        <w:r w:rsidR="00FE623C">
          <w:rPr>
            <w:webHidden/>
          </w:rPr>
          <w:t>65</w:t>
        </w:r>
        <w:r w:rsidR="00FE623C">
          <w:rPr>
            <w:webHidden/>
          </w:rPr>
          <w:fldChar w:fldCharType="end"/>
        </w:r>
      </w:hyperlink>
    </w:p>
    <w:p w:rsidR="00FE623C" w:rsidRDefault="007B3980">
      <w:pPr>
        <w:pStyle w:val="TOC1"/>
        <w:rPr>
          <w:rFonts w:asciiTheme="minorHAnsi" w:eastAsiaTheme="minorEastAsia" w:hAnsiTheme="minorHAnsi"/>
          <w:lang w:val="en-GB" w:eastAsia="en-GB"/>
        </w:rPr>
      </w:pPr>
      <w:hyperlink w:anchor="_Toc5270612" w:history="1">
        <w:r w:rsidR="00FE623C" w:rsidRPr="005161B0">
          <w:rPr>
            <w:rStyle w:val="Hyperlink"/>
            <w:lang w:val="en-GB"/>
          </w:rPr>
          <w:t>Appendix D : Modified Barthel Index scores on admission and exit from the Programme</w:t>
        </w:r>
        <w:r w:rsidR="00FE623C">
          <w:rPr>
            <w:webHidden/>
          </w:rPr>
          <w:tab/>
        </w:r>
        <w:r w:rsidR="00FE623C">
          <w:rPr>
            <w:webHidden/>
          </w:rPr>
          <w:fldChar w:fldCharType="begin"/>
        </w:r>
        <w:r w:rsidR="00FE623C">
          <w:rPr>
            <w:webHidden/>
          </w:rPr>
          <w:instrText xml:space="preserve"> PAGEREF _Toc5270612 \h </w:instrText>
        </w:r>
        <w:r w:rsidR="00FE623C">
          <w:rPr>
            <w:webHidden/>
          </w:rPr>
        </w:r>
        <w:r w:rsidR="00FE623C">
          <w:rPr>
            <w:webHidden/>
          </w:rPr>
          <w:fldChar w:fldCharType="separate"/>
        </w:r>
        <w:r w:rsidR="00FE623C">
          <w:rPr>
            <w:webHidden/>
          </w:rPr>
          <w:t>69</w:t>
        </w:r>
        <w:r w:rsidR="00FE623C">
          <w:rPr>
            <w:webHidden/>
          </w:rPr>
          <w:fldChar w:fldCharType="end"/>
        </w:r>
      </w:hyperlink>
    </w:p>
    <w:p w:rsidR="007634C5" w:rsidRPr="007F1A00" w:rsidRDefault="00DB3B6B" w:rsidP="000F0B3D">
      <w:pPr>
        <w:pStyle w:val="TOC1"/>
        <w:rPr>
          <w:lang w:val="en-GB"/>
        </w:rPr>
      </w:pPr>
      <w:r w:rsidRPr="002F7C0C">
        <w:rPr>
          <w:rFonts w:cs="Arial"/>
          <w:lang w:val="en-GB"/>
        </w:rPr>
        <w:fldChar w:fldCharType="end"/>
      </w:r>
    </w:p>
    <w:p w:rsidR="009633A2" w:rsidRPr="007F1A00" w:rsidRDefault="009633A2" w:rsidP="007634C5">
      <w:pPr>
        <w:pStyle w:val="BodyText1"/>
        <w:rPr>
          <w:lang w:val="en-GB"/>
        </w:rPr>
      </w:pPr>
    </w:p>
    <w:p w:rsidR="009633A2" w:rsidRPr="007F1A00" w:rsidRDefault="009633A2" w:rsidP="007634C5">
      <w:pPr>
        <w:pStyle w:val="BodyText1"/>
        <w:rPr>
          <w:lang w:val="en-GB"/>
        </w:rPr>
        <w:sectPr w:rsidR="009633A2" w:rsidRPr="007F1A00" w:rsidSect="00013847">
          <w:headerReference w:type="even" r:id="rId16"/>
          <w:headerReference w:type="default" r:id="rId17"/>
          <w:headerReference w:type="first" r:id="rId18"/>
          <w:pgSz w:w="11906" w:h="16838"/>
          <w:pgMar w:top="1418" w:right="1418" w:bottom="1418" w:left="1560" w:header="709" w:footer="709" w:gutter="0"/>
          <w:pgNumType w:fmt="lowerRoman"/>
          <w:cols w:space="708"/>
          <w:docGrid w:linePitch="360"/>
        </w:sectPr>
      </w:pPr>
    </w:p>
    <w:p w:rsidR="009633A2" w:rsidRPr="007F1A00" w:rsidRDefault="000B1D40" w:rsidP="00860A83">
      <w:pPr>
        <w:pStyle w:val="Heading1"/>
        <w:rPr>
          <w:lang w:val="en-GB"/>
        </w:rPr>
      </w:pPr>
      <w:bookmarkStart w:id="3" w:name="_Toc5270590"/>
      <w:r w:rsidRPr="007F1A00">
        <w:rPr>
          <w:lang w:val="en-GB"/>
        </w:rPr>
        <w:t>Introduction</w:t>
      </w:r>
      <w:bookmarkEnd w:id="3"/>
    </w:p>
    <w:p w:rsidR="000B1D40" w:rsidRPr="007F1A00" w:rsidRDefault="000B1D40" w:rsidP="0082673A">
      <w:pPr>
        <w:pStyle w:val="Heading2"/>
        <w:rPr>
          <w:lang w:val="en-GB"/>
        </w:rPr>
      </w:pPr>
      <w:bookmarkStart w:id="4" w:name="_Toc5270591"/>
      <w:r w:rsidRPr="007F1A00">
        <w:rPr>
          <w:lang w:val="en-GB"/>
        </w:rPr>
        <w:t xml:space="preserve">Background for this </w:t>
      </w:r>
      <w:r w:rsidR="00811DA7">
        <w:rPr>
          <w:lang w:val="en-GB"/>
        </w:rPr>
        <w:t>R</w:t>
      </w:r>
      <w:r w:rsidRPr="007F1A00">
        <w:rPr>
          <w:lang w:val="en-GB"/>
        </w:rPr>
        <w:t>eview</w:t>
      </w:r>
      <w:bookmarkEnd w:id="4"/>
      <w:r w:rsidRPr="007F1A00">
        <w:rPr>
          <w:lang w:val="en-GB"/>
        </w:rPr>
        <w:t xml:space="preserve"> </w:t>
      </w:r>
    </w:p>
    <w:p w:rsidR="00D500D2" w:rsidRPr="007F1A00" w:rsidRDefault="00D500D2" w:rsidP="002F7C0C">
      <w:pPr>
        <w:pStyle w:val="BodyText1"/>
        <w:rPr>
          <w:lang w:val="en-GB"/>
        </w:rPr>
      </w:pPr>
      <w:r w:rsidRPr="007F1A00">
        <w:rPr>
          <w:lang w:val="en-GB"/>
        </w:rPr>
        <w:t xml:space="preserve">KPMG was engaged by the </w:t>
      </w:r>
      <w:r w:rsidR="00E2476C" w:rsidRPr="007F1A00">
        <w:rPr>
          <w:lang w:val="en-GB"/>
        </w:rPr>
        <w:t>D</w:t>
      </w:r>
      <w:r w:rsidR="00D62FCE">
        <w:rPr>
          <w:lang w:val="en-GB"/>
        </w:rPr>
        <w:t>epartment of Health (the Department)</w:t>
      </w:r>
      <w:r w:rsidRPr="007F1A00">
        <w:rPr>
          <w:lang w:val="en-GB"/>
        </w:rPr>
        <w:t xml:space="preserve"> to review the Transition Care Programme (TCP or the Programme), which provides short term assistance in the form of restorative care for older Australians, following discharge from hospital.</w:t>
      </w:r>
    </w:p>
    <w:p w:rsidR="00427EA1" w:rsidRDefault="00516DB6" w:rsidP="002F7C0C">
      <w:pPr>
        <w:pStyle w:val="BodyText1"/>
        <w:rPr>
          <w:lang w:val="en-GB"/>
        </w:rPr>
      </w:pPr>
      <w:r w:rsidRPr="007F1A00">
        <w:rPr>
          <w:lang w:val="en-GB"/>
        </w:rPr>
        <w:t xml:space="preserve">This </w:t>
      </w:r>
      <w:r w:rsidR="00814DB3">
        <w:rPr>
          <w:lang w:val="en-GB"/>
        </w:rPr>
        <w:t>r</w:t>
      </w:r>
      <w:r w:rsidR="00814DB3" w:rsidRPr="007F1A00">
        <w:rPr>
          <w:lang w:val="en-GB"/>
        </w:rPr>
        <w:t xml:space="preserve">eview </w:t>
      </w:r>
      <w:r w:rsidR="00BD29BC" w:rsidRPr="007F1A00">
        <w:rPr>
          <w:lang w:val="en-GB"/>
        </w:rPr>
        <w:t xml:space="preserve">occurs at a time of a </w:t>
      </w:r>
      <w:r w:rsidR="00F6580E" w:rsidRPr="007F1A00">
        <w:rPr>
          <w:lang w:val="en-GB"/>
        </w:rPr>
        <w:t xml:space="preserve">wider reform agenda </w:t>
      </w:r>
      <w:r w:rsidR="00BD29BC" w:rsidRPr="007F1A00">
        <w:rPr>
          <w:lang w:val="en-GB"/>
        </w:rPr>
        <w:t>in aged care</w:t>
      </w:r>
      <w:r w:rsidR="00D57504">
        <w:rPr>
          <w:lang w:val="en-GB"/>
        </w:rPr>
        <w:t xml:space="preserve"> and</w:t>
      </w:r>
      <w:r w:rsidR="00BD29BC" w:rsidRPr="007F1A00">
        <w:rPr>
          <w:lang w:val="en-GB"/>
        </w:rPr>
        <w:t xml:space="preserve"> an increased focus on quality and safety </w:t>
      </w:r>
      <w:r w:rsidR="00F86986">
        <w:rPr>
          <w:lang w:val="en-GB"/>
        </w:rPr>
        <w:t xml:space="preserve">within the sector. </w:t>
      </w:r>
      <w:r w:rsidR="00D500D2" w:rsidRPr="007F1A00">
        <w:rPr>
          <w:lang w:val="en-GB"/>
        </w:rPr>
        <w:t xml:space="preserve">The aged care sector in and of itself is currently undergoing significant reform aimed at providing consumers with more choice </w:t>
      </w:r>
      <w:r w:rsidR="00307B19" w:rsidRPr="007F1A00">
        <w:rPr>
          <w:lang w:val="en-GB"/>
        </w:rPr>
        <w:t>and information about services.</w:t>
      </w:r>
      <w:r w:rsidR="00D500D2" w:rsidRPr="007F1A00">
        <w:rPr>
          <w:lang w:val="en-GB"/>
        </w:rPr>
        <w:t xml:space="preserve"> </w:t>
      </w:r>
      <w:r w:rsidR="00307B19" w:rsidRPr="007F1A00">
        <w:rPr>
          <w:lang w:val="en-GB"/>
        </w:rPr>
        <w:t>In addition</w:t>
      </w:r>
      <w:r w:rsidR="00D500D2" w:rsidRPr="007F1A00">
        <w:rPr>
          <w:lang w:val="en-GB"/>
        </w:rPr>
        <w:t xml:space="preserve">, </w:t>
      </w:r>
      <w:r w:rsidR="00307B19" w:rsidRPr="007F1A00">
        <w:rPr>
          <w:lang w:val="en-GB"/>
        </w:rPr>
        <w:t>there has been a significant shift across the service provider landscape to focus on the customer and meet their needs and wants above those of th</w:t>
      </w:r>
      <w:r w:rsidR="003208CD" w:rsidRPr="007F1A00">
        <w:rPr>
          <w:lang w:val="en-GB"/>
        </w:rPr>
        <w:t xml:space="preserve">e provider organisation. </w:t>
      </w:r>
    </w:p>
    <w:p w:rsidR="00427EA1" w:rsidRPr="00427EA1" w:rsidRDefault="00427EA1" w:rsidP="002F7C0C">
      <w:pPr>
        <w:pStyle w:val="BodyText1"/>
      </w:pPr>
      <w:r w:rsidRPr="00427EA1">
        <w:t xml:space="preserve">The first reform period concluded in June 2017 with $3.7 billion invested over five years focusing on: </w:t>
      </w:r>
    </w:p>
    <w:p w:rsidR="00427EA1" w:rsidRPr="00427EA1" w:rsidRDefault="00427EA1" w:rsidP="00427EA1">
      <w:pPr>
        <w:pStyle w:val="Bullet1stlevel"/>
      </w:pPr>
      <w:r w:rsidRPr="00427EA1">
        <w:t>Promoting greater choi</w:t>
      </w:r>
      <w:r>
        <w:t>ce, including more care at home</w:t>
      </w:r>
      <w:r w:rsidR="00814DB3">
        <w:t>;</w:t>
      </w:r>
    </w:p>
    <w:p w:rsidR="00427EA1" w:rsidRPr="00427EA1" w:rsidRDefault="00427EA1" w:rsidP="00427EA1">
      <w:pPr>
        <w:pStyle w:val="Bullet1stlevel"/>
      </w:pPr>
      <w:r w:rsidRPr="00427EA1">
        <w:t>Improving acce</w:t>
      </w:r>
      <w:r>
        <w:t>ss to support and care services</w:t>
      </w:r>
      <w:r w:rsidR="00814DB3">
        <w:t xml:space="preserve">; </w:t>
      </w:r>
    </w:p>
    <w:p w:rsidR="00427EA1" w:rsidRPr="00427EA1" w:rsidRDefault="00427EA1" w:rsidP="00427EA1">
      <w:pPr>
        <w:pStyle w:val="Bullet1stlevel"/>
      </w:pPr>
      <w:r w:rsidRPr="00427EA1">
        <w:t>Changing the way peopl</w:t>
      </w:r>
      <w:r>
        <w:t>e contribute to aged care costs</w:t>
      </w:r>
      <w:r w:rsidR="00814DB3">
        <w:t>; and</w:t>
      </w:r>
    </w:p>
    <w:p w:rsidR="00427EA1" w:rsidRPr="00427EA1" w:rsidRDefault="00427EA1" w:rsidP="00427EA1">
      <w:pPr>
        <w:pStyle w:val="Bullet1stlevel"/>
      </w:pPr>
      <w:r w:rsidRPr="00427EA1">
        <w:t>Improving safety, security and quality of aged care services</w:t>
      </w:r>
      <w:r>
        <w:t>.</w:t>
      </w:r>
    </w:p>
    <w:p w:rsidR="00427EA1" w:rsidRPr="00427EA1" w:rsidRDefault="00427EA1" w:rsidP="002F7C0C">
      <w:pPr>
        <w:pStyle w:val="BodyText1"/>
        <w:rPr>
          <w:lang w:val="en-US"/>
        </w:rPr>
      </w:pPr>
      <w:r w:rsidRPr="00427EA1">
        <w:rPr>
          <w:lang w:val="en-US"/>
        </w:rPr>
        <w:t xml:space="preserve">The next phase of reforms commenced in 2017, </w:t>
      </w:r>
      <w:r w:rsidR="00D57504">
        <w:rPr>
          <w:lang w:val="en-US"/>
        </w:rPr>
        <w:t>following</w:t>
      </w:r>
      <w:r w:rsidRPr="00427EA1">
        <w:rPr>
          <w:lang w:val="en-US"/>
        </w:rPr>
        <w:t xml:space="preserve"> recommendations from a number of independent reviews </w:t>
      </w:r>
      <w:r w:rsidR="00D57504">
        <w:rPr>
          <w:lang w:val="en-US"/>
        </w:rPr>
        <w:t>including</w:t>
      </w:r>
      <w:r w:rsidRPr="00427EA1">
        <w:rPr>
          <w:lang w:val="en-US"/>
        </w:rPr>
        <w:t xml:space="preserve"> </w:t>
      </w:r>
      <w:r w:rsidR="00D57504">
        <w:rPr>
          <w:lang w:val="en-US"/>
        </w:rPr>
        <w:t xml:space="preserve">the Aged Care Legislative Review (Tune Report) and </w:t>
      </w:r>
      <w:r w:rsidRPr="00427EA1">
        <w:rPr>
          <w:lang w:val="en-US"/>
        </w:rPr>
        <w:t>C</w:t>
      </w:r>
      <w:r w:rsidR="00D57504">
        <w:rPr>
          <w:lang w:val="en-US"/>
        </w:rPr>
        <w:t>a</w:t>
      </w:r>
      <w:r w:rsidRPr="00427EA1">
        <w:rPr>
          <w:lang w:val="en-US"/>
        </w:rPr>
        <w:t>rnell Paterson Review</w:t>
      </w:r>
      <w:r w:rsidR="00D57504">
        <w:rPr>
          <w:lang w:val="en-US"/>
        </w:rPr>
        <w:t xml:space="preserve"> of National Aged Care Quality Regulatory Processes. </w:t>
      </w:r>
      <w:r w:rsidRPr="00427EA1">
        <w:rPr>
          <w:lang w:val="en-US"/>
        </w:rPr>
        <w:t>Further</w:t>
      </w:r>
      <w:r w:rsidR="00811DA7">
        <w:rPr>
          <w:lang w:val="en-US"/>
        </w:rPr>
        <w:t>,</w:t>
      </w:r>
      <w:r w:rsidRPr="00427EA1">
        <w:rPr>
          <w:lang w:val="en-US"/>
        </w:rPr>
        <w:t xml:space="preserve"> the outcomes of the Royal Commission into Aged Care Safety and Quality </w:t>
      </w:r>
      <w:r w:rsidR="00D57504">
        <w:rPr>
          <w:lang w:val="en-US"/>
        </w:rPr>
        <w:t>are likely to</w:t>
      </w:r>
      <w:r w:rsidRPr="00427EA1">
        <w:rPr>
          <w:lang w:val="en-US"/>
        </w:rPr>
        <w:t xml:space="preserve"> be a catalyst for many subsequent changes in the sector. </w:t>
      </w:r>
    </w:p>
    <w:p w:rsidR="00811DA7" w:rsidRDefault="003208CD" w:rsidP="002F7C0C">
      <w:pPr>
        <w:pStyle w:val="BodyText1"/>
        <w:rPr>
          <w:lang w:val="en-GB"/>
        </w:rPr>
      </w:pPr>
      <w:r w:rsidRPr="007F1A00">
        <w:rPr>
          <w:lang w:val="en-GB"/>
        </w:rPr>
        <w:t xml:space="preserve">These changes have had a </w:t>
      </w:r>
      <w:r w:rsidR="00F86986">
        <w:rPr>
          <w:lang w:val="en-GB"/>
        </w:rPr>
        <w:t>limited</w:t>
      </w:r>
      <w:r w:rsidRPr="007F1A00">
        <w:rPr>
          <w:lang w:val="en-GB"/>
        </w:rPr>
        <w:t xml:space="preserve"> effect on</w:t>
      </w:r>
      <w:r w:rsidR="00814DB3">
        <w:rPr>
          <w:lang w:val="en-GB"/>
        </w:rPr>
        <w:t xml:space="preserve"> the</w:t>
      </w:r>
      <w:r w:rsidRPr="007F1A00">
        <w:rPr>
          <w:lang w:val="en-GB"/>
        </w:rPr>
        <w:t xml:space="preserve"> TCP</w:t>
      </w:r>
      <w:r w:rsidR="00F86986">
        <w:rPr>
          <w:lang w:val="en-GB"/>
        </w:rPr>
        <w:t xml:space="preserve">, with minimal changes being made to its operational guidelines (the Guidelines) since 2015. The way </w:t>
      </w:r>
      <w:r w:rsidR="00814DB3">
        <w:rPr>
          <w:lang w:val="en-GB"/>
        </w:rPr>
        <w:t xml:space="preserve">the </w:t>
      </w:r>
      <w:r w:rsidR="00F86986">
        <w:rPr>
          <w:lang w:val="en-GB"/>
        </w:rPr>
        <w:t xml:space="preserve">TCP is funded has remained constant </w:t>
      </w:r>
      <w:r w:rsidR="00814DB3">
        <w:rPr>
          <w:lang w:val="en-GB"/>
        </w:rPr>
        <w:t>(</w:t>
      </w:r>
      <w:r w:rsidR="00F86986">
        <w:rPr>
          <w:lang w:val="en-GB"/>
        </w:rPr>
        <w:t xml:space="preserve">i.e. </w:t>
      </w:r>
      <w:r w:rsidR="00814DB3">
        <w:rPr>
          <w:lang w:val="en-GB"/>
        </w:rPr>
        <w:t>funding is</w:t>
      </w:r>
      <w:r w:rsidR="00F86986">
        <w:rPr>
          <w:lang w:val="en-GB"/>
        </w:rPr>
        <w:t xml:space="preserve"> </w:t>
      </w:r>
      <w:r w:rsidRPr="007F1A00">
        <w:rPr>
          <w:lang w:val="en-GB"/>
        </w:rPr>
        <w:t>held by providers</w:t>
      </w:r>
      <w:r w:rsidR="00307B19" w:rsidRPr="007F1A00">
        <w:rPr>
          <w:lang w:val="en-GB"/>
        </w:rPr>
        <w:t xml:space="preserve"> </w:t>
      </w:r>
      <w:r w:rsidRPr="007F1A00">
        <w:rPr>
          <w:lang w:val="en-GB"/>
        </w:rPr>
        <w:t>not consumers</w:t>
      </w:r>
      <w:r w:rsidR="00814DB3">
        <w:rPr>
          <w:lang w:val="en-GB"/>
        </w:rPr>
        <w:t>)</w:t>
      </w:r>
      <w:r w:rsidR="00F86986">
        <w:rPr>
          <w:lang w:val="en-GB"/>
        </w:rPr>
        <w:t xml:space="preserve"> and</w:t>
      </w:r>
      <w:r w:rsidR="00814DB3">
        <w:rPr>
          <w:lang w:val="en-GB"/>
        </w:rPr>
        <w:t>,</w:t>
      </w:r>
      <w:r w:rsidR="00F86986">
        <w:rPr>
          <w:lang w:val="en-GB"/>
        </w:rPr>
        <w:t xml:space="preserve"> due to the arrangements of co-contributions from States and Territories, the service has not been subject to tender arrangements</w:t>
      </w:r>
      <w:r w:rsidRPr="007F1A00">
        <w:rPr>
          <w:lang w:val="en-GB"/>
        </w:rPr>
        <w:t xml:space="preserve">. </w:t>
      </w:r>
      <w:r w:rsidR="00F86986">
        <w:rPr>
          <w:lang w:val="en-GB"/>
        </w:rPr>
        <w:t xml:space="preserve">In addition, the way consumers contribute to the cost of their care is largely unchanged, </w:t>
      </w:r>
      <w:r w:rsidR="00814DB3">
        <w:rPr>
          <w:lang w:val="en-GB"/>
        </w:rPr>
        <w:t xml:space="preserve">and </w:t>
      </w:r>
      <w:r w:rsidR="00F86986">
        <w:rPr>
          <w:lang w:val="en-GB"/>
        </w:rPr>
        <w:t xml:space="preserve">admission and leave processes </w:t>
      </w:r>
      <w:r w:rsidR="00814DB3">
        <w:rPr>
          <w:lang w:val="en-GB"/>
        </w:rPr>
        <w:t xml:space="preserve">have not </w:t>
      </w:r>
      <w:r w:rsidR="00F86986">
        <w:rPr>
          <w:lang w:val="en-GB"/>
        </w:rPr>
        <w:t>been</w:t>
      </w:r>
      <w:r w:rsidR="00814DB3">
        <w:rPr>
          <w:lang w:val="en-GB"/>
        </w:rPr>
        <w:t xml:space="preserve"> significantly</w:t>
      </w:r>
      <w:r w:rsidR="00F86986">
        <w:rPr>
          <w:lang w:val="en-GB"/>
        </w:rPr>
        <w:t xml:space="preserve"> altered. This means there has been limited flexibility afforded to care recipients which is in contrast to other aged care programs. Finally, the way in which safety and quality </w:t>
      </w:r>
      <w:r w:rsidR="00457D37">
        <w:rPr>
          <w:lang w:val="en-GB"/>
        </w:rPr>
        <w:t>is managed is variable, with service providers assessed either under the Aged Care</w:t>
      </w:r>
      <w:r w:rsidR="006B3042">
        <w:rPr>
          <w:lang w:val="en-GB"/>
        </w:rPr>
        <w:t xml:space="preserve"> Quality Standards or through the National Safety and Quality Health Service Standards. </w:t>
      </w:r>
      <w:r w:rsidR="00811DA7">
        <w:rPr>
          <w:lang w:val="en-GB"/>
        </w:rPr>
        <w:t>The renewed focus on safet</w:t>
      </w:r>
      <w:r w:rsidR="006B3042">
        <w:rPr>
          <w:lang w:val="en-GB"/>
        </w:rPr>
        <w:t xml:space="preserve">y and quality will </w:t>
      </w:r>
      <w:r w:rsidR="00A26F1E">
        <w:rPr>
          <w:lang w:val="en-GB"/>
        </w:rPr>
        <w:t xml:space="preserve">bring </w:t>
      </w:r>
      <w:r w:rsidR="00814DB3">
        <w:rPr>
          <w:lang w:val="en-GB"/>
        </w:rPr>
        <w:t xml:space="preserve">the </w:t>
      </w:r>
      <w:r w:rsidR="00A26F1E">
        <w:rPr>
          <w:lang w:val="en-GB"/>
        </w:rPr>
        <w:t xml:space="preserve">TCP into line with other aged care services, with it being </w:t>
      </w:r>
      <w:r w:rsidR="00811DA7">
        <w:rPr>
          <w:lang w:val="en-GB"/>
        </w:rPr>
        <w:t xml:space="preserve">managed under the new </w:t>
      </w:r>
      <w:r w:rsidR="00EF7F5D" w:rsidRPr="00EF7F5D">
        <w:rPr>
          <w:lang w:val="en-GB"/>
        </w:rPr>
        <w:t>Aged Care Quality Standards</w:t>
      </w:r>
      <w:r w:rsidR="00811DA7">
        <w:rPr>
          <w:lang w:val="en-GB"/>
        </w:rPr>
        <w:t xml:space="preserve">. </w:t>
      </w:r>
    </w:p>
    <w:p w:rsidR="00D500D2" w:rsidRPr="007F1A00" w:rsidRDefault="00811DA7" w:rsidP="002F7C0C">
      <w:pPr>
        <w:pStyle w:val="BodyText1"/>
        <w:rPr>
          <w:lang w:val="en-GB"/>
        </w:rPr>
      </w:pPr>
      <w:r>
        <w:rPr>
          <w:lang w:val="en-GB"/>
        </w:rPr>
        <w:t xml:space="preserve">Given the raft of changes to the aged care sector in recent years, as well as the </w:t>
      </w:r>
      <w:r w:rsidR="003208CD" w:rsidRPr="007F1A00">
        <w:rPr>
          <w:lang w:val="en-GB"/>
        </w:rPr>
        <w:t>broader focus on the quality of services in aged care</w:t>
      </w:r>
      <w:r>
        <w:rPr>
          <w:lang w:val="en-GB"/>
        </w:rPr>
        <w:t xml:space="preserve">, a review of </w:t>
      </w:r>
      <w:r w:rsidR="00814DB3">
        <w:rPr>
          <w:lang w:val="en-GB"/>
        </w:rPr>
        <w:t xml:space="preserve">the </w:t>
      </w:r>
      <w:r>
        <w:rPr>
          <w:lang w:val="en-GB"/>
        </w:rPr>
        <w:t>TCP is timely</w:t>
      </w:r>
      <w:r w:rsidR="003208CD" w:rsidRPr="007F1A00">
        <w:rPr>
          <w:lang w:val="en-GB"/>
        </w:rPr>
        <w:t>.</w:t>
      </w:r>
    </w:p>
    <w:p w:rsidR="00D500D2" w:rsidRPr="007F1A00" w:rsidRDefault="00D500D2" w:rsidP="002F7C0C">
      <w:pPr>
        <w:pStyle w:val="BodyText1"/>
        <w:rPr>
          <w:lang w:val="en-GB"/>
        </w:rPr>
      </w:pPr>
      <w:r w:rsidRPr="007F1A00">
        <w:rPr>
          <w:lang w:val="en-GB"/>
        </w:rPr>
        <w:t xml:space="preserve">The focus of this </w:t>
      </w:r>
      <w:r w:rsidR="00814DB3">
        <w:rPr>
          <w:lang w:val="en-GB"/>
        </w:rPr>
        <w:t>r</w:t>
      </w:r>
      <w:r w:rsidR="00814DB3" w:rsidRPr="007F1A00">
        <w:rPr>
          <w:lang w:val="en-GB"/>
        </w:rPr>
        <w:t xml:space="preserve">eview </w:t>
      </w:r>
      <w:r w:rsidRPr="007F1A00">
        <w:rPr>
          <w:lang w:val="en-GB"/>
        </w:rPr>
        <w:t>was established during the Department of Health</w:t>
      </w:r>
      <w:r w:rsidR="007211BF">
        <w:rPr>
          <w:lang w:val="en-GB"/>
        </w:rPr>
        <w:t>’s</w:t>
      </w:r>
      <w:r w:rsidRPr="007F1A00">
        <w:rPr>
          <w:lang w:val="en-GB"/>
        </w:rPr>
        <w:t xml:space="preserve"> TCP stakeholder engagement </w:t>
      </w:r>
      <w:r w:rsidR="00D62FCE" w:rsidRPr="007F1A00">
        <w:rPr>
          <w:lang w:val="en-GB"/>
        </w:rPr>
        <w:t>meeting</w:t>
      </w:r>
      <w:r w:rsidR="00D62FCE">
        <w:rPr>
          <w:lang w:val="en-GB"/>
        </w:rPr>
        <w:t xml:space="preserve"> held in May 2018 </w:t>
      </w:r>
      <w:r w:rsidRPr="007F1A00">
        <w:rPr>
          <w:lang w:val="en-GB"/>
        </w:rPr>
        <w:t xml:space="preserve">that </w:t>
      </w:r>
      <w:r w:rsidR="00BE1370">
        <w:rPr>
          <w:lang w:val="en-GB"/>
        </w:rPr>
        <w:t xml:space="preserve">considered </w:t>
      </w:r>
      <w:r w:rsidRPr="007F1A00">
        <w:rPr>
          <w:lang w:val="en-GB"/>
        </w:rPr>
        <w:t>the following six themes:</w:t>
      </w:r>
    </w:p>
    <w:p w:rsidR="00D500D2" w:rsidRPr="007F1A00" w:rsidRDefault="00D500D2" w:rsidP="00D500D2">
      <w:pPr>
        <w:pStyle w:val="Bullet1stlevel"/>
        <w:rPr>
          <w:lang w:val="en-GB"/>
        </w:rPr>
      </w:pPr>
      <w:r w:rsidRPr="007F1A00">
        <w:rPr>
          <w:lang w:val="en-GB"/>
        </w:rPr>
        <w:t>TCP Guidelines and Payment Agreements</w:t>
      </w:r>
      <w:r w:rsidR="00814DB3">
        <w:rPr>
          <w:lang w:val="en-GB"/>
        </w:rPr>
        <w:t>;</w:t>
      </w:r>
    </w:p>
    <w:p w:rsidR="00D500D2" w:rsidRPr="007F1A00" w:rsidRDefault="00D500D2" w:rsidP="00D500D2">
      <w:pPr>
        <w:pStyle w:val="Bullet1stlevel"/>
        <w:rPr>
          <w:lang w:val="en-GB"/>
        </w:rPr>
      </w:pPr>
      <w:r w:rsidRPr="007F1A00">
        <w:rPr>
          <w:lang w:val="en-GB"/>
        </w:rPr>
        <w:t>TCP Quality Improvement Framework</w:t>
      </w:r>
      <w:r w:rsidR="00814DB3">
        <w:rPr>
          <w:lang w:val="en-GB"/>
        </w:rPr>
        <w:t>;</w:t>
      </w:r>
    </w:p>
    <w:p w:rsidR="00D500D2" w:rsidRPr="007F1A00" w:rsidRDefault="00D500D2" w:rsidP="00D500D2">
      <w:pPr>
        <w:pStyle w:val="Bullet1stlevel"/>
        <w:rPr>
          <w:lang w:val="en-GB"/>
        </w:rPr>
      </w:pPr>
      <w:r w:rsidRPr="007F1A00">
        <w:rPr>
          <w:lang w:val="en-GB"/>
        </w:rPr>
        <w:t>Rural, Remote and Very Remote TCP Provision</w:t>
      </w:r>
      <w:r w:rsidR="00814DB3">
        <w:rPr>
          <w:lang w:val="en-GB"/>
        </w:rPr>
        <w:t>;</w:t>
      </w:r>
    </w:p>
    <w:p w:rsidR="00D500D2" w:rsidRPr="007F1A00" w:rsidRDefault="00D500D2" w:rsidP="00D500D2">
      <w:pPr>
        <w:pStyle w:val="Bullet1stlevel"/>
        <w:rPr>
          <w:lang w:val="en-GB"/>
        </w:rPr>
      </w:pPr>
      <w:r w:rsidRPr="007F1A00">
        <w:rPr>
          <w:lang w:val="en-GB"/>
        </w:rPr>
        <w:t>Systems Issues</w:t>
      </w:r>
      <w:r w:rsidR="00814DB3">
        <w:rPr>
          <w:lang w:val="en-GB"/>
        </w:rPr>
        <w:t>;</w:t>
      </w:r>
    </w:p>
    <w:p w:rsidR="00D500D2" w:rsidRPr="007F1A00" w:rsidRDefault="00D500D2" w:rsidP="00D500D2">
      <w:pPr>
        <w:pStyle w:val="Bullet1stlevel"/>
        <w:rPr>
          <w:lang w:val="en-GB"/>
        </w:rPr>
      </w:pPr>
      <w:r w:rsidRPr="007F1A00">
        <w:rPr>
          <w:lang w:val="en-GB"/>
        </w:rPr>
        <w:t>Data and Reporting</w:t>
      </w:r>
      <w:r w:rsidR="00814DB3">
        <w:rPr>
          <w:lang w:val="en-GB"/>
        </w:rPr>
        <w:t>;</w:t>
      </w:r>
    </w:p>
    <w:p w:rsidR="00D500D2" w:rsidRPr="007F1A00" w:rsidRDefault="00621A64" w:rsidP="00D500D2">
      <w:pPr>
        <w:pStyle w:val="Bullet1stlevel"/>
        <w:rPr>
          <w:lang w:val="en-GB"/>
        </w:rPr>
      </w:pPr>
      <w:r w:rsidRPr="007F1A00">
        <w:rPr>
          <w:lang w:val="en-GB"/>
        </w:rPr>
        <w:t xml:space="preserve">Modified Barthel Index (MBI) </w:t>
      </w:r>
      <w:r w:rsidR="00D500D2" w:rsidRPr="007F1A00">
        <w:rPr>
          <w:lang w:val="en-GB"/>
        </w:rPr>
        <w:t>scores</w:t>
      </w:r>
      <w:r w:rsidR="00814DB3">
        <w:rPr>
          <w:lang w:val="en-GB"/>
        </w:rPr>
        <w:t>; and</w:t>
      </w:r>
    </w:p>
    <w:p w:rsidR="00E440C1" w:rsidRPr="007F1A00" w:rsidRDefault="00D500D2" w:rsidP="00D500D2">
      <w:pPr>
        <w:pStyle w:val="Bullet1stlevel"/>
        <w:rPr>
          <w:lang w:val="en-GB"/>
        </w:rPr>
      </w:pPr>
      <w:r w:rsidRPr="007F1A00">
        <w:rPr>
          <w:lang w:val="en-GB"/>
        </w:rPr>
        <w:t>Other issues.</w:t>
      </w:r>
      <w:r w:rsidRPr="007F1A00">
        <w:rPr>
          <w:rStyle w:val="FootnoteReference"/>
          <w:lang w:val="en-GB"/>
        </w:rPr>
        <w:footnoteReference w:id="2"/>
      </w:r>
    </w:p>
    <w:p w:rsidR="00D500D2" w:rsidRPr="007F1A00" w:rsidRDefault="00D500D2" w:rsidP="002F7C0C">
      <w:pPr>
        <w:pStyle w:val="BodyText1"/>
        <w:rPr>
          <w:lang w:val="en-GB"/>
        </w:rPr>
      </w:pPr>
      <w:r w:rsidRPr="007F1A00">
        <w:rPr>
          <w:lang w:val="en-GB"/>
        </w:rPr>
        <w:t>Outcomes from the workshop contributed to info</w:t>
      </w:r>
      <w:r w:rsidR="00516DB6" w:rsidRPr="007F1A00">
        <w:rPr>
          <w:lang w:val="en-GB"/>
        </w:rPr>
        <w:t>rming the requirements of th</w:t>
      </w:r>
      <w:r w:rsidR="002A7CC3">
        <w:rPr>
          <w:lang w:val="en-GB"/>
        </w:rPr>
        <w:t>e</w:t>
      </w:r>
      <w:r w:rsidR="00516DB6" w:rsidRPr="007F1A00">
        <w:rPr>
          <w:lang w:val="en-GB"/>
        </w:rPr>
        <w:t xml:space="preserve"> </w:t>
      </w:r>
      <w:r w:rsidR="002A7CC3">
        <w:rPr>
          <w:lang w:val="en-GB"/>
        </w:rPr>
        <w:t>r</w:t>
      </w:r>
      <w:r w:rsidRPr="007F1A00">
        <w:rPr>
          <w:lang w:val="en-GB"/>
        </w:rPr>
        <w:t xml:space="preserve">eview. </w:t>
      </w:r>
      <w:r w:rsidR="00C75352" w:rsidRPr="007F1A00">
        <w:rPr>
          <w:lang w:val="en-GB"/>
        </w:rPr>
        <w:t xml:space="preserve">The overarching objective for the </w:t>
      </w:r>
      <w:r w:rsidR="002A7CC3">
        <w:rPr>
          <w:lang w:val="en-GB"/>
        </w:rPr>
        <w:t>r</w:t>
      </w:r>
      <w:r w:rsidR="002A7CC3" w:rsidRPr="007F1A00">
        <w:rPr>
          <w:lang w:val="en-GB"/>
        </w:rPr>
        <w:t xml:space="preserve">eview </w:t>
      </w:r>
      <w:r w:rsidR="00C75352" w:rsidRPr="007F1A00">
        <w:rPr>
          <w:lang w:val="en-GB"/>
        </w:rPr>
        <w:t xml:space="preserve">was to examine changes which can enhance the operation of the TCP for consumers. </w:t>
      </w:r>
      <w:r w:rsidR="007211BF">
        <w:rPr>
          <w:lang w:val="en-GB"/>
        </w:rPr>
        <w:t xml:space="preserve">It </w:t>
      </w:r>
      <w:r w:rsidR="00D57504">
        <w:rPr>
          <w:lang w:val="en-GB"/>
        </w:rPr>
        <w:t xml:space="preserve">was </w:t>
      </w:r>
      <w:r w:rsidR="007211BF">
        <w:rPr>
          <w:lang w:val="en-GB"/>
        </w:rPr>
        <w:t>also anticipated that a number of pain points for providers and funders w</w:t>
      </w:r>
      <w:r w:rsidR="00D57504">
        <w:rPr>
          <w:lang w:val="en-GB"/>
        </w:rPr>
        <w:t xml:space="preserve">ould </w:t>
      </w:r>
      <w:r w:rsidR="007211BF">
        <w:rPr>
          <w:lang w:val="en-GB"/>
        </w:rPr>
        <w:t>also be addressed as a result of th</w:t>
      </w:r>
      <w:r w:rsidR="00D57504">
        <w:rPr>
          <w:lang w:val="en-GB"/>
        </w:rPr>
        <w:t xml:space="preserve">e </w:t>
      </w:r>
      <w:r w:rsidR="007211BF">
        <w:rPr>
          <w:lang w:val="en-GB"/>
        </w:rPr>
        <w:t xml:space="preserve">review, </w:t>
      </w:r>
      <w:r w:rsidR="00D57504">
        <w:rPr>
          <w:lang w:val="en-GB"/>
        </w:rPr>
        <w:t xml:space="preserve">which may assist in </w:t>
      </w:r>
      <w:r w:rsidR="007211BF">
        <w:rPr>
          <w:lang w:val="en-GB"/>
        </w:rPr>
        <w:t>improving the overall efficiency of the Programme.</w:t>
      </w:r>
    </w:p>
    <w:p w:rsidR="000B1D40" w:rsidRPr="007F1A00" w:rsidRDefault="000B1D40" w:rsidP="0082673A">
      <w:pPr>
        <w:pStyle w:val="Heading2"/>
        <w:rPr>
          <w:lang w:val="en-GB"/>
        </w:rPr>
      </w:pPr>
      <w:bookmarkStart w:id="5" w:name="_Toc5270592"/>
      <w:r w:rsidRPr="007F1A00">
        <w:rPr>
          <w:lang w:val="en-GB"/>
        </w:rPr>
        <w:t>Project scope and method</w:t>
      </w:r>
      <w:bookmarkEnd w:id="5"/>
    </w:p>
    <w:p w:rsidR="00C75352" w:rsidRPr="007F1A00" w:rsidRDefault="00C75352" w:rsidP="00C75352">
      <w:pPr>
        <w:pStyle w:val="Heading3"/>
        <w:rPr>
          <w:lang w:val="en-GB"/>
        </w:rPr>
      </w:pPr>
      <w:r w:rsidRPr="007F1A00">
        <w:rPr>
          <w:lang w:val="en-GB"/>
        </w:rPr>
        <w:t>Scope</w:t>
      </w:r>
    </w:p>
    <w:p w:rsidR="000B1D40" w:rsidRPr="007F1A00" w:rsidRDefault="00C75352" w:rsidP="0082673A">
      <w:pPr>
        <w:pStyle w:val="BodyText1"/>
        <w:rPr>
          <w:lang w:val="en-GB"/>
        </w:rPr>
      </w:pPr>
      <w:r w:rsidRPr="007F1A00">
        <w:rPr>
          <w:lang w:val="en-GB"/>
        </w:rPr>
        <w:t xml:space="preserve">The </w:t>
      </w:r>
      <w:r w:rsidR="002A7CC3">
        <w:rPr>
          <w:lang w:val="en-GB"/>
        </w:rPr>
        <w:t>r</w:t>
      </w:r>
      <w:r w:rsidR="002A7CC3" w:rsidRPr="007F1A00">
        <w:rPr>
          <w:lang w:val="en-GB"/>
        </w:rPr>
        <w:t xml:space="preserve">eview </w:t>
      </w:r>
      <w:r w:rsidRPr="007F1A00">
        <w:rPr>
          <w:lang w:val="en-GB"/>
        </w:rPr>
        <w:t>focussed</w:t>
      </w:r>
      <w:r w:rsidR="000B1D40" w:rsidRPr="007F1A00">
        <w:rPr>
          <w:lang w:val="en-GB"/>
        </w:rPr>
        <w:t xml:space="preserve"> on </w:t>
      </w:r>
      <w:r w:rsidR="00A52C03">
        <w:rPr>
          <w:lang w:val="en-GB"/>
        </w:rPr>
        <w:t xml:space="preserve">improving </w:t>
      </w:r>
      <w:r w:rsidR="000B1D40" w:rsidRPr="007F1A00">
        <w:rPr>
          <w:lang w:val="en-GB"/>
        </w:rPr>
        <w:t xml:space="preserve">the administrative, operational and data collection components to enhance the TCP for consumers. The </w:t>
      </w:r>
      <w:r w:rsidR="002A7CC3">
        <w:rPr>
          <w:lang w:val="en-GB"/>
        </w:rPr>
        <w:t>r</w:t>
      </w:r>
      <w:r w:rsidR="000B1D40" w:rsidRPr="007F1A00">
        <w:rPr>
          <w:lang w:val="en-GB"/>
        </w:rPr>
        <w:t>eview:</w:t>
      </w:r>
    </w:p>
    <w:p w:rsidR="000B1D40" w:rsidRPr="007F1A00" w:rsidRDefault="000B1D40" w:rsidP="0082673A">
      <w:pPr>
        <w:pStyle w:val="Bullet1stlevel"/>
        <w:rPr>
          <w:lang w:val="en-GB"/>
        </w:rPr>
      </w:pPr>
      <w:r w:rsidRPr="007F1A00">
        <w:rPr>
          <w:lang w:val="en-GB"/>
        </w:rPr>
        <w:t>Examine</w:t>
      </w:r>
      <w:r w:rsidR="00D500D2" w:rsidRPr="007F1A00">
        <w:rPr>
          <w:lang w:val="en-GB"/>
        </w:rPr>
        <w:t>d</w:t>
      </w:r>
      <w:r w:rsidRPr="007F1A00">
        <w:rPr>
          <w:lang w:val="en-GB"/>
        </w:rPr>
        <w:t xml:space="preserve"> the ongoing effectiveness, appropriateness and efficiency of the delivery and management of the TCP to enhance the consumer experience</w:t>
      </w:r>
      <w:r w:rsidR="002A7CC3">
        <w:rPr>
          <w:lang w:val="en-GB"/>
        </w:rPr>
        <w:t xml:space="preserve">; </w:t>
      </w:r>
    </w:p>
    <w:p w:rsidR="000B1D40" w:rsidRPr="007F1A00" w:rsidRDefault="00D500D2" w:rsidP="0082673A">
      <w:pPr>
        <w:pStyle w:val="Bullet1stlevel"/>
        <w:rPr>
          <w:lang w:val="en-GB"/>
        </w:rPr>
      </w:pPr>
      <w:r w:rsidRPr="007F1A00">
        <w:rPr>
          <w:lang w:val="en-GB"/>
        </w:rPr>
        <w:t>Identified</w:t>
      </w:r>
      <w:r w:rsidR="000B1D40" w:rsidRPr="007F1A00">
        <w:rPr>
          <w:lang w:val="en-GB"/>
        </w:rPr>
        <w:t xml:space="preserve"> and develop</w:t>
      </w:r>
      <w:r w:rsidRPr="007F1A00">
        <w:rPr>
          <w:lang w:val="en-GB"/>
        </w:rPr>
        <w:t>ed</w:t>
      </w:r>
      <w:r w:rsidR="000B1D40" w:rsidRPr="007F1A00">
        <w:rPr>
          <w:lang w:val="en-GB"/>
        </w:rPr>
        <w:t xml:space="preserve"> options for improvements to the TCP to address the administrative and operational issues</w:t>
      </w:r>
      <w:r w:rsidR="00D05FEF" w:rsidRPr="007F1A00">
        <w:rPr>
          <w:lang w:val="en-GB"/>
        </w:rPr>
        <w:t xml:space="preserve"> </w:t>
      </w:r>
      <w:r w:rsidR="00D536B6">
        <w:rPr>
          <w:lang w:val="en-GB"/>
        </w:rPr>
        <w:t>identified</w:t>
      </w:r>
      <w:r w:rsidR="002A7CC3">
        <w:rPr>
          <w:lang w:val="en-GB"/>
        </w:rPr>
        <w:t xml:space="preserve">; </w:t>
      </w:r>
    </w:p>
    <w:p w:rsidR="000B1D40" w:rsidRPr="007F1A00" w:rsidRDefault="000B1D40" w:rsidP="0082673A">
      <w:pPr>
        <w:pStyle w:val="Bullet1stlevel"/>
        <w:rPr>
          <w:lang w:val="en-GB"/>
        </w:rPr>
      </w:pPr>
      <w:r w:rsidRPr="007F1A00">
        <w:rPr>
          <w:lang w:val="en-GB"/>
        </w:rPr>
        <w:t>Examine</w:t>
      </w:r>
      <w:r w:rsidR="00D500D2" w:rsidRPr="007F1A00">
        <w:rPr>
          <w:lang w:val="en-GB"/>
        </w:rPr>
        <w:t>d</w:t>
      </w:r>
      <w:r w:rsidRPr="007F1A00">
        <w:rPr>
          <w:lang w:val="en-GB"/>
        </w:rPr>
        <w:t xml:space="preserve"> the effectiveness of the TCP Guidelines, and their application by State and Territories</w:t>
      </w:r>
      <w:r w:rsidR="002A7CC3">
        <w:rPr>
          <w:lang w:val="en-GB"/>
        </w:rPr>
        <w:t>;</w:t>
      </w:r>
    </w:p>
    <w:p w:rsidR="000B1D40" w:rsidRPr="007F1A00" w:rsidRDefault="000B1D40" w:rsidP="0082673A">
      <w:pPr>
        <w:pStyle w:val="Bullet1stlevel"/>
        <w:rPr>
          <w:lang w:val="en-GB"/>
        </w:rPr>
      </w:pPr>
      <w:r w:rsidRPr="007F1A00">
        <w:rPr>
          <w:lang w:val="en-GB"/>
        </w:rPr>
        <w:t>Examine</w:t>
      </w:r>
      <w:r w:rsidR="00D500D2" w:rsidRPr="007F1A00">
        <w:rPr>
          <w:lang w:val="en-GB"/>
        </w:rPr>
        <w:t>d</w:t>
      </w:r>
      <w:r w:rsidRPr="007F1A00">
        <w:rPr>
          <w:lang w:val="en-GB"/>
        </w:rPr>
        <w:t xml:space="preserve"> expanding key performance indicators for </w:t>
      </w:r>
      <w:r w:rsidR="00A31899" w:rsidRPr="007F1A00">
        <w:rPr>
          <w:lang w:val="en-GB"/>
        </w:rPr>
        <w:t>care recipient</w:t>
      </w:r>
      <w:r w:rsidRPr="007F1A00">
        <w:rPr>
          <w:lang w:val="en-GB"/>
        </w:rPr>
        <w:t xml:space="preserve"> outcomes beyond </w:t>
      </w:r>
      <w:r w:rsidR="00992381" w:rsidRPr="007F1A00">
        <w:rPr>
          <w:lang w:val="en-GB"/>
        </w:rPr>
        <w:t xml:space="preserve">the </w:t>
      </w:r>
      <w:r w:rsidR="00A80D44" w:rsidRPr="007F1A00">
        <w:rPr>
          <w:lang w:val="en-GB"/>
        </w:rPr>
        <w:t xml:space="preserve">MBI </w:t>
      </w:r>
      <w:r w:rsidRPr="007F1A00">
        <w:rPr>
          <w:lang w:val="en-GB"/>
        </w:rPr>
        <w:t>by including primary diagnoses, secondary diagnosis, and any other relevant indicator</w:t>
      </w:r>
      <w:r w:rsidR="002A7CC3">
        <w:rPr>
          <w:lang w:val="en-GB"/>
        </w:rPr>
        <w:t xml:space="preserve">; </w:t>
      </w:r>
    </w:p>
    <w:p w:rsidR="000B1D40" w:rsidRPr="007F1A00" w:rsidRDefault="000B1D40" w:rsidP="0082673A">
      <w:pPr>
        <w:pStyle w:val="Bullet1stlevel"/>
        <w:rPr>
          <w:lang w:val="en-GB"/>
        </w:rPr>
      </w:pPr>
      <w:r w:rsidRPr="007F1A00">
        <w:rPr>
          <w:lang w:val="en-GB"/>
        </w:rPr>
        <w:t>Examine</w:t>
      </w:r>
      <w:r w:rsidR="00D500D2" w:rsidRPr="007F1A00">
        <w:rPr>
          <w:lang w:val="en-GB"/>
        </w:rPr>
        <w:t>d</w:t>
      </w:r>
      <w:r w:rsidRPr="007F1A00">
        <w:rPr>
          <w:lang w:val="en-GB"/>
        </w:rPr>
        <w:t xml:space="preserve"> the appropriate point for someone to enter transition care after a hospital admission</w:t>
      </w:r>
      <w:r w:rsidR="002A7CC3">
        <w:rPr>
          <w:lang w:val="en-GB"/>
        </w:rPr>
        <w:t>;</w:t>
      </w:r>
    </w:p>
    <w:p w:rsidR="000B1D40" w:rsidRPr="007F1A00" w:rsidRDefault="000B1D40" w:rsidP="0082673A">
      <w:pPr>
        <w:pStyle w:val="Bullet1stlevel"/>
        <w:rPr>
          <w:lang w:val="en-GB"/>
        </w:rPr>
      </w:pPr>
      <w:r w:rsidRPr="007F1A00">
        <w:rPr>
          <w:lang w:val="en-GB"/>
        </w:rPr>
        <w:t>Examine</w:t>
      </w:r>
      <w:r w:rsidR="00D500D2" w:rsidRPr="007F1A00">
        <w:rPr>
          <w:lang w:val="en-GB"/>
        </w:rPr>
        <w:t>d</w:t>
      </w:r>
      <w:r w:rsidRPr="007F1A00">
        <w:rPr>
          <w:lang w:val="en-GB"/>
        </w:rPr>
        <w:t xml:space="preserve"> the ideal length of time for someone to be in transition care</w:t>
      </w:r>
      <w:r w:rsidR="002A7CC3">
        <w:rPr>
          <w:lang w:val="en-GB"/>
        </w:rPr>
        <w:t xml:space="preserve">; </w:t>
      </w:r>
    </w:p>
    <w:p w:rsidR="000B1D40" w:rsidRPr="007F1A00" w:rsidRDefault="00D500D2" w:rsidP="0082673A">
      <w:pPr>
        <w:pStyle w:val="Bullet1stlevel"/>
        <w:rPr>
          <w:lang w:val="en-GB"/>
        </w:rPr>
      </w:pPr>
      <w:r w:rsidRPr="007F1A00">
        <w:rPr>
          <w:lang w:val="en-GB"/>
        </w:rPr>
        <w:t>Mapped services</w:t>
      </w:r>
      <w:r w:rsidR="000B1D40" w:rsidRPr="007F1A00">
        <w:rPr>
          <w:lang w:val="en-GB"/>
        </w:rPr>
        <w:t xml:space="preserve"> of the TCP</w:t>
      </w:r>
      <w:r w:rsidR="002A7CC3">
        <w:rPr>
          <w:lang w:val="en-GB"/>
        </w:rPr>
        <w:t xml:space="preserve">; and </w:t>
      </w:r>
    </w:p>
    <w:p w:rsidR="000B1D40" w:rsidRPr="007F1A00" w:rsidRDefault="000B1D40" w:rsidP="0082673A">
      <w:pPr>
        <w:pStyle w:val="Bullet1stlevel"/>
        <w:rPr>
          <w:lang w:val="en-GB"/>
        </w:rPr>
      </w:pPr>
      <w:r w:rsidRPr="007F1A00">
        <w:rPr>
          <w:lang w:val="en-GB"/>
        </w:rPr>
        <w:t>Examine</w:t>
      </w:r>
      <w:r w:rsidR="00D500D2" w:rsidRPr="007F1A00">
        <w:rPr>
          <w:lang w:val="en-GB"/>
        </w:rPr>
        <w:t>d</w:t>
      </w:r>
      <w:r w:rsidRPr="007F1A00">
        <w:rPr>
          <w:lang w:val="en-GB"/>
        </w:rPr>
        <w:t xml:space="preserve"> how Commonwealth and State and Territory funding is being spent</w:t>
      </w:r>
      <w:r w:rsidR="00D500D2" w:rsidRPr="007F1A00">
        <w:rPr>
          <w:lang w:val="en-GB"/>
        </w:rPr>
        <w:t>.</w:t>
      </w:r>
    </w:p>
    <w:p w:rsidR="000B1D40" w:rsidRPr="007F1A00" w:rsidRDefault="000B1D40" w:rsidP="000B1D40">
      <w:pPr>
        <w:pStyle w:val="BodyText1"/>
        <w:rPr>
          <w:lang w:val="en-GB"/>
        </w:rPr>
      </w:pPr>
      <w:r w:rsidRPr="007F1A00">
        <w:rPr>
          <w:lang w:val="en-GB"/>
        </w:rPr>
        <w:t xml:space="preserve">The interaction with </w:t>
      </w:r>
      <w:r w:rsidR="00D500D2" w:rsidRPr="007F1A00">
        <w:rPr>
          <w:lang w:val="en-GB"/>
        </w:rPr>
        <w:t xml:space="preserve">the </w:t>
      </w:r>
      <w:r w:rsidRPr="007F1A00">
        <w:rPr>
          <w:lang w:val="en-GB"/>
        </w:rPr>
        <w:t>Short</w:t>
      </w:r>
      <w:r w:rsidR="00855CFF" w:rsidRPr="007F1A00">
        <w:rPr>
          <w:lang w:val="en-GB"/>
        </w:rPr>
        <w:t xml:space="preserve"> </w:t>
      </w:r>
      <w:r w:rsidRPr="007F1A00">
        <w:rPr>
          <w:lang w:val="en-GB"/>
        </w:rPr>
        <w:t>Term Restorative Care</w:t>
      </w:r>
      <w:r w:rsidR="00855CFF" w:rsidRPr="007F1A00">
        <w:rPr>
          <w:lang w:val="en-GB"/>
        </w:rPr>
        <w:t xml:space="preserve"> (STRC)</w:t>
      </w:r>
      <w:r w:rsidR="00D500D2" w:rsidRPr="007F1A00">
        <w:rPr>
          <w:lang w:val="en-GB"/>
        </w:rPr>
        <w:t xml:space="preserve"> program</w:t>
      </w:r>
      <w:r w:rsidRPr="007F1A00">
        <w:rPr>
          <w:lang w:val="en-GB"/>
        </w:rPr>
        <w:t>, the level of Commonwealth funding, and the number of TCP pla</w:t>
      </w:r>
      <w:r w:rsidR="00D500D2" w:rsidRPr="007F1A00">
        <w:rPr>
          <w:lang w:val="en-GB"/>
        </w:rPr>
        <w:t>ces funded by the Commonwealth we</w:t>
      </w:r>
      <w:r w:rsidRPr="007F1A00">
        <w:rPr>
          <w:lang w:val="en-GB"/>
        </w:rPr>
        <w:t xml:space="preserve">re </w:t>
      </w:r>
      <w:r w:rsidR="00E2476C" w:rsidRPr="007F1A00">
        <w:rPr>
          <w:lang w:val="en-GB"/>
        </w:rPr>
        <w:t xml:space="preserve">out of scope of the </w:t>
      </w:r>
      <w:r w:rsidR="002A7CC3">
        <w:rPr>
          <w:lang w:val="en-GB"/>
        </w:rPr>
        <w:t>r</w:t>
      </w:r>
      <w:r w:rsidR="002A7CC3" w:rsidRPr="007F1A00">
        <w:rPr>
          <w:lang w:val="en-GB"/>
        </w:rPr>
        <w:t>eview</w:t>
      </w:r>
      <w:r w:rsidRPr="007F1A00">
        <w:rPr>
          <w:lang w:val="en-GB"/>
        </w:rPr>
        <w:t xml:space="preserve">. </w:t>
      </w:r>
    </w:p>
    <w:p w:rsidR="00C75352" w:rsidRPr="007F1A00" w:rsidRDefault="00C75352" w:rsidP="00C75352">
      <w:pPr>
        <w:pStyle w:val="Heading3"/>
        <w:rPr>
          <w:lang w:val="en-GB"/>
        </w:rPr>
      </w:pPr>
      <w:r w:rsidRPr="007F1A00">
        <w:rPr>
          <w:lang w:val="en-GB"/>
        </w:rPr>
        <w:t>Method</w:t>
      </w:r>
    </w:p>
    <w:p w:rsidR="00F6580E" w:rsidRPr="007F1A00" w:rsidRDefault="00F6580E" w:rsidP="002F7C0C">
      <w:pPr>
        <w:pStyle w:val="BodyText1"/>
        <w:rPr>
          <w:lang w:val="en-GB"/>
        </w:rPr>
      </w:pPr>
      <w:r w:rsidRPr="007F1A00">
        <w:rPr>
          <w:lang w:val="en-GB"/>
        </w:rPr>
        <w:t xml:space="preserve">Our approach </w:t>
      </w:r>
      <w:r w:rsidR="002A7CC3">
        <w:rPr>
          <w:lang w:val="en-GB"/>
        </w:rPr>
        <w:t>drew on a</w:t>
      </w:r>
      <w:r w:rsidRPr="007F1A00">
        <w:rPr>
          <w:lang w:val="en-GB"/>
        </w:rPr>
        <w:t xml:space="preserve"> range of qualitative and quantitative evidence drawn from consultation with a broad range of stakeholders and data extracted from </w:t>
      </w:r>
      <w:r w:rsidR="00DB0EE5">
        <w:rPr>
          <w:lang w:val="en-GB"/>
        </w:rPr>
        <w:t>Department</w:t>
      </w:r>
      <w:r w:rsidRPr="007F1A00">
        <w:rPr>
          <w:lang w:val="en-GB"/>
        </w:rPr>
        <w:t xml:space="preserve"> records and the GEN Aged Care Data </w:t>
      </w:r>
      <w:r w:rsidR="00EF7F5D">
        <w:rPr>
          <w:lang w:val="en-GB"/>
        </w:rPr>
        <w:t>Clearing</w:t>
      </w:r>
      <w:r w:rsidRPr="007F1A00">
        <w:rPr>
          <w:lang w:val="en-GB"/>
        </w:rPr>
        <w:t xml:space="preserve">house. </w:t>
      </w:r>
    </w:p>
    <w:p w:rsidR="00F6580E" w:rsidRPr="007F1A00" w:rsidRDefault="00F6580E" w:rsidP="002F7C0C">
      <w:pPr>
        <w:pStyle w:val="BodyText1"/>
        <w:rPr>
          <w:lang w:val="en-GB"/>
        </w:rPr>
      </w:pPr>
      <w:r w:rsidRPr="007F1A00">
        <w:rPr>
          <w:lang w:val="en-GB"/>
        </w:rPr>
        <w:t>Consultations were conducted in person and by teleconference. Stakeholders consulted included:</w:t>
      </w:r>
    </w:p>
    <w:p w:rsidR="00C31B66" w:rsidRPr="007F1A00" w:rsidRDefault="00C31B66" w:rsidP="00D536B6">
      <w:pPr>
        <w:pStyle w:val="Bullet1stlevel"/>
        <w:rPr>
          <w:lang w:val="en-GB"/>
        </w:rPr>
      </w:pPr>
      <w:r w:rsidRPr="007F1A00">
        <w:rPr>
          <w:lang w:val="en-GB"/>
        </w:rPr>
        <w:t>The</w:t>
      </w:r>
      <w:r w:rsidR="00E2476C" w:rsidRPr="007F1A00">
        <w:rPr>
          <w:lang w:val="en-GB"/>
        </w:rPr>
        <w:t xml:space="preserve"> </w:t>
      </w:r>
      <w:r w:rsidR="00DB0EE5">
        <w:rPr>
          <w:lang w:val="en-GB"/>
        </w:rPr>
        <w:t>Department</w:t>
      </w:r>
      <w:r w:rsidR="002A7CC3">
        <w:rPr>
          <w:lang w:val="en-GB"/>
        </w:rPr>
        <w:t xml:space="preserve">; </w:t>
      </w:r>
    </w:p>
    <w:p w:rsidR="00776AB2" w:rsidRPr="007F1A00" w:rsidRDefault="00C31B66" w:rsidP="00D536B6">
      <w:pPr>
        <w:pStyle w:val="Bullet1stlevel"/>
        <w:rPr>
          <w:lang w:val="en-GB"/>
        </w:rPr>
      </w:pPr>
      <w:r w:rsidRPr="007F1A00">
        <w:rPr>
          <w:lang w:val="en-GB"/>
        </w:rPr>
        <w:t xml:space="preserve">All </w:t>
      </w:r>
      <w:r w:rsidR="002812BA" w:rsidRPr="007F1A00">
        <w:rPr>
          <w:lang w:val="en-GB"/>
        </w:rPr>
        <w:t>State</w:t>
      </w:r>
      <w:r w:rsidRPr="007F1A00">
        <w:rPr>
          <w:lang w:val="en-GB"/>
        </w:rPr>
        <w:t xml:space="preserve"> and </w:t>
      </w:r>
      <w:r w:rsidR="006D0B5B" w:rsidRPr="007F1A00">
        <w:rPr>
          <w:lang w:val="en-GB"/>
        </w:rPr>
        <w:t>Territory</w:t>
      </w:r>
      <w:r w:rsidRPr="007F1A00">
        <w:rPr>
          <w:lang w:val="en-GB"/>
        </w:rPr>
        <w:t xml:space="preserve"> government departments responsible for the operation of </w:t>
      </w:r>
      <w:r w:rsidR="002A7CC3">
        <w:rPr>
          <w:lang w:val="en-GB"/>
        </w:rPr>
        <w:t xml:space="preserve">the </w:t>
      </w:r>
      <w:r w:rsidRPr="007F1A00">
        <w:rPr>
          <w:lang w:val="en-GB"/>
        </w:rPr>
        <w:t>TCP</w:t>
      </w:r>
      <w:r w:rsidR="002A7CC3">
        <w:rPr>
          <w:lang w:val="en-GB"/>
        </w:rPr>
        <w:t>;</w:t>
      </w:r>
    </w:p>
    <w:p w:rsidR="00C31B66" w:rsidRPr="007F1A00" w:rsidRDefault="002812BA" w:rsidP="00D536B6">
      <w:pPr>
        <w:pStyle w:val="Bullet1stlevel"/>
        <w:rPr>
          <w:lang w:val="en-GB"/>
        </w:rPr>
      </w:pPr>
      <w:r w:rsidRPr="007F1A00">
        <w:rPr>
          <w:lang w:val="en-GB"/>
        </w:rPr>
        <w:t>State</w:t>
      </w:r>
      <w:r w:rsidR="00C31B66" w:rsidRPr="007F1A00">
        <w:rPr>
          <w:lang w:val="en-GB"/>
        </w:rPr>
        <w:t xml:space="preserve"> and </w:t>
      </w:r>
      <w:r w:rsidR="006D0B5B" w:rsidRPr="007F1A00">
        <w:rPr>
          <w:lang w:val="en-GB"/>
        </w:rPr>
        <w:t>Territory</w:t>
      </w:r>
      <w:r w:rsidR="00C31B66" w:rsidRPr="007F1A00">
        <w:rPr>
          <w:lang w:val="en-GB"/>
        </w:rPr>
        <w:t xml:space="preserve"> Aged Care Assessment Teams (ACATs)/Aged Care Assessment Service (ACAS)</w:t>
      </w:r>
      <w:r w:rsidR="00EE0CF0" w:rsidRPr="007F1A00">
        <w:rPr>
          <w:lang w:val="en-GB"/>
        </w:rPr>
        <w:t>/Aged Care Assessment Program (ACAP)</w:t>
      </w:r>
      <w:r w:rsidR="002A7CC3">
        <w:rPr>
          <w:lang w:val="en-GB"/>
        </w:rPr>
        <w:t xml:space="preserve">; </w:t>
      </w:r>
    </w:p>
    <w:p w:rsidR="00C31B66" w:rsidRPr="007F1A00" w:rsidRDefault="00C31B66" w:rsidP="00D536B6">
      <w:pPr>
        <w:pStyle w:val="Bullet1stlevel"/>
        <w:rPr>
          <w:lang w:val="en-GB"/>
        </w:rPr>
      </w:pPr>
      <w:r w:rsidRPr="007F1A00">
        <w:rPr>
          <w:lang w:val="en-GB"/>
        </w:rPr>
        <w:t>Australian Aged Care Quality Agency</w:t>
      </w:r>
      <w:r w:rsidR="00283FAF" w:rsidRPr="007F1A00">
        <w:rPr>
          <w:lang w:val="en-GB"/>
        </w:rPr>
        <w:t xml:space="preserve"> (now the Aged Care Quality and Safety Commission)</w:t>
      </w:r>
      <w:r w:rsidR="002A7CC3">
        <w:rPr>
          <w:lang w:val="en-GB"/>
        </w:rPr>
        <w:t>;</w:t>
      </w:r>
    </w:p>
    <w:p w:rsidR="00C31B66" w:rsidRPr="007F1A00" w:rsidRDefault="00C31B66" w:rsidP="00D536B6">
      <w:pPr>
        <w:pStyle w:val="Bullet1stlevel"/>
        <w:rPr>
          <w:lang w:val="en-GB"/>
        </w:rPr>
      </w:pPr>
      <w:r w:rsidRPr="007F1A00">
        <w:rPr>
          <w:lang w:val="en-GB"/>
        </w:rPr>
        <w:t>Aged Care Complaints Commission</w:t>
      </w:r>
      <w:r w:rsidR="00283FAF" w:rsidRPr="007F1A00">
        <w:rPr>
          <w:lang w:val="en-GB"/>
        </w:rPr>
        <w:t xml:space="preserve"> (now the Aged Care Quality and Safety Commission)</w:t>
      </w:r>
      <w:r w:rsidR="002A7CC3">
        <w:rPr>
          <w:lang w:val="en-GB"/>
        </w:rPr>
        <w:t>;</w:t>
      </w:r>
    </w:p>
    <w:p w:rsidR="00C31B66" w:rsidRPr="007F1A00" w:rsidRDefault="00C31B66" w:rsidP="00D536B6">
      <w:pPr>
        <w:pStyle w:val="Bullet1stlevel"/>
        <w:rPr>
          <w:lang w:val="en-GB"/>
        </w:rPr>
      </w:pPr>
      <w:r w:rsidRPr="007F1A00">
        <w:rPr>
          <w:lang w:val="en-GB"/>
        </w:rPr>
        <w:t>A selection of peak bodies and advocacy groups (Council of the Ageing, Dementia Australia, Federation of Ethnic Communities Councils of Australia</w:t>
      </w:r>
      <w:r w:rsidR="00EA77A6" w:rsidRPr="007F1A00">
        <w:rPr>
          <w:lang w:val="en-GB"/>
        </w:rPr>
        <w:t xml:space="preserve"> (FECCA)</w:t>
      </w:r>
      <w:r w:rsidRPr="007F1A00">
        <w:rPr>
          <w:lang w:val="en-GB"/>
        </w:rPr>
        <w:t>, and Australian and New Zealand Society for Geriatric Medicine</w:t>
      </w:r>
      <w:r w:rsidR="00B3486E" w:rsidRPr="007F1A00">
        <w:rPr>
          <w:lang w:val="en-GB"/>
        </w:rPr>
        <w:t xml:space="preserve"> (ANZSGM</w:t>
      </w:r>
      <w:r w:rsidRPr="007F1A00">
        <w:rPr>
          <w:lang w:val="en-GB"/>
        </w:rPr>
        <w:t>)</w:t>
      </w:r>
      <w:r w:rsidR="002A7CC3">
        <w:rPr>
          <w:lang w:val="en-GB"/>
        </w:rPr>
        <w:t xml:space="preserve">; </w:t>
      </w:r>
    </w:p>
    <w:p w:rsidR="00C31B66" w:rsidRPr="007F1A00" w:rsidRDefault="00C31B66" w:rsidP="00D536B6">
      <w:pPr>
        <w:pStyle w:val="Bullet1stlevel"/>
        <w:rPr>
          <w:lang w:val="en-GB"/>
        </w:rPr>
      </w:pPr>
      <w:r w:rsidRPr="007F1A00">
        <w:rPr>
          <w:lang w:val="en-GB"/>
        </w:rPr>
        <w:t xml:space="preserve">Hospital staff from </w:t>
      </w:r>
      <w:r w:rsidR="007211BF">
        <w:rPr>
          <w:lang w:val="en-GB"/>
        </w:rPr>
        <w:t>States and Territories</w:t>
      </w:r>
      <w:r w:rsidR="002A7CC3">
        <w:rPr>
          <w:lang w:val="en-GB"/>
        </w:rPr>
        <w:t>; and</w:t>
      </w:r>
    </w:p>
    <w:p w:rsidR="00C31B66" w:rsidRPr="007F1A00" w:rsidRDefault="00C31B66" w:rsidP="00D536B6">
      <w:pPr>
        <w:pStyle w:val="Bullet1stlevel"/>
        <w:rPr>
          <w:lang w:val="en-GB"/>
        </w:rPr>
      </w:pPr>
      <w:r w:rsidRPr="007F1A00">
        <w:rPr>
          <w:lang w:val="en-GB"/>
        </w:rPr>
        <w:t xml:space="preserve">TCP care recipients/carers from </w:t>
      </w:r>
      <w:r w:rsidR="007211BF">
        <w:rPr>
          <w:lang w:val="en-GB"/>
        </w:rPr>
        <w:t>States and Territories</w:t>
      </w:r>
      <w:r w:rsidRPr="007F1A00">
        <w:rPr>
          <w:lang w:val="en-GB"/>
        </w:rPr>
        <w:t>.</w:t>
      </w:r>
    </w:p>
    <w:p w:rsidR="00F6580E" w:rsidRPr="007F1A00" w:rsidRDefault="00F6580E" w:rsidP="00F6580E">
      <w:pPr>
        <w:rPr>
          <w:lang w:val="en-GB"/>
        </w:rPr>
      </w:pPr>
      <w:r w:rsidRPr="007F1A00">
        <w:rPr>
          <w:lang w:val="en-GB"/>
        </w:rPr>
        <w:t>Data about the Programme’s operations and its recipients was re</w:t>
      </w:r>
      <w:r w:rsidR="00283FAF" w:rsidRPr="007F1A00">
        <w:rPr>
          <w:lang w:val="en-GB"/>
        </w:rPr>
        <w:t>ceived</w:t>
      </w:r>
      <w:r w:rsidRPr="007F1A00">
        <w:rPr>
          <w:lang w:val="en-GB"/>
        </w:rPr>
        <w:t xml:space="preserve"> from:</w:t>
      </w:r>
    </w:p>
    <w:p w:rsidR="00F6580E" w:rsidRPr="00D536B6" w:rsidRDefault="00F6580E" w:rsidP="00D536B6">
      <w:pPr>
        <w:pStyle w:val="Bullet1stlevel"/>
      </w:pPr>
      <w:r w:rsidRPr="007F1A00">
        <w:rPr>
          <w:lang w:val="en-GB"/>
        </w:rPr>
        <w:t xml:space="preserve">The </w:t>
      </w:r>
      <w:r w:rsidR="00DB0EE5" w:rsidRPr="00D536B6">
        <w:t>Department</w:t>
      </w:r>
      <w:r w:rsidR="002A7CC3">
        <w:t>; and</w:t>
      </w:r>
    </w:p>
    <w:p w:rsidR="00F6580E" w:rsidRPr="007F1A00" w:rsidRDefault="00F6580E" w:rsidP="00D536B6">
      <w:pPr>
        <w:pStyle w:val="Bullet1stlevel"/>
        <w:rPr>
          <w:lang w:val="en-GB"/>
        </w:rPr>
      </w:pPr>
      <w:r w:rsidRPr="00D536B6">
        <w:t xml:space="preserve">Australian Institute of Health and Welfare </w:t>
      </w:r>
      <w:r w:rsidR="007D0646" w:rsidRPr="00D536B6">
        <w:t>(</w:t>
      </w:r>
      <w:r w:rsidR="007D0646" w:rsidRPr="007F1A00">
        <w:rPr>
          <w:lang w:val="en-GB"/>
        </w:rPr>
        <w:t xml:space="preserve">AIHW) </w:t>
      </w:r>
      <w:r w:rsidRPr="007F1A00">
        <w:rPr>
          <w:lang w:val="en-GB"/>
        </w:rPr>
        <w:t xml:space="preserve">through the GEN Aged Care Data </w:t>
      </w:r>
      <w:r w:rsidR="007B4777">
        <w:rPr>
          <w:lang w:val="en-GB"/>
        </w:rPr>
        <w:t>Clearinghouse</w:t>
      </w:r>
      <w:r w:rsidRPr="007F1A00">
        <w:rPr>
          <w:lang w:val="en-GB"/>
        </w:rPr>
        <w:t>.</w:t>
      </w:r>
    </w:p>
    <w:p w:rsidR="006F12C7" w:rsidRPr="007F1A00" w:rsidRDefault="006F12C7" w:rsidP="006F12C7">
      <w:pPr>
        <w:pStyle w:val="Heading3"/>
        <w:rPr>
          <w:lang w:val="en-GB"/>
        </w:rPr>
      </w:pPr>
      <w:r w:rsidRPr="007F1A00">
        <w:rPr>
          <w:lang w:val="en-GB"/>
        </w:rPr>
        <w:t>Data limitations</w:t>
      </w:r>
    </w:p>
    <w:p w:rsidR="00F6580E" w:rsidRPr="007F1A00" w:rsidRDefault="00F6580E" w:rsidP="00F6580E">
      <w:pPr>
        <w:pStyle w:val="Bullet1stlevel"/>
        <w:numPr>
          <w:ilvl w:val="0"/>
          <w:numId w:val="0"/>
        </w:numPr>
        <w:rPr>
          <w:lang w:val="en-GB"/>
        </w:rPr>
      </w:pPr>
      <w:r w:rsidRPr="007F1A00">
        <w:rPr>
          <w:lang w:val="en-GB"/>
        </w:rPr>
        <w:t xml:space="preserve">While a significant amount of data was provided as part of </w:t>
      </w:r>
      <w:r w:rsidR="00E2476C" w:rsidRPr="007F1A00">
        <w:rPr>
          <w:lang w:val="en-GB"/>
        </w:rPr>
        <w:t xml:space="preserve">the </w:t>
      </w:r>
      <w:r w:rsidR="002A7CC3">
        <w:rPr>
          <w:lang w:val="en-GB"/>
        </w:rPr>
        <w:t>r</w:t>
      </w:r>
      <w:r w:rsidR="002A7CC3" w:rsidRPr="007F1A00">
        <w:rPr>
          <w:lang w:val="en-GB"/>
        </w:rPr>
        <w:t>eview</w:t>
      </w:r>
      <w:r w:rsidRPr="007F1A00">
        <w:rPr>
          <w:lang w:val="en-GB"/>
        </w:rPr>
        <w:t xml:space="preserve">, there were some limitations in the data the team </w:t>
      </w:r>
      <w:r w:rsidR="002A7CC3" w:rsidRPr="007F1A00">
        <w:rPr>
          <w:lang w:val="en-GB"/>
        </w:rPr>
        <w:t>w</w:t>
      </w:r>
      <w:r w:rsidR="002A7CC3">
        <w:rPr>
          <w:lang w:val="en-GB"/>
        </w:rPr>
        <w:t>as</w:t>
      </w:r>
      <w:r w:rsidR="002A7CC3" w:rsidRPr="007F1A00">
        <w:rPr>
          <w:lang w:val="en-GB"/>
        </w:rPr>
        <w:t xml:space="preserve"> </w:t>
      </w:r>
      <w:r w:rsidRPr="007F1A00">
        <w:rPr>
          <w:lang w:val="en-GB"/>
        </w:rPr>
        <w:t>able to access. This included restrictions around linked data. The review team has made comments throughout this report where there were lim</w:t>
      </w:r>
      <w:r w:rsidR="00070EE9" w:rsidRPr="007F1A00">
        <w:rPr>
          <w:lang w:val="en-GB"/>
        </w:rPr>
        <w:t>itations in the data provided</w:t>
      </w:r>
      <w:r w:rsidR="00A80E1D">
        <w:rPr>
          <w:lang w:val="en-GB"/>
        </w:rPr>
        <w:t>, b</w:t>
      </w:r>
      <w:r w:rsidR="00070EE9" w:rsidRPr="007F1A00">
        <w:rPr>
          <w:lang w:val="en-GB"/>
        </w:rPr>
        <w:t>ut a summary is also provided below:</w:t>
      </w:r>
    </w:p>
    <w:p w:rsidR="00070EE9" w:rsidRPr="00D536B6" w:rsidRDefault="00070EE9" w:rsidP="00D536B6">
      <w:pPr>
        <w:pStyle w:val="Bullet1stlevel"/>
      </w:pPr>
      <w:r w:rsidRPr="007F1A00">
        <w:rPr>
          <w:lang w:val="en-GB"/>
        </w:rPr>
        <w:t xml:space="preserve">There is significant variation across jurisdictions in how </w:t>
      </w:r>
      <w:r w:rsidR="002A7CC3">
        <w:rPr>
          <w:lang w:val="en-GB"/>
        </w:rPr>
        <w:t>each</w:t>
      </w:r>
      <w:r w:rsidR="002A7CC3" w:rsidRPr="007F1A00">
        <w:rPr>
          <w:lang w:val="en-GB"/>
        </w:rPr>
        <w:t xml:space="preserve"> </w:t>
      </w:r>
      <w:r w:rsidRPr="007F1A00">
        <w:rPr>
          <w:lang w:val="en-GB"/>
        </w:rPr>
        <w:t>complete</w:t>
      </w:r>
      <w:r w:rsidR="002A7CC3">
        <w:rPr>
          <w:lang w:val="en-GB"/>
        </w:rPr>
        <w:t>s its</w:t>
      </w:r>
      <w:r w:rsidRPr="007F1A00">
        <w:rPr>
          <w:lang w:val="en-GB"/>
        </w:rPr>
        <w:t xml:space="preserve"> acquittals at the end of the financial year. This means that </w:t>
      </w:r>
      <w:r w:rsidR="0020349A">
        <w:rPr>
          <w:lang w:val="en-GB"/>
        </w:rPr>
        <w:t>detailed</w:t>
      </w:r>
      <w:r w:rsidR="0020349A" w:rsidRPr="007F1A00">
        <w:rPr>
          <w:lang w:val="en-GB"/>
        </w:rPr>
        <w:t xml:space="preserve"> </w:t>
      </w:r>
      <w:r w:rsidRPr="007F1A00">
        <w:rPr>
          <w:lang w:val="en-GB"/>
        </w:rPr>
        <w:t xml:space="preserve">financial analysis is difficult </w:t>
      </w:r>
      <w:r w:rsidR="0020349A">
        <w:rPr>
          <w:lang w:val="en-GB"/>
        </w:rPr>
        <w:t xml:space="preserve">to undertake </w:t>
      </w:r>
      <w:r w:rsidRPr="007F1A00">
        <w:rPr>
          <w:lang w:val="en-GB"/>
        </w:rPr>
        <w:t>as direct compa</w:t>
      </w:r>
      <w:r w:rsidR="00E2476C" w:rsidRPr="007F1A00">
        <w:rPr>
          <w:lang w:val="en-GB"/>
        </w:rPr>
        <w:t xml:space="preserve">risons between </w:t>
      </w:r>
      <w:r w:rsidR="007211BF" w:rsidRPr="00D536B6">
        <w:t>States and Territories</w:t>
      </w:r>
      <w:r w:rsidRPr="00D536B6">
        <w:t xml:space="preserve"> </w:t>
      </w:r>
      <w:r w:rsidR="007126ED">
        <w:t>are</w:t>
      </w:r>
      <w:r w:rsidRPr="00D536B6">
        <w:t xml:space="preserve"> not always possible. </w:t>
      </w:r>
    </w:p>
    <w:p w:rsidR="00F62CF5" w:rsidRPr="00D536B6" w:rsidRDefault="00F62CF5" w:rsidP="00D536B6">
      <w:pPr>
        <w:pStyle w:val="Bullet1stlevel"/>
      </w:pPr>
      <w:r w:rsidRPr="00D536B6">
        <w:t>The data provided to the reviewers in relation to care recipient outcomes was not identifiable, nor linked in any way. This means that all comments about improvements to a care recipient’s MBI score have been based on improvements at an aggregate level.</w:t>
      </w:r>
    </w:p>
    <w:p w:rsidR="00937B74" w:rsidRPr="00534879" w:rsidRDefault="00937B74" w:rsidP="00D536B6">
      <w:pPr>
        <w:pStyle w:val="Bullet1stlevel"/>
        <w:rPr>
          <w:lang w:val="en-GB"/>
        </w:rPr>
      </w:pPr>
      <w:r w:rsidRPr="00D536B6">
        <w:t xml:space="preserve">Although </w:t>
      </w:r>
      <w:r w:rsidR="007126ED">
        <w:t>the Programme began in 2005/06,</w:t>
      </w:r>
      <w:r w:rsidRPr="00D536B6">
        <w:t xml:space="preserve"> only data from 2006/07 </w:t>
      </w:r>
      <w:r w:rsidR="00D536B6" w:rsidRPr="00D536B6">
        <w:t xml:space="preserve">onwards </w:t>
      </w:r>
      <w:r w:rsidRPr="00D536B6">
        <w:t>was used in the analysis as many of the</w:t>
      </w:r>
      <w:r>
        <w:rPr>
          <w:lang w:val="en-GB"/>
        </w:rPr>
        <w:t xml:space="preserve"> data sets from 2005/06 were incomplete. </w:t>
      </w:r>
    </w:p>
    <w:p w:rsidR="00860A83" w:rsidRPr="007F1A00" w:rsidRDefault="000B1D40" w:rsidP="00860A83">
      <w:pPr>
        <w:pStyle w:val="Heading1"/>
        <w:rPr>
          <w:lang w:val="en-GB"/>
        </w:rPr>
      </w:pPr>
      <w:bookmarkStart w:id="6" w:name="_Toc5270593"/>
      <w:r w:rsidRPr="007F1A00">
        <w:rPr>
          <w:lang w:val="en-GB"/>
        </w:rPr>
        <w:t>Current operations</w:t>
      </w:r>
      <w:bookmarkEnd w:id="6"/>
      <w:r w:rsidRPr="007F1A00">
        <w:rPr>
          <w:lang w:val="en-GB"/>
        </w:rPr>
        <w:t xml:space="preserve"> </w:t>
      </w:r>
    </w:p>
    <w:p w:rsidR="003208CD" w:rsidRPr="007F1A00" w:rsidRDefault="00F750D1" w:rsidP="00F750D1">
      <w:pPr>
        <w:pStyle w:val="Heading2"/>
        <w:rPr>
          <w:lang w:val="en-GB"/>
        </w:rPr>
      </w:pPr>
      <w:bookmarkStart w:id="7" w:name="_Toc5270594"/>
      <w:r w:rsidRPr="007F1A00">
        <w:rPr>
          <w:lang w:val="en-GB"/>
        </w:rPr>
        <w:t xml:space="preserve">Overview of </w:t>
      </w:r>
      <w:r w:rsidR="002A7CC3">
        <w:rPr>
          <w:lang w:val="en-GB"/>
        </w:rPr>
        <w:t xml:space="preserve">the </w:t>
      </w:r>
      <w:r w:rsidR="00E35451" w:rsidRPr="007F1A00">
        <w:rPr>
          <w:lang w:val="en-GB"/>
        </w:rPr>
        <w:t>T</w:t>
      </w:r>
      <w:r w:rsidR="00562109">
        <w:rPr>
          <w:lang w:val="en-GB"/>
        </w:rPr>
        <w:t>ransition Care Programme</w:t>
      </w:r>
      <w:bookmarkEnd w:id="7"/>
    </w:p>
    <w:p w:rsidR="00E440C1" w:rsidRPr="007F1A00" w:rsidRDefault="00E440C1" w:rsidP="00941089">
      <w:pPr>
        <w:pStyle w:val="BodyText1"/>
        <w:rPr>
          <w:lang w:val="en-GB"/>
        </w:rPr>
      </w:pPr>
      <w:r w:rsidRPr="007F1A00">
        <w:rPr>
          <w:lang w:val="en-GB"/>
        </w:rPr>
        <w:t>Since it</w:t>
      </w:r>
      <w:r w:rsidR="00283FAF" w:rsidRPr="007F1A00">
        <w:rPr>
          <w:lang w:val="en-GB"/>
        </w:rPr>
        <w:t xml:space="preserve"> commenced</w:t>
      </w:r>
      <w:r w:rsidR="00534879">
        <w:rPr>
          <w:lang w:val="en-GB"/>
        </w:rPr>
        <w:t xml:space="preserve"> in 2005/</w:t>
      </w:r>
      <w:r w:rsidRPr="007F1A00">
        <w:rPr>
          <w:lang w:val="en-GB"/>
        </w:rPr>
        <w:t xml:space="preserve">06, </w:t>
      </w:r>
      <w:r w:rsidR="002A7CC3">
        <w:rPr>
          <w:lang w:val="en-GB"/>
        </w:rPr>
        <w:t xml:space="preserve">the </w:t>
      </w:r>
      <w:r w:rsidRPr="007F1A00">
        <w:rPr>
          <w:lang w:val="en-GB"/>
        </w:rPr>
        <w:t xml:space="preserve">TCP has provided short term assistance in the form of restorative care for older Australians following discharge from hospital. </w:t>
      </w:r>
      <w:r w:rsidR="002A7CC3">
        <w:rPr>
          <w:lang w:val="en-GB"/>
        </w:rPr>
        <w:t xml:space="preserve">The </w:t>
      </w:r>
      <w:r w:rsidRPr="007F1A00">
        <w:rPr>
          <w:lang w:val="en-GB"/>
        </w:rPr>
        <w:t xml:space="preserve">TCP is delivered with the aim of </w:t>
      </w:r>
      <w:r w:rsidR="00D62FCE">
        <w:rPr>
          <w:lang w:val="en-GB"/>
        </w:rPr>
        <w:t xml:space="preserve">assisting </w:t>
      </w:r>
      <w:r w:rsidRPr="007F1A00">
        <w:rPr>
          <w:lang w:val="en-GB"/>
        </w:rPr>
        <w:t>older people to improve their level of independence and functioning, ultimately delaying entry into residential aged care.</w:t>
      </w:r>
      <w:r w:rsidRPr="007F1A00">
        <w:rPr>
          <w:rStyle w:val="FootnoteReference"/>
          <w:lang w:val="en-GB"/>
        </w:rPr>
        <w:footnoteReference w:id="3"/>
      </w:r>
      <w:r w:rsidRPr="007F1A00">
        <w:rPr>
          <w:lang w:val="en-GB"/>
        </w:rPr>
        <w:t xml:space="preserve"> </w:t>
      </w:r>
      <w:r w:rsidR="002A7CC3">
        <w:rPr>
          <w:lang w:val="en-GB"/>
        </w:rPr>
        <w:t xml:space="preserve">The </w:t>
      </w:r>
      <w:r w:rsidRPr="007F1A00">
        <w:rPr>
          <w:lang w:val="en-GB"/>
        </w:rPr>
        <w:t xml:space="preserve">TCP can be </w:t>
      </w:r>
      <w:r w:rsidR="00D57504">
        <w:rPr>
          <w:lang w:val="en-GB"/>
        </w:rPr>
        <w:t>delivered</w:t>
      </w:r>
      <w:r w:rsidRPr="007F1A00">
        <w:rPr>
          <w:lang w:val="en-GB"/>
        </w:rPr>
        <w:t xml:space="preserve"> as home based care or in </w:t>
      </w:r>
      <w:r w:rsidR="00D62FCE">
        <w:rPr>
          <w:lang w:val="en-GB"/>
        </w:rPr>
        <w:t xml:space="preserve">a </w:t>
      </w:r>
      <w:r w:rsidRPr="007F1A00">
        <w:rPr>
          <w:lang w:val="en-GB"/>
        </w:rPr>
        <w:t xml:space="preserve">residential setting and can be provided for up to </w:t>
      </w:r>
      <w:r w:rsidR="007126ED">
        <w:rPr>
          <w:lang w:val="en-GB"/>
        </w:rPr>
        <w:t>12</w:t>
      </w:r>
      <w:r w:rsidRPr="007F1A00">
        <w:rPr>
          <w:lang w:val="en-GB"/>
        </w:rPr>
        <w:t xml:space="preserve"> weeks, with a potential extension of up to a further six weeks.</w:t>
      </w:r>
      <w:r w:rsidR="006C271F">
        <w:rPr>
          <w:lang w:val="en-GB"/>
        </w:rPr>
        <w:t xml:space="preserve"> </w:t>
      </w:r>
      <w:r w:rsidR="00D57504" w:rsidRPr="007F1A00">
        <w:rPr>
          <w:lang w:val="en-GB"/>
        </w:rPr>
        <w:t xml:space="preserve">Eligibility for </w:t>
      </w:r>
      <w:r w:rsidR="002A7CC3">
        <w:rPr>
          <w:lang w:val="en-GB"/>
        </w:rPr>
        <w:t xml:space="preserve">the </w:t>
      </w:r>
      <w:r w:rsidR="00D57504" w:rsidRPr="007F1A00">
        <w:rPr>
          <w:lang w:val="en-GB"/>
        </w:rPr>
        <w:t xml:space="preserve">TCP is assessed by ACATs </w:t>
      </w:r>
      <w:r w:rsidR="00A80E1D">
        <w:rPr>
          <w:lang w:val="en-GB"/>
        </w:rPr>
        <w:t>while</w:t>
      </w:r>
      <w:r w:rsidR="00D57504" w:rsidRPr="007F1A00">
        <w:rPr>
          <w:lang w:val="en-GB"/>
        </w:rPr>
        <w:t xml:space="preserve"> the potential care recipient is in hospital.</w:t>
      </w:r>
      <w:r w:rsidR="006B3042">
        <w:rPr>
          <w:lang w:val="en-GB"/>
        </w:rPr>
        <w:t xml:space="preserve"> </w:t>
      </w:r>
      <w:r w:rsidRPr="007F1A00">
        <w:rPr>
          <w:lang w:val="en-GB"/>
        </w:rPr>
        <w:t>The mix and degree of services received is based on care recipients</w:t>
      </w:r>
      <w:r w:rsidR="002A7CC3">
        <w:rPr>
          <w:lang w:val="en-GB"/>
        </w:rPr>
        <w:t>’</w:t>
      </w:r>
      <w:r w:rsidRPr="007F1A00">
        <w:rPr>
          <w:lang w:val="en-GB"/>
        </w:rPr>
        <w:t xml:space="preserve"> needs and eligibility.</w:t>
      </w:r>
      <w:r w:rsidRPr="007F1A00">
        <w:rPr>
          <w:rStyle w:val="FootnoteReference"/>
          <w:lang w:val="en-GB"/>
        </w:rPr>
        <w:footnoteReference w:id="4"/>
      </w:r>
      <w:r w:rsidR="006C271F">
        <w:rPr>
          <w:lang w:val="en-GB"/>
        </w:rPr>
        <w:t xml:space="preserve"> </w:t>
      </w:r>
      <w:r w:rsidR="00D57504" w:rsidRPr="007F1A00">
        <w:rPr>
          <w:lang w:val="en-GB"/>
        </w:rPr>
        <w:t xml:space="preserve">The types of services received through </w:t>
      </w:r>
      <w:r w:rsidR="002A7CC3">
        <w:rPr>
          <w:lang w:val="en-GB"/>
        </w:rPr>
        <w:t xml:space="preserve">the </w:t>
      </w:r>
      <w:r w:rsidR="00D57504" w:rsidRPr="007F1A00">
        <w:rPr>
          <w:lang w:val="en-GB"/>
        </w:rPr>
        <w:t>TCP may include: allied health (such as occupational therapy</w:t>
      </w:r>
      <w:r w:rsidR="007B4777">
        <w:rPr>
          <w:lang w:val="en-GB"/>
        </w:rPr>
        <w:t>,</w:t>
      </w:r>
      <w:r w:rsidR="00D57504" w:rsidRPr="007F1A00">
        <w:rPr>
          <w:lang w:val="en-GB"/>
        </w:rPr>
        <w:t xml:space="preserve"> physiotherapy</w:t>
      </w:r>
      <w:r w:rsidR="007B4777">
        <w:rPr>
          <w:lang w:val="en-GB"/>
        </w:rPr>
        <w:t>,</w:t>
      </w:r>
      <w:r w:rsidR="00D57504" w:rsidRPr="007F1A00">
        <w:rPr>
          <w:lang w:val="en-GB"/>
        </w:rPr>
        <w:t xml:space="preserve"> </w:t>
      </w:r>
      <w:r w:rsidR="007B4777">
        <w:rPr>
          <w:lang w:val="en-GB"/>
        </w:rPr>
        <w:t xml:space="preserve">social work, speech pathology, </w:t>
      </w:r>
      <w:r w:rsidR="00EF7F5D">
        <w:rPr>
          <w:lang w:val="en-GB"/>
        </w:rPr>
        <w:t xml:space="preserve">and </w:t>
      </w:r>
      <w:r w:rsidR="00D57504" w:rsidRPr="007F1A00">
        <w:rPr>
          <w:lang w:val="en-GB"/>
        </w:rPr>
        <w:t>podiatry</w:t>
      </w:r>
      <w:r w:rsidR="00C70AFA">
        <w:rPr>
          <w:lang w:val="en-GB"/>
        </w:rPr>
        <w:t>)</w:t>
      </w:r>
      <w:r w:rsidR="007B4777">
        <w:rPr>
          <w:lang w:val="en-GB"/>
        </w:rPr>
        <w:t>; nursing support; and personal care</w:t>
      </w:r>
      <w:r w:rsidR="002A7CC3">
        <w:rPr>
          <w:lang w:val="en-GB"/>
        </w:rPr>
        <w:t xml:space="preserve">. </w:t>
      </w:r>
      <w:r w:rsidR="00D57504" w:rsidRPr="007F1A00">
        <w:rPr>
          <w:lang w:val="en-GB"/>
        </w:rPr>
        <w:t xml:space="preserve"> </w:t>
      </w:r>
    </w:p>
    <w:p w:rsidR="006B3042" w:rsidRDefault="002A7CC3" w:rsidP="00E440C1">
      <w:pPr>
        <w:pStyle w:val="Bullet1stlevel"/>
        <w:numPr>
          <w:ilvl w:val="0"/>
          <w:numId w:val="0"/>
        </w:numPr>
        <w:rPr>
          <w:lang w:val="en-GB"/>
        </w:rPr>
      </w:pPr>
      <w:r>
        <w:rPr>
          <w:lang w:val="en-GB"/>
        </w:rPr>
        <w:t xml:space="preserve">The </w:t>
      </w:r>
      <w:r w:rsidR="00F750D1" w:rsidRPr="007F1A00">
        <w:rPr>
          <w:lang w:val="en-GB"/>
        </w:rPr>
        <w:t>TCP is jointly funded by the Commonwealth and State and Territory governments</w:t>
      </w:r>
      <w:r w:rsidR="0020349A">
        <w:rPr>
          <w:lang w:val="en-GB"/>
        </w:rPr>
        <w:t>.</w:t>
      </w:r>
      <w:r w:rsidR="006C271F">
        <w:rPr>
          <w:lang w:val="en-GB"/>
        </w:rPr>
        <w:t xml:space="preserve"> </w:t>
      </w:r>
      <w:r w:rsidR="0020349A">
        <w:rPr>
          <w:lang w:val="en-GB"/>
        </w:rPr>
        <w:t>T</w:t>
      </w:r>
      <w:r w:rsidR="00F750D1" w:rsidRPr="007F1A00">
        <w:rPr>
          <w:lang w:val="en-GB"/>
        </w:rPr>
        <w:t xml:space="preserve">he Commonwealth </w:t>
      </w:r>
      <w:r w:rsidR="0020349A">
        <w:rPr>
          <w:lang w:val="en-GB"/>
        </w:rPr>
        <w:t xml:space="preserve">is </w:t>
      </w:r>
      <w:r w:rsidR="00F750D1" w:rsidRPr="007F1A00">
        <w:rPr>
          <w:lang w:val="en-GB"/>
        </w:rPr>
        <w:t xml:space="preserve">responsible for the </w:t>
      </w:r>
      <w:r w:rsidR="00D92A00" w:rsidRPr="007F1A00">
        <w:rPr>
          <w:lang w:val="en-GB"/>
        </w:rPr>
        <w:t>largest proportion of funding (about 70 per cent year-on-year).</w:t>
      </w:r>
      <w:r w:rsidR="00750B46" w:rsidRPr="007F1A00">
        <w:rPr>
          <w:rStyle w:val="FootnoteReference"/>
          <w:lang w:val="en-GB"/>
        </w:rPr>
        <w:footnoteReference w:id="5"/>
      </w:r>
      <w:r w:rsidR="00D92A00" w:rsidRPr="007F1A00">
        <w:rPr>
          <w:lang w:val="en-GB"/>
        </w:rPr>
        <w:t xml:space="preserve"> </w:t>
      </w:r>
      <w:r w:rsidR="00750B46" w:rsidRPr="007F1A00">
        <w:rPr>
          <w:lang w:val="en-GB"/>
        </w:rPr>
        <w:t>Funding for the Programme, and the responsibilities of Commonwealth</w:t>
      </w:r>
      <w:r w:rsidR="00EA2D2D">
        <w:rPr>
          <w:lang w:val="en-GB"/>
        </w:rPr>
        <w:t xml:space="preserve"> and the</w:t>
      </w:r>
      <w:r w:rsidR="00750B46" w:rsidRPr="007F1A00">
        <w:rPr>
          <w:lang w:val="en-GB"/>
        </w:rPr>
        <w:t xml:space="preserve"> State</w:t>
      </w:r>
      <w:r w:rsidR="007126ED">
        <w:rPr>
          <w:lang w:val="en-GB"/>
        </w:rPr>
        <w:t xml:space="preserve"> </w:t>
      </w:r>
      <w:r w:rsidR="00EA2D2D">
        <w:rPr>
          <w:lang w:val="en-GB"/>
        </w:rPr>
        <w:t xml:space="preserve">and </w:t>
      </w:r>
      <w:r w:rsidR="00750B46" w:rsidRPr="007F1A00">
        <w:rPr>
          <w:lang w:val="en-GB"/>
        </w:rPr>
        <w:t>Territory governments</w:t>
      </w:r>
      <w:r w:rsidR="008B2BEF">
        <w:rPr>
          <w:lang w:val="en-GB"/>
        </w:rPr>
        <w:t>,</w:t>
      </w:r>
      <w:r w:rsidR="00750B46" w:rsidRPr="007F1A00">
        <w:rPr>
          <w:lang w:val="en-GB"/>
        </w:rPr>
        <w:t xml:space="preserve"> are determined by the </w:t>
      </w:r>
      <w:r w:rsidR="00750B46" w:rsidRPr="007F1A00">
        <w:rPr>
          <w:i/>
          <w:lang w:val="en-GB"/>
        </w:rPr>
        <w:t>Aged Care Act</w:t>
      </w:r>
      <w:r w:rsidR="00750B46" w:rsidRPr="007F1A00">
        <w:rPr>
          <w:lang w:val="en-GB"/>
        </w:rPr>
        <w:t xml:space="preserve"> </w:t>
      </w:r>
      <w:r w:rsidR="00750B46" w:rsidRPr="007126ED">
        <w:rPr>
          <w:i/>
          <w:lang w:val="en-GB"/>
        </w:rPr>
        <w:t>1997</w:t>
      </w:r>
      <w:r w:rsidR="00750B46" w:rsidRPr="007F1A00">
        <w:rPr>
          <w:lang w:val="en-GB"/>
        </w:rPr>
        <w:t xml:space="preserve"> and its subordinate legislation</w:t>
      </w:r>
      <w:r w:rsidR="008B2BEF">
        <w:rPr>
          <w:lang w:val="en-GB"/>
        </w:rPr>
        <w:t>.</w:t>
      </w:r>
      <w:r w:rsidR="006B3042" w:rsidRPr="006B3042">
        <w:rPr>
          <w:lang w:val="en-GB"/>
        </w:rPr>
        <w:t xml:space="preserve"> </w:t>
      </w:r>
      <w:r w:rsidR="00C70AFA" w:rsidRPr="007E73BB">
        <w:t xml:space="preserve">Section 111 of the subordinate legislation, the </w:t>
      </w:r>
      <w:r w:rsidR="00C70AFA" w:rsidRPr="007E73BB">
        <w:rPr>
          <w:i/>
          <w:iCs/>
        </w:rPr>
        <w:t>Subsidy Principles 2014</w:t>
      </w:r>
      <w:r w:rsidR="00C70AFA" w:rsidRPr="007E73BB">
        <w:rPr>
          <w:iCs/>
        </w:rPr>
        <w:t xml:space="preserve">, </w:t>
      </w:r>
      <w:r w:rsidR="006B3042">
        <w:rPr>
          <w:lang w:val="en-GB"/>
        </w:rPr>
        <w:t xml:space="preserve">stipulates that </w:t>
      </w:r>
      <w:r>
        <w:rPr>
          <w:lang w:val="en-GB"/>
        </w:rPr>
        <w:t xml:space="preserve">the </w:t>
      </w:r>
      <w:r w:rsidR="006B3042">
        <w:rPr>
          <w:lang w:val="en-GB"/>
        </w:rPr>
        <w:t xml:space="preserve">TCP is a jointly funded programme; however, it is not explicit as to the exact level of funding required from States and Territories. Historical data suggests that jurisdictions have contributed up to 30 per cent of </w:t>
      </w:r>
      <w:r w:rsidR="002A1542">
        <w:rPr>
          <w:lang w:val="en-GB"/>
        </w:rPr>
        <w:t xml:space="preserve">the total funding for </w:t>
      </w:r>
      <w:r>
        <w:rPr>
          <w:lang w:val="en-GB"/>
        </w:rPr>
        <w:t xml:space="preserve">the </w:t>
      </w:r>
      <w:r w:rsidR="002A1542">
        <w:rPr>
          <w:lang w:val="en-GB"/>
        </w:rPr>
        <w:t>TCP.</w:t>
      </w:r>
    </w:p>
    <w:p w:rsidR="00F750D1" w:rsidRPr="007F1A00" w:rsidRDefault="002A7CC3" w:rsidP="00E440C1">
      <w:pPr>
        <w:pStyle w:val="Bullet1stlevel"/>
        <w:numPr>
          <w:ilvl w:val="0"/>
          <w:numId w:val="0"/>
        </w:numPr>
        <w:rPr>
          <w:lang w:val="en-GB"/>
        </w:rPr>
      </w:pPr>
      <w:r>
        <w:rPr>
          <w:lang w:val="en-GB"/>
        </w:rPr>
        <w:t xml:space="preserve">The </w:t>
      </w:r>
      <w:r w:rsidR="006B3042">
        <w:rPr>
          <w:lang w:val="en-GB"/>
        </w:rPr>
        <w:t>TCP is</w:t>
      </w:r>
      <w:r w:rsidR="00750B46" w:rsidRPr="007F1A00">
        <w:rPr>
          <w:lang w:val="en-GB"/>
        </w:rPr>
        <w:t xml:space="preserve"> operationalised through service agreements between the Commonwealth and State and Territory governments. To date, there has been no competitive tender for these service agreemen</w:t>
      </w:r>
      <w:r w:rsidR="007D0646" w:rsidRPr="007F1A00">
        <w:rPr>
          <w:lang w:val="en-GB"/>
        </w:rPr>
        <w:t>ts, which are renewed</w:t>
      </w:r>
      <w:r w:rsidR="00BE1370">
        <w:rPr>
          <w:lang w:val="en-GB"/>
        </w:rPr>
        <w:t xml:space="preserve"> </w:t>
      </w:r>
      <w:r w:rsidR="00750B46" w:rsidRPr="007F1A00">
        <w:rPr>
          <w:lang w:val="en-GB"/>
        </w:rPr>
        <w:t xml:space="preserve">in a rolling fashion. </w:t>
      </w:r>
    </w:p>
    <w:p w:rsidR="007A13BD" w:rsidRDefault="00EA2D2D" w:rsidP="00E440C1">
      <w:pPr>
        <w:pStyle w:val="Bullet1stlevel"/>
        <w:numPr>
          <w:ilvl w:val="0"/>
          <w:numId w:val="0"/>
        </w:numPr>
        <w:rPr>
          <w:lang w:val="en-GB"/>
        </w:rPr>
      </w:pPr>
      <w:r>
        <w:rPr>
          <w:lang w:val="en-GB"/>
        </w:rPr>
        <w:t xml:space="preserve">As </w:t>
      </w:r>
      <w:r w:rsidR="002A7CC3">
        <w:rPr>
          <w:lang w:val="en-GB"/>
        </w:rPr>
        <w:t xml:space="preserve">the </w:t>
      </w:r>
      <w:r w:rsidR="00750B46" w:rsidRPr="007F1A00">
        <w:rPr>
          <w:lang w:val="en-GB"/>
        </w:rPr>
        <w:t>T</w:t>
      </w:r>
      <w:r w:rsidR="00E440C1" w:rsidRPr="007F1A00">
        <w:rPr>
          <w:lang w:val="en-GB"/>
        </w:rPr>
        <w:t xml:space="preserve">CP is operationalised by </w:t>
      </w:r>
      <w:r w:rsidR="002812BA" w:rsidRPr="007F1A00">
        <w:rPr>
          <w:lang w:val="en-GB"/>
        </w:rPr>
        <w:t>State</w:t>
      </w:r>
      <w:r w:rsidR="00E440C1" w:rsidRPr="007F1A00">
        <w:rPr>
          <w:lang w:val="en-GB"/>
        </w:rPr>
        <w:t xml:space="preserve"> and </w:t>
      </w:r>
      <w:r w:rsidR="006D0B5B" w:rsidRPr="007F1A00">
        <w:rPr>
          <w:lang w:val="en-GB"/>
        </w:rPr>
        <w:t>Territory</w:t>
      </w:r>
      <w:r w:rsidR="00E440C1" w:rsidRPr="007F1A00">
        <w:rPr>
          <w:lang w:val="en-GB"/>
        </w:rPr>
        <w:t xml:space="preserve"> governments</w:t>
      </w:r>
      <w:r>
        <w:rPr>
          <w:lang w:val="en-GB"/>
        </w:rPr>
        <w:t>,</w:t>
      </w:r>
      <w:r w:rsidR="00E440C1" w:rsidRPr="007F1A00">
        <w:rPr>
          <w:lang w:val="en-GB"/>
        </w:rPr>
        <w:t xml:space="preserve"> implementation varies across </w:t>
      </w:r>
      <w:r>
        <w:rPr>
          <w:lang w:val="en-GB"/>
        </w:rPr>
        <w:t xml:space="preserve">each </w:t>
      </w:r>
      <w:r w:rsidR="00E440C1" w:rsidRPr="007F1A00">
        <w:rPr>
          <w:lang w:val="en-GB"/>
        </w:rPr>
        <w:t xml:space="preserve">jurisdiction. As an example, some jurisdictions </w:t>
      </w:r>
      <w:r w:rsidR="00B174A5">
        <w:rPr>
          <w:lang w:val="en-GB"/>
        </w:rPr>
        <w:t>broker</w:t>
      </w:r>
      <w:r w:rsidR="00E440C1" w:rsidRPr="007F1A00">
        <w:rPr>
          <w:lang w:val="en-GB"/>
        </w:rPr>
        <w:t xml:space="preserve"> services to aged care providers to deliver </w:t>
      </w:r>
      <w:r w:rsidR="002A7CC3">
        <w:rPr>
          <w:lang w:val="en-GB"/>
        </w:rPr>
        <w:t xml:space="preserve">the </w:t>
      </w:r>
      <w:r w:rsidR="00E440C1" w:rsidRPr="007F1A00">
        <w:rPr>
          <w:lang w:val="en-GB"/>
        </w:rPr>
        <w:t xml:space="preserve">TCP, </w:t>
      </w:r>
      <w:r w:rsidR="00A80E1D">
        <w:rPr>
          <w:lang w:val="en-GB"/>
        </w:rPr>
        <w:t>while</w:t>
      </w:r>
      <w:r w:rsidR="00E440C1" w:rsidRPr="007F1A00">
        <w:rPr>
          <w:lang w:val="en-GB"/>
        </w:rPr>
        <w:t xml:space="preserve"> others deliver their services directly through hospitals and health services</w:t>
      </w:r>
      <w:r w:rsidR="00D62F8F" w:rsidRPr="007F1A00">
        <w:rPr>
          <w:lang w:val="en-GB"/>
        </w:rPr>
        <w:t xml:space="preserve"> (</w:t>
      </w:r>
      <w:r w:rsidR="00CC4799" w:rsidRPr="007F1A00">
        <w:rPr>
          <w:lang w:val="en-GB"/>
        </w:rPr>
        <w:t xml:space="preserve">see </w:t>
      </w:r>
      <w:r w:rsidR="00DB0EE5">
        <w:rPr>
          <w:lang w:val="en-GB"/>
        </w:rPr>
        <w:t xml:space="preserve">the </w:t>
      </w:r>
      <w:r w:rsidR="00CC4799" w:rsidRPr="007F1A00">
        <w:rPr>
          <w:lang w:val="en-GB"/>
        </w:rPr>
        <w:t xml:space="preserve">State and Territory comparison </w:t>
      </w:r>
      <w:r w:rsidR="00312F95">
        <w:rPr>
          <w:lang w:val="en-GB"/>
        </w:rPr>
        <w:t>below</w:t>
      </w:r>
      <w:r w:rsidR="00D62F8F" w:rsidRPr="007F1A00">
        <w:rPr>
          <w:lang w:val="en-GB"/>
        </w:rPr>
        <w:t>)</w:t>
      </w:r>
      <w:r w:rsidR="00E440C1" w:rsidRPr="007F1A00">
        <w:rPr>
          <w:lang w:val="en-GB"/>
        </w:rPr>
        <w:t xml:space="preserve">. The settings in which </w:t>
      </w:r>
      <w:r w:rsidR="002A7CC3">
        <w:rPr>
          <w:lang w:val="en-GB"/>
        </w:rPr>
        <w:t xml:space="preserve">the </w:t>
      </w:r>
      <w:r w:rsidR="00E440C1" w:rsidRPr="007F1A00">
        <w:rPr>
          <w:lang w:val="en-GB"/>
        </w:rPr>
        <w:t xml:space="preserve">TCP is delivered </w:t>
      </w:r>
      <w:r w:rsidR="002A7CC3">
        <w:rPr>
          <w:lang w:val="en-GB"/>
        </w:rPr>
        <w:t>are</w:t>
      </w:r>
      <w:r w:rsidR="002A7CC3" w:rsidRPr="007F1A00">
        <w:rPr>
          <w:lang w:val="en-GB"/>
        </w:rPr>
        <w:t xml:space="preserve"> </w:t>
      </w:r>
      <w:r w:rsidR="00E440C1" w:rsidRPr="007F1A00">
        <w:rPr>
          <w:lang w:val="en-GB"/>
        </w:rPr>
        <w:t>also dependent on local need</w:t>
      </w:r>
      <w:r w:rsidR="00750B46" w:rsidRPr="007F1A00">
        <w:rPr>
          <w:lang w:val="en-GB"/>
        </w:rPr>
        <w:t xml:space="preserve"> and the local operating models. Thus, </w:t>
      </w:r>
      <w:r w:rsidR="002A7CC3">
        <w:rPr>
          <w:lang w:val="en-GB"/>
        </w:rPr>
        <w:t xml:space="preserve">the </w:t>
      </w:r>
      <w:r w:rsidR="00750B46" w:rsidRPr="007F1A00">
        <w:rPr>
          <w:lang w:val="en-GB"/>
        </w:rPr>
        <w:t xml:space="preserve">TCP can be delivered in the home, in a residential aged care facility, or a combination of both (mixed). </w:t>
      </w:r>
      <w:r w:rsidR="002A7CC3">
        <w:rPr>
          <w:lang w:val="en-GB"/>
        </w:rPr>
        <w:t xml:space="preserve">Places in the </w:t>
      </w:r>
      <w:r w:rsidR="00750B46" w:rsidRPr="007F1A00">
        <w:rPr>
          <w:lang w:val="en-GB"/>
        </w:rPr>
        <w:t xml:space="preserve">TCP are attributed to these settings, and variations to how these are used </w:t>
      </w:r>
      <w:r w:rsidR="007126ED">
        <w:rPr>
          <w:lang w:val="en-GB"/>
        </w:rPr>
        <w:t>(such as</w:t>
      </w:r>
      <w:r w:rsidR="00750B46" w:rsidRPr="007F1A00">
        <w:rPr>
          <w:lang w:val="en-GB"/>
        </w:rPr>
        <w:t xml:space="preserve"> a home based place being use</w:t>
      </w:r>
      <w:r w:rsidR="007126ED">
        <w:rPr>
          <w:lang w:val="en-GB"/>
        </w:rPr>
        <w:t>d in a residential care setting)</w:t>
      </w:r>
      <w:r w:rsidR="00750B46" w:rsidRPr="007F1A00">
        <w:rPr>
          <w:lang w:val="en-GB"/>
        </w:rPr>
        <w:t xml:space="preserve"> must be agreed with the Commonwealth before </w:t>
      </w:r>
      <w:r w:rsidR="0041121D">
        <w:rPr>
          <w:lang w:val="en-GB"/>
        </w:rPr>
        <w:t>they occur</w:t>
      </w:r>
      <w:r w:rsidR="00750B46" w:rsidRPr="007F1A00">
        <w:rPr>
          <w:lang w:val="en-GB"/>
        </w:rPr>
        <w:t xml:space="preserve">. </w:t>
      </w:r>
    </w:p>
    <w:p w:rsidR="00312F95" w:rsidRDefault="00312F95" w:rsidP="00312F95">
      <w:pPr>
        <w:pStyle w:val="Heading5"/>
        <w:rPr>
          <w:lang w:val="en-GB"/>
        </w:rPr>
      </w:pPr>
      <w:r>
        <w:rPr>
          <w:lang w:val="en-GB"/>
        </w:rPr>
        <w:t>State and territory comparison</w:t>
      </w:r>
    </w:p>
    <w:p w:rsidR="00312F95" w:rsidRPr="002F7C0C" w:rsidRDefault="00312F95" w:rsidP="00312F95">
      <w:pPr>
        <w:pStyle w:val="BodyText"/>
        <w:rPr>
          <w:rFonts w:cs="Arial"/>
          <w:sz w:val="19"/>
          <w:szCs w:val="19"/>
          <w:u w:val="single"/>
          <w:lang w:val="en-GB"/>
        </w:rPr>
      </w:pPr>
      <w:r w:rsidRPr="002F7C0C">
        <w:rPr>
          <w:rFonts w:cs="Arial"/>
          <w:sz w:val="19"/>
          <w:szCs w:val="19"/>
          <w:u w:val="single"/>
          <w:lang w:val="en-GB"/>
        </w:rPr>
        <w:t>New South Wales (NSW)</w:t>
      </w:r>
    </w:p>
    <w:p w:rsidR="00312F95" w:rsidRPr="002F7C0C" w:rsidRDefault="00312F95" w:rsidP="00312F95">
      <w:pPr>
        <w:pStyle w:val="BodyText"/>
        <w:rPr>
          <w:rFonts w:cs="Arial"/>
          <w:lang w:val="en-GB"/>
        </w:rPr>
      </w:pPr>
      <w:r w:rsidRPr="002F7C0C">
        <w:rPr>
          <w:rFonts w:cs="Arial"/>
          <w:lang w:val="en-GB"/>
        </w:rPr>
        <w:t>Funding: Managed centrally by the Ministry of Health and distributed to Local Health Districts (LHDs)</w:t>
      </w:r>
    </w:p>
    <w:p w:rsidR="00312F95" w:rsidRPr="002F7C0C" w:rsidRDefault="00312F95" w:rsidP="00312F95">
      <w:pPr>
        <w:pStyle w:val="BodyText"/>
        <w:rPr>
          <w:rFonts w:cs="Arial"/>
          <w:lang w:val="en-GB"/>
        </w:rPr>
      </w:pPr>
      <w:r w:rsidRPr="002F7C0C">
        <w:rPr>
          <w:rFonts w:cs="Arial"/>
          <w:lang w:val="en-GB"/>
        </w:rPr>
        <w:t>Service delivery: Mix of direct delivery and sub-contracted providers, depending on the needs of the LHD</w:t>
      </w:r>
    </w:p>
    <w:p w:rsidR="00312F95" w:rsidRPr="002F7C0C" w:rsidRDefault="00312F95" w:rsidP="00312F95">
      <w:pPr>
        <w:pStyle w:val="BodyText"/>
        <w:rPr>
          <w:rFonts w:cs="Arial"/>
          <w:lang w:val="en-GB"/>
        </w:rPr>
      </w:pPr>
      <w:r w:rsidRPr="002F7C0C">
        <w:rPr>
          <w:rFonts w:cs="Arial"/>
          <w:lang w:val="en-GB"/>
        </w:rPr>
        <w:t>Care Type: Community places: 85 per cent. Residential places: 10 per cent. Mixed places: 4 per cent</w:t>
      </w:r>
    </w:p>
    <w:p w:rsidR="00312F95" w:rsidRPr="002F7C0C" w:rsidRDefault="00312F95">
      <w:pPr>
        <w:spacing w:before="0" w:after="160" w:line="259" w:lineRule="auto"/>
        <w:rPr>
          <w:rFonts w:cs="Arial"/>
          <w:u w:val="single"/>
          <w:lang w:val="en-GB"/>
        </w:rPr>
      </w:pPr>
      <w:bookmarkStart w:id="8" w:name="_Ref535506258"/>
      <w:r w:rsidRPr="002F7C0C">
        <w:rPr>
          <w:rFonts w:cs="Arial"/>
          <w:sz w:val="19"/>
          <w:szCs w:val="19"/>
          <w:u w:val="single"/>
          <w:lang w:val="en-GB"/>
        </w:rPr>
        <w:t>Victoria</w:t>
      </w:r>
      <w:r w:rsidRPr="002F7C0C">
        <w:rPr>
          <w:rFonts w:cs="Arial"/>
          <w:u w:val="single"/>
          <w:lang w:val="en-GB"/>
        </w:rPr>
        <w:t xml:space="preserve"> </w:t>
      </w:r>
    </w:p>
    <w:p w:rsidR="00312F95" w:rsidRPr="002F7C0C" w:rsidRDefault="00312F95" w:rsidP="00312F95">
      <w:pPr>
        <w:spacing w:before="0" w:after="160" w:line="259" w:lineRule="auto"/>
        <w:rPr>
          <w:rFonts w:cs="Arial"/>
          <w:lang w:val="en-GB"/>
        </w:rPr>
      </w:pPr>
      <w:r w:rsidRPr="002F7C0C">
        <w:rPr>
          <w:rFonts w:cs="Arial"/>
          <w:lang w:val="en-GB"/>
        </w:rPr>
        <w:t>Funding: Managed centrally by the Department of Health and Human Services (DHHS) and distributed to Primary Health Networks</w:t>
      </w:r>
    </w:p>
    <w:p w:rsidR="00312F95" w:rsidRPr="002F7C0C" w:rsidRDefault="00312F95" w:rsidP="00312F95">
      <w:pPr>
        <w:spacing w:before="0" w:after="160" w:line="259" w:lineRule="auto"/>
        <w:rPr>
          <w:rFonts w:cs="Arial"/>
          <w:lang w:val="en-GB"/>
        </w:rPr>
      </w:pPr>
      <w:r w:rsidRPr="002F7C0C">
        <w:rPr>
          <w:rFonts w:cs="Arial"/>
          <w:lang w:val="en-GB"/>
        </w:rPr>
        <w:t>Service delivery: Sub-contracted providers</w:t>
      </w:r>
    </w:p>
    <w:p w:rsidR="00CC4799" w:rsidRPr="002F7C0C" w:rsidRDefault="00312F95" w:rsidP="00312F95">
      <w:pPr>
        <w:spacing w:before="0" w:after="160" w:line="259" w:lineRule="auto"/>
        <w:rPr>
          <w:rFonts w:cs="Arial"/>
          <w:lang w:val="en-GB"/>
        </w:rPr>
      </w:pPr>
      <w:r w:rsidRPr="002F7C0C">
        <w:rPr>
          <w:rFonts w:cs="Arial"/>
          <w:lang w:val="en-GB"/>
        </w:rPr>
        <w:t>Care Type: Community places: 27 per cent. Residential places: 67 per cent. Mixed places: 6 per cent.</w:t>
      </w:r>
    </w:p>
    <w:p w:rsidR="00312F95" w:rsidRPr="002F7C0C" w:rsidRDefault="00312F95" w:rsidP="00312F95">
      <w:pPr>
        <w:spacing w:before="0" w:after="160" w:line="259" w:lineRule="auto"/>
        <w:rPr>
          <w:rFonts w:cs="Arial"/>
          <w:u w:val="single"/>
          <w:lang w:val="en-GB"/>
        </w:rPr>
      </w:pPr>
      <w:r w:rsidRPr="002F7C0C">
        <w:rPr>
          <w:rFonts w:cs="Arial"/>
          <w:sz w:val="19"/>
          <w:szCs w:val="19"/>
          <w:u w:val="single"/>
          <w:lang w:val="en-GB"/>
        </w:rPr>
        <w:t>Queensland</w:t>
      </w:r>
      <w:r w:rsidRPr="002F7C0C">
        <w:rPr>
          <w:rFonts w:cs="Arial"/>
          <w:u w:val="single"/>
          <w:lang w:val="en-GB"/>
        </w:rPr>
        <w:t xml:space="preserve"> </w:t>
      </w:r>
    </w:p>
    <w:p w:rsidR="00312F95" w:rsidRPr="002F7C0C" w:rsidRDefault="00312F95" w:rsidP="00312F95">
      <w:pPr>
        <w:spacing w:before="0" w:after="160" w:line="259" w:lineRule="auto"/>
        <w:rPr>
          <w:rFonts w:cs="Arial"/>
          <w:lang w:val="en-GB"/>
        </w:rPr>
      </w:pPr>
      <w:r w:rsidRPr="002F7C0C">
        <w:rPr>
          <w:rFonts w:cs="Arial"/>
          <w:lang w:val="en-GB"/>
        </w:rPr>
        <w:t>Funding: Managed centrally by Queensland Health and distributed to Hospital and Health Services (HHS)</w:t>
      </w:r>
    </w:p>
    <w:p w:rsidR="00312F95" w:rsidRPr="002F7C0C" w:rsidRDefault="00312F95" w:rsidP="00312F95">
      <w:pPr>
        <w:spacing w:before="0" w:after="160" w:line="259" w:lineRule="auto"/>
        <w:rPr>
          <w:rFonts w:cs="Arial"/>
          <w:lang w:val="en-GB"/>
        </w:rPr>
      </w:pPr>
      <w:r w:rsidRPr="002F7C0C">
        <w:rPr>
          <w:rFonts w:cs="Arial"/>
          <w:lang w:val="en-GB"/>
        </w:rPr>
        <w:t>Service delivery: Mix of direct delivery and sub-contracted providers, depending on the needs of the HHS</w:t>
      </w:r>
    </w:p>
    <w:p w:rsidR="00312F95" w:rsidRPr="002F7C0C" w:rsidRDefault="00312F95" w:rsidP="00312F95">
      <w:pPr>
        <w:spacing w:before="0" w:after="160" w:line="259" w:lineRule="auto"/>
        <w:rPr>
          <w:rFonts w:cs="Arial"/>
          <w:lang w:val="en-GB"/>
        </w:rPr>
      </w:pPr>
      <w:r w:rsidRPr="002F7C0C">
        <w:rPr>
          <w:rFonts w:cs="Arial"/>
          <w:lang w:val="en-GB"/>
        </w:rPr>
        <w:t>Care Type: Community places: 68 per cent. Residential places: 26 per cent. Mixed places: 6 per cent.</w:t>
      </w:r>
    </w:p>
    <w:p w:rsidR="00312F95" w:rsidRPr="002F7C0C" w:rsidRDefault="00312F95" w:rsidP="00312F95">
      <w:pPr>
        <w:spacing w:before="0" w:after="160" w:line="259" w:lineRule="auto"/>
        <w:rPr>
          <w:rFonts w:cs="Arial"/>
          <w:u w:val="single"/>
          <w:lang w:val="en-GB"/>
        </w:rPr>
      </w:pPr>
      <w:r w:rsidRPr="002F7C0C">
        <w:rPr>
          <w:rFonts w:cs="Arial"/>
          <w:u w:val="single"/>
          <w:lang w:val="en-GB"/>
        </w:rPr>
        <w:t>Western Australia (WA)</w:t>
      </w:r>
    </w:p>
    <w:p w:rsidR="00312F95" w:rsidRPr="002F7C0C" w:rsidRDefault="00312F95" w:rsidP="00312F95">
      <w:pPr>
        <w:spacing w:before="0" w:after="160" w:line="259" w:lineRule="auto"/>
        <w:rPr>
          <w:rFonts w:cs="Arial"/>
          <w:lang w:val="en-GB"/>
        </w:rPr>
      </w:pPr>
      <w:r w:rsidRPr="002F7C0C">
        <w:rPr>
          <w:rFonts w:cs="Arial"/>
          <w:lang w:val="en-GB"/>
        </w:rPr>
        <w:t>Funding: Managed centrally by WA Health</w:t>
      </w:r>
    </w:p>
    <w:p w:rsidR="00312F95" w:rsidRPr="002F7C0C" w:rsidRDefault="00312F95" w:rsidP="00312F95">
      <w:pPr>
        <w:spacing w:before="0" w:after="160" w:line="259" w:lineRule="auto"/>
        <w:rPr>
          <w:rFonts w:cs="Arial"/>
          <w:lang w:val="en-GB"/>
        </w:rPr>
      </w:pPr>
      <w:r w:rsidRPr="002F7C0C">
        <w:rPr>
          <w:rFonts w:cs="Arial"/>
          <w:lang w:val="en-GB"/>
        </w:rPr>
        <w:t>Service delivery: Sub-contracted providers</w:t>
      </w:r>
    </w:p>
    <w:p w:rsidR="00312F95" w:rsidRPr="002F7C0C" w:rsidRDefault="00312F95" w:rsidP="00312F95">
      <w:pPr>
        <w:spacing w:before="0" w:after="160" w:line="259" w:lineRule="auto"/>
        <w:rPr>
          <w:rFonts w:cs="Arial"/>
          <w:lang w:val="en-GB"/>
        </w:rPr>
      </w:pPr>
      <w:r w:rsidRPr="002F7C0C">
        <w:rPr>
          <w:rFonts w:cs="Arial"/>
          <w:lang w:val="en-GB"/>
        </w:rPr>
        <w:t>Care Type: Community places: 12 per cent. Residential places: 80 per cent. Mixed places: 8 per cent.</w:t>
      </w:r>
    </w:p>
    <w:p w:rsidR="00312F95" w:rsidRPr="002F7C0C" w:rsidRDefault="00312F95" w:rsidP="00312F95">
      <w:pPr>
        <w:spacing w:before="0" w:after="160" w:line="259" w:lineRule="auto"/>
        <w:rPr>
          <w:rFonts w:cs="Arial"/>
          <w:u w:val="single"/>
          <w:lang w:val="en-GB"/>
        </w:rPr>
      </w:pPr>
      <w:r w:rsidRPr="002F7C0C">
        <w:rPr>
          <w:rFonts w:cs="Arial"/>
          <w:u w:val="single"/>
          <w:lang w:val="en-GB"/>
        </w:rPr>
        <w:t>South Australia (SA)</w:t>
      </w:r>
    </w:p>
    <w:p w:rsidR="00312F95" w:rsidRPr="002F7C0C" w:rsidRDefault="002F7C0C" w:rsidP="00312F95">
      <w:pPr>
        <w:spacing w:before="0" w:after="160" w:line="259" w:lineRule="auto"/>
        <w:rPr>
          <w:rFonts w:cs="Arial"/>
          <w:lang w:val="en-GB"/>
        </w:rPr>
      </w:pPr>
      <w:r>
        <w:rPr>
          <w:rFonts w:cs="Arial"/>
          <w:lang w:val="en-GB"/>
        </w:rPr>
        <w:t>Funding</w:t>
      </w:r>
      <w:r w:rsidR="00312F95" w:rsidRPr="002F7C0C">
        <w:rPr>
          <w:rFonts w:cs="Arial"/>
          <w:lang w:val="en-GB"/>
        </w:rPr>
        <w:t>: Managed centrally by the SA Health and distributed to Local Health Networks</w:t>
      </w:r>
    </w:p>
    <w:p w:rsidR="00312F95" w:rsidRPr="002F7C0C" w:rsidRDefault="00312F95" w:rsidP="00312F95">
      <w:pPr>
        <w:spacing w:before="0" w:after="160" w:line="259" w:lineRule="auto"/>
        <w:rPr>
          <w:rFonts w:cs="Arial"/>
          <w:lang w:val="en-GB"/>
        </w:rPr>
      </w:pPr>
      <w:r w:rsidRPr="002F7C0C">
        <w:rPr>
          <w:rFonts w:cs="Arial"/>
          <w:lang w:val="en-GB"/>
        </w:rPr>
        <w:t>Service delivery: Sub-contracted providers drawn from a pre-approved panel procured through SA Health</w:t>
      </w:r>
      <w:r w:rsidR="00B9507F" w:rsidRPr="002F7C0C">
        <w:rPr>
          <w:rFonts w:cs="Arial"/>
          <w:lang w:val="en-GB"/>
        </w:rPr>
        <w:t xml:space="preserve">. </w:t>
      </w:r>
      <w:r w:rsidRPr="002F7C0C">
        <w:rPr>
          <w:rFonts w:cs="Arial"/>
          <w:lang w:val="en-GB"/>
        </w:rPr>
        <w:t>Exception is Country Health SA, which delivers almo</w:t>
      </w:r>
      <w:r w:rsidR="00B9507F" w:rsidRPr="002F7C0C">
        <w:rPr>
          <w:rFonts w:cs="Arial"/>
          <w:lang w:val="en-GB"/>
        </w:rPr>
        <w:t>st all the TCP in their regions.</w:t>
      </w:r>
    </w:p>
    <w:p w:rsidR="00312F95" w:rsidRPr="002F7C0C" w:rsidRDefault="00312F95" w:rsidP="00312F95">
      <w:pPr>
        <w:spacing w:before="0" w:after="160" w:line="259" w:lineRule="auto"/>
        <w:rPr>
          <w:rFonts w:cs="Arial"/>
          <w:lang w:val="en-GB"/>
        </w:rPr>
      </w:pPr>
      <w:r w:rsidRPr="002F7C0C">
        <w:rPr>
          <w:rFonts w:cs="Arial"/>
          <w:lang w:val="en-GB"/>
        </w:rPr>
        <w:t>Care type</w:t>
      </w:r>
      <w:r w:rsidR="00B9507F" w:rsidRPr="002F7C0C">
        <w:rPr>
          <w:rFonts w:cs="Arial"/>
          <w:lang w:val="en-GB"/>
        </w:rPr>
        <w:t xml:space="preserve">: </w:t>
      </w:r>
      <w:r w:rsidRPr="002F7C0C">
        <w:rPr>
          <w:rFonts w:cs="Arial"/>
          <w:lang w:val="en-GB"/>
        </w:rPr>
        <w:t>Community places: 44 per cent</w:t>
      </w:r>
      <w:r w:rsidR="00B9507F" w:rsidRPr="002F7C0C">
        <w:rPr>
          <w:rFonts w:cs="Arial"/>
          <w:lang w:val="en-GB"/>
        </w:rPr>
        <w:t xml:space="preserve">. </w:t>
      </w:r>
      <w:r w:rsidRPr="002F7C0C">
        <w:rPr>
          <w:rFonts w:cs="Arial"/>
          <w:lang w:val="en-GB"/>
        </w:rPr>
        <w:t>Residential places: 49 per cent</w:t>
      </w:r>
      <w:r w:rsidR="00B9507F" w:rsidRPr="002F7C0C">
        <w:rPr>
          <w:rFonts w:cs="Arial"/>
          <w:lang w:val="en-GB"/>
        </w:rPr>
        <w:t xml:space="preserve">. </w:t>
      </w:r>
      <w:r w:rsidRPr="002F7C0C">
        <w:rPr>
          <w:rFonts w:cs="Arial"/>
          <w:lang w:val="en-GB"/>
        </w:rPr>
        <w:t>Mixed places: 6 per cent</w:t>
      </w:r>
      <w:r w:rsidR="00B9507F" w:rsidRPr="002F7C0C">
        <w:rPr>
          <w:rFonts w:cs="Arial"/>
          <w:lang w:val="en-GB"/>
        </w:rPr>
        <w:t>.</w:t>
      </w:r>
    </w:p>
    <w:p w:rsidR="00312F95" w:rsidRPr="002F7C0C" w:rsidRDefault="00312F95" w:rsidP="00312F95">
      <w:pPr>
        <w:spacing w:before="0" w:after="160" w:line="259" w:lineRule="auto"/>
        <w:rPr>
          <w:rFonts w:cs="Arial"/>
          <w:u w:val="single"/>
          <w:lang w:val="en-GB"/>
        </w:rPr>
      </w:pPr>
      <w:r w:rsidRPr="002F7C0C">
        <w:rPr>
          <w:rFonts w:cs="Arial"/>
          <w:u w:val="single"/>
          <w:lang w:val="en-GB"/>
        </w:rPr>
        <w:t>Tasmania</w:t>
      </w:r>
    </w:p>
    <w:p w:rsidR="00B9507F" w:rsidRPr="002F7C0C" w:rsidRDefault="00B9507F" w:rsidP="00B9507F">
      <w:pPr>
        <w:spacing w:before="0" w:after="160" w:line="259" w:lineRule="auto"/>
        <w:rPr>
          <w:rFonts w:cs="Arial"/>
          <w:lang w:val="en-GB"/>
        </w:rPr>
      </w:pPr>
      <w:r w:rsidRPr="002F7C0C">
        <w:rPr>
          <w:rFonts w:cs="Arial"/>
          <w:lang w:val="en-GB"/>
        </w:rPr>
        <w:t>Funding: Managed by the Tasmania Health Service regions</w:t>
      </w:r>
    </w:p>
    <w:p w:rsidR="00B9507F" w:rsidRPr="002F7C0C" w:rsidRDefault="00B9507F" w:rsidP="00B9507F">
      <w:pPr>
        <w:spacing w:before="0" w:after="160" w:line="259" w:lineRule="auto"/>
        <w:rPr>
          <w:rFonts w:cs="Arial"/>
          <w:lang w:val="en-GB"/>
        </w:rPr>
      </w:pPr>
      <w:r w:rsidRPr="002F7C0C">
        <w:rPr>
          <w:rFonts w:cs="Arial"/>
          <w:lang w:val="en-GB"/>
        </w:rPr>
        <w:t>Service delivery: Mix of direct delivery and sub-contracted providers</w:t>
      </w:r>
    </w:p>
    <w:p w:rsidR="00312F95" w:rsidRPr="002F7C0C" w:rsidRDefault="00B9507F" w:rsidP="00B9507F">
      <w:pPr>
        <w:spacing w:before="0" w:after="160" w:line="259" w:lineRule="auto"/>
        <w:rPr>
          <w:rFonts w:cs="Arial"/>
          <w:lang w:val="en-GB"/>
        </w:rPr>
      </w:pPr>
      <w:r w:rsidRPr="002F7C0C">
        <w:rPr>
          <w:rFonts w:cs="Arial"/>
          <w:lang w:val="en-GB"/>
        </w:rPr>
        <w:t>Care type: Community places: 40 per cent. Residential places: 51 per cent. Mixed places: 9 per cent.</w:t>
      </w:r>
    </w:p>
    <w:p w:rsidR="00312F95" w:rsidRPr="002F7C0C" w:rsidRDefault="00312F95" w:rsidP="00312F95">
      <w:pPr>
        <w:spacing w:before="0" w:after="160" w:line="259" w:lineRule="auto"/>
        <w:rPr>
          <w:rFonts w:cs="Arial"/>
          <w:u w:val="single"/>
          <w:lang w:val="en-GB"/>
        </w:rPr>
      </w:pPr>
      <w:r w:rsidRPr="002F7C0C">
        <w:rPr>
          <w:rFonts w:cs="Arial"/>
          <w:u w:val="single"/>
          <w:lang w:val="en-GB"/>
        </w:rPr>
        <w:t>Australian Capital Territory (ACT)</w:t>
      </w:r>
      <w:r w:rsidRPr="002F7C0C">
        <w:rPr>
          <w:rFonts w:cs="Arial"/>
          <w:u w:val="single"/>
          <w:lang w:val="en-GB"/>
        </w:rPr>
        <w:tab/>
      </w:r>
    </w:p>
    <w:p w:rsidR="00B9507F" w:rsidRPr="002F7C0C" w:rsidRDefault="00B9507F" w:rsidP="00B9507F">
      <w:pPr>
        <w:spacing w:before="0" w:after="160" w:line="259" w:lineRule="auto"/>
        <w:rPr>
          <w:rFonts w:cs="Arial"/>
          <w:lang w:val="en-GB"/>
        </w:rPr>
      </w:pPr>
      <w:r w:rsidRPr="002F7C0C">
        <w:rPr>
          <w:rFonts w:cs="Arial"/>
          <w:lang w:val="en-GB"/>
        </w:rPr>
        <w:t>Funding: Managed centrally by ACT Health</w:t>
      </w:r>
    </w:p>
    <w:p w:rsidR="00B9507F" w:rsidRPr="002F7C0C" w:rsidRDefault="00B9507F" w:rsidP="00B9507F">
      <w:pPr>
        <w:spacing w:before="0" w:after="160" w:line="259" w:lineRule="auto"/>
        <w:rPr>
          <w:rFonts w:cs="Arial"/>
          <w:lang w:val="en-GB"/>
        </w:rPr>
      </w:pPr>
      <w:r w:rsidRPr="002F7C0C">
        <w:rPr>
          <w:rFonts w:cs="Arial"/>
          <w:lang w:val="en-GB"/>
        </w:rPr>
        <w:t>Service delivery: Single sub-contracted provider</w:t>
      </w:r>
    </w:p>
    <w:p w:rsidR="00312F95" w:rsidRPr="002F7C0C" w:rsidRDefault="00B9507F" w:rsidP="00B9507F">
      <w:pPr>
        <w:spacing w:before="0" w:after="160" w:line="259" w:lineRule="auto"/>
        <w:rPr>
          <w:rFonts w:cs="Arial"/>
          <w:lang w:val="en-GB"/>
        </w:rPr>
      </w:pPr>
      <w:r w:rsidRPr="002F7C0C">
        <w:rPr>
          <w:rFonts w:cs="Arial"/>
          <w:lang w:val="en-GB"/>
        </w:rPr>
        <w:t>Care type: Community places: 53 per cent. Residential places: 41 per cent. Mixed places: 6 per cent.</w:t>
      </w:r>
    </w:p>
    <w:p w:rsidR="00312F95" w:rsidRPr="002F7C0C" w:rsidRDefault="00312F95" w:rsidP="00312F95">
      <w:pPr>
        <w:spacing w:before="0" w:after="160" w:line="259" w:lineRule="auto"/>
        <w:rPr>
          <w:rFonts w:cs="Arial"/>
          <w:u w:val="single"/>
          <w:lang w:val="en-GB"/>
        </w:rPr>
      </w:pPr>
      <w:r w:rsidRPr="002F7C0C">
        <w:rPr>
          <w:rFonts w:cs="Arial"/>
          <w:u w:val="single"/>
          <w:lang w:val="en-GB"/>
        </w:rPr>
        <w:t>Northern Territory (NT)</w:t>
      </w:r>
    </w:p>
    <w:p w:rsidR="00B9507F" w:rsidRPr="002F7C0C" w:rsidRDefault="00B9507F" w:rsidP="00B9507F">
      <w:pPr>
        <w:spacing w:before="0" w:after="160" w:line="259" w:lineRule="auto"/>
        <w:rPr>
          <w:rFonts w:cs="Arial"/>
          <w:lang w:val="en-GB"/>
        </w:rPr>
      </w:pPr>
      <w:r w:rsidRPr="002F7C0C">
        <w:rPr>
          <w:rFonts w:cs="Arial"/>
          <w:lang w:val="en-GB"/>
        </w:rPr>
        <w:t>Funding: Managed centrally by Department of Health</w:t>
      </w:r>
    </w:p>
    <w:p w:rsidR="00B9507F" w:rsidRPr="002F7C0C" w:rsidRDefault="00B9507F" w:rsidP="00B9507F">
      <w:pPr>
        <w:spacing w:before="0" w:after="160" w:line="259" w:lineRule="auto"/>
        <w:rPr>
          <w:rFonts w:cs="Arial"/>
          <w:lang w:val="en-GB"/>
        </w:rPr>
      </w:pPr>
      <w:r w:rsidRPr="002F7C0C">
        <w:rPr>
          <w:rFonts w:cs="Arial"/>
          <w:lang w:val="en-GB"/>
        </w:rPr>
        <w:t>Service delivery: Some direct delivery, but the majority of services are brokered</w:t>
      </w:r>
    </w:p>
    <w:p w:rsidR="00B9507F" w:rsidRPr="002F7C0C" w:rsidRDefault="00B9507F" w:rsidP="00B9507F">
      <w:pPr>
        <w:spacing w:before="0" w:after="160" w:line="259" w:lineRule="auto"/>
        <w:rPr>
          <w:rFonts w:cs="Arial"/>
          <w:lang w:val="en-GB"/>
        </w:rPr>
      </w:pPr>
      <w:r w:rsidRPr="002F7C0C">
        <w:rPr>
          <w:rFonts w:cs="Arial"/>
          <w:lang w:val="en-GB"/>
        </w:rPr>
        <w:t>Care type: Community places: 95 per cent. Residential places: 2 per cent. Mixed places: 4 per cent.</w:t>
      </w:r>
    </w:p>
    <w:p w:rsidR="00941089" w:rsidRPr="007F1A00" w:rsidRDefault="00941089" w:rsidP="00281F83">
      <w:pPr>
        <w:pStyle w:val="Heading2"/>
        <w:rPr>
          <w:lang w:val="en-GB"/>
        </w:rPr>
      </w:pPr>
      <w:bookmarkStart w:id="9" w:name="_Toc5270595"/>
      <w:r w:rsidRPr="007F1A00">
        <w:rPr>
          <w:lang w:val="en-GB"/>
        </w:rPr>
        <w:t xml:space="preserve">Funding of </w:t>
      </w:r>
      <w:r w:rsidR="0041121D">
        <w:rPr>
          <w:lang w:val="en-GB"/>
        </w:rPr>
        <w:t xml:space="preserve">the </w:t>
      </w:r>
      <w:r w:rsidRPr="007F1A00">
        <w:rPr>
          <w:lang w:val="en-GB"/>
        </w:rPr>
        <w:t>T</w:t>
      </w:r>
      <w:r w:rsidR="00711E03">
        <w:rPr>
          <w:lang w:val="en-GB"/>
        </w:rPr>
        <w:t xml:space="preserve">ransition </w:t>
      </w:r>
      <w:r w:rsidRPr="007F1A00">
        <w:rPr>
          <w:lang w:val="en-GB"/>
        </w:rPr>
        <w:t>C</w:t>
      </w:r>
      <w:r w:rsidR="00711E03">
        <w:rPr>
          <w:lang w:val="en-GB"/>
        </w:rPr>
        <w:t xml:space="preserve">are </w:t>
      </w:r>
      <w:r w:rsidRPr="007F1A00">
        <w:rPr>
          <w:lang w:val="en-GB"/>
        </w:rPr>
        <w:t>P</w:t>
      </w:r>
      <w:r w:rsidR="00711E03">
        <w:rPr>
          <w:lang w:val="en-GB"/>
        </w:rPr>
        <w:t>rogramme</w:t>
      </w:r>
      <w:bookmarkEnd w:id="9"/>
    </w:p>
    <w:p w:rsidR="00D536B6" w:rsidRDefault="00D57504" w:rsidP="007163DF">
      <w:pPr>
        <w:pStyle w:val="BodyText1"/>
        <w:rPr>
          <w:lang w:val="en-GB"/>
        </w:rPr>
      </w:pPr>
      <w:r w:rsidRPr="007F1A00">
        <w:rPr>
          <w:lang w:val="en-GB"/>
        </w:rPr>
        <w:t xml:space="preserve">The total expenditure on </w:t>
      </w:r>
      <w:r w:rsidR="0041121D">
        <w:rPr>
          <w:lang w:val="en-GB"/>
        </w:rPr>
        <w:t xml:space="preserve">the </w:t>
      </w:r>
      <w:r w:rsidRPr="007F1A00">
        <w:rPr>
          <w:lang w:val="en-GB"/>
        </w:rPr>
        <w:t>TCP in 2017/18 was $397</w:t>
      </w:r>
      <w:r w:rsidR="007126ED">
        <w:rPr>
          <w:lang w:val="en-GB"/>
        </w:rPr>
        <w:t xml:space="preserve"> </w:t>
      </w:r>
      <w:r w:rsidRPr="007F1A00">
        <w:rPr>
          <w:lang w:val="en-GB"/>
        </w:rPr>
        <w:t>m</w:t>
      </w:r>
      <w:r w:rsidR="007126ED">
        <w:rPr>
          <w:lang w:val="en-GB"/>
        </w:rPr>
        <w:t>illion</w:t>
      </w:r>
      <w:r w:rsidRPr="007F1A00">
        <w:rPr>
          <w:lang w:val="en-GB"/>
        </w:rPr>
        <w:t>.</w:t>
      </w:r>
      <w:r w:rsidR="006B3042">
        <w:rPr>
          <w:lang w:val="en-GB"/>
        </w:rPr>
        <w:t xml:space="preserve"> </w:t>
      </w:r>
      <w:r w:rsidR="007163DF" w:rsidRPr="007F1A00">
        <w:rPr>
          <w:lang w:val="en-GB"/>
        </w:rPr>
        <w:t xml:space="preserve">As described </w:t>
      </w:r>
      <w:r w:rsidR="00711E03">
        <w:rPr>
          <w:lang w:val="en-GB"/>
        </w:rPr>
        <w:t>in Section 2.1</w:t>
      </w:r>
      <w:r w:rsidR="007126ED">
        <w:rPr>
          <w:lang w:val="en-GB"/>
        </w:rPr>
        <w:t>,</w:t>
      </w:r>
      <w:r w:rsidR="007163DF" w:rsidRPr="007F1A00">
        <w:rPr>
          <w:lang w:val="en-GB"/>
        </w:rPr>
        <w:t xml:space="preserve"> funding </w:t>
      </w:r>
      <w:r w:rsidR="00E2476C" w:rsidRPr="007F1A00">
        <w:rPr>
          <w:lang w:val="en-GB"/>
        </w:rPr>
        <w:t>of the</w:t>
      </w:r>
      <w:r w:rsidR="007163DF" w:rsidRPr="007F1A00">
        <w:rPr>
          <w:lang w:val="en-GB"/>
        </w:rPr>
        <w:t xml:space="preserve"> TCP is provided by the Commonwealth and State and Territory governments. Jurisdictions have the</w:t>
      </w:r>
      <w:r w:rsidR="00B61188" w:rsidRPr="007F1A00">
        <w:rPr>
          <w:lang w:val="en-GB"/>
        </w:rPr>
        <w:t xml:space="preserve"> discretion to contribute </w:t>
      </w:r>
      <w:r w:rsidR="00D536B6">
        <w:rPr>
          <w:lang w:val="en-GB"/>
        </w:rPr>
        <w:t>their</w:t>
      </w:r>
      <w:r w:rsidR="00B61188" w:rsidRPr="007F1A00">
        <w:rPr>
          <w:lang w:val="en-GB"/>
        </w:rPr>
        <w:t xml:space="preserve"> co-funding through either direct funding (dollars), or through in-kind support.</w:t>
      </w:r>
      <w:r w:rsidR="006B3042">
        <w:rPr>
          <w:lang w:val="en-GB"/>
        </w:rPr>
        <w:t xml:space="preserve"> </w:t>
      </w:r>
      <w:r w:rsidR="00457EDD">
        <w:rPr>
          <w:lang w:val="en-GB"/>
        </w:rPr>
        <w:fldChar w:fldCharType="begin"/>
      </w:r>
      <w:r w:rsidR="00457EDD">
        <w:rPr>
          <w:lang w:val="en-GB"/>
        </w:rPr>
        <w:instrText xml:space="preserve"> REF _Ref355525 \h </w:instrText>
      </w:r>
      <w:r w:rsidR="00457EDD">
        <w:rPr>
          <w:lang w:val="en-GB"/>
        </w:rPr>
      </w:r>
      <w:r w:rsidR="00457EDD">
        <w:rPr>
          <w:lang w:val="en-GB"/>
        </w:rPr>
        <w:fldChar w:fldCharType="separate"/>
      </w:r>
      <w:r w:rsidR="00ED07D2" w:rsidRPr="007F1A00">
        <w:rPr>
          <w:lang w:val="en-GB"/>
        </w:rPr>
        <w:t xml:space="preserve">Figure </w:t>
      </w:r>
      <w:r w:rsidR="00ED07D2">
        <w:rPr>
          <w:noProof/>
          <w:lang w:val="en-GB"/>
        </w:rPr>
        <w:t>1</w:t>
      </w:r>
      <w:r w:rsidR="00457EDD">
        <w:rPr>
          <w:lang w:val="en-GB"/>
        </w:rPr>
        <w:fldChar w:fldCharType="end"/>
      </w:r>
      <w:r w:rsidR="007163DF" w:rsidRPr="007F1A00">
        <w:rPr>
          <w:lang w:val="en-GB"/>
        </w:rPr>
        <w:t xml:space="preserve"> explores the total amount of State and Territory government funding for</w:t>
      </w:r>
      <w:r w:rsidR="0041121D">
        <w:rPr>
          <w:lang w:val="en-GB"/>
        </w:rPr>
        <w:t xml:space="preserve"> the</w:t>
      </w:r>
      <w:r w:rsidR="007163DF" w:rsidRPr="007F1A00">
        <w:rPr>
          <w:lang w:val="en-GB"/>
        </w:rPr>
        <w:t xml:space="preserve"> TCP, while </w:t>
      </w:r>
      <w:r w:rsidR="00457EDD">
        <w:rPr>
          <w:lang w:val="en-GB"/>
        </w:rPr>
        <w:fldChar w:fldCharType="begin"/>
      </w:r>
      <w:r w:rsidR="00457EDD">
        <w:rPr>
          <w:lang w:val="en-GB"/>
        </w:rPr>
        <w:instrText xml:space="preserve"> REF _Ref355533 \h </w:instrText>
      </w:r>
      <w:r w:rsidR="00457EDD">
        <w:rPr>
          <w:lang w:val="en-GB"/>
        </w:rPr>
      </w:r>
      <w:r w:rsidR="00457EDD">
        <w:rPr>
          <w:lang w:val="en-GB"/>
        </w:rPr>
        <w:fldChar w:fldCharType="separate"/>
      </w:r>
      <w:r w:rsidR="00ED07D2" w:rsidRPr="009E796E">
        <w:rPr>
          <w:lang w:val="en-GB"/>
        </w:rPr>
        <w:t xml:space="preserve">Figure </w:t>
      </w:r>
      <w:r w:rsidR="00ED07D2">
        <w:rPr>
          <w:noProof/>
          <w:lang w:val="en-GB"/>
        </w:rPr>
        <w:t>2</w:t>
      </w:r>
      <w:r w:rsidR="00457EDD">
        <w:rPr>
          <w:lang w:val="en-GB"/>
        </w:rPr>
        <w:fldChar w:fldCharType="end"/>
      </w:r>
      <w:r w:rsidR="007163DF" w:rsidRPr="007F1A00">
        <w:rPr>
          <w:lang w:val="en-GB"/>
        </w:rPr>
        <w:t xml:space="preserve"> demonstrates the proportion of direct contributions (dollars </w:t>
      </w:r>
      <w:r w:rsidR="0041121D" w:rsidRPr="007F1A00">
        <w:rPr>
          <w:lang w:val="en-GB"/>
        </w:rPr>
        <w:t>v</w:t>
      </w:r>
      <w:r w:rsidR="0041121D">
        <w:rPr>
          <w:lang w:val="en-GB"/>
        </w:rPr>
        <w:t>ersus</w:t>
      </w:r>
      <w:r w:rsidR="007163DF" w:rsidRPr="007F1A00">
        <w:rPr>
          <w:lang w:val="en-GB"/>
        </w:rPr>
        <w:t xml:space="preserve"> in-kind) that makes up this funding. </w:t>
      </w:r>
    </w:p>
    <w:p w:rsidR="007163DF" w:rsidRPr="007F1A00" w:rsidRDefault="00D536B6" w:rsidP="007163DF">
      <w:pPr>
        <w:pStyle w:val="BodyText1"/>
        <w:rPr>
          <w:lang w:val="en-GB"/>
        </w:rPr>
      </w:pPr>
      <w:r>
        <w:rPr>
          <w:lang w:val="en-GB"/>
        </w:rPr>
        <w:t>Important to note is that Tasmania and t</w:t>
      </w:r>
      <w:r w:rsidR="009E0E25">
        <w:rPr>
          <w:lang w:val="en-GB"/>
        </w:rPr>
        <w:t>he NT</w:t>
      </w:r>
      <w:r>
        <w:rPr>
          <w:lang w:val="en-GB"/>
        </w:rPr>
        <w:t xml:space="preserve"> provide in-kind funding</w:t>
      </w:r>
      <w:r w:rsidR="001C1318">
        <w:rPr>
          <w:lang w:val="en-GB"/>
        </w:rPr>
        <w:t xml:space="preserve"> only</w:t>
      </w:r>
      <w:r w:rsidR="006669BF">
        <w:rPr>
          <w:lang w:val="en-GB"/>
        </w:rPr>
        <w:t>.</w:t>
      </w:r>
      <w:r>
        <w:rPr>
          <w:lang w:val="en-GB"/>
        </w:rPr>
        <w:t xml:space="preserve"> It is unclear what the effect on care recipients is (if any) if funding </w:t>
      </w:r>
      <w:r w:rsidR="007126ED">
        <w:rPr>
          <w:lang w:val="en-GB"/>
        </w:rPr>
        <w:t>was</w:t>
      </w:r>
      <w:r>
        <w:rPr>
          <w:lang w:val="en-GB"/>
        </w:rPr>
        <w:t xml:space="preserve"> provided in-kind </w:t>
      </w:r>
      <w:r w:rsidR="007126ED">
        <w:rPr>
          <w:lang w:val="en-GB"/>
        </w:rPr>
        <w:t>as opposed to</w:t>
      </w:r>
      <w:r>
        <w:rPr>
          <w:lang w:val="en-GB"/>
        </w:rPr>
        <w:t xml:space="preserve"> directly. </w:t>
      </w:r>
      <w:r w:rsidR="007163DF" w:rsidRPr="007F1A00">
        <w:rPr>
          <w:lang w:val="en-GB"/>
        </w:rPr>
        <w:t>These figures demonstrate that the level of funding and the type of contribution is</w:t>
      </w:r>
      <w:r w:rsidR="00CA7A42" w:rsidRPr="007F1A00">
        <w:rPr>
          <w:lang w:val="en-GB"/>
        </w:rPr>
        <w:t xml:space="preserve"> variable between jurisdictions. </w:t>
      </w:r>
    </w:p>
    <w:p w:rsidR="001577D4" w:rsidRPr="007F1A00" w:rsidRDefault="001577D4" w:rsidP="005D2C05">
      <w:pPr>
        <w:pStyle w:val="Caption"/>
        <w:rPr>
          <w:lang w:val="en-GB"/>
        </w:rPr>
      </w:pPr>
      <w:bookmarkStart w:id="10" w:name="_Ref355525"/>
      <w:r w:rsidRPr="007F1A00">
        <w:rPr>
          <w:lang w:val="en-GB"/>
        </w:rPr>
        <w:t xml:space="preserve">Figure </w:t>
      </w:r>
      <w:r w:rsidRPr="007F1A00">
        <w:rPr>
          <w:lang w:val="en-GB"/>
        </w:rPr>
        <w:fldChar w:fldCharType="begin"/>
      </w:r>
      <w:r w:rsidRPr="007F1A00">
        <w:rPr>
          <w:lang w:val="en-GB"/>
        </w:rPr>
        <w:instrText xml:space="preserve"> SEQ Figure \* ARABIC </w:instrText>
      </w:r>
      <w:r w:rsidRPr="007F1A00">
        <w:rPr>
          <w:lang w:val="en-GB"/>
        </w:rPr>
        <w:fldChar w:fldCharType="separate"/>
      </w:r>
      <w:r w:rsidR="00ED07D2">
        <w:rPr>
          <w:noProof/>
          <w:lang w:val="en-GB"/>
        </w:rPr>
        <w:t>1</w:t>
      </w:r>
      <w:r w:rsidRPr="007F1A00">
        <w:rPr>
          <w:lang w:val="en-GB"/>
        </w:rPr>
        <w:fldChar w:fldCharType="end"/>
      </w:r>
      <w:bookmarkEnd w:id="8"/>
      <w:bookmarkEnd w:id="10"/>
      <w:r w:rsidRPr="007F1A00">
        <w:rPr>
          <w:lang w:val="en-GB"/>
        </w:rPr>
        <w:t>: Proportion of</w:t>
      </w:r>
      <w:r w:rsidR="006B254C" w:rsidRPr="007F1A00">
        <w:rPr>
          <w:lang w:val="en-GB"/>
        </w:rPr>
        <w:t xml:space="preserve"> total TCP funding provided by State/Territory in 2016/17 and 2017/2018</w:t>
      </w:r>
    </w:p>
    <w:p w:rsidR="00BE0797" w:rsidRPr="007F1A00" w:rsidRDefault="00BE0797" w:rsidP="006B254C">
      <w:pPr>
        <w:rPr>
          <w:lang w:val="en-GB"/>
        </w:rPr>
      </w:pPr>
      <w:r>
        <w:rPr>
          <w:noProof/>
          <w:lang w:val="en-GB" w:eastAsia="en-GB"/>
        </w:rPr>
        <w:drawing>
          <wp:inline distT="0" distB="0" distL="0" distR="0" wp14:anchorId="4F8C50FB">
            <wp:extent cx="5736590" cy="4163695"/>
            <wp:effectExtent l="0" t="0" r="0" b="0"/>
            <wp:docPr id="1" name="Picture 1" descr="In NSW in 2016/17 25% of TCP funding was provided by the jurisdiction&#10;In NSW in 2017/18 26% of TCP funding was provided by the jurisdiction&#10;In VIC in 2016/17 37% of TCP funding was provided by the jurisdiction&#10;In VIC in 2017/18 37% of TCP funding was provided by the jurisdiction&#10;In QLD in 2016/17 25% of TCP funding was provided by the jurisdiction&#10;In QLD in 2017/18 27% of TCP funding was provided by the jurisdiction&#10;In WA in 2016/17 35% of TCP funding was provided by the jurisdiction&#10;In WA in 2017/18 34% of TCP funding was provided by the jurisdiction&#10;In SA in 2016/17 25% of TCP funding was provided by the jurisdiction&#10;In SA in 2017/18 25% of TCP funding was provided by the jurisdiction&#10;In TAS in 2016/17 43% of TCP funding was provided by the jurisdiction&#10;In TAS in 2017/18 40% of TCP funding was provided by the jurisdiction&#10;In ACT in 2016/17 20% of TCP funding was provided by the jurisdiction&#10;In ACT in 2017/18 21% of TCP funding was provided by the jurisdiction&#10;In NT in 2016/17 19% of TCP funding was provided by the jurisdiction&#10;In NT in 2017/18 19% of TCP funding was provided by the jurisdiction&#10;In AUS in 2016/17 30% of TCP funding was provided by the jurisdictions&#10;In AUS in 2017/18 30% of TCP funding was provided by the jurisdictions" title="Figure 1 shows the Proportion of total TCP funding provided by State/Territory in 2016/17 and 20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4163695"/>
                    </a:xfrm>
                    <a:prstGeom prst="rect">
                      <a:avLst/>
                    </a:prstGeom>
                    <a:noFill/>
                  </pic:spPr>
                </pic:pic>
              </a:graphicData>
            </a:graphic>
          </wp:inline>
        </w:drawing>
      </w:r>
    </w:p>
    <w:p w:rsidR="001577D4" w:rsidRPr="007F1A00" w:rsidRDefault="001577D4" w:rsidP="001577D4">
      <w:pPr>
        <w:pStyle w:val="Bullet1stlevel"/>
        <w:numPr>
          <w:ilvl w:val="0"/>
          <w:numId w:val="0"/>
        </w:numPr>
        <w:ind w:left="340" w:hanging="340"/>
        <w:rPr>
          <w:color w:val="44546A" w:themeColor="text2"/>
          <w:sz w:val="18"/>
          <w:szCs w:val="18"/>
          <w:lang w:val="en-GB"/>
        </w:rPr>
      </w:pPr>
      <w:r w:rsidRPr="007F1A00">
        <w:rPr>
          <w:color w:val="44546A" w:themeColor="text2"/>
          <w:sz w:val="18"/>
          <w:szCs w:val="18"/>
          <w:lang w:val="en-GB"/>
        </w:rPr>
        <w:t>Source: Department of Health</w:t>
      </w:r>
    </w:p>
    <w:p w:rsidR="001577D4" w:rsidRPr="007F1A00" w:rsidRDefault="001577D4" w:rsidP="001577D4">
      <w:pPr>
        <w:pStyle w:val="Bullet1stlevel"/>
        <w:numPr>
          <w:ilvl w:val="0"/>
          <w:numId w:val="0"/>
        </w:numPr>
        <w:ind w:left="340" w:hanging="340"/>
        <w:rPr>
          <w:color w:val="44546A" w:themeColor="text2"/>
          <w:sz w:val="18"/>
          <w:szCs w:val="18"/>
          <w:lang w:val="en-GB"/>
        </w:rPr>
      </w:pPr>
    </w:p>
    <w:p w:rsidR="006470B6" w:rsidRPr="007F1A00" w:rsidRDefault="00E35451" w:rsidP="006B254C">
      <w:pPr>
        <w:spacing w:before="0" w:after="160" w:line="259" w:lineRule="auto"/>
        <w:rPr>
          <w:i/>
          <w:iCs/>
          <w:color w:val="44546A" w:themeColor="text2"/>
          <w:sz w:val="18"/>
          <w:szCs w:val="18"/>
          <w:lang w:val="en-GB"/>
        </w:rPr>
      </w:pPr>
      <w:bookmarkStart w:id="11" w:name="_Ref535506265"/>
      <w:r w:rsidRPr="007F1A00">
        <w:rPr>
          <w:lang w:val="en-GB"/>
        </w:rPr>
        <w:br w:type="page"/>
      </w:r>
      <w:bookmarkEnd w:id="11"/>
    </w:p>
    <w:p w:rsidR="006470B6" w:rsidRPr="009E796E" w:rsidRDefault="006470B6" w:rsidP="005D2C05">
      <w:pPr>
        <w:pStyle w:val="Caption"/>
        <w:rPr>
          <w:lang w:val="en-GB"/>
        </w:rPr>
      </w:pPr>
      <w:bookmarkStart w:id="12" w:name="_Ref355533"/>
      <w:r w:rsidRPr="009E796E">
        <w:rPr>
          <w:lang w:val="en-GB"/>
        </w:rPr>
        <w:t xml:space="preserve">Figure </w:t>
      </w:r>
      <w:r w:rsidR="00CA7A42" w:rsidRPr="009E796E">
        <w:rPr>
          <w:lang w:val="en-GB"/>
        </w:rPr>
        <w:fldChar w:fldCharType="begin"/>
      </w:r>
      <w:r w:rsidR="00CA7A42" w:rsidRPr="009E796E">
        <w:rPr>
          <w:lang w:val="en-GB"/>
        </w:rPr>
        <w:instrText xml:space="preserve"> SEQ Figure \* ARABIC </w:instrText>
      </w:r>
      <w:r w:rsidR="00CA7A42" w:rsidRPr="009E796E">
        <w:rPr>
          <w:lang w:val="en-GB"/>
        </w:rPr>
        <w:fldChar w:fldCharType="separate"/>
      </w:r>
      <w:r w:rsidR="00ED07D2">
        <w:rPr>
          <w:noProof/>
          <w:lang w:val="en-GB"/>
        </w:rPr>
        <w:t>2</w:t>
      </w:r>
      <w:r w:rsidR="00CA7A42" w:rsidRPr="009E796E">
        <w:rPr>
          <w:lang w:val="en-GB"/>
        </w:rPr>
        <w:fldChar w:fldCharType="end"/>
      </w:r>
      <w:bookmarkEnd w:id="12"/>
      <w:r w:rsidRPr="009E796E">
        <w:rPr>
          <w:lang w:val="en-GB"/>
        </w:rPr>
        <w:t>: Proportion of State/Territory funding provided as 'direct' funding in 2016/17 and 2017/18</w:t>
      </w:r>
    </w:p>
    <w:p w:rsidR="00BE0797" w:rsidRPr="007F1A00" w:rsidRDefault="00BE0797" w:rsidP="006470B6">
      <w:pPr>
        <w:pStyle w:val="Bullet1stlevel"/>
        <w:numPr>
          <w:ilvl w:val="0"/>
          <w:numId w:val="0"/>
        </w:numPr>
        <w:ind w:left="340" w:hanging="340"/>
        <w:rPr>
          <w:color w:val="44546A" w:themeColor="text2"/>
          <w:sz w:val="18"/>
          <w:szCs w:val="18"/>
          <w:lang w:val="en-GB"/>
        </w:rPr>
      </w:pPr>
      <w:r>
        <w:rPr>
          <w:noProof/>
          <w:color w:val="44546A" w:themeColor="text2"/>
          <w:sz w:val="18"/>
          <w:szCs w:val="18"/>
          <w:lang w:val="en-GB" w:eastAsia="en-GB"/>
        </w:rPr>
        <w:drawing>
          <wp:inline distT="0" distB="0" distL="0" distR="0" wp14:anchorId="602C1251">
            <wp:extent cx="5761355" cy="3841115"/>
            <wp:effectExtent l="0" t="0" r="0" b="0"/>
            <wp:docPr id="2" name="Picture 2" descr="In NSW in 2016/17 100% of direct funding was provided by the jurisdiction&#10;In NSW in 2017/18 100% of direct funding was provided by the jurisdiction&#10;In VIC in 2016/17 100% of direct funding was provided by the jurisdiction&#10;In VIC in 2017/18 100% of direct funding was provided by the jurisdiction&#10;In QLD in 2016/17 85% of direct funding was provided by the jurisdiction&#10;In QLD in 2017/18 86% of direct funding was provided by the jurisdiction&#10;In WA in 2016/17 99% of direct funding was provided by the jurisdiction&#10;In WA in 2017/18 100% of direct funding was provided by the jurisdiction&#10;In SA in 2016/17 100% of direct funding was provided by the jurisdiction&#10;In SA in 2017/18 97% of direct funding was provided by the jurisdiction&#10;In TAS in 2016/17 0% of direct funding was provided by the jurisdiction&#10;In TAS in 2017/18 0% of direct funding was provided by the jurisdiction&#10;In ACT in 2016/17 100% of direct funding was provided by the jurisdiction&#10;In ACT in 2017/18 100% of direct funding was provided by the jurisdiction&#10;In NT in 2016/17 0% of direct funding was provided by the jurisdiction&#10;In NT in 2017/18 0% of direct funding was provided by the jurisdiction&#10;In AUS in 2016/17 93% of direct funding was provided by the jurisdictions&#10;In AUS in 2017/18 93% of direct funding was provided by the jurisdictions" title="Figure 2 show the Proportion of State/Territory funding provided as 'direct' funding in 2016/17 an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3841115"/>
                    </a:xfrm>
                    <a:prstGeom prst="rect">
                      <a:avLst/>
                    </a:prstGeom>
                    <a:noFill/>
                  </pic:spPr>
                </pic:pic>
              </a:graphicData>
            </a:graphic>
          </wp:inline>
        </w:drawing>
      </w:r>
    </w:p>
    <w:p w:rsidR="001577D4" w:rsidRDefault="001577D4" w:rsidP="001577D4">
      <w:pPr>
        <w:pStyle w:val="Bullet1stlevel"/>
        <w:numPr>
          <w:ilvl w:val="0"/>
          <w:numId w:val="0"/>
        </w:numPr>
        <w:ind w:left="340" w:hanging="340"/>
        <w:rPr>
          <w:color w:val="44546A" w:themeColor="text2"/>
          <w:sz w:val="18"/>
          <w:szCs w:val="18"/>
          <w:lang w:val="en-GB"/>
        </w:rPr>
      </w:pPr>
      <w:r w:rsidRPr="007F1A00">
        <w:rPr>
          <w:color w:val="44546A" w:themeColor="text2"/>
          <w:sz w:val="18"/>
          <w:szCs w:val="18"/>
          <w:lang w:val="en-GB"/>
        </w:rPr>
        <w:t>Source: Department of Health</w:t>
      </w:r>
    </w:p>
    <w:p w:rsidR="00CF761B" w:rsidRDefault="00CF761B" w:rsidP="00CF761B">
      <w:pPr>
        <w:pStyle w:val="BodyText1"/>
        <w:rPr>
          <w:lang w:val="en-GB"/>
        </w:rPr>
      </w:pPr>
      <w:r>
        <w:rPr>
          <w:lang w:val="en-GB"/>
        </w:rPr>
        <w:t xml:space="preserve">The cost of providing </w:t>
      </w:r>
      <w:r w:rsidR="003A2412">
        <w:rPr>
          <w:lang w:val="en-GB"/>
        </w:rPr>
        <w:t xml:space="preserve">the </w:t>
      </w:r>
      <w:r>
        <w:rPr>
          <w:lang w:val="en-GB"/>
        </w:rPr>
        <w:t>TCP is var</w:t>
      </w:r>
      <w:r w:rsidR="0064097B">
        <w:rPr>
          <w:lang w:val="en-GB"/>
        </w:rPr>
        <w:t>iable across each jurisdiction, with Tasmania and Victoria having the highest cost of service ($355.70 and $348.68 per day</w:t>
      </w:r>
      <w:r w:rsidR="0041121D">
        <w:rPr>
          <w:lang w:val="en-GB"/>
        </w:rPr>
        <w:t>, respectively</w:t>
      </w:r>
      <w:r w:rsidR="0064097B">
        <w:rPr>
          <w:lang w:val="en-GB"/>
        </w:rPr>
        <w:t xml:space="preserve">), and </w:t>
      </w:r>
      <w:r w:rsidR="009E0E25">
        <w:rPr>
          <w:lang w:val="en-GB"/>
        </w:rPr>
        <w:t xml:space="preserve">the </w:t>
      </w:r>
      <w:r w:rsidR="0064097B">
        <w:rPr>
          <w:lang w:val="en-GB"/>
        </w:rPr>
        <w:t>ACT the lowest ($247.34 per day). This appears to be driven by the proportion of residential care as a total of TCP places, with Victoria having a high proportion (67 per</w:t>
      </w:r>
      <w:r w:rsidR="0041121D">
        <w:rPr>
          <w:lang w:val="en-GB"/>
        </w:rPr>
        <w:t xml:space="preserve"> </w:t>
      </w:r>
      <w:r w:rsidR="0064097B">
        <w:rPr>
          <w:lang w:val="en-GB"/>
        </w:rPr>
        <w:t xml:space="preserve">cent of all admissions in FY18) </w:t>
      </w:r>
      <w:r w:rsidR="008F6638">
        <w:rPr>
          <w:lang w:val="en-GB"/>
        </w:rPr>
        <w:t xml:space="preserve">of places </w:t>
      </w:r>
      <w:r w:rsidR="0064097B">
        <w:rPr>
          <w:lang w:val="en-GB"/>
        </w:rPr>
        <w:t xml:space="preserve">in residential care facilities, compared with </w:t>
      </w:r>
      <w:r w:rsidR="00711E03">
        <w:rPr>
          <w:lang w:val="en-GB"/>
        </w:rPr>
        <w:t>ACT (</w:t>
      </w:r>
      <w:r w:rsidR="0064097B">
        <w:rPr>
          <w:lang w:val="en-GB"/>
        </w:rPr>
        <w:t>41 per cent</w:t>
      </w:r>
      <w:r w:rsidR="00711E03">
        <w:rPr>
          <w:lang w:val="en-GB"/>
        </w:rPr>
        <w:t xml:space="preserve"> delivered in residential care</w:t>
      </w:r>
      <w:r w:rsidR="0064097B">
        <w:rPr>
          <w:lang w:val="en-GB"/>
        </w:rPr>
        <w:t>)</w:t>
      </w:r>
      <w:r w:rsidR="00711E03">
        <w:rPr>
          <w:lang w:val="en-GB"/>
        </w:rPr>
        <w:t>.</w:t>
      </w:r>
      <w:r w:rsidR="0064097B">
        <w:rPr>
          <w:lang w:val="en-GB"/>
        </w:rPr>
        <w:t xml:space="preserve"> This </w:t>
      </w:r>
      <w:r w:rsidR="00BE1370">
        <w:rPr>
          <w:lang w:val="en-GB"/>
        </w:rPr>
        <w:t xml:space="preserve">may </w:t>
      </w:r>
      <w:r w:rsidR="0064097B">
        <w:rPr>
          <w:lang w:val="en-GB"/>
        </w:rPr>
        <w:t>indicate th</w:t>
      </w:r>
      <w:r w:rsidR="0041121D">
        <w:rPr>
          <w:lang w:val="en-GB"/>
        </w:rPr>
        <w:t>e</w:t>
      </w:r>
      <w:r w:rsidR="0064097B">
        <w:rPr>
          <w:lang w:val="en-GB"/>
        </w:rPr>
        <w:t xml:space="preserve"> TCP i</w:t>
      </w:r>
      <w:r w:rsidR="00D536B6">
        <w:rPr>
          <w:lang w:val="en-GB"/>
        </w:rPr>
        <w:t>s more cost effective</w:t>
      </w:r>
      <w:r w:rsidR="0064097B">
        <w:rPr>
          <w:lang w:val="en-GB"/>
        </w:rPr>
        <w:t xml:space="preserve"> to provide in a community setting</w:t>
      </w:r>
      <w:r w:rsidR="00BC5653">
        <w:rPr>
          <w:lang w:val="en-GB"/>
        </w:rPr>
        <w:t xml:space="preserve"> (noting </w:t>
      </w:r>
      <w:r w:rsidR="00BC5653">
        <w:t>there may be other variables that impact on the cost of service)</w:t>
      </w:r>
      <w:r w:rsidR="00711E03">
        <w:rPr>
          <w:lang w:val="en-GB"/>
        </w:rPr>
        <w:t>.</w:t>
      </w:r>
      <w:r w:rsidR="006C271F">
        <w:rPr>
          <w:lang w:val="en-GB"/>
        </w:rPr>
        <w:t xml:space="preserve"> </w:t>
      </w:r>
      <w:r w:rsidR="00711E03">
        <w:rPr>
          <w:lang w:val="en-GB"/>
        </w:rPr>
        <w:t xml:space="preserve">There also appears to be </w:t>
      </w:r>
      <w:r w:rsidR="0064097B">
        <w:rPr>
          <w:lang w:val="en-GB"/>
        </w:rPr>
        <w:t xml:space="preserve">some additional costs to providing care in rural and remote settings which have been highlighted by Queensland (26 per cent of care provided in residential care) and </w:t>
      </w:r>
      <w:r w:rsidR="009E0E25">
        <w:rPr>
          <w:lang w:val="en-GB"/>
        </w:rPr>
        <w:t>the NT</w:t>
      </w:r>
      <w:r w:rsidR="0064097B">
        <w:rPr>
          <w:lang w:val="en-GB"/>
        </w:rPr>
        <w:t xml:space="preserve"> (2 per cent of care provided in residential care).</w:t>
      </w:r>
      <w:r w:rsidR="00E81D78">
        <w:rPr>
          <w:lang w:val="en-GB"/>
        </w:rPr>
        <w:t xml:space="preserve"> </w:t>
      </w:r>
      <w:r w:rsidR="00D536B6">
        <w:rPr>
          <w:lang w:val="en-GB"/>
        </w:rPr>
        <w:t xml:space="preserve">Costs to provide care in these locations are anecdotally higher due to travel costs and the reduced economies of scale. </w:t>
      </w:r>
      <w:r w:rsidR="00E81D78">
        <w:rPr>
          <w:lang w:val="en-GB"/>
        </w:rPr>
        <w:t xml:space="preserve">See Section </w:t>
      </w:r>
      <w:r w:rsidR="00E81D78">
        <w:rPr>
          <w:lang w:val="en-GB"/>
        </w:rPr>
        <w:fldChar w:fldCharType="begin"/>
      </w:r>
      <w:r w:rsidR="00E81D78">
        <w:rPr>
          <w:lang w:val="en-GB"/>
        </w:rPr>
        <w:instrText xml:space="preserve"> REF _Ref172420 \r \h </w:instrText>
      </w:r>
      <w:r w:rsidR="00E81D78">
        <w:rPr>
          <w:lang w:val="en-GB"/>
        </w:rPr>
      </w:r>
      <w:r w:rsidR="00E81D78">
        <w:rPr>
          <w:lang w:val="en-GB"/>
        </w:rPr>
        <w:fldChar w:fldCharType="separate"/>
      </w:r>
      <w:r w:rsidR="00ED07D2">
        <w:rPr>
          <w:lang w:val="en-GB"/>
        </w:rPr>
        <w:t>2.3</w:t>
      </w:r>
      <w:r w:rsidR="00E81D78">
        <w:rPr>
          <w:lang w:val="en-GB"/>
        </w:rPr>
        <w:fldChar w:fldCharType="end"/>
      </w:r>
      <w:r w:rsidR="00E81D78">
        <w:rPr>
          <w:lang w:val="en-GB"/>
        </w:rPr>
        <w:t xml:space="preserve"> for a discussion of the care places offered by each individual jurisdiction.</w:t>
      </w:r>
    </w:p>
    <w:p w:rsidR="00DC6838" w:rsidRDefault="007126ED" w:rsidP="00CF761B">
      <w:pPr>
        <w:pStyle w:val="BodyText1"/>
        <w:rPr>
          <w:lang w:val="en-GB"/>
        </w:rPr>
      </w:pPr>
      <w:r>
        <w:rPr>
          <w:lang w:val="en-GB"/>
        </w:rPr>
        <w:t xml:space="preserve">SA </w:t>
      </w:r>
      <w:r w:rsidR="00DE3BD7">
        <w:rPr>
          <w:lang w:val="en-GB"/>
        </w:rPr>
        <w:t>has experienced</w:t>
      </w:r>
      <w:r w:rsidR="0064097B">
        <w:rPr>
          <w:lang w:val="en-GB"/>
        </w:rPr>
        <w:t xml:space="preserve"> </w:t>
      </w:r>
      <w:r w:rsidR="00DC6838">
        <w:rPr>
          <w:lang w:val="en-GB"/>
        </w:rPr>
        <w:t xml:space="preserve">a high rate of </w:t>
      </w:r>
      <w:r w:rsidR="00DE3BD7">
        <w:rPr>
          <w:lang w:val="en-GB"/>
        </w:rPr>
        <w:t>year-on-year growth of cost of delivering the TCP</w:t>
      </w:r>
      <w:r w:rsidR="00DC6838">
        <w:rPr>
          <w:lang w:val="en-GB"/>
        </w:rPr>
        <w:t>. Anecdotally, this is due to increased pressure from brokered service providers to be paid</w:t>
      </w:r>
      <w:r w:rsidR="00D536B6">
        <w:rPr>
          <w:lang w:val="en-GB"/>
        </w:rPr>
        <w:t xml:space="preserve"> more to provide TCP services. </w:t>
      </w:r>
      <w:r w:rsidR="00BC5653">
        <w:rPr>
          <w:lang w:val="en-GB"/>
        </w:rPr>
        <w:t>One government stakeholder</w:t>
      </w:r>
      <w:r w:rsidR="00DC6838">
        <w:rPr>
          <w:lang w:val="en-GB"/>
        </w:rPr>
        <w:t xml:space="preserve"> cite</w:t>
      </w:r>
      <w:r w:rsidR="00BC5653">
        <w:rPr>
          <w:lang w:val="en-GB"/>
        </w:rPr>
        <w:t>d</w:t>
      </w:r>
      <w:r w:rsidR="00DC6838">
        <w:rPr>
          <w:lang w:val="en-GB"/>
        </w:rPr>
        <w:t xml:space="preserve"> rising costs, and the fact that the TCP subsidy is lower than other</w:t>
      </w:r>
      <w:r w:rsidR="00A52C03">
        <w:rPr>
          <w:lang w:val="en-GB"/>
        </w:rPr>
        <w:t>,</w:t>
      </w:r>
      <w:r w:rsidR="00DC6838">
        <w:rPr>
          <w:lang w:val="en-GB"/>
        </w:rPr>
        <w:t xml:space="preserve"> less intensive</w:t>
      </w:r>
      <w:r w:rsidR="00A52C03">
        <w:rPr>
          <w:lang w:val="en-GB"/>
        </w:rPr>
        <w:t>,</w:t>
      </w:r>
      <w:r w:rsidR="00DC6838">
        <w:rPr>
          <w:lang w:val="en-GB"/>
        </w:rPr>
        <w:t xml:space="preserve"> programs. </w:t>
      </w:r>
    </w:p>
    <w:p w:rsidR="00DC6838" w:rsidRDefault="00A346E8" w:rsidP="009E0E25">
      <w:pPr>
        <w:pStyle w:val="Bullet1stlevel"/>
        <w:numPr>
          <w:ilvl w:val="0"/>
          <w:numId w:val="0"/>
        </w:numPr>
        <w:rPr>
          <w:lang w:val="en-GB"/>
        </w:rPr>
      </w:pPr>
      <w:r>
        <w:rPr>
          <w:lang w:val="en-GB"/>
        </w:rPr>
        <w:t>For</w:t>
      </w:r>
      <w:r w:rsidR="00BE4916" w:rsidRPr="007F1A00">
        <w:rPr>
          <w:lang w:val="en-GB"/>
        </w:rPr>
        <w:t xml:space="preserve"> some </w:t>
      </w:r>
      <w:r w:rsidR="00BE4916">
        <w:rPr>
          <w:lang w:val="en-GB"/>
        </w:rPr>
        <w:t>States and Territories</w:t>
      </w:r>
      <w:r w:rsidR="00BE4916" w:rsidRPr="007F1A00">
        <w:rPr>
          <w:lang w:val="en-GB"/>
        </w:rPr>
        <w:t xml:space="preserve">, it was noted that pricing disparities </w:t>
      </w:r>
      <w:r w:rsidR="00D57504">
        <w:rPr>
          <w:lang w:val="en-GB"/>
        </w:rPr>
        <w:t xml:space="preserve">have the potential to </w:t>
      </w:r>
      <w:r w:rsidR="00BE4916" w:rsidRPr="007F1A00">
        <w:rPr>
          <w:lang w:val="en-GB"/>
        </w:rPr>
        <w:t xml:space="preserve">become a significant challenge </w:t>
      </w:r>
      <w:r w:rsidR="00D57504">
        <w:rPr>
          <w:lang w:val="en-GB"/>
        </w:rPr>
        <w:t xml:space="preserve">in delivering </w:t>
      </w:r>
      <w:r w:rsidR="00BE4916" w:rsidRPr="007F1A00">
        <w:rPr>
          <w:lang w:val="en-GB"/>
        </w:rPr>
        <w:t xml:space="preserve">the Programme. For example, a service provider based in Queensland highlighted the differences in prices for their therapy services: a private </w:t>
      </w:r>
      <w:r w:rsidR="00D57504">
        <w:rPr>
          <w:lang w:val="en-GB"/>
        </w:rPr>
        <w:t xml:space="preserve">therapy </w:t>
      </w:r>
      <w:r w:rsidR="00BE4916" w:rsidRPr="007F1A00">
        <w:rPr>
          <w:lang w:val="en-GB"/>
        </w:rPr>
        <w:t>appointment and an appointment through the National Disability Insurance Scheme (NDIS) attracts $180</w:t>
      </w:r>
      <w:r w:rsidR="0041121D">
        <w:rPr>
          <w:lang w:val="en-GB"/>
        </w:rPr>
        <w:t>;</w:t>
      </w:r>
      <w:r w:rsidR="00BE4916" w:rsidRPr="007F1A00">
        <w:rPr>
          <w:lang w:val="en-GB"/>
        </w:rPr>
        <w:t xml:space="preserve"> whereas a TCP visit attracts $105. </w:t>
      </w:r>
      <w:r w:rsidR="00D57504">
        <w:rPr>
          <w:lang w:val="en-GB"/>
        </w:rPr>
        <w:t>I</w:t>
      </w:r>
      <w:r w:rsidR="00BE4916" w:rsidRPr="007F1A00">
        <w:rPr>
          <w:lang w:val="en-GB"/>
        </w:rPr>
        <w:t xml:space="preserve">n </w:t>
      </w:r>
      <w:r w:rsidR="007126ED">
        <w:rPr>
          <w:lang w:val="en-GB"/>
        </w:rPr>
        <w:t>SA</w:t>
      </w:r>
      <w:r w:rsidR="00786E76">
        <w:rPr>
          <w:lang w:val="en-GB"/>
        </w:rPr>
        <w:t xml:space="preserve"> –</w:t>
      </w:r>
      <w:r w:rsidR="00D57504">
        <w:rPr>
          <w:lang w:val="en-GB"/>
        </w:rPr>
        <w:t xml:space="preserve"> </w:t>
      </w:r>
      <w:r w:rsidR="00BE4916" w:rsidRPr="007F1A00">
        <w:rPr>
          <w:lang w:val="en-GB"/>
        </w:rPr>
        <w:t xml:space="preserve">where a large proportion of </w:t>
      </w:r>
      <w:r w:rsidR="0041121D">
        <w:rPr>
          <w:lang w:val="en-GB"/>
        </w:rPr>
        <w:t xml:space="preserve">the </w:t>
      </w:r>
      <w:r w:rsidR="00BE4916" w:rsidRPr="007F1A00">
        <w:rPr>
          <w:lang w:val="en-GB"/>
        </w:rPr>
        <w:t xml:space="preserve">TCP places are </w:t>
      </w:r>
      <w:r w:rsidR="009D286B">
        <w:rPr>
          <w:lang w:val="en-GB"/>
        </w:rPr>
        <w:t xml:space="preserve">brokered to, and </w:t>
      </w:r>
      <w:r w:rsidR="00D57504">
        <w:rPr>
          <w:lang w:val="en-GB"/>
        </w:rPr>
        <w:t xml:space="preserve">delivered </w:t>
      </w:r>
      <w:r w:rsidR="00BE4916" w:rsidRPr="007F1A00">
        <w:rPr>
          <w:lang w:val="en-GB"/>
        </w:rPr>
        <w:t>in</w:t>
      </w:r>
      <w:r w:rsidR="009D286B">
        <w:rPr>
          <w:lang w:val="en-GB"/>
        </w:rPr>
        <w:t>,</w:t>
      </w:r>
      <w:r w:rsidR="00BE4916" w:rsidRPr="007F1A00">
        <w:rPr>
          <w:lang w:val="en-GB"/>
        </w:rPr>
        <w:t xml:space="preserve"> residential care facilities</w:t>
      </w:r>
      <w:r w:rsidR="00786E76">
        <w:rPr>
          <w:lang w:val="en-GB"/>
        </w:rPr>
        <w:t xml:space="preserve"> –</w:t>
      </w:r>
      <w:r w:rsidR="00BE4916" w:rsidRPr="007F1A00">
        <w:rPr>
          <w:lang w:val="en-GB"/>
        </w:rPr>
        <w:t xml:space="preserve"> </w:t>
      </w:r>
      <w:r w:rsidR="009D286B">
        <w:rPr>
          <w:lang w:val="en-GB"/>
        </w:rPr>
        <w:t xml:space="preserve">there was concern that </w:t>
      </w:r>
      <w:r w:rsidR="00BE4916" w:rsidRPr="007F1A00">
        <w:rPr>
          <w:lang w:val="en-GB"/>
        </w:rPr>
        <w:t xml:space="preserve">providers may be financially reluctant to </w:t>
      </w:r>
      <w:r w:rsidR="009D286B">
        <w:rPr>
          <w:lang w:val="en-GB"/>
        </w:rPr>
        <w:t xml:space="preserve">continue to provide </w:t>
      </w:r>
      <w:r w:rsidR="00D67CB5">
        <w:rPr>
          <w:lang w:val="en-GB"/>
        </w:rPr>
        <w:t xml:space="preserve">the </w:t>
      </w:r>
      <w:r w:rsidR="009D286B">
        <w:rPr>
          <w:lang w:val="en-GB"/>
        </w:rPr>
        <w:t xml:space="preserve">TCP in a residential care setting. </w:t>
      </w:r>
      <w:r w:rsidR="00BE4916" w:rsidRPr="007F1A00">
        <w:rPr>
          <w:lang w:val="en-GB"/>
        </w:rPr>
        <w:t xml:space="preserve">This </w:t>
      </w:r>
      <w:r w:rsidR="009D286B">
        <w:rPr>
          <w:lang w:val="en-GB"/>
        </w:rPr>
        <w:t>was</w:t>
      </w:r>
      <w:r w:rsidR="00BE4916" w:rsidRPr="007F1A00">
        <w:rPr>
          <w:lang w:val="en-GB"/>
        </w:rPr>
        <w:t xml:space="preserve"> particularly the case where providers </w:t>
      </w:r>
      <w:r w:rsidR="009D286B">
        <w:rPr>
          <w:lang w:val="en-GB"/>
        </w:rPr>
        <w:t xml:space="preserve">perceived they were </w:t>
      </w:r>
      <w:r w:rsidR="00BE4916" w:rsidRPr="007F1A00">
        <w:rPr>
          <w:lang w:val="en-GB"/>
        </w:rPr>
        <w:t>support</w:t>
      </w:r>
      <w:r w:rsidR="009D286B">
        <w:rPr>
          <w:lang w:val="en-GB"/>
        </w:rPr>
        <w:t>ing</w:t>
      </w:r>
      <w:r w:rsidR="00BE4916" w:rsidRPr="007F1A00">
        <w:rPr>
          <w:lang w:val="en-GB"/>
        </w:rPr>
        <w:t xml:space="preserve"> more complex care recipients (explored further in Section </w:t>
      </w:r>
      <w:r w:rsidR="00BE4916" w:rsidRPr="007F1A00">
        <w:rPr>
          <w:lang w:val="en-GB"/>
        </w:rPr>
        <w:fldChar w:fldCharType="begin"/>
      </w:r>
      <w:r w:rsidR="00BE4916" w:rsidRPr="007F1A00">
        <w:rPr>
          <w:lang w:val="en-GB"/>
        </w:rPr>
        <w:instrText xml:space="preserve"> REF _Ref535419681 \r \h </w:instrText>
      </w:r>
      <w:r w:rsidR="00BE4916" w:rsidRPr="007F1A00">
        <w:rPr>
          <w:lang w:val="en-GB"/>
        </w:rPr>
      </w:r>
      <w:r w:rsidR="00BE4916" w:rsidRPr="007F1A00">
        <w:rPr>
          <w:lang w:val="en-GB"/>
        </w:rPr>
        <w:fldChar w:fldCharType="separate"/>
      </w:r>
      <w:r w:rsidR="00ED07D2">
        <w:rPr>
          <w:lang w:val="en-GB"/>
        </w:rPr>
        <w:t>3.2.1</w:t>
      </w:r>
      <w:r w:rsidR="00BE4916" w:rsidRPr="007F1A00">
        <w:rPr>
          <w:lang w:val="en-GB"/>
        </w:rPr>
        <w:fldChar w:fldCharType="end"/>
      </w:r>
      <w:r w:rsidR="00BE4916" w:rsidRPr="007F1A00">
        <w:rPr>
          <w:lang w:val="en-GB"/>
        </w:rPr>
        <w:t>)</w:t>
      </w:r>
      <w:r w:rsidR="0022187F">
        <w:rPr>
          <w:lang w:val="en-GB"/>
        </w:rPr>
        <w:t>.</w:t>
      </w:r>
      <w:r w:rsidR="00BE4916" w:rsidRPr="007F1A00">
        <w:rPr>
          <w:lang w:val="en-GB"/>
        </w:rPr>
        <w:t xml:space="preserve"> </w:t>
      </w:r>
      <w:r w:rsidR="0022187F">
        <w:rPr>
          <w:lang w:val="en-GB"/>
        </w:rPr>
        <w:t>F</w:t>
      </w:r>
      <w:r w:rsidR="00BE4916" w:rsidRPr="007F1A00">
        <w:rPr>
          <w:lang w:val="en-GB"/>
        </w:rPr>
        <w:t xml:space="preserve">or example, </w:t>
      </w:r>
      <w:r w:rsidR="00BC5653">
        <w:rPr>
          <w:lang w:val="en-GB"/>
        </w:rPr>
        <w:t>a government stakeholder</w:t>
      </w:r>
      <w:r w:rsidR="00BE4916" w:rsidRPr="007F1A00">
        <w:rPr>
          <w:lang w:val="en-GB"/>
        </w:rPr>
        <w:t xml:space="preserve"> noted that the cost and increased frequency of dressings for complex wound care means that they have to renegotiate the</w:t>
      </w:r>
      <w:r w:rsidR="009D286B">
        <w:rPr>
          <w:lang w:val="en-GB"/>
        </w:rPr>
        <w:t xml:space="preserve"> price with providers regularly, and that </w:t>
      </w:r>
      <w:r w:rsidR="009E0E25">
        <w:rPr>
          <w:lang w:val="en-GB"/>
        </w:rPr>
        <w:t xml:space="preserve">other programs (both State and Commonwealth funded) were more financially attractive. </w:t>
      </w:r>
    </w:p>
    <w:p w:rsidR="00E35451" w:rsidRPr="007F1A00" w:rsidRDefault="00E35451" w:rsidP="00281F83">
      <w:pPr>
        <w:pStyle w:val="Heading2"/>
        <w:rPr>
          <w:lang w:val="en-GB"/>
        </w:rPr>
      </w:pPr>
      <w:bookmarkStart w:id="13" w:name="_Ref172420"/>
      <w:bookmarkStart w:id="14" w:name="_Toc5270596"/>
      <w:r w:rsidRPr="007F1A00">
        <w:rPr>
          <w:lang w:val="en-GB"/>
        </w:rPr>
        <w:t xml:space="preserve">The operations of </w:t>
      </w:r>
      <w:bookmarkEnd w:id="13"/>
      <w:r w:rsidR="00562109">
        <w:rPr>
          <w:lang w:val="en-GB"/>
        </w:rPr>
        <w:t>the Transition Care Programme</w:t>
      </w:r>
      <w:bookmarkEnd w:id="14"/>
    </w:p>
    <w:p w:rsidR="008A0B24" w:rsidRPr="007F1A00" w:rsidRDefault="008A0B24" w:rsidP="00E35451">
      <w:pPr>
        <w:pStyle w:val="BodyText1"/>
        <w:rPr>
          <w:color w:val="44546A" w:themeColor="text2"/>
          <w:szCs w:val="18"/>
          <w:lang w:val="en-GB"/>
        </w:rPr>
      </w:pPr>
      <w:r w:rsidRPr="007F1A00">
        <w:rPr>
          <w:lang w:val="en-GB"/>
        </w:rPr>
        <w:t>From</w:t>
      </w:r>
      <w:r w:rsidR="00D67CB5">
        <w:rPr>
          <w:lang w:val="en-GB"/>
        </w:rPr>
        <w:t xml:space="preserve"> the</w:t>
      </w:r>
      <w:r w:rsidRPr="007F1A00">
        <w:rPr>
          <w:lang w:val="en-GB"/>
        </w:rPr>
        <w:t xml:space="preserve"> TCP’s inception </w:t>
      </w:r>
      <w:r w:rsidR="00711E03">
        <w:rPr>
          <w:lang w:val="en-GB"/>
        </w:rPr>
        <w:t xml:space="preserve">in </w:t>
      </w:r>
      <w:r w:rsidR="0058765F">
        <w:rPr>
          <w:lang w:val="en-GB"/>
        </w:rPr>
        <w:t>2005/06</w:t>
      </w:r>
      <w:r w:rsidR="00711E03">
        <w:rPr>
          <w:lang w:val="en-GB"/>
        </w:rPr>
        <w:t xml:space="preserve"> </w:t>
      </w:r>
      <w:r w:rsidRPr="007F1A00">
        <w:rPr>
          <w:lang w:val="en-GB"/>
        </w:rPr>
        <w:t>to 2017/18, there have been 187,718 care recipients</w:t>
      </w:r>
      <w:r w:rsidR="00854187" w:rsidRPr="007F1A00">
        <w:rPr>
          <w:lang w:val="en-GB"/>
        </w:rPr>
        <w:t xml:space="preserve"> </w:t>
      </w:r>
      <w:r w:rsidR="00786E76">
        <w:rPr>
          <w:lang w:val="en-GB"/>
        </w:rPr>
        <w:t>who</w:t>
      </w:r>
      <w:r w:rsidR="00854187" w:rsidRPr="007F1A00">
        <w:rPr>
          <w:lang w:val="en-GB"/>
        </w:rPr>
        <w:t xml:space="preserve"> have entered and left the Programme</w:t>
      </w:r>
      <w:r w:rsidRPr="007F1A00">
        <w:rPr>
          <w:lang w:val="en-GB"/>
        </w:rPr>
        <w:t>. In 2017/18, there were 25,113 care recipients. The average</w:t>
      </w:r>
      <w:r w:rsidR="0058765F">
        <w:rPr>
          <w:lang w:val="en-GB"/>
        </w:rPr>
        <w:t xml:space="preserve"> age of all care</w:t>
      </w:r>
      <w:r w:rsidRPr="007F1A00">
        <w:rPr>
          <w:lang w:val="en-GB"/>
        </w:rPr>
        <w:t xml:space="preserve"> recipients was 81 years, and 60</w:t>
      </w:r>
      <w:r w:rsidR="00BB3FCF" w:rsidRPr="007F1A00">
        <w:rPr>
          <w:lang w:val="en-GB"/>
        </w:rPr>
        <w:t xml:space="preserve"> per cent</w:t>
      </w:r>
      <w:r w:rsidRPr="007F1A00">
        <w:rPr>
          <w:lang w:val="en-GB"/>
        </w:rPr>
        <w:t xml:space="preserve"> were female.</w:t>
      </w:r>
      <w:r w:rsidRPr="007F1A00">
        <w:rPr>
          <w:color w:val="44546A" w:themeColor="text2"/>
          <w:szCs w:val="18"/>
          <w:lang w:val="en-GB"/>
        </w:rPr>
        <w:t xml:space="preserve"> </w:t>
      </w:r>
    </w:p>
    <w:p w:rsidR="008A0B24" w:rsidRPr="007F1A00" w:rsidRDefault="00711E03" w:rsidP="00E35451">
      <w:pPr>
        <w:pStyle w:val="BodyText1"/>
        <w:rPr>
          <w:lang w:val="en-GB"/>
        </w:rPr>
      </w:pPr>
      <w:r>
        <w:rPr>
          <w:lang w:val="en-GB"/>
        </w:rPr>
        <w:t>T</w:t>
      </w:r>
      <w:r w:rsidR="008A0B24" w:rsidRPr="007F1A00">
        <w:rPr>
          <w:lang w:val="en-GB"/>
        </w:rPr>
        <w:t>he number of TCP admissions</w:t>
      </w:r>
      <w:r>
        <w:rPr>
          <w:lang w:val="en-GB"/>
        </w:rPr>
        <w:t xml:space="preserve"> nationally has</w:t>
      </w:r>
      <w:r w:rsidR="008A0B24" w:rsidRPr="007F1A00">
        <w:rPr>
          <w:lang w:val="en-GB"/>
        </w:rPr>
        <w:t xml:space="preserve"> increased since the </w:t>
      </w:r>
      <w:r w:rsidR="00E2476C" w:rsidRPr="007F1A00">
        <w:rPr>
          <w:lang w:val="en-GB"/>
        </w:rPr>
        <w:t>P</w:t>
      </w:r>
      <w:r w:rsidR="006F12C7" w:rsidRPr="007F1A00">
        <w:rPr>
          <w:lang w:val="en-GB"/>
        </w:rPr>
        <w:t>rogramme</w:t>
      </w:r>
      <w:r w:rsidR="00E35451" w:rsidRPr="007F1A00">
        <w:rPr>
          <w:lang w:val="en-GB"/>
        </w:rPr>
        <w:t>’s inception. Durin</w:t>
      </w:r>
      <w:r w:rsidR="00E2476C" w:rsidRPr="007F1A00">
        <w:rPr>
          <w:lang w:val="en-GB"/>
        </w:rPr>
        <w:t>g this time</w:t>
      </w:r>
      <w:r w:rsidR="00CA7A42" w:rsidRPr="007F1A00">
        <w:rPr>
          <w:lang w:val="en-GB"/>
        </w:rPr>
        <w:t xml:space="preserve">, the proportion of places where </w:t>
      </w:r>
      <w:r w:rsidR="00E35451" w:rsidRPr="007F1A00">
        <w:rPr>
          <w:lang w:val="en-GB"/>
        </w:rPr>
        <w:t>care was provided (care types)</w:t>
      </w:r>
      <w:r w:rsidR="00786E76">
        <w:rPr>
          <w:lang w:val="en-GB"/>
        </w:rPr>
        <w:t>,</w:t>
      </w:r>
      <w:r w:rsidR="00E35451" w:rsidRPr="007F1A00">
        <w:rPr>
          <w:lang w:val="en-GB"/>
        </w:rPr>
        <w:t xml:space="preserve"> such as in the home (community) and in residential </w:t>
      </w:r>
      <w:r w:rsidR="008A0B24" w:rsidRPr="007F1A00">
        <w:rPr>
          <w:lang w:val="en-GB"/>
        </w:rPr>
        <w:t>care</w:t>
      </w:r>
      <w:r w:rsidR="00786E76">
        <w:rPr>
          <w:lang w:val="en-GB"/>
        </w:rPr>
        <w:t>,</w:t>
      </w:r>
      <w:r w:rsidR="00E2476C" w:rsidRPr="007F1A00">
        <w:rPr>
          <w:lang w:val="en-GB"/>
        </w:rPr>
        <w:t xml:space="preserve"> has</w:t>
      </w:r>
      <w:r w:rsidR="008A0B24" w:rsidRPr="007F1A00">
        <w:rPr>
          <w:lang w:val="en-GB"/>
        </w:rPr>
        <w:t xml:space="preserve"> remained </w:t>
      </w:r>
      <w:r w:rsidR="00D67CB5">
        <w:rPr>
          <w:lang w:val="en-GB"/>
        </w:rPr>
        <w:t xml:space="preserve">fairly </w:t>
      </w:r>
      <w:r w:rsidR="008A0B24" w:rsidRPr="007F1A00">
        <w:rPr>
          <w:lang w:val="en-GB"/>
        </w:rPr>
        <w:t>constant</w:t>
      </w:r>
      <w:r w:rsidR="00CA7A42" w:rsidRPr="007F1A00">
        <w:rPr>
          <w:lang w:val="en-GB"/>
        </w:rPr>
        <w:t xml:space="preserve"> over time</w:t>
      </w:r>
      <w:r w:rsidR="008A0B24" w:rsidRPr="007F1A00">
        <w:rPr>
          <w:lang w:val="en-GB"/>
        </w:rPr>
        <w:t xml:space="preserve">. </w:t>
      </w:r>
    </w:p>
    <w:p w:rsidR="00D96811" w:rsidRPr="007F1A00" w:rsidRDefault="00D96811" w:rsidP="00586ADD">
      <w:pPr>
        <w:pStyle w:val="Bullet1stlevel"/>
        <w:numPr>
          <w:ilvl w:val="0"/>
          <w:numId w:val="0"/>
        </w:numPr>
        <w:rPr>
          <w:lang w:val="en-GB"/>
        </w:rPr>
      </w:pPr>
      <w:r w:rsidRPr="007F1A00">
        <w:rPr>
          <w:lang w:val="en-GB"/>
        </w:rPr>
        <w:t>Further, the service delivery models are varied across jurisdictions</w:t>
      </w:r>
      <w:r w:rsidR="00DE3BD7">
        <w:rPr>
          <w:lang w:val="en-GB"/>
        </w:rPr>
        <w:t xml:space="preserve"> w</w:t>
      </w:r>
      <w:r w:rsidR="007F1A00">
        <w:rPr>
          <w:lang w:val="en-GB"/>
        </w:rPr>
        <w:t>i</w:t>
      </w:r>
      <w:r w:rsidR="00786E76">
        <w:rPr>
          <w:lang w:val="en-GB"/>
        </w:rPr>
        <w:t>th a number of jurisdictions (such as</w:t>
      </w:r>
      <w:r w:rsidR="009E0E25">
        <w:rPr>
          <w:lang w:val="en-GB"/>
        </w:rPr>
        <w:t xml:space="preserve"> NSW</w:t>
      </w:r>
      <w:r w:rsidR="007F1A00">
        <w:rPr>
          <w:lang w:val="en-GB"/>
        </w:rPr>
        <w:t xml:space="preserve">) providing the majority of services ‘in house’ </w:t>
      </w:r>
      <w:r w:rsidR="00D67CB5">
        <w:rPr>
          <w:lang w:val="en-GB"/>
        </w:rPr>
        <w:t>(</w:t>
      </w:r>
      <w:r w:rsidR="007F1A00">
        <w:rPr>
          <w:lang w:val="en-GB"/>
        </w:rPr>
        <w:t xml:space="preserve">i.e. through state health </w:t>
      </w:r>
      <w:r w:rsidR="00D67CB5">
        <w:rPr>
          <w:lang w:val="en-GB"/>
        </w:rPr>
        <w:t>agencies)</w:t>
      </w:r>
      <w:r w:rsidR="007F1A00">
        <w:rPr>
          <w:lang w:val="en-GB"/>
        </w:rPr>
        <w:t>, while other jurisdictions broker the majority o</w:t>
      </w:r>
      <w:r w:rsidR="001632D6">
        <w:rPr>
          <w:lang w:val="en-GB"/>
        </w:rPr>
        <w:t>f services</w:t>
      </w:r>
      <w:r w:rsidR="00D67CB5">
        <w:rPr>
          <w:lang w:val="en-GB"/>
        </w:rPr>
        <w:t xml:space="preserve"> to </w:t>
      </w:r>
      <w:r w:rsidR="00BC5653">
        <w:rPr>
          <w:lang w:val="en-GB"/>
        </w:rPr>
        <w:t>non-government organisations (</w:t>
      </w:r>
      <w:r w:rsidR="00D67CB5">
        <w:rPr>
          <w:lang w:val="en-GB"/>
        </w:rPr>
        <w:t>NGOs</w:t>
      </w:r>
      <w:r w:rsidR="00BC5653">
        <w:rPr>
          <w:lang w:val="en-GB"/>
        </w:rPr>
        <w:t>)</w:t>
      </w:r>
      <w:r w:rsidR="001632D6">
        <w:rPr>
          <w:lang w:val="en-GB"/>
        </w:rPr>
        <w:t xml:space="preserve"> (</w:t>
      </w:r>
      <w:r w:rsidR="007126ED">
        <w:rPr>
          <w:lang w:val="en-GB"/>
        </w:rPr>
        <w:t>for example,</w:t>
      </w:r>
      <w:r w:rsidR="001632D6">
        <w:rPr>
          <w:lang w:val="en-GB"/>
        </w:rPr>
        <w:t xml:space="preserve"> </w:t>
      </w:r>
      <w:r w:rsidR="007126ED">
        <w:rPr>
          <w:lang w:val="en-GB"/>
        </w:rPr>
        <w:t>SA</w:t>
      </w:r>
      <w:r w:rsidR="001632D6">
        <w:rPr>
          <w:lang w:val="en-GB"/>
        </w:rPr>
        <w:t xml:space="preserve">). </w:t>
      </w:r>
    </w:p>
    <w:p w:rsidR="00586ADD" w:rsidRPr="007F1A00" w:rsidRDefault="00070EE9" w:rsidP="00586ADD">
      <w:pPr>
        <w:pStyle w:val="Bullet1stlevel"/>
        <w:numPr>
          <w:ilvl w:val="0"/>
          <w:numId w:val="0"/>
        </w:numPr>
        <w:rPr>
          <w:lang w:val="en-GB"/>
        </w:rPr>
      </w:pPr>
      <w:r w:rsidRPr="007F1A00">
        <w:rPr>
          <w:lang w:val="en-GB"/>
        </w:rPr>
        <w:t xml:space="preserve">Due to the </w:t>
      </w:r>
      <w:r w:rsidR="00586ADD" w:rsidRPr="007F1A00">
        <w:rPr>
          <w:lang w:val="en-GB"/>
        </w:rPr>
        <w:t xml:space="preserve">variation in service models across jurisdictions, there are also </w:t>
      </w:r>
      <w:r w:rsidRPr="007F1A00">
        <w:rPr>
          <w:lang w:val="en-GB"/>
        </w:rPr>
        <w:t>differences</w:t>
      </w:r>
      <w:r w:rsidR="00586ADD" w:rsidRPr="007F1A00">
        <w:rPr>
          <w:lang w:val="en-GB"/>
        </w:rPr>
        <w:t xml:space="preserve"> in the volume</w:t>
      </w:r>
      <w:r w:rsidR="00D67CB5">
        <w:rPr>
          <w:lang w:val="en-GB"/>
        </w:rPr>
        <w:t>s</w:t>
      </w:r>
      <w:r w:rsidR="00586ADD" w:rsidRPr="007F1A00">
        <w:rPr>
          <w:lang w:val="en-GB"/>
        </w:rPr>
        <w:t xml:space="preserve"> and types of care offered by </w:t>
      </w:r>
      <w:r w:rsidR="002812BA" w:rsidRPr="007F1A00">
        <w:rPr>
          <w:lang w:val="en-GB"/>
        </w:rPr>
        <w:t>State</w:t>
      </w:r>
      <w:r w:rsidR="00224BA2">
        <w:rPr>
          <w:lang w:val="en-GB"/>
        </w:rPr>
        <w:t>s and Territories</w:t>
      </w:r>
      <w:r w:rsidR="00BF1B08">
        <w:rPr>
          <w:lang w:val="en-GB"/>
        </w:rPr>
        <w:t>.</w:t>
      </w:r>
      <w:r w:rsidR="00A12B5A" w:rsidRPr="007F1A00">
        <w:rPr>
          <w:lang w:val="en-GB"/>
        </w:rPr>
        <w:t xml:space="preserve"> </w:t>
      </w:r>
      <w:r w:rsidRPr="007F1A00">
        <w:rPr>
          <w:lang w:val="en-GB"/>
        </w:rPr>
        <w:t>For example,</w:t>
      </w:r>
      <w:r w:rsidR="00D67CB5">
        <w:rPr>
          <w:lang w:val="en-GB"/>
        </w:rPr>
        <w:t xml:space="preserve"> the</w:t>
      </w:r>
      <w:r w:rsidRPr="007F1A00">
        <w:rPr>
          <w:lang w:val="en-GB"/>
        </w:rPr>
        <w:t xml:space="preserve"> TCP provided in W</w:t>
      </w:r>
      <w:r w:rsidR="00711E03">
        <w:rPr>
          <w:lang w:val="en-GB"/>
        </w:rPr>
        <w:t xml:space="preserve">A </w:t>
      </w:r>
      <w:r w:rsidRPr="007F1A00">
        <w:rPr>
          <w:lang w:val="en-GB"/>
        </w:rPr>
        <w:t>and Victoria is proportionally higher in residential aged care settings</w:t>
      </w:r>
      <w:r w:rsidR="00D67CB5">
        <w:rPr>
          <w:lang w:val="en-GB"/>
        </w:rPr>
        <w:t xml:space="preserve">, which is </w:t>
      </w:r>
      <w:r w:rsidR="00D536B6">
        <w:rPr>
          <w:lang w:val="en-GB"/>
        </w:rPr>
        <w:t>largely driven by the way in which</w:t>
      </w:r>
      <w:r w:rsidR="00D67CB5">
        <w:rPr>
          <w:lang w:val="en-GB"/>
        </w:rPr>
        <w:t xml:space="preserve"> the</w:t>
      </w:r>
      <w:r w:rsidR="00D536B6">
        <w:rPr>
          <w:lang w:val="en-GB"/>
        </w:rPr>
        <w:t xml:space="preserve"> TCP is used in these jurisdictions. WA and Victoria appear to </w:t>
      </w:r>
      <w:r w:rsidR="00786E76">
        <w:rPr>
          <w:lang w:val="en-GB"/>
        </w:rPr>
        <w:t>use</w:t>
      </w:r>
      <w:r w:rsidR="00D536B6">
        <w:rPr>
          <w:lang w:val="en-GB"/>
        </w:rPr>
        <w:t xml:space="preserve"> </w:t>
      </w:r>
      <w:r w:rsidR="00D67CB5">
        <w:rPr>
          <w:lang w:val="en-GB"/>
        </w:rPr>
        <w:t xml:space="preserve">the </w:t>
      </w:r>
      <w:r w:rsidR="00D536B6">
        <w:rPr>
          <w:lang w:val="en-GB"/>
        </w:rPr>
        <w:t xml:space="preserve">TCP as a trial of residential care for some care recipients as they await permanent residential care placement. This </w:t>
      </w:r>
      <w:r w:rsidR="00D57504">
        <w:rPr>
          <w:lang w:val="en-GB"/>
        </w:rPr>
        <w:t xml:space="preserve">was confirmed </w:t>
      </w:r>
      <w:r w:rsidR="00D536B6">
        <w:rPr>
          <w:lang w:val="en-GB"/>
        </w:rPr>
        <w:t>in consultations with stakeholders and by examining both the discharge destination of care recipients and the movement between categories of MB</w:t>
      </w:r>
      <w:r w:rsidR="00D57504">
        <w:rPr>
          <w:lang w:val="en-GB"/>
        </w:rPr>
        <w:t>I, as c</w:t>
      </w:r>
      <w:r w:rsidR="00D536B6">
        <w:rPr>
          <w:lang w:val="en-GB"/>
        </w:rPr>
        <w:t>are recipients in WA and Victoria showed the least movement between functional categories of the MBI at an aggregate level compared to other jurisdictions</w:t>
      </w:r>
      <w:r w:rsidR="00786E76">
        <w:rPr>
          <w:lang w:val="en-GB"/>
        </w:rPr>
        <w:t xml:space="preserve"> (</w:t>
      </w:r>
      <w:r w:rsidR="009E0E25">
        <w:rPr>
          <w:lang w:val="en-GB"/>
        </w:rPr>
        <w:t xml:space="preserve">see </w:t>
      </w:r>
      <w:r w:rsidR="009E0E25">
        <w:rPr>
          <w:lang w:val="en-GB"/>
        </w:rPr>
        <w:fldChar w:fldCharType="begin"/>
      </w:r>
      <w:r w:rsidR="009E0E25">
        <w:rPr>
          <w:lang w:val="en-GB"/>
        </w:rPr>
        <w:instrText xml:space="preserve"> REF _Ref428601 \r \h </w:instrText>
      </w:r>
      <w:r w:rsidR="009E0E25">
        <w:rPr>
          <w:lang w:val="en-GB"/>
        </w:rPr>
      </w:r>
      <w:r w:rsidR="009E0E25">
        <w:rPr>
          <w:lang w:val="en-GB"/>
        </w:rPr>
        <w:fldChar w:fldCharType="separate"/>
      </w:r>
      <w:r w:rsidR="00ED07D2">
        <w:rPr>
          <w:lang w:val="en-GB"/>
        </w:rPr>
        <w:t>Appendix D</w:t>
      </w:r>
      <w:r w:rsidR="009E0E25">
        <w:rPr>
          <w:lang w:val="en-GB"/>
        </w:rPr>
        <w:fldChar w:fldCharType="end"/>
      </w:r>
      <w:r w:rsidR="009E0E25">
        <w:rPr>
          <w:lang w:val="en-GB"/>
        </w:rPr>
        <w:t xml:space="preserve"> for further information</w:t>
      </w:r>
      <w:r w:rsidR="00786E76">
        <w:rPr>
          <w:lang w:val="en-GB"/>
        </w:rPr>
        <w:t>)</w:t>
      </w:r>
      <w:r w:rsidR="00D536B6">
        <w:rPr>
          <w:lang w:val="en-GB"/>
        </w:rPr>
        <w:t>.</w:t>
      </w:r>
      <w:r w:rsidRPr="007F1A00">
        <w:rPr>
          <w:lang w:val="en-GB"/>
        </w:rPr>
        <w:t xml:space="preserve"> </w:t>
      </w:r>
    </w:p>
    <w:p w:rsidR="00586ADD" w:rsidRPr="007F1A00" w:rsidRDefault="00586ADD" w:rsidP="00586ADD">
      <w:pPr>
        <w:pStyle w:val="BodyText1"/>
        <w:rPr>
          <w:lang w:val="en-GB"/>
        </w:rPr>
      </w:pPr>
      <w:r w:rsidRPr="007F1A00">
        <w:rPr>
          <w:lang w:val="en-GB"/>
        </w:rPr>
        <w:t>Variations in service models</w:t>
      </w:r>
      <w:r w:rsidR="00070EE9" w:rsidRPr="007F1A00">
        <w:rPr>
          <w:lang w:val="en-GB"/>
        </w:rPr>
        <w:t xml:space="preserve"> also result in variations to</w:t>
      </w:r>
      <w:r w:rsidRPr="007F1A00">
        <w:rPr>
          <w:lang w:val="en-GB"/>
        </w:rPr>
        <w:t xml:space="preserve"> cost drivers between jurisdictions. </w:t>
      </w:r>
      <w:r w:rsidR="00440AAD" w:rsidRPr="007F1A00">
        <w:rPr>
          <w:lang w:val="en-GB"/>
        </w:rPr>
        <w:t>Salaries as a proportion of total expenditure varied between jurisdictio</w:t>
      </w:r>
      <w:r w:rsidR="00786E76">
        <w:rPr>
          <w:lang w:val="en-GB"/>
        </w:rPr>
        <w:t>ns</w:t>
      </w:r>
      <w:r w:rsidR="00440AAD" w:rsidRPr="007F1A00">
        <w:rPr>
          <w:lang w:val="en-GB"/>
        </w:rPr>
        <w:t xml:space="preserve"> but was consistently a source of major expenditure. Salaries varied from 29</w:t>
      </w:r>
      <w:r w:rsidR="0077577D" w:rsidRPr="007F1A00">
        <w:rPr>
          <w:lang w:val="en-GB"/>
        </w:rPr>
        <w:t xml:space="preserve"> per cent</w:t>
      </w:r>
      <w:r w:rsidR="00440AAD" w:rsidRPr="007F1A00">
        <w:rPr>
          <w:lang w:val="en-GB"/>
        </w:rPr>
        <w:t xml:space="preserve"> of expenditure in </w:t>
      </w:r>
      <w:r w:rsidR="007126ED">
        <w:rPr>
          <w:lang w:val="en-GB"/>
        </w:rPr>
        <w:t>SA</w:t>
      </w:r>
      <w:r w:rsidR="00070EE9" w:rsidRPr="007F1A00">
        <w:rPr>
          <w:lang w:val="en-GB"/>
        </w:rPr>
        <w:t xml:space="preserve"> (due to </w:t>
      </w:r>
      <w:r w:rsidR="00D67CB5">
        <w:rPr>
          <w:lang w:val="en-GB"/>
        </w:rPr>
        <w:t>its</w:t>
      </w:r>
      <w:r w:rsidR="00D67CB5" w:rsidRPr="007F1A00">
        <w:rPr>
          <w:lang w:val="en-GB"/>
        </w:rPr>
        <w:t xml:space="preserve"> </w:t>
      </w:r>
      <w:r w:rsidR="00070EE9" w:rsidRPr="007F1A00">
        <w:rPr>
          <w:lang w:val="en-GB"/>
        </w:rPr>
        <w:t>brokerage model)</w:t>
      </w:r>
      <w:r w:rsidR="00440AAD" w:rsidRPr="007F1A00">
        <w:rPr>
          <w:lang w:val="en-GB"/>
        </w:rPr>
        <w:t xml:space="preserve"> to 84</w:t>
      </w:r>
      <w:r w:rsidR="0077577D" w:rsidRPr="007F1A00">
        <w:rPr>
          <w:lang w:val="en-GB"/>
        </w:rPr>
        <w:t xml:space="preserve"> per cent</w:t>
      </w:r>
      <w:r w:rsidR="00440AAD" w:rsidRPr="007F1A00">
        <w:rPr>
          <w:lang w:val="en-GB"/>
        </w:rPr>
        <w:t xml:space="preserve"> in the ACT. ‘Other</w:t>
      </w:r>
      <w:r w:rsidR="005846FC" w:rsidRPr="007F1A00">
        <w:rPr>
          <w:lang w:val="en-GB"/>
        </w:rPr>
        <w:t xml:space="preserve"> </w:t>
      </w:r>
      <w:r w:rsidRPr="007F1A00">
        <w:rPr>
          <w:lang w:val="en-GB"/>
        </w:rPr>
        <w:t>costs’ includes miscellaneous expenditure</w:t>
      </w:r>
      <w:r w:rsidR="00786E76">
        <w:rPr>
          <w:lang w:val="en-GB"/>
        </w:rPr>
        <w:t>,</w:t>
      </w:r>
      <w:r w:rsidRPr="007F1A00">
        <w:rPr>
          <w:lang w:val="en-GB"/>
        </w:rPr>
        <w:t xml:space="preserve"> such as travel, training and consumables.</w:t>
      </w:r>
      <w:r w:rsidR="00440AAD" w:rsidRPr="007F1A00">
        <w:rPr>
          <w:lang w:val="en-GB"/>
        </w:rPr>
        <w:t xml:space="preserve"> It should be noted that different jurisdictions have variations in how they complete their acquittals</w:t>
      </w:r>
      <w:r w:rsidR="00BB1F25">
        <w:rPr>
          <w:lang w:val="en-GB"/>
        </w:rPr>
        <w:t xml:space="preserve">. This has implications on how comparisons can be made </w:t>
      </w:r>
      <w:r w:rsidR="00545E05">
        <w:rPr>
          <w:lang w:val="en-GB"/>
        </w:rPr>
        <w:t xml:space="preserve">between jurisdictions at an aggregate level, reducing the </w:t>
      </w:r>
      <w:r w:rsidR="00440AAD" w:rsidRPr="007F1A00">
        <w:rPr>
          <w:lang w:val="en-GB"/>
        </w:rPr>
        <w:t xml:space="preserve">ability </w:t>
      </w:r>
      <w:r w:rsidR="007D0646" w:rsidRPr="007F1A00">
        <w:rPr>
          <w:lang w:val="en-GB"/>
        </w:rPr>
        <w:t xml:space="preserve">to </w:t>
      </w:r>
      <w:r w:rsidR="00440AAD" w:rsidRPr="007F1A00">
        <w:rPr>
          <w:lang w:val="en-GB"/>
        </w:rPr>
        <w:t>compare expenditure be</w:t>
      </w:r>
      <w:r w:rsidR="00070EE9" w:rsidRPr="007F1A00">
        <w:rPr>
          <w:lang w:val="en-GB"/>
        </w:rPr>
        <w:t>tween jurisdictions in a logical and meaningful way.</w:t>
      </w:r>
    </w:p>
    <w:p w:rsidR="00D536B6" w:rsidRDefault="00586ADD" w:rsidP="00D536B6">
      <w:pPr>
        <w:pStyle w:val="BodyText1"/>
        <w:rPr>
          <w:lang w:val="en-GB"/>
        </w:rPr>
      </w:pPr>
      <w:r w:rsidRPr="007F1A00">
        <w:rPr>
          <w:lang w:val="en-GB"/>
        </w:rPr>
        <w:t xml:space="preserve">Completion of the </w:t>
      </w:r>
      <w:r w:rsidR="00070EE9" w:rsidRPr="007F1A00">
        <w:rPr>
          <w:lang w:val="en-GB"/>
        </w:rPr>
        <w:t>P</w:t>
      </w:r>
      <w:r w:rsidR="006F12C7" w:rsidRPr="007F1A00">
        <w:rPr>
          <w:lang w:val="en-GB"/>
        </w:rPr>
        <w:t>rogramme</w:t>
      </w:r>
      <w:r w:rsidR="00711E03">
        <w:rPr>
          <w:lang w:val="en-GB"/>
        </w:rPr>
        <w:t xml:space="preserve"> </w:t>
      </w:r>
      <w:r w:rsidR="00786E76">
        <w:rPr>
          <w:lang w:val="en-GB"/>
        </w:rPr>
        <w:t>(</w:t>
      </w:r>
      <w:r w:rsidR="00711E03">
        <w:rPr>
          <w:lang w:val="en-GB"/>
        </w:rPr>
        <w:t>t</w:t>
      </w:r>
      <w:r w:rsidR="00711E03" w:rsidRPr="007F1A00">
        <w:rPr>
          <w:lang w:val="en-GB"/>
        </w:rPr>
        <w:t>he</w:t>
      </w:r>
      <w:r w:rsidR="00711E03">
        <w:rPr>
          <w:lang w:val="en-GB"/>
        </w:rPr>
        <w:t xml:space="preserve"> number of care recipients</w:t>
      </w:r>
      <w:r w:rsidR="00711E03" w:rsidRPr="007F1A00">
        <w:rPr>
          <w:lang w:val="en-GB"/>
        </w:rPr>
        <w:t xml:space="preserve"> who have completed the Programme and not withdrawn from care (this excludes discharges to hospital or due to deaths)</w:t>
      </w:r>
      <w:r w:rsidR="00786E76">
        <w:rPr>
          <w:lang w:val="en-GB"/>
        </w:rPr>
        <w:t>)</w:t>
      </w:r>
      <w:r w:rsidRPr="007F1A00">
        <w:rPr>
          <w:lang w:val="en-GB"/>
        </w:rPr>
        <w:t xml:space="preserve"> has remained </w:t>
      </w:r>
      <w:r w:rsidR="0002618C">
        <w:rPr>
          <w:lang w:val="en-GB"/>
        </w:rPr>
        <w:t>consistent nationally since 2005</w:t>
      </w:r>
      <w:r w:rsidRPr="007F1A00">
        <w:rPr>
          <w:lang w:val="en-GB"/>
        </w:rPr>
        <w:t>/0</w:t>
      </w:r>
      <w:r w:rsidR="0002618C">
        <w:rPr>
          <w:lang w:val="en-GB"/>
        </w:rPr>
        <w:t>6</w:t>
      </w:r>
      <w:r w:rsidR="00070EE9" w:rsidRPr="007F1A00">
        <w:rPr>
          <w:lang w:val="en-GB"/>
        </w:rPr>
        <w:t xml:space="preserve">. </w:t>
      </w:r>
      <w:r w:rsidR="00D536B6">
        <w:rPr>
          <w:lang w:val="en-GB"/>
        </w:rPr>
        <w:t>Specifically, the data shows:</w:t>
      </w:r>
    </w:p>
    <w:p w:rsidR="00D536B6" w:rsidRDefault="00835608" w:rsidP="00D536B6">
      <w:pPr>
        <w:pStyle w:val="Bullet1stlevel"/>
        <w:rPr>
          <w:lang w:val="en-GB"/>
        </w:rPr>
      </w:pPr>
      <w:r w:rsidRPr="007F1A00">
        <w:rPr>
          <w:lang w:val="en-GB"/>
        </w:rPr>
        <w:t>T</w:t>
      </w:r>
      <w:r w:rsidR="00586ADD" w:rsidRPr="007F1A00">
        <w:rPr>
          <w:lang w:val="en-GB"/>
        </w:rPr>
        <w:t xml:space="preserve">he proportion of completed episodes </w:t>
      </w:r>
      <w:r w:rsidR="00854187" w:rsidRPr="007F1A00">
        <w:rPr>
          <w:lang w:val="en-GB"/>
        </w:rPr>
        <w:t>(relative to the total number of</w:t>
      </w:r>
      <w:r w:rsidR="00586ADD" w:rsidRPr="007F1A00">
        <w:rPr>
          <w:lang w:val="en-GB"/>
        </w:rPr>
        <w:t xml:space="preserve"> episodes nationally</w:t>
      </w:r>
      <w:r w:rsidR="00854187" w:rsidRPr="007F1A00">
        <w:rPr>
          <w:lang w:val="en-GB"/>
        </w:rPr>
        <w:t>)</w:t>
      </w:r>
      <w:r w:rsidR="00586ADD" w:rsidRPr="007F1A00">
        <w:rPr>
          <w:lang w:val="en-GB"/>
        </w:rPr>
        <w:t xml:space="preserve"> averag</w:t>
      </w:r>
      <w:r w:rsidR="00854187" w:rsidRPr="007F1A00">
        <w:rPr>
          <w:lang w:val="en-GB"/>
        </w:rPr>
        <w:t>ed</w:t>
      </w:r>
      <w:r w:rsidR="00586ADD" w:rsidRPr="007F1A00">
        <w:rPr>
          <w:lang w:val="en-GB"/>
        </w:rPr>
        <w:t xml:space="preserve"> 91.8</w:t>
      </w:r>
      <w:r w:rsidR="0077577D" w:rsidRPr="007F1A00">
        <w:rPr>
          <w:lang w:val="en-GB"/>
        </w:rPr>
        <w:t xml:space="preserve"> per cent</w:t>
      </w:r>
      <w:r w:rsidR="00586ADD" w:rsidRPr="007F1A00">
        <w:rPr>
          <w:lang w:val="en-GB"/>
        </w:rPr>
        <w:t xml:space="preserve"> annually, and rang</w:t>
      </w:r>
      <w:r w:rsidR="00D67CB5">
        <w:rPr>
          <w:lang w:val="en-GB"/>
        </w:rPr>
        <w:t>ed</w:t>
      </w:r>
      <w:r w:rsidR="00586ADD" w:rsidRPr="007F1A00">
        <w:rPr>
          <w:lang w:val="en-GB"/>
        </w:rPr>
        <w:t xml:space="preserve"> between 91.4</w:t>
      </w:r>
      <w:r w:rsidR="0077577D" w:rsidRPr="007F1A00">
        <w:rPr>
          <w:lang w:val="en-GB"/>
        </w:rPr>
        <w:t xml:space="preserve"> per cent</w:t>
      </w:r>
      <w:r w:rsidR="00586ADD" w:rsidRPr="007F1A00">
        <w:rPr>
          <w:lang w:val="en-GB"/>
        </w:rPr>
        <w:t xml:space="preserve"> and 92.4</w:t>
      </w:r>
      <w:r w:rsidR="0077577D" w:rsidRPr="007F1A00">
        <w:rPr>
          <w:lang w:val="en-GB"/>
        </w:rPr>
        <w:t xml:space="preserve"> per cent</w:t>
      </w:r>
      <w:r w:rsidR="00586ADD" w:rsidRPr="007F1A00">
        <w:rPr>
          <w:lang w:val="en-GB"/>
        </w:rPr>
        <w:t xml:space="preserve"> for any individual year across Australia</w:t>
      </w:r>
      <w:r w:rsidR="00D67CB5">
        <w:rPr>
          <w:lang w:val="en-GB"/>
        </w:rPr>
        <w:t xml:space="preserve">; </w:t>
      </w:r>
    </w:p>
    <w:p w:rsidR="00D536B6" w:rsidRDefault="00D536B6" w:rsidP="00D536B6">
      <w:pPr>
        <w:pStyle w:val="Bullet1stlevel"/>
        <w:rPr>
          <w:lang w:val="en-GB"/>
        </w:rPr>
      </w:pPr>
      <w:r>
        <w:rPr>
          <w:lang w:val="en-GB"/>
        </w:rPr>
        <w:t>A</w:t>
      </w:r>
      <w:r w:rsidR="00586ADD" w:rsidRPr="007F1A00">
        <w:rPr>
          <w:lang w:val="en-GB"/>
        </w:rPr>
        <w:t>cross all jurisdictions, the average annual proportion of episodes completed within any individual jurisdiction ranged from 91.5</w:t>
      </w:r>
      <w:r w:rsidR="0077577D" w:rsidRPr="007F1A00">
        <w:rPr>
          <w:lang w:val="en-GB"/>
        </w:rPr>
        <w:t xml:space="preserve"> per cent</w:t>
      </w:r>
      <w:r w:rsidR="00586ADD" w:rsidRPr="007F1A00">
        <w:rPr>
          <w:lang w:val="en-GB"/>
        </w:rPr>
        <w:t xml:space="preserve"> to 93.2</w:t>
      </w:r>
      <w:r w:rsidR="0077577D" w:rsidRPr="007F1A00">
        <w:rPr>
          <w:lang w:val="en-GB"/>
        </w:rPr>
        <w:t xml:space="preserve"> per cent</w:t>
      </w:r>
      <w:r w:rsidR="0002618C">
        <w:rPr>
          <w:lang w:val="en-GB"/>
        </w:rPr>
        <w:t xml:space="preserve"> between 2005</w:t>
      </w:r>
      <w:r w:rsidR="00586ADD" w:rsidRPr="007F1A00">
        <w:rPr>
          <w:lang w:val="en-GB"/>
        </w:rPr>
        <w:t>/0</w:t>
      </w:r>
      <w:r w:rsidR="0002618C">
        <w:rPr>
          <w:lang w:val="en-GB"/>
        </w:rPr>
        <w:t>6</w:t>
      </w:r>
      <w:r w:rsidR="008A0B24" w:rsidRPr="007F1A00">
        <w:rPr>
          <w:lang w:val="en-GB"/>
        </w:rPr>
        <w:t xml:space="preserve"> and 2017/18</w:t>
      </w:r>
      <w:r w:rsidR="00D67CB5">
        <w:rPr>
          <w:lang w:val="en-GB"/>
        </w:rPr>
        <w:t xml:space="preserve">; </w:t>
      </w:r>
    </w:p>
    <w:p w:rsidR="00D536B6" w:rsidRDefault="00D536B6" w:rsidP="00D536B6">
      <w:pPr>
        <w:pStyle w:val="Bullet1stlevel"/>
        <w:rPr>
          <w:lang w:val="en-GB"/>
        </w:rPr>
      </w:pPr>
      <w:r>
        <w:rPr>
          <w:lang w:val="en-GB"/>
        </w:rPr>
        <w:t>In</w:t>
      </w:r>
      <w:r w:rsidR="00586ADD" w:rsidRPr="007F1A00">
        <w:rPr>
          <w:lang w:val="en-GB"/>
        </w:rPr>
        <w:t xml:space="preserve"> </w:t>
      </w:r>
      <w:r w:rsidR="00835608" w:rsidRPr="007F1A00">
        <w:rPr>
          <w:lang w:val="en-GB"/>
        </w:rPr>
        <w:t>2017/18</w:t>
      </w:r>
      <w:r w:rsidR="00586ADD" w:rsidRPr="007F1A00">
        <w:rPr>
          <w:lang w:val="en-GB"/>
        </w:rPr>
        <w:t>, the proportion of episodes completed was high across all age groups averaging 91.4</w:t>
      </w:r>
      <w:r w:rsidR="0077577D" w:rsidRPr="007F1A00">
        <w:rPr>
          <w:lang w:val="en-GB"/>
        </w:rPr>
        <w:t xml:space="preserve"> per cent</w:t>
      </w:r>
      <w:r w:rsidR="00586ADD" w:rsidRPr="007F1A00">
        <w:rPr>
          <w:lang w:val="en-GB"/>
        </w:rPr>
        <w:t xml:space="preserve"> and ranging from 88.5</w:t>
      </w:r>
      <w:r w:rsidR="0077577D" w:rsidRPr="007F1A00">
        <w:rPr>
          <w:lang w:val="en-GB"/>
        </w:rPr>
        <w:t xml:space="preserve"> per cent</w:t>
      </w:r>
      <w:r w:rsidR="00586ADD" w:rsidRPr="007F1A00">
        <w:rPr>
          <w:lang w:val="en-GB"/>
        </w:rPr>
        <w:t xml:space="preserve"> among 60-64 year olds to 96.9</w:t>
      </w:r>
      <w:r w:rsidR="0077577D" w:rsidRPr="007F1A00">
        <w:rPr>
          <w:lang w:val="en-GB"/>
        </w:rPr>
        <w:t xml:space="preserve"> per cent</w:t>
      </w:r>
      <w:r w:rsidR="00586ADD" w:rsidRPr="007F1A00">
        <w:rPr>
          <w:lang w:val="en-GB"/>
        </w:rPr>
        <w:t xml:space="preserve"> among those under 50 years o</w:t>
      </w:r>
      <w:r w:rsidR="00D67CB5">
        <w:rPr>
          <w:lang w:val="en-GB"/>
        </w:rPr>
        <w:t>f age</w:t>
      </w:r>
      <w:r w:rsidR="00586ADD" w:rsidRPr="007F1A00">
        <w:rPr>
          <w:lang w:val="en-GB"/>
        </w:rPr>
        <w:t>. Excluding 0-49 year olds, the highest completion was 92.1</w:t>
      </w:r>
      <w:r w:rsidR="0077577D" w:rsidRPr="007F1A00">
        <w:rPr>
          <w:lang w:val="en-GB"/>
        </w:rPr>
        <w:t xml:space="preserve"> per cent</w:t>
      </w:r>
      <w:r w:rsidR="00586ADD" w:rsidRPr="007F1A00">
        <w:rPr>
          <w:lang w:val="en-GB"/>
        </w:rPr>
        <w:t xml:space="preserve"> among 70-74 and 75-79 year olds</w:t>
      </w:r>
      <w:r w:rsidR="00D67CB5">
        <w:rPr>
          <w:lang w:val="en-GB"/>
        </w:rPr>
        <w:t>; and</w:t>
      </w:r>
    </w:p>
    <w:p w:rsidR="00586ADD" w:rsidRPr="007F1A00" w:rsidRDefault="00586ADD" w:rsidP="00D536B6">
      <w:pPr>
        <w:pStyle w:val="Bullet1stlevel"/>
        <w:rPr>
          <w:lang w:val="en-GB"/>
        </w:rPr>
      </w:pPr>
      <w:r w:rsidRPr="007F1A00">
        <w:rPr>
          <w:lang w:val="en-GB"/>
        </w:rPr>
        <w:t xml:space="preserve">Aside from 0-49 year olds having the highest proportion of completed episodes, there </w:t>
      </w:r>
      <w:r w:rsidR="00A12B5A" w:rsidRPr="007F1A00">
        <w:rPr>
          <w:lang w:val="en-GB"/>
        </w:rPr>
        <w:t xml:space="preserve">was no obvious trend with age. </w:t>
      </w:r>
    </w:p>
    <w:p w:rsidR="00070EE9" w:rsidRPr="007F1A00" w:rsidRDefault="00070EE9" w:rsidP="00586ADD">
      <w:pPr>
        <w:pStyle w:val="Bullet1stlevel"/>
        <w:numPr>
          <w:ilvl w:val="0"/>
          <w:numId w:val="0"/>
        </w:numPr>
        <w:rPr>
          <w:lang w:val="en-GB"/>
        </w:rPr>
      </w:pPr>
      <w:r w:rsidRPr="007F1A00">
        <w:rPr>
          <w:lang w:val="en-GB"/>
        </w:rPr>
        <w:t>This</w:t>
      </w:r>
      <w:r w:rsidR="00224BA2">
        <w:rPr>
          <w:lang w:val="en-GB"/>
        </w:rPr>
        <w:t xml:space="preserve"> analysis suggests that </w:t>
      </w:r>
      <w:r w:rsidR="0002618C">
        <w:rPr>
          <w:lang w:val="en-GB"/>
        </w:rPr>
        <w:t xml:space="preserve">care recipients </w:t>
      </w:r>
      <w:r w:rsidR="00786E76">
        <w:rPr>
          <w:lang w:val="en-GB"/>
        </w:rPr>
        <w:t>who</w:t>
      </w:r>
      <w:r w:rsidR="0002618C">
        <w:rPr>
          <w:lang w:val="en-GB"/>
        </w:rPr>
        <w:t xml:space="preserve"> enter</w:t>
      </w:r>
      <w:r w:rsidR="00D67CB5">
        <w:rPr>
          <w:lang w:val="en-GB"/>
        </w:rPr>
        <w:t xml:space="preserve"> the</w:t>
      </w:r>
      <w:r w:rsidR="0002618C">
        <w:rPr>
          <w:lang w:val="en-GB"/>
        </w:rPr>
        <w:t xml:space="preserve"> </w:t>
      </w:r>
      <w:r w:rsidRPr="007F1A00">
        <w:rPr>
          <w:lang w:val="en-GB"/>
        </w:rPr>
        <w:t xml:space="preserve">TCP </w:t>
      </w:r>
      <w:r w:rsidR="0002618C">
        <w:rPr>
          <w:lang w:val="en-GB"/>
        </w:rPr>
        <w:t xml:space="preserve">appear appropriate, as many go on to complete the Programme. This notion is further </w:t>
      </w:r>
      <w:r w:rsidRPr="007F1A00">
        <w:rPr>
          <w:lang w:val="en-GB"/>
        </w:rPr>
        <w:t>support</w:t>
      </w:r>
      <w:r w:rsidR="0002618C">
        <w:rPr>
          <w:lang w:val="en-GB"/>
        </w:rPr>
        <w:t>ed by</w:t>
      </w:r>
      <w:r w:rsidRPr="007F1A00">
        <w:rPr>
          <w:lang w:val="en-GB"/>
        </w:rPr>
        <w:t xml:space="preserve"> findings from the consultations</w:t>
      </w:r>
      <w:r w:rsidR="0002618C">
        <w:rPr>
          <w:lang w:val="en-GB"/>
        </w:rPr>
        <w:t>, where stakeholders</w:t>
      </w:r>
      <w:r w:rsidRPr="007F1A00">
        <w:rPr>
          <w:lang w:val="en-GB"/>
        </w:rPr>
        <w:t xml:space="preserve"> indicat</w:t>
      </w:r>
      <w:r w:rsidR="0002618C">
        <w:rPr>
          <w:lang w:val="en-GB"/>
        </w:rPr>
        <w:t>ed</w:t>
      </w:r>
      <w:r w:rsidRPr="007F1A00">
        <w:rPr>
          <w:lang w:val="en-GB"/>
        </w:rPr>
        <w:t xml:space="preserve"> that </w:t>
      </w:r>
      <w:r w:rsidR="00E77763" w:rsidRPr="007F1A00">
        <w:rPr>
          <w:lang w:val="en-GB"/>
        </w:rPr>
        <w:t>care recipients regard this Programme as positive in improving their health and their ability</w:t>
      </w:r>
      <w:r w:rsidR="00EF7F5D">
        <w:rPr>
          <w:lang w:val="en-GB"/>
        </w:rPr>
        <w:t xml:space="preserve"> to</w:t>
      </w:r>
      <w:r w:rsidR="00E77763" w:rsidRPr="007F1A00">
        <w:rPr>
          <w:lang w:val="en-GB"/>
        </w:rPr>
        <w:t xml:space="preserve"> work towards reablement. Further, it supports the rationale for keeping the core of the Programme consistent with its current operations. </w:t>
      </w:r>
    </w:p>
    <w:p w:rsidR="00E77763" w:rsidRPr="007F1A00" w:rsidRDefault="00E77763" w:rsidP="00281F83">
      <w:pPr>
        <w:pStyle w:val="Heading2"/>
        <w:rPr>
          <w:lang w:val="en-GB"/>
        </w:rPr>
      </w:pPr>
      <w:bookmarkStart w:id="15" w:name="_Toc5270597"/>
      <w:r w:rsidRPr="007F1A00">
        <w:rPr>
          <w:lang w:val="en-GB"/>
        </w:rPr>
        <w:t>Length of stay within the Programme</w:t>
      </w:r>
      <w:bookmarkEnd w:id="15"/>
    </w:p>
    <w:p w:rsidR="00586ADD" w:rsidRPr="007F1A00" w:rsidRDefault="00DE3BD7" w:rsidP="00E77763">
      <w:pPr>
        <w:pStyle w:val="BodyText1"/>
        <w:rPr>
          <w:lang w:val="en-GB"/>
        </w:rPr>
      </w:pPr>
      <w:r>
        <w:rPr>
          <w:lang w:val="en-GB"/>
        </w:rPr>
        <w:t>T</w:t>
      </w:r>
      <w:r w:rsidR="00586ADD" w:rsidRPr="007F1A00">
        <w:rPr>
          <w:lang w:val="en-GB"/>
        </w:rPr>
        <w:t>he average length of stay nationally has remained relatively constant since 200</w:t>
      </w:r>
      <w:r w:rsidR="0002618C">
        <w:rPr>
          <w:lang w:val="en-GB"/>
        </w:rPr>
        <w:t>5/06</w:t>
      </w:r>
      <w:r w:rsidR="00586ADD" w:rsidRPr="007F1A00">
        <w:rPr>
          <w:lang w:val="en-GB"/>
        </w:rPr>
        <w:t xml:space="preserve">. </w:t>
      </w:r>
    </w:p>
    <w:p w:rsidR="00854187" w:rsidRPr="007F1A00" w:rsidRDefault="00A6006B" w:rsidP="00586ADD">
      <w:pPr>
        <w:pStyle w:val="Bullet1stlevel"/>
        <w:numPr>
          <w:ilvl w:val="0"/>
          <w:numId w:val="0"/>
        </w:numPr>
        <w:rPr>
          <w:lang w:val="en-GB"/>
        </w:rPr>
      </w:pPr>
      <w:r w:rsidRPr="007F1A00">
        <w:rPr>
          <w:lang w:val="en-GB"/>
        </w:rPr>
        <w:t>Despite the fact that</w:t>
      </w:r>
      <w:r w:rsidR="00D67CB5">
        <w:rPr>
          <w:lang w:val="en-GB"/>
        </w:rPr>
        <w:t>,</w:t>
      </w:r>
      <w:r w:rsidRPr="007F1A00">
        <w:rPr>
          <w:lang w:val="en-GB"/>
        </w:rPr>
        <w:t xml:space="preserve"> at </w:t>
      </w:r>
      <w:r w:rsidR="00FD15A6">
        <w:rPr>
          <w:lang w:val="en-GB"/>
        </w:rPr>
        <w:t>a</w:t>
      </w:r>
      <w:r w:rsidRPr="007F1A00">
        <w:rPr>
          <w:lang w:val="en-GB"/>
        </w:rPr>
        <w:t xml:space="preserve"> </w:t>
      </w:r>
      <w:r w:rsidR="00D536B6">
        <w:rPr>
          <w:lang w:val="en-GB"/>
        </w:rPr>
        <w:t>national</w:t>
      </w:r>
      <w:r w:rsidR="00FD15A6">
        <w:rPr>
          <w:lang w:val="en-GB"/>
        </w:rPr>
        <w:t xml:space="preserve"> level, </w:t>
      </w:r>
      <w:r w:rsidRPr="007F1A00">
        <w:rPr>
          <w:lang w:val="en-GB"/>
        </w:rPr>
        <w:t xml:space="preserve">length of stay has remained consistent over time, </w:t>
      </w:r>
      <w:r w:rsidR="007D0646" w:rsidRPr="007F1A00">
        <w:rPr>
          <w:lang w:val="en-GB"/>
        </w:rPr>
        <w:t xml:space="preserve">there is variation amongst the </w:t>
      </w:r>
      <w:r w:rsidR="00FD15A6">
        <w:rPr>
          <w:lang w:val="en-GB"/>
        </w:rPr>
        <w:t>S</w:t>
      </w:r>
      <w:r w:rsidR="007D0646" w:rsidRPr="007F1A00">
        <w:rPr>
          <w:lang w:val="en-GB"/>
        </w:rPr>
        <w:t xml:space="preserve">tates and </w:t>
      </w:r>
      <w:r w:rsidR="00FD15A6">
        <w:rPr>
          <w:lang w:val="en-GB"/>
        </w:rPr>
        <w:t>T</w:t>
      </w:r>
      <w:r w:rsidRPr="007F1A00">
        <w:rPr>
          <w:lang w:val="en-GB"/>
        </w:rPr>
        <w:t xml:space="preserve">erritories. </w:t>
      </w:r>
      <w:r w:rsidR="001F3F5B">
        <w:rPr>
          <w:lang w:val="en-GB"/>
        </w:rPr>
        <w:t>There are some differences between the</w:t>
      </w:r>
      <w:r w:rsidRPr="007F1A00">
        <w:rPr>
          <w:lang w:val="en-GB"/>
        </w:rPr>
        <w:t xml:space="preserve"> average length </w:t>
      </w:r>
      <w:r w:rsidR="007D0646" w:rsidRPr="007F1A00">
        <w:rPr>
          <w:lang w:val="en-GB"/>
        </w:rPr>
        <w:t>of stay</w:t>
      </w:r>
      <w:r w:rsidR="009E796E">
        <w:rPr>
          <w:lang w:val="en-GB"/>
        </w:rPr>
        <w:t xml:space="preserve"> by jurisdiction between 2006</w:t>
      </w:r>
      <w:r w:rsidRPr="007F1A00">
        <w:rPr>
          <w:lang w:val="en-GB"/>
        </w:rPr>
        <w:t>/0</w:t>
      </w:r>
      <w:r w:rsidR="00937B74">
        <w:rPr>
          <w:lang w:val="en-GB"/>
        </w:rPr>
        <w:t>7</w:t>
      </w:r>
      <w:r w:rsidRPr="007F1A00">
        <w:rPr>
          <w:lang w:val="en-GB"/>
        </w:rPr>
        <w:t xml:space="preserve"> and 2017/18 among males and females. </w:t>
      </w:r>
      <w:r w:rsidR="00586ADD" w:rsidRPr="007F1A00">
        <w:rPr>
          <w:lang w:val="en-GB"/>
        </w:rPr>
        <w:t xml:space="preserve">For example, among both males and females, in </w:t>
      </w:r>
      <w:r w:rsidR="00854187" w:rsidRPr="007F1A00">
        <w:rPr>
          <w:lang w:val="en-GB"/>
        </w:rPr>
        <w:t>WA</w:t>
      </w:r>
      <w:r w:rsidR="0058765F">
        <w:rPr>
          <w:lang w:val="en-GB"/>
        </w:rPr>
        <w:t xml:space="preserve"> </w:t>
      </w:r>
      <w:r w:rsidR="00586ADD" w:rsidRPr="007F1A00">
        <w:rPr>
          <w:lang w:val="en-GB"/>
        </w:rPr>
        <w:t>the average length of stay has been gradually trending down from 60 days to 45 days</w:t>
      </w:r>
      <w:r w:rsidR="00075762">
        <w:rPr>
          <w:lang w:val="en-GB"/>
        </w:rPr>
        <w:t>, whereas</w:t>
      </w:r>
      <w:r w:rsidR="00586ADD" w:rsidRPr="007F1A00">
        <w:rPr>
          <w:lang w:val="en-GB"/>
        </w:rPr>
        <w:t xml:space="preserve"> over the same period of time the average length of stay has been trending up in the </w:t>
      </w:r>
      <w:r w:rsidR="007D0646" w:rsidRPr="007F1A00">
        <w:rPr>
          <w:lang w:val="en-GB"/>
        </w:rPr>
        <w:t>N</w:t>
      </w:r>
      <w:r w:rsidR="00FD15A6">
        <w:rPr>
          <w:lang w:val="en-GB"/>
        </w:rPr>
        <w:t>T</w:t>
      </w:r>
      <w:r w:rsidR="00586ADD" w:rsidRPr="007F1A00">
        <w:rPr>
          <w:lang w:val="en-GB"/>
        </w:rPr>
        <w:t xml:space="preserve"> from 28 </w:t>
      </w:r>
      <w:r w:rsidR="007D0646" w:rsidRPr="007F1A00">
        <w:rPr>
          <w:lang w:val="en-GB"/>
        </w:rPr>
        <w:t>days to as high as 72 days in 2016/17</w:t>
      </w:r>
      <w:r w:rsidR="00586ADD" w:rsidRPr="007F1A00">
        <w:rPr>
          <w:lang w:val="en-GB"/>
        </w:rPr>
        <w:t xml:space="preserve"> among males and from as low as 22 days in </w:t>
      </w:r>
      <w:r w:rsidR="0002618C">
        <w:rPr>
          <w:lang w:val="en-GB"/>
        </w:rPr>
        <w:t>200</w:t>
      </w:r>
      <w:r w:rsidR="00937B74">
        <w:rPr>
          <w:lang w:val="en-GB"/>
        </w:rPr>
        <w:t>6</w:t>
      </w:r>
      <w:r w:rsidR="007D0646" w:rsidRPr="007F1A00">
        <w:rPr>
          <w:lang w:val="en-GB"/>
        </w:rPr>
        <w:t>/0</w:t>
      </w:r>
      <w:r w:rsidR="00937B74">
        <w:rPr>
          <w:lang w:val="en-GB"/>
        </w:rPr>
        <w:t>7</w:t>
      </w:r>
      <w:r w:rsidR="00586ADD" w:rsidRPr="007F1A00">
        <w:rPr>
          <w:lang w:val="en-GB"/>
        </w:rPr>
        <w:t xml:space="preserve"> to 75 days in </w:t>
      </w:r>
      <w:r w:rsidR="007D0646" w:rsidRPr="007F1A00">
        <w:rPr>
          <w:lang w:val="en-GB"/>
        </w:rPr>
        <w:t>2014/15</w:t>
      </w:r>
      <w:r w:rsidR="00586ADD" w:rsidRPr="007F1A00">
        <w:rPr>
          <w:lang w:val="en-GB"/>
        </w:rPr>
        <w:t xml:space="preserve"> among females.</w:t>
      </w:r>
      <w:r w:rsidR="00854187" w:rsidRPr="007F1A00">
        <w:rPr>
          <w:lang w:val="en-GB"/>
        </w:rPr>
        <w:t xml:space="preserve"> Anecdotally, this may be due to the service model used in WA, where many </w:t>
      </w:r>
      <w:r w:rsidR="00A31899" w:rsidRPr="007F1A00">
        <w:rPr>
          <w:lang w:val="en-GB"/>
        </w:rPr>
        <w:t>care recipient</w:t>
      </w:r>
      <w:r w:rsidR="00854187" w:rsidRPr="007F1A00">
        <w:rPr>
          <w:lang w:val="en-GB"/>
        </w:rPr>
        <w:t>s</w:t>
      </w:r>
      <w:r w:rsidR="00FD15A6">
        <w:rPr>
          <w:lang w:val="en-GB"/>
        </w:rPr>
        <w:t xml:space="preserve"> are referred to </w:t>
      </w:r>
      <w:r w:rsidR="00D67CB5">
        <w:rPr>
          <w:lang w:val="en-GB"/>
        </w:rPr>
        <w:t xml:space="preserve">the </w:t>
      </w:r>
      <w:r w:rsidR="00FD15A6">
        <w:rPr>
          <w:lang w:val="en-GB"/>
        </w:rPr>
        <w:t xml:space="preserve">TCP </w:t>
      </w:r>
      <w:r w:rsidR="00A80E1D">
        <w:rPr>
          <w:lang w:val="en-GB"/>
        </w:rPr>
        <w:t>while</w:t>
      </w:r>
      <w:r w:rsidR="00FD15A6">
        <w:rPr>
          <w:lang w:val="en-GB"/>
        </w:rPr>
        <w:t xml:space="preserve"> they </w:t>
      </w:r>
      <w:r w:rsidR="00854187" w:rsidRPr="007F1A00">
        <w:rPr>
          <w:lang w:val="en-GB"/>
        </w:rPr>
        <w:t>are awaiting transfer to residential aged care.</w:t>
      </w:r>
      <w:r w:rsidR="00D536B6">
        <w:rPr>
          <w:lang w:val="en-GB"/>
        </w:rPr>
        <w:t xml:space="preserve"> As availability in residential care increases, </w:t>
      </w:r>
      <w:r w:rsidR="00D67CB5">
        <w:rPr>
          <w:lang w:val="en-GB"/>
        </w:rPr>
        <w:t xml:space="preserve">the </w:t>
      </w:r>
      <w:r w:rsidR="00D536B6">
        <w:rPr>
          <w:lang w:val="en-GB"/>
        </w:rPr>
        <w:t xml:space="preserve">TCP length of stay will decrease. </w:t>
      </w:r>
    </w:p>
    <w:p w:rsidR="008A0B24" w:rsidRPr="007F1A00" w:rsidRDefault="00D536B6" w:rsidP="008A0B24">
      <w:pPr>
        <w:pStyle w:val="Bullet1stlevel"/>
        <w:numPr>
          <w:ilvl w:val="0"/>
          <w:numId w:val="0"/>
        </w:numPr>
        <w:rPr>
          <w:lang w:val="en-GB"/>
        </w:rPr>
      </w:pPr>
      <w:r>
        <w:rPr>
          <w:lang w:val="en-GB"/>
        </w:rPr>
        <w:t xml:space="preserve">Assessing the ‘correct’ length of stay for </w:t>
      </w:r>
      <w:r w:rsidR="00D67CB5">
        <w:rPr>
          <w:lang w:val="en-GB"/>
        </w:rPr>
        <w:t xml:space="preserve">the </w:t>
      </w:r>
      <w:r>
        <w:rPr>
          <w:lang w:val="en-GB"/>
        </w:rPr>
        <w:t xml:space="preserve">TCP is difficult as </w:t>
      </w:r>
      <w:r w:rsidR="00D67CB5">
        <w:rPr>
          <w:lang w:val="en-GB"/>
        </w:rPr>
        <w:t>the Programme</w:t>
      </w:r>
      <w:r w:rsidR="00D67CB5" w:rsidRPr="007F1A00">
        <w:rPr>
          <w:lang w:val="en-GB"/>
        </w:rPr>
        <w:t xml:space="preserve"> also</w:t>
      </w:r>
      <w:r w:rsidR="008A0B24" w:rsidRPr="007F1A00">
        <w:rPr>
          <w:lang w:val="en-GB"/>
        </w:rPr>
        <w:t xml:space="preserve"> has benefits </w:t>
      </w:r>
      <w:r w:rsidR="007D0646" w:rsidRPr="007F1A00">
        <w:rPr>
          <w:lang w:val="en-GB"/>
        </w:rPr>
        <w:t>f</w:t>
      </w:r>
      <w:r w:rsidR="00FD15A6">
        <w:rPr>
          <w:lang w:val="en-GB"/>
        </w:rPr>
        <w:t>or</w:t>
      </w:r>
      <w:r w:rsidR="008A0B24" w:rsidRPr="007F1A00">
        <w:rPr>
          <w:lang w:val="en-GB"/>
        </w:rPr>
        <w:t xml:space="preserve"> the broader health and aged care systems by reducing demand for residential aged care and preventing hospital readmissions.</w:t>
      </w:r>
      <w:r w:rsidR="008A0B24" w:rsidRPr="007F1A00">
        <w:rPr>
          <w:rStyle w:val="FootnoteReference"/>
          <w:lang w:val="en-GB"/>
        </w:rPr>
        <w:footnoteReference w:id="6"/>
      </w:r>
      <w:r w:rsidR="008A0B24" w:rsidRPr="007F1A00">
        <w:rPr>
          <w:lang w:val="en-GB"/>
        </w:rPr>
        <w:t xml:space="preserve"> The 2014 AIHW</w:t>
      </w:r>
      <w:r w:rsidR="00854187" w:rsidRPr="007F1A00">
        <w:rPr>
          <w:lang w:val="en-GB"/>
        </w:rPr>
        <w:t xml:space="preserve">’s </w:t>
      </w:r>
      <w:r w:rsidR="00854187" w:rsidRPr="007F1A00">
        <w:rPr>
          <w:i/>
          <w:lang w:val="en-GB"/>
        </w:rPr>
        <w:t>Transition care for older people leaving hospital</w:t>
      </w:r>
      <w:r w:rsidR="008A0B24" w:rsidRPr="007F1A00">
        <w:rPr>
          <w:lang w:val="en-GB"/>
        </w:rPr>
        <w:t xml:space="preserve"> </w:t>
      </w:r>
      <w:r w:rsidR="00854187" w:rsidRPr="007F1A00">
        <w:rPr>
          <w:lang w:val="en-GB"/>
        </w:rPr>
        <w:t xml:space="preserve">report </w:t>
      </w:r>
      <w:r w:rsidR="008A0B24" w:rsidRPr="007F1A00">
        <w:rPr>
          <w:lang w:val="en-GB"/>
        </w:rPr>
        <w:t xml:space="preserve">highlighted </w:t>
      </w:r>
      <w:r w:rsidR="00075762">
        <w:rPr>
          <w:lang w:val="en-GB"/>
        </w:rPr>
        <w:t xml:space="preserve">that, </w:t>
      </w:r>
      <w:r w:rsidR="008A0B24" w:rsidRPr="007F1A00">
        <w:rPr>
          <w:lang w:val="en-GB"/>
        </w:rPr>
        <w:t>of the 87 per cent of TCP</w:t>
      </w:r>
      <w:r w:rsidR="00075762">
        <w:rPr>
          <w:lang w:val="en-GB"/>
        </w:rPr>
        <w:t xml:space="preserve"> recipients who completed the P</w:t>
      </w:r>
      <w:r w:rsidR="006F12C7" w:rsidRPr="007F1A00">
        <w:rPr>
          <w:lang w:val="en-GB"/>
        </w:rPr>
        <w:t>rogramme</w:t>
      </w:r>
      <w:r w:rsidR="00075762">
        <w:rPr>
          <w:lang w:val="en-GB"/>
        </w:rPr>
        <w:t xml:space="preserve"> during 2005-</w:t>
      </w:r>
      <w:r w:rsidR="008A0B24" w:rsidRPr="007F1A00">
        <w:rPr>
          <w:lang w:val="en-GB"/>
        </w:rPr>
        <w:t>2013, 76 per cent experienced improvements in their independence and level of functioning. Furthermore</w:t>
      </w:r>
      <w:r w:rsidR="00AB2AF2">
        <w:rPr>
          <w:lang w:val="en-GB"/>
        </w:rPr>
        <w:t>,</w:t>
      </w:r>
      <w:r w:rsidR="008A0B24" w:rsidRPr="007F1A00">
        <w:rPr>
          <w:lang w:val="en-GB"/>
        </w:rPr>
        <w:t xml:space="preserve"> more than half returned to live in the community once they completed their TCP.</w:t>
      </w:r>
      <w:r w:rsidR="008A0B24" w:rsidRPr="007F1A00">
        <w:rPr>
          <w:rStyle w:val="FootnoteReference"/>
          <w:lang w:val="en-GB"/>
        </w:rPr>
        <w:footnoteReference w:id="7"/>
      </w:r>
    </w:p>
    <w:p w:rsidR="006C6B66" w:rsidRDefault="009E796E" w:rsidP="00586ADD">
      <w:pPr>
        <w:pStyle w:val="Bullet1stlevel"/>
        <w:numPr>
          <w:ilvl w:val="0"/>
          <w:numId w:val="0"/>
        </w:numPr>
        <w:rPr>
          <w:lang w:val="en-GB"/>
        </w:rPr>
      </w:pPr>
      <w:r>
        <w:rPr>
          <w:lang w:val="en-GB"/>
        </w:rPr>
        <w:t xml:space="preserve">Stakeholders report that the length of stay is adequate, and that the ability to extend care recipients is </w:t>
      </w:r>
      <w:r w:rsidR="00F21153">
        <w:rPr>
          <w:lang w:val="en-GB"/>
        </w:rPr>
        <w:t xml:space="preserve">welcome where care recipients require more time to reach their goals. The reviewers note that it is difficult, under current reporting requirements, to determine if the current length of stay is too long or too short. More frequent data points would need to be collected to determine if the </w:t>
      </w:r>
      <w:r w:rsidR="00457EDD">
        <w:rPr>
          <w:lang w:val="en-GB"/>
        </w:rPr>
        <w:t>length</w:t>
      </w:r>
      <w:r w:rsidR="00F21153">
        <w:rPr>
          <w:lang w:val="en-GB"/>
        </w:rPr>
        <w:t xml:space="preserve"> of the Programme c</w:t>
      </w:r>
      <w:r w:rsidR="00457EDD">
        <w:rPr>
          <w:lang w:val="en-GB"/>
        </w:rPr>
        <w:t xml:space="preserve">ould be attenuated; however, international examples indicate that good outcomes can be achieved in less time (see Section </w:t>
      </w:r>
      <w:r w:rsidR="00457EDD">
        <w:rPr>
          <w:lang w:val="en-GB"/>
        </w:rPr>
        <w:fldChar w:fldCharType="begin"/>
      </w:r>
      <w:r w:rsidR="00457EDD">
        <w:rPr>
          <w:lang w:val="en-GB"/>
        </w:rPr>
        <w:instrText xml:space="preserve"> REF _Ref354355 \r \h </w:instrText>
      </w:r>
      <w:r w:rsidR="00457EDD">
        <w:rPr>
          <w:lang w:val="en-GB"/>
        </w:rPr>
      </w:r>
      <w:r w:rsidR="00457EDD">
        <w:rPr>
          <w:lang w:val="en-GB"/>
        </w:rPr>
        <w:fldChar w:fldCharType="separate"/>
      </w:r>
      <w:r w:rsidR="00ED07D2">
        <w:rPr>
          <w:lang w:val="en-GB"/>
        </w:rPr>
        <w:t>4</w:t>
      </w:r>
      <w:r w:rsidR="00457EDD">
        <w:rPr>
          <w:lang w:val="en-GB"/>
        </w:rPr>
        <w:fldChar w:fldCharType="end"/>
      </w:r>
      <w:r w:rsidR="00457EDD">
        <w:rPr>
          <w:lang w:val="en-GB"/>
        </w:rPr>
        <w:t xml:space="preserve"> for further discussion). Further </w:t>
      </w:r>
      <w:r w:rsidR="005C5DE0">
        <w:rPr>
          <w:lang w:val="en-GB"/>
        </w:rPr>
        <w:t xml:space="preserve">research </w:t>
      </w:r>
      <w:r w:rsidR="00457EDD">
        <w:rPr>
          <w:lang w:val="en-GB"/>
        </w:rPr>
        <w:t>is required to understand the appropriate length of stay for TCP care recipients</w:t>
      </w:r>
      <w:r w:rsidR="006C6B66">
        <w:rPr>
          <w:lang w:val="en-GB"/>
        </w:rPr>
        <w:t xml:space="preserve">; however, in comparing </w:t>
      </w:r>
      <w:r w:rsidR="00AB2AF2">
        <w:rPr>
          <w:lang w:val="en-GB"/>
        </w:rPr>
        <w:t xml:space="preserve">the </w:t>
      </w:r>
      <w:r w:rsidR="006C6B66">
        <w:rPr>
          <w:lang w:val="en-GB"/>
        </w:rPr>
        <w:t>TCP to rehabilitation programs within Australia the length of stay is significantly longer</w:t>
      </w:r>
      <w:r w:rsidR="00457EDD">
        <w:rPr>
          <w:lang w:val="en-GB"/>
        </w:rPr>
        <w:t>.</w:t>
      </w:r>
      <w:r w:rsidR="006C6B66">
        <w:rPr>
          <w:lang w:val="en-GB"/>
        </w:rPr>
        <w:t xml:space="preserve"> </w:t>
      </w:r>
    </w:p>
    <w:p w:rsidR="008A0B24" w:rsidRPr="007F1A00" w:rsidRDefault="006C6B66" w:rsidP="00586ADD">
      <w:pPr>
        <w:pStyle w:val="Bullet1stlevel"/>
        <w:numPr>
          <w:ilvl w:val="0"/>
          <w:numId w:val="0"/>
        </w:numPr>
        <w:rPr>
          <w:lang w:val="en-GB"/>
        </w:rPr>
      </w:pPr>
      <w:r w:rsidRPr="005F4136">
        <w:rPr>
          <w:lang w:val="en-GB"/>
        </w:rPr>
        <w:fldChar w:fldCharType="begin"/>
      </w:r>
      <w:r w:rsidRPr="005F4136">
        <w:rPr>
          <w:lang w:val="en-GB"/>
        </w:rPr>
        <w:instrText xml:space="preserve"> REF _Ref443838 \h </w:instrText>
      </w:r>
      <w:r w:rsidR="001F3F5B" w:rsidRPr="005F4136">
        <w:rPr>
          <w:lang w:val="en-GB"/>
        </w:rPr>
        <w:instrText xml:space="preserve"> \* MERGEFORMAT </w:instrText>
      </w:r>
      <w:r w:rsidRPr="005F4136">
        <w:rPr>
          <w:lang w:val="en-GB"/>
        </w:rPr>
      </w:r>
      <w:r w:rsidRPr="005F4136">
        <w:rPr>
          <w:lang w:val="en-GB"/>
        </w:rPr>
        <w:fldChar w:fldCharType="separate"/>
      </w:r>
      <w:r w:rsidR="00BE0797" w:rsidRPr="007F1A00">
        <w:rPr>
          <w:lang w:val="en-GB"/>
        </w:rPr>
        <w:t xml:space="preserve">Figure </w:t>
      </w:r>
      <w:r w:rsidR="00BE0797">
        <w:rPr>
          <w:noProof/>
          <w:lang w:val="en-GB"/>
        </w:rPr>
        <w:t>3</w:t>
      </w:r>
      <w:r w:rsidRPr="005F4136">
        <w:rPr>
          <w:lang w:val="en-GB"/>
        </w:rPr>
        <w:fldChar w:fldCharType="end"/>
      </w:r>
      <w:r w:rsidRPr="005F4136">
        <w:rPr>
          <w:lang w:val="en-GB"/>
        </w:rPr>
        <w:t xml:space="preserve"> below compares the national average length of stay against a range of comparative length</w:t>
      </w:r>
      <w:r w:rsidR="00AB2AF2" w:rsidRPr="005F4136">
        <w:rPr>
          <w:lang w:val="en-GB"/>
        </w:rPr>
        <w:t>s</w:t>
      </w:r>
      <w:r>
        <w:rPr>
          <w:lang w:val="en-GB"/>
        </w:rPr>
        <w:t xml:space="preserve"> of stay (LOS) sourced from the Australian Rehabilitation Outcomes Centre (AROC).</w:t>
      </w:r>
      <w:r>
        <w:rPr>
          <w:rStyle w:val="FootnoteReference"/>
          <w:lang w:val="en-GB"/>
        </w:rPr>
        <w:footnoteReference w:id="8"/>
      </w:r>
      <w:r>
        <w:rPr>
          <w:lang w:val="en-GB"/>
        </w:rPr>
        <w:t xml:space="preserve"> The reviewers note that drawing direct parallels between the AROC data and the TCP length of stay data has its challenges; however, it provides an interesting view as to whether the length of stay for </w:t>
      </w:r>
      <w:r w:rsidR="003A2412">
        <w:rPr>
          <w:lang w:val="en-GB"/>
        </w:rPr>
        <w:t>TCP care recipient</w:t>
      </w:r>
      <w:r w:rsidR="00BB0664">
        <w:rPr>
          <w:lang w:val="en-GB"/>
        </w:rPr>
        <w:t xml:space="preserve"> </w:t>
      </w:r>
      <w:r w:rsidR="003A2412">
        <w:rPr>
          <w:lang w:val="en-GB"/>
        </w:rPr>
        <w:t xml:space="preserve">care recipients </w:t>
      </w:r>
      <w:r>
        <w:rPr>
          <w:lang w:val="en-GB"/>
        </w:rPr>
        <w:t xml:space="preserve">can be reduced to more closely align with international examples and inpatient rehabilitation. </w:t>
      </w:r>
    </w:p>
    <w:bookmarkStart w:id="16" w:name="_Ref443838"/>
    <w:p w:rsidR="00991168" w:rsidRDefault="006C6B66" w:rsidP="0044595F">
      <w:pPr>
        <w:pStyle w:val="Caption"/>
        <w:rPr>
          <w:lang w:val="en-GB"/>
        </w:rPr>
      </w:pPr>
      <w:r w:rsidRPr="006C6B66">
        <w:rPr>
          <w:noProof/>
          <w:lang w:val="en-GB" w:eastAsia="en-GB"/>
        </w:rPr>
        <mc:AlternateContent>
          <mc:Choice Requires="wpg">
            <w:drawing>
              <wp:anchor distT="0" distB="0" distL="114300" distR="114300" simplePos="0" relativeHeight="251670528" behindDoc="0" locked="0" layoutInCell="1" allowOverlap="1" wp14:anchorId="72EC8ADC" wp14:editId="1393F7CD">
                <wp:simplePos x="0" y="0"/>
                <wp:positionH relativeFrom="margin">
                  <wp:posOffset>-46990</wp:posOffset>
                </wp:positionH>
                <wp:positionV relativeFrom="paragraph">
                  <wp:posOffset>233045</wp:posOffset>
                </wp:positionV>
                <wp:extent cx="5806440" cy="3649980"/>
                <wp:effectExtent l="0" t="0" r="0" b="0"/>
                <wp:wrapTopAndBottom/>
                <wp:docPr id="67858" name="Group 15" descr="In 2005/06 the average length of stay was 43 care days&#10;In 2006/07 the average length of stay was 49 care days&#10;In 2007/08 the average length of stay was 51 care days&#10;In 2008/09 the average length of stay was 52 care days&#10;In 2009/10 the average length of stay was 54 care days&#10;In 2010/11 the average length of stay was 54 care days&#10;In 2011/12 the average length of stay was 55 care days&#10;In 2012/13 the average length of stay was 54 care days&#10;In 2013/14 the average length of stay was 53 care days&#10;In 2014/15 the average length of stay was 53 care days&#10;In 2015/16 the average length of stay was 54 care days&#10;In 2016/17 the average length of stay was 53 care days&#10;In 2017/18 the average length of stay was 53 care days&#10;&#10;For reconditioning ambulatory clients, that average length of stay was 61.1 days between 2005/06 and 2017/18&#10;For orthopaedic fracture ambulatory clients, that average length of stay was 55.6 days between 2005/06 and 2017/18&#10;For orthopaedic fracture inpatient clients, that average length of stay was 20.6 days between 2005/06 and 2017/18&#10;For reconditioning inpatient clients, that average length of stay was 16.5 days between 2005/06 and 2017/18&#10;" title="Figure 3 shows the Average length of stay in care days against rehabilitation lengths of stay"/>
                <wp:cNvGraphicFramePr/>
                <a:graphic xmlns:a="http://schemas.openxmlformats.org/drawingml/2006/main">
                  <a:graphicData uri="http://schemas.microsoft.com/office/word/2010/wordprocessingGroup">
                    <wpg:wgp>
                      <wpg:cNvGrpSpPr/>
                      <wpg:grpSpPr>
                        <a:xfrm>
                          <a:off x="0" y="0"/>
                          <a:ext cx="5806440" cy="3649980"/>
                          <a:chOff x="-54148" y="-30735"/>
                          <a:chExt cx="6876751" cy="3680460"/>
                        </a:xfrm>
                      </wpg:grpSpPr>
                      <wpg:graphicFrame>
                        <wpg:cNvPr id="67859" name="Chart 67859"/>
                        <wpg:cNvFrPr/>
                        <wpg:xfrm>
                          <a:off x="-54148" y="-30735"/>
                          <a:ext cx="5585458" cy="3680460"/>
                        </wpg:xfrm>
                        <a:graphic>
                          <a:graphicData uri="http://schemas.openxmlformats.org/drawingml/2006/chart">
                            <c:chart xmlns:c="http://schemas.openxmlformats.org/drawingml/2006/chart" xmlns:r="http://schemas.openxmlformats.org/officeDocument/2006/relationships" r:id="rId21"/>
                          </a:graphicData>
                        </a:graphic>
                      </wpg:graphicFrame>
                      <wps:wsp>
                        <wps:cNvPr id="67860" name="Straight Connector 67860"/>
                        <wps:cNvCnPr/>
                        <wps:spPr>
                          <a:xfrm flipV="1">
                            <a:off x="588478" y="2514222"/>
                            <a:ext cx="4824000" cy="0"/>
                          </a:xfrm>
                          <a:prstGeom prst="line">
                            <a:avLst/>
                          </a:prstGeom>
                          <a:noFill/>
                          <a:ln w="15875" cap="flat" cmpd="sng" algn="ctr">
                            <a:solidFill>
                              <a:srgbClr val="FF0000"/>
                            </a:solidFill>
                            <a:prstDash val="solid"/>
                            <a:miter lim="800000"/>
                          </a:ln>
                          <a:effectLst/>
                        </wps:spPr>
                        <wps:bodyPr/>
                      </wps:wsp>
                      <wps:wsp>
                        <wps:cNvPr id="67861" name="TextBox 6"/>
                        <wps:cNvSpPr txBox="1"/>
                        <wps:spPr>
                          <a:xfrm>
                            <a:off x="5414216" y="2370906"/>
                            <a:ext cx="1408387" cy="756745"/>
                          </a:xfrm>
                          <a:prstGeom prst="rect">
                            <a:avLst/>
                          </a:prstGeom>
                          <a:noFill/>
                        </wps:spPr>
                        <wps:txbx>
                          <w:txbxContent>
                            <w:p w:rsidR="002F7C0C" w:rsidRPr="00DE5795" w:rsidRDefault="002F7C0C" w:rsidP="006C6B66">
                              <w:pPr>
                                <w:pStyle w:val="NormalWeb"/>
                                <w:kinsoku w:val="0"/>
                                <w:overflowPunct w:val="0"/>
                                <w:spacing w:before="0" w:beforeAutospacing="0" w:after="120" w:afterAutospacing="0"/>
                                <w:textAlignment w:val="baseline"/>
                                <w:rPr>
                                  <w:rFonts w:ascii="Arial" w:hAnsi="Arial" w:cs="Arial"/>
                                  <w:sz w:val="22"/>
                                </w:rPr>
                              </w:pPr>
                              <w:r w:rsidRPr="00DE5795">
                                <w:rPr>
                                  <w:rFonts w:ascii="Arial" w:hAnsi="Arial" w:cs="Arial"/>
                                  <w:color w:val="000000" w:themeColor="text1"/>
                                  <w:kern w:val="24"/>
                                  <w:sz w:val="18"/>
                                  <w:szCs w:val="20"/>
                                </w:rPr>
                                <w:t>Reconditioning (inpatient) LOS: 16.5 days</w:t>
                              </w:r>
                            </w:p>
                          </w:txbxContent>
                        </wps:txbx>
                        <wps:bodyPr wrap="square" lIns="54610" tIns="54610" rIns="54610" bIns="54610" rtlCol="0">
                          <a:noAutofit/>
                        </wps:bodyPr>
                      </wps:wsp>
                      <wps:wsp>
                        <wps:cNvPr id="67862" name="Straight Connector 67862"/>
                        <wps:cNvCnPr/>
                        <wps:spPr>
                          <a:xfrm flipV="1">
                            <a:off x="588478" y="2213749"/>
                            <a:ext cx="4824000" cy="0"/>
                          </a:xfrm>
                          <a:prstGeom prst="line">
                            <a:avLst/>
                          </a:prstGeom>
                          <a:noFill/>
                          <a:ln w="15875" cap="flat" cmpd="sng" algn="ctr">
                            <a:solidFill>
                              <a:srgbClr val="FF0000"/>
                            </a:solidFill>
                            <a:prstDash val="solid"/>
                            <a:miter lim="800000"/>
                          </a:ln>
                          <a:effectLst/>
                        </wps:spPr>
                        <wps:bodyPr/>
                      </wps:wsp>
                      <wps:wsp>
                        <wps:cNvPr id="67863" name="TextBox 8"/>
                        <wps:cNvSpPr txBox="1"/>
                        <wps:spPr>
                          <a:xfrm>
                            <a:off x="5414216" y="1785182"/>
                            <a:ext cx="1408387" cy="594569"/>
                          </a:xfrm>
                          <a:prstGeom prst="rect">
                            <a:avLst/>
                          </a:prstGeom>
                          <a:noFill/>
                        </wps:spPr>
                        <wps:txbx>
                          <w:txbxContent>
                            <w:p w:rsidR="002F7C0C" w:rsidRPr="00DE5795" w:rsidRDefault="002F7C0C" w:rsidP="006C6B66">
                              <w:pPr>
                                <w:pStyle w:val="NormalWeb"/>
                                <w:kinsoku w:val="0"/>
                                <w:overflowPunct w:val="0"/>
                                <w:spacing w:before="0" w:beforeAutospacing="0" w:after="120" w:afterAutospacing="0"/>
                                <w:textAlignment w:val="baseline"/>
                                <w:rPr>
                                  <w:rFonts w:ascii="Arial" w:hAnsi="Arial" w:cs="Arial"/>
                                  <w:sz w:val="22"/>
                                </w:rPr>
                              </w:pPr>
                              <w:r w:rsidRPr="00DE5795">
                                <w:rPr>
                                  <w:rFonts w:ascii="Arial" w:hAnsi="Arial" w:cs="Arial"/>
                                  <w:color w:val="000000" w:themeColor="text1"/>
                                  <w:kern w:val="24"/>
                                  <w:sz w:val="18"/>
                                  <w:szCs w:val="20"/>
                                </w:rPr>
                                <w:t>Orthopaedic fracture (inpatient) LOS: 20.6 days</w:t>
                              </w:r>
                            </w:p>
                          </w:txbxContent>
                        </wps:txbx>
                        <wps:bodyPr wrap="square" lIns="54610" tIns="54610" rIns="54610" bIns="54610" rtlCol="0">
                          <a:noAutofit/>
                        </wps:bodyPr>
                      </wps:wsp>
                      <wps:wsp>
                        <wps:cNvPr id="67864" name="Straight Connector 67864"/>
                        <wps:cNvCnPr/>
                        <wps:spPr>
                          <a:xfrm flipV="1">
                            <a:off x="588478" y="672306"/>
                            <a:ext cx="4824000" cy="0"/>
                          </a:xfrm>
                          <a:prstGeom prst="line">
                            <a:avLst/>
                          </a:prstGeom>
                          <a:noFill/>
                          <a:ln w="15875" cap="flat" cmpd="sng" algn="ctr">
                            <a:solidFill>
                              <a:srgbClr val="FF0000"/>
                            </a:solidFill>
                            <a:prstDash val="solid"/>
                            <a:miter lim="800000"/>
                          </a:ln>
                          <a:effectLst/>
                        </wps:spPr>
                        <wps:bodyPr/>
                      </wps:wsp>
                      <wps:wsp>
                        <wps:cNvPr id="67865" name="TextBox 10"/>
                        <wps:cNvSpPr txBox="1"/>
                        <wps:spPr>
                          <a:xfrm>
                            <a:off x="5414216" y="581809"/>
                            <a:ext cx="1408387" cy="747459"/>
                          </a:xfrm>
                          <a:prstGeom prst="rect">
                            <a:avLst/>
                          </a:prstGeom>
                          <a:noFill/>
                        </wps:spPr>
                        <wps:txbx>
                          <w:txbxContent>
                            <w:p w:rsidR="002F7C0C" w:rsidRPr="00DE5795" w:rsidRDefault="002F7C0C" w:rsidP="006C6B66">
                              <w:pPr>
                                <w:pStyle w:val="NormalWeb"/>
                                <w:kinsoku w:val="0"/>
                                <w:overflowPunct w:val="0"/>
                                <w:spacing w:before="0" w:beforeAutospacing="0" w:after="120" w:afterAutospacing="0"/>
                                <w:textAlignment w:val="baseline"/>
                                <w:rPr>
                                  <w:rFonts w:ascii="Arial" w:hAnsi="Arial" w:cs="Arial"/>
                                  <w:sz w:val="22"/>
                                </w:rPr>
                              </w:pPr>
                              <w:r w:rsidRPr="00DE5795">
                                <w:rPr>
                                  <w:rFonts w:ascii="Arial" w:hAnsi="Arial" w:cs="Arial"/>
                                  <w:color w:val="000000" w:themeColor="text1"/>
                                  <w:kern w:val="24"/>
                                  <w:sz w:val="18"/>
                                  <w:szCs w:val="20"/>
                                </w:rPr>
                                <w:t>Orthopaedic fracture (ambulatory) LOS: 55.6 days</w:t>
                              </w:r>
                            </w:p>
                          </w:txbxContent>
                        </wps:txbx>
                        <wps:bodyPr wrap="square" lIns="54610" tIns="54610" rIns="54610" bIns="54610" rtlCol="0">
                          <a:noAutofit/>
                        </wps:bodyPr>
                      </wps:wsp>
                      <wps:wsp>
                        <wps:cNvPr id="67866" name="Straight Connector 67866"/>
                        <wps:cNvCnPr/>
                        <wps:spPr>
                          <a:xfrm flipV="1">
                            <a:off x="588478" y="434334"/>
                            <a:ext cx="4824000" cy="0"/>
                          </a:xfrm>
                          <a:prstGeom prst="line">
                            <a:avLst/>
                          </a:prstGeom>
                          <a:noFill/>
                          <a:ln w="15875" cap="flat" cmpd="sng" algn="ctr">
                            <a:solidFill>
                              <a:srgbClr val="FF0000"/>
                            </a:solidFill>
                            <a:prstDash val="solid"/>
                            <a:miter lim="800000"/>
                          </a:ln>
                          <a:effectLst/>
                        </wps:spPr>
                        <wps:bodyPr/>
                      </wps:wsp>
                      <wps:wsp>
                        <wps:cNvPr id="67867" name="TextBox 12"/>
                        <wps:cNvSpPr txBox="1"/>
                        <wps:spPr>
                          <a:xfrm>
                            <a:off x="5414216" y="60522"/>
                            <a:ext cx="1408387" cy="594569"/>
                          </a:xfrm>
                          <a:prstGeom prst="rect">
                            <a:avLst/>
                          </a:prstGeom>
                          <a:noFill/>
                        </wps:spPr>
                        <wps:txbx>
                          <w:txbxContent>
                            <w:p w:rsidR="002F7C0C" w:rsidRPr="00DE5795" w:rsidRDefault="002F7C0C" w:rsidP="006C6B66">
                              <w:pPr>
                                <w:pStyle w:val="NormalWeb"/>
                                <w:kinsoku w:val="0"/>
                                <w:overflowPunct w:val="0"/>
                                <w:spacing w:before="0" w:beforeAutospacing="0" w:after="120" w:afterAutospacing="0"/>
                                <w:textAlignment w:val="baseline"/>
                                <w:rPr>
                                  <w:rFonts w:ascii="Arial" w:hAnsi="Arial" w:cs="Arial"/>
                                  <w:sz w:val="22"/>
                                </w:rPr>
                              </w:pPr>
                              <w:r w:rsidRPr="00DE5795">
                                <w:rPr>
                                  <w:rFonts w:ascii="Arial" w:hAnsi="Arial" w:cs="Arial"/>
                                  <w:color w:val="000000" w:themeColor="text1"/>
                                  <w:kern w:val="24"/>
                                  <w:sz w:val="18"/>
                                  <w:szCs w:val="20"/>
                                </w:rPr>
                                <w:t>Reconditioning (ambulatory) LOS: 61.1 days</w:t>
                              </w:r>
                            </w:p>
                          </w:txbxContent>
                        </wps:txbx>
                        <wps:bodyPr wrap="square" lIns="54610" tIns="54610" rIns="54610" bIns="54610" rtlCol="0">
                          <a:noAutofit/>
                        </wps:bodyPr>
                      </wps:wsp>
                    </wpg:wgp>
                  </a:graphicData>
                </a:graphic>
                <wp14:sizeRelH relativeFrom="margin">
                  <wp14:pctWidth>0</wp14:pctWidth>
                </wp14:sizeRelH>
                <wp14:sizeRelV relativeFrom="margin">
                  <wp14:pctHeight>0</wp14:pctHeight>
                </wp14:sizeRelV>
              </wp:anchor>
            </w:drawing>
          </mc:Choice>
          <mc:Fallback>
            <w:pict>
              <v:group w14:anchorId="72EC8ADC" id="Group 15" o:spid="_x0000_s1026" alt="Title: Figure 3 shows the Average length of stay in care days against rehabilitation lengths of stay - Description: In 2005/06 the average length of stay was 43 care days&#10;In 2006/07 the average length of stay was 49 care days&#10;In 2007/08 the average length of stay was 51 care days&#10;In 2008/09 the average length of stay was 52 care days&#10;In 2009/10 the average length of stay was 54 care days&#10;In 2010/11 the average length of stay was 54 care days&#10;In 2011/12 the average length of stay was 55 care days&#10;In 2012/13 the average length of stay was 54 care days&#10;In 2013/14 the average length of stay was 53 care days&#10;In 2014/15 the average length of stay was 53 care days&#10;In 2015/16 the average length of stay was 54 care days&#10;In 2016/17 the average length of stay was 53 care days&#10;In 2017/18 the average length of stay was 53 care days&#10;&#10;For reconditioning ambulatory clients, that average length of stay was 61.1 days between 2005/06 and 2017/18&#10;For orthopaedic fracture ambulatory clients, that average length of stay was 55.6 days between 2005/06 and 2017/18&#10;For orthopaedic fracture inpatient clients, that average length of stay was 20.6 days between 2005/06 and 2017/18&#10;For reconditioning inpatient clients, that average length of stay was 16.5 days between 2005/06 and 2017/18&#10;" style="position:absolute;margin-left:-3.7pt;margin-top:18.35pt;width:457.2pt;height:287.4pt;z-index:251670528;mso-position-horizontal-relative:margin;mso-width-relative:margin;mso-height-relative:margin" coordorigin="-541,-307" coordsize="68767,36804"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7859" o:spid="_x0000_s1027" type="#_x0000_t75" style="position:absolute;left:902;top:1598;width:52631;height:343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">
                  <v:imagedata r:id="rId22" o:title=""/>
                  <o:lock v:ext="edit" aspectratio="f"/>
                </v:shape>
                <v:line id="Straight Connector 67860" o:spid="_x0000_s1028" style="position:absolute;flip:y;visibility:visible;mso-wrap-style:square" from="5884,25142" to="54124,2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swzMUAAADeAAAADwAAAGRycy9kb3ducmV2LnhtbESPvW7CMBSFd6S+g3UrdQOHDGkUMAiB&#10;WtF2IYCYr+JLEoivI9tA+vb1UInx6Pzpmy8H04k7Od9aVjCdJCCIK6tbrhUcDx/jHIQPyBo7y6Tg&#10;lzwsFy+jORbaPrik+z7UIo6wL1BBE0JfSOmrhgz6ie2Jo3e2zmCI0tVSO3zEcdPJNEkyabDl+NBg&#10;T+uGquv+ZhSUO/OTfh2clWl5/Px2p02+OV2UensdVjMQgYbwDP+3t1pB9p5nESDiRBS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swzMUAAADeAAAADwAAAAAAAAAA&#10;AAAAAAChAgAAZHJzL2Rvd25yZXYueG1sUEsFBgAAAAAEAAQA+QAAAJMDAAAAAA==&#10;" strokecolor="red" strokeweight="1.25pt">
                  <v:stroke joinstyle="miter"/>
                </v:line>
                <v:shapetype id="_x0000_t202" coordsize="21600,21600" o:spt="202" path="m,l,21600r21600,l21600,xe">
                  <v:stroke joinstyle="miter"/>
                  <v:path gradientshapeok="t" o:connecttype="rect"/>
                </v:shapetype>
                <v:shape id="TextBox 6" o:spid="_x0000_s1029" type="#_x0000_t202" style="position:absolute;left:54142;top:23709;width:14084;height:7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Nz8QA&#10;AADeAAAADwAAAGRycy9kb3ducmV2LnhtbESPX2vCMBTF34V9h3AHvmlaJ51Uo4gw0Icx7Lb3S3NN&#10;i81NaWJtv/0iDHw8nD8/zmY32Eb01PnasYJ0noAgLp2u2Sj4+f6YrUD4gKyxcUwKRvKw275MNphr&#10;d+cz9UUwIo6wz1FBFUKbS+nLiiz6uWuJo3dxncUQZWek7vAex20jF0mSSYs1R0KFLR0qKq/FzUbI&#10;8uvt8zD+OnNKRzPezIX0sVdq+jrs1yACDeEZ/m8ftYLsfZWl8LgTr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uDc/EAAAA3gAAAA8AAAAAAAAAAAAAAAAAmAIAAGRycy9k&#10;b3ducmV2LnhtbFBLBQYAAAAABAAEAPUAAACJAwAAAAA=&#10;" filled="f" stroked="f">
                  <v:textbox inset="4.3pt,4.3pt,4.3pt,4.3pt">
                    <w:txbxContent>
                      <w:p w:rsidR="002F7C0C" w:rsidRPr="00DE5795" w:rsidRDefault="002F7C0C" w:rsidP="006C6B66">
                        <w:pPr>
                          <w:pStyle w:val="NormalWeb"/>
                          <w:kinsoku w:val="0"/>
                          <w:overflowPunct w:val="0"/>
                          <w:spacing w:before="0" w:beforeAutospacing="0" w:after="120" w:afterAutospacing="0"/>
                          <w:textAlignment w:val="baseline"/>
                          <w:rPr>
                            <w:rFonts w:ascii="Arial" w:hAnsi="Arial" w:cs="Arial"/>
                            <w:sz w:val="22"/>
                          </w:rPr>
                        </w:pPr>
                        <w:r w:rsidRPr="00DE5795">
                          <w:rPr>
                            <w:rFonts w:ascii="Arial" w:hAnsi="Arial" w:cs="Arial"/>
                            <w:color w:val="000000" w:themeColor="text1"/>
                            <w:kern w:val="24"/>
                            <w:sz w:val="18"/>
                            <w:szCs w:val="20"/>
                          </w:rPr>
                          <w:t>Reconditioning (inpatient) LOS: 16.5 days</w:t>
                        </w:r>
                      </w:p>
                    </w:txbxContent>
                  </v:textbox>
                </v:shape>
                <v:line id="Straight Connector 67862" o:spid="_x0000_s1030" style="position:absolute;flip:y;visibility:visible;mso-wrap-style:square" from="5884,22137" to="54124,2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LIMYAAADeAAAADwAAAGRycy9kb3ducmV2LnhtbESPQWvCQBSE7wX/w/KE3urGHGJIXaUo&#10;iq2XRsXzI/uapM2+Dburpv/eFQo9DjPzDTNfDqYTV3K+taxgOklAEFdWt1wrOB03LzkIH5A1dpZJ&#10;wS95WC5GT3MstL1xSddDqEWEsC9QQRNCX0jpq4YM+ontiaP3ZZ3BEKWrpXZ4i3DTyTRJMmmw5bjQ&#10;YE+rhqqfw8UoKD/NPn0/OivT8rT9cOd1vj5/K/U8Ht5eQQQawn/4r73TCrJZnqXwuBOv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FCyDGAAAA3gAAAA8AAAAAAAAA&#10;AAAAAAAAoQIAAGRycy9kb3ducmV2LnhtbFBLBQYAAAAABAAEAPkAAACUAwAAAAA=&#10;" strokecolor="red" strokeweight="1.25pt">
                  <v:stroke joinstyle="miter"/>
                </v:line>
                <v:shape id="TextBox 8" o:spid="_x0000_s1031" type="#_x0000_t202" style="position:absolute;left:54142;top:17851;width:14084;height:5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2I8QA&#10;AADeAAAADwAAAGRycy9kb3ducmV2LnhtbESPS4vCMBSF9wP+h3AFd2OqDlWqUUQQdCHD+Nhfmmta&#10;bG5KE2v7783AwCwP5/FxVpvOVqKlxpeOFUzGCQji3OmSjYLrZf+5AOEDssbKMSnoycNmPfhYYabd&#10;i3+oPQcj4gj7DBUUIdSZlD4vyKIfu5o4enfXWAxRNkbqBl9x3FZymiSptFhyJBRY066g/HF+2gj5&#10;+p6ddv3NmeOkN/3T3EkfWqVGw267BBGoC//hv/ZBK0jni3QGv3fiF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NiPEAAAA3gAAAA8AAAAAAAAAAAAAAAAAmAIAAGRycy9k&#10;b3ducmV2LnhtbFBLBQYAAAAABAAEAPUAAACJAwAAAAA=&#10;" filled="f" stroked="f">
                  <v:textbox inset="4.3pt,4.3pt,4.3pt,4.3pt">
                    <w:txbxContent>
                      <w:p w:rsidR="002F7C0C" w:rsidRPr="00DE5795" w:rsidRDefault="002F7C0C" w:rsidP="006C6B66">
                        <w:pPr>
                          <w:pStyle w:val="NormalWeb"/>
                          <w:kinsoku w:val="0"/>
                          <w:overflowPunct w:val="0"/>
                          <w:spacing w:before="0" w:beforeAutospacing="0" w:after="120" w:afterAutospacing="0"/>
                          <w:textAlignment w:val="baseline"/>
                          <w:rPr>
                            <w:rFonts w:ascii="Arial" w:hAnsi="Arial" w:cs="Arial"/>
                            <w:sz w:val="22"/>
                          </w:rPr>
                        </w:pPr>
                        <w:r w:rsidRPr="00DE5795">
                          <w:rPr>
                            <w:rFonts w:ascii="Arial" w:hAnsi="Arial" w:cs="Arial"/>
                            <w:color w:val="000000" w:themeColor="text1"/>
                            <w:kern w:val="24"/>
                            <w:sz w:val="18"/>
                            <w:szCs w:val="20"/>
                          </w:rPr>
                          <w:t>Orthopaedic fracture (inpatient) LOS: 20.6 days</w:t>
                        </w:r>
                      </w:p>
                    </w:txbxContent>
                  </v:textbox>
                </v:shape>
                <v:line id="Straight Connector 67864" o:spid="_x0000_s1032" style="position:absolute;flip:y;visibility:visible;mso-wrap-style:square" from="5884,6723" to="54124,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2z8YAAADeAAAADwAAAGRycy9kb3ducmV2LnhtbESPQWvCQBSE74X+h+UVeqsbQ0lDdBWp&#10;tLT20qh4fmSfSTT7NuxuNf57VxB6HGbmG2Y6H0wnTuR8a1nBeJSAIK6sbrlWsN18vOQgfEDW2Fkm&#10;BRfyMJ89Pkyx0PbMJZ3WoRYRwr5ABU0IfSGlrxoy6Ee2J47e3jqDIUpXS+3wHOGmk2mSZNJgy3Gh&#10;wZ7eG6qO6z+joPw1P+n3xlmZltvPldst8+XuoNTz07CYgAg0hP/wvf2lFWRvefYKtzvxCs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gNs/GAAAA3gAAAA8AAAAAAAAA&#10;AAAAAAAAoQIAAGRycy9kb3ducmV2LnhtbFBLBQYAAAAABAAEAPkAAACUAwAAAAA=&#10;" strokecolor="red" strokeweight="1.25pt">
                  <v:stroke joinstyle="miter"/>
                </v:line>
                <v:shape id="TextBox 10" o:spid="_x0000_s1033" type="#_x0000_t202" style="position:absolute;left:54142;top:5818;width:14084;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LzMQA&#10;AADeAAAADwAAAGRycy9kb3ducmV2LnhtbESPS2vCQBSF9wX/w3AFd3WitlGio4gg2EUpvvaXzHUS&#10;zNwJmTEm/94pFLo8nMfHWW06W4mWGl86VjAZJyCIc6dLNgou5/37AoQPyBorx6SgJw+b9eBthZl2&#10;Tz5SewpGxBH2GSooQqgzKX1ekEU/djVx9G6usRiibIzUDT7juK3kNElSabHkSCiwpl1B+f30sBHy&#10;8TP73vVXZ74mvekf5kb60Co1GnbbJYhAXfgP/7UPWkE6X6Sf8HsnX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C8zEAAAA3gAAAA8AAAAAAAAAAAAAAAAAmAIAAGRycy9k&#10;b3ducmV2LnhtbFBLBQYAAAAABAAEAPUAAACJAwAAAAA=&#10;" filled="f" stroked="f">
                  <v:textbox inset="4.3pt,4.3pt,4.3pt,4.3pt">
                    <w:txbxContent>
                      <w:p w:rsidR="002F7C0C" w:rsidRPr="00DE5795" w:rsidRDefault="002F7C0C" w:rsidP="006C6B66">
                        <w:pPr>
                          <w:pStyle w:val="NormalWeb"/>
                          <w:kinsoku w:val="0"/>
                          <w:overflowPunct w:val="0"/>
                          <w:spacing w:before="0" w:beforeAutospacing="0" w:after="120" w:afterAutospacing="0"/>
                          <w:textAlignment w:val="baseline"/>
                          <w:rPr>
                            <w:rFonts w:ascii="Arial" w:hAnsi="Arial" w:cs="Arial"/>
                            <w:sz w:val="22"/>
                          </w:rPr>
                        </w:pPr>
                        <w:r w:rsidRPr="00DE5795">
                          <w:rPr>
                            <w:rFonts w:ascii="Arial" w:hAnsi="Arial" w:cs="Arial"/>
                            <w:color w:val="000000" w:themeColor="text1"/>
                            <w:kern w:val="24"/>
                            <w:sz w:val="18"/>
                            <w:szCs w:val="20"/>
                          </w:rPr>
                          <w:t>Orthopaedic fracture (ambulatory) LOS: 55.6 days</w:t>
                        </w:r>
                      </w:p>
                    </w:txbxContent>
                  </v:textbox>
                </v:shape>
                <v:line id="Straight Connector 67866" o:spid="_x0000_s1034" style="position:absolute;flip:y;visibility:visible;mso-wrap-style:square" from="5884,4343" to="54124,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NI8YAAADeAAAADwAAAGRycy9kb3ducmV2LnhtbESPQWvCQBSE7wX/w/KE3urGHGJIXaUo&#10;iq2XRsXzI/uapM2+Dburpv/eFQo9DjPzDTNfDqYTV3K+taxgOklAEFdWt1wrOB03LzkIH5A1dpZJ&#10;wS95WC5GT3MstL1xSddDqEWEsC9QQRNCX0jpq4YM+ontiaP3ZZ3BEKWrpXZ4i3DTyTRJMmmw5bjQ&#10;YE+rhqqfw8UoKD/NPn0/OivT8rT9cOd1vj5/K/U8Ht5eQQQawn/4r73TCrJZnmXwuBOv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DSPGAAAA3gAAAA8AAAAAAAAA&#10;AAAAAAAAoQIAAGRycy9kb3ducmV2LnhtbFBLBQYAAAAABAAEAPkAAACUAwAAAAA=&#10;" strokecolor="red" strokeweight="1.25pt">
                  <v:stroke joinstyle="miter"/>
                </v:line>
                <v:shape id="TextBox 12" o:spid="_x0000_s1035" type="#_x0000_t202" style="position:absolute;left:54142;top:605;width:14084;height:5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wIMMA&#10;AADeAAAADwAAAGRycy9kb3ducmV2LnhtbESPzYrCMBSF98K8Q7gD7jRVhyrVKCIIupBBndlfmmta&#10;bG5KE2v79mZgwOXh/Hyc1aazlWip8aVjBZNxAoI4d7pko+Dnuh8tQPiArLFyTAp68rBZfwxWmGn3&#10;5DO1l2BEHGGfoYIihDqT0ucFWfRjVxNH7+YaiyHKxkjd4DOO20pOkySVFkuOhAJr2hWU3y8PGyFf&#10;37PTrv915jjpTf8wN9KHVqnhZ7ddggjUhXf4v33QCtL5Ip3D3514Be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swIMMAAADeAAAADwAAAAAAAAAAAAAAAACYAgAAZHJzL2Rv&#10;d25yZXYueG1sUEsFBgAAAAAEAAQA9QAAAIgDAAAAAA==&#10;" filled="f" stroked="f">
                  <v:textbox inset="4.3pt,4.3pt,4.3pt,4.3pt">
                    <w:txbxContent>
                      <w:p w:rsidR="002F7C0C" w:rsidRPr="00DE5795" w:rsidRDefault="002F7C0C" w:rsidP="006C6B66">
                        <w:pPr>
                          <w:pStyle w:val="NormalWeb"/>
                          <w:kinsoku w:val="0"/>
                          <w:overflowPunct w:val="0"/>
                          <w:spacing w:before="0" w:beforeAutospacing="0" w:after="120" w:afterAutospacing="0"/>
                          <w:textAlignment w:val="baseline"/>
                          <w:rPr>
                            <w:rFonts w:ascii="Arial" w:hAnsi="Arial" w:cs="Arial"/>
                            <w:sz w:val="22"/>
                          </w:rPr>
                        </w:pPr>
                        <w:r w:rsidRPr="00DE5795">
                          <w:rPr>
                            <w:rFonts w:ascii="Arial" w:hAnsi="Arial" w:cs="Arial"/>
                            <w:color w:val="000000" w:themeColor="text1"/>
                            <w:kern w:val="24"/>
                            <w:sz w:val="18"/>
                            <w:szCs w:val="20"/>
                          </w:rPr>
                          <w:t>Reconditioning (ambulatory) LOS: 61.1 days</w:t>
                        </w:r>
                      </w:p>
                    </w:txbxContent>
                  </v:textbox>
                </v:shape>
                <w10:wrap type="topAndBottom" anchorx="margin"/>
              </v:group>
            </w:pict>
          </mc:Fallback>
        </mc:AlternateContent>
      </w:r>
      <w:r w:rsidRPr="007F1A00">
        <w:rPr>
          <w:lang w:val="en-GB"/>
        </w:rPr>
        <w:t xml:space="preserve">Figure </w:t>
      </w:r>
      <w:r w:rsidRPr="007F1A00">
        <w:rPr>
          <w:lang w:val="en-GB"/>
        </w:rPr>
        <w:fldChar w:fldCharType="begin"/>
      </w:r>
      <w:r w:rsidRPr="007F1A00">
        <w:rPr>
          <w:lang w:val="en-GB"/>
        </w:rPr>
        <w:instrText xml:space="preserve"> SEQ Figure \* ARABIC </w:instrText>
      </w:r>
      <w:r w:rsidRPr="007F1A00">
        <w:rPr>
          <w:lang w:val="en-GB"/>
        </w:rPr>
        <w:fldChar w:fldCharType="separate"/>
      </w:r>
      <w:r w:rsidR="00BE0797">
        <w:rPr>
          <w:noProof/>
          <w:lang w:val="en-GB"/>
        </w:rPr>
        <w:t>3</w:t>
      </w:r>
      <w:r w:rsidRPr="007F1A00">
        <w:rPr>
          <w:lang w:val="en-GB"/>
        </w:rPr>
        <w:fldChar w:fldCharType="end"/>
      </w:r>
      <w:bookmarkEnd w:id="16"/>
      <w:r w:rsidRPr="007F1A00">
        <w:rPr>
          <w:lang w:val="en-GB"/>
        </w:rPr>
        <w:t xml:space="preserve">: Average length of stay (care days) </w:t>
      </w:r>
      <w:r>
        <w:rPr>
          <w:lang w:val="en-GB"/>
        </w:rPr>
        <w:t>against rehabilitation lengths of stay</w:t>
      </w:r>
    </w:p>
    <w:p w:rsidR="006C6B66" w:rsidRDefault="006C6B66" w:rsidP="006C6B66">
      <w:pPr>
        <w:pStyle w:val="Bullet1stlevel"/>
        <w:numPr>
          <w:ilvl w:val="0"/>
          <w:numId w:val="0"/>
        </w:numPr>
        <w:ind w:left="340" w:hanging="340"/>
        <w:rPr>
          <w:lang w:val="en-GB"/>
        </w:rPr>
      </w:pPr>
      <w:r w:rsidRPr="007F1A00">
        <w:rPr>
          <w:color w:val="44546A" w:themeColor="text2"/>
          <w:sz w:val="18"/>
          <w:szCs w:val="18"/>
          <w:lang w:val="en-GB"/>
        </w:rPr>
        <w:t>Source: Department of Health</w:t>
      </w:r>
      <w:r>
        <w:rPr>
          <w:color w:val="44546A" w:themeColor="text2"/>
          <w:sz w:val="18"/>
          <w:szCs w:val="18"/>
          <w:lang w:val="en-GB"/>
        </w:rPr>
        <w:t xml:space="preserve"> and AROC</w:t>
      </w:r>
    </w:p>
    <w:p w:rsidR="002F24C1" w:rsidRDefault="00562109" w:rsidP="00562109">
      <w:pPr>
        <w:pStyle w:val="Heading2"/>
        <w:rPr>
          <w:lang w:val="en-GB"/>
        </w:rPr>
      </w:pPr>
      <w:bookmarkStart w:id="17" w:name="_Toc5270598"/>
      <w:r>
        <w:rPr>
          <w:lang w:val="en-GB"/>
        </w:rPr>
        <w:t>The effectiveness of the Programme</w:t>
      </w:r>
      <w:bookmarkEnd w:id="17"/>
    </w:p>
    <w:p w:rsidR="00824DAA" w:rsidRDefault="00824DAA" w:rsidP="00DE5795">
      <w:pPr>
        <w:pStyle w:val="BodyText1"/>
        <w:rPr>
          <w:lang w:val="en-GB"/>
        </w:rPr>
      </w:pPr>
      <w:r>
        <w:rPr>
          <w:lang w:val="en-GB"/>
        </w:rPr>
        <w:t xml:space="preserve">During the course of the </w:t>
      </w:r>
      <w:r w:rsidR="00AB2AF2">
        <w:rPr>
          <w:lang w:val="en-GB"/>
        </w:rPr>
        <w:t>review</w:t>
      </w:r>
      <w:r>
        <w:rPr>
          <w:lang w:val="en-GB"/>
        </w:rPr>
        <w:t xml:space="preserve">, </w:t>
      </w:r>
      <w:r w:rsidR="00D57504">
        <w:rPr>
          <w:lang w:val="en-GB"/>
        </w:rPr>
        <w:t xml:space="preserve">the majority of </w:t>
      </w:r>
      <w:r>
        <w:rPr>
          <w:lang w:val="en-GB"/>
        </w:rPr>
        <w:t xml:space="preserve">stakeholders have repeatedly asserted that the Programme is effective in both meeting its aims and in improving the life of care recipients. </w:t>
      </w:r>
      <w:r w:rsidR="00D57504">
        <w:rPr>
          <w:lang w:val="en-GB"/>
        </w:rPr>
        <w:t>T</w:t>
      </w:r>
      <w:r>
        <w:rPr>
          <w:lang w:val="en-GB"/>
        </w:rPr>
        <w:t xml:space="preserve">he feedback from care recipients was overwhelmingly positive (this is explored further in Section </w:t>
      </w:r>
      <w:r>
        <w:rPr>
          <w:lang w:val="en-GB"/>
        </w:rPr>
        <w:fldChar w:fldCharType="begin"/>
      </w:r>
      <w:r>
        <w:rPr>
          <w:lang w:val="en-GB"/>
        </w:rPr>
        <w:instrText xml:space="preserve"> REF _Ref358594 \r \h </w:instrText>
      </w:r>
      <w:r>
        <w:rPr>
          <w:lang w:val="en-GB"/>
        </w:rPr>
      </w:r>
      <w:r>
        <w:rPr>
          <w:lang w:val="en-GB"/>
        </w:rPr>
        <w:fldChar w:fldCharType="separate"/>
      </w:r>
      <w:r w:rsidR="00ED07D2">
        <w:rPr>
          <w:lang w:val="en-GB"/>
        </w:rPr>
        <w:t>3.1.1</w:t>
      </w:r>
      <w:r>
        <w:rPr>
          <w:lang w:val="en-GB"/>
        </w:rPr>
        <w:fldChar w:fldCharType="end"/>
      </w:r>
      <w:r>
        <w:rPr>
          <w:lang w:val="en-GB"/>
        </w:rPr>
        <w:t xml:space="preserve">). </w:t>
      </w:r>
      <w:r w:rsidR="00AB2AF2">
        <w:rPr>
          <w:lang w:val="en-GB"/>
        </w:rPr>
        <w:t xml:space="preserve">There is </w:t>
      </w:r>
      <w:r>
        <w:rPr>
          <w:lang w:val="en-GB"/>
        </w:rPr>
        <w:t xml:space="preserve">a high volume of subjective evidence that the Programme is effective. </w:t>
      </w:r>
    </w:p>
    <w:p w:rsidR="00824DAA" w:rsidRDefault="00824DAA" w:rsidP="00DE5795">
      <w:pPr>
        <w:pStyle w:val="BodyText1"/>
        <w:rPr>
          <w:lang w:val="en-GB"/>
        </w:rPr>
      </w:pPr>
      <w:r>
        <w:rPr>
          <w:lang w:val="en-GB"/>
        </w:rPr>
        <w:t xml:space="preserve">When reviewing the quantitative data, the reviewers could only compare aggregate entry and exit MBI scores. </w:t>
      </w:r>
    </w:p>
    <w:p w:rsidR="00824DAA" w:rsidRDefault="00824DAA" w:rsidP="00DE5795">
      <w:pPr>
        <w:pStyle w:val="BodyText1"/>
        <w:rPr>
          <w:lang w:val="en-GB"/>
        </w:rPr>
      </w:pPr>
      <w:r>
        <w:rPr>
          <w:lang w:val="en-GB"/>
        </w:rPr>
        <w:t>The MBI has four categories of function:</w:t>
      </w:r>
    </w:p>
    <w:p w:rsidR="00824DAA" w:rsidRPr="00824DAA" w:rsidRDefault="00824DAA" w:rsidP="00824DAA">
      <w:pPr>
        <w:pStyle w:val="Numberbullet1stlevel"/>
        <w:rPr>
          <w:lang w:val="en-GB"/>
        </w:rPr>
      </w:pPr>
      <w:r w:rsidRPr="00824DAA">
        <w:rPr>
          <w:lang w:val="en-GB"/>
        </w:rPr>
        <w:t>Total dependency</w:t>
      </w:r>
      <w:r w:rsidR="00AB2AF2">
        <w:rPr>
          <w:lang w:val="en-GB"/>
        </w:rPr>
        <w:t>;</w:t>
      </w:r>
    </w:p>
    <w:p w:rsidR="00824DAA" w:rsidRDefault="00824DAA" w:rsidP="00824DAA">
      <w:pPr>
        <w:pStyle w:val="Numberbullet1stlevel"/>
        <w:rPr>
          <w:lang w:val="en-GB"/>
        </w:rPr>
      </w:pPr>
      <w:r>
        <w:rPr>
          <w:lang w:val="en-GB"/>
        </w:rPr>
        <w:t>Severe dependency</w:t>
      </w:r>
      <w:r w:rsidR="00AB2AF2">
        <w:rPr>
          <w:lang w:val="en-GB"/>
        </w:rPr>
        <w:t>;</w:t>
      </w:r>
    </w:p>
    <w:p w:rsidR="00824DAA" w:rsidRDefault="00824DAA" w:rsidP="00824DAA">
      <w:pPr>
        <w:pStyle w:val="Numberbullet1stlevel"/>
        <w:rPr>
          <w:lang w:val="en-GB"/>
        </w:rPr>
      </w:pPr>
      <w:r>
        <w:rPr>
          <w:lang w:val="en-GB"/>
        </w:rPr>
        <w:t>Moderate dependency</w:t>
      </w:r>
      <w:r w:rsidR="00AB2AF2">
        <w:rPr>
          <w:lang w:val="en-GB"/>
        </w:rPr>
        <w:t>; and</w:t>
      </w:r>
    </w:p>
    <w:p w:rsidR="00824DAA" w:rsidRPr="00824DAA" w:rsidRDefault="00824DAA" w:rsidP="00824DAA">
      <w:pPr>
        <w:pStyle w:val="Numberbullet1stlevel"/>
        <w:rPr>
          <w:lang w:val="en-GB"/>
        </w:rPr>
      </w:pPr>
      <w:r>
        <w:rPr>
          <w:lang w:val="en-GB"/>
        </w:rPr>
        <w:t>Slight dependency.</w:t>
      </w:r>
    </w:p>
    <w:p w:rsidR="00562109" w:rsidRPr="00562109" w:rsidRDefault="00562109" w:rsidP="00DE5795">
      <w:pPr>
        <w:pStyle w:val="BodyText1"/>
        <w:rPr>
          <w:lang w:val="en-GB"/>
        </w:rPr>
      </w:pPr>
      <w:r w:rsidRPr="00562109">
        <w:rPr>
          <w:lang w:val="en-GB"/>
        </w:rPr>
        <w:t xml:space="preserve">Specifically, </w:t>
      </w:r>
      <w:r w:rsidR="00824DAA">
        <w:rPr>
          <w:lang w:val="en-GB"/>
        </w:rPr>
        <w:t xml:space="preserve">the reviewers looked at </w:t>
      </w:r>
      <w:r w:rsidRPr="00562109">
        <w:rPr>
          <w:lang w:val="en-GB"/>
        </w:rPr>
        <w:t>the change in the proportion of care recipients in a particular functional category at discharge. For example, the national graph shows consistently positive values for ‘slight dependency’</w:t>
      </w:r>
      <w:r w:rsidR="00075762">
        <w:rPr>
          <w:lang w:val="en-GB"/>
        </w:rPr>
        <w:t>,</w:t>
      </w:r>
      <w:r w:rsidRPr="00562109">
        <w:rPr>
          <w:lang w:val="en-GB"/>
        </w:rPr>
        <w:t xml:space="preserve"> meaning that the proportion </w:t>
      </w:r>
      <w:r w:rsidR="009D03FB">
        <w:rPr>
          <w:lang w:val="en-GB"/>
        </w:rPr>
        <w:t>of</w:t>
      </w:r>
      <w:r w:rsidR="009D03FB" w:rsidRPr="00562109">
        <w:rPr>
          <w:lang w:val="en-GB"/>
        </w:rPr>
        <w:t xml:space="preserve"> </w:t>
      </w:r>
      <w:r w:rsidRPr="00562109">
        <w:rPr>
          <w:lang w:val="en-GB"/>
        </w:rPr>
        <w:t>individuals in this category has increased from admission to discharge. The same trend can be seen across jurisdictions suggesting that each State/Territory has care recipients moving into higher functioning categories</w:t>
      </w:r>
      <w:r w:rsidR="009B1865">
        <w:rPr>
          <w:lang w:val="en-GB"/>
        </w:rPr>
        <w:t xml:space="preserve"> on discharge</w:t>
      </w:r>
      <w:r w:rsidRPr="00562109">
        <w:rPr>
          <w:lang w:val="en-GB"/>
        </w:rPr>
        <w:t>. This is correlated by the fact that ‘moderate’ and ‘severe’ dependency consistently show negative values</w:t>
      </w:r>
      <w:r w:rsidR="00A07E29">
        <w:rPr>
          <w:lang w:val="en-GB"/>
        </w:rPr>
        <w:t>,</w:t>
      </w:r>
      <w:r w:rsidRPr="00562109">
        <w:rPr>
          <w:lang w:val="en-GB"/>
        </w:rPr>
        <w:t xml:space="preserve"> suggesting care recipients are moving out of these categories over the course of care. </w:t>
      </w:r>
    </w:p>
    <w:p w:rsidR="00562109" w:rsidRDefault="00824DAA" w:rsidP="00DE5795">
      <w:pPr>
        <w:pStyle w:val="BodyText1"/>
        <w:rPr>
          <w:lang w:val="en-GB"/>
        </w:rPr>
      </w:pPr>
      <w:r>
        <w:rPr>
          <w:lang w:val="en-GB"/>
        </w:rPr>
        <w:t>Other quantitative</w:t>
      </w:r>
      <w:r w:rsidR="00562109" w:rsidRPr="00562109">
        <w:rPr>
          <w:lang w:val="en-GB"/>
        </w:rPr>
        <w:t xml:space="preserve"> evidence suggests that the increases in ‘total dependency’ over the course of the </w:t>
      </w:r>
      <w:r w:rsidR="00931CA8">
        <w:rPr>
          <w:lang w:val="en-GB"/>
        </w:rPr>
        <w:t>P</w:t>
      </w:r>
      <w:r w:rsidR="00562109" w:rsidRPr="00562109">
        <w:rPr>
          <w:lang w:val="en-GB"/>
        </w:rPr>
        <w:t>rogram</w:t>
      </w:r>
      <w:r w:rsidR="00931CA8">
        <w:rPr>
          <w:lang w:val="en-GB"/>
        </w:rPr>
        <w:t>me</w:t>
      </w:r>
      <w:r w:rsidR="00562109" w:rsidRPr="00562109">
        <w:rPr>
          <w:lang w:val="en-GB"/>
        </w:rPr>
        <w:t xml:space="preserve"> are due to how MBI scores are </w:t>
      </w:r>
      <w:r w:rsidR="009B1865">
        <w:rPr>
          <w:lang w:val="en-GB"/>
        </w:rPr>
        <w:t>coded on care recipient discharge from the Programme.  C</w:t>
      </w:r>
      <w:r w:rsidR="00562109" w:rsidRPr="00562109">
        <w:rPr>
          <w:lang w:val="en-GB"/>
        </w:rPr>
        <w:t xml:space="preserve">are recipients </w:t>
      </w:r>
      <w:r w:rsidR="009B1865">
        <w:rPr>
          <w:lang w:val="en-GB"/>
        </w:rPr>
        <w:t xml:space="preserve">who </w:t>
      </w:r>
      <w:r w:rsidR="00562109" w:rsidRPr="00562109">
        <w:rPr>
          <w:lang w:val="en-GB"/>
        </w:rPr>
        <w:t>lea</w:t>
      </w:r>
      <w:r w:rsidR="009B1865">
        <w:rPr>
          <w:lang w:val="en-GB"/>
        </w:rPr>
        <w:t>ve</w:t>
      </w:r>
      <w:r w:rsidR="00562109" w:rsidRPr="00562109">
        <w:rPr>
          <w:lang w:val="en-GB"/>
        </w:rPr>
        <w:t xml:space="preserve"> the </w:t>
      </w:r>
      <w:r w:rsidR="009B1865">
        <w:rPr>
          <w:lang w:val="en-GB"/>
        </w:rPr>
        <w:t>programme</w:t>
      </w:r>
      <w:r w:rsidR="009B1865" w:rsidRPr="00562109">
        <w:rPr>
          <w:lang w:val="en-GB"/>
        </w:rPr>
        <w:t xml:space="preserve"> </w:t>
      </w:r>
      <w:r w:rsidR="009B1865">
        <w:rPr>
          <w:lang w:val="en-GB"/>
        </w:rPr>
        <w:t xml:space="preserve">to </w:t>
      </w:r>
      <w:r w:rsidR="00A346E8">
        <w:rPr>
          <w:lang w:val="en-GB"/>
        </w:rPr>
        <w:t xml:space="preserve">present or be admitted to </w:t>
      </w:r>
      <w:r w:rsidR="009B1865">
        <w:rPr>
          <w:lang w:val="en-GB"/>
        </w:rPr>
        <w:t>hospital, or those who die are allocated</w:t>
      </w:r>
      <w:r w:rsidR="00562109" w:rsidRPr="00562109">
        <w:rPr>
          <w:lang w:val="en-GB"/>
        </w:rPr>
        <w:t xml:space="preserve"> </w:t>
      </w:r>
      <w:r w:rsidR="009B1865">
        <w:rPr>
          <w:lang w:val="en-GB"/>
        </w:rPr>
        <w:t>‘</w:t>
      </w:r>
      <w:r w:rsidR="00562109" w:rsidRPr="00562109">
        <w:rPr>
          <w:lang w:val="en-GB"/>
        </w:rPr>
        <w:t>zero</w:t>
      </w:r>
      <w:r w:rsidR="009B1865">
        <w:rPr>
          <w:lang w:val="en-GB"/>
        </w:rPr>
        <w:t>’</w:t>
      </w:r>
      <w:r w:rsidR="00562109" w:rsidRPr="00562109">
        <w:rPr>
          <w:lang w:val="en-GB"/>
        </w:rPr>
        <w:t xml:space="preserve"> scores</w:t>
      </w:r>
      <w:r w:rsidR="009B1865">
        <w:rPr>
          <w:lang w:val="en-GB"/>
        </w:rPr>
        <w:t xml:space="preserve"> in the MBI</w:t>
      </w:r>
      <w:r w:rsidR="000B0145">
        <w:rPr>
          <w:lang w:val="en-GB"/>
        </w:rPr>
        <w:t xml:space="preserve">. Deaths within the Programme are low (one per cent of total participants); meaning that the large number of ‘zero’ scores originate from those entering hospital, effectively </w:t>
      </w:r>
      <w:r w:rsidR="00562109" w:rsidRPr="00562109">
        <w:rPr>
          <w:lang w:val="en-GB"/>
        </w:rPr>
        <w:t>skewing the overall results.</w:t>
      </w:r>
      <w:r w:rsidR="006C271F">
        <w:rPr>
          <w:lang w:val="en-GB"/>
        </w:rPr>
        <w:t xml:space="preserve"> </w:t>
      </w:r>
      <w:r w:rsidR="009B1865">
        <w:rPr>
          <w:lang w:val="en-GB"/>
        </w:rPr>
        <w:fldChar w:fldCharType="begin"/>
      </w:r>
      <w:r w:rsidR="009B1865">
        <w:rPr>
          <w:lang w:val="en-GB"/>
        </w:rPr>
        <w:instrText xml:space="preserve"> REF _Ref1627746 \h </w:instrText>
      </w:r>
      <w:r w:rsidR="009B1865">
        <w:rPr>
          <w:lang w:val="en-GB"/>
        </w:rPr>
      </w:r>
      <w:r w:rsidR="009B1865">
        <w:rPr>
          <w:lang w:val="en-GB"/>
        </w:rPr>
        <w:fldChar w:fldCharType="separate"/>
      </w:r>
      <w:r w:rsidR="00BE0797" w:rsidRPr="007F1A00">
        <w:rPr>
          <w:lang w:val="en-GB"/>
        </w:rPr>
        <w:t xml:space="preserve">Figure </w:t>
      </w:r>
      <w:r w:rsidR="00BE0797">
        <w:rPr>
          <w:noProof/>
          <w:lang w:val="en-GB"/>
        </w:rPr>
        <w:t>4</w:t>
      </w:r>
      <w:r w:rsidR="009B1865">
        <w:rPr>
          <w:lang w:val="en-GB"/>
        </w:rPr>
        <w:fldChar w:fldCharType="end"/>
      </w:r>
      <w:r w:rsidR="009B1865">
        <w:rPr>
          <w:lang w:val="en-GB"/>
        </w:rPr>
        <w:t xml:space="preserve"> </w:t>
      </w:r>
      <w:r w:rsidR="00A346E8">
        <w:rPr>
          <w:lang w:val="en-GB"/>
        </w:rPr>
        <w:t>over page</w:t>
      </w:r>
      <w:r w:rsidR="009B1865">
        <w:rPr>
          <w:lang w:val="en-GB"/>
        </w:rPr>
        <w:t xml:space="preserve"> shows the changes in proportion of MBI scores between admission and discharge. </w:t>
      </w:r>
      <w:r w:rsidR="00084CAD">
        <w:rPr>
          <w:lang w:val="en-GB"/>
        </w:rPr>
        <w:fldChar w:fldCharType="begin"/>
      </w:r>
      <w:r w:rsidR="00084CAD">
        <w:rPr>
          <w:lang w:val="en-GB"/>
        </w:rPr>
        <w:instrText xml:space="preserve"> REF _Ref1635452 \h </w:instrText>
      </w:r>
      <w:r w:rsidR="00DE5795">
        <w:rPr>
          <w:lang w:val="en-GB"/>
        </w:rPr>
        <w:instrText xml:space="preserve"> \* MERGEFORMAT </w:instrText>
      </w:r>
      <w:r w:rsidR="00084CAD">
        <w:rPr>
          <w:lang w:val="en-GB"/>
        </w:rPr>
      </w:r>
      <w:r w:rsidR="00084CAD">
        <w:rPr>
          <w:lang w:val="en-GB"/>
        </w:rPr>
        <w:fldChar w:fldCharType="separate"/>
      </w:r>
      <w:r w:rsidR="00BE0797">
        <w:t xml:space="preserve">Figure </w:t>
      </w:r>
      <w:r w:rsidR="00BE0797">
        <w:rPr>
          <w:noProof/>
        </w:rPr>
        <w:t>5</w:t>
      </w:r>
      <w:r w:rsidR="00084CAD">
        <w:rPr>
          <w:lang w:val="en-GB"/>
        </w:rPr>
        <w:fldChar w:fldCharType="end"/>
      </w:r>
      <w:r w:rsidR="00084CAD">
        <w:rPr>
          <w:lang w:val="en-GB"/>
        </w:rPr>
        <w:t xml:space="preserve"> s</w:t>
      </w:r>
      <w:r w:rsidR="009B1865">
        <w:rPr>
          <w:lang w:val="en-GB"/>
        </w:rPr>
        <w:t>hows this same movement but adjusts the data to remove zero scores i.e. those care recipients who have returned from hospital or died</w:t>
      </w:r>
      <w:r w:rsidR="00084CAD">
        <w:rPr>
          <w:lang w:val="en-GB"/>
        </w:rPr>
        <w:t xml:space="preserve"> – which demonstrates a larger proportion of care recipients moving into the highest functional category (slight dependency).</w:t>
      </w:r>
    </w:p>
    <w:p w:rsidR="00B32CD4" w:rsidRDefault="00824DAA" w:rsidP="00DE5795">
      <w:pPr>
        <w:pStyle w:val="BodyText1"/>
        <w:rPr>
          <w:lang w:val="en-GB"/>
        </w:rPr>
        <w:sectPr w:rsidR="00B32CD4" w:rsidSect="00A12B5A">
          <w:headerReference w:type="even" r:id="rId23"/>
          <w:headerReference w:type="default" r:id="rId24"/>
          <w:footerReference w:type="default" r:id="rId25"/>
          <w:headerReference w:type="first" r:id="rId26"/>
          <w:pgSz w:w="11906" w:h="16838"/>
          <w:pgMar w:top="1418" w:right="1418" w:bottom="1418" w:left="1418" w:header="709" w:footer="453" w:gutter="0"/>
          <w:cols w:space="708"/>
          <w:docGrid w:linePitch="360"/>
        </w:sectPr>
      </w:pPr>
      <w:r>
        <w:rPr>
          <w:lang w:val="en-GB"/>
        </w:rPr>
        <w:t>Thus, the movements of c</w:t>
      </w:r>
      <w:r w:rsidR="00D57504">
        <w:rPr>
          <w:lang w:val="en-GB"/>
        </w:rPr>
        <w:t>are recipients</w:t>
      </w:r>
      <w:r>
        <w:rPr>
          <w:lang w:val="en-GB"/>
        </w:rPr>
        <w:t xml:space="preserve"> into higher functional categories supports the notion that</w:t>
      </w:r>
      <w:r w:rsidR="00AB2AF2">
        <w:rPr>
          <w:lang w:val="en-GB"/>
        </w:rPr>
        <w:t xml:space="preserve"> the</w:t>
      </w:r>
      <w:r>
        <w:rPr>
          <w:lang w:val="en-GB"/>
        </w:rPr>
        <w:t xml:space="preserve"> TCP is effective in improving a care recipients</w:t>
      </w:r>
      <w:r w:rsidR="00AB2AF2">
        <w:rPr>
          <w:lang w:val="en-GB"/>
        </w:rPr>
        <w:t>’</w:t>
      </w:r>
      <w:r>
        <w:rPr>
          <w:lang w:val="en-GB"/>
        </w:rPr>
        <w:t xml:space="preserve"> function.</w:t>
      </w:r>
      <w:r w:rsidR="00BC7309">
        <w:rPr>
          <w:lang w:val="en-GB"/>
        </w:rPr>
        <w:t xml:space="preserve"> Additional </w:t>
      </w:r>
      <w:r w:rsidR="00A07E29">
        <w:rPr>
          <w:lang w:val="en-GB"/>
        </w:rPr>
        <w:t>indicators</w:t>
      </w:r>
      <w:r w:rsidR="00BC7309">
        <w:rPr>
          <w:lang w:val="en-GB"/>
        </w:rPr>
        <w:t xml:space="preserve"> would assist in determining the full effectiveness of the Programme to address care recipients</w:t>
      </w:r>
      <w:r w:rsidR="00AB2AF2">
        <w:rPr>
          <w:lang w:val="en-GB"/>
        </w:rPr>
        <w:t>’</w:t>
      </w:r>
      <w:r w:rsidR="00BC7309">
        <w:rPr>
          <w:lang w:val="en-GB"/>
        </w:rPr>
        <w:t xml:space="preserve"> psychosocial needs.</w:t>
      </w:r>
    </w:p>
    <w:p w:rsidR="00B32CD4" w:rsidRPr="007F1A00" w:rsidRDefault="00B32CD4" w:rsidP="005D2C05">
      <w:pPr>
        <w:pStyle w:val="Caption"/>
        <w:rPr>
          <w:lang w:val="en-GB"/>
        </w:rPr>
      </w:pPr>
      <w:bookmarkStart w:id="18" w:name="_Ref1627746"/>
      <w:r w:rsidRPr="007F1A00">
        <w:rPr>
          <w:lang w:val="en-GB"/>
        </w:rPr>
        <w:t xml:space="preserve">Figure </w:t>
      </w:r>
      <w:r w:rsidRPr="007F1A00">
        <w:rPr>
          <w:lang w:val="en-GB"/>
        </w:rPr>
        <w:fldChar w:fldCharType="begin"/>
      </w:r>
      <w:r w:rsidRPr="007F1A00">
        <w:rPr>
          <w:lang w:val="en-GB"/>
        </w:rPr>
        <w:instrText xml:space="preserve"> SEQ Figure \* ARABIC </w:instrText>
      </w:r>
      <w:r w:rsidRPr="007F1A00">
        <w:rPr>
          <w:lang w:val="en-GB"/>
        </w:rPr>
        <w:fldChar w:fldCharType="separate"/>
      </w:r>
      <w:r w:rsidR="00BE0797">
        <w:rPr>
          <w:noProof/>
          <w:lang w:val="en-GB"/>
        </w:rPr>
        <w:t>4</w:t>
      </w:r>
      <w:r w:rsidRPr="007F1A00">
        <w:rPr>
          <w:lang w:val="en-GB"/>
        </w:rPr>
        <w:fldChar w:fldCharType="end"/>
      </w:r>
      <w:bookmarkEnd w:id="18"/>
      <w:r w:rsidRPr="007F1A00">
        <w:rPr>
          <w:lang w:val="en-GB"/>
        </w:rPr>
        <w:t xml:space="preserve">: </w:t>
      </w:r>
      <w:r w:rsidRPr="00B32CD4">
        <w:rPr>
          <w:lang w:val="en-GB"/>
        </w:rPr>
        <w:t>Change in the proportion of MBI scores nationally</w:t>
      </w:r>
    </w:p>
    <w:p w:rsidR="00BE0797" w:rsidRDefault="00BE0797" w:rsidP="00562109">
      <w:pPr>
        <w:rPr>
          <w:lang w:val="en-GB"/>
        </w:rPr>
      </w:pPr>
      <w:r>
        <w:rPr>
          <w:noProof/>
          <w:lang w:val="en-GB" w:eastAsia="en-GB"/>
        </w:rPr>
        <w:drawing>
          <wp:inline distT="0" distB="0" distL="0" distR="0" wp14:anchorId="65B33763">
            <wp:extent cx="8827770" cy="5236845"/>
            <wp:effectExtent l="0" t="0" r="0" b="1905"/>
            <wp:docPr id="3" name="Picture 3" descr="In 2006/2007;&#10;&#10;The proportion of participants with an MBI score of 0-19 increased by 13% from admission to discharge;&#10;&#10;The proportion of participants with an MBI score of 20-59 decreased by 12% from admission to discharge;&#10;&#10;The proportion of participants with an MBI score of 60-89 decreased by 21% from admission to discharge;&#10;&#10;The proportion of participants with an MBI score of 90+ increased by 20% from admission to discharge;&#10;&#10;In 2007/2008;&#10;&#10;The proportion of participants with an MBI score of 0-19 increased by 12% from admission to discharge;&#10;&#10;The proportion of participants with an MBI score of 20-59 decreased by 10% from admission to discharge;&#10;&#10;The proportion of participants with an MBI score of 60-89 decreased by 24% from admission to discharge;&#10;&#10;The proportion of participants with an MBI score of 90+ increased by 22% from admission to discharge;&#10;&#10;In 2008/2009;&#10;&#10;The proportion of participants with an MBI score of 0-19 increased by 13% from admission to discharge;&#10;&#10;The proportion of participants with an MBI score of 20-59 decreased by 11% from admission to discharge;&#10;&#10;The proportion of participants with an MBI score of 60-89 decreased by 25% from admission to discharge;&#10;&#10;The proportion of participants with an MBI score of 90+ increased by 23% from admission to discharge;&#10;&#10;In 2009/2010;&#10;&#10;The proportion of participants with an MBI score of 0-19 increased by 12% from admission to discharge;&#10;&#10;The proportion of participants with an MBI score of 20-59 decreased by 10% from admission to discharge;&#10;&#10;The proportion of participants with an MBI score of 60-89 decreased by 26% from admission to discharge;&#10;&#10;The proportion of participants with an MBI score of 90+ increased by 24% from admission to discharge;&#10;&#10;In 2010/2011;&#10;&#10;The proportion of participants with an MBI score of 0-19 increased by 15% from admission to discharge;&#10;&#10;The proportion of participants with an MBI score of 20-59 decreased by 10% from admission to discharge;&#10;&#10;The proportion of participants with an MBI score of 60-89 decreased by 28% from admission to discharge;&#10;&#10;The proportion of participants with an MBI score of 90+ increased by 23% from admission to discharge;&#10;&#10;In 2011/2012;&#10;&#10;The proportion of participants with an MBI score of 0-19 increased by 16% from admission to discharge;&#10;&#10;The proportion of participants with an MBI score of 20-59 decreased by 10% from admission to discharge;&#10;&#10;The proportion of participants with an MBI score of 60-89 decreased by 29% from admission to discharge;&#10;&#10;The proportion of participants with an MBI score of 90+ increased by 23% from admission to discharge;&#10;&#10;In 2012/2013;&#10;&#10;The proportion of participants with an MBI score of 0-19 increased by 17% from admission to discharge;&#10;&#10;The proportion of participants with an MBI score of 20-59 decreased by 11% from admission to discharge;&#10;&#10;The proportion of participants with an MBI score of 60-89 decreased by 29% from admission to discharge;&#10;&#10;The proportion of participants with an MBI score of 90+ increased by 23% from admission to discharge; &#10;&#10;In 2013/2014;&#10;&#10;The proportion of participants with an MBI score of 0-19 increased by 16% from admission to discharge;&#10;&#10;The proportion of participants with an MBI score of 20-59 decreased by 11% from admission to discharge;&#10;&#10;The proportion of participants with an MBI score of 60-89 decreased by 28% from admission to discharge;&#10;&#10;The proportion of participants with an MBI score of 90+ increased by 23% from admission to discharge;&#10;&#10;In 2014/2015;&#10;&#10;The proportion of participants with an MBI score of 0-19 increased by 16% from admission to discharge;&#10;&#10;The proportion of participants with an MBI score of 20-59 decreased by 12% from admission to discharge;&#10;&#10;The proportion of participants with an MBI score of 60-89 decreased by 27% from admission to discharge;&#10;&#10;The proportion of participants with an MBI score of 90+ increased by 23% from admission to discharge;&#10;&#10;In 2015/2016;&#10;&#10;The proportion of participants with an MBI score of 0-19 increased by 15% from admission to discharge;&#10;&#10;The proportion of participants with an MBI score of 20-59 decreased by 11% from admission to discharge;&#10;&#10;The proportion of participants with an MBI score of 60-89 decreased by 26% from admission to discharge;&#10;&#10;The proportion of participants with an MBI score of 90+ increased by 23% from admission to discharge;&#10;&#10;In 2016/2017;&#10;&#10;The proportion of participants with an MBI score of 0-19 increased by 17% from admission to discharge;&#10;&#10;The proportion of participants with an MBI score of 20-59 decreased by 12% from admission to discharge;&#10;&#10;The proportion of participants with an MBI score of 60-89 decreased by 27% from admission to discharge;&#10;&#10;The proportion of participants with an MBI score of 90+ increased by 22% from admission to discharge;&#10;&#10;In 2017/2018;&#10;&#10;The proportion of participants with an MBI score of 0-19 increased by 17% from admission to discharge;&#10;&#10;The proportion of participants with an MBI score of 20-59 decreased by 13% from admission to discharge;&#10;&#10;The proportion of participants with an MBI score of 60-89 decreased by 26% from admission to discharge;&#10;&#10;The proportion of participants with an MBI score of 90+ increased by 22% from admission to discharge." title="Figure 12 shows the change in the proportion of MBI scor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27770" cy="5236845"/>
                    </a:xfrm>
                    <a:prstGeom prst="rect">
                      <a:avLst/>
                    </a:prstGeom>
                    <a:noFill/>
                  </pic:spPr>
                </pic:pic>
              </a:graphicData>
            </a:graphic>
          </wp:inline>
        </w:drawing>
      </w:r>
    </w:p>
    <w:p w:rsidR="00B32CD4" w:rsidRDefault="00B32CD4" w:rsidP="00B32CD4">
      <w:pPr>
        <w:pStyle w:val="Bullet1stlevel"/>
        <w:numPr>
          <w:ilvl w:val="0"/>
          <w:numId w:val="0"/>
        </w:numPr>
        <w:rPr>
          <w:color w:val="44546A" w:themeColor="text2"/>
          <w:sz w:val="18"/>
          <w:szCs w:val="18"/>
          <w:lang w:val="en-GB"/>
        </w:rPr>
      </w:pPr>
      <w:r>
        <w:rPr>
          <w:color w:val="44546A" w:themeColor="text2"/>
          <w:sz w:val="18"/>
          <w:szCs w:val="18"/>
          <w:lang w:val="en-GB"/>
        </w:rPr>
        <w:t>Source: Department of Health</w:t>
      </w:r>
    </w:p>
    <w:p w:rsidR="00A46973" w:rsidRDefault="00A46973" w:rsidP="00A46973">
      <w:pPr>
        <w:pStyle w:val="Caption"/>
        <w:rPr>
          <w:lang w:val="en-GB"/>
        </w:rPr>
      </w:pPr>
      <w:bookmarkStart w:id="19" w:name="_Ref1635452"/>
      <w:r>
        <w:t xml:space="preserve">Figure </w:t>
      </w:r>
      <w:r w:rsidR="00E80FCB">
        <w:rPr>
          <w:noProof/>
        </w:rPr>
        <w:fldChar w:fldCharType="begin"/>
      </w:r>
      <w:r w:rsidR="00E80FCB">
        <w:rPr>
          <w:noProof/>
        </w:rPr>
        <w:instrText xml:space="preserve"> SEQ Figure \* ARABIC </w:instrText>
      </w:r>
      <w:r w:rsidR="00E80FCB">
        <w:rPr>
          <w:noProof/>
        </w:rPr>
        <w:fldChar w:fldCharType="separate"/>
      </w:r>
      <w:r w:rsidR="00BE0797">
        <w:rPr>
          <w:noProof/>
        </w:rPr>
        <w:t>5</w:t>
      </w:r>
      <w:r w:rsidR="00E80FCB">
        <w:rPr>
          <w:noProof/>
        </w:rPr>
        <w:fldChar w:fldCharType="end"/>
      </w:r>
      <w:bookmarkEnd w:id="19"/>
      <w:r>
        <w:t xml:space="preserve">: </w:t>
      </w:r>
      <w:r w:rsidRPr="005659B5">
        <w:t>Change in the proportion of MBI scores nationally</w:t>
      </w:r>
      <w:r>
        <w:t xml:space="preserve"> – excluding 'zero' scores on exit</w:t>
      </w:r>
    </w:p>
    <w:p w:rsidR="00BE0797" w:rsidRDefault="00BE0797" w:rsidP="00B32CD4">
      <w:pPr>
        <w:pStyle w:val="Bullet1stlevel"/>
        <w:numPr>
          <w:ilvl w:val="0"/>
          <w:numId w:val="0"/>
        </w:numPr>
        <w:rPr>
          <w:color w:val="44546A" w:themeColor="text2"/>
          <w:sz w:val="18"/>
          <w:szCs w:val="18"/>
          <w:lang w:val="en-GB"/>
        </w:rPr>
      </w:pPr>
      <w:r>
        <w:rPr>
          <w:noProof/>
          <w:color w:val="44546A" w:themeColor="text2"/>
          <w:sz w:val="18"/>
          <w:szCs w:val="18"/>
          <w:lang w:val="en-GB" w:eastAsia="en-GB"/>
        </w:rPr>
        <w:drawing>
          <wp:inline distT="0" distB="0" distL="0" distR="0" wp14:anchorId="53B7FDA1">
            <wp:extent cx="8907145" cy="5231130"/>
            <wp:effectExtent l="0" t="0" r="8255" b="7620"/>
            <wp:docPr id="4" name="Picture 4" descr="In 2006/2007;&#10;&#10;The proportion of participants with an MBI score of 0-19 decreased by 3% from admission to discharge;&#10;&#10;The proportion of participants with an MBI score of 20-59 decreased by 9% from admission to discharge;&#10;&#10;The proportion of participants with an MBI score of 60-89 decreased by 15% from admission to discharge;&#10;&#10;The proportion of participants with an MBI score of 90+ increased by 27% from admission to discharge;&#10;&#10;In 2007/2008;&#10;&#10;The proportion of participants with an MBI score of 0-19 decreased by 2% from admission to discharge;&#10;&#10;The proportion of participants with an MBI score of 20-59 decreased by 8% from admission to discharge;&#10;&#10;The proportion of participants with an MBI score of 60-89 decreased by 19% from admission to discharge;&#10;&#10;The proportion of participants with an MBI score of 90+ increased by 29% from admission to discharge;&#10;&#10;In 2008/2009;&#10;&#10;The proportion of participants with an MBI score of 0-19 decreased by 2% from admission to discharge;&#10;&#10;The proportion of participants with an MBI score of 20-59 decreased by 9% from admission to discharge;&#10;&#10;The proportion of participants with an MBI score of 60-89 decreased by 20% from admission to discharge;&#10;&#10;The proportion of participants with an MBI score of 90+ increased by 30% from admission to discharge;&#10;&#10;In 2009/2010;&#10;&#10;The proportion of participants with an MBI score of 0-19 decreased by 2% from admission to discharge;&#10;&#10;The proportion of participants with an MBI score of 20-59 decreased by 8% from admission to discharge;&#10;&#10;The proportion of participants with an MBI score of 60-89 decreased by 21% from admission to discharge;&#10;&#10;The proportion of participants with an MBI score of 90+ increased by 31% from admission to discharge;&#10;&#10;In 2010/2011;&#10;&#10;The proportion of participants with an MBI score of 0-19 decreased by 2% from admission to discharge;&#10;&#10;The proportion of participants with an MBI score of 20-59 decreased by 8% from admission to discharge;&#10;&#10;The proportion of participants with an MBI score of 60-89 decreased by 21% from admission to discharge;&#10;&#10;The proportion of participants with an MBI score of 90+ increased by 32% from admission to discharge;&#10;&#10;In 2011/2012;&#10;&#10;The proportion of participants with an MBI score of 0-19 decreased by 2% from admission to discharge;&#10;&#10;The proportion of participants with an MBI score of 20-59 decreased by 8% from admission to discharge;&#10;&#10;The proportion of participants with an MBI score of 60-89 decreased by 23% from admission to discharge;&#10;&#10;The proportion of participants with an MBI score of 90+ increased by 33% from admission to discharge;&#10;&#10;In 2012/2013;&#10;&#10;The proportion of participants with an MBI score of 0-19 decreased by 2% from admission to discharge;&#10;&#10;The proportion of participants with an MBI score of 20-59 decreased by 8% from admission to discharge;&#10;&#10;The proportion of participants with an MBI score of 60-89 decreased by 23% from admission to discharge;&#10;&#10;The proportion of participants with an MBI score of 90+ increased by 33% from admission to discharge;&#10;&#10;In 2013/2014;&#10;&#10;The proportion of participants with an MBI score of 0-19 decreased by 2% from admission to discharge;&#10;&#10;The proportion of participants with an MBI score of 20-59 decreased by 8% from admission to discharge;&#10;&#10;The proportion of participants with an MBI score of 60-89 decreased by 22% from admission to discharge;&#10;&#10;The proportion of participants with an MBI score of 90+ increased by 32% from admission to discharge;&#10;&#10;In 2014/2015;&#10;&#10;The proportion of participants with an MBI score of 0-19 decreased by 1% from admission to discharge;&#10;&#10;The proportion of participants with an MBI score of 20-59 decreased by 9% from admission to discharge;&#10;&#10;The proportion of participants with an MBI score of 60-89 decreased by 21% from admission to discharge;&#10;&#10;The proportion of participants with an MBI score of 90+ increased by 32% from admission to discharge;&#10;&#10;In 2015/2016;&#10;&#10;The proportion of participants with an MBI score of 0-19 decreased by 1% from admission to discharge;&#10;&#10;The proportion of participants with an MBI score of 20-59 decreased by 9% from admission to discharge;&#10;&#10;The proportion of participants with an MBI score of 60-89 decreased by 20% from admission to discharge;&#10;&#10;The proportion of participants with an MBI score of 90+ increased by 31% from admission to discharge;&#10;&#10;In 2016/2017;&#10;&#10;The proportion of participants with an MBI score of 0-19 decreased by 2% from admission to discharge;&#10;&#10;The proportion of participants with an MBI score of 20-59 decreased by 9% from admission to discharge;&#10;&#10;The proportion of participants with an MBI score of 60-89 decreased by 20% from admission to discharge;&#10;&#10;The proportion of participants with an MBI score of 90+ increased by 31% from admission to discharge;&#10;&#10;In 2017/2018;&#10;&#10;The proportion of participants with an MBI score of 0-19 decreased by 2% from admission to discharge;&#10;&#10;The proportion of participants with an MBI score of 20-59 decreased by 10% from admission to discharge;&#10;&#10;The proportion of participants with an MBI score of 60-89 decreased by 19% from admission to discharge;&#10;&#10;The proportion of participants with an MBI score of 90+ increased by 32% from admission to discharge." title="Figure 5 shows the change in the proportion of MBI scores nationally excluding 'zero' scores on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07145" cy="5231130"/>
                    </a:xfrm>
                    <a:prstGeom prst="rect">
                      <a:avLst/>
                    </a:prstGeom>
                    <a:noFill/>
                  </pic:spPr>
                </pic:pic>
              </a:graphicData>
            </a:graphic>
          </wp:inline>
        </w:drawing>
      </w:r>
    </w:p>
    <w:p w:rsidR="00A46973" w:rsidRDefault="00A46973" w:rsidP="00B32CD4">
      <w:pPr>
        <w:pStyle w:val="Bullet1stlevel"/>
        <w:numPr>
          <w:ilvl w:val="0"/>
          <w:numId w:val="0"/>
        </w:numPr>
        <w:rPr>
          <w:color w:val="44546A" w:themeColor="text2"/>
          <w:sz w:val="18"/>
          <w:szCs w:val="18"/>
          <w:lang w:val="en-GB"/>
        </w:rPr>
      </w:pPr>
      <w:r w:rsidRPr="00A46973">
        <w:rPr>
          <w:color w:val="44546A" w:themeColor="text2"/>
          <w:sz w:val="18"/>
          <w:szCs w:val="18"/>
          <w:lang w:val="en-GB"/>
        </w:rPr>
        <w:t>Source: Department of Health</w:t>
      </w:r>
    </w:p>
    <w:p w:rsidR="00A46973" w:rsidRDefault="00A46973" w:rsidP="00B32CD4">
      <w:pPr>
        <w:pStyle w:val="Bullet1stlevel"/>
        <w:numPr>
          <w:ilvl w:val="0"/>
          <w:numId w:val="0"/>
        </w:numPr>
        <w:rPr>
          <w:color w:val="44546A" w:themeColor="text2"/>
          <w:sz w:val="18"/>
          <w:szCs w:val="18"/>
          <w:lang w:val="en-GB"/>
        </w:rPr>
        <w:sectPr w:rsidR="00A46973" w:rsidSect="00B32CD4">
          <w:pgSz w:w="16838" w:h="11906" w:orient="landscape"/>
          <w:pgMar w:top="1418" w:right="1418" w:bottom="1418" w:left="1418" w:header="709" w:footer="453" w:gutter="0"/>
          <w:cols w:space="708"/>
          <w:docGrid w:linePitch="360"/>
        </w:sectPr>
      </w:pPr>
    </w:p>
    <w:p w:rsidR="00B32CD4" w:rsidRDefault="001F3F5B" w:rsidP="001F3F5B">
      <w:pPr>
        <w:pStyle w:val="BodyText1"/>
        <w:rPr>
          <w:b/>
          <w:lang w:val="en-GB"/>
        </w:rPr>
      </w:pPr>
      <w:r w:rsidRPr="001F3F5B">
        <w:rPr>
          <w:b/>
          <w:lang w:val="en-GB"/>
        </w:rPr>
        <w:t>Key findings – Current Operations</w:t>
      </w:r>
    </w:p>
    <w:p w:rsidR="00562109" w:rsidRDefault="001F3F5B" w:rsidP="00230145">
      <w:pPr>
        <w:pStyle w:val="Bullet1stlevel"/>
        <w:spacing w:before="0" w:after="160" w:line="259" w:lineRule="auto"/>
        <w:rPr>
          <w:lang w:val="en-GB"/>
        </w:rPr>
      </w:pPr>
      <w:r w:rsidRPr="001F3F5B">
        <w:rPr>
          <w:lang w:val="en-GB"/>
        </w:rPr>
        <w:t>The TCP fills a unique space within the health and aged care landscapes. It allows for clients to transition into home safely, and provides health services with an option to improve patient flow.</w:t>
      </w:r>
    </w:p>
    <w:p w:rsidR="001F3F5B" w:rsidRPr="001F3F5B" w:rsidRDefault="001F3F5B" w:rsidP="001F3F5B">
      <w:pPr>
        <w:pStyle w:val="Bullet1stlevel"/>
        <w:rPr>
          <w:lang w:val="en-GB"/>
        </w:rPr>
      </w:pPr>
      <w:r w:rsidRPr="001F3F5B">
        <w:rPr>
          <w:lang w:val="en-GB"/>
        </w:rPr>
        <w:t>The TCP is jointly funded by the Commonwealth and State and Territory governments.  Jurisdictions have the discretion to contribute their co-funding through either direct contribution (cash) or in-kind support. The type and level of funding is variable across jurisdictions.</w:t>
      </w:r>
    </w:p>
    <w:p w:rsidR="001F3F5B" w:rsidRPr="001F3F5B" w:rsidRDefault="001F3F5B" w:rsidP="001F3F5B">
      <w:pPr>
        <w:pStyle w:val="Bullet1stlevel"/>
        <w:rPr>
          <w:lang w:val="en-GB"/>
        </w:rPr>
      </w:pPr>
      <w:r w:rsidRPr="001F3F5B">
        <w:rPr>
          <w:lang w:val="en-GB"/>
        </w:rPr>
        <w:t>The TCP is operationalised by State and Territory governments, and has evolved slightly differently across the jurisdictions. In practice, this has led to a number of different operating models. Some jurisdictions (such as NSW) provide the majority of services ‘in-house’ through State health services, while others (such as SA) broker the majority of services to NGOs.</w:t>
      </w:r>
    </w:p>
    <w:p w:rsidR="001F3F5B" w:rsidRPr="001F3F5B" w:rsidRDefault="001F3F5B" w:rsidP="001F3F5B">
      <w:pPr>
        <w:pStyle w:val="Bullet1stlevel"/>
        <w:rPr>
          <w:lang w:val="en-GB"/>
        </w:rPr>
      </w:pPr>
      <w:r w:rsidRPr="001F3F5B">
        <w:rPr>
          <w:lang w:val="en-GB"/>
        </w:rPr>
        <w:t xml:space="preserve">The cost of service per care day is variable across jurisdictions and appears to be influenced by the level of remoteness of service provision and the proportion of places that are provided in residential care. The cost of service deliver ranges from $247.34 per day to $355.70. </w:t>
      </w:r>
    </w:p>
    <w:p w:rsidR="001F3F5B" w:rsidRPr="001F3F5B" w:rsidRDefault="001F3F5B" w:rsidP="001F3F5B">
      <w:pPr>
        <w:pStyle w:val="Bullet1stlevel"/>
        <w:rPr>
          <w:lang w:val="en-GB"/>
        </w:rPr>
      </w:pPr>
      <w:r w:rsidRPr="001F3F5B">
        <w:rPr>
          <w:lang w:val="en-GB"/>
        </w:rPr>
        <w:t xml:space="preserve">From the TCP’s inception to 2017/18, there have been 187,718 care recipients who have entered and left the Programme. In 2017/18, there were 25,113 care recipients. The average age of these recipients was 81 years, and 60 per cent were female. </w:t>
      </w:r>
    </w:p>
    <w:p w:rsidR="001F3F5B" w:rsidRPr="001F3F5B" w:rsidRDefault="001F3F5B" w:rsidP="001F3F5B">
      <w:pPr>
        <w:pStyle w:val="Bullet1stlevel"/>
        <w:rPr>
          <w:lang w:val="en-GB"/>
        </w:rPr>
      </w:pPr>
      <w:r w:rsidRPr="001F3F5B">
        <w:rPr>
          <w:lang w:val="en-GB"/>
        </w:rPr>
        <w:t xml:space="preserve">The total number of care recipients receiving the TCP has increased year-on-year, directly proportionate to the total level of funding provided to the Programme. </w:t>
      </w:r>
    </w:p>
    <w:p w:rsidR="001F3F5B" w:rsidRPr="001F3F5B" w:rsidRDefault="001F3F5B" w:rsidP="001F3F5B">
      <w:pPr>
        <w:pStyle w:val="Bullet1stlevel"/>
        <w:rPr>
          <w:lang w:val="en-GB"/>
        </w:rPr>
      </w:pPr>
      <w:r w:rsidRPr="001F3F5B">
        <w:rPr>
          <w:lang w:val="en-GB"/>
        </w:rPr>
        <w:t>There is a high episode of care completion rate, indicating that care recipients who enter the TCP appear appropriate, as many go on to complete the Programme</w:t>
      </w:r>
    </w:p>
    <w:p w:rsidR="001F3F5B" w:rsidRPr="001F3F5B" w:rsidRDefault="001F3F5B" w:rsidP="001F3F5B">
      <w:pPr>
        <w:pStyle w:val="Bullet1stlevel"/>
        <w:rPr>
          <w:lang w:val="en-GB"/>
        </w:rPr>
      </w:pPr>
      <w:r w:rsidRPr="001F3F5B">
        <w:rPr>
          <w:lang w:val="en-GB"/>
        </w:rPr>
        <w:t xml:space="preserve">Although there is a defined acquittal process in place to account for funding provided to each jurisdiction, there are variable ways in which jurisdictions define their expenditure, making direct comparisons between jurisdictions difficult. </w:t>
      </w:r>
    </w:p>
    <w:p w:rsidR="001F3F5B" w:rsidRPr="001F3F5B" w:rsidRDefault="001F3F5B" w:rsidP="001F3F5B">
      <w:pPr>
        <w:pStyle w:val="Bullet1stlevel"/>
        <w:rPr>
          <w:lang w:val="en-GB"/>
        </w:rPr>
      </w:pPr>
      <w:r w:rsidRPr="001F3F5B">
        <w:rPr>
          <w:lang w:val="en-GB"/>
        </w:rPr>
        <w:t>Determining the ideal length of stay for care recipients requires further investigation, as the available data does not provide an adequate level of insight.</w:t>
      </w:r>
    </w:p>
    <w:p w:rsidR="003451F4" w:rsidRDefault="001F3F5B" w:rsidP="001F3F5B">
      <w:pPr>
        <w:pStyle w:val="Bullet1stlevel"/>
        <w:rPr>
          <w:lang w:val="en-GB"/>
        </w:rPr>
      </w:pPr>
      <w:r w:rsidRPr="001F3F5B">
        <w:rPr>
          <w:lang w:val="en-GB"/>
        </w:rPr>
        <w:t>The TCP appears to be an effective programme in improving the function of care recipients.</w:t>
      </w:r>
    </w:p>
    <w:p w:rsidR="003451F4" w:rsidRDefault="003451F4">
      <w:pPr>
        <w:spacing w:before="0" w:after="160" w:line="259" w:lineRule="auto"/>
        <w:rPr>
          <w:lang w:val="en-GB"/>
        </w:rPr>
      </w:pPr>
      <w:r>
        <w:rPr>
          <w:lang w:val="en-GB"/>
        </w:rPr>
        <w:br w:type="page"/>
      </w:r>
    </w:p>
    <w:p w:rsidR="009633A2" w:rsidRPr="007F1A00" w:rsidRDefault="000B1D40" w:rsidP="008E711B">
      <w:pPr>
        <w:pStyle w:val="Heading1"/>
        <w:rPr>
          <w:lang w:val="en-GB"/>
        </w:rPr>
      </w:pPr>
      <w:bookmarkStart w:id="20" w:name="_Toc5270599"/>
      <w:r w:rsidRPr="007F1A00">
        <w:rPr>
          <w:lang w:val="en-GB"/>
        </w:rPr>
        <w:t>Key themes</w:t>
      </w:r>
      <w:bookmarkEnd w:id="20"/>
    </w:p>
    <w:p w:rsidR="00E068DD" w:rsidRDefault="00E068DD" w:rsidP="000B1D40">
      <w:pPr>
        <w:pStyle w:val="BodyText1"/>
        <w:rPr>
          <w:lang w:val="en-GB"/>
        </w:rPr>
      </w:pPr>
      <w:r>
        <w:rPr>
          <w:lang w:val="en-GB"/>
        </w:rPr>
        <w:t xml:space="preserve">This section seeks to explore the major themes that were </w:t>
      </w:r>
      <w:r w:rsidR="00AB2AF2">
        <w:rPr>
          <w:lang w:val="en-GB"/>
        </w:rPr>
        <w:t xml:space="preserve">raised </w:t>
      </w:r>
      <w:r>
        <w:rPr>
          <w:lang w:val="en-GB"/>
        </w:rPr>
        <w:t>during the extensive consultation process. Where stakeholders have asserted certain concerns about the Programme</w:t>
      </w:r>
      <w:r w:rsidR="00A07E29">
        <w:rPr>
          <w:lang w:val="en-GB"/>
        </w:rPr>
        <w:t>,</w:t>
      </w:r>
      <w:r>
        <w:rPr>
          <w:lang w:val="en-GB"/>
        </w:rPr>
        <w:t xml:space="preserve"> the reviewers have sought to validate this with quantitative dat</w:t>
      </w:r>
      <w:r w:rsidR="0096127B">
        <w:rPr>
          <w:lang w:val="en-GB"/>
        </w:rPr>
        <w:t>a wherever possible.</w:t>
      </w:r>
    </w:p>
    <w:p w:rsidR="0040128E" w:rsidRPr="007F1A00" w:rsidRDefault="0040128E" w:rsidP="000B1D40">
      <w:pPr>
        <w:pStyle w:val="BodyText1"/>
        <w:rPr>
          <w:lang w:val="en-GB"/>
        </w:rPr>
      </w:pPr>
      <w:r w:rsidRPr="007F1A00">
        <w:rPr>
          <w:lang w:val="en-GB"/>
        </w:rPr>
        <w:t>From our analysis, our findings can be grouped into three broad themes:</w:t>
      </w:r>
    </w:p>
    <w:p w:rsidR="0040128E" w:rsidRPr="007F1A00" w:rsidRDefault="0040128E" w:rsidP="005F355A">
      <w:pPr>
        <w:pStyle w:val="BodyText1"/>
        <w:numPr>
          <w:ilvl w:val="0"/>
          <w:numId w:val="19"/>
        </w:numPr>
        <w:rPr>
          <w:lang w:val="en-GB"/>
        </w:rPr>
      </w:pPr>
      <w:r w:rsidRPr="007F1A00">
        <w:rPr>
          <w:lang w:val="en-GB"/>
        </w:rPr>
        <w:t>Matters relating to the Programme overall</w:t>
      </w:r>
      <w:r w:rsidR="00AB2AF2">
        <w:rPr>
          <w:lang w:val="en-GB"/>
        </w:rPr>
        <w:t xml:space="preserve">; </w:t>
      </w:r>
    </w:p>
    <w:p w:rsidR="0040128E" w:rsidRPr="007F1A00" w:rsidRDefault="0040128E" w:rsidP="005F355A">
      <w:pPr>
        <w:pStyle w:val="BodyText1"/>
        <w:numPr>
          <w:ilvl w:val="0"/>
          <w:numId w:val="19"/>
        </w:numPr>
        <w:rPr>
          <w:lang w:val="en-GB"/>
        </w:rPr>
      </w:pPr>
      <w:r w:rsidRPr="007F1A00">
        <w:rPr>
          <w:lang w:val="en-GB"/>
        </w:rPr>
        <w:t xml:space="preserve">Issues relevant to the care recipients of </w:t>
      </w:r>
      <w:r w:rsidR="00AB2AF2">
        <w:rPr>
          <w:lang w:val="en-GB"/>
        </w:rPr>
        <w:t xml:space="preserve">the </w:t>
      </w:r>
      <w:r w:rsidRPr="007F1A00">
        <w:rPr>
          <w:lang w:val="en-GB"/>
        </w:rPr>
        <w:t>TCP</w:t>
      </w:r>
      <w:r w:rsidR="00AB2AF2">
        <w:rPr>
          <w:lang w:val="en-GB"/>
        </w:rPr>
        <w:t>; and</w:t>
      </w:r>
    </w:p>
    <w:p w:rsidR="0040128E" w:rsidRPr="007F1A00" w:rsidRDefault="0040128E" w:rsidP="005F355A">
      <w:pPr>
        <w:pStyle w:val="BodyText1"/>
        <w:numPr>
          <w:ilvl w:val="0"/>
          <w:numId w:val="19"/>
        </w:numPr>
        <w:rPr>
          <w:lang w:val="en-GB"/>
        </w:rPr>
      </w:pPr>
      <w:r w:rsidRPr="007F1A00">
        <w:rPr>
          <w:lang w:val="en-GB"/>
        </w:rPr>
        <w:t>The variation in practice between the jurisdictions.</w:t>
      </w:r>
    </w:p>
    <w:p w:rsidR="000B1D40" w:rsidRPr="007F1A00" w:rsidRDefault="000B1D40" w:rsidP="008E711B">
      <w:pPr>
        <w:pStyle w:val="Heading2"/>
        <w:rPr>
          <w:lang w:val="en-GB"/>
        </w:rPr>
      </w:pPr>
      <w:bookmarkStart w:id="21" w:name="_Toc5270600"/>
      <w:r w:rsidRPr="007F1A00">
        <w:rPr>
          <w:lang w:val="en-GB"/>
        </w:rPr>
        <w:t>The Programme overall</w:t>
      </w:r>
      <w:bookmarkEnd w:id="21"/>
    </w:p>
    <w:p w:rsidR="00885865" w:rsidRPr="007F1A00" w:rsidRDefault="00FC41AF" w:rsidP="00885865">
      <w:pPr>
        <w:pStyle w:val="BodyText1"/>
        <w:rPr>
          <w:lang w:val="en-GB"/>
        </w:rPr>
      </w:pPr>
      <w:r w:rsidRPr="007F1A00">
        <w:rPr>
          <w:lang w:val="en-GB"/>
        </w:rPr>
        <w:t>A number of findings relate to the operation and administration of the Programme overall. Namely:</w:t>
      </w:r>
    </w:p>
    <w:p w:rsidR="00885865" w:rsidRPr="0002618C" w:rsidRDefault="00885865" w:rsidP="0002618C">
      <w:pPr>
        <w:pStyle w:val="Bullet1stlevel"/>
      </w:pPr>
      <w:r w:rsidRPr="0002618C">
        <w:t>Overall, the Programme is regarded positively</w:t>
      </w:r>
      <w:r w:rsidR="00AB2AF2">
        <w:t xml:space="preserve">; </w:t>
      </w:r>
    </w:p>
    <w:p w:rsidR="00885865" w:rsidRPr="0002618C" w:rsidRDefault="00885865" w:rsidP="0002618C">
      <w:pPr>
        <w:pStyle w:val="Bullet1stlevel"/>
      </w:pPr>
      <w:r w:rsidRPr="0002618C">
        <w:t xml:space="preserve">However, </w:t>
      </w:r>
      <w:r w:rsidR="00AB2AF2">
        <w:t xml:space="preserve">the </w:t>
      </w:r>
      <w:r w:rsidRPr="0002618C">
        <w:t>TCP has largely been left to operate in its original form while the rest of the aged care landscape has changed</w:t>
      </w:r>
      <w:r w:rsidR="00AB2AF2">
        <w:t xml:space="preserve">; </w:t>
      </w:r>
    </w:p>
    <w:p w:rsidR="00885865" w:rsidRPr="0002618C" w:rsidRDefault="00885865" w:rsidP="0002618C">
      <w:pPr>
        <w:pStyle w:val="Bullet1stlevel"/>
      </w:pPr>
      <w:r w:rsidRPr="0002618C">
        <w:t>The Programme would benefit from greater flexibility around leave provisions, hospital readmissions and occupancy rates</w:t>
      </w:r>
      <w:r w:rsidR="00AB2AF2">
        <w:t xml:space="preserve">; </w:t>
      </w:r>
    </w:p>
    <w:p w:rsidR="00885865" w:rsidRPr="0002618C" w:rsidRDefault="00885865" w:rsidP="0002618C">
      <w:pPr>
        <w:pStyle w:val="Bullet1stlevel"/>
      </w:pPr>
      <w:r w:rsidRPr="0002618C">
        <w:t xml:space="preserve">There are some challenges with the current assessment and intake processes, which </w:t>
      </w:r>
      <w:r w:rsidR="002E743B">
        <w:t>are</w:t>
      </w:r>
      <w:r w:rsidRPr="0002618C">
        <w:t xml:space="preserve"> potentially impacting efficiency and the care experience</w:t>
      </w:r>
      <w:r w:rsidR="002E743B">
        <w:t>; and</w:t>
      </w:r>
    </w:p>
    <w:p w:rsidR="00885865" w:rsidRPr="0002618C" w:rsidRDefault="002E743B" w:rsidP="0002618C">
      <w:pPr>
        <w:pStyle w:val="Bullet1stlevel"/>
      </w:pPr>
      <w:r>
        <w:t>T</w:t>
      </w:r>
      <w:r w:rsidR="00885865" w:rsidRPr="0002618C">
        <w:t xml:space="preserve">here is a need for alternative outcome measures to capture the holistic care provided by </w:t>
      </w:r>
      <w:r>
        <w:t xml:space="preserve">the </w:t>
      </w:r>
      <w:r w:rsidR="00885865" w:rsidRPr="0002618C">
        <w:t>TCP.</w:t>
      </w:r>
    </w:p>
    <w:p w:rsidR="000B1D40" w:rsidRPr="007F1A00" w:rsidRDefault="002E743B" w:rsidP="000B1D40">
      <w:pPr>
        <w:pStyle w:val="Heading3"/>
        <w:rPr>
          <w:lang w:val="en-GB"/>
        </w:rPr>
      </w:pPr>
      <w:bookmarkStart w:id="22" w:name="_Ref358594"/>
      <w:r>
        <w:rPr>
          <w:lang w:val="en-GB"/>
        </w:rPr>
        <w:t xml:space="preserve">The </w:t>
      </w:r>
      <w:r w:rsidR="000B1D40" w:rsidRPr="007F1A00">
        <w:rPr>
          <w:lang w:val="en-GB"/>
        </w:rPr>
        <w:t>TCP is</w:t>
      </w:r>
      <w:r w:rsidR="0096127B">
        <w:rPr>
          <w:lang w:val="en-GB"/>
        </w:rPr>
        <w:t xml:space="preserve"> viewed positively by the majority of stakeholders</w:t>
      </w:r>
      <w:bookmarkEnd w:id="22"/>
    </w:p>
    <w:p w:rsidR="006A6BFB" w:rsidRPr="007F1A00" w:rsidRDefault="001D58E7" w:rsidP="00DE5795">
      <w:pPr>
        <w:pStyle w:val="BodyText1"/>
        <w:rPr>
          <w:lang w:val="en-GB"/>
        </w:rPr>
      </w:pPr>
      <w:r w:rsidRPr="007F1A00">
        <w:rPr>
          <w:lang w:val="en-GB"/>
        </w:rPr>
        <w:t xml:space="preserve">Overwhelmingly, stakeholders reported that </w:t>
      </w:r>
      <w:r w:rsidR="002E743B">
        <w:rPr>
          <w:lang w:val="en-GB"/>
        </w:rPr>
        <w:t xml:space="preserve">the </w:t>
      </w:r>
      <w:r w:rsidRPr="007F1A00">
        <w:rPr>
          <w:lang w:val="en-GB"/>
        </w:rPr>
        <w:t xml:space="preserve">TCP is a very positive </w:t>
      </w:r>
      <w:r w:rsidR="002E743B">
        <w:rPr>
          <w:lang w:val="en-GB"/>
        </w:rPr>
        <w:t>p</w:t>
      </w:r>
      <w:r w:rsidR="002E743B" w:rsidRPr="007F1A00">
        <w:rPr>
          <w:lang w:val="en-GB"/>
        </w:rPr>
        <w:t xml:space="preserve">rogramme </w:t>
      </w:r>
      <w:r w:rsidRPr="007F1A00">
        <w:rPr>
          <w:lang w:val="en-GB"/>
        </w:rPr>
        <w:t>with high quality</w:t>
      </w:r>
      <w:r w:rsidR="002E743B">
        <w:rPr>
          <w:lang w:val="en-GB"/>
        </w:rPr>
        <w:t xml:space="preserve">, multidisciplinary </w:t>
      </w:r>
      <w:r w:rsidR="00D218DD" w:rsidRPr="007F1A00">
        <w:rPr>
          <w:lang w:val="en-GB"/>
        </w:rPr>
        <w:t>service provision</w:t>
      </w:r>
      <w:r w:rsidRPr="007F1A00">
        <w:rPr>
          <w:lang w:val="en-GB"/>
        </w:rPr>
        <w:t xml:space="preserve">. </w:t>
      </w:r>
      <w:r w:rsidR="00EA77A6" w:rsidRPr="007F1A00">
        <w:rPr>
          <w:lang w:val="en-GB"/>
        </w:rPr>
        <w:t xml:space="preserve">Service providers stated that the main strength of </w:t>
      </w:r>
      <w:r w:rsidR="002E743B">
        <w:rPr>
          <w:lang w:val="en-GB"/>
        </w:rPr>
        <w:t xml:space="preserve">the </w:t>
      </w:r>
      <w:r w:rsidR="00EA77A6" w:rsidRPr="007F1A00">
        <w:rPr>
          <w:lang w:val="en-GB"/>
        </w:rPr>
        <w:t xml:space="preserve">TCP is the strong allied health </w:t>
      </w:r>
      <w:r w:rsidR="006F12C7" w:rsidRPr="007F1A00">
        <w:rPr>
          <w:lang w:val="en-GB"/>
        </w:rPr>
        <w:t>programme</w:t>
      </w:r>
      <w:r w:rsidR="00EA77A6" w:rsidRPr="007F1A00">
        <w:rPr>
          <w:lang w:val="en-GB"/>
        </w:rPr>
        <w:t xml:space="preserve"> that underpins it. </w:t>
      </w:r>
      <w:r w:rsidR="00EC7EFC" w:rsidRPr="007F1A00">
        <w:rPr>
          <w:lang w:val="en-GB"/>
        </w:rPr>
        <w:t xml:space="preserve">Hospital staff </w:t>
      </w:r>
      <w:r w:rsidR="004C76D5" w:rsidRPr="007F1A00">
        <w:rPr>
          <w:lang w:val="en-GB"/>
        </w:rPr>
        <w:t xml:space="preserve">felt </w:t>
      </w:r>
      <w:r w:rsidR="00EC7EFC" w:rsidRPr="007F1A00">
        <w:rPr>
          <w:lang w:val="en-GB"/>
        </w:rPr>
        <w:t xml:space="preserve">comfortable discharging </w:t>
      </w:r>
      <w:r w:rsidR="00A31899" w:rsidRPr="007F1A00">
        <w:rPr>
          <w:lang w:val="en-GB"/>
        </w:rPr>
        <w:t>care recipient</w:t>
      </w:r>
      <w:r w:rsidR="00EC7EFC" w:rsidRPr="007F1A00">
        <w:rPr>
          <w:lang w:val="en-GB"/>
        </w:rPr>
        <w:t xml:space="preserve">s into the Programme as there is a strong therapeutic and case management component, and as such they feel confident their </w:t>
      </w:r>
      <w:r w:rsidR="00A31899" w:rsidRPr="007F1A00">
        <w:rPr>
          <w:lang w:val="en-GB"/>
        </w:rPr>
        <w:t>care recipient</w:t>
      </w:r>
      <w:r w:rsidR="00EC7EFC" w:rsidRPr="007F1A00">
        <w:rPr>
          <w:lang w:val="en-GB"/>
        </w:rPr>
        <w:t>s’ functionality will continue to improve.</w:t>
      </w:r>
      <w:r w:rsidR="000A319B" w:rsidRPr="007F1A00">
        <w:rPr>
          <w:lang w:val="en-GB"/>
        </w:rPr>
        <w:t xml:space="preserve"> </w:t>
      </w:r>
      <w:r w:rsidR="00A31899" w:rsidRPr="007F1A00">
        <w:rPr>
          <w:lang w:val="en-GB"/>
        </w:rPr>
        <w:t>It was</w:t>
      </w:r>
      <w:r w:rsidR="006A6BFB" w:rsidRPr="007F1A00">
        <w:rPr>
          <w:lang w:val="en-GB"/>
        </w:rPr>
        <w:t xml:space="preserve"> noted that it is a </w:t>
      </w:r>
      <w:r w:rsidR="00A31899" w:rsidRPr="007F1A00">
        <w:rPr>
          <w:lang w:val="en-GB"/>
        </w:rPr>
        <w:t>care recipient</w:t>
      </w:r>
      <w:r w:rsidR="006A6BFB" w:rsidRPr="007F1A00">
        <w:rPr>
          <w:lang w:val="en-GB"/>
        </w:rPr>
        <w:t xml:space="preserve">-centred </w:t>
      </w:r>
      <w:r w:rsidR="006F12C7" w:rsidRPr="007F1A00">
        <w:rPr>
          <w:lang w:val="en-GB"/>
        </w:rPr>
        <w:t>programme</w:t>
      </w:r>
      <w:r w:rsidR="006A6BFB" w:rsidRPr="007F1A00">
        <w:rPr>
          <w:lang w:val="en-GB"/>
        </w:rPr>
        <w:t xml:space="preserve"> which can be tailored for each individual and </w:t>
      </w:r>
      <w:r w:rsidR="000B3A1E" w:rsidRPr="007F1A00">
        <w:rPr>
          <w:lang w:val="en-GB"/>
        </w:rPr>
        <w:t>therefore</w:t>
      </w:r>
      <w:r w:rsidR="006A6BFB" w:rsidRPr="007F1A00">
        <w:rPr>
          <w:lang w:val="en-GB"/>
        </w:rPr>
        <w:t xml:space="preserve"> offers flexibility beyond what hospital rehabilitation services can provide.</w:t>
      </w:r>
      <w:r w:rsidR="00A12B5A" w:rsidRPr="007F1A00">
        <w:rPr>
          <w:lang w:val="en-GB"/>
        </w:rPr>
        <w:t xml:space="preserve"> </w:t>
      </w:r>
    </w:p>
    <w:p w:rsidR="001F3F5B" w:rsidRDefault="00FD15A6" w:rsidP="00DE5795">
      <w:pPr>
        <w:pStyle w:val="BodyText1"/>
        <w:rPr>
          <w:lang w:val="en-GB"/>
        </w:rPr>
      </w:pPr>
      <w:r>
        <w:rPr>
          <w:lang w:val="en-GB"/>
        </w:rPr>
        <w:t xml:space="preserve">The </w:t>
      </w:r>
      <w:r w:rsidR="001D58E7" w:rsidRPr="007F1A00">
        <w:rPr>
          <w:lang w:val="en-GB"/>
        </w:rPr>
        <w:t xml:space="preserve">main benefits of the Programme </w:t>
      </w:r>
      <w:r>
        <w:rPr>
          <w:lang w:val="en-GB"/>
        </w:rPr>
        <w:t xml:space="preserve">were </w:t>
      </w:r>
      <w:r w:rsidR="00A07E29">
        <w:rPr>
          <w:lang w:val="en-GB"/>
        </w:rPr>
        <w:t>identified</w:t>
      </w:r>
      <w:r>
        <w:rPr>
          <w:lang w:val="en-GB"/>
        </w:rPr>
        <w:t xml:space="preserve"> as </w:t>
      </w:r>
      <w:r w:rsidR="002E743B">
        <w:rPr>
          <w:lang w:val="en-GB"/>
        </w:rPr>
        <w:t xml:space="preserve">the way in which </w:t>
      </w:r>
      <w:r w:rsidR="001D58E7" w:rsidRPr="007F1A00">
        <w:rPr>
          <w:lang w:val="en-GB"/>
        </w:rPr>
        <w:t>it enables people to be discharged from hospital earlier into supported care</w:t>
      </w:r>
      <w:r w:rsidR="002E743B">
        <w:rPr>
          <w:lang w:val="en-GB"/>
        </w:rPr>
        <w:t xml:space="preserve">, and its ability to </w:t>
      </w:r>
      <w:r w:rsidR="001D58E7" w:rsidRPr="007F1A00">
        <w:rPr>
          <w:lang w:val="en-GB"/>
        </w:rPr>
        <w:t>prevent early entry into residential care.</w:t>
      </w:r>
      <w:r w:rsidR="00EA77A6" w:rsidRPr="007F1A00">
        <w:rPr>
          <w:lang w:val="en-GB"/>
        </w:rPr>
        <w:t xml:space="preserve"> </w:t>
      </w:r>
      <w:r w:rsidR="00545E05">
        <w:rPr>
          <w:lang w:val="en-GB"/>
        </w:rPr>
        <w:t xml:space="preserve">Some stakeholders noted that it was beneficial to have access to a restorative programme for older Australians, especially for those who completed rehabilitation within the Health system. </w:t>
      </w:r>
      <w:r w:rsidR="00B3486E" w:rsidRPr="007F1A00">
        <w:rPr>
          <w:lang w:val="en-GB"/>
        </w:rPr>
        <w:t xml:space="preserve">Geriatricians </w:t>
      </w:r>
      <w:r w:rsidR="00A31899" w:rsidRPr="007F1A00">
        <w:rPr>
          <w:lang w:val="en-GB"/>
        </w:rPr>
        <w:t>consulted</w:t>
      </w:r>
      <w:r w:rsidR="00B3486E" w:rsidRPr="007F1A00">
        <w:rPr>
          <w:lang w:val="en-GB"/>
        </w:rPr>
        <w:t xml:space="preserve"> stated that </w:t>
      </w:r>
      <w:r w:rsidR="002E743B">
        <w:rPr>
          <w:lang w:val="en-GB"/>
        </w:rPr>
        <w:t xml:space="preserve">the </w:t>
      </w:r>
      <w:r w:rsidR="00B3486E" w:rsidRPr="007F1A00">
        <w:rPr>
          <w:lang w:val="en-GB"/>
        </w:rPr>
        <w:t xml:space="preserve">TCP is very effective for people who are not independent enough to go home without services as it enables independence. </w:t>
      </w:r>
      <w:r w:rsidR="00621A64" w:rsidRPr="007F1A00">
        <w:rPr>
          <w:lang w:val="en-GB"/>
        </w:rPr>
        <w:t>R</w:t>
      </w:r>
      <w:r w:rsidR="00EA77A6" w:rsidRPr="007F1A00">
        <w:rPr>
          <w:lang w:val="en-GB"/>
        </w:rPr>
        <w:t>epresentative</w:t>
      </w:r>
      <w:r w:rsidR="007D0646" w:rsidRPr="007F1A00">
        <w:rPr>
          <w:lang w:val="en-GB"/>
        </w:rPr>
        <w:t>s</w:t>
      </w:r>
      <w:r w:rsidR="00EA77A6" w:rsidRPr="007F1A00">
        <w:rPr>
          <w:lang w:val="en-GB"/>
        </w:rPr>
        <w:t xml:space="preserve"> of advocacy group</w:t>
      </w:r>
      <w:r w:rsidR="00621A64" w:rsidRPr="007F1A00">
        <w:rPr>
          <w:lang w:val="en-GB"/>
        </w:rPr>
        <w:t>s</w:t>
      </w:r>
      <w:r w:rsidR="00EA77A6" w:rsidRPr="007F1A00">
        <w:rPr>
          <w:lang w:val="en-GB"/>
        </w:rPr>
        <w:t xml:space="preserve"> raised that the main thing the Programme gives consumers is hope</w:t>
      </w:r>
      <w:r w:rsidR="00A31899" w:rsidRPr="007F1A00">
        <w:rPr>
          <w:lang w:val="en-GB"/>
        </w:rPr>
        <w:t xml:space="preserve">, and </w:t>
      </w:r>
      <w:r w:rsidR="00621A64" w:rsidRPr="007F1A00">
        <w:rPr>
          <w:lang w:val="en-GB"/>
        </w:rPr>
        <w:t>that</w:t>
      </w:r>
      <w:r w:rsidR="00EA77A6" w:rsidRPr="007F1A00">
        <w:rPr>
          <w:lang w:val="en-GB"/>
        </w:rPr>
        <w:t xml:space="preserve"> care recipient</w:t>
      </w:r>
      <w:r w:rsidR="004C76D5" w:rsidRPr="007F1A00">
        <w:rPr>
          <w:lang w:val="en-GB"/>
        </w:rPr>
        <w:t>s</w:t>
      </w:r>
      <w:r w:rsidR="00EA77A6" w:rsidRPr="007F1A00">
        <w:rPr>
          <w:lang w:val="en-GB"/>
        </w:rPr>
        <w:t xml:space="preserve"> respond very strongly to the fact that they can improve in their own home, outside of a hospital or residential facility</w:t>
      </w:r>
      <w:r w:rsidR="00AC65A6" w:rsidRPr="007F1A00">
        <w:rPr>
          <w:lang w:val="en-GB"/>
        </w:rPr>
        <w:t xml:space="preserve"> (see comments from care recipients and their carers below in </w:t>
      </w:r>
      <w:r w:rsidR="00AC65A6" w:rsidRPr="007F1A00">
        <w:rPr>
          <w:lang w:val="en-GB"/>
        </w:rPr>
        <w:fldChar w:fldCharType="begin"/>
      </w:r>
      <w:r w:rsidR="00AC65A6" w:rsidRPr="007F1A00">
        <w:rPr>
          <w:lang w:val="en-GB"/>
        </w:rPr>
        <w:instrText xml:space="preserve"> REF _Ref536089935 \h </w:instrText>
      </w:r>
      <w:r w:rsidR="00DE5795">
        <w:rPr>
          <w:lang w:val="en-GB"/>
        </w:rPr>
        <w:instrText xml:space="preserve"> \* MERGEFORMAT </w:instrText>
      </w:r>
      <w:r w:rsidR="00AC65A6" w:rsidRPr="007F1A00">
        <w:rPr>
          <w:lang w:val="en-GB"/>
        </w:rPr>
      </w:r>
      <w:r w:rsidR="00AC65A6" w:rsidRPr="007F1A00">
        <w:rPr>
          <w:lang w:val="en-GB"/>
        </w:rPr>
        <w:fldChar w:fldCharType="separate"/>
      </w:r>
      <w:r w:rsidR="00ED07D2" w:rsidRPr="007F1A00">
        <w:rPr>
          <w:lang w:val="en-GB"/>
        </w:rPr>
        <w:t xml:space="preserve">Box </w:t>
      </w:r>
      <w:r w:rsidR="00ED07D2">
        <w:rPr>
          <w:noProof/>
          <w:lang w:val="en-GB"/>
        </w:rPr>
        <w:t>1</w:t>
      </w:r>
      <w:r w:rsidR="00AC65A6" w:rsidRPr="007F1A00">
        <w:rPr>
          <w:lang w:val="en-GB"/>
        </w:rPr>
        <w:fldChar w:fldCharType="end"/>
      </w:r>
      <w:r w:rsidR="00AC65A6" w:rsidRPr="007F1A00">
        <w:rPr>
          <w:lang w:val="en-GB"/>
        </w:rPr>
        <w:t>)</w:t>
      </w:r>
      <w:r w:rsidR="00EA77A6" w:rsidRPr="007F1A00">
        <w:rPr>
          <w:lang w:val="en-GB"/>
        </w:rPr>
        <w:t xml:space="preserve">. Further, a carer based in </w:t>
      </w:r>
      <w:r w:rsidR="003F7254" w:rsidRPr="007F1A00">
        <w:rPr>
          <w:lang w:val="en-GB"/>
        </w:rPr>
        <w:t xml:space="preserve">NSW </w:t>
      </w:r>
      <w:r w:rsidR="00EA77A6" w:rsidRPr="007F1A00">
        <w:rPr>
          <w:lang w:val="en-GB"/>
        </w:rPr>
        <w:t>reported benefits for both her and her mother, a recipient of</w:t>
      </w:r>
      <w:r w:rsidR="002E743B">
        <w:rPr>
          <w:lang w:val="en-GB"/>
        </w:rPr>
        <w:t xml:space="preserve"> the</w:t>
      </w:r>
      <w:r w:rsidR="00EA77A6" w:rsidRPr="007F1A00">
        <w:rPr>
          <w:lang w:val="en-GB"/>
        </w:rPr>
        <w:t xml:space="preserve"> TCP, as not only did it improve her mother’s function and reduce her social isolation,</w:t>
      </w:r>
      <w:r w:rsidR="002E743B">
        <w:rPr>
          <w:lang w:val="en-GB"/>
        </w:rPr>
        <w:t xml:space="preserve"> but also</w:t>
      </w:r>
      <w:r w:rsidR="00A31899" w:rsidRPr="007F1A00">
        <w:rPr>
          <w:lang w:val="en-GB"/>
        </w:rPr>
        <w:t xml:space="preserve"> in engaging with the social worker and various therapists provided under </w:t>
      </w:r>
      <w:r w:rsidR="003A2412">
        <w:rPr>
          <w:lang w:val="en-GB"/>
        </w:rPr>
        <w:t xml:space="preserve">the </w:t>
      </w:r>
      <w:r w:rsidR="00A31899" w:rsidRPr="007F1A00">
        <w:rPr>
          <w:lang w:val="en-GB"/>
        </w:rPr>
        <w:t>TCP</w:t>
      </w:r>
      <w:r w:rsidR="00EA77A6" w:rsidRPr="007F1A00">
        <w:rPr>
          <w:lang w:val="en-GB"/>
        </w:rPr>
        <w:t xml:space="preserve"> it gave her </w:t>
      </w:r>
      <w:r w:rsidR="00A31899" w:rsidRPr="007F1A00">
        <w:rPr>
          <w:lang w:val="en-GB"/>
        </w:rPr>
        <w:t>new skills and confidence in</w:t>
      </w:r>
      <w:r w:rsidR="00EA77A6" w:rsidRPr="007F1A00">
        <w:rPr>
          <w:lang w:val="en-GB"/>
        </w:rPr>
        <w:t xml:space="preserve"> managing her mother’s care</w:t>
      </w:r>
      <w:r w:rsidR="00D125DA" w:rsidRPr="007F1A00">
        <w:rPr>
          <w:lang w:val="en-GB"/>
        </w:rPr>
        <w:t>.</w:t>
      </w:r>
    </w:p>
    <w:p w:rsidR="001F3F5B" w:rsidRDefault="001F3F5B" w:rsidP="00DE5795">
      <w:pPr>
        <w:pStyle w:val="BodyText1"/>
        <w:rPr>
          <w:lang w:val="en-GB"/>
        </w:rPr>
      </w:pPr>
      <w:r w:rsidRPr="007F1A00">
        <w:rPr>
          <w:lang w:val="en-GB"/>
        </w:rPr>
        <w:t xml:space="preserve">Comments from care recipients and carers about </w:t>
      </w:r>
      <w:r>
        <w:rPr>
          <w:lang w:val="en-GB"/>
        </w:rPr>
        <w:t xml:space="preserve">the </w:t>
      </w:r>
      <w:r w:rsidRPr="007F1A00">
        <w:rPr>
          <w:lang w:val="en-GB"/>
        </w:rPr>
        <w:t>TCP</w:t>
      </w:r>
      <w:r>
        <w:rPr>
          <w:lang w:val="en-GB"/>
        </w:rPr>
        <w:t xml:space="preserve"> include:</w:t>
      </w:r>
    </w:p>
    <w:p w:rsidR="001F3F5B" w:rsidRDefault="001F3F5B" w:rsidP="001F3F5B">
      <w:pPr>
        <w:pStyle w:val="Bullet1stlevel"/>
      </w:pPr>
      <w:r>
        <w:t>“I couldn’t have gone home without it. I don’t know anyone in Darwin who could help me.” – Care recipient, NT</w:t>
      </w:r>
    </w:p>
    <w:p w:rsidR="001F3F5B" w:rsidRDefault="001F3F5B" w:rsidP="001F3F5B">
      <w:pPr>
        <w:pStyle w:val="Bullet1stlevel"/>
      </w:pPr>
      <w:r>
        <w:t>“I like everything in the Programme. They were there when I needed help.” – Care recipient, ACT</w:t>
      </w:r>
    </w:p>
    <w:p w:rsidR="001F3F5B" w:rsidRDefault="001F3F5B" w:rsidP="001F3F5B">
      <w:pPr>
        <w:pStyle w:val="Bullet1stlevel"/>
      </w:pPr>
      <w:r>
        <w:t>“It’s all new to us so I didn’t know what to do or what was out there. [The TCP provided us with] a great social worker who has helped immensely.” – Carer, Queensland</w:t>
      </w:r>
    </w:p>
    <w:p w:rsidR="0096127B" w:rsidRPr="001F3F5B" w:rsidRDefault="001F3F5B" w:rsidP="00230145">
      <w:pPr>
        <w:pStyle w:val="Bullet1stlevel"/>
        <w:rPr>
          <w:lang w:val="en-GB"/>
        </w:rPr>
      </w:pPr>
      <w:r>
        <w:t>“They saved my mother’s life and mine.” – Carer, NSW.</w:t>
      </w:r>
    </w:p>
    <w:p w:rsidR="00D125DA" w:rsidRPr="007F1A00" w:rsidRDefault="00A31899" w:rsidP="00DE5795">
      <w:pPr>
        <w:pStyle w:val="BodyText1"/>
        <w:rPr>
          <w:lang w:val="en-GB"/>
        </w:rPr>
      </w:pPr>
      <w:r w:rsidRPr="007F1A00">
        <w:rPr>
          <w:lang w:val="en-GB"/>
        </w:rPr>
        <w:t>Further,</w:t>
      </w:r>
      <w:r w:rsidR="002E743B">
        <w:rPr>
          <w:lang w:val="en-GB"/>
        </w:rPr>
        <w:t xml:space="preserve"> in relative terms</w:t>
      </w:r>
      <w:r w:rsidRPr="007F1A00">
        <w:rPr>
          <w:lang w:val="en-GB"/>
        </w:rPr>
        <w:t xml:space="preserve"> the Programme does not attract many complaints. The Aged Care Complaints Commission reported that just 13 complaints have been received since</w:t>
      </w:r>
      <w:r w:rsidR="002E743B">
        <w:rPr>
          <w:lang w:val="en-GB"/>
        </w:rPr>
        <w:t xml:space="preserve"> the</w:t>
      </w:r>
      <w:r w:rsidRPr="007F1A00">
        <w:rPr>
          <w:lang w:val="en-GB"/>
        </w:rPr>
        <w:t xml:space="preserve"> TCP’s launch in 2005</w:t>
      </w:r>
      <w:r w:rsidR="0002618C">
        <w:rPr>
          <w:lang w:val="en-GB"/>
        </w:rPr>
        <w:t>/</w:t>
      </w:r>
      <w:r w:rsidRPr="007F1A00">
        <w:rPr>
          <w:lang w:val="en-GB"/>
        </w:rPr>
        <w:t>06, with the majority resolved to the consumer’s and/or the Commission’s satisfaction. The</w:t>
      </w:r>
      <w:r w:rsidR="002E743B">
        <w:rPr>
          <w:lang w:val="en-GB"/>
        </w:rPr>
        <w:t xml:space="preserve"> limited number of</w:t>
      </w:r>
      <w:r w:rsidRPr="007F1A00">
        <w:rPr>
          <w:lang w:val="en-GB"/>
        </w:rPr>
        <w:t xml:space="preserve"> complaints related to a lack of communication/consultation, healthcare/medical review (though the Commission noted that some of these were based in poor communication and therefore a lack of understanding of what medical reviews entailed for the consumer), cleanliness of the environment, and fees and charges.</w:t>
      </w:r>
    </w:p>
    <w:p w:rsidR="000B1D40" w:rsidRPr="007F1A00" w:rsidRDefault="002E743B" w:rsidP="0071410D">
      <w:pPr>
        <w:pStyle w:val="Heading3"/>
        <w:rPr>
          <w:lang w:val="en-GB"/>
        </w:rPr>
      </w:pPr>
      <w:bookmarkStart w:id="23" w:name="_Ref535830915"/>
      <w:r>
        <w:rPr>
          <w:lang w:val="en-GB"/>
        </w:rPr>
        <w:t xml:space="preserve">The </w:t>
      </w:r>
      <w:r w:rsidR="000B1D40" w:rsidRPr="007F1A00">
        <w:rPr>
          <w:lang w:val="en-GB"/>
        </w:rPr>
        <w:t>TCP has remained the same while the surrounding aged care space has reformed</w:t>
      </w:r>
      <w:bookmarkEnd w:id="23"/>
    </w:p>
    <w:p w:rsidR="006A6BFB" w:rsidRPr="007F1A00" w:rsidRDefault="00FC63E3" w:rsidP="00D37C3A">
      <w:pPr>
        <w:pStyle w:val="Bullet1stlevel"/>
        <w:numPr>
          <w:ilvl w:val="0"/>
          <w:numId w:val="0"/>
        </w:numPr>
        <w:rPr>
          <w:lang w:val="en-GB"/>
        </w:rPr>
      </w:pPr>
      <w:r w:rsidRPr="007F1A00">
        <w:rPr>
          <w:lang w:val="en-GB"/>
        </w:rPr>
        <w:t>The TCP has remained largely unchanged in its approach to care and its operations since its inception in 2005/06. This is in stark contrast</w:t>
      </w:r>
      <w:r w:rsidR="00931CA8">
        <w:rPr>
          <w:lang w:val="en-GB"/>
        </w:rPr>
        <w:t xml:space="preserve"> to the other aged care program</w:t>
      </w:r>
      <w:r w:rsidRPr="007F1A00">
        <w:rPr>
          <w:lang w:val="en-GB"/>
        </w:rPr>
        <w:t>s funded by the Commonwealth</w:t>
      </w:r>
      <w:r w:rsidR="00A07E29">
        <w:rPr>
          <w:lang w:val="en-GB"/>
        </w:rPr>
        <w:t>,</w:t>
      </w:r>
      <w:r w:rsidRPr="007F1A00">
        <w:rPr>
          <w:lang w:val="en-GB"/>
        </w:rPr>
        <w:t xml:space="preserve"> which have been the subject of significant reforms. </w:t>
      </w:r>
      <w:r w:rsidR="00920B4B">
        <w:rPr>
          <w:lang w:val="en-GB"/>
        </w:rPr>
        <w:t>As a result</w:t>
      </w:r>
      <w:r w:rsidR="00A07E29">
        <w:rPr>
          <w:lang w:val="en-GB"/>
        </w:rPr>
        <w:t>,</w:t>
      </w:r>
      <w:r w:rsidR="00920B4B">
        <w:rPr>
          <w:lang w:val="en-GB"/>
        </w:rPr>
        <w:t xml:space="preserve"> </w:t>
      </w:r>
      <w:r w:rsidR="009A56AA" w:rsidRPr="007F1A00">
        <w:rPr>
          <w:lang w:val="en-GB"/>
        </w:rPr>
        <w:t>State and Territory g</w:t>
      </w:r>
      <w:r w:rsidR="000B1D40" w:rsidRPr="007F1A00">
        <w:rPr>
          <w:lang w:val="en-GB"/>
        </w:rPr>
        <w:t xml:space="preserve">overnment stakeholders reported that the Programme </w:t>
      </w:r>
      <w:r w:rsidR="009A56AA" w:rsidRPr="007F1A00">
        <w:rPr>
          <w:lang w:val="en-GB"/>
        </w:rPr>
        <w:t>appear</w:t>
      </w:r>
      <w:r w:rsidR="00FD15A6">
        <w:rPr>
          <w:lang w:val="en-GB"/>
        </w:rPr>
        <w:t>s</w:t>
      </w:r>
      <w:r w:rsidR="000B1D40" w:rsidRPr="007F1A00">
        <w:rPr>
          <w:lang w:val="en-GB"/>
        </w:rPr>
        <w:t xml:space="preserve"> disconnected from the rest of aged care policy/programs. </w:t>
      </w:r>
      <w:r w:rsidR="00FD15A6">
        <w:rPr>
          <w:lang w:val="en-GB"/>
        </w:rPr>
        <w:t>I</w:t>
      </w:r>
      <w:r w:rsidR="00D05FEF" w:rsidRPr="007F1A00">
        <w:rPr>
          <w:lang w:val="en-GB"/>
        </w:rPr>
        <w:t xml:space="preserve">t was </w:t>
      </w:r>
      <w:r w:rsidR="00D37C3A" w:rsidRPr="007F1A00">
        <w:rPr>
          <w:lang w:val="en-GB"/>
        </w:rPr>
        <w:t>reported that the Programme needs to be in the same “rhythm of change”</w:t>
      </w:r>
      <w:r w:rsidR="00FD15A6">
        <w:rPr>
          <w:lang w:val="en-GB"/>
        </w:rPr>
        <w:t xml:space="preserve"> as other aged care </w:t>
      </w:r>
      <w:r w:rsidR="00931CA8">
        <w:rPr>
          <w:lang w:val="en-GB"/>
        </w:rPr>
        <w:t>program</w:t>
      </w:r>
      <w:r w:rsidR="002E743B">
        <w:rPr>
          <w:lang w:val="en-GB"/>
        </w:rPr>
        <w:t>s</w:t>
      </w:r>
      <w:r w:rsidR="00D37C3A" w:rsidRPr="007F1A00">
        <w:rPr>
          <w:lang w:val="en-GB"/>
        </w:rPr>
        <w:t xml:space="preserve">. Further, government </w:t>
      </w:r>
      <w:r w:rsidR="00D05FEF" w:rsidRPr="007F1A00">
        <w:rPr>
          <w:lang w:val="en-GB"/>
        </w:rPr>
        <w:t xml:space="preserve">representatives </w:t>
      </w:r>
      <w:r w:rsidR="00D37C3A" w:rsidRPr="007F1A00">
        <w:rPr>
          <w:lang w:val="en-GB"/>
        </w:rPr>
        <w:t>noted th</w:t>
      </w:r>
      <w:r w:rsidR="002E743B">
        <w:rPr>
          <w:lang w:val="en-GB"/>
        </w:rPr>
        <w:t>e</w:t>
      </w:r>
      <w:r w:rsidR="00D37C3A" w:rsidRPr="007F1A00">
        <w:rPr>
          <w:lang w:val="en-GB"/>
        </w:rPr>
        <w:t xml:space="preserve"> TCP was not included in national aged care meetings, which they felt </w:t>
      </w:r>
      <w:r w:rsidR="00FD15A6">
        <w:rPr>
          <w:lang w:val="en-GB"/>
        </w:rPr>
        <w:t xml:space="preserve">perpetuated the perception </w:t>
      </w:r>
      <w:r w:rsidR="00D37C3A" w:rsidRPr="007F1A00">
        <w:rPr>
          <w:lang w:val="en-GB"/>
        </w:rPr>
        <w:t>that the Programme is operated separately to the rest of aged care program</w:t>
      </w:r>
      <w:r w:rsidR="00FD15A6">
        <w:rPr>
          <w:lang w:val="en-GB"/>
        </w:rPr>
        <w:t xml:space="preserve">s. </w:t>
      </w:r>
    </w:p>
    <w:p w:rsidR="00052676" w:rsidRPr="007F1A00" w:rsidRDefault="00542D56" w:rsidP="00D37C3A">
      <w:pPr>
        <w:pStyle w:val="Bullet1stlevel"/>
        <w:numPr>
          <w:ilvl w:val="0"/>
          <w:numId w:val="0"/>
        </w:numPr>
        <w:rPr>
          <w:lang w:val="en-GB"/>
        </w:rPr>
      </w:pPr>
      <w:r w:rsidRPr="007F1A00">
        <w:rPr>
          <w:lang w:val="en-GB"/>
        </w:rPr>
        <w:t xml:space="preserve">A number of </w:t>
      </w:r>
      <w:r w:rsidR="00D05FEF" w:rsidRPr="007F1A00">
        <w:rPr>
          <w:lang w:val="en-GB"/>
        </w:rPr>
        <w:t xml:space="preserve">participants </w:t>
      </w:r>
      <w:r w:rsidRPr="007F1A00">
        <w:rPr>
          <w:lang w:val="en-GB"/>
        </w:rPr>
        <w:t>reported that t</w:t>
      </w:r>
      <w:r w:rsidR="00212781">
        <w:rPr>
          <w:lang w:val="en-GB"/>
        </w:rPr>
        <w:t>he G</w:t>
      </w:r>
      <w:r w:rsidR="0063564F" w:rsidRPr="007F1A00">
        <w:rPr>
          <w:lang w:val="en-GB"/>
        </w:rPr>
        <w:t xml:space="preserve">uidelines require updating to remain relevant to the current </w:t>
      </w:r>
      <w:r w:rsidR="00052676" w:rsidRPr="007F1A00">
        <w:rPr>
          <w:lang w:val="en-GB"/>
        </w:rPr>
        <w:t>policy and program landscape. These relate to a range of issues including:</w:t>
      </w:r>
      <w:r w:rsidR="002D3E32" w:rsidRPr="007F1A00">
        <w:rPr>
          <w:lang w:val="en-GB"/>
        </w:rPr>
        <w:t xml:space="preserve"> </w:t>
      </w:r>
    </w:p>
    <w:p w:rsidR="00CC4799" w:rsidRPr="00562109" w:rsidRDefault="00A31899" w:rsidP="00A07E29">
      <w:pPr>
        <w:pStyle w:val="Bullet1stlevel"/>
      </w:pPr>
      <w:r w:rsidRPr="007F1A00">
        <w:rPr>
          <w:lang w:val="en-GB"/>
        </w:rPr>
        <w:t>T</w:t>
      </w:r>
      <w:r w:rsidR="00CC4799" w:rsidRPr="007F1A00">
        <w:rPr>
          <w:lang w:val="en-GB"/>
        </w:rPr>
        <w:t xml:space="preserve">he </w:t>
      </w:r>
      <w:r w:rsidR="00FD15A6">
        <w:rPr>
          <w:lang w:val="en-GB"/>
        </w:rPr>
        <w:t xml:space="preserve">TCP </w:t>
      </w:r>
      <w:r w:rsidR="00A346E8">
        <w:rPr>
          <w:lang w:val="en-GB"/>
        </w:rPr>
        <w:t>G</w:t>
      </w:r>
      <w:r w:rsidR="00CC4799" w:rsidRPr="007F1A00">
        <w:rPr>
          <w:lang w:val="en-GB"/>
        </w:rPr>
        <w:t>uidelines</w:t>
      </w:r>
      <w:r w:rsidR="00FD15A6">
        <w:rPr>
          <w:lang w:val="en-GB"/>
        </w:rPr>
        <w:t xml:space="preserve"> require </w:t>
      </w:r>
      <w:r w:rsidR="00CC4799" w:rsidRPr="007F1A00">
        <w:rPr>
          <w:lang w:val="en-GB"/>
        </w:rPr>
        <w:t xml:space="preserve">a complete review to </w:t>
      </w:r>
      <w:r w:rsidR="00CE4F22" w:rsidRPr="007F1A00">
        <w:rPr>
          <w:lang w:val="en-GB"/>
        </w:rPr>
        <w:t xml:space="preserve">remove </w:t>
      </w:r>
      <w:r w:rsidR="00CC4799" w:rsidRPr="007F1A00">
        <w:rPr>
          <w:lang w:val="en-GB"/>
        </w:rPr>
        <w:t xml:space="preserve">outdated terminology (for example, the </w:t>
      </w:r>
      <w:r w:rsidR="00CC4799" w:rsidRPr="00562109">
        <w:t xml:space="preserve">references to the former </w:t>
      </w:r>
      <w:r w:rsidR="00A07E29" w:rsidRPr="00A07E29">
        <w:t xml:space="preserve">Home and Community Care </w:t>
      </w:r>
      <w:r w:rsidR="00CC4799" w:rsidRPr="00562109">
        <w:t>program)</w:t>
      </w:r>
      <w:r w:rsidR="002E743B">
        <w:t xml:space="preserve">; </w:t>
      </w:r>
    </w:p>
    <w:p w:rsidR="00CC4799" w:rsidRPr="00562109" w:rsidRDefault="00A31899" w:rsidP="00562109">
      <w:pPr>
        <w:pStyle w:val="Bullet1stlevel"/>
      </w:pPr>
      <w:r w:rsidRPr="00562109">
        <w:t xml:space="preserve">State and </w:t>
      </w:r>
      <w:r w:rsidR="00B139C8">
        <w:t>T</w:t>
      </w:r>
      <w:r w:rsidRPr="00562109">
        <w:t>erritory governments</w:t>
      </w:r>
      <w:r w:rsidR="00CC4799" w:rsidRPr="00562109">
        <w:t xml:space="preserve"> requested the removal of text stating </w:t>
      </w:r>
      <w:r w:rsidR="00CC4799" w:rsidRPr="00562109">
        <w:rPr>
          <w:i/>
        </w:rPr>
        <w:t>“At least one responsible person is continuously on call in the facility in which transition care is delivered to provide emergency assistance”</w:t>
      </w:r>
      <w:r w:rsidR="00CC4799" w:rsidRPr="00B139C8">
        <w:rPr>
          <w:rStyle w:val="FootnoteReference"/>
        </w:rPr>
        <w:footnoteReference w:id="9"/>
      </w:r>
      <w:r w:rsidR="00CC4799" w:rsidRPr="00562109">
        <w:t xml:space="preserve"> as </w:t>
      </w:r>
      <w:r w:rsidR="002E743B">
        <w:t xml:space="preserve">it was considered </w:t>
      </w:r>
      <w:r w:rsidR="00CC4799" w:rsidRPr="00562109">
        <w:t xml:space="preserve">this </w:t>
      </w:r>
      <w:r w:rsidR="00FD15A6" w:rsidRPr="00562109">
        <w:t>doe</w:t>
      </w:r>
      <w:r w:rsidR="002E743B">
        <w:t>s not</w:t>
      </w:r>
      <w:r w:rsidR="00FD15A6" w:rsidRPr="00562109">
        <w:t xml:space="preserve"> reflect the nature of the</w:t>
      </w:r>
      <w:r w:rsidR="00CC4799" w:rsidRPr="00562109">
        <w:t xml:space="preserve"> Programme as low intensity therapy whic</w:t>
      </w:r>
      <w:r w:rsidR="00A07E29">
        <w:t>h can be delivered in the home</w:t>
      </w:r>
      <w:r w:rsidR="002E743B">
        <w:t xml:space="preserve">; </w:t>
      </w:r>
    </w:p>
    <w:p w:rsidR="00CC4799" w:rsidRPr="00562109" w:rsidRDefault="00CC4799" w:rsidP="00562109">
      <w:pPr>
        <w:pStyle w:val="Bullet1stlevel"/>
      </w:pPr>
      <w:r w:rsidRPr="00562109">
        <w:t xml:space="preserve">To </w:t>
      </w:r>
      <w:r w:rsidR="00BB0664">
        <w:t>be consistent</w:t>
      </w:r>
      <w:r w:rsidRPr="00562109">
        <w:t xml:space="preserve"> with guidelines of other </w:t>
      </w:r>
      <w:r w:rsidR="009D03FB">
        <w:t>restorative care</w:t>
      </w:r>
      <w:r w:rsidR="009D03FB" w:rsidRPr="00562109">
        <w:t xml:space="preserve"> </w:t>
      </w:r>
      <w:r w:rsidRPr="00562109">
        <w:t xml:space="preserve">programs, </w:t>
      </w:r>
      <w:r w:rsidR="003A2412">
        <w:t xml:space="preserve">the </w:t>
      </w:r>
      <w:r w:rsidR="00621A64" w:rsidRPr="00562109">
        <w:t xml:space="preserve">TCP </w:t>
      </w:r>
      <w:r w:rsidR="00A346E8">
        <w:t>G</w:t>
      </w:r>
      <w:r w:rsidR="00621A64" w:rsidRPr="00562109">
        <w:t>uidelines would benefit from</w:t>
      </w:r>
      <w:r w:rsidRPr="00562109">
        <w:t xml:space="preserve"> information on what can</w:t>
      </w:r>
      <w:r w:rsidR="00FD15A6" w:rsidRPr="00562109">
        <w:t>/should</w:t>
      </w:r>
      <w:r w:rsidRPr="00562109">
        <w:t xml:space="preserve"> trigger a discharge. For example,</w:t>
      </w:r>
      <w:r w:rsidR="00BC5653">
        <w:t xml:space="preserve"> </w:t>
      </w:r>
      <w:r w:rsidRPr="00562109">
        <w:t xml:space="preserve">care recipients </w:t>
      </w:r>
      <w:r w:rsidR="00BC5653">
        <w:t xml:space="preserve">who do </w:t>
      </w:r>
      <w:r w:rsidRPr="00562109">
        <w:t>not participat</w:t>
      </w:r>
      <w:r w:rsidR="00BC5653">
        <w:t>e</w:t>
      </w:r>
      <w:r w:rsidRPr="00562109">
        <w:t xml:space="preserve"> </w:t>
      </w:r>
      <w:r w:rsidR="00BC5653">
        <w:t>do not trigger</w:t>
      </w:r>
      <w:r w:rsidRPr="00562109">
        <w:t xml:space="preserve"> a discharge based on non-participation as this is not in the current guidelines</w:t>
      </w:r>
      <w:r w:rsidR="00BC5653">
        <w:t>. Instead, as their goals have not been met,</w:t>
      </w:r>
      <w:r w:rsidRPr="00562109">
        <w:t xml:space="preserve"> these care recipients are then extended, potentially preventing a more active participant from being accepted onto </w:t>
      </w:r>
      <w:r w:rsidR="002E743B">
        <w:t xml:space="preserve">the </w:t>
      </w:r>
      <w:r w:rsidRPr="00562109">
        <w:t xml:space="preserve">TCP. </w:t>
      </w:r>
    </w:p>
    <w:p w:rsidR="00CC4799" w:rsidRPr="00562109" w:rsidRDefault="00212781" w:rsidP="00562109">
      <w:pPr>
        <w:pStyle w:val="Bullet1stlevel"/>
      </w:pPr>
      <w:r>
        <w:t>Stakeholders advocated for the G</w:t>
      </w:r>
      <w:r w:rsidR="00CC4799" w:rsidRPr="00562109">
        <w:t xml:space="preserve">uidelines to clarify how </w:t>
      </w:r>
      <w:r w:rsidR="002E743B">
        <w:t xml:space="preserve">the </w:t>
      </w:r>
      <w:r w:rsidR="00CC4799" w:rsidRPr="00562109">
        <w:t xml:space="preserve">TCP interacts with the NDIS. A number of jurisdictions </w:t>
      </w:r>
      <w:r w:rsidR="00621A64" w:rsidRPr="00562109">
        <w:t>accept</w:t>
      </w:r>
      <w:r w:rsidR="00CC4799" w:rsidRPr="00562109">
        <w:t xml:space="preserve"> people younger than </w:t>
      </w:r>
      <w:r w:rsidR="00621A64" w:rsidRPr="00562109">
        <w:t xml:space="preserve">65 into </w:t>
      </w:r>
      <w:r w:rsidR="002E743B">
        <w:t xml:space="preserve">the </w:t>
      </w:r>
      <w:r w:rsidR="00621A64" w:rsidRPr="00562109">
        <w:t xml:space="preserve">TCP and </w:t>
      </w:r>
      <w:r w:rsidR="00CC4799" w:rsidRPr="00562109">
        <w:t xml:space="preserve">reported being unclear whether </w:t>
      </w:r>
      <w:r w:rsidR="00621A64" w:rsidRPr="00562109">
        <w:t>being an</w:t>
      </w:r>
      <w:r w:rsidR="00CC4799" w:rsidRPr="00562109">
        <w:t xml:space="preserve"> NDIS </w:t>
      </w:r>
      <w:r w:rsidR="00621A64" w:rsidRPr="00562109">
        <w:t xml:space="preserve">participant </w:t>
      </w:r>
      <w:r w:rsidR="00CC4799" w:rsidRPr="00562109">
        <w:t>impacts on eligibility for the Programme</w:t>
      </w:r>
      <w:r w:rsidR="002E743B">
        <w:t>;</w:t>
      </w:r>
    </w:p>
    <w:p w:rsidR="00CC4799" w:rsidRPr="00562109" w:rsidRDefault="00621A64" w:rsidP="00562109">
      <w:pPr>
        <w:pStyle w:val="Bullet1stlevel"/>
      </w:pPr>
      <w:r w:rsidRPr="00562109">
        <w:t>C</w:t>
      </w:r>
      <w:r w:rsidR="00CC4799" w:rsidRPr="00562109">
        <w:t>oncerns</w:t>
      </w:r>
      <w:r w:rsidRPr="00562109">
        <w:t xml:space="preserve"> were raised</w:t>
      </w:r>
      <w:r w:rsidR="00CC4799" w:rsidRPr="00562109">
        <w:t xml:space="preserve"> about </w:t>
      </w:r>
      <w:r w:rsidR="00A31899" w:rsidRPr="00562109">
        <w:t>care recipient</w:t>
      </w:r>
      <w:r w:rsidR="00CC4799" w:rsidRPr="00562109">
        <w:t xml:space="preserve">s who are eligible for insurance payments (for example, injuries resulting from a car accident) and </w:t>
      </w:r>
      <w:r w:rsidR="00A31899" w:rsidRPr="00562109">
        <w:t>care recipient</w:t>
      </w:r>
      <w:r w:rsidR="00212781">
        <w:t>s who are based overseas. The G</w:t>
      </w:r>
      <w:r w:rsidR="00CC4799" w:rsidRPr="00562109">
        <w:t xml:space="preserve">uidelines are not clear on whether these </w:t>
      </w:r>
      <w:r w:rsidR="00A31899" w:rsidRPr="00562109">
        <w:t>care recipient</w:t>
      </w:r>
      <w:r w:rsidR="00CC4799" w:rsidRPr="00562109">
        <w:t xml:space="preserve">s are eligible for </w:t>
      </w:r>
      <w:r w:rsidR="002E743B">
        <w:t xml:space="preserve">the </w:t>
      </w:r>
      <w:r w:rsidR="00CC4799" w:rsidRPr="00562109">
        <w:t>TCP and</w:t>
      </w:r>
      <w:r w:rsidR="002E743B">
        <w:t>, in the event they are,</w:t>
      </w:r>
      <w:r w:rsidR="00CC4799" w:rsidRPr="00562109">
        <w:t xml:space="preserve"> which agency is responsible for the payment of </w:t>
      </w:r>
      <w:r w:rsidR="002E743B">
        <w:t xml:space="preserve">the </w:t>
      </w:r>
      <w:r w:rsidR="00CC4799" w:rsidRPr="00562109">
        <w:t>TCP in these cases</w:t>
      </w:r>
      <w:r w:rsidR="002E743B">
        <w:t xml:space="preserve">; </w:t>
      </w:r>
    </w:p>
    <w:p w:rsidR="00CC4799" w:rsidRPr="00562109" w:rsidRDefault="00CC4799" w:rsidP="00562109">
      <w:pPr>
        <w:pStyle w:val="Bullet1stlevel"/>
      </w:pPr>
      <w:r w:rsidRPr="00562109">
        <w:t>A number of stakeholders suggested explicitly including references to particular cohorts</w:t>
      </w:r>
      <w:r w:rsidR="00FD15A6" w:rsidRPr="00562109">
        <w:t xml:space="preserve"> of care recipients</w:t>
      </w:r>
      <w:r w:rsidRPr="00562109">
        <w:t xml:space="preserve">. </w:t>
      </w:r>
      <w:r w:rsidR="00FD15A6" w:rsidRPr="00562109">
        <w:t>Benefits of</w:t>
      </w:r>
      <w:r w:rsidRPr="00562109">
        <w:t xml:space="preserve"> </w:t>
      </w:r>
      <w:r w:rsidR="002E743B">
        <w:t xml:space="preserve">the </w:t>
      </w:r>
      <w:r w:rsidRPr="00562109">
        <w:t>TCP</w:t>
      </w:r>
      <w:r w:rsidR="00FD15A6" w:rsidRPr="00562109">
        <w:t xml:space="preserve"> were identified for </w:t>
      </w:r>
      <w:r w:rsidR="00A31899" w:rsidRPr="00562109">
        <w:t>care recipient</w:t>
      </w:r>
      <w:r w:rsidRPr="00562109">
        <w:t>s with dementia, mental health issues, and in palliative care</w:t>
      </w:r>
      <w:r w:rsidR="002E743B">
        <w:t>;</w:t>
      </w:r>
      <w:r w:rsidRPr="00562109">
        <w:t xml:space="preserve"> however</w:t>
      </w:r>
      <w:r w:rsidR="002E743B">
        <w:t>,</w:t>
      </w:r>
      <w:r w:rsidRPr="00562109">
        <w:t xml:space="preserve"> due to</w:t>
      </w:r>
      <w:r w:rsidR="002E743B">
        <w:t xml:space="preserve"> the</w:t>
      </w:r>
      <w:r w:rsidRPr="00562109">
        <w:t xml:space="preserve"> TCP being framed as a purely functional programme, it was reported that these </w:t>
      </w:r>
      <w:r w:rsidR="00A31899" w:rsidRPr="00562109">
        <w:t>care recipient</w:t>
      </w:r>
      <w:r w:rsidRPr="00562109">
        <w:t>s may not be referred as often as they could be</w:t>
      </w:r>
      <w:r w:rsidR="009F6653">
        <w:t xml:space="preserve">. </w:t>
      </w:r>
      <w:r w:rsidR="009F6653">
        <w:rPr>
          <w:lang w:val="en-GB"/>
        </w:rPr>
        <w:t xml:space="preserve">The reviewers note that TCP is not designed for clients on a palliative pathway, but rather to prevent early access to residential aged care. Thus, the structural barriers to palliative care clients may be </w:t>
      </w:r>
      <w:r w:rsidR="007E73BB">
        <w:rPr>
          <w:lang w:val="en-GB"/>
        </w:rPr>
        <w:t>expected</w:t>
      </w:r>
      <w:r w:rsidR="009F6653">
        <w:rPr>
          <w:lang w:val="en-GB"/>
        </w:rPr>
        <w:t>;</w:t>
      </w:r>
      <w:r w:rsidR="007E73BB">
        <w:rPr>
          <w:lang w:val="en-GB"/>
        </w:rPr>
        <w:t xml:space="preserve"> </w:t>
      </w:r>
      <w:r w:rsidR="002E743B">
        <w:t>and</w:t>
      </w:r>
    </w:p>
    <w:p w:rsidR="00CC4799" w:rsidRPr="007F1A00" w:rsidRDefault="002E743B" w:rsidP="00562109">
      <w:pPr>
        <w:pStyle w:val="Bullet1stlevel"/>
        <w:rPr>
          <w:lang w:val="en-GB"/>
        </w:rPr>
      </w:pPr>
      <w:r>
        <w:t>T</w:t>
      </w:r>
      <w:r w:rsidR="00212781">
        <w:t>he G</w:t>
      </w:r>
      <w:r w:rsidR="00CC4799" w:rsidRPr="00562109">
        <w:t>uidelines state that</w:t>
      </w:r>
      <w:r>
        <w:t>,</w:t>
      </w:r>
      <w:r w:rsidR="00CC4799" w:rsidRPr="00562109">
        <w:t xml:space="preserve"> “</w:t>
      </w:r>
      <w:r w:rsidR="00CC4799" w:rsidRPr="00562109">
        <w:rPr>
          <w:i/>
        </w:rPr>
        <w:t>The role of hospitals in relation to the programme is to … ensure that the care recipient is medically stable and ready for discharge before they are referred for ACAT assessment”</w:t>
      </w:r>
      <w:r w:rsidR="00CC4799" w:rsidRPr="00562109">
        <w:t>.</w:t>
      </w:r>
      <w:r w:rsidR="00A07E29">
        <w:rPr>
          <w:rStyle w:val="FootnoteReference"/>
        </w:rPr>
        <w:footnoteReference w:id="10"/>
      </w:r>
      <w:r w:rsidR="00CC4799" w:rsidRPr="00562109">
        <w:t xml:space="preserve"> Stakeholders requested greater clarification on what constitutes medically stable</w:t>
      </w:r>
      <w:r>
        <w:t>. F</w:t>
      </w:r>
      <w:r w:rsidR="00CC4799" w:rsidRPr="00562109">
        <w:t xml:space="preserve">or example, a </w:t>
      </w:r>
      <w:r w:rsidR="00A31899" w:rsidRPr="00562109">
        <w:t>care recipient</w:t>
      </w:r>
      <w:r w:rsidR="00CC4799" w:rsidRPr="007F1A00">
        <w:rPr>
          <w:lang w:val="en-GB"/>
        </w:rPr>
        <w:t xml:space="preserve"> is unlikely to be referred while they are receiving intravenous antibiotics in hospital, though their functionality is likely to be the same as at the point of discharge. </w:t>
      </w:r>
    </w:p>
    <w:p w:rsidR="000B1D40" w:rsidRPr="007F1A00" w:rsidRDefault="00517AD8" w:rsidP="000B1D40">
      <w:pPr>
        <w:pStyle w:val="Heading3"/>
        <w:rPr>
          <w:lang w:val="en-GB"/>
        </w:rPr>
      </w:pPr>
      <w:r w:rsidRPr="007F1A00">
        <w:rPr>
          <w:lang w:val="en-GB"/>
        </w:rPr>
        <w:t>G</w:t>
      </w:r>
      <w:r w:rsidR="000B1D40" w:rsidRPr="007F1A00">
        <w:rPr>
          <w:lang w:val="en-GB"/>
        </w:rPr>
        <w:t>reater flexibility around leave provisions</w:t>
      </w:r>
      <w:r w:rsidR="0040128E" w:rsidRPr="007F1A00">
        <w:rPr>
          <w:lang w:val="en-GB"/>
        </w:rPr>
        <w:t>,</w:t>
      </w:r>
      <w:r w:rsidR="000B1D40" w:rsidRPr="007F1A00">
        <w:rPr>
          <w:lang w:val="en-GB"/>
        </w:rPr>
        <w:t xml:space="preserve"> hospital readmissions</w:t>
      </w:r>
      <w:r w:rsidR="0040128E" w:rsidRPr="007F1A00">
        <w:rPr>
          <w:lang w:val="en-GB"/>
        </w:rPr>
        <w:t xml:space="preserve"> and occupancy rates</w:t>
      </w:r>
      <w:r w:rsidRPr="007F1A00">
        <w:rPr>
          <w:lang w:val="en-GB"/>
        </w:rPr>
        <w:t xml:space="preserve"> is required</w:t>
      </w:r>
    </w:p>
    <w:p w:rsidR="0082673A" w:rsidRDefault="00517AD8" w:rsidP="0082673A">
      <w:pPr>
        <w:pStyle w:val="Bullet1stlevel"/>
        <w:numPr>
          <w:ilvl w:val="0"/>
          <w:numId w:val="0"/>
        </w:numPr>
        <w:rPr>
          <w:lang w:val="en-GB"/>
        </w:rPr>
      </w:pPr>
      <w:r w:rsidRPr="007F1A00">
        <w:rPr>
          <w:lang w:val="en-GB"/>
        </w:rPr>
        <w:t>L</w:t>
      </w:r>
      <w:r w:rsidR="000B1D40" w:rsidRPr="007F1A00">
        <w:rPr>
          <w:lang w:val="en-GB"/>
        </w:rPr>
        <w:t xml:space="preserve">eave provisions </w:t>
      </w:r>
      <w:r w:rsidRPr="007F1A00">
        <w:rPr>
          <w:lang w:val="en-GB"/>
        </w:rPr>
        <w:t xml:space="preserve">were identified </w:t>
      </w:r>
      <w:r w:rsidR="000B1D40" w:rsidRPr="007F1A00">
        <w:rPr>
          <w:lang w:val="en-GB"/>
        </w:rPr>
        <w:t xml:space="preserve">as </w:t>
      </w:r>
      <w:r w:rsidR="0082673A" w:rsidRPr="007F1A00">
        <w:rPr>
          <w:lang w:val="en-GB"/>
        </w:rPr>
        <w:t xml:space="preserve">a </w:t>
      </w:r>
      <w:r w:rsidR="000B1D40" w:rsidRPr="007F1A00">
        <w:rPr>
          <w:lang w:val="en-GB"/>
        </w:rPr>
        <w:t xml:space="preserve">major issue </w:t>
      </w:r>
      <w:r w:rsidRPr="007F1A00">
        <w:rPr>
          <w:lang w:val="en-GB"/>
        </w:rPr>
        <w:t>by the majority of</w:t>
      </w:r>
      <w:r w:rsidR="00FD15A6">
        <w:rPr>
          <w:lang w:val="en-GB"/>
        </w:rPr>
        <w:t xml:space="preserve"> stakeholders.</w:t>
      </w:r>
      <w:r w:rsidR="006C271F">
        <w:rPr>
          <w:lang w:val="en-GB"/>
        </w:rPr>
        <w:t xml:space="preserve"> </w:t>
      </w:r>
      <w:r w:rsidR="009C3E4A" w:rsidRPr="007F1A00">
        <w:rPr>
          <w:lang w:val="en-GB"/>
        </w:rPr>
        <w:t xml:space="preserve">It was noted repeatedly that the current </w:t>
      </w:r>
      <w:r w:rsidRPr="007F1A00">
        <w:rPr>
          <w:lang w:val="en-GB"/>
        </w:rPr>
        <w:t xml:space="preserve">leave </w:t>
      </w:r>
      <w:r w:rsidR="009C3E4A" w:rsidRPr="007F1A00">
        <w:rPr>
          <w:lang w:val="en-GB"/>
        </w:rPr>
        <w:t>provisions are too short</w:t>
      </w:r>
      <w:r w:rsidR="00FD15A6">
        <w:rPr>
          <w:lang w:val="en-GB"/>
        </w:rPr>
        <w:t xml:space="preserve">, and did not </w:t>
      </w:r>
      <w:r w:rsidR="00A07E29">
        <w:rPr>
          <w:lang w:val="en-GB"/>
        </w:rPr>
        <w:t>allow for flexibility</w:t>
      </w:r>
      <w:r w:rsidR="002E743B">
        <w:rPr>
          <w:lang w:val="en-GB"/>
        </w:rPr>
        <w:t xml:space="preserve">. </w:t>
      </w:r>
      <w:r w:rsidR="00BC5653">
        <w:rPr>
          <w:lang w:val="en-GB"/>
        </w:rPr>
        <w:t xml:space="preserve">Stakeholders gave examples of times when greater time to travel is required for care recipients, such as </w:t>
      </w:r>
      <w:r w:rsidR="004A7000" w:rsidRPr="007F1A00">
        <w:rPr>
          <w:lang w:val="en-GB"/>
        </w:rPr>
        <w:t>around the Christmas period when people often travel and for those in more remote areas</w:t>
      </w:r>
      <w:r w:rsidR="00BC5653">
        <w:rPr>
          <w:lang w:val="en-GB"/>
        </w:rPr>
        <w:t xml:space="preserve"> who need to travel greater distances</w:t>
      </w:r>
      <w:r w:rsidR="004A7000" w:rsidRPr="007F1A00">
        <w:rPr>
          <w:lang w:val="en-GB"/>
        </w:rPr>
        <w:t>.</w:t>
      </w:r>
      <w:r w:rsidR="009C3E4A" w:rsidRPr="007F1A00">
        <w:rPr>
          <w:lang w:val="en-GB"/>
        </w:rPr>
        <w:t xml:space="preserve"> </w:t>
      </w:r>
      <w:r w:rsidR="00621A64" w:rsidRPr="007F1A00">
        <w:rPr>
          <w:lang w:val="en-GB"/>
        </w:rPr>
        <w:t>It was</w:t>
      </w:r>
      <w:r w:rsidR="004A7000" w:rsidRPr="007F1A00">
        <w:rPr>
          <w:lang w:val="en-GB"/>
        </w:rPr>
        <w:t xml:space="preserve"> noted that </w:t>
      </w:r>
      <w:r w:rsidR="007D0646" w:rsidRPr="007F1A00">
        <w:rPr>
          <w:lang w:val="en-GB"/>
        </w:rPr>
        <w:t>greater</w:t>
      </w:r>
      <w:r w:rsidR="004A7000" w:rsidRPr="007F1A00">
        <w:rPr>
          <w:lang w:val="en-GB"/>
        </w:rPr>
        <w:t xml:space="preserve"> </w:t>
      </w:r>
      <w:r w:rsidR="007D0646" w:rsidRPr="007F1A00">
        <w:rPr>
          <w:lang w:val="en-GB"/>
        </w:rPr>
        <w:t>flexibility in</w:t>
      </w:r>
      <w:r w:rsidR="004A7000" w:rsidRPr="007F1A00">
        <w:rPr>
          <w:lang w:val="en-GB"/>
        </w:rPr>
        <w:t xml:space="preserve"> leave provisions were particularly </w:t>
      </w:r>
      <w:r w:rsidR="007D0646" w:rsidRPr="007F1A00">
        <w:rPr>
          <w:lang w:val="en-GB"/>
        </w:rPr>
        <w:t>essential</w:t>
      </w:r>
      <w:r w:rsidR="004A7000" w:rsidRPr="007F1A00">
        <w:rPr>
          <w:lang w:val="en-GB"/>
        </w:rPr>
        <w:t xml:space="preserve"> for </w:t>
      </w:r>
      <w:r w:rsidR="002812BA" w:rsidRPr="007F1A00">
        <w:rPr>
          <w:lang w:val="en-GB"/>
        </w:rPr>
        <w:t>Aboriginal and Torres Strait Islander</w:t>
      </w:r>
      <w:r w:rsidR="004A7000" w:rsidRPr="007F1A00">
        <w:rPr>
          <w:lang w:val="en-GB"/>
        </w:rPr>
        <w:t xml:space="preserve"> care recipients as they may need to return to country for cultural obligations. </w:t>
      </w:r>
      <w:r w:rsidR="00FD15A6">
        <w:rPr>
          <w:lang w:val="en-GB"/>
        </w:rPr>
        <w:t>There is also</w:t>
      </w:r>
      <w:r w:rsidR="0082673A" w:rsidRPr="007F1A00">
        <w:rPr>
          <w:lang w:val="en-GB"/>
        </w:rPr>
        <w:t xml:space="preserve"> an opportunity to align with practices in </w:t>
      </w:r>
      <w:r w:rsidR="00855CFF" w:rsidRPr="007F1A00">
        <w:rPr>
          <w:lang w:val="en-GB"/>
        </w:rPr>
        <w:t>the STRC p</w:t>
      </w:r>
      <w:r w:rsidR="0082673A" w:rsidRPr="007F1A00">
        <w:rPr>
          <w:lang w:val="en-GB"/>
        </w:rPr>
        <w:t>rogram</w:t>
      </w:r>
      <w:r w:rsidR="00FD15A6">
        <w:rPr>
          <w:lang w:val="en-GB"/>
        </w:rPr>
        <w:t>, which allows</w:t>
      </w:r>
      <w:r w:rsidR="0061657C">
        <w:rPr>
          <w:lang w:val="en-GB"/>
        </w:rPr>
        <w:t xml:space="preserve"> seven days of leave from the program</w:t>
      </w:r>
      <w:r w:rsidR="00FD15A6">
        <w:rPr>
          <w:lang w:val="en-GB"/>
        </w:rPr>
        <w:t>.</w:t>
      </w:r>
      <w:r w:rsidR="004A7000" w:rsidRPr="007F1A00">
        <w:rPr>
          <w:lang w:val="en-GB"/>
        </w:rPr>
        <w:t xml:space="preserve"> </w:t>
      </w:r>
      <w:r w:rsidR="002E743B">
        <w:rPr>
          <w:lang w:val="en-GB"/>
        </w:rPr>
        <w:t>I</w:t>
      </w:r>
      <w:r w:rsidR="00621A64" w:rsidRPr="007F1A00">
        <w:rPr>
          <w:lang w:val="en-GB"/>
        </w:rPr>
        <w:t>t was</w:t>
      </w:r>
      <w:r w:rsidR="004A7000" w:rsidRPr="007F1A00">
        <w:rPr>
          <w:lang w:val="en-GB"/>
        </w:rPr>
        <w:t xml:space="preserve"> suggested that allowing for different categories of leave with different time provisions may be a potential solution.</w:t>
      </w:r>
    </w:p>
    <w:p w:rsidR="006132A4" w:rsidRPr="007F1A00" w:rsidRDefault="00212781" w:rsidP="0082673A">
      <w:pPr>
        <w:pStyle w:val="Bullet1stlevel"/>
        <w:numPr>
          <w:ilvl w:val="0"/>
          <w:numId w:val="0"/>
        </w:numPr>
        <w:rPr>
          <w:lang w:val="en-GB"/>
        </w:rPr>
      </w:pPr>
      <w:r>
        <w:rPr>
          <w:lang w:val="en-GB"/>
        </w:rPr>
        <w:t>On review of the</w:t>
      </w:r>
      <w:r w:rsidR="002E743B">
        <w:rPr>
          <w:lang w:val="en-GB"/>
        </w:rPr>
        <w:t xml:space="preserve"> </w:t>
      </w:r>
      <w:r>
        <w:rPr>
          <w:lang w:val="en-GB"/>
        </w:rPr>
        <w:t>G</w:t>
      </w:r>
      <w:r w:rsidR="006132A4">
        <w:rPr>
          <w:lang w:val="en-GB"/>
        </w:rPr>
        <w:t xml:space="preserve">uidelines, legislation and subordinate legislation it was noted that leave (except for hospital admissions) was not explicitly </w:t>
      </w:r>
      <w:r w:rsidR="005D4FAC">
        <w:rPr>
          <w:lang w:val="en-GB"/>
        </w:rPr>
        <w:t>specified. While the flexible care subsidy payment would not be provided on days when the TCP care recipient was not receiving care, the basis for not allowing leave appears to be historical rather than structural, and could be amended</w:t>
      </w:r>
      <w:r w:rsidR="0016135B">
        <w:rPr>
          <w:lang w:val="en-GB"/>
        </w:rPr>
        <w:t xml:space="preserve"> to allow for greater flexibility for care recipients</w:t>
      </w:r>
      <w:r w:rsidR="005D4FAC">
        <w:rPr>
          <w:lang w:val="en-GB"/>
        </w:rPr>
        <w:t xml:space="preserve">. </w:t>
      </w:r>
    </w:p>
    <w:p w:rsidR="003B4265" w:rsidRPr="007F1A00" w:rsidRDefault="0082673A" w:rsidP="00DC4E1C">
      <w:pPr>
        <w:pStyle w:val="Bullet1stlevel"/>
        <w:numPr>
          <w:ilvl w:val="0"/>
          <w:numId w:val="0"/>
        </w:numPr>
        <w:rPr>
          <w:szCs w:val="20"/>
          <w:lang w:val="en-GB"/>
        </w:rPr>
      </w:pPr>
      <w:r w:rsidRPr="007F1A00">
        <w:rPr>
          <w:lang w:val="en-GB"/>
        </w:rPr>
        <w:t>Hospital readmissions</w:t>
      </w:r>
      <w:r w:rsidR="00DC4E1C" w:rsidRPr="007F1A00">
        <w:rPr>
          <w:lang w:val="en-GB"/>
        </w:rPr>
        <w:t xml:space="preserve"> was another significant issue identified by the majority of stakeholders. Currently, the </w:t>
      </w:r>
      <w:r w:rsidR="00212781">
        <w:rPr>
          <w:lang w:val="en-GB"/>
        </w:rPr>
        <w:t>G</w:t>
      </w:r>
      <w:r w:rsidR="00DC4E1C" w:rsidRPr="007F1A00">
        <w:rPr>
          <w:lang w:val="en-GB"/>
        </w:rPr>
        <w:t xml:space="preserve">uidelines </w:t>
      </w:r>
      <w:r w:rsidR="002812BA" w:rsidRPr="007F1A00">
        <w:rPr>
          <w:lang w:val="en-GB"/>
        </w:rPr>
        <w:t>state</w:t>
      </w:r>
      <w:r w:rsidR="00DC4E1C" w:rsidRPr="007F1A00">
        <w:rPr>
          <w:lang w:val="en-GB"/>
        </w:rPr>
        <w:t xml:space="preserve"> that</w:t>
      </w:r>
      <w:r w:rsidR="00AD7BC8">
        <w:rPr>
          <w:lang w:val="en-GB"/>
        </w:rPr>
        <w:t>,</w:t>
      </w:r>
      <w:r w:rsidR="00DC4E1C" w:rsidRPr="007F1A00">
        <w:rPr>
          <w:lang w:val="en-GB"/>
        </w:rPr>
        <w:t xml:space="preserve"> </w:t>
      </w:r>
      <w:r w:rsidR="003B4265" w:rsidRPr="00562109">
        <w:rPr>
          <w:i/>
          <w:lang w:val="en-GB"/>
        </w:rPr>
        <w:t>“</w:t>
      </w:r>
      <w:r w:rsidR="003B4265" w:rsidRPr="00562109">
        <w:rPr>
          <w:i/>
          <w:szCs w:val="20"/>
          <w:lang w:val="en-GB"/>
        </w:rPr>
        <w:t>If a transition care recipient requires re-admission to hospital for longer than an overnight stay, the transition care episode will cease, i.e. the care recipient must be discharged from the programme</w:t>
      </w:r>
      <w:r w:rsidR="003B4265" w:rsidRPr="007F1A00">
        <w:rPr>
          <w:szCs w:val="20"/>
          <w:lang w:val="en-GB"/>
        </w:rPr>
        <w:t>.</w:t>
      </w:r>
      <w:r w:rsidR="003B4265" w:rsidRPr="00562109">
        <w:rPr>
          <w:i/>
          <w:szCs w:val="20"/>
          <w:lang w:val="en-GB"/>
        </w:rPr>
        <w:t>”</w:t>
      </w:r>
      <w:r w:rsidR="003B4265" w:rsidRPr="007F1A00">
        <w:rPr>
          <w:rStyle w:val="FootnoteReference"/>
          <w:szCs w:val="20"/>
          <w:lang w:val="en-GB"/>
        </w:rPr>
        <w:footnoteReference w:id="11"/>
      </w:r>
      <w:r w:rsidR="003B4265" w:rsidRPr="007F1A00">
        <w:rPr>
          <w:szCs w:val="20"/>
          <w:lang w:val="en-GB"/>
        </w:rPr>
        <w:t xml:space="preserve"> </w:t>
      </w:r>
      <w:r w:rsidR="00621A64" w:rsidRPr="007F1A00">
        <w:rPr>
          <w:szCs w:val="20"/>
          <w:lang w:val="en-GB"/>
        </w:rPr>
        <w:t>P</w:t>
      </w:r>
      <w:r w:rsidR="003B4265" w:rsidRPr="007F1A00">
        <w:rPr>
          <w:szCs w:val="20"/>
          <w:lang w:val="en-GB"/>
        </w:rPr>
        <w:t xml:space="preserve">roviders noted that this is not flexible enough and gave the example of someone who has their surgery rescheduled to the next day </w:t>
      </w:r>
      <w:r w:rsidR="00A07E29">
        <w:rPr>
          <w:szCs w:val="20"/>
          <w:lang w:val="en-GB"/>
        </w:rPr>
        <w:t>having</w:t>
      </w:r>
      <w:r w:rsidR="003B4265" w:rsidRPr="007F1A00">
        <w:rPr>
          <w:szCs w:val="20"/>
          <w:lang w:val="en-GB"/>
        </w:rPr>
        <w:t xml:space="preserve"> to be discharged from </w:t>
      </w:r>
      <w:r w:rsidR="00AD7BC8">
        <w:rPr>
          <w:szCs w:val="20"/>
          <w:lang w:val="en-GB"/>
        </w:rPr>
        <w:t xml:space="preserve">the </w:t>
      </w:r>
      <w:r w:rsidR="003B4265" w:rsidRPr="007F1A00">
        <w:rPr>
          <w:szCs w:val="20"/>
          <w:lang w:val="en-GB"/>
        </w:rPr>
        <w:t xml:space="preserve">TCP. </w:t>
      </w:r>
      <w:r w:rsidR="00621A64" w:rsidRPr="007F1A00">
        <w:rPr>
          <w:szCs w:val="20"/>
          <w:lang w:val="en-GB"/>
        </w:rPr>
        <w:t>It was</w:t>
      </w:r>
      <w:r w:rsidR="003B4265" w:rsidRPr="007F1A00">
        <w:rPr>
          <w:szCs w:val="20"/>
          <w:lang w:val="en-GB"/>
        </w:rPr>
        <w:t xml:space="preserve"> noted that this </w:t>
      </w:r>
      <w:r w:rsidR="007D0646" w:rsidRPr="007F1A00">
        <w:rPr>
          <w:szCs w:val="20"/>
          <w:lang w:val="en-GB"/>
        </w:rPr>
        <w:t>lack of flexibility</w:t>
      </w:r>
      <w:r w:rsidR="003B4265" w:rsidRPr="007F1A00">
        <w:rPr>
          <w:szCs w:val="20"/>
          <w:lang w:val="en-GB"/>
        </w:rPr>
        <w:t xml:space="preserve"> does not take into consideration the comorbidities of</w:t>
      </w:r>
      <w:r w:rsidR="00AD7BC8">
        <w:rPr>
          <w:szCs w:val="20"/>
          <w:lang w:val="en-GB"/>
        </w:rPr>
        <w:t xml:space="preserve"> the</w:t>
      </w:r>
      <w:r w:rsidR="003B4265" w:rsidRPr="007F1A00">
        <w:rPr>
          <w:szCs w:val="20"/>
          <w:lang w:val="en-GB"/>
        </w:rPr>
        <w:t xml:space="preserve"> TCP’s target cohort. </w:t>
      </w:r>
    </w:p>
    <w:p w:rsidR="00C96B5E" w:rsidRDefault="00146D3C" w:rsidP="00327FAB">
      <w:pPr>
        <w:pStyle w:val="Bullet1stlevel"/>
        <w:numPr>
          <w:ilvl w:val="0"/>
          <w:numId w:val="0"/>
        </w:numPr>
        <w:rPr>
          <w:lang w:val="en-GB"/>
        </w:rPr>
      </w:pPr>
      <w:r w:rsidRPr="007F1A00">
        <w:rPr>
          <w:lang w:val="en-GB"/>
        </w:rPr>
        <w:t xml:space="preserve">A number of jurisdictions suggested it would be beneficial if occupancy rate requirements could flexibly shift throughout the year in response to times of low and high demand. For example, the period around Christmas was </w:t>
      </w:r>
      <w:r w:rsidR="00621A64" w:rsidRPr="007F1A00">
        <w:rPr>
          <w:lang w:val="en-GB"/>
        </w:rPr>
        <w:t xml:space="preserve">identified as </w:t>
      </w:r>
      <w:r w:rsidRPr="007F1A00">
        <w:rPr>
          <w:lang w:val="en-GB"/>
        </w:rPr>
        <w:t>a period of typically low demand (and ther</w:t>
      </w:r>
      <w:r w:rsidR="00DB0F66" w:rsidRPr="007F1A00">
        <w:rPr>
          <w:lang w:val="en-GB"/>
        </w:rPr>
        <w:t xml:space="preserve">efore greater vacancies in </w:t>
      </w:r>
      <w:r w:rsidR="00AD7BC8">
        <w:rPr>
          <w:lang w:val="en-GB"/>
        </w:rPr>
        <w:t xml:space="preserve">the </w:t>
      </w:r>
      <w:r w:rsidR="00DB0F66" w:rsidRPr="007F1A00">
        <w:rPr>
          <w:lang w:val="en-GB"/>
        </w:rPr>
        <w:t xml:space="preserve">TCP). </w:t>
      </w:r>
      <w:r w:rsidR="00621A64" w:rsidRPr="007F1A00">
        <w:rPr>
          <w:lang w:val="en-GB"/>
        </w:rPr>
        <w:t>Conversely, w</w:t>
      </w:r>
      <w:r w:rsidR="00DB0F66" w:rsidRPr="007F1A00">
        <w:rPr>
          <w:lang w:val="en-GB"/>
        </w:rPr>
        <w:t>inter</w:t>
      </w:r>
      <w:r w:rsidRPr="007F1A00">
        <w:rPr>
          <w:lang w:val="en-GB"/>
        </w:rPr>
        <w:t xml:space="preserve"> was a period of typically high demand </w:t>
      </w:r>
      <w:r w:rsidR="00DB0F66" w:rsidRPr="007F1A00">
        <w:rPr>
          <w:lang w:val="en-GB"/>
        </w:rPr>
        <w:t xml:space="preserve">due to illness and February/March was a peak period due to the heat (and as such, </w:t>
      </w:r>
      <w:r w:rsidR="00AD7BC8">
        <w:rPr>
          <w:lang w:val="en-GB"/>
        </w:rPr>
        <w:t xml:space="preserve">the </w:t>
      </w:r>
      <w:r w:rsidR="00DB0F66" w:rsidRPr="007F1A00">
        <w:rPr>
          <w:lang w:val="en-GB"/>
        </w:rPr>
        <w:t>TCP has fewer vacancies)</w:t>
      </w:r>
      <w:r w:rsidRPr="007F1A00">
        <w:rPr>
          <w:lang w:val="en-GB"/>
        </w:rPr>
        <w:t xml:space="preserve">. </w:t>
      </w:r>
      <w:r w:rsidR="00621A64" w:rsidRPr="007F1A00">
        <w:rPr>
          <w:lang w:val="en-GB"/>
        </w:rPr>
        <w:t xml:space="preserve">State and </w:t>
      </w:r>
      <w:r w:rsidR="00A07E29">
        <w:rPr>
          <w:lang w:val="en-GB"/>
        </w:rPr>
        <w:t>T</w:t>
      </w:r>
      <w:r w:rsidR="00621A64" w:rsidRPr="007F1A00">
        <w:rPr>
          <w:lang w:val="en-GB"/>
        </w:rPr>
        <w:t>erritory governments</w:t>
      </w:r>
      <w:r w:rsidR="00367667" w:rsidRPr="007F1A00">
        <w:rPr>
          <w:lang w:val="en-GB"/>
        </w:rPr>
        <w:t xml:space="preserve"> </w:t>
      </w:r>
      <w:r w:rsidRPr="007F1A00">
        <w:rPr>
          <w:lang w:val="en-GB"/>
        </w:rPr>
        <w:t xml:space="preserve">stated that the </w:t>
      </w:r>
      <w:r w:rsidR="00EA59CD">
        <w:rPr>
          <w:lang w:val="en-GB"/>
        </w:rPr>
        <w:t xml:space="preserve">occupancy target should be 100 per cent spread flexibly across the year, which would </w:t>
      </w:r>
      <w:r w:rsidRPr="007F1A00">
        <w:rPr>
          <w:lang w:val="en-GB"/>
        </w:rPr>
        <w:t>allow them to fully utilise the Programme.</w:t>
      </w:r>
    </w:p>
    <w:p w:rsidR="00E34F0D" w:rsidRDefault="00457EDD" w:rsidP="00327FAB">
      <w:pPr>
        <w:pStyle w:val="Bullet1stlevel"/>
        <w:numPr>
          <w:ilvl w:val="0"/>
          <w:numId w:val="0"/>
        </w:numPr>
        <w:rPr>
          <w:lang w:val="en-GB"/>
        </w:rPr>
      </w:pPr>
      <w:r>
        <w:rPr>
          <w:lang w:val="en-GB"/>
        </w:rPr>
        <w:t>In reviewing the official occupancy rates over a five year period</w:t>
      </w:r>
      <w:r w:rsidR="00AD7BC8">
        <w:rPr>
          <w:lang w:val="en-GB"/>
        </w:rPr>
        <w:t>,</w:t>
      </w:r>
      <w:r>
        <w:rPr>
          <w:lang w:val="en-GB"/>
        </w:rPr>
        <w:t xml:space="preserve"> there is a noticeable drop in occupancy in January each year. In addition, occupancy rates are consistently highest over the winter months. This supports the commentary from stakeholders that there </w:t>
      </w:r>
      <w:r w:rsidR="0081036C">
        <w:rPr>
          <w:lang w:val="en-GB"/>
        </w:rPr>
        <w:t xml:space="preserve">is seasonal variation in demand. </w:t>
      </w:r>
      <w:r>
        <w:rPr>
          <w:lang w:val="en-GB"/>
        </w:rPr>
        <w:t>Therefore</w:t>
      </w:r>
      <w:r w:rsidR="00AD7BC8">
        <w:rPr>
          <w:lang w:val="en-GB"/>
        </w:rPr>
        <w:t>,</w:t>
      </w:r>
      <w:r>
        <w:rPr>
          <w:lang w:val="en-GB"/>
        </w:rPr>
        <w:t xml:space="preserve"> it appears reasonable that more could be done to increase access to care recipients across each year.</w:t>
      </w:r>
    </w:p>
    <w:p w:rsidR="003451F4" w:rsidRDefault="003451F4" w:rsidP="00327FAB">
      <w:pPr>
        <w:pStyle w:val="Bullet1stlevel"/>
        <w:numPr>
          <w:ilvl w:val="0"/>
          <w:numId w:val="0"/>
        </w:numPr>
        <w:rPr>
          <w:lang w:val="en-GB"/>
        </w:rPr>
      </w:pPr>
    </w:p>
    <w:p w:rsidR="000B1D40" w:rsidRPr="007F1A00" w:rsidRDefault="00DF1FD0" w:rsidP="000B1D40">
      <w:pPr>
        <w:pStyle w:val="Heading3"/>
        <w:rPr>
          <w:lang w:val="en-GB"/>
        </w:rPr>
      </w:pPr>
      <w:r w:rsidRPr="007F1A00">
        <w:rPr>
          <w:lang w:val="en-GB"/>
        </w:rPr>
        <w:t>There are some challenges with the current a</w:t>
      </w:r>
      <w:r w:rsidR="000B1D40" w:rsidRPr="007F1A00">
        <w:rPr>
          <w:lang w:val="en-GB"/>
        </w:rPr>
        <w:t>ssessment</w:t>
      </w:r>
      <w:r w:rsidR="00156279" w:rsidRPr="007F1A00">
        <w:rPr>
          <w:lang w:val="en-GB"/>
        </w:rPr>
        <w:t xml:space="preserve"> and intake</w:t>
      </w:r>
      <w:r w:rsidR="000B1D40" w:rsidRPr="007F1A00">
        <w:rPr>
          <w:lang w:val="en-GB"/>
        </w:rPr>
        <w:t xml:space="preserve"> processes</w:t>
      </w:r>
    </w:p>
    <w:p w:rsidR="00C96B5E" w:rsidRDefault="00C96B5E" w:rsidP="003E1179">
      <w:pPr>
        <w:pStyle w:val="Bullet1stlevel"/>
        <w:numPr>
          <w:ilvl w:val="0"/>
          <w:numId w:val="0"/>
        </w:numPr>
        <w:rPr>
          <w:lang w:val="en-GB"/>
        </w:rPr>
      </w:pPr>
      <w:r w:rsidRPr="007F1A00">
        <w:rPr>
          <w:lang w:val="en-GB"/>
        </w:rPr>
        <w:t xml:space="preserve">ACATs and service providers commented that there is ‘over assessment’ of </w:t>
      </w:r>
      <w:r w:rsidR="00A31899" w:rsidRPr="007F1A00">
        <w:rPr>
          <w:lang w:val="en-GB"/>
        </w:rPr>
        <w:t>care recipient</w:t>
      </w:r>
      <w:r w:rsidRPr="007F1A00">
        <w:rPr>
          <w:lang w:val="en-GB"/>
        </w:rPr>
        <w:t>s</w:t>
      </w:r>
      <w:r w:rsidR="00621A64" w:rsidRPr="007F1A00">
        <w:rPr>
          <w:lang w:val="en-GB"/>
        </w:rPr>
        <w:t>, noting</w:t>
      </w:r>
      <w:r w:rsidR="003E1179" w:rsidRPr="007F1A00">
        <w:rPr>
          <w:lang w:val="en-GB"/>
        </w:rPr>
        <w:t xml:space="preserve"> that </w:t>
      </w:r>
      <w:r w:rsidR="00621A64" w:rsidRPr="007F1A00">
        <w:rPr>
          <w:lang w:val="en-GB"/>
        </w:rPr>
        <w:t>assessment</w:t>
      </w:r>
      <w:r w:rsidR="003E1179" w:rsidRPr="007F1A00">
        <w:rPr>
          <w:lang w:val="en-GB"/>
        </w:rPr>
        <w:t xml:space="preserve"> </w:t>
      </w:r>
      <w:r w:rsidR="00621A64" w:rsidRPr="007F1A00">
        <w:rPr>
          <w:lang w:val="en-GB"/>
        </w:rPr>
        <w:t>from both</w:t>
      </w:r>
      <w:r w:rsidR="003E1179" w:rsidRPr="007F1A00">
        <w:rPr>
          <w:lang w:val="en-GB"/>
        </w:rPr>
        <w:t xml:space="preserve"> ACATs and TCP teams </w:t>
      </w:r>
      <w:r w:rsidR="00621A64" w:rsidRPr="007F1A00">
        <w:rPr>
          <w:lang w:val="en-GB"/>
        </w:rPr>
        <w:t xml:space="preserve">can </w:t>
      </w:r>
      <w:r w:rsidR="003E1179" w:rsidRPr="007F1A00">
        <w:rPr>
          <w:lang w:val="en-GB"/>
        </w:rPr>
        <w:t xml:space="preserve">disrupt the </w:t>
      </w:r>
      <w:r w:rsidR="00A31899" w:rsidRPr="007F1A00">
        <w:rPr>
          <w:lang w:val="en-GB"/>
        </w:rPr>
        <w:t xml:space="preserve">care </w:t>
      </w:r>
      <w:r w:rsidR="003E1179" w:rsidRPr="007F1A00">
        <w:rPr>
          <w:lang w:val="en-GB"/>
        </w:rPr>
        <w:t xml:space="preserve">experience and be confusing for families. Hospital staff queried whether these assessment processes could be combined to provide a more seamless experience. Further, service providers </w:t>
      </w:r>
      <w:r w:rsidR="00EE0CF0" w:rsidRPr="007F1A00">
        <w:rPr>
          <w:lang w:val="en-GB"/>
        </w:rPr>
        <w:t xml:space="preserve">proposed that the </w:t>
      </w:r>
      <w:r w:rsidR="0075139B" w:rsidRPr="007F1A00">
        <w:rPr>
          <w:lang w:val="en-GB"/>
        </w:rPr>
        <w:t>ACA</w:t>
      </w:r>
      <w:r w:rsidR="00621A64" w:rsidRPr="007F1A00">
        <w:rPr>
          <w:lang w:val="en-GB"/>
        </w:rPr>
        <w:t>T</w:t>
      </w:r>
      <w:r w:rsidR="0075139B" w:rsidRPr="007F1A00">
        <w:rPr>
          <w:lang w:val="en-GB"/>
        </w:rPr>
        <w:t xml:space="preserve"> assessment for </w:t>
      </w:r>
      <w:r w:rsidR="00AD7BC8">
        <w:rPr>
          <w:lang w:val="en-GB"/>
        </w:rPr>
        <w:t xml:space="preserve">the </w:t>
      </w:r>
      <w:r w:rsidR="0075139B" w:rsidRPr="007F1A00">
        <w:rPr>
          <w:lang w:val="en-GB"/>
        </w:rPr>
        <w:t xml:space="preserve">TCP should be valid for the duration of the time the </w:t>
      </w:r>
      <w:r w:rsidR="00A31899" w:rsidRPr="007F1A00">
        <w:rPr>
          <w:lang w:val="en-GB"/>
        </w:rPr>
        <w:t>care recipient</w:t>
      </w:r>
      <w:r w:rsidR="0075139B" w:rsidRPr="007F1A00">
        <w:rPr>
          <w:lang w:val="en-GB"/>
        </w:rPr>
        <w:t xml:space="preserve"> is in the Programme, rather than having a reassessment requirement after 28 days.</w:t>
      </w:r>
    </w:p>
    <w:p w:rsidR="0061657C" w:rsidRPr="007F1A00" w:rsidRDefault="0061657C" w:rsidP="003E1179">
      <w:pPr>
        <w:pStyle w:val="Bullet1stlevel"/>
        <w:numPr>
          <w:ilvl w:val="0"/>
          <w:numId w:val="0"/>
        </w:numPr>
        <w:rPr>
          <w:lang w:val="en-GB"/>
        </w:rPr>
      </w:pPr>
      <w:r>
        <w:rPr>
          <w:lang w:val="en-GB"/>
        </w:rPr>
        <w:t>Current</w:t>
      </w:r>
      <w:r w:rsidR="004D4FC0">
        <w:rPr>
          <w:lang w:val="en-GB"/>
        </w:rPr>
        <w:t xml:space="preserve">ly, ACAT assessments are required under the Act to determine care recipient eligibility </w:t>
      </w:r>
      <w:r w:rsidR="004F0094">
        <w:rPr>
          <w:lang w:val="en-GB"/>
        </w:rPr>
        <w:t>for</w:t>
      </w:r>
      <w:r w:rsidR="004D4FC0">
        <w:rPr>
          <w:lang w:val="en-GB"/>
        </w:rPr>
        <w:t xml:space="preserve"> the aged care subsidy.</w:t>
      </w:r>
      <w:r w:rsidR="00EA59CD">
        <w:rPr>
          <w:lang w:val="en-GB"/>
        </w:rPr>
        <w:t xml:space="preserve"> </w:t>
      </w:r>
      <w:r w:rsidR="00AD7BC8">
        <w:rPr>
          <w:lang w:val="en-GB"/>
        </w:rPr>
        <w:t>W</w:t>
      </w:r>
      <w:r w:rsidR="004D4FC0">
        <w:rPr>
          <w:lang w:val="en-GB"/>
        </w:rPr>
        <w:t>hile many of the TCP providers feel obliged to re-assess clients, there is no stipulation to do so under the Act</w:t>
      </w:r>
      <w:r w:rsidR="00212781">
        <w:rPr>
          <w:lang w:val="en-GB"/>
        </w:rPr>
        <w:t xml:space="preserve"> or the G</w:t>
      </w:r>
      <w:r w:rsidR="006F3CB4">
        <w:rPr>
          <w:lang w:val="en-GB"/>
        </w:rPr>
        <w:t>uidelines</w:t>
      </w:r>
      <w:r w:rsidR="00AD7BC8">
        <w:rPr>
          <w:lang w:val="en-GB"/>
        </w:rPr>
        <w:t>. T</w:t>
      </w:r>
      <w:r w:rsidR="006F3CB4">
        <w:rPr>
          <w:lang w:val="en-GB"/>
        </w:rPr>
        <w:t xml:space="preserve">he ACAT comprehensive assessment should be used to assist TCP providers in developing a care plan and understanding a potential care recipient’s suitability for the Programme. </w:t>
      </w:r>
    </w:p>
    <w:p w:rsidR="00052676" w:rsidRPr="007F1A00" w:rsidRDefault="00641FCB" w:rsidP="00052676">
      <w:pPr>
        <w:pStyle w:val="Bullet1stlevel"/>
        <w:numPr>
          <w:ilvl w:val="0"/>
          <w:numId w:val="0"/>
        </w:numPr>
        <w:rPr>
          <w:lang w:val="en-GB"/>
        </w:rPr>
      </w:pPr>
      <w:r w:rsidRPr="007F1A00">
        <w:rPr>
          <w:lang w:val="en-GB"/>
        </w:rPr>
        <w:t>S</w:t>
      </w:r>
      <w:r w:rsidR="00052676" w:rsidRPr="007F1A00">
        <w:rPr>
          <w:lang w:val="en-GB"/>
        </w:rPr>
        <w:t xml:space="preserve">takeholders requested flexibility around the requirement to be discharged directly from hospital into the Programme. </w:t>
      </w:r>
      <w:r w:rsidR="00FB089D" w:rsidRPr="007F1A00">
        <w:rPr>
          <w:lang w:val="en-GB"/>
        </w:rPr>
        <w:t>Currently,</w:t>
      </w:r>
      <w:r w:rsidR="00D755DF">
        <w:rPr>
          <w:lang w:val="en-GB"/>
        </w:rPr>
        <w:t xml:space="preserve"> in line with legislation,</w:t>
      </w:r>
      <w:r w:rsidR="00212781">
        <w:rPr>
          <w:lang w:val="en-GB"/>
        </w:rPr>
        <w:t xml:space="preserve"> the G</w:t>
      </w:r>
      <w:r w:rsidR="00FB089D" w:rsidRPr="007F1A00">
        <w:rPr>
          <w:lang w:val="en-GB"/>
        </w:rPr>
        <w:t>uidelines state</w:t>
      </w:r>
      <w:r w:rsidR="00AD7BC8">
        <w:rPr>
          <w:lang w:val="en-GB"/>
        </w:rPr>
        <w:t>,</w:t>
      </w:r>
      <w:r w:rsidR="00FB089D" w:rsidRPr="007F1A00">
        <w:rPr>
          <w:lang w:val="en-GB"/>
        </w:rPr>
        <w:t xml:space="preserve"> </w:t>
      </w:r>
      <w:r w:rsidR="00FB089D" w:rsidRPr="00562109">
        <w:rPr>
          <w:i/>
          <w:lang w:val="en-GB"/>
        </w:rPr>
        <w:t>“</w:t>
      </w:r>
      <w:r w:rsidR="00FB089D" w:rsidRPr="00562109">
        <w:rPr>
          <w:i/>
          <w:szCs w:val="20"/>
          <w:lang w:val="en-GB"/>
        </w:rPr>
        <w:t>A care recipient can only enter transition care directly upon discharge from hospital in order to derive maximum benefit from a time-limited episode of low intensity therapeutic interventions.”</w:t>
      </w:r>
      <w:r w:rsidR="00FB089D" w:rsidRPr="007F1A00">
        <w:rPr>
          <w:rStyle w:val="FootnoteReference"/>
          <w:szCs w:val="20"/>
          <w:lang w:val="en-GB"/>
        </w:rPr>
        <w:footnoteReference w:id="12"/>
      </w:r>
      <w:r w:rsidR="00FB089D" w:rsidRPr="007F1A00">
        <w:rPr>
          <w:szCs w:val="20"/>
          <w:lang w:val="en-GB"/>
        </w:rPr>
        <w:t xml:space="preserve"> </w:t>
      </w:r>
      <w:r w:rsidR="00510909" w:rsidRPr="007F1A00">
        <w:rPr>
          <w:lang w:val="en-GB"/>
        </w:rPr>
        <w:t xml:space="preserve">Both </w:t>
      </w:r>
      <w:r w:rsidR="00621A64" w:rsidRPr="007F1A00">
        <w:rPr>
          <w:lang w:val="en-GB"/>
        </w:rPr>
        <w:t>government representatives and</w:t>
      </w:r>
      <w:r w:rsidR="00510909" w:rsidRPr="007F1A00">
        <w:rPr>
          <w:lang w:val="en-GB"/>
        </w:rPr>
        <w:t xml:space="preserve"> service providers raised the issue of </w:t>
      </w:r>
      <w:r w:rsidR="00A31899" w:rsidRPr="007F1A00">
        <w:rPr>
          <w:lang w:val="en-GB"/>
        </w:rPr>
        <w:t>care recipient</w:t>
      </w:r>
      <w:r w:rsidR="00510909" w:rsidRPr="007F1A00">
        <w:rPr>
          <w:lang w:val="en-GB"/>
        </w:rPr>
        <w:t>s being discharged over the weekend</w:t>
      </w:r>
      <w:r w:rsidR="00AD7BC8">
        <w:rPr>
          <w:lang w:val="en-GB"/>
        </w:rPr>
        <w:t>. A</w:t>
      </w:r>
      <w:r w:rsidR="00510909" w:rsidRPr="007F1A00">
        <w:rPr>
          <w:lang w:val="en-GB"/>
        </w:rPr>
        <w:t xml:space="preserve">s some services only operate from Monday to Friday, the requirement for the </w:t>
      </w:r>
      <w:r w:rsidR="00A31899" w:rsidRPr="007F1A00">
        <w:rPr>
          <w:lang w:val="en-GB"/>
        </w:rPr>
        <w:t>care recipient</w:t>
      </w:r>
      <w:r w:rsidR="00510909" w:rsidRPr="007F1A00">
        <w:rPr>
          <w:lang w:val="en-GB"/>
        </w:rPr>
        <w:t xml:space="preserve"> to be discharged directly into the Programme means that they either must be kept in hospital </w:t>
      </w:r>
      <w:r w:rsidR="004F0094">
        <w:rPr>
          <w:lang w:val="en-GB"/>
        </w:rPr>
        <w:t xml:space="preserve">over the weekend </w:t>
      </w:r>
      <w:r w:rsidR="00510909" w:rsidRPr="007F1A00">
        <w:rPr>
          <w:lang w:val="en-GB"/>
        </w:rPr>
        <w:t xml:space="preserve">or not participate in the Programme. </w:t>
      </w:r>
      <w:r w:rsidR="00517AD8" w:rsidRPr="007F1A00">
        <w:rPr>
          <w:lang w:val="en-GB"/>
        </w:rPr>
        <w:t xml:space="preserve">This is particularly the case when receiving </w:t>
      </w:r>
      <w:r w:rsidR="00AD7BC8">
        <w:rPr>
          <w:lang w:val="en-GB"/>
        </w:rPr>
        <w:t xml:space="preserve">the </w:t>
      </w:r>
      <w:r w:rsidR="00517AD8" w:rsidRPr="007F1A00">
        <w:rPr>
          <w:lang w:val="en-GB"/>
        </w:rPr>
        <w:t xml:space="preserve">TCP within the home setting. </w:t>
      </w:r>
      <w:r w:rsidR="007B5107">
        <w:rPr>
          <w:lang w:val="en-GB"/>
        </w:rPr>
        <w:t>While it would be preferential for many TCP providers and consumers to be discharged directly from hospital to community based TCP, it is imperative that this only occur when safe to do so. The responsibility of safe discharge, including duty of care, are best left to the hospital</w:t>
      </w:r>
      <w:r w:rsidR="00803652">
        <w:rPr>
          <w:lang w:val="en-GB"/>
        </w:rPr>
        <w:t xml:space="preserve"> in which the care recipient is receiving care,</w:t>
      </w:r>
      <w:r w:rsidR="007B5107">
        <w:rPr>
          <w:lang w:val="en-GB"/>
        </w:rPr>
        <w:t xml:space="preserve"> who have detailed knowledge of each individual case. </w:t>
      </w:r>
    </w:p>
    <w:p w:rsidR="00A12B5A" w:rsidRPr="007F1A00" w:rsidRDefault="00DA0D95" w:rsidP="00A12B5A">
      <w:pPr>
        <w:pStyle w:val="Heading3"/>
        <w:rPr>
          <w:lang w:val="en-GB"/>
        </w:rPr>
      </w:pPr>
      <w:r w:rsidRPr="007F1A00">
        <w:rPr>
          <w:lang w:val="en-GB"/>
        </w:rPr>
        <w:t xml:space="preserve">There is a need for alternative outcome measures to capture the holistic care provided by </w:t>
      </w:r>
      <w:r w:rsidR="00AD7BC8">
        <w:rPr>
          <w:lang w:val="en-GB"/>
        </w:rPr>
        <w:t xml:space="preserve">the </w:t>
      </w:r>
      <w:r w:rsidRPr="007F1A00">
        <w:rPr>
          <w:lang w:val="en-GB"/>
        </w:rPr>
        <w:t>TCP</w:t>
      </w:r>
    </w:p>
    <w:p w:rsidR="00FE38A4" w:rsidRPr="007F1A00" w:rsidRDefault="00FE38A4" w:rsidP="00DA0D95">
      <w:pPr>
        <w:pStyle w:val="Bullet1stlevel"/>
        <w:numPr>
          <w:ilvl w:val="0"/>
          <w:numId w:val="0"/>
        </w:numPr>
        <w:rPr>
          <w:lang w:val="en-GB"/>
        </w:rPr>
      </w:pPr>
      <w:r w:rsidRPr="007F1A00">
        <w:rPr>
          <w:lang w:val="en-GB"/>
        </w:rPr>
        <w:t xml:space="preserve">Currently, the MBI is the only outcome measure captured by the Programme. </w:t>
      </w:r>
      <w:r w:rsidR="00D26726" w:rsidRPr="007F1A00">
        <w:rPr>
          <w:lang w:val="en-GB"/>
        </w:rPr>
        <w:t>The MBI is a tool for assessing self-care and mobility activities of daily living</w:t>
      </w:r>
      <w:r w:rsidR="0077577D" w:rsidRPr="007F1A00">
        <w:rPr>
          <w:lang w:val="en-GB"/>
        </w:rPr>
        <w:t xml:space="preserve">, </w:t>
      </w:r>
      <w:r w:rsidR="0077577D" w:rsidRPr="007F1A00">
        <w:rPr>
          <w:lang w:val="en-GB" w:eastAsia="en-AU"/>
        </w:rPr>
        <w:t>measuring and monitoring functional independence</w:t>
      </w:r>
      <w:r w:rsidR="00D26726" w:rsidRPr="007F1A00">
        <w:rPr>
          <w:lang w:val="en-GB"/>
        </w:rPr>
        <w:t>.</w:t>
      </w:r>
      <w:r w:rsidR="00AD7BC8">
        <w:rPr>
          <w:lang w:val="en-GB"/>
        </w:rPr>
        <w:t xml:space="preserve"> The</w:t>
      </w:r>
      <w:r w:rsidR="00D26726" w:rsidRPr="007F1A00">
        <w:rPr>
          <w:lang w:val="en-GB"/>
        </w:rPr>
        <w:t xml:space="preserve"> </w:t>
      </w:r>
      <w:r w:rsidR="0077577D" w:rsidRPr="007F1A00">
        <w:rPr>
          <w:lang w:val="en-GB"/>
        </w:rPr>
        <w:t>MBI is used</w:t>
      </w:r>
      <w:r w:rsidRPr="007F1A00">
        <w:rPr>
          <w:lang w:val="en-GB"/>
        </w:rPr>
        <w:t xml:space="preserve"> in the absence of all other clinical data</w:t>
      </w:r>
      <w:r w:rsidR="00E046FD" w:rsidRPr="007F1A00">
        <w:rPr>
          <w:lang w:val="en-GB"/>
        </w:rPr>
        <w:t>,</w:t>
      </w:r>
      <w:r w:rsidRPr="007F1A00">
        <w:rPr>
          <w:lang w:val="en-GB"/>
        </w:rPr>
        <w:t xml:space="preserve"> including primary diagnoses. </w:t>
      </w:r>
      <w:r w:rsidR="00DA0D95" w:rsidRPr="007F1A00">
        <w:rPr>
          <w:lang w:val="en-GB"/>
        </w:rPr>
        <w:t xml:space="preserve">Stakeholders believed the MBI was quick and simple to use for monitoring changes in </w:t>
      </w:r>
      <w:r w:rsidR="00A31899" w:rsidRPr="007F1A00">
        <w:rPr>
          <w:lang w:val="en-GB"/>
        </w:rPr>
        <w:t>care recipient</w:t>
      </w:r>
      <w:r w:rsidR="00DA0D95" w:rsidRPr="007F1A00">
        <w:rPr>
          <w:lang w:val="en-GB"/>
        </w:rPr>
        <w:t xml:space="preserve">s’ physical function. However, many noted that </w:t>
      </w:r>
      <w:r w:rsidR="00AD7BC8">
        <w:rPr>
          <w:lang w:val="en-GB"/>
        </w:rPr>
        <w:t xml:space="preserve">the </w:t>
      </w:r>
      <w:r w:rsidR="00DA0D95" w:rsidRPr="007F1A00">
        <w:rPr>
          <w:lang w:val="en-GB"/>
        </w:rPr>
        <w:t xml:space="preserve">TCP provided holistic care beyond improving physical functioning, yet there were no other outcomes measures that captured </w:t>
      </w:r>
      <w:r w:rsidR="00043AE6" w:rsidRPr="007F1A00">
        <w:rPr>
          <w:lang w:val="en-GB"/>
        </w:rPr>
        <w:t>other</w:t>
      </w:r>
      <w:r w:rsidR="00DA0D95" w:rsidRPr="007F1A00">
        <w:rPr>
          <w:lang w:val="en-GB"/>
        </w:rPr>
        <w:t xml:space="preserve"> aspects of care. </w:t>
      </w:r>
      <w:r w:rsidR="000D27CD" w:rsidRPr="007F1A00">
        <w:rPr>
          <w:lang w:val="en-GB"/>
        </w:rPr>
        <w:t>As a result, m</w:t>
      </w:r>
      <w:r w:rsidR="00DA0D95" w:rsidRPr="007F1A00">
        <w:rPr>
          <w:lang w:val="en-GB"/>
        </w:rPr>
        <w:t xml:space="preserve">any </w:t>
      </w:r>
      <w:r w:rsidR="004F0094">
        <w:rPr>
          <w:lang w:val="en-GB"/>
        </w:rPr>
        <w:t xml:space="preserve">stakeholders </w:t>
      </w:r>
      <w:r w:rsidR="00DA0D95" w:rsidRPr="007F1A00">
        <w:rPr>
          <w:lang w:val="en-GB"/>
        </w:rPr>
        <w:t xml:space="preserve">regarded the MBI as being insufficient as a standalone measure for monitoring progress </w:t>
      </w:r>
      <w:r w:rsidR="00043AE6" w:rsidRPr="007F1A00">
        <w:rPr>
          <w:lang w:val="en-GB"/>
        </w:rPr>
        <w:t xml:space="preserve">of care recipients </w:t>
      </w:r>
      <w:r w:rsidR="00DA0D95" w:rsidRPr="007F1A00">
        <w:rPr>
          <w:lang w:val="en-GB"/>
        </w:rPr>
        <w:t>through</w:t>
      </w:r>
      <w:r w:rsidR="00AD7BC8">
        <w:rPr>
          <w:lang w:val="en-GB"/>
        </w:rPr>
        <w:t xml:space="preserve"> the</w:t>
      </w:r>
      <w:r w:rsidR="00DA0D95" w:rsidRPr="007F1A00">
        <w:rPr>
          <w:lang w:val="en-GB"/>
        </w:rPr>
        <w:t xml:space="preserve"> TCP.</w:t>
      </w:r>
    </w:p>
    <w:p w:rsidR="00DA0D95" w:rsidRPr="007F1A00" w:rsidRDefault="00DA0D95" w:rsidP="00DA0D95">
      <w:pPr>
        <w:pStyle w:val="Bullet1stlevel"/>
        <w:numPr>
          <w:ilvl w:val="0"/>
          <w:numId w:val="0"/>
        </w:numPr>
        <w:rPr>
          <w:lang w:val="en-GB"/>
        </w:rPr>
      </w:pPr>
      <w:r w:rsidRPr="007F1A00">
        <w:rPr>
          <w:lang w:val="en-GB"/>
        </w:rPr>
        <w:t xml:space="preserve">Further, for many </w:t>
      </w:r>
      <w:r w:rsidR="00A31899" w:rsidRPr="007F1A00">
        <w:rPr>
          <w:lang w:val="en-GB"/>
        </w:rPr>
        <w:t>care recipient</w:t>
      </w:r>
      <w:r w:rsidRPr="007F1A00">
        <w:rPr>
          <w:lang w:val="en-GB"/>
        </w:rPr>
        <w:t>s</w:t>
      </w:r>
      <w:r w:rsidR="00A07E29">
        <w:rPr>
          <w:lang w:val="en-GB"/>
        </w:rPr>
        <w:t>,</w:t>
      </w:r>
      <w:r w:rsidRPr="007F1A00">
        <w:rPr>
          <w:lang w:val="en-GB"/>
        </w:rPr>
        <w:t xml:space="preserve"> the MBI could potentially be misleading in assessing their overall status. For example, physically independent </w:t>
      </w:r>
      <w:r w:rsidR="00A31899" w:rsidRPr="007F1A00">
        <w:rPr>
          <w:lang w:val="en-GB"/>
        </w:rPr>
        <w:t>care recipient</w:t>
      </w:r>
      <w:r w:rsidRPr="007F1A00">
        <w:rPr>
          <w:lang w:val="en-GB"/>
        </w:rPr>
        <w:t xml:space="preserve">s may score highly, but the same </w:t>
      </w:r>
      <w:r w:rsidR="00A31899" w:rsidRPr="007F1A00">
        <w:rPr>
          <w:lang w:val="en-GB"/>
        </w:rPr>
        <w:t>care recipient</w:t>
      </w:r>
      <w:r w:rsidRPr="007F1A00">
        <w:rPr>
          <w:lang w:val="en-GB"/>
        </w:rPr>
        <w:t xml:space="preserve">s may have goals unrelated to physical function, which they are not progressing well against. </w:t>
      </w:r>
    </w:p>
    <w:p w:rsidR="00DA0D95" w:rsidRPr="007F1A00" w:rsidRDefault="00DA0D95" w:rsidP="00DA0D95">
      <w:pPr>
        <w:pStyle w:val="Bullet1stlevel"/>
        <w:numPr>
          <w:ilvl w:val="0"/>
          <w:numId w:val="0"/>
        </w:numPr>
        <w:rPr>
          <w:lang w:val="en-GB"/>
        </w:rPr>
      </w:pPr>
      <w:r w:rsidRPr="007F1A00">
        <w:rPr>
          <w:lang w:val="en-GB"/>
        </w:rPr>
        <w:t xml:space="preserve">Similarly, </w:t>
      </w:r>
      <w:r w:rsidR="00A31899" w:rsidRPr="007F1A00">
        <w:rPr>
          <w:lang w:val="en-GB"/>
        </w:rPr>
        <w:t>care recipient</w:t>
      </w:r>
      <w:r w:rsidRPr="007F1A00">
        <w:rPr>
          <w:lang w:val="en-GB"/>
        </w:rPr>
        <w:t xml:space="preserve">s often receive </w:t>
      </w:r>
      <w:r w:rsidR="00AD7BC8">
        <w:rPr>
          <w:lang w:val="en-GB"/>
        </w:rPr>
        <w:t xml:space="preserve">the </w:t>
      </w:r>
      <w:r w:rsidRPr="007F1A00">
        <w:rPr>
          <w:lang w:val="en-GB"/>
        </w:rPr>
        <w:t xml:space="preserve">TCP services to address multiple issues. </w:t>
      </w:r>
      <w:r w:rsidR="0077577D" w:rsidRPr="007F1A00">
        <w:rPr>
          <w:lang w:val="en-GB"/>
        </w:rPr>
        <w:t xml:space="preserve">It was </w:t>
      </w:r>
      <w:r w:rsidRPr="007F1A00">
        <w:rPr>
          <w:lang w:val="en-GB"/>
        </w:rPr>
        <w:t xml:space="preserve">noted that even when the primary diagnosis was related to physical function, other issues such as social issues or problems related to secondary diagnoses were being managed by the </w:t>
      </w:r>
      <w:r w:rsidR="004D0BB7">
        <w:rPr>
          <w:lang w:val="en-GB"/>
        </w:rPr>
        <w:t>P</w:t>
      </w:r>
      <w:r w:rsidR="006F12C7" w:rsidRPr="007F1A00">
        <w:rPr>
          <w:lang w:val="en-GB"/>
        </w:rPr>
        <w:t>rogramme</w:t>
      </w:r>
      <w:r w:rsidRPr="007F1A00">
        <w:rPr>
          <w:lang w:val="en-GB"/>
        </w:rPr>
        <w:t xml:space="preserve">. Specific domains </w:t>
      </w:r>
      <w:r w:rsidR="004D0BB7">
        <w:rPr>
          <w:lang w:val="en-GB"/>
        </w:rPr>
        <w:t xml:space="preserve">identified as </w:t>
      </w:r>
      <w:r w:rsidRPr="007F1A00">
        <w:rPr>
          <w:lang w:val="en-GB"/>
        </w:rPr>
        <w:t xml:space="preserve">not being </w:t>
      </w:r>
      <w:r w:rsidR="00EA59CD">
        <w:rPr>
          <w:lang w:val="en-GB"/>
        </w:rPr>
        <w:t>required</w:t>
      </w:r>
      <w:r w:rsidR="00EA59CD" w:rsidRPr="007F1A00">
        <w:rPr>
          <w:lang w:val="en-GB"/>
        </w:rPr>
        <w:t xml:space="preserve"> </w:t>
      </w:r>
      <w:r w:rsidRPr="007F1A00">
        <w:rPr>
          <w:lang w:val="en-GB"/>
        </w:rPr>
        <w:t xml:space="preserve">by the MBI included cognitive impairment, quality of life and measuring the </w:t>
      </w:r>
      <w:r w:rsidR="00A31899" w:rsidRPr="007F1A00">
        <w:rPr>
          <w:lang w:val="en-GB"/>
        </w:rPr>
        <w:t>care recipient</w:t>
      </w:r>
      <w:r w:rsidRPr="007F1A00">
        <w:rPr>
          <w:lang w:val="en-GB"/>
        </w:rPr>
        <w:t xml:space="preserve">’s </w:t>
      </w:r>
      <w:r w:rsidR="0077577D" w:rsidRPr="007F1A00">
        <w:rPr>
          <w:lang w:val="en-GB"/>
        </w:rPr>
        <w:t>confidence</w:t>
      </w:r>
      <w:r w:rsidRPr="007F1A00">
        <w:rPr>
          <w:lang w:val="en-GB"/>
        </w:rPr>
        <w:t xml:space="preserve"> across the </w:t>
      </w:r>
      <w:r w:rsidR="0077577D" w:rsidRPr="007F1A00">
        <w:rPr>
          <w:lang w:val="en-GB"/>
        </w:rPr>
        <w:t>Programme</w:t>
      </w:r>
      <w:r w:rsidRPr="007F1A00">
        <w:rPr>
          <w:lang w:val="en-GB"/>
        </w:rPr>
        <w:t xml:space="preserve">. Some of this information was already being captured, but </w:t>
      </w:r>
      <w:r w:rsidR="00EA59CD">
        <w:rPr>
          <w:lang w:val="en-GB"/>
        </w:rPr>
        <w:t>this was inconsistent as it</w:t>
      </w:r>
      <w:r w:rsidR="00EA59CD" w:rsidRPr="007F1A00">
        <w:rPr>
          <w:lang w:val="en-GB"/>
        </w:rPr>
        <w:t xml:space="preserve"> </w:t>
      </w:r>
      <w:r w:rsidRPr="007F1A00">
        <w:rPr>
          <w:lang w:val="en-GB"/>
        </w:rPr>
        <w:t xml:space="preserve">was not part of routine monitoring and usually only performed when clinically indicated. For example, </w:t>
      </w:r>
      <w:r w:rsidR="00AD7BC8">
        <w:rPr>
          <w:lang w:val="en-GB"/>
        </w:rPr>
        <w:t>o</w:t>
      </w:r>
      <w:r w:rsidR="00AD7BC8" w:rsidRPr="007F1A00">
        <w:rPr>
          <w:lang w:val="en-GB"/>
        </w:rPr>
        <w:t xml:space="preserve">ccupational </w:t>
      </w:r>
      <w:r w:rsidRPr="007F1A00">
        <w:rPr>
          <w:lang w:val="en-GB"/>
        </w:rPr>
        <w:t xml:space="preserve">therapists were already using the Montreal Cognitive Assessment (MOCA) and the Mini-Mental State Examination (MMSE) tools for a cognitive assessment of </w:t>
      </w:r>
      <w:r w:rsidR="00A31899" w:rsidRPr="007F1A00">
        <w:rPr>
          <w:lang w:val="en-GB"/>
        </w:rPr>
        <w:t>care recipient</w:t>
      </w:r>
      <w:r w:rsidRPr="007F1A00">
        <w:rPr>
          <w:lang w:val="en-GB"/>
        </w:rPr>
        <w:t xml:space="preserve">s in </w:t>
      </w:r>
      <w:r w:rsidR="00AD7BC8">
        <w:rPr>
          <w:lang w:val="en-GB"/>
        </w:rPr>
        <w:t xml:space="preserve">the </w:t>
      </w:r>
      <w:r w:rsidRPr="007F1A00">
        <w:rPr>
          <w:lang w:val="en-GB"/>
        </w:rPr>
        <w:t>TCP.</w:t>
      </w:r>
      <w:r w:rsidR="006C271F">
        <w:rPr>
          <w:lang w:val="en-GB"/>
        </w:rPr>
        <w:t xml:space="preserve"> </w:t>
      </w:r>
    </w:p>
    <w:p w:rsidR="00DA0D95" w:rsidRPr="007F1A00" w:rsidRDefault="0077577D" w:rsidP="00DA0D95">
      <w:pPr>
        <w:pStyle w:val="Bullet1stlevel"/>
        <w:numPr>
          <w:ilvl w:val="0"/>
          <w:numId w:val="0"/>
        </w:numPr>
        <w:rPr>
          <w:lang w:val="en-GB"/>
        </w:rPr>
      </w:pPr>
      <w:r w:rsidRPr="007F1A00">
        <w:rPr>
          <w:lang w:val="en-GB"/>
        </w:rPr>
        <w:t xml:space="preserve">It was </w:t>
      </w:r>
      <w:r w:rsidR="00DA0D95" w:rsidRPr="007F1A00">
        <w:rPr>
          <w:lang w:val="en-GB"/>
        </w:rPr>
        <w:t xml:space="preserve">noted </w:t>
      </w:r>
      <w:r w:rsidRPr="007F1A00">
        <w:rPr>
          <w:lang w:val="en-GB"/>
        </w:rPr>
        <w:t xml:space="preserve">in consultations </w:t>
      </w:r>
      <w:r w:rsidR="00DA0D95" w:rsidRPr="007F1A00">
        <w:rPr>
          <w:lang w:val="en-GB"/>
        </w:rPr>
        <w:t>that multiple aspects of alternative outcome measures needed to be considered</w:t>
      </w:r>
      <w:r w:rsidR="00AD7BC8">
        <w:rPr>
          <w:lang w:val="en-GB"/>
        </w:rPr>
        <w:t>,</w:t>
      </w:r>
      <w:r w:rsidR="00DA0D95" w:rsidRPr="007F1A00">
        <w:rPr>
          <w:lang w:val="en-GB"/>
        </w:rPr>
        <w:t xml:space="preserve"> such as the time taken to administer</w:t>
      </w:r>
      <w:r w:rsidR="00AD7BC8">
        <w:rPr>
          <w:lang w:val="en-GB"/>
        </w:rPr>
        <w:t xml:space="preserve"> and</w:t>
      </w:r>
      <w:r w:rsidR="00DA0D95" w:rsidRPr="007F1A00">
        <w:rPr>
          <w:lang w:val="en-GB"/>
        </w:rPr>
        <w:t xml:space="preserve"> the practicality of using the measure including ensuring that staff will complete any proposed tools accurately. </w:t>
      </w:r>
      <w:r w:rsidRPr="007F1A00">
        <w:rPr>
          <w:lang w:val="en-GB"/>
        </w:rPr>
        <w:t xml:space="preserve">Stakeholders also considered alternative measures to the MBI, such as the Functional Independence Measure and Functional Assessment Measure (FIM + FAM). </w:t>
      </w:r>
      <w:r w:rsidR="00DA0D95" w:rsidRPr="007F1A00">
        <w:rPr>
          <w:lang w:val="en-GB"/>
        </w:rPr>
        <w:t xml:space="preserve">In this regard, </w:t>
      </w:r>
      <w:r w:rsidR="00D05FEF" w:rsidRPr="007F1A00">
        <w:rPr>
          <w:lang w:val="en-GB"/>
        </w:rPr>
        <w:t xml:space="preserve">it was </w:t>
      </w:r>
      <w:r w:rsidR="00DA0D95" w:rsidRPr="007F1A00">
        <w:rPr>
          <w:lang w:val="en-GB"/>
        </w:rPr>
        <w:t>acknowledged that the FIM + FAM might be time-consuming to administer.</w:t>
      </w:r>
      <w:r w:rsidR="006C271F">
        <w:rPr>
          <w:lang w:val="en-GB"/>
        </w:rPr>
        <w:t xml:space="preserve"> </w:t>
      </w:r>
    </w:p>
    <w:p w:rsidR="0077577D" w:rsidRDefault="000D27CD" w:rsidP="00A12B5A">
      <w:pPr>
        <w:pStyle w:val="BodyText1"/>
        <w:rPr>
          <w:lang w:val="en-GB"/>
        </w:rPr>
      </w:pPr>
      <w:r w:rsidRPr="007F1A00">
        <w:rPr>
          <w:lang w:val="en-GB"/>
        </w:rPr>
        <w:t xml:space="preserve">As part of </w:t>
      </w:r>
      <w:r w:rsidR="007D0646" w:rsidRPr="007F1A00">
        <w:rPr>
          <w:lang w:val="en-GB"/>
        </w:rPr>
        <w:t xml:space="preserve">the </w:t>
      </w:r>
      <w:r w:rsidR="004D0BB7">
        <w:rPr>
          <w:lang w:val="en-GB"/>
        </w:rPr>
        <w:t>r</w:t>
      </w:r>
      <w:r w:rsidRPr="007F1A00">
        <w:rPr>
          <w:lang w:val="en-GB"/>
        </w:rPr>
        <w:t xml:space="preserve">eview, </w:t>
      </w:r>
      <w:r w:rsidR="00DA0D95" w:rsidRPr="007F1A00">
        <w:rPr>
          <w:lang w:val="en-GB"/>
        </w:rPr>
        <w:t xml:space="preserve">KPMG considered </w:t>
      </w:r>
      <w:r w:rsidRPr="007F1A00">
        <w:rPr>
          <w:lang w:val="en-GB"/>
        </w:rPr>
        <w:t>a range of</w:t>
      </w:r>
      <w:r w:rsidR="00DA0D95" w:rsidRPr="007F1A00">
        <w:rPr>
          <w:lang w:val="en-GB"/>
        </w:rPr>
        <w:t xml:space="preserve"> alternative relevant metrics</w:t>
      </w:r>
      <w:r w:rsidRPr="007F1A00">
        <w:rPr>
          <w:lang w:val="en-GB"/>
        </w:rPr>
        <w:t xml:space="preserve"> and assessed their applicability for </w:t>
      </w:r>
      <w:r w:rsidR="00AD7BC8">
        <w:rPr>
          <w:lang w:val="en-GB"/>
        </w:rPr>
        <w:t xml:space="preserve">the </w:t>
      </w:r>
      <w:r w:rsidRPr="007F1A00">
        <w:rPr>
          <w:lang w:val="en-GB"/>
        </w:rPr>
        <w:t>TCP</w:t>
      </w:r>
      <w:r w:rsidR="00DA0D95" w:rsidRPr="007F1A00">
        <w:rPr>
          <w:lang w:val="en-GB"/>
        </w:rPr>
        <w:t>.</w:t>
      </w:r>
      <w:r w:rsidRPr="007F1A00">
        <w:rPr>
          <w:lang w:val="en-GB"/>
        </w:rPr>
        <w:t xml:space="preserve"> A high level overview is available </w:t>
      </w:r>
      <w:r w:rsidR="0022590C">
        <w:rPr>
          <w:lang w:val="en-GB"/>
        </w:rPr>
        <w:t>below</w:t>
      </w:r>
      <w:r w:rsidR="008C14AE">
        <w:rPr>
          <w:lang w:val="en-GB"/>
        </w:rPr>
        <w:t xml:space="preserve"> </w:t>
      </w:r>
      <w:r w:rsidRPr="007F1A00">
        <w:rPr>
          <w:lang w:val="en-GB"/>
        </w:rPr>
        <w:t xml:space="preserve">with greater detail available in </w:t>
      </w:r>
      <w:r w:rsidRPr="007F1A00">
        <w:rPr>
          <w:lang w:val="en-GB"/>
        </w:rPr>
        <w:fldChar w:fldCharType="begin"/>
      </w:r>
      <w:r w:rsidRPr="007F1A00">
        <w:rPr>
          <w:lang w:val="en-GB"/>
        </w:rPr>
        <w:instrText xml:space="preserve"> REF _Ref536021191 \r \h </w:instrText>
      </w:r>
      <w:r w:rsidRPr="007F1A00">
        <w:rPr>
          <w:lang w:val="en-GB"/>
        </w:rPr>
      </w:r>
      <w:r w:rsidRPr="007F1A00">
        <w:rPr>
          <w:lang w:val="en-GB"/>
        </w:rPr>
        <w:fldChar w:fldCharType="separate"/>
      </w:r>
      <w:r w:rsidR="00ED07D2">
        <w:rPr>
          <w:lang w:val="en-GB"/>
        </w:rPr>
        <w:t>Appendix A</w:t>
      </w:r>
      <w:r w:rsidRPr="007F1A00">
        <w:rPr>
          <w:lang w:val="en-GB"/>
        </w:rPr>
        <w:fldChar w:fldCharType="end"/>
      </w:r>
      <w:r w:rsidRPr="007F1A00">
        <w:rPr>
          <w:lang w:val="en-GB"/>
        </w:rPr>
        <w:t>.</w:t>
      </w:r>
      <w:r w:rsidR="00DA0D95" w:rsidRPr="007F1A00">
        <w:rPr>
          <w:lang w:val="en-GB"/>
        </w:rPr>
        <w:t xml:space="preserve"> </w:t>
      </w:r>
      <w:r w:rsidR="002A2AA2">
        <w:rPr>
          <w:lang w:val="en-GB"/>
        </w:rPr>
        <w:t xml:space="preserve"> KPMG notes that any changes to the outcome measures should be tested with care recipients and their carers (where applicable) to ensure that they are relevant, meaningful, and that they are not overly onerous for the care recipient.</w:t>
      </w:r>
    </w:p>
    <w:p w:rsidR="0022590C" w:rsidRDefault="0022590C" w:rsidP="0022590C">
      <w:pPr>
        <w:pStyle w:val="Heading5"/>
        <w:rPr>
          <w:lang w:val="en-GB"/>
        </w:rPr>
      </w:pPr>
      <w:r w:rsidRPr="007F1A00">
        <w:rPr>
          <w:lang w:val="en-GB"/>
        </w:rPr>
        <w:t>Summary of alternative metrics</w:t>
      </w:r>
    </w:p>
    <w:p w:rsidR="0022590C" w:rsidRPr="0022590C" w:rsidRDefault="0022590C" w:rsidP="00A12B5A">
      <w:pPr>
        <w:pStyle w:val="BodyText1"/>
        <w:rPr>
          <w:u w:val="single"/>
          <w:lang w:val="en-GB"/>
        </w:rPr>
      </w:pPr>
      <w:r w:rsidRPr="0022590C">
        <w:rPr>
          <w:u w:val="single"/>
          <w:lang w:val="en-GB"/>
        </w:rPr>
        <w:t>MBI</w:t>
      </w:r>
    </w:p>
    <w:p w:rsidR="0022590C" w:rsidRPr="0022590C" w:rsidRDefault="0022590C" w:rsidP="00A12B5A">
      <w:pPr>
        <w:pStyle w:val="BodyText1"/>
        <w:rPr>
          <w:i/>
          <w:lang w:val="en-GB"/>
        </w:rPr>
      </w:pPr>
      <w:r w:rsidRPr="0022590C">
        <w:rPr>
          <w:i/>
          <w:lang w:val="en-GB"/>
        </w:rPr>
        <w:t>Findings</w:t>
      </w:r>
    </w:p>
    <w:p w:rsidR="0022590C" w:rsidRDefault="00D710D0" w:rsidP="00A12B5A">
      <w:pPr>
        <w:pStyle w:val="BodyText1"/>
        <w:rPr>
          <w:lang w:val="en-GB"/>
        </w:rPr>
      </w:pPr>
      <w:r w:rsidRPr="007F1A00">
        <w:rPr>
          <w:lang w:val="en-GB" w:eastAsia="en-AU"/>
        </w:rPr>
        <w:t>The MBI has been validated as a tool to measure and monitor functional independence. It can also be reliably administered by different observers face-to-face or by telephone with short administration times. It can also be self-administered by care recipients.</w:t>
      </w:r>
      <w:r w:rsidRPr="007F1A00">
        <w:rPr>
          <w:rStyle w:val="FootnoteReference"/>
          <w:rFonts w:eastAsia="Times New Roman" w:cs="Times New Roman"/>
          <w:szCs w:val="20"/>
          <w:lang w:val="en-GB" w:eastAsia="en-AU"/>
        </w:rPr>
        <w:footnoteReference w:id="13"/>
      </w:r>
      <w:r w:rsidRPr="007F1A00">
        <w:rPr>
          <w:vertAlign w:val="superscript"/>
          <w:lang w:val="en-GB" w:eastAsia="en-AU"/>
        </w:rPr>
        <w:t>,</w:t>
      </w:r>
      <w:r w:rsidRPr="007F1A00">
        <w:rPr>
          <w:rStyle w:val="FootnoteReference"/>
          <w:rFonts w:eastAsia="Times New Roman" w:cs="Times New Roman"/>
          <w:szCs w:val="20"/>
          <w:lang w:val="en-GB" w:eastAsia="en-AU"/>
        </w:rPr>
        <w:footnoteReference w:id="14"/>
      </w:r>
    </w:p>
    <w:p w:rsidR="0022590C" w:rsidRPr="0022590C" w:rsidRDefault="0022590C" w:rsidP="00A12B5A">
      <w:pPr>
        <w:pStyle w:val="BodyText1"/>
        <w:rPr>
          <w:i/>
          <w:lang w:val="en-GB"/>
        </w:rPr>
      </w:pPr>
      <w:r w:rsidRPr="0022590C">
        <w:rPr>
          <w:i/>
          <w:lang w:val="en-GB"/>
        </w:rPr>
        <w:t>Suitability for the TCP</w:t>
      </w:r>
    </w:p>
    <w:p w:rsidR="0022590C" w:rsidRDefault="00D710D0" w:rsidP="00A12B5A">
      <w:pPr>
        <w:pStyle w:val="BodyText1"/>
        <w:rPr>
          <w:lang w:val="en-GB"/>
        </w:rPr>
      </w:pPr>
      <w:r>
        <w:rPr>
          <w:lang w:val="en-GB" w:eastAsia="en-AU"/>
        </w:rPr>
        <w:t>The MBI remains a suitable outcome measure for TCP care recipients. While there may be a ceiling effect, the tool is quick and simple to administer and retains historical data for comparison.</w:t>
      </w:r>
    </w:p>
    <w:p w:rsidR="0022590C" w:rsidRDefault="0022590C" w:rsidP="00A12B5A">
      <w:pPr>
        <w:pStyle w:val="BodyText1"/>
        <w:rPr>
          <w:u w:val="single"/>
          <w:lang w:val="en-GB"/>
        </w:rPr>
      </w:pPr>
      <w:r w:rsidRPr="0022590C">
        <w:rPr>
          <w:u w:val="single"/>
          <w:lang w:val="en-GB"/>
        </w:rPr>
        <w:t>The Nottingham Extended Activities of Daily Living (EADL)</w:t>
      </w:r>
    </w:p>
    <w:p w:rsidR="001620CB" w:rsidRPr="0022590C" w:rsidRDefault="001620CB" w:rsidP="001620CB">
      <w:pPr>
        <w:pStyle w:val="BodyText1"/>
        <w:rPr>
          <w:i/>
          <w:lang w:val="en-GB"/>
        </w:rPr>
      </w:pPr>
      <w:r w:rsidRPr="0022590C">
        <w:rPr>
          <w:i/>
          <w:lang w:val="en-GB"/>
        </w:rPr>
        <w:t>Findings</w:t>
      </w:r>
    </w:p>
    <w:p w:rsidR="001620CB" w:rsidRDefault="00D710D0" w:rsidP="001620CB">
      <w:pPr>
        <w:pStyle w:val="BodyText1"/>
        <w:rPr>
          <w:lang w:val="en-GB"/>
        </w:rPr>
      </w:pPr>
      <w:r w:rsidRPr="007F1A00">
        <w:rPr>
          <w:lang w:val="en-GB" w:eastAsia="en-AU"/>
        </w:rPr>
        <w:t>The EADL also assesses functional independence, but has also been validated for use via postal administration. However, evidence of validity and reliability is based on its application to neurological conditions such as stroke and multiple sclerosis.</w:t>
      </w:r>
      <w:r w:rsidRPr="007F1A00">
        <w:rPr>
          <w:rStyle w:val="FootnoteReference"/>
          <w:rFonts w:eastAsia="Times New Roman" w:cs="Times New Roman"/>
          <w:szCs w:val="20"/>
          <w:lang w:val="en-GB" w:eastAsia="en-AU"/>
        </w:rPr>
        <w:footnoteReference w:id="15"/>
      </w:r>
      <w:r w:rsidRPr="007F1A00">
        <w:rPr>
          <w:vertAlign w:val="superscript"/>
          <w:lang w:val="en-GB" w:eastAsia="en-AU"/>
        </w:rPr>
        <w:t>,</w:t>
      </w:r>
      <w:r w:rsidRPr="007F1A00">
        <w:rPr>
          <w:rStyle w:val="FootnoteReference"/>
          <w:rFonts w:eastAsia="Times New Roman" w:cs="Times New Roman"/>
          <w:szCs w:val="20"/>
          <w:lang w:val="en-GB" w:eastAsia="en-AU"/>
        </w:rPr>
        <w:footnoteReference w:id="16"/>
      </w:r>
    </w:p>
    <w:p w:rsidR="001620CB" w:rsidRPr="0022590C" w:rsidRDefault="001620CB" w:rsidP="001620CB">
      <w:pPr>
        <w:pStyle w:val="BodyText1"/>
        <w:rPr>
          <w:i/>
          <w:lang w:val="en-GB"/>
        </w:rPr>
      </w:pPr>
      <w:r w:rsidRPr="0022590C">
        <w:rPr>
          <w:i/>
          <w:lang w:val="en-GB"/>
        </w:rPr>
        <w:t>Suitability for the TCP</w:t>
      </w:r>
    </w:p>
    <w:p w:rsidR="001620CB" w:rsidRPr="001620CB" w:rsidRDefault="00D710D0" w:rsidP="00A12B5A">
      <w:pPr>
        <w:pStyle w:val="BodyText1"/>
        <w:rPr>
          <w:lang w:val="en-GB"/>
        </w:rPr>
      </w:pPr>
      <w:r>
        <w:rPr>
          <w:lang w:val="en-GB" w:eastAsia="en-AU"/>
        </w:rPr>
        <w:t>Tool is suitable for the TCP; however, is not recommended as is a similar measure as the MBI.</w:t>
      </w:r>
    </w:p>
    <w:p w:rsidR="0022590C" w:rsidRPr="001620CB" w:rsidRDefault="0022590C" w:rsidP="00A12B5A">
      <w:pPr>
        <w:pStyle w:val="BodyText1"/>
        <w:rPr>
          <w:u w:val="single"/>
          <w:lang w:val="en-GB"/>
        </w:rPr>
      </w:pPr>
      <w:r w:rsidRPr="001620CB">
        <w:rPr>
          <w:u w:val="single"/>
          <w:lang w:val="en-GB"/>
        </w:rPr>
        <w:t>Community Balance and Mobility Scale (CBMS)</w:t>
      </w:r>
    </w:p>
    <w:p w:rsidR="001620CB" w:rsidRPr="0022590C" w:rsidRDefault="001620CB" w:rsidP="001620CB">
      <w:pPr>
        <w:pStyle w:val="BodyText1"/>
        <w:rPr>
          <w:i/>
          <w:lang w:val="en-GB"/>
        </w:rPr>
      </w:pPr>
      <w:r w:rsidRPr="0022590C">
        <w:rPr>
          <w:i/>
          <w:lang w:val="en-GB"/>
        </w:rPr>
        <w:t>Findings</w:t>
      </w:r>
    </w:p>
    <w:p w:rsidR="001620CB" w:rsidRDefault="00D710D0" w:rsidP="001620CB">
      <w:pPr>
        <w:pStyle w:val="BodyText1"/>
        <w:rPr>
          <w:lang w:val="en-GB"/>
        </w:rPr>
      </w:pPr>
      <w:r w:rsidRPr="007F1A00">
        <w:rPr>
          <w:lang w:val="en-GB" w:eastAsia="en-AU"/>
        </w:rPr>
        <w:t>The CBMS also assesses functional independence but includes a more granular assessment of movement including specific domains such as ‘balance’. Again, evidence comes from specific care recipient cohorts -</w:t>
      </w:r>
      <w:r>
        <w:rPr>
          <w:lang w:val="en-GB" w:eastAsia="en-AU"/>
        </w:rPr>
        <w:t xml:space="preserve"> </w:t>
      </w:r>
      <w:r w:rsidRPr="007F1A00">
        <w:rPr>
          <w:lang w:val="en-GB" w:eastAsia="en-AU"/>
        </w:rPr>
        <w:t>care recipients with traumatic brain injury, where CBMS has been shown to be a valid predictor of rehabilitation requirements.</w:t>
      </w:r>
      <w:r w:rsidRPr="007F1A00">
        <w:rPr>
          <w:rStyle w:val="FootnoteReference"/>
          <w:rFonts w:eastAsia="Times New Roman" w:cs="Times New Roman"/>
          <w:szCs w:val="20"/>
          <w:lang w:val="en-GB" w:eastAsia="en-AU"/>
        </w:rPr>
        <w:footnoteReference w:id="17"/>
      </w:r>
      <w:r w:rsidRPr="007F1A00">
        <w:rPr>
          <w:vertAlign w:val="superscript"/>
          <w:lang w:val="en-GB" w:eastAsia="en-AU"/>
        </w:rPr>
        <w:t>,</w:t>
      </w:r>
      <w:r w:rsidRPr="007F1A00">
        <w:rPr>
          <w:rStyle w:val="FootnoteReference"/>
          <w:rFonts w:eastAsia="Times New Roman" w:cs="Times New Roman"/>
          <w:szCs w:val="20"/>
          <w:lang w:val="en-GB" w:eastAsia="en-AU"/>
        </w:rPr>
        <w:footnoteReference w:id="18"/>
      </w:r>
      <w:r>
        <w:rPr>
          <w:lang w:val="en-GB" w:eastAsia="en-AU"/>
        </w:rPr>
        <w:t xml:space="preserve"> </w:t>
      </w:r>
      <w:r w:rsidRPr="007F1A00">
        <w:rPr>
          <w:lang w:val="en-GB" w:eastAsia="en-AU"/>
        </w:rPr>
        <w:t>The test takes 20-30 minutes to administer.</w:t>
      </w:r>
      <w:r w:rsidRPr="007F1A00">
        <w:rPr>
          <w:rStyle w:val="FootnoteReference"/>
          <w:rFonts w:eastAsia="Times New Roman" w:cs="Times New Roman"/>
          <w:szCs w:val="20"/>
          <w:lang w:val="en-GB" w:eastAsia="en-AU"/>
        </w:rPr>
        <w:footnoteReference w:id="19"/>
      </w:r>
      <w:r w:rsidRPr="007F1A00">
        <w:rPr>
          <w:vertAlign w:val="superscript"/>
          <w:lang w:val="en-GB" w:eastAsia="en-AU"/>
        </w:rPr>
        <w:t>,</w:t>
      </w:r>
      <w:r w:rsidRPr="007F1A00">
        <w:rPr>
          <w:rStyle w:val="FootnoteReference"/>
          <w:rFonts w:eastAsia="Times New Roman" w:cs="Times New Roman"/>
          <w:szCs w:val="20"/>
          <w:lang w:val="en-GB" w:eastAsia="en-AU"/>
        </w:rPr>
        <w:footnoteReference w:id="20"/>
      </w:r>
    </w:p>
    <w:p w:rsidR="001620CB" w:rsidRPr="0022590C" w:rsidRDefault="001620CB" w:rsidP="001620CB">
      <w:pPr>
        <w:pStyle w:val="BodyText1"/>
        <w:rPr>
          <w:i/>
          <w:lang w:val="en-GB"/>
        </w:rPr>
      </w:pPr>
      <w:r w:rsidRPr="0022590C">
        <w:rPr>
          <w:i/>
          <w:lang w:val="en-GB"/>
        </w:rPr>
        <w:t>Suitability for the TCP</w:t>
      </w:r>
    </w:p>
    <w:p w:rsidR="001620CB" w:rsidRDefault="00D710D0" w:rsidP="00DE5795">
      <w:pPr>
        <w:pStyle w:val="BodyText1"/>
        <w:rPr>
          <w:lang w:val="en-GB"/>
        </w:rPr>
      </w:pPr>
      <w:r>
        <w:rPr>
          <w:lang w:val="en-GB" w:eastAsia="en-AU"/>
        </w:rPr>
        <w:t>The CBMS focusses on a specific cohort that might not apply in a TCP setting (traumatic brain injury). It also takes a long time to administer. The CBMS is not suitable for the TCP.</w:t>
      </w:r>
    </w:p>
    <w:p w:rsidR="001620CB" w:rsidRDefault="001620CB" w:rsidP="00A12B5A">
      <w:pPr>
        <w:pStyle w:val="BodyText1"/>
        <w:rPr>
          <w:u w:val="single"/>
          <w:lang w:val="en-GB"/>
        </w:rPr>
      </w:pPr>
      <w:r w:rsidRPr="001620CB">
        <w:rPr>
          <w:u w:val="single"/>
          <w:lang w:val="en-GB"/>
        </w:rPr>
        <w:t>FIM + FAM</w:t>
      </w:r>
    </w:p>
    <w:p w:rsidR="001620CB" w:rsidRPr="0022590C" w:rsidRDefault="001620CB" w:rsidP="001620CB">
      <w:pPr>
        <w:pStyle w:val="BodyText1"/>
        <w:rPr>
          <w:i/>
          <w:lang w:val="en-GB"/>
        </w:rPr>
      </w:pPr>
      <w:r w:rsidRPr="0022590C">
        <w:rPr>
          <w:i/>
          <w:lang w:val="en-GB"/>
        </w:rPr>
        <w:t>Findings</w:t>
      </w:r>
    </w:p>
    <w:p w:rsidR="001620CB" w:rsidRDefault="00D710D0" w:rsidP="001620CB">
      <w:pPr>
        <w:pStyle w:val="BodyText1"/>
        <w:rPr>
          <w:lang w:val="en-GB"/>
        </w:rPr>
      </w:pPr>
      <w:r w:rsidRPr="007F1A00">
        <w:rPr>
          <w:lang w:val="en-GB" w:eastAsia="en-AU"/>
        </w:rPr>
        <w:t>The FIM+FAM assesses cognitive and psychosocial function in addition to physical capacity to perform basic ADLs.</w:t>
      </w:r>
      <w:r w:rsidRPr="007F1A00">
        <w:rPr>
          <w:rStyle w:val="FootnoteReference"/>
          <w:rFonts w:eastAsia="Times New Roman" w:cs="Times New Roman"/>
          <w:szCs w:val="20"/>
          <w:lang w:val="en-GB" w:eastAsia="en-AU"/>
        </w:rPr>
        <w:footnoteReference w:id="21"/>
      </w:r>
      <w:r w:rsidRPr="007F1A00">
        <w:rPr>
          <w:vertAlign w:val="superscript"/>
          <w:lang w:val="en-GB" w:eastAsia="en-AU"/>
        </w:rPr>
        <w:t>,</w:t>
      </w:r>
      <w:r w:rsidRPr="007F1A00">
        <w:rPr>
          <w:rStyle w:val="FootnoteReference"/>
          <w:rFonts w:eastAsia="Times New Roman" w:cs="Times New Roman"/>
          <w:szCs w:val="20"/>
          <w:lang w:val="en-GB" w:eastAsia="en-AU"/>
        </w:rPr>
        <w:footnoteReference w:id="22"/>
      </w:r>
      <w:r w:rsidRPr="007F1A00">
        <w:rPr>
          <w:lang w:val="en-GB" w:eastAsia="en-AU"/>
        </w:rPr>
        <w:t xml:space="preserve"> FIM + FAM is considered to have excellent validity and reliability based on evidence from neurorehabilitation settings.</w:t>
      </w:r>
      <w:r w:rsidRPr="007F1A00">
        <w:rPr>
          <w:rStyle w:val="FootnoteReference"/>
          <w:rFonts w:eastAsia="Times New Roman" w:cs="Times New Roman"/>
          <w:szCs w:val="20"/>
          <w:lang w:val="en-GB" w:eastAsia="en-AU"/>
        </w:rPr>
        <w:footnoteReference w:id="23"/>
      </w:r>
      <w:r w:rsidRPr="007F1A00">
        <w:rPr>
          <w:vertAlign w:val="superscript"/>
          <w:lang w:val="en-GB" w:eastAsia="en-AU"/>
        </w:rPr>
        <w:t>,</w:t>
      </w:r>
      <w:r w:rsidRPr="007F1A00">
        <w:rPr>
          <w:rStyle w:val="FootnoteReference"/>
          <w:rFonts w:eastAsia="Times New Roman" w:cs="Times New Roman"/>
          <w:szCs w:val="20"/>
          <w:lang w:val="en-GB" w:eastAsia="en-AU"/>
        </w:rPr>
        <w:footnoteReference w:id="24"/>
      </w:r>
      <w:r w:rsidRPr="007F1A00">
        <w:rPr>
          <w:lang w:val="en-GB" w:eastAsia="en-AU"/>
        </w:rPr>
        <w:t xml:space="preserve"> However, there is a significant training burden required to be able to administer FIM+FAM with day-long workshops mandated as minimum in many settings. The tool also takes 20-30 minutes to administer.</w:t>
      </w:r>
      <w:r w:rsidRPr="007F1A00">
        <w:rPr>
          <w:rStyle w:val="FootnoteReference"/>
          <w:rFonts w:eastAsia="Times New Roman" w:cs="Times New Roman"/>
          <w:szCs w:val="20"/>
          <w:lang w:val="en-GB" w:eastAsia="en-AU"/>
        </w:rPr>
        <w:footnoteReference w:id="25"/>
      </w:r>
      <w:r w:rsidRPr="007F1A00">
        <w:rPr>
          <w:vertAlign w:val="superscript"/>
          <w:lang w:val="en-GB" w:eastAsia="en-AU"/>
        </w:rPr>
        <w:t>,</w:t>
      </w:r>
      <w:r w:rsidRPr="007F1A00">
        <w:rPr>
          <w:rStyle w:val="FootnoteReference"/>
          <w:rFonts w:eastAsia="Times New Roman" w:cs="Times New Roman"/>
          <w:szCs w:val="20"/>
          <w:lang w:val="en-GB" w:eastAsia="en-AU"/>
        </w:rPr>
        <w:footnoteReference w:id="26"/>
      </w:r>
      <w:r w:rsidRPr="007F1A00">
        <w:rPr>
          <w:vertAlign w:val="superscript"/>
          <w:lang w:val="en-GB" w:eastAsia="en-AU"/>
        </w:rPr>
        <w:t>,</w:t>
      </w:r>
      <w:r w:rsidRPr="007F1A00">
        <w:rPr>
          <w:rStyle w:val="FootnoteReference"/>
          <w:rFonts w:eastAsia="Times New Roman" w:cs="Times New Roman"/>
          <w:szCs w:val="20"/>
          <w:lang w:val="en-GB" w:eastAsia="en-AU"/>
        </w:rPr>
        <w:footnoteReference w:id="27"/>
      </w:r>
    </w:p>
    <w:p w:rsidR="001620CB" w:rsidRPr="0022590C" w:rsidRDefault="001620CB" w:rsidP="001620CB">
      <w:pPr>
        <w:pStyle w:val="BodyText1"/>
        <w:rPr>
          <w:i/>
          <w:lang w:val="en-GB"/>
        </w:rPr>
      </w:pPr>
      <w:r w:rsidRPr="0022590C">
        <w:rPr>
          <w:i/>
          <w:lang w:val="en-GB"/>
        </w:rPr>
        <w:t>Suitability for the TCP</w:t>
      </w:r>
    </w:p>
    <w:p w:rsidR="001620CB" w:rsidRDefault="00D710D0" w:rsidP="00DE5795">
      <w:pPr>
        <w:pStyle w:val="BodyText1"/>
        <w:rPr>
          <w:lang w:val="en-GB"/>
        </w:rPr>
      </w:pPr>
      <w:r>
        <w:rPr>
          <w:lang w:val="en-GB" w:eastAsia="en-AU"/>
        </w:rPr>
        <w:t>While the FIM and FAM would provide a comparison tool against the current measures of function in rehabilitation environments. The tool is difficult to administer and requires training. It is a suitable measure and one that could be considered in the future.</w:t>
      </w:r>
    </w:p>
    <w:p w:rsidR="001620CB" w:rsidRDefault="001620CB" w:rsidP="00A12B5A">
      <w:pPr>
        <w:pStyle w:val="BodyText1"/>
        <w:rPr>
          <w:u w:val="single"/>
          <w:lang w:val="en-GB"/>
        </w:rPr>
      </w:pPr>
      <w:r w:rsidRPr="001620CB">
        <w:rPr>
          <w:u w:val="single"/>
          <w:lang w:val="en-GB"/>
        </w:rPr>
        <w:t>Blaylock Risk Screening Assessment Tool (BRASS)</w:t>
      </w:r>
    </w:p>
    <w:p w:rsidR="001620CB" w:rsidRPr="0022590C" w:rsidRDefault="001620CB" w:rsidP="001620CB">
      <w:pPr>
        <w:pStyle w:val="BodyText1"/>
        <w:rPr>
          <w:i/>
          <w:lang w:val="en-GB"/>
        </w:rPr>
      </w:pPr>
      <w:r w:rsidRPr="0022590C">
        <w:rPr>
          <w:i/>
          <w:lang w:val="en-GB"/>
        </w:rPr>
        <w:t>Findings</w:t>
      </w:r>
    </w:p>
    <w:p w:rsidR="001620CB" w:rsidRDefault="003D4619" w:rsidP="001620CB">
      <w:pPr>
        <w:pStyle w:val="BodyText1"/>
        <w:rPr>
          <w:lang w:val="en-GB"/>
        </w:rPr>
      </w:pPr>
      <w:r w:rsidRPr="007F1A00">
        <w:rPr>
          <w:lang w:val="en-GB" w:eastAsia="en-AU"/>
        </w:rPr>
        <w:t>There is evidence from geriatric rehabilitation settings that BRASS can be used during an acute care episode to identify care recipients at risk of prolonged hospital admissions and predict discharge planning requirements. BRASS accounts for physical function, and other aspects relevant to discharge planning such as recent hospital admissions, past medical and medication history, sensory deficits, cognition, behaviour and social support.</w:t>
      </w:r>
      <w:r w:rsidRPr="007F1A00">
        <w:rPr>
          <w:rStyle w:val="FootnoteReference"/>
          <w:rFonts w:eastAsia="Times New Roman" w:cs="Times New Roman"/>
          <w:szCs w:val="20"/>
          <w:lang w:val="en-GB" w:eastAsia="en-AU"/>
        </w:rPr>
        <w:footnoteReference w:id="28"/>
      </w:r>
      <w:r w:rsidRPr="007F1A00">
        <w:rPr>
          <w:lang w:val="en-GB" w:eastAsia="en-AU"/>
        </w:rPr>
        <w:t xml:space="preserve"> The tool is quick to administer, does not require specific training, and has good inter-rater reliability, but poor internal consistency.</w:t>
      </w:r>
      <w:r w:rsidRPr="007F1A00">
        <w:rPr>
          <w:rStyle w:val="FootnoteReference"/>
          <w:rFonts w:eastAsia="Times New Roman" w:cs="Times New Roman"/>
          <w:szCs w:val="20"/>
          <w:lang w:val="en-GB" w:eastAsia="en-AU"/>
        </w:rPr>
        <w:footnoteReference w:id="29"/>
      </w:r>
      <w:r w:rsidRPr="007F1A00">
        <w:rPr>
          <w:vertAlign w:val="superscript"/>
          <w:lang w:val="en-GB" w:eastAsia="en-AU"/>
        </w:rPr>
        <w:t>,</w:t>
      </w:r>
      <w:r w:rsidRPr="007F1A00">
        <w:rPr>
          <w:rStyle w:val="FootnoteReference"/>
          <w:rFonts w:eastAsia="Times New Roman" w:cs="Times New Roman"/>
          <w:szCs w:val="20"/>
          <w:lang w:val="en-GB" w:eastAsia="en-AU"/>
        </w:rPr>
        <w:footnoteReference w:id="30"/>
      </w:r>
    </w:p>
    <w:p w:rsidR="001620CB" w:rsidRPr="0022590C" w:rsidRDefault="001620CB" w:rsidP="001620CB">
      <w:pPr>
        <w:pStyle w:val="BodyText1"/>
        <w:rPr>
          <w:i/>
          <w:lang w:val="en-GB"/>
        </w:rPr>
      </w:pPr>
      <w:r w:rsidRPr="0022590C">
        <w:rPr>
          <w:i/>
          <w:lang w:val="en-GB"/>
        </w:rPr>
        <w:t>Suitability for the TCP</w:t>
      </w:r>
    </w:p>
    <w:p w:rsidR="001620CB" w:rsidRDefault="003D4619" w:rsidP="001620CB">
      <w:pPr>
        <w:pStyle w:val="BodyText1"/>
        <w:rPr>
          <w:lang w:val="en-GB"/>
        </w:rPr>
      </w:pPr>
      <w:r>
        <w:rPr>
          <w:lang w:val="en-GB" w:eastAsia="en-AU"/>
        </w:rPr>
        <w:t>BRASS may be used by acute care teams who are assessing the needs of care recipient; however, it is not a suitable KPI for the TCP.</w:t>
      </w:r>
    </w:p>
    <w:p w:rsidR="001620CB" w:rsidRPr="001620CB" w:rsidRDefault="001620CB" w:rsidP="00A12B5A">
      <w:pPr>
        <w:pStyle w:val="BodyText1"/>
        <w:rPr>
          <w:rFonts w:eastAsia="+mn-ea" w:cs="+mn-cs"/>
          <w:color w:val="000000"/>
          <w:kern w:val="24"/>
          <w:szCs w:val="20"/>
          <w:u w:val="single"/>
          <w:lang w:val="en-GB" w:eastAsia="en-AU"/>
        </w:rPr>
      </w:pPr>
      <w:r w:rsidRPr="001620CB">
        <w:rPr>
          <w:rFonts w:eastAsia="+mn-ea" w:cs="+mn-cs"/>
          <w:color w:val="000000"/>
          <w:kern w:val="24"/>
          <w:szCs w:val="20"/>
          <w:u w:val="single"/>
          <w:lang w:val="en-GB" w:eastAsia="en-AU"/>
        </w:rPr>
        <w:t>Timed up and go (TUG)</w:t>
      </w:r>
    </w:p>
    <w:p w:rsidR="001620CB" w:rsidRPr="0022590C" w:rsidRDefault="001620CB" w:rsidP="001620CB">
      <w:pPr>
        <w:pStyle w:val="BodyText1"/>
        <w:rPr>
          <w:i/>
          <w:lang w:val="en-GB"/>
        </w:rPr>
      </w:pPr>
      <w:r w:rsidRPr="0022590C">
        <w:rPr>
          <w:i/>
          <w:lang w:val="en-GB"/>
        </w:rPr>
        <w:t>Findings</w:t>
      </w:r>
    </w:p>
    <w:p w:rsidR="001620CB" w:rsidRDefault="003D4619" w:rsidP="001620CB">
      <w:pPr>
        <w:pStyle w:val="BodyText1"/>
        <w:rPr>
          <w:lang w:val="en-GB"/>
        </w:rPr>
      </w:pPr>
      <w:r w:rsidRPr="007F1A00">
        <w:rPr>
          <w:lang w:val="en-GB" w:eastAsia="en-AU"/>
        </w:rPr>
        <w:t>The TUG is quick and simple to administer with excellent inter-rater reliability, but has been shown in a systematic review not be valid at identifying elderly adults at high risk of falls in the community when used in isolation.</w:t>
      </w:r>
      <w:r w:rsidRPr="007F1A00">
        <w:rPr>
          <w:rStyle w:val="FootnoteReference"/>
          <w:rFonts w:eastAsia="Times New Roman" w:cs="Times New Roman"/>
          <w:szCs w:val="20"/>
          <w:lang w:val="en-GB" w:eastAsia="en-AU"/>
        </w:rPr>
        <w:t xml:space="preserve"> </w:t>
      </w:r>
      <w:r w:rsidRPr="007F1A00">
        <w:rPr>
          <w:rStyle w:val="FootnoteReference"/>
          <w:rFonts w:eastAsia="Times New Roman" w:cs="Times New Roman"/>
          <w:szCs w:val="20"/>
          <w:lang w:val="en-GB" w:eastAsia="en-AU"/>
        </w:rPr>
        <w:footnoteReference w:id="31"/>
      </w:r>
      <w:r w:rsidRPr="007F1A00">
        <w:rPr>
          <w:vertAlign w:val="superscript"/>
          <w:lang w:val="en-GB" w:eastAsia="en-AU"/>
        </w:rPr>
        <w:t>,</w:t>
      </w:r>
      <w:r w:rsidRPr="007F1A00">
        <w:rPr>
          <w:rStyle w:val="FootnoteReference"/>
          <w:rFonts w:eastAsia="Times New Roman" w:cs="Times New Roman"/>
          <w:szCs w:val="20"/>
          <w:lang w:val="en-GB" w:eastAsia="en-AU"/>
        </w:rPr>
        <w:footnoteReference w:id="32"/>
      </w:r>
      <w:r w:rsidRPr="007F1A00">
        <w:rPr>
          <w:vertAlign w:val="superscript"/>
          <w:lang w:val="en-GB" w:eastAsia="en-AU"/>
        </w:rPr>
        <w:t>,</w:t>
      </w:r>
      <w:r w:rsidRPr="007F1A00">
        <w:rPr>
          <w:rStyle w:val="FootnoteReference"/>
          <w:rFonts w:eastAsia="Times New Roman" w:cs="Times New Roman"/>
          <w:szCs w:val="20"/>
          <w:lang w:val="en-GB" w:eastAsia="en-AU"/>
        </w:rPr>
        <w:footnoteReference w:id="33"/>
      </w:r>
    </w:p>
    <w:p w:rsidR="001620CB" w:rsidRPr="0022590C" w:rsidRDefault="001620CB" w:rsidP="001620CB">
      <w:pPr>
        <w:pStyle w:val="BodyText1"/>
        <w:rPr>
          <w:i/>
          <w:lang w:val="en-GB"/>
        </w:rPr>
      </w:pPr>
      <w:r w:rsidRPr="0022590C">
        <w:rPr>
          <w:i/>
          <w:lang w:val="en-GB"/>
        </w:rPr>
        <w:t>Suitability for the TCP</w:t>
      </w:r>
    </w:p>
    <w:p w:rsidR="001620CB" w:rsidRPr="00D710D0" w:rsidRDefault="003D4619" w:rsidP="00A12B5A">
      <w:pPr>
        <w:pStyle w:val="BodyText1"/>
        <w:rPr>
          <w:lang w:val="en-GB"/>
        </w:rPr>
      </w:pPr>
      <w:r>
        <w:rPr>
          <w:lang w:val="en-GB" w:eastAsia="en-AU"/>
        </w:rPr>
        <w:t>The TUG should be considered as an additional measure to the MBI. It is quick to administer and provides an easy measure of functional improvement.</w:t>
      </w:r>
    </w:p>
    <w:p w:rsidR="00D710D0" w:rsidRPr="00D710D0" w:rsidRDefault="00D710D0" w:rsidP="00D710D0">
      <w:pPr>
        <w:pStyle w:val="BodyText1"/>
        <w:rPr>
          <w:u w:val="single"/>
          <w:lang w:val="en-GB"/>
        </w:rPr>
      </w:pPr>
      <w:r w:rsidRPr="00D710D0">
        <w:rPr>
          <w:u w:val="single"/>
          <w:lang w:val="en-GB"/>
        </w:rPr>
        <w:t>Geriatric Depression Scale (GDS)</w:t>
      </w:r>
    </w:p>
    <w:p w:rsidR="00D710D0" w:rsidRPr="0022590C" w:rsidRDefault="00D710D0" w:rsidP="00D710D0">
      <w:pPr>
        <w:pStyle w:val="BodyText1"/>
        <w:rPr>
          <w:i/>
          <w:lang w:val="en-GB"/>
        </w:rPr>
      </w:pPr>
      <w:r w:rsidRPr="0022590C">
        <w:rPr>
          <w:i/>
          <w:lang w:val="en-GB"/>
        </w:rPr>
        <w:t>Findings</w:t>
      </w:r>
    </w:p>
    <w:p w:rsidR="00D710D0" w:rsidRDefault="003D4619" w:rsidP="00D710D0">
      <w:pPr>
        <w:pStyle w:val="BodyText1"/>
        <w:rPr>
          <w:lang w:val="en-GB"/>
        </w:rPr>
      </w:pPr>
      <w:r w:rsidRPr="007F1A00">
        <w:rPr>
          <w:lang w:val="en-GB" w:eastAsia="en-AU"/>
        </w:rPr>
        <w:t>The GDS can be self-administered by care recipients. It has good internal consistency and is a useful tool for in screening for depression.</w:t>
      </w:r>
      <w:r w:rsidRPr="007F1A00">
        <w:rPr>
          <w:rStyle w:val="FootnoteReference"/>
          <w:rFonts w:eastAsia="Times New Roman" w:cs="Times New Roman"/>
          <w:szCs w:val="20"/>
          <w:lang w:val="en-GB" w:eastAsia="en-AU"/>
        </w:rPr>
        <w:footnoteReference w:id="34"/>
      </w:r>
      <w:r w:rsidRPr="007F1A00">
        <w:rPr>
          <w:vertAlign w:val="superscript"/>
          <w:lang w:val="en-GB" w:eastAsia="en-AU"/>
        </w:rPr>
        <w:t>,</w:t>
      </w:r>
      <w:r w:rsidRPr="007F1A00">
        <w:rPr>
          <w:rStyle w:val="FootnoteReference"/>
          <w:rFonts w:eastAsia="Times New Roman" w:cs="Times New Roman"/>
          <w:szCs w:val="20"/>
          <w:lang w:val="en-GB" w:eastAsia="en-AU"/>
        </w:rPr>
        <w:footnoteReference w:id="35"/>
      </w:r>
      <w:r w:rsidRPr="007F1A00">
        <w:rPr>
          <w:lang w:val="en-GB" w:eastAsia="en-AU"/>
        </w:rPr>
        <w:t xml:space="preserve"> It takes 5 minutes to complete, and the yes/no format facilitates use by care recipients with cognitive impairments.</w:t>
      </w:r>
    </w:p>
    <w:p w:rsidR="00D710D0" w:rsidRPr="0022590C" w:rsidRDefault="00D710D0" w:rsidP="00D710D0">
      <w:pPr>
        <w:pStyle w:val="BodyText1"/>
        <w:rPr>
          <w:i/>
          <w:lang w:val="en-GB"/>
        </w:rPr>
      </w:pPr>
      <w:r w:rsidRPr="0022590C">
        <w:rPr>
          <w:i/>
          <w:lang w:val="en-GB"/>
        </w:rPr>
        <w:t>Suitability for the TCP</w:t>
      </w:r>
    </w:p>
    <w:p w:rsidR="00D710D0" w:rsidRPr="00D710D0" w:rsidRDefault="003D4619" w:rsidP="00D710D0">
      <w:pPr>
        <w:pStyle w:val="BodyText1"/>
        <w:rPr>
          <w:lang w:val="en-GB"/>
        </w:rPr>
      </w:pPr>
      <w:r>
        <w:rPr>
          <w:lang w:val="en-GB" w:eastAsia="en-AU"/>
        </w:rPr>
        <w:t>The GDS is a screening tool and therefore not suitable for the TCP as an outcome measure.</w:t>
      </w:r>
    </w:p>
    <w:p w:rsidR="0022590C" w:rsidRPr="00D710D0" w:rsidRDefault="00D710D0" w:rsidP="00D710D0">
      <w:pPr>
        <w:pStyle w:val="BodyText1"/>
        <w:rPr>
          <w:u w:val="single"/>
          <w:lang w:val="en-GB"/>
        </w:rPr>
      </w:pPr>
      <w:r w:rsidRPr="00D710D0">
        <w:rPr>
          <w:u w:val="single"/>
          <w:lang w:val="en-GB"/>
        </w:rPr>
        <w:t>MOCA and MMSE</w:t>
      </w:r>
    </w:p>
    <w:p w:rsidR="00D710D0" w:rsidRPr="0022590C" w:rsidRDefault="00D710D0" w:rsidP="00D710D0">
      <w:pPr>
        <w:pStyle w:val="BodyText1"/>
        <w:rPr>
          <w:i/>
          <w:lang w:val="en-GB"/>
        </w:rPr>
      </w:pPr>
      <w:r w:rsidRPr="0022590C">
        <w:rPr>
          <w:i/>
          <w:lang w:val="en-GB"/>
        </w:rPr>
        <w:t>Findings</w:t>
      </w:r>
    </w:p>
    <w:p w:rsidR="00D710D0" w:rsidRDefault="003D4619" w:rsidP="00D710D0">
      <w:pPr>
        <w:pStyle w:val="BodyText1"/>
        <w:rPr>
          <w:lang w:val="en-GB"/>
        </w:rPr>
      </w:pPr>
      <w:r w:rsidRPr="007F1A00">
        <w:rPr>
          <w:lang w:val="en-GB" w:eastAsia="en-AU"/>
        </w:rPr>
        <w:t>Both the MMSE and MOCA are already widely used by health professionals to assess cognitive impairment, taking approximately 10 minutes to complete. The MOCA is often used to validate findings from the MMSE.</w:t>
      </w:r>
      <w:r w:rsidRPr="007F1A00">
        <w:rPr>
          <w:rStyle w:val="FootnoteReference"/>
          <w:rFonts w:eastAsia="Times New Roman" w:cs="Times New Roman"/>
          <w:szCs w:val="20"/>
          <w:lang w:val="en-GB" w:eastAsia="en-AU"/>
        </w:rPr>
        <w:footnoteReference w:id="36"/>
      </w:r>
    </w:p>
    <w:p w:rsidR="00D710D0" w:rsidRPr="0022590C" w:rsidRDefault="00D710D0" w:rsidP="00D710D0">
      <w:pPr>
        <w:pStyle w:val="BodyText1"/>
        <w:rPr>
          <w:i/>
          <w:lang w:val="en-GB"/>
        </w:rPr>
      </w:pPr>
      <w:r w:rsidRPr="0022590C">
        <w:rPr>
          <w:i/>
          <w:lang w:val="en-GB"/>
        </w:rPr>
        <w:t>Suitability for the TCP</w:t>
      </w:r>
    </w:p>
    <w:p w:rsidR="00D710D0" w:rsidRDefault="003D4619" w:rsidP="00D710D0">
      <w:pPr>
        <w:pStyle w:val="BodyText1"/>
        <w:rPr>
          <w:lang w:val="en-GB"/>
        </w:rPr>
      </w:pPr>
      <w:r>
        <w:rPr>
          <w:lang w:val="en-GB" w:eastAsia="en-AU"/>
        </w:rPr>
        <w:t>While these tools are suitable for use in the TCP, they are designed for care recipients who have potential cognitive impairment. It is not appropriate to subject all care recipients to these measures.</w:t>
      </w:r>
    </w:p>
    <w:p w:rsidR="00D710D0" w:rsidRPr="00D710D0" w:rsidRDefault="00D710D0" w:rsidP="00D710D0">
      <w:pPr>
        <w:pStyle w:val="BodyText1"/>
        <w:rPr>
          <w:u w:val="single"/>
          <w:lang w:val="en-GB"/>
        </w:rPr>
      </w:pPr>
      <w:r w:rsidRPr="00D710D0">
        <w:rPr>
          <w:u w:val="single"/>
          <w:lang w:val="en-GB"/>
        </w:rPr>
        <w:t>Carer Strain Index (CSI)</w:t>
      </w:r>
    </w:p>
    <w:p w:rsidR="00D710D0" w:rsidRPr="0022590C" w:rsidRDefault="00D710D0" w:rsidP="00D710D0">
      <w:pPr>
        <w:pStyle w:val="BodyText1"/>
        <w:rPr>
          <w:i/>
          <w:lang w:val="en-GB"/>
        </w:rPr>
      </w:pPr>
      <w:r w:rsidRPr="0022590C">
        <w:rPr>
          <w:i/>
          <w:lang w:val="en-GB"/>
        </w:rPr>
        <w:t>Findings</w:t>
      </w:r>
    </w:p>
    <w:p w:rsidR="00D710D0" w:rsidRDefault="003D4619" w:rsidP="00D710D0">
      <w:pPr>
        <w:pStyle w:val="BodyText1"/>
        <w:rPr>
          <w:lang w:val="en-GB"/>
        </w:rPr>
      </w:pPr>
      <w:r w:rsidRPr="007F1A00">
        <w:rPr>
          <w:lang w:val="en-GB" w:eastAsia="en-AU"/>
        </w:rPr>
        <w:t>The CSI is considers strain on carers, is self-explanatory and can be completely quickly self-administered.</w:t>
      </w:r>
      <w:r w:rsidRPr="007F1A00">
        <w:rPr>
          <w:rStyle w:val="FootnoteReference"/>
          <w:rFonts w:eastAsia="Times New Roman" w:cs="Times New Roman"/>
          <w:szCs w:val="20"/>
          <w:lang w:val="en-GB" w:eastAsia="en-AU"/>
        </w:rPr>
        <w:footnoteReference w:id="37"/>
      </w:r>
    </w:p>
    <w:p w:rsidR="00D710D0" w:rsidRPr="0022590C" w:rsidRDefault="00D710D0" w:rsidP="00D710D0">
      <w:pPr>
        <w:pStyle w:val="BodyText1"/>
        <w:rPr>
          <w:i/>
          <w:lang w:val="en-GB"/>
        </w:rPr>
      </w:pPr>
      <w:r w:rsidRPr="0022590C">
        <w:rPr>
          <w:i/>
          <w:lang w:val="en-GB"/>
        </w:rPr>
        <w:t>Suitability for the TCP</w:t>
      </w:r>
    </w:p>
    <w:p w:rsidR="00D710D0" w:rsidRDefault="003D4619" w:rsidP="00D710D0">
      <w:pPr>
        <w:pStyle w:val="BodyText1"/>
        <w:rPr>
          <w:lang w:val="en-GB"/>
        </w:rPr>
      </w:pPr>
      <w:r>
        <w:rPr>
          <w:lang w:val="en-GB" w:eastAsia="en-AU"/>
        </w:rPr>
        <w:t>The CSI could be considered as an additional outcome measure for the TCP.</w:t>
      </w:r>
    </w:p>
    <w:p w:rsidR="00D710D0" w:rsidRPr="00D710D0" w:rsidRDefault="00D710D0" w:rsidP="00D710D0">
      <w:pPr>
        <w:pStyle w:val="BodyText1"/>
        <w:rPr>
          <w:u w:val="single"/>
          <w:lang w:val="en-GB"/>
        </w:rPr>
      </w:pPr>
      <w:r w:rsidRPr="00D710D0">
        <w:rPr>
          <w:u w:val="single"/>
          <w:lang w:val="en-GB"/>
        </w:rPr>
        <w:t>Short Form 36-item (SF-36), Short Form 12-item (SF-12) and Nottingham Health Profile (NHP)</w:t>
      </w:r>
    </w:p>
    <w:p w:rsidR="00D710D0" w:rsidRPr="0022590C" w:rsidRDefault="00D710D0" w:rsidP="00D710D0">
      <w:pPr>
        <w:pStyle w:val="BodyText1"/>
        <w:rPr>
          <w:i/>
          <w:lang w:val="en-GB"/>
        </w:rPr>
      </w:pPr>
      <w:r w:rsidRPr="0022590C">
        <w:rPr>
          <w:i/>
          <w:lang w:val="en-GB"/>
        </w:rPr>
        <w:t>Findings</w:t>
      </w:r>
    </w:p>
    <w:p w:rsidR="00D710D0" w:rsidRDefault="003D4619" w:rsidP="00D710D0">
      <w:pPr>
        <w:pStyle w:val="BodyText1"/>
        <w:rPr>
          <w:lang w:val="en-GB"/>
        </w:rPr>
      </w:pPr>
      <w:r w:rsidRPr="007F1A00">
        <w:rPr>
          <w:lang w:val="en-GB" w:eastAsia="en-AU"/>
        </w:rPr>
        <w:t>Both the SF-36 and NHP assess quality of life and can be self-administered in 7-10 minutes</w:t>
      </w:r>
      <w:r>
        <w:rPr>
          <w:lang w:val="en-GB" w:eastAsia="en-AU"/>
        </w:rPr>
        <w:t xml:space="preserve"> and the SF-12 in 2-3 minutes. </w:t>
      </w:r>
      <w:r w:rsidRPr="007F1A00">
        <w:rPr>
          <w:lang w:val="en-GB" w:eastAsia="en-AU"/>
        </w:rPr>
        <w:t>Valid comparisons can be made assessing in quality of life across multiple conditions. Reliability varies with different domains, but overall is good. However, computerised scoring algorithms are necessary to assist in scoring because different domains contribute in different proportions and the overall score is weighted differently in different countries</w:t>
      </w:r>
      <w:r>
        <w:rPr>
          <w:lang w:val="en-GB" w:eastAsia="en-AU"/>
        </w:rPr>
        <w:t xml:space="preserve">. Further research is needed to assess the </w:t>
      </w:r>
      <w:r w:rsidRPr="00472931">
        <w:rPr>
          <w:lang w:val="en-GB" w:eastAsia="en-AU"/>
        </w:rPr>
        <w:t xml:space="preserve">comparability </w:t>
      </w:r>
      <w:r>
        <w:rPr>
          <w:lang w:val="en-GB" w:eastAsia="en-AU"/>
        </w:rPr>
        <w:t xml:space="preserve">between SF-12 and </w:t>
      </w:r>
      <w:r w:rsidRPr="00472931">
        <w:rPr>
          <w:lang w:val="en-GB" w:eastAsia="en-AU"/>
        </w:rPr>
        <w:t>SF-36 in specific clinical settings</w:t>
      </w:r>
      <w:r w:rsidRPr="007F1A00">
        <w:rPr>
          <w:lang w:val="en-GB" w:eastAsia="en-AU"/>
        </w:rPr>
        <w:t>.</w:t>
      </w:r>
      <w:r w:rsidRPr="007F1A00">
        <w:rPr>
          <w:rStyle w:val="FootnoteReference"/>
          <w:rFonts w:eastAsia="Times New Roman" w:cs="Times New Roman"/>
          <w:szCs w:val="20"/>
          <w:lang w:val="en-GB" w:eastAsia="en-AU"/>
        </w:rPr>
        <w:footnoteReference w:id="38"/>
      </w:r>
      <w:r w:rsidRPr="007F1A00">
        <w:rPr>
          <w:vertAlign w:val="superscript"/>
          <w:lang w:val="en-GB" w:eastAsia="en-AU"/>
        </w:rPr>
        <w:t>,</w:t>
      </w:r>
      <w:r w:rsidRPr="007F1A00">
        <w:rPr>
          <w:rStyle w:val="FootnoteReference"/>
          <w:rFonts w:eastAsia="Times New Roman" w:cs="Times New Roman"/>
          <w:szCs w:val="20"/>
          <w:lang w:val="en-GB" w:eastAsia="en-AU"/>
        </w:rPr>
        <w:footnoteReference w:id="39"/>
      </w:r>
      <w:r w:rsidRPr="007F1A00">
        <w:rPr>
          <w:vertAlign w:val="superscript"/>
          <w:lang w:val="en-GB" w:eastAsia="en-AU"/>
        </w:rPr>
        <w:t>,</w:t>
      </w:r>
      <w:r w:rsidRPr="007F1A00">
        <w:rPr>
          <w:rStyle w:val="FootnoteReference"/>
          <w:rFonts w:eastAsia="Times New Roman" w:cs="Times New Roman"/>
          <w:szCs w:val="20"/>
          <w:lang w:val="en-GB" w:eastAsia="en-AU"/>
        </w:rPr>
        <w:footnoteReference w:id="40"/>
      </w:r>
      <w:r>
        <w:rPr>
          <w:vertAlign w:val="superscript"/>
          <w:lang w:val="en-GB" w:eastAsia="en-AU"/>
        </w:rPr>
        <w:t>,</w:t>
      </w:r>
      <w:r>
        <w:rPr>
          <w:rStyle w:val="FootnoteReference"/>
          <w:lang w:val="en-GB" w:eastAsia="en-AU"/>
        </w:rPr>
        <w:footnoteReference w:id="41"/>
      </w:r>
    </w:p>
    <w:p w:rsidR="00D710D0" w:rsidRPr="0022590C" w:rsidRDefault="00D710D0" w:rsidP="00D710D0">
      <w:pPr>
        <w:pStyle w:val="BodyText1"/>
        <w:rPr>
          <w:i/>
          <w:lang w:val="en-GB"/>
        </w:rPr>
      </w:pPr>
      <w:r w:rsidRPr="0022590C">
        <w:rPr>
          <w:i/>
          <w:lang w:val="en-GB"/>
        </w:rPr>
        <w:t>Suitability for the TCP</w:t>
      </w:r>
    </w:p>
    <w:p w:rsidR="00D710D0" w:rsidRDefault="003D4619" w:rsidP="00D710D0">
      <w:pPr>
        <w:pStyle w:val="BodyText1"/>
        <w:rPr>
          <w:lang w:val="en-GB"/>
        </w:rPr>
      </w:pPr>
      <w:r>
        <w:rPr>
          <w:lang w:val="en-GB" w:eastAsia="en-AU"/>
        </w:rPr>
        <w:t>The SF-12, SF-36 or NHP could be used as an additional outcome measure to capture the psychosocial improvements to care recipients that are reported by stakeholders.</w:t>
      </w:r>
    </w:p>
    <w:p w:rsidR="000B1D40" w:rsidRPr="007F1A00" w:rsidRDefault="000B1D40" w:rsidP="000B1D40">
      <w:pPr>
        <w:pStyle w:val="Heading2"/>
        <w:rPr>
          <w:lang w:val="en-GB"/>
        </w:rPr>
      </w:pPr>
      <w:bookmarkStart w:id="24" w:name="_Toc5270601"/>
      <w:r w:rsidRPr="007F1A00">
        <w:rPr>
          <w:lang w:val="en-GB"/>
        </w:rPr>
        <w:t>Care recipients</w:t>
      </w:r>
      <w:bookmarkEnd w:id="24"/>
    </w:p>
    <w:p w:rsidR="00885865" w:rsidRPr="007F1A00" w:rsidRDefault="00FC41AF" w:rsidP="00885865">
      <w:pPr>
        <w:pStyle w:val="BodyText1"/>
        <w:rPr>
          <w:lang w:val="en-GB"/>
        </w:rPr>
      </w:pPr>
      <w:r w:rsidRPr="007F1A00">
        <w:rPr>
          <w:lang w:val="en-GB"/>
        </w:rPr>
        <w:t xml:space="preserve">In the consultation process, a number of issues emerged in relation to </w:t>
      </w:r>
      <w:r w:rsidR="007D0646" w:rsidRPr="007F1A00">
        <w:rPr>
          <w:lang w:val="en-GB"/>
        </w:rPr>
        <w:t xml:space="preserve">the </w:t>
      </w:r>
      <w:r w:rsidRPr="007F1A00">
        <w:rPr>
          <w:lang w:val="en-GB"/>
        </w:rPr>
        <w:t xml:space="preserve">care recipients of </w:t>
      </w:r>
      <w:r w:rsidR="00AD7BC8">
        <w:rPr>
          <w:lang w:val="en-GB"/>
        </w:rPr>
        <w:t xml:space="preserve">the </w:t>
      </w:r>
      <w:r w:rsidRPr="007F1A00">
        <w:rPr>
          <w:lang w:val="en-GB"/>
        </w:rPr>
        <w:t>TCP. These include</w:t>
      </w:r>
      <w:r w:rsidR="00AD7BC8">
        <w:rPr>
          <w:lang w:val="en-GB"/>
        </w:rPr>
        <w:t>d</w:t>
      </w:r>
      <w:r w:rsidRPr="007F1A00">
        <w:rPr>
          <w:lang w:val="en-GB"/>
        </w:rPr>
        <w:t>:</w:t>
      </w:r>
    </w:p>
    <w:p w:rsidR="00885865" w:rsidRPr="007F1A00" w:rsidRDefault="00885865" w:rsidP="00885865">
      <w:pPr>
        <w:pStyle w:val="Bullet1stlevel"/>
        <w:rPr>
          <w:lang w:val="en-GB"/>
        </w:rPr>
      </w:pPr>
      <w:r w:rsidRPr="007F1A00">
        <w:rPr>
          <w:lang w:val="en-GB"/>
        </w:rPr>
        <w:t>Multiple jurisdictions</w:t>
      </w:r>
      <w:r w:rsidR="00FC41AF" w:rsidRPr="007F1A00">
        <w:rPr>
          <w:lang w:val="en-GB"/>
        </w:rPr>
        <w:t xml:space="preserve"> reporting</w:t>
      </w:r>
      <w:r w:rsidRPr="007F1A00">
        <w:rPr>
          <w:lang w:val="en-GB"/>
        </w:rPr>
        <w:t xml:space="preserve"> that care recipients of </w:t>
      </w:r>
      <w:r w:rsidR="00AD7BC8">
        <w:rPr>
          <w:lang w:val="en-GB"/>
        </w:rPr>
        <w:t xml:space="preserve">the </w:t>
      </w:r>
      <w:r w:rsidRPr="007F1A00">
        <w:rPr>
          <w:lang w:val="en-GB"/>
        </w:rPr>
        <w:t>TCP are getting more complex</w:t>
      </w:r>
      <w:r w:rsidR="00AD7BC8">
        <w:rPr>
          <w:lang w:val="en-GB"/>
        </w:rPr>
        <w:t>;</w:t>
      </w:r>
    </w:p>
    <w:p w:rsidR="00885865" w:rsidRPr="007F1A00" w:rsidRDefault="00885865" w:rsidP="00885865">
      <w:pPr>
        <w:pStyle w:val="Bullet1stlevel"/>
        <w:rPr>
          <w:lang w:val="en-GB"/>
        </w:rPr>
      </w:pPr>
      <w:r w:rsidRPr="007F1A00">
        <w:rPr>
          <w:lang w:val="en-GB"/>
        </w:rPr>
        <w:t xml:space="preserve">Stakeholders reported challenges in safely discharging care recipients from </w:t>
      </w:r>
      <w:r w:rsidR="00AD7BC8">
        <w:rPr>
          <w:lang w:val="en-GB"/>
        </w:rPr>
        <w:t xml:space="preserve">the </w:t>
      </w:r>
      <w:r w:rsidRPr="007F1A00">
        <w:rPr>
          <w:lang w:val="en-GB"/>
        </w:rPr>
        <w:t>TCP to other services</w:t>
      </w:r>
      <w:r w:rsidR="00AD7BC8">
        <w:rPr>
          <w:lang w:val="en-GB"/>
        </w:rPr>
        <w:t>; and</w:t>
      </w:r>
    </w:p>
    <w:p w:rsidR="00885865" w:rsidRPr="007F1A00" w:rsidRDefault="00885865" w:rsidP="00885865">
      <w:pPr>
        <w:pStyle w:val="Bullet1stlevel"/>
        <w:rPr>
          <w:lang w:val="en-GB"/>
        </w:rPr>
      </w:pPr>
      <w:r w:rsidRPr="007F1A00">
        <w:rPr>
          <w:lang w:val="en-GB"/>
        </w:rPr>
        <w:t>For some population groups (such as Aboriginal and Torres Strait Islander people, people from culturally and linguistically diverse (CALD) background</w:t>
      </w:r>
      <w:r w:rsidR="00AD7BC8">
        <w:rPr>
          <w:lang w:val="en-GB"/>
        </w:rPr>
        <w:t>s</w:t>
      </w:r>
      <w:r w:rsidRPr="007F1A00">
        <w:rPr>
          <w:lang w:val="en-GB"/>
        </w:rPr>
        <w:t xml:space="preserve">, those experience financial hardship, and those living in rural and remote areas), there </w:t>
      </w:r>
      <w:r w:rsidR="00AD7BC8">
        <w:rPr>
          <w:lang w:val="en-GB"/>
        </w:rPr>
        <w:t>can be</w:t>
      </w:r>
      <w:r w:rsidRPr="007F1A00">
        <w:rPr>
          <w:lang w:val="en-GB"/>
        </w:rPr>
        <w:t xml:space="preserve"> barriers to accessing the Programme.</w:t>
      </w:r>
    </w:p>
    <w:p w:rsidR="000B1D40" w:rsidRPr="007F1A00" w:rsidRDefault="000B1D40" w:rsidP="000B1D40">
      <w:pPr>
        <w:pStyle w:val="Heading3"/>
        <w:rPr>
          <w:lang w:val="en-GB"/>
        </w:rPr>
      </w:pPr>
      <w:bookmarkStart w:id="25" w:name="_Ref535419681"/>
      <w:r w:rsidRPr="007F1A00">
        <w:rPr>
          <w:lang w:val="en-GB"/>
        </w:rPr>
        <w:t xml:space="preserve">Care recipients </w:t>
      </w:r>
      <w:r w:rsidR="005F4EF7">
        <w:rPr>
          <w:lang w:val="en-GB"/>
        </w:rPr>
        <w:t xml:space="preserve">are perceived to be </w:t>
      </w:r>
      <w:r w:rsidRPr="007F1A00">
        <w:rPr>
          <w:lang w:val="en-GB"/>
        </w:rPr>
        <w:t>getting more complex</w:t>
      </w:r>
      <w:bookmarkEnd w:id="25"/>
    </w:p>
    <w:p w:rsidR="00886A7E" w:rsidRDefault="00AF67F3" w:rsidP="0085014A">
      <w:pPr>
        <w:pStyle w:val="Bullet1stlevel"/>
        <w:numPr>
          <w:ilvl w:val="0"/>
          <w:numId w:val="0"/>
        </w:numPr>
        <w:rPr>
          <w:lang w:val="en-GB"/>
        </w:rPr>
      </w:pPr>
      <w:r w:rsidRPr="007F1A00">
        <w:rPr>
          <w:lang w:val="en-GB"/>
        </w:rPr>
        <w:t xml:space="preserve">Similar to trends being seen in the broader aged care landscape, multiple stakeholders noted that the TCP </w:t>
      </w:r>
      <w:r w:rsidR="00A31899" w:rsidRPr="007F1A00">
        <w:rPr>
          <w:lang w:val="en-GB"/>
        </w:rPr>
        <w:t>care recipient</w:t>
      </w:r>
      <w:r w:rsidRPr="007F1A00">
        <w:rPr>
          <w:lang w:val="en-GB"/>
        </w:rPr>
        <w:t xml:space="preserve"> cohort </w:t>
      </w:r>
      <w:r w:rsidR="00886A7E">
        <w:rPr>
          <w:lang w:val="en-GB"/>
        </w:rPr>
        <w:t xml:space="preserve">appears to </w:t>
      </w:r>
      <w:r w:rsidR="00C70AFA">
        <w:rPr>
          <w:lang w:val="en-GB"/>
        </w:rPr>
        <w:t>be</w:t>
      </w:r>
      <w:r w:rsidR="00FE4CB9">
        <w:rPr>
          <w:lang w:val="en-GB"/>
        </w:rPr>
        <w:t xml:space="preserve"> trending towards becoming </w:t>
      </w:r>
      <w:r w:rsidRPr="007F1A00">
        <w:rPr>
          <w:lang w:val="en-GB"/>
        </w:rPr>
        <w:t>more complex and frail</w:t>
      </w:r>
      <w:r w:rsidR="00886A7E">
        <w:rPr>
          <w:lang w:val="en-GB"/>
        </w:rPr>
        <w:t xml:space="preserve">, with greater </w:t>
      </w:r>
      <w:r w:rsidR="00AD7BC8">
        <w:rPr>
          <w:lang w:val="en-GB"/>
        </w:rPr>
        <w:t>clinical</w:t>
      </w:r>
      <w:r w:rsidR="002A7C06" w:rsidRPr="007F1A00">
        <w:rPr>
          <w:lang w:val="en-GB"/>
        </w:rPr>
        <w:t xml:space="preserve">, physical and psychosocial </w:t>
      </w:r>
      <w:r w:rsidR="00886A7E">
        <w:rPr>
          <w:lang w:val="en-GB"/>
        </w:rPr>
        <w:t>needs</w:t>
      </w:r>
      <w:r w:rsidR="002A7C06" w:rsidRPr="007F1A00">
        <w:rPr>
          <w:lang w:val="en-GB"/>
        </w:rPr>
        <w:t xml:space="preserve">. This is presenting through </w:t>
      </w:r>
      <w:r w:rsidR="00E406E9">
        <w:rPr>
          <w:lang w:val="en-GB"/>
        </w:rPr>
        <w:t xml:space="preserve">reported </w:t>
      </w:r>
      <w:r w:rsidR="002A7C06" w:rsidRPr="007F1A00">
        <w:rPr>
          <w:lang w:val="en-GB"/>
        </w:rPr>
        <w:t xml:space="preserve">increased numbers of care recipients with dementia, mental health issues </w:t>
      </w:r>
      <w:r w:rsidR="00886A7E">
        <w:rPr>
          <w:lang w:val="en-GB"/>
        </w:rPr>
        <w:t>and/</w:t>
      </w:r>
      <w:r w:rsidR="002A7C06" w:rsidRPr="007F1A00">
        <w:rPr>
          <w:lang w:val="en-GB"/>
        </w:rPr>
        <w:t>or in</w:t>
      </w:r>
      <w:r w:rsidR="009F6653">
        <w:rPr>
          <w:lang w:val="en-GB"/>
        </w:rPr>
        <w:t xml:space="preserve"> early stages of </w:t>
      </w:r>
      <w:r w:rsidR="002A7C06" w:rsidRPr="007F1A00">
        <w:rPr>
          <w:lang w:val="en-GB"/>
        </w:rPr>
        <w:t xml:space="preserve">palliative care. </w:t>
      </w:r>
      <w:r w:rsidR="00886A7E" w:rsidRPr="007F1A00">
        <w:rPr>
          <w:lang w:val="en-GB"/>
        </w:rPr>
        <w:t xml:space="preserve">Providers are </w:t>
      </w:r>
      <w:r w:rsidR="00886A7E">
        <w:rPr>
          <w:lang w:val="en-GB"/>
        </w:rPr>
        <w:t xml:space="preserve">also increasingly </w:t>
      </w:r>
      <w:r w:rsidR="00886A7E" w:rsidRPr="007F1A00">
        <w:rPr>
          <w:lang w:val="en-GB"/>
        </w:rPr>
        <w:t>recognising social issues in the process of delivering services, such as elder abuse and homelessness.</w:t>
      </w:r>
      <w:r w:rsidR="00E406E9">
        <w:rPr>
          <w:lang w:val="en-GB"/>
        </w:rPr>
        <w:t xml:space="preserve"> </w:t>
      </w:r>
    </w:p>
    <w:p w:rsidR="002A7C06" w:rsidRDefault="007D0646" w:rsidP="0085014A">
      <w:pPr>
        <w:pStyle w:val="Bullet1stlevel"/>
        <w:numPr>
          <w:ilvl w:val="0"/>
          <w:numId w:val="0"/>
        </w:numPr>
        <w:rPr>
          <w:lang w:val="en-GB"/>
        </w:rPr>
      </w:pPr>
      <w:r w:rsidRPr="007F1A00">
        <w:rPr>
          <w:lang w:val="en-GB"/>
        </w:rPr>
        <w:t>WA</w:t>
      </w:r>
      <w:r w:rsidR="002A7C06" w:rsidRPr="007F1A00">
        <w:rPr>
          <w:lang w:val="en-GB"/>
        </w:rPr>
        <w:t xml:space="preserve"> providers stated that this changing acuity means that a high component of their services ha</w:t>
      </w:r>
      <w:r w:rsidR="00F93FCD">
        <w:rPr>
          <w:lang w:val="en-GB"/>
        </w:rPr>
        <w:t>ve</w:t>
      </w:r>
      <w:r w:rsidR="002A7C06" w:rsidRPr="007F1A00">
        <w:rPr>
          <w:lang w:val="en-GB"/>
        </w:rPr>
        <w:t xml:space="preserve"> to be provided and managed by registered nurse</w:t>
      </w:r>
      <w:r w:rsidR="00F93FCD">
        <w:rPr>
          <w:lang w:val="en-GB"/>
        </w:rPr>
        <w:t>s</w:t>
      </w:r>
      <w:r w:rsidR="002A7C06" w:rsidRPr="007F1A00">
        <w:rPr>
          <w:lang w:val="en-GB"/>
        </w:rPr>
        <w:t xml:space="preserve">, whereas their equivalent </w:t>
      </w:r>
      <w:r w:rsidR="004D0BB7">
        <w:rPr>
          <w:lang w:val="en-GB"/>
        </w:rPr>
        <w:t>HCP</w:t>
      </w:r>
      <w:r w:rsidR="00BB0664">
        <w:rPr>
          <w:lang w:val="en-GB"/>
        </w:rPr>
        <w:t>s</w:t>
      </w:r>
      <w:r w:rsidR="004D0BB7">
        <w:rPr>
          <w:lang w:val="en-GB"/>
        </w:rPr>
        <w:t xml:space="preserve"> </w:t>
      </w:r>
      <w:r w:rsidR="002A7C06" w:rsidRPr="007F1A00">
        <w:rPr>
          <w:lang w:val="en-GB"/>
        </w:rPr>
        <w:t xml:space="preserve">can be managed by a non-clinical case manager. </w:t>
      </w:r>
      <w:r w:rsidR="000B1D40" w:rsidRPr="007F1A00">
        <w:rPr>
          <w:lang w:val="en-GB"/>
        </w:rPr>
        <w:t xml:space="preserve">The increased complexity results in care recipients </w:t>
      </w:r>
      <w:r w:rsidR="00886A7E">
        <w:rPr>
          <w:lang w:val="en-GB"/>
        </w:rPr>
        <w:t xml:space="preserve">often </w:t>
      </w:r>
      <w:r w:rsidR="000B1D40" w:rsidRPr="007F1A00">
        <w:rPr>
          <w:lang w:val="en-GB"/>
        </w:rPr>
        <w:t>requir</w:t>
      </w:r>
      <w:r w:rsidR="00886A7E">
        <w:rPr>
          <w:lang w:val="en-GB"/>
        </w:rPr>
        <w:t xml:space="preserve">ing </w:t>
      </w:r>
      <w:r w:rsidR="000B1D40" w:rsidRPr="007F1A00">
        <w:rPr>
          <w:lang w:val="en-GB"/>
        </w:rPr>
        <w:t xml:space="preserve">an increased intensity of therapy. For example, a provider </w:t>
      </w:r>
      <w:r w:rsidR="00AF67F3" w:rsidRPr="007F1A00">
        <w:rPr>
          <w:lang w:val="en-GB"/>
        </w:rPr>
        <w:t xml:space="preserve">in Queensland </w:t>
      </w:r>
      <w:r w:rsidR="000B1D40" w:rsidRPr="007F1A00">
        <w:rPr>
          <w:lang w:val="en-GB"/>
        </w:rPr>
        <w:t xml:space="preserve">reported that some </w:t>
      </w:r>
      <w:r w:rsidR="00A31899" w:rsidRPr="007F1A00">
        <w:rPr>
          <w:lang w:val="en-GB"/>
        </w:rPr>
        <w:t>care recipient</w:t>
      </w:r>
      <w:r w:rsidR="000B1D40" w:rsidRPr="007F1A00">
        <w:rPr>
          <w:lang w:val="en-GB"/>
        </w:rPr>
        <w:t xml:space="preserve">s require physiotherapy </w:t>
      </w:r>
      <w:r w:rsidR="00AF67F3" w:rsidRPr="007F1A00">
        <w:rPr>
          <w:lang w:val="en-GB"/>
        </w:rPr>
        <w:t>three to five</w:t>
      </w:r>
      <w:r w:rsidR="000B1D40" w:rsidRPr="007F1A00">
        <w:rPr>
          <w:lang w:val="en-GB"/>
        </w:rPr>
        <w:t xml:space="preserve"> times a week.</w:t>
      </w:r>
      <w:r w:rsidR="002A7C06" w:rsidRPr="007F1A00">
        <w:rPr>
          <w:lang w:val="en-GB"/>
        </w:rPr>
        <w:t xml:space="preserve"> NSW providers </w:t>
      </w:r>
      <w:r w:rsidR="00886A7E">
        <w:rPr>
          <w:lang w:val="en-GB"/>
        </w:rPr>
        <w:t>are</w:t>
      </w:r>
      <w:r w:rsidR="002A7C06" w:rsidRPr="007F1A00">
        <w:rPr>
          <w:lang w:val="en-GB"/>
        </w:rPr>
        <w:t xml:space="preserve"> concerned that this issue will increase over the time and </w:t>
      </w:r>
      <w:r w:rsidR="00F93FCD">
        <w:rPr>
          <w:lang w:val="en-GB"/>
        </w:rPr>
        <w:t xml:space="preserve">the </w:t>
      </w:r>
      <w:r w:rsidR="002A7C06" w:rsidRPr="007F1A00">
        <w:rPr>
          <w:lang w:val="en-GB"/>
        </w:rPr>
        <w:t>TCP will not be equipped to meet the needs of an ageing population</w:t>
      </w:r>
      <w:r w:rsidR="005F4EF7">
        <w:rPr>
          <w:lang w:val="en-GB"/>
        </w:rPr>
        <w:t xml:space="preserve"> due to the increase of demand on the service</w:t>
      </w:r>
      <w:r w:rsidR="002A7C06" w:rsidRPr="007F1A00">
        <w:rPr>
          <w:lang w:val="en-GB"/>
        </w:rPr>
        <w:t>.</w:t>
      </w:r>
      <w:r w:rsidR="00355E14">
        <w:rPr>
          <w:lang w:val="en-GB"/>
        </w:rPr>
        <w:t xml:space="preserve"> </w:t>
      </w:r>
      <w:r w:rsidR="00546577">
        <w:rPr>
          <w:lang w:val="en-GB"/>
        </w:rPr>
        <w:fldChar w:fldCharType="begin"/>
      </w:r>
      <w:r w:rsidR="00546577">
        <w:rPr>
          <w:lang w:val="en-GB"/>
        </w:rPr>
        <w:instrText xml:space="preserve"> REF _Ref345537 \h </w:instrText>
      </w:r>
      <w:r w:rsidR="00546577">
        <w:rPr>
          <w:lang w:val="en-GB"/>
        </w:rPr>
      </w:r>
      <w:r w:rsidR="00546577">
        <w:rPr>
          <w:lang w:val="en-GB"/>
        </w:rPr>
        <w:fldChar w:fldCharType="separate"/>
      </w:r>
      <w:r w:rsidR="00ED07D2" w:rsidRPr="007F1A00">
        <w:rPr>
          <w:lang w:val="en-GB"/>
        </w:rPr>
        <w:t xml:space="preserve">Box </w:t>
      </w:r>
      <w:r w:rsidR="00ED07D2">
        <w:rPr>
          <w:noProof/>
          <w:lang w:val="en-GB"/>
        </w:rPr>
        <w:t>2</w:t>
      </w:r>
      <w:r w:rsidR="00546577">
        <w:rPr>
          <w:lang w:val="en-GB"/>
        </w:rPr>
        <w:fldChar w:fldCharType="end"/>
      </w:r>
      <w:r w:rsidR="00546577">
        <w:rPr>
          <w:lang w:val="en-GB"/>
        </w:rPr>
        <w:t xml:space="preserve"> </w:t>
      </w:r>
      <w:r w:rsidR="00355E14">
        <w:rPr>
          <w:lang w:val="en-GB"/>
        </w:rPr>
        <w:t>below explores some care recipients</w:t>
      </w:r>
      <w:r w:rsidR="00656407">
        <w:rPr>
          <w:lang w:val="en-GB"/>
        </w:rPr>
        <w:t>’</w:t>
      </w:r>
      <w:r w:rsidR="00355E14">
        <w:rPr>
          <w:lang w:val="en-GB"/>
        </w:rPr>
        <w:t xml:space="preserve"> responses as to the level of </w:t>
      </w:r>
      <w:r w:rsidR="004D0BB7">
        <w:rPr>
          <w:lang w:val="en-GB"/>
        </w:rPr>
        <w:t>complexity in their care.</w:t>
      </w:r>
    </w:p>
    <w:p w:rsidR="00815C2C" w:rsidRDefault="00E62158" w:rsidP="00815C2C">
      <w:pPr>
        <w:pStyle w:val="Bullet1stlevel"/>
        <w:numPr>
          <w:ilvl w:val="0"/>
          <w:numId w:val="0"/>
        </w:numPr>
        <w:rPr>
          <w:lang w:val="en-GB"/>
        </w:rPr>
      </w:pPr>
      <w:r>
        <w:rPr>
          <w:lang w:val="en-GB"/>
        </w:rPr>
        <w:t>In addition, stakeholders commented that a</w:t>
      </w:r>
      <w:r w:rsidR="00815C2C" w:rsidRPr="007F1A00">
        <w:rPr>
          <w:lang w:val="en-GB"/>
        </w:rPr>
        <w:t>ccessing specialist equipment (such as bariatric equipment or high cost special fixtures for wheelchairs) can be challenging</w:t>
      </w:r>
      <w:r w:rsidR="001773EE">
        <w:rPr>
          <w:lang w:val="en-GB"/>
        </w:rPr>
        <w:t>, as this is not provided for under the Programme and State and Territory support is limited</w:t>
      </w:r>
      <w:r w:rsidR="00815C2C" w:rsidRPr="007F1A00">
        <w:rPr>
          <w:lang w:val="en-GB"/>
        </w:rPr>
        <w:t>.</w:t>
      </w:r>
      <w:r w:rsidR="001773EE">
        <w:rPr>
          <w:lang w:val="en-GB"/>
        </w:rPr>
        <w:t xml:space="preserve"> This makes safe discharge and care </w:t>
      </w:r>
      <w:r w:rsidR="00492903">
        <w:rPr>
          <w:lang w:val="en-GB"/>
        </w:rPr>
        <w:t xml:space="preserve">challenging for certain complex clients. The reviewers note that access to specialist equipment is not an issue that is peculiar to </w:t>
      </w:r>
      <w:r w:rsidR="00F93FCD">
        <w:rPr>
          <w:lang w:val="en-GB"/>
        </w:rPr>
        <w:t xml:space="preserve">the </w:t>
      </w:r>
      <w:r w:rsidR="00492903">
        <w:rPr>
          <w:lang w:val="en-GB"/>
        </w:rPr>
        <w:t>TCP and exists across the health, disability and aged care spectrum.</w:t>
      </w:r>
      <w:r w:rsidR="00355E14">
        <w:rPr>
          <w:lang w:val="en-GB"/>
        </w:rPr>
        <w:t xml:space="preserve"> </w:t>
      </w:r>
    </w:p>
    <w:p w:rsidR="00F46539" w:rsidRDefault="00F46539" w:rsidP="00815C2C">
      <w:pPr>
        <w:pStyle w:val="Bullet1stlevel"/>
        <w:numPr>
          <w:ilvl w:val="0"/>
          <w:numId w:val="0"/>
        </w:numPr>
        <w:rPr>
          <w:lang w:val="en-GB"/>
        </w:rPr>
      </w:pPr>
      <w:r w:rsidRPr="007F1A00">
        <w:rPr>
          <w:lang w:val="en-GB"/>
        </w:rPr>
        <w:t xml:space="preserve">Comments from care recipients and carers about </w:t>
      </w:r>
      <w:r>
        <w:rPr>
          <w:lang w:val="en-GB"/>
        </w:rPr>
        <w:t xml:space="preserve">the </w:t>
      </w:r>
      <w:r w:rsidRPr="007F1A00">
        <w:rPr>
          <w:lang w:val="en-GB"/>
        </w:rPr>
        <w:t>TCP</w:t>
      </w:r>
      <w:r>
        <w:rPr>
          <w:lang w:val="en-GB"/>
        </w:rPr>
        <w:t xml:space="preserve"> include: </w:t>
      </w:r>
    </w:p>
    <w:p w:rsidR="00F46539" w:rsidRDefault="00F46539" w:rsidP="00F46539">
      <w:pPr>
        <w:pStyle w:val="Bullet1stlevel"/>
        <w:rPr>
          <w:lang w:val="en-GB"/>
        </w:rPr>
      </w:pPr>
      <w:r w:rsidRPr="007F1A00">
        <w:rPr>
          <w:lang w:val="en-GB"/>
        </w:rPr>
        <w:t>“</w:t>
      </w:r>
      <w:r>
        <w:rPr>
          <w:lang w:val="en-GB"/>
        </w:rPr>
        <w:t>My husband broke his leg last year and needed surgery. He wasn’t healing and he’s non-weight bearing, so they’ve put him on transition care in [a residential facility] to see if he can improve</w:t>
      </w:r>
      <w:r w:rsidRPr="007F1A00">
        <w:rPr>
          <w:lang w:val="en-GB"/>
        </w:rPr>
        <w:t xml:space="preserve">.” – Carer, </w:t>
      </w:r>
      <w:r>
        <w:rPr>
          <w:lang w:val="en-GB"/>
        </w:rPr>
        <w:t>Victoria</w:t>
      </w:r>
    </w:p>
    <w:p w:rsidR="00F46539" w:rsidRPr="00F46539" w:rsidRDefault="00F46539" w:rsidP="00F46539">
      <w:pPr>
        <w:pStyle w:val="Bullet1stlevel"/>
        <w:rPr>
          <w:lang w:val="en-GB"/>
        </w:rPr>
      </w:pPr>
      <w:r w:rsidRPr="00F46539">
        <w:rPr>
          <w:lang w:val="en-GB"/>
        </w:rPr>
        <w:t>“My wife was hospitalised for six months after having a series of strokes. She is paralysed and the TCP has hired and supplied all the equipment for us.” – Carer, Queensland</w:t>
      </w:r>
      <w:r>
        <w:rPr>
          <w:lang w:val="en-GB"/>
        </w:rPr>
        <w:t>.</w:t>
      </w:r>
    </w:p>
    <w:p w:rsidR="0096127B" w:rsidRDefault="005F4EF7" w:rsidP="0085014A">
      <w:pPr>
        <w:pStyle w:val="Bullet1stlevel"/>
        <w:numPr>
          <w:ilvl w:val="0"/>
          <w:numId w:val="0"/>
        </w:numPr>
        <w:rPr>
          <w:lang w:val="en-GB"/>
        </w:rPr>
      </w:pPr>
      <w:r>
        <w:rPr>
          <w:lang w:val="en-GB"/>
        </w:rPr>
        <w:t>Interestingly, MBI data does not support the assertion from stakeholders that care recipients are more complex, at least at a functional level. Over time the cohort of people e</w:t>
      </w:r>
      <w:r w:rsidR="00815C2C">
        <w:rPr>
          <w:lang w:val="en-GB"/>
        </w:rPr>
        <w:t xml:space="preserve">ntering </w:t>
      </w:r>
      <w:r w:rsidR="00F93FCD">
        <w:rPr>
          <w:lang w:val="en-GB"/>
        </w:rPr>
        <w:t xml:space="preserve">the </w:t>
      </w:r>
      <w:r w:rsidR="00815C2C">
        <w:rPr>
          <w:lang w:val="en-GB"/>
        </w:rPr>
        <w:t>TCP have remained stable in regard to their level of function</w:t>
      </w:r>
      <w:r w:rsidR="004D0BB7">
        <w:rPr>
          <w:lang w:val="en-GB"/>
        </w:rPr>
        <w:t xml:space="preserve"> (</w:t>
      </w:r>
      <w:r w:rsidR="0096127B">
        <w:rPr>
          <w:lang w:val="en-GB"/>
        </w:rPr>
        <w:t>see</w:t>
      </w:r>
      <w:r w:rsidR="00DD20F5">
        <w:rPr>
          <w:lang w:val="en-GB"/>
        </w:rPr>
        <w:t xml:space="preserve"> dot points below and</w:t>
      </w:r>
      <w:r w:rsidR="0096127B">
        <w:rPr>
          <w:lang w:val="en-GB"/>
        </w:rPr>
        <w:t xml:space="preserve"> </w:t>
      </w:r>
      <w:r w:rsidR="002E0AAE">
        <w:rPr>
          <w:lang w:val="en-GB"/>
        </w:rPr>
        <w:fldChar w:fldCharType="begin"/>
      </w:r>
      <w:r w:rsidR="002E0AAE">
        <w:rPr>
          <w:lang w:val="en-GB"/>
        </w:rPr>
        <w:instrText xml:space="preserve"> REF _Ref428601 \r \h </w:instrText>
      </w:r>
      <w:r w:rsidR="002E0AAE">
        <w:rPr>
          <w:lang w:val="en-GB"/>
        </w:rPr>
      </w:r>
      <w:r w:rsidR="002E0AAE">
        <w:rPr>
          <w:lang w:val="en-GB"/>
        </w:rPr>
        <w:fldChar w:fldCharType="separate"/>
      </w:r>
      <w:r w:rsidR="00ED07D2">
        <w:rPr>
          <w:lang w:val="en-GB"/>
        </w:rPr>
        <w:t>Appendix D</w:t>
      </w:r>
      <w:r w:rsidR="002E0AAE">
        <w:rPr>
          <w:lang w:val="en-GB"/>
        </w:rPr>
        <w:fldChar w:fldCharType="end"/>
      </w:r>
      <w:r w:rsidR="002E0AAE">
        <w:rPr>
          <w:lang w:val="en-GB"/>
        </w:rPr>
        <w:t xml:space="preserve"> for details</w:t>
      </w:r>
      <w:r w:rsidR="004D0BB7">
        <w:rPr>
          <w:lang w:val="en-GB"/>
        </w:rPr>
        <w:t>)</w:t>
      </w:r>
      <w:r w:rsidR="002E0AAE">
        <w:rPr>
          <w:lang w:val="en-GB"/>
        </w:rPr>
        <w:t>.</w:t>
      </w:r>
      <w:r w:rsidR="00815C2C">
        <w:rPr>
          <w:lang w:val="en-GB"/>
        </w:rPr>
        <w:t xml:space="preserve"> Th</w:t>
      </w:r>
      <w:r w:rsidR="004D0BB7">
        <w:rPr>
          <w:lang w:val="en-GB"/>
        </w:rPr>
        <w:t xml:space="preserve">e exceptions to this </w:t>
      </w:r>
      <w:r w:rsidR="00F93FCD">
        <w:rPr>
          <w:lang w:val="en-GB"/>
        </w:rPr>
        <w:t>are</w:t>
      </w:r>
      <w:r w:rsidR="004D0BB7">
        <w:rPr>
          <w:lang w:val="en-GB"/>
        </w:rPr>
        <w:t xml:space="preserve"> the NT,</w:t>
      </w:r>
      <w:r w:rsidR="00815C2C">
        <w:rPr>
          <w:lang w:val="en-GB"/>
        </w:rPr>
        <w:t xml:space="preserve"> where care recipients have become more fu</w:t>
      </w:r>
      <w:r w:rsidR="004D0BB7">
        <w:rPr>
          <w:lang w:val="en-GB"/>
        </w:rPr>
        <w:t>nctionally independent, and WA,</w:t>
      </w:r>
      <w:r w:rsidR="00815C2C">
        <w:rPr>
          <w:lang w:val="en-GB"/>
        </w:rPr>
        <w:t xml:space="preserve"> where care recipients have become more dependent (and likely more complex). While </w:t>
      </w:r>
      <w:r w:rsidR="00F93FCD">
        <w:rPr>
          <w:lang w:val="en-GB"/>
        </w:rPr>
        <w:t xml:space="preserve">the </w:t>
      </w:r>
      <w:r w:rsidR="00815C2C">
        <w:rPr>
          <w:lang w:val="en-GB"/>
        </w:rPr>
        <w:t>MBI is not a measure of complexity, but rather function, it is expected that there would be some correlation between increased complexity/frailty and reduced function.</w:t>
      </w:r>
    </w:p>
    <w:p w:rsidR="00DD20F5" w:rsidRDefault="00DD20F5" w:rsidP="0085014A">
      <w:pPr>
        <w:pStyle w:val="Bullet1stlevel"/>
        <w:numPr>
          <w:ilvl w:val="0"/>
          <w:numId w:val="0"/>
        </w:numPr>
        <w:rPr>
          <w:b/>
          <w:lang w:val="en-GB"/>
        </w:rPr>
      </w:pPr>
      <w:r w:rsidRPr="00DD20F5">
        <w:rPr>
          <w:b/>
          <w:lang w:val="en-GB"/>
        </w:rPr>
        <w:t>MBI scores on admission nationally from 2006/07 to 2017/18</w:t>
      </w:r>
    </w:p>
    <w:p w:rsidR="00DD20F5" w:rsidRDefault="00DD20F5" w:rsidP="00DD20F5">
      <w:pPr>
        <w:pStyle w:val="Bullet1stlevel"/>
      </w:pPr>
      <w:r>
        <w:rPr>
          <w:lang w:val="en-GB"/>
        </w:rPr>
        <w:t xml:space="preserve">In 2006/07: </w:t>
      </w:r>
      <w:r>
        <w:t>8%</w:t>
      </w:r>
      <w:r w:rsidRPr="00B03D7B">
        <w:t xml:space="preserve"> </w:t>
      </w:r>
      <w:r w:rsidRPr="004A6868">
        <w:t>of participants had a score of</w:t>
      </w:r>
      <w:r>
        <w:t xml:space="preserve"> 0-19 indicating total dependency, 25% </w:t>
      </w:r>
      <w:r w:rsidRPr="004A6868">
        <w:t>of participants had a score of</w:t>
      </w:r>
      <w:r>
        <w:t xml:space="preserve"> 20-59 indicating severe dependency, 52% </w:t>
      </w:r>
      <w:r w:rsidRPr="004A6868">
        <w:t>of participants had a score of</w:t>
      </w:r>
      <w:r>
        <w:t xml:space="preserve"> 60-89 indicating moderate dependency, and 15% </w:t>
      </w:r>
      <w:r w:rsidRPr="004A6868">
        <w:t>of participants had a score of</w:t>
      </w:r>
      <w:r>
        <w:t xml:space="preserve"> 90+ indicating slight dependency.</w:t>
      </w:r>
    </w:p>
    <w:p w:rsidR="00DD20F5" w:rsidRDefault="00DD20F5" w:rsidP="00DD20F5">
      <w:pPr>
        <w:pStyle w:val="Bullet1stlevel"/>
      </w:pPr>
      <w:r>
        <w:t>In 2007/08: 6%</w:t>
      </w:r>
      <w:r w:rsidRPr="00B03D7B">
        <w:t xml:space="preserve"> </w:t>
      </w:r>
      <w:r w:rsidRPr="004A6868">
        <w:t>of participants had a score of</w:t>
      </w:r>
      <w:r>
        <w:t xml:space="preserve"> 0-19 indicating total dependency, 22% </w:t>
      </w:r>
      <w:r w:rsidRPr="004A6868">
        <w:t>of participants had a score of</w:t>
      </w:r>
      <w:r>
        <w:t xml:space="preserve"> 20-59 indicating severe dependency, 55% </w:t>
      </w:r>
      <w:r w:rsidRPr="004A6868">
        <w:t>of participants had a score of</w:t>
      </w:r>
      <w:r>
        <w:t xml:space="preserve"> 60-89 indicating moderate dependency, and 17% </w:t>
      </w:r>
      <w:r w:rsidRPr="004A6868">
        <w:t>of participants had a score of</w:t>
      </w:r>
      <w:r>
        <w:t xml:space="preserve"> 90+ indicating slight dependency.</w:t>
      </w:r>
    </w:p>
    <w:p w:rsidR="00DD20F5" w:rsidRDefault="00DD20F5" w:rsidP="00DD20F5">
      <w:pPr>
        <w:pStyle w:val="Bullet1stlevel"/>
      </w:pPr>
      <w:r>
        <w:t>In 2008/09: 5%</w:t>
      </w:r>
      <w:r w:rsidRPr="00B03D7B">
        <w:t xml:space="preserve"> </w:t>
      </w:r>
      <w:r w:rsidRPr="004A6868">
        <w:t>of participants had a score of</w:t>
      </w:r>
      <w:r>
        <w:t xml:space="preserve"> 0-19 indicating total dependency, 225% </w:t>
      </w:r>
      <w:r w:rsidRPr="004A6868">
        <w:t>of participants had a score of</w:t>
      </w:r>
      <w:r>
        <w:t xml:space="preserve"> 20-59 indicating severe dependency, 56% </w:t>
      </w:r>
      <w:r w:rsidRPr="004A6868">
        <w:t>of participants had a score of</w:t>
      </w:r>
      <w:r>
        <w:t xml:space="preserve"> 60-89 indicating moderate dependency, and 17% </w:t>
      </w:r>
      <w:r w:rsidRPr="004A6868">
        <w:t>of participants had a score of</w:t>
      </w:r>
      <w:r>
        <w:t xml:space="preserve"> 90+ indicating slight dependency.</w:t>
      </w:r>
    </w:p>
    <w:p w:rsidR="00DD20F5" w:rsidRDefault="00DD20F5" w:rsidP="00DD20F5">
      <w:pPr>
        <w:pStyle w:val="Bullet1stlevel"/>
      </w:pPr>
      <w:r>
        <w:t>In 2009/10: 5%</w:t>
      </w:r>
      <w:r w:rsidRPr="00B03D7B">
        <w:t xml:space="preserve"> </w:t>
      </w:r>
      <w:r w:rsidRPr="004A6868">
        <w:t>of participants had a score of</w:t>
      </w:r>
      <w:r>
        <w:t xml:space="preserve"> 0-19 indicating total dependency, 20% </w:t>
      </w:r>
      <w:r w:rsidRPr="004A6868">
        <w:t>of participants had a score of</w:t>
      </w:r>
      <w:r>
        <w:t xml:space="preserve"> 20-59 indicating severe dependency, 57% </w:t>
      </w:r>
      <w:r w:rsidRPr="004A6868">
        <w:t>of participants had a score of</w:t>
      </w:r>
      <w:r>
        <w:t xml:space="preserve"> 60-89 indicating moderate dependency, and 18% </w:t>
      </w:r>
      <w:r w:rsidRPr="004A6868">
        <w:t>of participants had a score of</w:t>
      </w:r>
      <w:r>
        <w:t xml:space="preserve"> 90+ indicating slight dependency.</w:t>
      </w:r>
    </w:p>
    <w:p w:rsidR="00DD20F5" w:rsidRDefault="00DD20F5" w:rsidP="00DD20F5">
      <w:pPr>
        <w:pStyle w:val="Bullet1stlevel"/>
      </w:pPr>
      <w:r>
        <w:t>In 2010/11: 5%</w:t>
      </w:r>
      <w:r w:rsidRPr="00B03D7B">
        <w:t xml:space="preserve"> </w:t>
      </w:r>
      <w:r w:rsidRPr="004A6868">
        <w:t>of participants had a score of</w:t>
      </w:r>
      <w:r>
        <w:t xml:space="preserve"> 0-19 indicating total dependency, 20% </w:t>
      </w:r>
      <w:r w:rsidRPr="004A6868">
        <w:t>of participants had a score of</w:t>
      </w:r>
      <w:r>
        <w:t xml:space="preserve"> 20-59 indicating severe dependency, 58% </w:t>
      </w:r>
      <w:r w:rsidRPr="004A6868">
        <w:t>of participants had a score of</w:t>
      </w:r>
      <w:r>
        <w:t xml:space="preserve"> 60-89 indicating moderate dependency, and 17% </w:t>
      </w:r>
      <w:r w:rsidRPr="004A6868">
        <w:t>of participants had a score of</w:t>
      </w:r>
      <w:r>
        <w:t xml:space="preserve"> 90+ indicating slight dependency.</w:t>
      </w:r>
    </w:p>
    <w:p w:rsidR="00DD20F5" w:rsidRDefault="00DD20F5" w:rsidP="00DD20F5">
      <w:pPr>
        <w:pStyle w:val="Bullet1stlevel"/>
      </w:pPr>
      <w:r>
        <w:t>In 2011/12: 5%</w:t>
      </w:r>
      <w:r w:rsidRPr="00B03D7B">
        <w:t xml:space="preserve"> </w:t>
      </w:r>
      <w:r w:rsidRPr="004A6868">
        <w:t>of participants had a score of</w:t>
      </w:r>
      <w:r>
        <w:t xml:space="preserve"> 0-19 indicating total dependency, 19% </w:t>
      </w:r>
      <w:r w:rsidRPr="004A6868">
        <w:t>of participants had a score of</w:t>
      </w:r>
      <w:r>
        <w:t xml:space="preserve"> 20-59 indicating severe dependency, 59% </w:t>
      </w:r>
      <w:r w:rsidRPr="004A6868">
        <w:t>of participants had a score of</w:t>
      </w:r>
      <w:r>
        <w:t xml:space="preserve"> 60-89 indicating moderate dependency, and 17% </w:t>
      </w:r>
      <w:r w:rsidRPr="004A6868">
        <w:t>of participants had a score of</w:t>
      </w:r>
      <w:r>
        <w:t xml:space="preserve"> 90+ indicating slight dependency.</w:t>
      </w:r>
    </w:p>
    <w:p w:rsidR="00DD20F5" w:rsidRDefault="00DD20F5" w:rsidP="00DD20F5">
      <w:pPr>
        <w:pStyle w:val="Bullet1stlevel"/>
      </w:pPr>
      <w:r>
        <w:t>In 2012/13: 5%</w:t>
      </w:r>
      <w:r w:rsidRPr="00B03D7B">
        <w:t xml:space="preserve"> </w:t>
      </w:r>
      <w:r w:rsidRPr="004A6868">
        <w:t>of participants had a score of</w:t>
      </w:r>
      <w:r>
        <w:t xml:space="preserve"> 0-19 indicating total dependency, 20% </w:t>
      </w:r>
      <w:r w:rsidRPr="004A6868">
        <w:t>of participants had a score of</w:t>
      </w:r>
      <w:r>
        <w:t xml:space="preserve"> 20-59 indicating severe dependency, 58% </w:t>
      </w:r>
      <w:r w:rsidRPr="004A6868">
        <w:t>of participants had a score of</w:t>
      </w:r>
      <w:r>
        <w:t xml:space="preserve"> 60-89 indicating moderate dependency, and 17% </w:t>
      </w:r>
      <w:r w:rsidRPr="004A6868">
        <w:t>of participants had a score of</w:t>
      </w:r>
      <w:r>
        <w:t xml:space="preserve"> 90+ indicating slight dependency.</w:t>
      </w:r>
    </w:p>
    <w:p w:rsidR="00DD20F5" w:rsidRDefault="00DD20F5" w:rsidP="00DD20F5">
      <w:pPr>
        <w:pStyle w:val="Bullet1stlevel"/>
      </w:pPr>
      <w:r>
        <w:t>In 2013/14: 5%</w:t>
      </w:r>
      <w:r w:rsidRPr="00B03D7B">
        <w:t xml:space="preserve"> </w:t>
      </w:r>
      <w:r w:rsidRPr="004A6868">
        <w:t>of participants had a score of</w:t>
      </w:r>
      <w:r>
        <w:t xml:space="preserve"> 0-19 indicating total dependency, 20% </w:t>
      </w:r>
      <w:r w:rsidRPr="004A6868">
        <w:t>of participants had a score of</w:t>
      </w:r>
      <w:r>
        <w:t xml:space="preserve"> 20-59 indicating severe dependency, 57% </w:t>
      </w:r>
      <w:r w:rsidRPr="004A6868">
        <w:t>of participants had a score of</w:t>
      </w:r>
      <w:r>
        <w:t xml:space="preserve"> 60-89 indicating moderate dependency, and 17% </w:t>
      </w:r>
      <w:r w:rsidRPr="004A6868">
        <w:t>of participants had a score of</w:t>
      </w:r>
      <w:r>
        <w:t xml:space="preserve"> 90+ indicating slight dependency.</w:t>
      </w:r>
    </w:p>
    <w:p w:rsidR="00DD20F5" w:rsidRDefault="00DD20F5" w:rsidP="00DD20F5">
      <w:pPr>
        <w:pStyle w:val="Bullet1stlevel"/>
      </w:pPr>
      <w:r>
        <w:t>In 2014/15: 6%</w:t>
      </w:r>
      <w:r w:rsidRPr="00B03D7B">
        <w:t xml:space="preserve"> </w:t>
      </w:r>
      <w:r w:rsidRPr="004A6868">
        <w:t>of participants had a score of</w:t>
      </w:r>
      <w:r>
        <w:t xml:space="preserve"> 0-19 indicating total dependency, 21% </w:t>
      </w:r>
      <w:r w:rsidRPr="004A6868">
        <w:t>of participants had a score of</w:t>
      </w:r>
      <w:r>
        <w:t xml:space="preserve"> 20-59 indicating severe dependency, 56% </w:t>
      </w:r>
      <w:r w:rsidRPr="004A6868">
        <w:t>of participants had a score of</w:t>
      </w:r>
      <w:r>
        <w:t xml:space="preserve"> 60-89 indicating moderate dependency, and 16% </w:t>
      </w:r>
      <w:r w:rsidRPr="004A6868">
        <w:t>of participants had a score of</w:t>
      </w:r>
      <w:r>
        <w:t xml:space="preserve"> 90+ indicating slight dependency.</w:t>
      </w:r>
    </w:p>
    <w:p w:rsidR="00DD20F5" w:rsidRDefault="00DD20F5" w:rsidP="00DD20F5">
      <w:pPr>
        <w:pStyle w:val="Bullet1stlevel"/>
      </w:pPr>
      <w:r>
        <w:t>In 2015/16: 6%</w:t>
      </w:r>
      <w:r w:rsidRPr="00B03D7B">
        <w:t xml:space="preserve"> </w:t>
      </w:r>
      <w:r w:rsidRPr="004A6868">
        <w:t>of participants had a score of</w:t>
      </w:r>
      <w:r>
        <w:t xml:space="preserve"> 0-19 indicating total dependency, 2% </w:t>
      </w:r>
      <w:r w:rsidRPr="004A6868">
        <w:t>of participants had a score of</w:t>
      </w:r>
      <w:r>
        <w:t xml:space="preserve"> 20-59 indicating severe dependency, 56% </w:t>
      </w:r>
      <w:r w:rsidRPr="004A6868">
        <w:t>of participants had a score of</w:t>
      </w:r>
      <w:r>
        <w:t xml:space="preserve"> 60-89 indicating moderate dependency, and 17% </w:t>
      </w:r>
      <w:r w:rsidRPr="004A6868">
        <w:t>of participants had a score of</w:t>
      </w:r>
      <w:r>
        <w:t xml:space="preserve"> 90+ indicating slight dependency.</w:t>
      </w:r>
    </w:p>
    <w:p w:rsidR="00DD20F5" w:rsidRDefault="00DD20F5" w:rsidP="00DD20F5">
      <w:pPr>
        <w:pStyle w:val="Bullet1stlevel"/>
      </w:pPr>
      <w:r>
        <w:t>In 2016/17: 6%</w:t>
      </w:r>
      <w:r w:rsidRPr="00B03D7B">
        <w:t xml:space="preserve"> </w:t>
      </w:r>
      <w:r w:rsidRPr="004A6868">
        <w:t>of participants had a score of</w:t>
      </w:r>
      <w:r>
        <w:t xml:space="preserve"> 0-19 indicating total dependency, 22% </w:t>
      </w:r>
      <w:r w:rsidRPr="004A6868">
        <w:t>of participants had a score of</w:t>
      </w:r>
      <w:r>
        <w:t xml:space="preserve"> 20-59 indicating severe dependency, 56% </w:t>
      </w:r>
      <w:r w:rsidRPr="004A6868">
        <w:t>of participants had a score of</w:t>
      </w:r>
      <w:r>
        <w:t xml:space="preserve"> 60-89 indicating moderate dependency, and 16% </w:t>
      </w:r>
      <w:r w:rsidRPr="004A6868">
        <w:t>of participants had a score of</w:t>
      </w:r>
      <w:r>
        <w:t xml:space="preserve"> 90+ indicating slight dependency.</w:t>
      </w:r>
    </w:p>
    <w:p w:rsidR="00DD20F5" w:rsidRDefault="00DD20F5" w:rsidP="00DD20F5">
      <w:pPr>
        <w:pStyle w:val="Bullet1stlevel"/>
      </w:pPr>
      <w:r>
        <w:t>In 2017/18: 5%</w:t>
      </w:r>
      <w:r w:rsidRPr="00B03D7B">
        <w:t xml:space="preserve"> </w:t>
      </w:r>
      <w:r w:rsidRPr="004A6868">
        <w:t>of participants had a score of</w:t>
      </w:r>
      <w:r>
        <w:t xml:space="preserve"> 0-19 indicating total dependency, 24% </w:t>
      </w:r>
      <w:r w:rsidRPr="004A6868">
        <w:t>of participants had a score of</w:t>
      </w:r>
      <w:r>
        <w:t xml:space="preserve"> 20-59 indicating severe dependency, 55% </w:t>
      </w:r>
      <w:r w:rsidRPr="004A6868">
        <w:t>of participants had a score of</w:t>
      </w:r>
      <w:r>
        <w:t xml:space="preserve"> 60-89 indicating moderate dependency, and 16% </w:t>
      </w:r>
      <w:r w:rsidRPr="004A6868">
        <w:t>of participants had a score of</w:t>
      </w:r>
      <w:r>
        <w:t xml:space="preserve"> 90+ indicating slight dependency.</w:t>
      </w:r>
    </w:p>
    <w:p w:rsidR="000B1D40" w:rsidRDefault="000B1D40" w:rsidP="00DD20F5">
      <w:pPr>
        <w:pStyle w:val="Bullet1stlevel"/>
        <w:numPr>
          <w:ilvl w:val="0"/>
          <w:numId w:val="0"/>
        </w:numPr>
        <w:rPr>
          <w:lang w:val="en-GB"/>
        </w:rPr>
      </w:pPr>
      <w:r w:rsidRPr="007F1A00">
        <w:rPr>
          <w:lang w:val="en-GB"/>
        </w:rPr>
        <w:t xml:space="preserve">Stakeholders reported challenges in safely discharging care recipients from </w:t>
      </w:r>
      <w:r w:rsidR="00F93FCD">
        <w:rPr>
          <w:lang w:val="en-GB"/>
        </w:rPr>
        <w:t xml:space="preserve">the </w:t>
      </w:r>
      <w:r w:rsidRPr="007F1A00">
        <w:rPr>
          <w:lang w:val="en-GB"/>
        </w:rPr>
        <w:t>TCP to other services</w:t>
      </w:r>
    </w:p>
    <w:p w:rsidR="00886A7E" w:rsidRDefault="00562109" w:rsidP="00F527F6">
      <w:pPr>
        <w:pStyle w:val="Bullet1stlevel"/>
        <w:numPr>
          <w:ilvl w:val="0"/>
          <w:numId w:val="0"/>
        </w:numPr>
        <w:rPr>
          <w:lang w:val="en-GB"/>
        </w:rPr>
      </w:pPr>
      <w:r>
        <w:rPr>
          <w:lang w:val="en-GB"/>
        </w:rPr>
        <w:fldChar w:fldCharType="begin"/>
      </w:r>
      <w:r>
        <w:rPr>
          <w:lang w:val="en-GB"/>
        </w:rPr>
        <w:instrText xml:space="preserve"> REF _Ref357344 \h </w:instrText>
      </w:r>
      <w:r>
        <w:rPr>
          <w:lang w:val="en-GB"/>
        </w:rPr>
      </w:r>
      <w:r>
        <w:rPr>
          <w:lang w:val="en-GB"/>
        </w:rPr>
        <w:fldChar w:fldCharType="separate"/>
      </w:r>
      <w:r w:rsidR="00DD20F5">
        <w:t xml:space="preserve">Figure </w:t>
      </w:r>
      <w:r w:rsidR="00DD20F5">
        <w:rPr>
          <w:noProof/>
        </w:rPr>
        <w:t>6</w:t>
      </w:r>
      <w:r>
        <w:rPr>
          <w:lang w:val="en-GB"/>
        </w:rPr>
        <w:fldChar w:fldCharType="end"/>
      </w:r>
      <w:r w:rsidR="00886A7E">
        <w:rPr>
          <w:lang w:val="en-GB"/>
        </w:rPr>
        <w:t xml:space="preserve"> below explores the discharge destinations of c</w:t>
      </w:r>
      <w:r w:rsidR="00F857BA">
        <w:rPr>
          <w:lang w:val="en-GB"/>
        </w:rPr>
        <w:t>are recipients</w:t>
      </w:r>
      <w:r w:rsidR="00886A7E">
        <w:rPr>
          <w:lang w:val="en-GB"/>
        </w:rPr>
        <w:t xml:space="preserve"> admitted to the Programme. Of particular note is the low death rates of care recipients in the Programme</w:t>
      </w:r>
      <w:r w:rsidR="000B0145">
        <w:rPr>
          <w:lang w:val="en-GB"/>
        </w:rPr>
        <w:t xml:space="preserve"> (one per cent)</w:t>
      </w:r>
      <w:r w:rsidR="00886A7E">
        <w:rPr>
          <w:lang w:val="en-GB"/>
        </w:rPr>
        <w:t>, as well as the discharge destinations for Victoria and W</w:t>
      </w:r>
      <w:r w:rsidR="00F857BA">
        <w:rPr>
          <w:lang w:val="en-GB"/>
        </w:rPr>
        <w:t>A</w:t>
      </w:r>
      <w:r w:rsidR="00886A7E">
        <w:rPr>
          <w:lang w:val="en-GB"/>
        </w:rPr>
        <w:t>. Here, reflecting the service model and the higher number of residential care TCP places, the services discharge a high</w:t>
      </w:r>
      <w:r w:rsidR="00F93FCD">
        <w:rPr>
          <w:lang w:val="en-GB"/>
        </w:rPr>
        <w:t>er</w:t>
      </w:r>
      <w:r w:rsidR="00886A7E">
        <w:rPr>
          <w:lang w:val="en-GB"/>
        </w:rPr>
        <w:t xml:space="preserve"> proportion of people to residential aged care services. This is in contrast to jurisdictions such as N</w:t>
      </w:r>
      <w:r w:rsidR="00F857BA">
        <w:rPr>
          <w:lang w:val="en-GB"/>
        </w:rPr>
        <w:t>SW</w:t>
      </w:r>
      <w:r w:rsidR="00886A7E">
        <w:rPr>
          <w:lang w:val="en-GB"/>
        </w:rPr>
        <w:t xml:space="preserve"> where </w:t>
      </w:r>
      <w:r w:rsidR="00F93FCD">
        <w:rPr>
          <w:lang w:val="en-GB"/>
        </w:rPr>
        <w:t xml:space="preserve">the </w:t>
      </w:r>
      <w:r w:rsidR="00886A7E">
        <w:rPr>
          <w:lang w:val="en-GB"/>
        </w:rPr>
        <w:t>majority of care recipients return to the community (with varying levels of supports).</w:t>
      </w:r>
    </w:p>
    <w:p w:rsidR="00886A7E" w:rsidRDefault="00886A7E" w:rsidP="005D2C05">
      <w:pPr>
        <w:pStyle w:val="Caption"/>
        <w:rPr>
          <w:lang w:val="en-GB"/>
        </w:rPr>
      </w:pPr>
      <w:bookmarkStart w:id="26" w:name="_Ref357344"/>
      <w:r>
        <w:t xml:space="preserve">Figure </w:t>
      </w:r>
      <w:r w:rsidR="0020349A">
        <w:rPr>
          <w:noProof/>
        </w:rPr>
        <w:fldChar w:fldCharType="begin"/>
      </w:r>
      <w:r w:rsidR="0020349A">
        <w:rPr>
          <w:noProof/>
        </w:rPr>
        <w:instrText xml:space="preserve"> SEQ Figure \* ARABIC </w:instrText>
      </w:r>
      <w:r w:rsidR="0020349A">
        <w:rPr>
          <w:noProof/>
        </w:rPr>
        <w:fldChar w:fldCharType="separate"/>
      </w:r>
      <w:r w:rsidR="00DD20F5">
        <w:rPr>
          <w:noProof/>
        </w:rPr>
        <w:t>6</w:t>
      </w:r>
      <w:r w:rsidR="0020349A">
        <w:rPr>
          <w:noProof/>
        </w:rPr>
        <w:fldChar w:fldCharType="end"/>
      </w:r>
      <w:bookmarkEnd w:id="26"/>
      <w:r>
        <w:t>: Discharge destinations for TCP care recipients</w:t>
      </w:r>
    </w:p>
    <w:p w:rsidR="00BE0797" w:rsidRDefault="00BE0797" w:rsidP="00886A7E">
      <w:pPr>
        <w:pStyle w:val="Bullet1stlevel"/>
        <w:numPr>
          <w:ilvl w:val="0"/>
          <w:numId w:val="0"/>
        </w:numPr>
        <w:rPr>
          <w:lang w:val="en-GB"/>
        </w:rPr>
      </w:pPr>
      <w:r>
        <w:rPr>
          <w:noProof/>
          <w:lang w:val="en-GB" w:eastAsia="en-GB"/>
        </w:rPr>
        <w:drawing>
          <wp:inline distT="0" distB="0" distL="0" distR="0" wp14:anchorId="4833B708">
            <wp:extent cx="5773420" cy="2573020"/>
            <wp:effectExtent l="0" t="0" r="0" b="0"/>
            <wp:docPr id="5" name="Picture 5" descr="In NSW&#10;3% of clients were discharged to residential aged care services&#10;24% of clients were discharged to hospital&#10;26% of clients were discharged to the community without support&#10;11% of clients were discharged to the community with HCP&#10;28% of clients were discharged to the community with CHSP&#10;5% of clients were discharged with other&#10;1% of clients died&#10;2% of clients moved to another TC service&#10;&#10;In VIC&#10;33% of clients were discharged to residential aged care services&#10;24% of clients were discharged to hospital&#10;8% of clients were discharged to the community without support&#10;6% of clients were discharged to the community with HCP&#10;18% of clients were discharged to the community with CHSP&#10;7% of clients were discharged with other&#10;3% of clients died&#10;&lt;1% of clients moved to another TC service&#10;&#10;In QLD&#10;7% of clients were discharged to residential aged care services&#10;23% of clients were discharged to hospital&#10;14% of clients were discharged to the community without support&#10;9% of clients were discharged to the community with HCP&#10;37% of clients were discharged to the community with CHSP&#10;9% of clients were discharged with other&#10;1% of clients died&#10;&lt;1% of clients moved to another TC service&#10;&#10;In WA&#10;51% of clients were discharged to residential aged care services&#10;20% of clients were discharged to hospital&#10;10% of clients were discharged to the community without support&#10;6% of clients were discharged to the community with HCP&#10;7% of clients were discharged to the community with CHSP&#10;2% of clients were discharged with other&#10;2% of clients died&#10;1% of clients moved to another TC service&#10;&#10;In SA&#10;6% of clients were discharged to residential aged care services&#10;18% of clients were discharged to hospital&#10;20% of clients were discharged to the community without support&#10;8% of clients were discharged to the community with HCP&#10;37% of clients were discharged to the community with CHSP&#10;8% of clients were discharged with other&#10;1% of clients died&#10;1% of clients moved to another TC service&#10;&#10;In TAS&#10;18% of clients were discharged to residential aged care services&#10;21% of clients were discharged to hospital&#10;11% of clients were discharged to the community without support&#10;5% of clients were discharged to the community with HCP&#10;34% of clients were discharged to the community with CHSP&#10;10% of clients were discharged with other&#10;1% of clients died&#10;&lt;1% of clients moved to another TC service&#10;&#10;In ACT&#10;1% of clients were discharged to residential aged care services&#10;30% of clients were discharged to hospital&#10;32% of clients were discharged to the community without support&#10;11% of clients were discharged to the community with HCP&#10;18% of clients were discharged to the community with CHSP&#10;6% of clients were discharged with other&#10;&lt;1% of clients died&#10;1% of clients moved to another TC service&#10;&#10;In NT&#10;1% of clients were discharged to residential aged care services&#10;26% of clients were discharged to hospital&#10;17% of clients were discharged to the community without support&#10;8% of clients were discharged to the community with HCP&#10;37% of clients were discharged to the community with CHSP&#10;8% of clients were discharged with other&#10;1% of clients died&#10;1% of clients moved to another TC service" title="Figure 7 shows the Discharge destinations for TCP care recipients by jurisdiction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3420" cy="2573020"/>
                    </a:xfrm>
                    <a:prstGeom prst="rect">
                      <a:avLst/>
                    </a:prstGeom>
                    <a:noFill/>
                  </pic:spPr>
                </pic:pic>
              </a:graphicData>
            </a:graphic>
          </wp:inline>
        </w:drawing>
      </w:r>
    </w:p>
    <w:p w:rsidR="00886A7E" w:rsidRPr="0071220F" w:rsidRDefault="00886A7E" w:rsidP="00886A7E">
      <w:pPr>
        <w:pStyle w:val="Bullet1stlevel"/>
        <w:numPr>
          <w:ilvl w:val="0"/>
          <w:numId w:val="0"/>
        </w:numPr>
        <w:rPr>
          <w:color w:val="44546A" w:themeColor="text2"/>
          <w:sz w:val="18"/>
          <w:szCs w:val="18"/>
          <w:lang w:val="en-GB"/>
        </w:rPr>
      </w:pPr>
      <w:r w:rsidRPr="007F1A00">
        <w:rPr>
          <w:color w:val="44546A" w:themeColor="text2"/>
          <w:sz w:val="18"/>
          <w:szCs w:val="18"/>
          <w:lang w:val="en-GB"/>
        </w:rPr>
        <w:t xml:space="preserve">Source: </w:t>
      </w:r>
      <w:r>
        <w:rPr>
          <w:color w:val="44546A" w:themeColor="text2"/>
          <w:sz w:val="18"/>
          <w:szCs w:val="18"/>
          <w:lang w:val="en-GB"/>
        </w:rPr>
        <w:t>Department of Health</w:t>
      </w:r>
    </w:p>
    <w:p w:rsidR="00D05FEF" w:rsidRDefault="00212781" w:rsidP="00882A95">
      <w:pPr>
        <w:pStyle w:val="Bullet1stlevel"/>
        <w:numPr>
          <w:ilvl w:val="0"/>
          <w:numId w:val="0"/>
        </w:numPr>
        <w:rPr>
          <w:lang w:val="en-GB"/>
        </w:rPr>
      </w:pPr>
      <w:r>
        <w:rPr>
          <w:lang w:val="en-GB"/>
        </w:rPr>
        <w:t>The G</w:t>
      </w:r>
      <w:r w:rsidR="00886A7E" w:rsidRPr="007F1A00">
        <w:rPr>
          <w:lang w:val="en-GB"/>
        </w:rPr>
        <w:t>uidelines state that</w:t>
      </w:r>
      <w:r w:rsidR="00F93FCD">
        <w:rPr>
          <w:lang w:val="en-GB"/>
        </w:rPr>
        <w:t>,</w:t>
      </w:r>
      <w:r w:rsidR="00886A7E" w:rsidRPr="007F1A00">
        <w:rPr>
          <w:lang w:val="en-GB"/>
        </w:rPr>
        <w:t xml:space="preserve"> “</w:t>
      </w:r>
      <w:r w:rsidR="00886A7E" w:rsidRPr="004D0BB7">
        <w:rPr>
          <w:i/>
          <w:szCs w:val="20"/>
          <w:lang w:val="en-GB"/>
        </w:rPr>
        <w:t>The service provider has a responsibility to assist in the admission of a care recipient to the programme, in their return to hospital should this be required, and in their subsequent transfer to their preferred long-term care option at the end of their transition care episode</w:t>
      </w:r>
      <w:r w:rsidR="00886A7E" w:rsidRPr="007F1A00">
        <w:rPr>
          <w:szCs w:val="20"/>
          <w:lang w:val="en-GB"/>
        </w:rPr>
        <w:t>.”</w:t>
      </w:r>
      <w:r w:rsidR="006C271F">
        <w:rPr>
          <w:szCs w:val="20"/>
          <w:lang w:val="en-GB"/>
        </w:rPr>
        <w:t xml:space="preserve"> </w:t>
      </w:r>
      <w:r w:rsidR="00886A7E" w:rsidRPr="007F1A00">
        <w:rPr>
          <w:lang w:val="en-GB"/>
        </w:rPr>
        <w:t xml:space="preserve">However, several jurisdictions identified delays securing timely support for ongoing aged care programs as </w:t>
      </w:r>
      <w:r w:rsidR="00F93FCD">
        <w:rPr>
          <w:lang w:val="en-GB"/>
        </w:rPr>
        <w:t xml:space="preserve">a </w:t>
      </w:r>
      <w:r w:rsidR="00886A7E" w:rsidRPr="007F1A00">
        <w:rPr>
          <w:lang w:val="en-GB"/>
        </w:rPr>
        <w:t>key challenge in achieving this</w:t>
      </w:r>
      <w:r w:rsidR="00886A7E">
        <w:rPr>
          <w:lang w:val="en-GB"/>
        </w:rPr>
        <w:t>.</w:t>
      </w:r>
      <w:r w:rsidR="006C271F">
        <w:rPr>
          <w:lang w:val="en-GB"/>
        </w:rPr>
        <w:t xml:space="preserve"> </w:t>
      </w:r>
      <w:r w:rsidR="00D05FEF" w:rsidRPr="007F1A00">
        <w:rPr>
          <w:lang w:val="en-GB"/>
        </w:rPr>
        <w:t>Service p</w:t>
      </w:r>
      <w:r w:rsidR="003F7254" w:rsidRPr="007F1A00">
        <w:rPr>
          <w:lang w:val="en-GB"/>
        </w:rPr>
        <w:t xml:space="preserve">roviders </w:t>
      </w:r>
      <w:r w:rsidR="00886A7E">
        <w:rPr>
          <w:lang w:val="en-GB"/>
        </w:rPr>
        <w:t xml:space="preserve">identified </w:t>
      </w:r>
      <w:r w:rsidR="003F7254" w:rsidRPr="007F1A00">
        <w:rPr>
          <w:lang w:val="en-GB"/>
        </w:rPr>
        <w:t xml:space="preserve">that it is </w:t>
      </w:r>
      <w:r w:rsidR="003560D6" w:rsidRPr="007F1A00">
        <w:rPr>
          <w:lang w:val="en-GB"/>
        </w:rPr>
        <w:t>difficult</w:t>
      </w:r>
      <w:r w:rsidR="003F7254" w:rsidRPr="007F1A00">
        <w:rPr>
          <w:lang w:val="en-GB"/>
        </w:rPr>
        <w:t xml:space="preserve"> to maintain a duty of care for their recipients following the care period as there is not enough availability in the CHSP</w:t>
      </w:r>
      <w:r w:rsidR="00250F17">
        <w:rPr>
          <w:lang w:val="en-GB"/>
        </w:rPr>
        <w:t xml:space="preserve"> or HCP for ongoing support.</w:t>
      </w:r>
      <w:r w:rsidR="00D05FEF" w:rsidRPr="007F1A00">
        <w:rPr>
          <w:lang w:val="en-GB"/>
        </w:rPr>
        <w:t xml:space="preserve"> </w:t>
      </w:r>
      <w:r w:rsidR="00F527F6">
        <w:rPr>
          <w:lang w:val="en-GB"/>
        </w:rPr>
        <w:t>G</w:t>
      </w:r>
      <w:r w:rsidR="00D05FEF" w:rsidRPr="007F1A00">
        <w:rPr>
          <w:lang w:val="en-GB"/>
        </w:rPr>
        <w:t>overnment agencies</w:t>
      </w:r>
      <w:r w:rsidR="00F527F6">
        <w:rPr>
          <w:lang w:val="en-GB"/>
        </w:rPr>
        <w:t xml:space="preserve">, </w:t>
      </w:r>
      <w:r w:rsidR="003F7254" w:rsidRPr="007F1A00">
        <w:rPr>
          <w:lang w:val="en-GB"/>
        </w:rPr>
        <w:t>service provid</w:t>
      </w:r>
      <w:r w:rsidR="00250F17">
        <w:rPr>
          <w:lang w:val="en-GB"/>
        </w:rPr>
        <w:t>ers</w:t>
      </w:r>
      <w:r w:rsidR="00F527F6">
        <w:rPr>
          <w:lang w:val="en-GB"/>
        </w:rPr>
        <w:t xml:space="preserve"> and care recipients</w:t>
      </w:r>
      <w:r w:rsidR="00250F17">
        <w:rPr>
          <w:lang w:val="en-GB"/>
        </w:rPr>
        <w:t xml:space="preserve"> </w:t>
      </w:r>
      <w:r w:rsidR="00F527F6">
        <w:rPr>
          <w:lang w:val="en-GB"/>
        </w:rPr>
        <w:t xml:space="preserve">(see </w:t>
      </w:r>
      <w:r w:rsidR="00F527F6">
        <w:rPr>
          <w:lang w:val="en-GB"/>
        </w:rPr>
        <w:fldChar w:fldCharType="begin"/>
      </w:r>
      <w:r w:rsidR="00F527F6">
        <w:rPr>
          <w:lang w:val="en-GB"/>
        </w:rPr>
        <w:instrText xml:space="preserve"> REF _Ref340636 \h </w:instrText>
      </w:r>
      <w:r w:rsidR="00F527F6">
        <w:rPr>
          <w:lang w:val="en-GB"/>
        </w:rPr>
      </w:r>
      <w:r w:rsidR="00F527F6">
        <w:rPr>
          <w:lang w:val="en-GB"/>
        </w:rPr>
        <w:fldChar w:fldCharType="separate"/>
      </w:r>
      <w:r w:rsidR="00ED07D2" w:rsidRPr="007F1A00">
        <w:rPr>
          <w:lang w:val="en-GB"/>
        </w:rPr>
        <w:t xml:space="preserve">Box </w:t>
      </w:r>
      <w:r w:rsidR="00ED07D2">
        <w:rPr>
          <w:noProof/>
          <w:lang w:val="en-GB"/>
        </w:rPr>
        <w:t>3</w:t>
      </w:r>
      <w:r w:rsidR="00F527F6">
        <w:rPr>
          <w:lang w:val="en-GB"/>
        </w:rPr>
        <w:fldChar w:fldCharType="end"/>
      </w:r>
      <w:r w:rsidR="00F527F6">
        <w:rPr>
          <w:lang w:val="en-GB"/>
        </w:rPr>
        <w:t xml:space="preserve"> below) </w:t>
      </w:r>
      <w:r w:rsidR="00250F17">
        <w:rPr>
          <w:lang w:val="en-GB"/>
        </w:rPr>
        <w:t>reported that the HCP waitlist</w:t>
      </w:r>
      <w:r w:rsidR="003F7254" w:rsidRPr="007F1A00">
        <w:rPr>
          <w:lang w:val="en-GB"/>
        </w:rPr>
        <w:t xml:space="preserve"> is challenging, as care recipients may be approved for an ongoing aged care package</w:t>
      </w:r>
      <w:r w:rsidR="00F93FCD">
        <w:rPr>
          <w:lang w:val="en-GB"/>
        </w:rPr>
        <w:t xml:space="preserve"> but </w:t>
      </w:r>
      <w:r w:rsidR="003F7254" w:rsidRPr="007F1A00">
        <w:rPr>
          <w:lang w:val="en-GB"/>
        </w:rPr>
        <w:t>supports</w:t>
      </w:r>
      <w:r w:rsidR="00F93FCD">
        <w:rPr>
          <w:lang w:val="en-GB"/>
        </w:rPr>
        <w:t xml:space="preserve"> may not be</w:t>
      </w:r>
      <w:r w:rsidR="00F93FCD" w:rsidRPr="007F1A00">
        <w:rPr>
          <w:lang w:val="en-GB"/>
        </w:rPr>
        <w:t xml:space="preserve"> available</w:t>
      </w:r>
      <w:r w:rsidR="003F7254" w:rsidRPr="007F1A00">
        <w:rPr>
          <w:lang w:val="en-GB"/>
        </w:rPr>
        <w:t xml:space="preserve"> at the time of discharge from </w:t>
      </w:r>
      <w:r w:rsidR="00F93FCD">
        <w:rPr>
          <w:lang w:val="en-GB"/>
        </w:rPr>
        <w:t xml:space="preserve">the </w:t>
      </w:r>
      <w:r w:rsidR="003F7254" w:rsidRPr="007F1A00">
        <w:rPr>
          <w:lang w:val="en-GB"/>
        </w:rPr>
        <w:t xml:space="preserve">TCP. </w:t>
      </w:r>
    </w:p>
    <w:p w:rsidR="00F527F6" w:rsidRDefault="00F527F6" w:rsidP="00F46539">
      <w:pPr>
        <w:pStyle w:val="BodyText1"/>
        <w:rPr>
          <w:lang w:val="en-GB"/>
        </w:rPr>
      </w:pPr>
      <w:r w:rsidRPr="007F1A00">
        <w:rPr>
          <w:lang w:val="en-GB"/>
        </w:rPr>
        <w:t xml:space="preserve">Comments from care recipients and carers about </w:t>
      </w:r>
      <w:r w:rsidR="003A2412">
        <w:rPr>
          <w:lang w:val="en-GB"/>
        </w:rPr>
        <w:t xml:space="preserve">the </w:t>
      </w:r>
      <w:r w:rsidRPr="007F1A00">
        <w:rPr>
          <w:lang w:val="en-GB"/>
        </w:rPr>
        <w:t>TCP</w:t>
      </w:r>
      <w:r w:rsidR="00F46539">
        <w:rPr>
          <w:lang w:val="en-GB"/>
        </w:rPr>
        <w:t xml:space="preserve"> include:</w:t>
      </w:r>
    </w:p>
    <w:p w:rsidR="00F46539" w:rsidRPr="00F46539" w:rsidRDefault="00F46539" w:rsidP="00F46539">
      <w:pPr>
        <w:pStyle w:val="Bullet1stlevel"/>
        <w:rPr>
          <w:lang w:val="en-GB"/>
        </w:rPr>
      </w:pPr>
      <w:r>
        <w:rPr>
          <w:lang w:val="en-GB"/>
        </w:rPr>
        <w:t>“</w:t>
      </w:r>
      <w:r>
        <w:rPr>
          <w:lang w:val="en-US"/>
        </w:rPr>
        <w:t>The only problem was when I was left to my own devices. I was extended for another six weeks but I had to shop around to find services so I wouldn’t be left in the lurch after the TCP finished. I am getting services under CHSP now.</w:t>
      </w:r>
      <w:r>
        <w:rPr>
          <w:lang w:val="en-GB"/>
        </w:rPr>
        <w:t>” – Care recipient, ACT</w:t>
      </w:r>
    </w:p>
    <w:p w:rsidR="00F46539" w:rsidRDefault="00546577" w:rsidP="00546577">
      <w:pPr>
        <w:pStyle w:val="Bullet1stlevel"/>
        <w:numPr>
          <w:ilvl w:val="0"/>
          <w:numId w:val="0"/>
        </w:numPr>
        <w:rPr>
          <w:lang w:val="en-GB"/>
        </w:rPr>
      </w:pPr>
      <w:r w:rsidRPr="007F1A00">
        <w:rPr>
          <w:lang w:val="en-GB"/>
        </w:rPr>
        <w:t>Similarly, stakeholders identified delays in the NDIS process as a challenge for care recipients under the age of 65. Indeed, care recipients with ongoing disabilities, and their carers, reported having their TCP care period extended so they c</w:t>
      </w:r>
      <w:r w:rsidR="00F93FCD">
        <w:rPr>
          <w:lang w:val="en-GB"/>
        </w:rPr>
        <w:t>ould</w:t>
      </w:r>
      <w:r w:rsidRPr="007F1A00">
        <w:rPr>
          <w:lang w:val="en-GB"/>
        </w:rPr>
        <w:t xml:space="preserve"> remain supported until they receive</w:t>
      </w:r>
      <w:r w:rsidR="00F93FCD">
        <w:rPr>
          <w:lang w:val="en-GB"/>
        </w:rPr>
        <w:t>d</w:t>
      </w:r>
      <w:r w:rsidRPr="007F1A00">
        <w:rPr>
          <w:lang w:val="en-GB"/>
        </w:rPr>
        <w:t xml:space="preserve"> an approved NDIS plan</w:t>
      </w:r>
      <w:r>
        <w:rPr>
          <w:lang w:val="en-GB"/>
        </w:rPr>
        <w:t xml:space="preserve"> (see </w:t>
      </w:r>
      <w:r>
        <w:rPr>
          <w:lang w:val="en-GB"/>
        </w:rPr>
        <w:fldChar w:fldCharType="begin"/>
      </w:r>
      <w:r>
        <w:rPr>
          <w:lang w:val="en-GB"/>
        </w:rPr>
        <w:instrText xml:space="preserve"> REF _Ref340178 \h </w:instrText>
      </w:r>
      <w:r>
        <w:rPr>
          <w:lang w:val="en-GB"/>
        </w:rPr>
      </w:r>
      <w:r>
        <w:rPr>
          <w:lang w:val="en-GB"/>
        </w:rPr>
        <w:fldChar w:fldCharType="separate"/>
      </w:r>
      <w:r w:rsidR="00ED07D2" w:rsidRPr="007F1A00">
        <w:rPr>
          <w:lang w:val="en-GB"/>
        </w:rPr>
        <w:t xml:space="preserve">Box </w:t>
      </w:r>
      <w:r w:rsidR="00ED07D2">
        <w:rPr>
          <w:noProof/>
          <w:lang w:val="en-GB"/>
        </w:rPr>
        <w:t>4</w:t>
      </w:r>
      <w:r>
        <w:rPr>
          <w:lang w:val="en-GB"/>
        </w:rPr>
        <w:fldChar w:fldCharType="end"/>
      </w:r>
      <w:r>
        <w:rPr>
          <w:lang w:val="en-GB"/>
        </w:rPr>
        <w:t xml:space="preserve"> below)</w:t>
      </w:r>
      <w:r w:rsidRPr="007F1A00">
        <w:rPr>
          <w:lang w:val="en-GB"/>
        </w:rPr>
        <w:t>. Consultation participants reported that these challenges are of particular concern for care recipients with complex comorbidities.</w:t>
      </w:r>
    </w:p>
    <w:p w:rsidR="00F46539" w:rsidRDefault="00F46539" w:rsidP="00F46539">
      <w:pPr>
        <w:pStyle w:val="BodyText1"/>
        <w:rPr>
          <w:lang w:val="en-GB"/>
        </w:rPr>
      </w:pPr>
      <w:r w:rsidRPr="007F1A00">
        <w:rPr>
          <w:lang w:val="en-GB"/>
        </w:rPr>
        <w:t xml:space="preserve">Comments from care recipients and carers about </w:t>
      </w:r>
      <w:r>
        <w:rPr>
          <w:lang w:val="en-GB"/>
        </w:rPr>
        <w:t xml:space="preserve">the </w:t>
      </w:r>
      <w:r w:rsidRPr="007F1A00">
        <w:rPr>
          <w:lang w:val="en-GB"/>
        </w:rPr>
        <w:t>TCP</w:t>
      </w:r>
      <w:r>
        <w:rPr>
          <w:lang w:val="en-GB"/>
        </w:rPr>
        <w:t xml:space="preserve"> include:</w:t>
      </w:r>
    </w:p>
    <w:p w:rsidR="00F46539" w:rsidRDefault="00F46539" w:rsidP="00F46539">
      <w:pPr>
        <w:pStyle w:val="Bullet1stlevel"/>
        <w:rPr>
          <w:lang w:val="en-GB"/>
        </w:rPr>
      </w:pPr>
      <w:r w:rsidRPr="007F1A00">
        <w:rPr>
          <w:lang w:val="en-GB"/>
        </w:rPr>
        <w:t>“</w:t>
      </w:r>
      <w:r w:rsidRPr="00A461AF">
        <w:rPr>
          <w:lang w:val="en-GB"/>
        </w:rPr>
        <w:t>We’ve just been extended for another six weeks because it wasn’t enough. The NDI</w:t>
      </w:r>
      <w:r>
        <w:rPr>
          <w:lang w:val="en-GB"/>
        </w:rPr>
        <w:t>S has just come into our region</w:t>
      </w:r>
      <w:r w:rsidRPr="00A461AF">
        <w:rPr>
          <w:lang w:val="en-GB"/>
        </w:rPr>
        <w:t xml:space="preserve"> </w:t>
      </w:r>
      <w:r>
        <w:rPr>
          <w:lang w:val="en-GB"/>
        </w:rPr>
        <w:t>and I thought</w:t>
      </w:r>
      <w:r w:rsidRPr="00A461AF">
        <w:rPr>
          <w:lang w:val="en-GB"/>
        </w:rPr>
        <w:t xml:space="preserve"> </w:t>
      </w:r>
      <w:r>
        <w:rPr>
          <w:lang w:val="en-GB"/>
        </w:rPr>
        <w:t>‘</w:t>
      </w:r>
      <w:r w:rsidRPr="00A461AF">
        <w:rPr>
          <w:lang w:val="en-GB"/>
        </w:rPr>
        <w:t>they can’t leave me now</w:t>
      </w:r>
      <w:r>
        <w:rPr>
          <w:lang w:val="en-GB"/>
        </w:rPr>
        <w:t>’</w:t>
      </w:r>
      <w:r w:rsidRPr="00A461AF">
        <w:rPr>
          <w:lang w:val="en-GB"/>
        </w:rPr>
        <w:t>. We had a planning meeting with NDIS last week so hopefully that will take over once the extension is done. I need more equipment and more therapy</w:t>
      </w:r>
      <w:r>
        <w:rPr>
          <w:lang w:val="en-GB"/>
        </w:rPr>
        <w:t xml:space="preserve"> for her;</w:t>
      </w:r>
      <w:r w:rsidRPr="00A461AF">
        <w:rPr>
          <w:lang w:val="en-GB"/>
        </w:rPr>
        <w:t xml:space="preserve"> she’s been doing so well with what she’s been getting, so it can’t stop now.</w:t>
      </w:r>
      <w:r w:rsidRPr="007F1A00">
        <w:rPr>
          <w:lang w:val="en-GB"/>
        </w:rPr>
        <w:t xml:space="preserve">” – Carer, </w:t>
      </w:r>
      <w:r>
        <w:rPr>
          <w:lang w:val="en-GB"/>
        </w:rPr>
        <w:t>Queensland</w:t>
      </w:r>
    </w:p>
    <w:p w:rsidR="00546577" w:rsidRPr="00F46539" w:rsidRDefault="00F46539" w:rsidP="00546577">
      <w:pPr>
        <w:pStyle w:val="Bullet1stlevel"/>
        <w:rPr>
          <w:lang w:val="en-GB"/>
        </w:rPr>
      </w:pPr>
      <w:r w:rsidRPr="00F46539">
        <w:rPr>
          <w:lang w:val="en-GB"/>
        </w:rPr>
        <w:t>“</w:t>
      </w:r>
      <w:r w:rsidRPr="00F46539">
        <w:rPr>
          <w:lang w:val="en-US"/>
        </w:rPr>
        <w:t xml:space="preserve">I’m waiting on someone to ring me back from the NDIS and I have to go to a meeting. </w:t>
      </w:r>
      <w:r w:rsidRPr="00F46539">
        <w:rPr>
          <w:lang w:val="en-GB"/>
        </w:rPr>
        <w:t xml:space="preserve">When I finish the TCP, I have to make sure I have money in my [NDIS] funding for all the equipment I need.” – Care recipient, Queensland </w:t>
      </w:r>
    </w:p>
    <w:p w:rsidR="008323BA" w:rsidRPr="007F1A00" w:rsidRDefault="00F93FCD" w:rsidP="008323BA">
      <w:pPr>
        <w:pStyle w:val="Heading3"/>
        <w:rPr>
          <w:lang w:val="en-GB"/>
        </w:rPr>
      </w:pPr>
      <w:r>
        <w:rPr>
          <w:lang w:val="en-GB"/>
        </w:rPr>
        <w:t xml:space="preserve">The </w:t>
      </w:r>
      <w:r w:rsidR="008323BA" w:rsidRPr="007F1A00">
        <w:rPr>
          <w:lang w:val="en-GB"/>
        </w:rPr>
        <w:t xml:space="preserve">TCP is </w:t>
      </w:r>
      <w:r w:rsidR="00FE38A4" w:rsidRPr="007F1A00">
        <w:rPr>
          <w:lang w:val="en-GB"/>
        </w:rPr>
        <w:t>less</w:t>
      </w:r>
      <w:r w:rsidR="008323BA" w:rsidRPr="007F1A00">
        <w:rPr>
          <w:lang w:val="en-GB"/>
        </w:rPr>
        <w:t xml:space="preserve"> accessible for some population groups</w:t>
      </w:r>
    </w:p>
    <w:p w:rsidR="0051735E" w:rsidRPr="007F1A00" w:rsidRDefault="0051735E" w:rsidP="002F24C1">
      <w:pPr>
        <w:pStyle w:val="HeadingLevel4NoNumber"/>
        <w:rPr>
          <w:lang w:val="en-GB"/>
        </w:rPr>
      </w:pPr>
      <w:r w:rsidRPr="007F1A00">
        <w:rPr>
          <w:lang w:val="en-GB"/>
        </w:rPr>
        <w:t>Aboriginal and Torres Strait Islander people</w:t>
      </w:r>
    </w:p>
    <w:p w:rsidR="00546577" w:rsidRDefault="002812BA" w:rsidP="00431F2A">
      <w:pPr>
        <w:pStyle w:val="Bullet1stlevel"/>
        <w:numPr>
          <w:ilvl w:val="0"/>
          <w:numId w:val="0"/>
        </w:numPr>
        <w:rPr>
          <w:lang w:val="en-GB"/>
        </w:rPr>
      </w:pPr>
      <w:r w:rsidRPr="007F1A00">
        <w:rPr>
          <w:lang w:val="en-GB"/>
        </w:rPr>
        <w:t>Aboriginal and Torres Strait Islander</w:t>
      </w:r>
      <w:r w:rsidR="008323BA" w:rsidRPr="007F1A00">
        <w:rPr>
          <w:lang w:val="en-GB"/>
        </w:rPr>
        <w:t xml:space="preserve"> people are under-represented in </w:t>
      </w:r>
      <w:r w:rsidR="00F93FCD">
        <w:rPr>
          <w:lang w:val="en-GB"/>
        </w:rPr>
        <w:t xml:space="preserve">the </w:t>
      </w:r>
      <w:r w:rsidR="008323BA" w:rsidRPr="007F1A00">
        <w:rPr>
          <w:lang w:val="en-GB"/>
        </w:rPr>
        <w:t xml:space="preserve">TCP (as a proportion of the </w:t>
      </w:r>
      <w:r w:rsidRPr="007F1A00">
        <w:rPr>
          <w:lang w:val="en-GB"/>
        </w:rPr>
        <w:t>Aboriginal and Torres Strait Islander</w:t>
      </w:r>
      <w:r w:rsidR="008323BA" w:rsidRPr="007F1A00">
        <w:rPr>
          <w:lang w:val="en-GB"/>
        </w:rPr>
        <w:t xml:space="preserve"> population in each </w:t>
      </w:r>
      <w:r w:rsidR="007211BF">
        <w:rPr>
          <w:lang w:val="en-GB"/>
        </w:rPr>
        <w:t>State and Territory</w:t>
      </w:r>
      <w:r w:rsidR="008323BA" w:rsidRPr="007F1A00">
        <w:rPr>
          <w:lang w:val="en-GB"/>
        </w:rPr>
        <w:t xml:space="preserve">). Both </w:t>
      </w:r>
      <w:r w:rsidR="008C041C" w:rsidRPr="007F1A00">
        <w:rPr>
          <w:lang w:val="en-GB"/>
        </w:rPr>
        <w:t>government agencies and</w:t>
      </w:r>
      <w:r w:rsidR="008323BA" w:rsidRPr="007F1A00">
        <w:rPr>
          <w:lang w:val="en-GB"/>
        </w:rPr>
        <w:t xml:space="preserve"> service providers reported that a barrier for </w:t>
      </w:r>
      <w:r w:rsidRPr="007F1A00">
        <w:rPr>
          <w:lang w:val="en-GB"/>
        </w:rPr>
        <w:t>Aboriginal and Torres Strait Islander</w:t>
      </w:r>
      <w:r w:rsidR="008323BA" w:rsidRPr="007F1A00">
        <w:rPr>
          <w:lang w:val="en-GB"/>
        </w:rPr>
        <w:t xml:space="preserve"> participation is the requirement that </w:t>
      </w:r>
      <w:r w:rsidR="00F93FCD">
        <w:rPr>
          <w:lang w:val="en-GB"/>
        </w:rPr>
        <w:t xml:space="preserve">the </w:t>
      </w:r>
      <w:r w:rsidR="008323BA" w:rsidRPr="007F1A00">
        <w:rPr>
          <w:lang w:val="en-GB"/>
        </w:rPr>
        <w:t xml:space="preserve">TCP follow a hospital stay. </w:t>
      </w:r>
      <w:r w:rsidR="004C0DE3" w:rsidRPr="007F1A00">
        <w:rPr>
          <w:lang w:val="en-GB"/>
        </w:rPr>
        <w:t xml:space="preserve">Amongst Aboriginal and Torres Strait Islander people, </w:t>
      </w:r>
      <w:r w:rsidR="00E046FD" w:rsidRPr="007F1A00">
        <w:rPr>
          <w:lang w:val="en-GB"/>
        </w:rPr>
        <w:t>further complications aris</w:t>
      </w:r>
      <w:r w:rsidR="00A52C03">
        <w:rPr>
          <w:lang w:val="en-GB"/>
        </w:rPr>
        <w:t>ing</w:t>
      </w:r>
      <w:r w:rsidR="00E046FD" w:rsidRPr="007F1A00">
        <w:rPr>
          <w:lang w:val="en-GB"/>
        </w:rPr>
        <w:t xml:space="preserve"> from past traumatic experiences</w:t>
      </w:r>
      <w:r w:rsidR="004C0DE3" w:rsidRPr="007F1A00">
        <w:rPr>
          <w:rStyle w:val="FootnoteReference"/>
          <w:lang w:val="en-GB"/>
        </w:rPr>
        <w:footnoteReference w:id="42"/>
      </w:r>
      <w:r w:rsidR="004C0DE3" w:rsidRPr="007F1A00">
        <w:rPr>
          <w:lang w:val="en-GB"/>
        </w:rPr>
        <w:t xml:space="preserve"> and a lack of cultural understanding</w:t>
      </w:r>
      <w:r w:rsidR="004C0DE3" w:rsidRPr="007F1A00">
        <w:rPr>
          <w:rStyle w:val="FootnoteReference"/>
          <w:lang w:val="en-GB"/>
        </w:rPr>
        <w:footnoteReference w:id="43"/>
      </w:r>
      <w:r w:rsidR="004C0DE3" w:rsidRPr="007F1A00">
        <w:rPr>
          <w:lang w:val="en-GB"/>
        </w:rPr>
        <w:t xml:space="preserve"> </w:t>
      </w:r>
      <w:r w:rsidR="00E046FD" w:rsidRPr="007F1A00">
        <w:rPr>
          <w:lang w:val="en-GB"/>
        </w:rPr>
        <w:t xml:space="preserve">has perpetuated a distrust of </w:t>
      </w:r>
      <w:r w:rsidR="004C0DE3" w:rsidRPr="007F1A00">
        <w:rPr>
          <w:lang w:val="en-GB"/>
        </w:rPr>
        <w:t xml:space="preserve">mainstream, </w:t>
      </w:r>
      <w:r w:rsidR="00E046FD" w:rsidRPr="007F1A00">
        <w:rPr>
          <w:lang w:val="en-GB"/>
        </w:rPr>
        <w:t xml:space="preserve">western healthcare </w:t>
      </w:r>
      <w:r w:rsidR="004C0DE3" w:rsidRPr="007F1A00">
        <w:rPr>
          <w:lang w:val="en-GB"/>
        </w:rPr>
        <w:t>providers</w:t>
      </w:r>
      <w:r w:rsidR="004C0DE3" w:rsidRPr="007F1A00">
        <w:rPr>
          <w:rStyle w:val="FootnoteReference"/>
          <w:lang w:val="en-GB"/>
        </w:rPr>
        <w:footnoteReference w:id="44"/>
      </w:r>
      <w:r w:rsidR="004C0DE3" w:rsidRPr="007F1A00">
        <w:rPr>
          <w:lang w:val="en-GB"/>
        </w:rPr>
        <w:t xml:space="preserve">, including hospitals. </w:t>
      </w:r>
      <w:r w:rsidR="008323BA" w:rsidRPr="007F1A00">
        <w:rPr>
          <w:lang w:val="en-GB"/>
        </w:rPr>
        <w:t>Aboriginal and Torres Strait Islander peoples in remote communities are particularly disadvantaged due to the lack of available healthcare services.</w:t>
      </w:r>
      <w:r w:rsidR="008323BA" w:rsidRPr="007F1A00">
        <w:rPr>
          <w:rStyle w:val="FootnoteReference"/>
          <w:lang w:val="en-GB"/>
        </w:rPr>
        <w:footnoteReference w:id="45"/>
      </w:r>
      <w:r w:rsidR="008323BA" w:rsidRPr="007F1A00">
        <w:rPr>
          <w:lang w:val="en-GB"/>
        </w:rPr>
        <w:t xml:space="preserve"> Where services do exist, it is often difficult to build lasting relationships with healthcare providers due to the high turnover of staff.</w:t>
      </w:r>
      <w:r w:rsidR="008323BA" w:rsidRPr="007F1A00">
        <w:rPr>
          <w:rStyle w:val="FootnoteReference"/>
          <w:lang w:val="en-GB"/>
        </w:rPr>
        <w:footnoteReference w:id="46"/>
      </w:r>
      <w:r w:rsidR="008323BA" w:rsidRPr="007F1A00">
        <w:rPr>
          <w:lang w:val="en-GB"/>
        </w:rPr>
        <w:t xml:space="preserve"> As such, the hospital access point into the Programme is likely to be pro</w:t>
      </w:r>
      <w:r w:rsidR="00641FCB" w:rsidRPr="007F1A00">
        <w:rPr>
          <w:lang w:val="en-GB"/>
        </w:rPr>
        <w:t xml:space="preserve">blematic for </w:t>
      </w:r>
      <w:r w:rsidRPr="007F1A00">
        <w:rPr>
          <w:lang w:val="en-GB"/>
        </w:rPr>
        <w:t>Aboriginal and Torres Strait Islander</w:t>
      </w:r>
      <w:r w:rsidR="00641FCB" w:rsidRPr="007F1A00">
        <w:rPr>
          <w:lang w:val="en-GB"/>
        </w:rPr>
        <w:t xml:space="preserve"> people.</w:t>
      </w:r>
    </w:p>
    <w:p w:rsidR="0051735E" w:rsidRPr="007F1A00" w:rsidRDefault="0051735E" w:rsidP="0071220F">
      <w:pPr>
        <w:pStyle w:val="HeadingLevel4NoNumber"/>
        <w:rPr>
          <w:lang w:val="en-GB"/>
        </w:rPr>
      </w:pPr>
      <w:r w:rsidRPr="007F1A00">
        <w:rPr>
          <w:lang w:val="en-GB"/>
        </w:rPr>
        <w:t xml:space="preserve">People from </w:t>
      </w:r>
      <w:r w:rsidR="00885865" w:rsidRPr="007F1A00">
        <w:rPr>
          <w:lang w:val="en-GB"/>
        </w:rPr>
        <w:t>CALD</w:t>
      </w:r>
      <w:r w:rsidRPr="007F1A00">
        <w:rPr>
          <w:lang w:val="en-GB"/>
        </w:rPr>
        <w:t xml:space="preserve"> backgrounds</w:t>
      </w:r>
    </w:p>
    <w:p w:rsidR="008323BA" w:rsidRPr="007F1A00" w:rsidRDefault="008323BA" w:rsidP="008323BA">
      <w:pPr>
        <w:pStyle w:val="Bullet1stlevel"/>
        <w:numPr>
          <w:ilvl w:val="0"/>
          <w:numId w:val="0"/>
        </w:numPr>
        <w:rPr>
          <w:lang w:val="en-GB"/>
        </w:rPr>
      </w:pPr>
      <w:r w:rsidRPr="007F1A00">
        <w:rPr>
          <w:lang w:val="en-GB"/>
        </w:rPr>
        <w:t>Multiple stakeholders reported that interpreters are not always available for CALD care recipients</w:t>
      </w:r>
      <w:r w:rsidR="0051735E" w:rsidRPr="007F1A00">
        <w:rPr>
          <w:lang w:val="en-GB"/>
        </w:rPr>
        <w:t xml:space="preserve"> in both assessment for and deliver</w:t>
      </w:r>
      <w:r w:rsidR="007D0646" w:rsidRPr="007F1A00">
        <w:rPr>
          <w:lang w:val="en-GB"/>
        </w:rPr>
        <w:t>y</w:t>
      </w:r>
      <w:r w:rsidR="0051735E" w:rsidRPr="007F1A00">
        <w:rPr>
          <w:lang w:val="en-GB"/>
        </w:rPr>
        <w:t xml:space="preserve"> of</w:t>
      </w:r>
      <w:r w:rsidR="00F93FCD">
        <w:rPr>
          <w:lang w:val="en-GB"/>
        </w:rPr>
        <w:t xml:space="preserve"> the</w:t>
      </w:r>
      <w:r w:rsidR="0051735E" w:rsidRPr="007F1A00">
        <w:rPr>
          <w:lang w:val="en-GB"/>
        </w:rPr>
        <w:t xml:space="preserve"> TCP</w:t>
      </w:r>
      <w:r w:rsidRPr="007F1A00">
        <w:rPr>
          <w:lang w:val="en-GB"/>
        </w:rPr>
        <w:t xml:space="preserve">. </w:t>
      </w:r>
      <w:r w:rsidR="0051735E" w:rsidRPr="007F1A00">
        <w:rPr>
          <w:lang w:val="en-GB"/>
        </w:rPr>
        <w:t xml:space="preserve">When </w:t>
      </w:r>
      <w:r w:rsidR="00656407">
        <w:rPr>
          <w:lang w:val="en-GB"/>
        </w:rPr>
        <w:t xml:space="preserve">the reviewers </w:t>
      </w:r>
      <w:r w:rsidR="0051735E" w:rsidRPr="007F1A00">
        <w:rPr>
          <w:lang w:val="en-GB"/>
        </w:rPr>
        <w:t xml:space="preserve">pointed out the availability of the Commonwealth Translating and Interpreting Service (TIS), stakeholders reported experiencing significant delays in accessing TIS and sourcing a translator. </w:t>
      </w:r>
      <w:r w:rsidRPr="007F1A00">
        <w:rPr>
          <w:lang w:val="en-GB"/>
        </w:rPr>
        <w:t xml:space="preserve">The NSW ACAT representative reported that this slows down the process for CALD </w:t>
      </w:r>
      <w:r w:rsidR="00A31899" w:rsidRPr="007F1A00">
        <w:rPr>
          <w:lang w:val="en-GB"/>
        </w:rPr>
        <w:t>care recipient</w:t>
      </w:r>
      <w:r w:rsidRPr="007F1A00">
        <w:rPr>
          <w:lang w:val="en-GB"/>
        </w:rPr>
        <w:t xml:space="preserve">s and noted it was the biggest cause of delay for their Northern, Southern Eastern Sydney and Sydney </w:t>
      </w:r>
      <w:r w:rsidR="0051735E" w:rsidRPr="007F1A00">
        <w:rPr>
          <w:lang w:val="en-GB"/>
        </w:rPr>
        <w:t>LHDs</w:t>
      </w:r>
      <w:r w:rsidRPr="007F1A00">
        <w:rPr>
          <w:lang w:val="en-GB"/>
        </w:rPr>
        <w:t xml:space="preserve">, which share a pool of interpreters. In Tasmania, stakeholders stated that there are privacy issues in smaller communities as the interpreter may be known to the family, which has resulted in some </w:t>
      </w:r>
      <w:r w:rsidR="00A31899" w:rsidRPr="007F1A00">
        <w:rPr>
          <w:lang w:val="en-GB"/>
        </w:rPr>
        <w:t>care recipient</w:t>
      </w:r>
      <w:r w:rsidRPr="007F1A00">
        <w:rPr>
          <w:lang w:val="en-GB"/>
        </w:rPr>
        <w:t xml:space="preserve">s refusing interpreters. A service provider in </w:t>
      </w:r>
      <w:r w:rsidR="007126ED">
        <w:rPr>
          <w:lang w:val="en-GB"/>
        </w:rPr>
        <w:t xml:space="preserve">SA </w:t>
      </w:r>
      <w:r w:rsidRPr="007F1A00">
        <w:rPr>
          <w:lang w:val="en-GB"/>
        </w:rPr>
        <w:t xml:space="preserve">stated that, where the family of the </w:t>
      </w:r>
      <w:r w:rsidR="00A31899" w:rsidRPr="007F1A00">
        <w:rPr>
          <w:lang w:val="en-GB"/>
        </w:rPr>
        <w:t>care recipient</w:t>
      </w:r>
      <w:r w:rsidRPr="007F1A00">
        <w:rPr>
          <w:lang w:val="en-GB"/>
        </w:rPr>
        <w:t xml:space="preserve"> cannot be used, they have sourced a private provider</w:t>
      </w:r>
      <w:r w:rsidR="00F93FCD">
        <w:rPr>
          <w:lang w:val="en-GB"/>
        </w:rPr>
        <w:t xml:space="preserve">, </w:t>
      </w:r>
      <w:r w:rsidRPr="007F1A00">
        <w:rPr>
          <w:lang w:val="en-GB"/>
        </w:rPr>
        <w:t xml:space="preserve">the payment of which is drawn from the </w:t>
      </w:r>
      <w:r w:rsidR="00A31899" w:rsidRPr="007F1A00">
        <w:rPr>
          <w:lang w:val="en-GB"/>
        </w:rPr>
        <w:t>care recipient</w:t>
      </w:r>
      <w:r w:rsidRPr="007F1A00">
        <w:rPr>
          <w:lang w:val="en-GB"/>
        </w:rPr>
        <w:t xml:space="preserve">’s care budget. </w:t>
      </w:r>
    </w:p>
    <w:p w:rsidR="0051735E" w:rsidRPr="007F1A00" w:rsidRDefault="0051735E" w:rsidP="00680D87">
      <w:pPr>
        <w:pStyle w:val="HeadingLevel4NoNumber"/>
        <w:rPr>
          <w:lang w:val="en-GB"/>
        </w:rPr>
      </w:pPr>
      <w:r w:rsidRPr="007F1A00">
        <w:rPr>
          <w:lang w:val="en-GB"/>
        </w:rPr>
        <w:t>People experiencing financial disadvantage</w:t>
      </w:r>
    </w:p>
    <w:p w:rsidR="008323BA" w:rsidRPr="007F1A00" w:rsidRDefault="0051735E" w:rsidP="007774F1">
      <w:pPr>
        <w:pStyle w:val="Bullet1stlevel"/>
        <w:numPr>
          <w:ilvl w:val="0"/>
          <w:numId w:val="0"/>
        </w:numPr>
        <w:rPr>
          <w:lang w:val="en-GB"/>
        </w:rPr>
      </w:pPr>
      <w:r w:rsidRPr="007F1A00">
        <w:rPr>
          <w:lang w:val="en-GB"/>
        </w:rPr>
        <w:t xml:space="preserve">In relation to fees collected from care recipients for the Programme, providers reported being flexible and responsive to the circumstances of individual care recipients. Despite this, co-payment was still identified as an issue and a potential barrier to Programme access. </w:t>
      </w:r>
      <w:r w:rsidR="007212F8">
        <w:rPr>
          <w:lang w:val="en-GB"/>
        </w:rPr>
        <w:t>The G</w:t>
      </w:r>
      <w:r w:rsidR="007774F1" w:rsidRPr="007F1A00">
        <w:rPr>
          <w:lang w:val="en-GB"/>
        </w:rPr>
        <w:t>uidelines state that</w:t>
      </w:r>
      <w:r w:rsidR="00F93FCD">
        <w:rPr>
          <w:lang w:val="en-GB"/>
        </w:rPr>
        <w:t>,</w:t>
      </w:r>
      <w:r w:rsidR="007774F1" w:rsidRPr="007F1A00">
        <w:rPr>
          <w:lang w:val="en-GB"/>
        </w:rPr>
        <w:t xml:space="preserve"> </w:t>
      </w:r>
      <w:r w:rsidR="008323BA" w:rsidRPr="007F1A00">
        <w:rPr>
          <w:lang w:val="en-GB"/>
        </w:rPr>
        <w:t>“</w:t>
      </w:r>
      <w:r w:rsidR="008323BA" w:rsidRPr="00081224">
        <w:rPr>
          <w:i/>
          <w:szCs w:val="20"/>
          <w:lang w:val="en-GB"/>
        </w:rPr>
        <w:t>Service providers may ask care recipients to pay a care fee as a contribution to the cost of their care. Any fees should be fully explained to the care recipient and the amount charged should form part of the agreement between the care recipient and service provider</w:t>
      </w:r>
      <w:r w:rsidR="007774F1" w:rsidRPr="00081224">
        <w:rPr>
          <w:i/>
          <w:szCs w:val="20"/>
          <w:lang w:val="en-GB"/>
        </w:rPr>
        <w:t xml:space="preserve"> … </w:t>
      </w:r>
      <w:r w:rsidR="008323BA" w:rsidRPr="00081224">
        <w:rPr>
          <w:i/>
          <w:szCs w:val="20"/>
          <w:lang w:val="en-GB"/>
        </w:rPr>
        <w:t>In determining a care recipient’s capacity to pay fees, the service provider should take into account any exceptional and unavoidable expenses incurred by the care recipient, such as high pharmaceutical bills.</w:t>
      </w:r>
      <w:r w:rsidR="008323BA" w:rsidRPr="007F1A00">
        <w:rPr>
          <w:szCs w:val="20"/>
          <w:lang w:val="en-GB"/>
        </w:rPr>
        <w:t>”</w:t>
      </w:r>
      <w:r w:rsidR="007774F1" w:rsidRPr="007F1A00">
        <w:rPr>
          <w:rStyle w:val="FootnoteReference"/>
          <w:szCs w:val="20"/>
          <w:lang w:val="en-GB"/>
        </w:rPr>
        <w:footnoteReference w:id="47"/>
      </w:r>
      <w:r w:rsidR="008323BA" w:rsidRPr="007F1A00">
        <w:rPr>
          <w:szCs w:val="20"/>
          <w:lang w:val="en-GB"/>
        </w:rPr>
        <w:t xml:space="preserve"> </w:t>
      </w:r>
      <w:r w:rsidR="00367667" w:rsidRPr="007F1A00">
        <w:rPr>
          <w:szCs w:val="20"/>
          <w:lang w:val="en-GB"/>
        </w:rPr>
        <w:t>Indeed, representative</w:t>
      </w:r>
      <w:r w:rsidRPr="007F1A00">
        <w:rPr>
          <w:szCs w:val="20"/>
          <w:lang w:val="en-GB"/>
        </w:rPr>
        <w:t>s</w:t>
      </w:r>
      <w:r w:rsidR="00367667" w:rsidRPr="007F1A00">
        <w:rPr>
          <w:szCs w:val="20"/>
          <w:lang w:val="en-GB"/>
        </w:rPr>
        <w:t xml:space="preserve"> reported that the cost of the Programme can be off-putting for potential care recipients, </w:t>
      </w:r>
      <w:r w:rsidRPr="007F1A00">
        <w:rPr>
          <w:szCs w:val="20"/>
          <w:lang w:val="en-GB"/>
        </w:rPr>
        <w:t>despite jurisdictions</w:t>
      </w:r>
      <w:r w:rsidR="00367667" w:rsidRPr="007F1A00">
        <w:rPr>
          <w:szCs w:val="20"/>
          <w:lang w:val="en-GB"/>
        </w:rPr>
        <w:t xml:space="preserve"> minimis</w:t>
      </w:r>
      <w:r w:rsidRPr="007F1A00">
        <w:rPr>
          <w:szCs w:val="20"/>
          <w:lang w:val="en-GB"/>
        </w:rPr>
        <w:t>ing</w:t>
      </w:r>
      <w:r w:rsidR="00367667" w:rsidRPr="007F1A00">
        <w:rPr>
          <w:szCs w:val="20"/>
          <w:lang w:val="en-GB"/>
        </w:rPr>
        <w:t xml:space="preserve"> or waiv</w:t>
      </w:r>
      <w:r w:rsidRPr="007F1A00">
        <w:rPr>
          <w:szCs w:val="20"/>
          <w:lang w:val="en-GB"/>
        </w:rPr>
        <w:t>ing</w:t>
      </w:r>
      <w:r w:rsidR="00367667" w:rsidRPr="007F1A00">
        <w:rPr>
          <w:szCs w:val="20"/>
          <w:lang w:val="en-GB"/>
        </w:rPr>
        <w:t xml:space="preserve"> the fees where possible. Further, the N</w:t>
      </w:r>
      <w:r w:rsidR="00F857BA">
        <w:rPr>
          <w:szCs w:val="20"/>
          <w:lang w:val="en-GB"/>
        </w:rPr>
        <w:t xml:space="preserve">T </w:t>
      </w:r>
      <w:r w:rsidR="00367667" w:rsidRPr="007F1A00">
        <w:rPr>
          <w:szCs w:val="20"/>
          <w:lang w:val="en-GB"/>
        </w:rPr>
        <w:t xml:space="preserve">stated their </w:t>
      </w:r>
      <w:r w:rsidR="00A31899" w:rsidRPr="007F1A00">
        <w:rPr>
          <w:szCs w:val="20"/>
          <w:lang w:val="en-GB"/>
        </w:rPr>
        <w:t>care recipient</w:t>
      </w:r>
      <w:r w:rsidR="00367667" w:rsidRPr="007F1A00">
        <w:rPr>
          <w:szCs w:val="20"/>
          <w:lang w:val="en-GB"/>
        </w:rPr>
        <w:t xml:space="preserve"> contribution is $25 per week</w:t>
      </w:r>
      <w:r w:rsidR="00F93FCD">
        <w:rPr>
          <w:szCs w:val="20"/>
          <w:lang w:val="en-GB"/>
        </w:rPr>
        <w:t xml:space="preserve">; </w:t>
      </w:r>
      <w:r w:rsidR="00367667" w:rsidRPr="007F1A00">
        <w:rPr>
          <w:szCs w:val="20"/>
          <w:lang w:val="en-GB"/>
        </w:rPr>
        <w:t>however</w:t>
      </w:r>
      <w:r w:rsidR="00F93FCD">
        <w:rPr>
          <w:szCs w:val="20"/>
          <w:lang w:val="en-GB"/>
        </w:rPr>
        <w:t>,</w:t>
      </w:r>
      <w:r w:rsidR="00367667" w:rsidRPr="007F1A00">
        <w:rPr>
          <w:szCs w:val="20"/>
          <w:lang w:val="en-GB"/>
        </w:rPr>
        <w:t xml:space="preserve"> this is negotiable with each </w:t>
      </w:r>
      <w:r w:rsidR="00A31899" w:rsidRPr="007F1A00">
        <w:rPr>
          <w:szCs w:val="20"/>
          <w:lang w:val="en-GB"/>
        </w:rPr>
        <w:t>care recipient</w:t>
      </w:r>
      <w:r w:rsidR="00367667" w:rsidRPr="007F1A00">
        <w:rPr>
          <w:szCs w:val="20"/>
          <w:lang w:val="en-GB"/>
        </w:rPr>
        <w:t>.</w:t>
      </w:r>
    </w:p>
    <w:p w:rsidR="0051735E" w:rsidRPr="007F1A00" w:rsidRDefault="0051735E" w:rsidP="002F24C1">
      <w:pPr>
        <w:pStyle w:val="HeadingLevel4NoNumber"/>
        <w:rPr>
          <w:lang w:val="en-GB"/>
        </w:rPr>
      </w:pPr>
      <w:r w:rsidRPr="007F1A00">
        <w:rPr>
          <w:lang w:val="en-GB"/>
        </w:rPr>
        <w:t>People living in rural and remote areas</w:t>
      </w:r>
    </w:p>
    <w:p w:rsidR="00882A95" w:rsidRPr="007F1A00" w:rsidRDefault="008323BA" w:rsidP="008323BA">
      <w:pPr>
        <w:pStyle w:val="Bullet1stlevel"/>
        <w:numPr>
          <w:ilvl w:val="0"/>
          <w:numId w:val="0"/>
        </w:numPr>
        <w:rPr>
          <w:lang w:val="en-GB"/>
        </w:rPr>
      </w:pPr>
      <w:r w:rsidRPr="007F1A00">
        <w:rPr>
          <w:lang w:val="en-GB"/>
        </w:rPr>
        <w:t>Access for peo</w:t>
      </w:r>
      <w:r w:rsidR="007774F1" w:rsidRPr="007F1A00">
        <w:rPr>
          <w:lang w:val="en-GB"/>
        </w:rPr>
        <w:t xml:space="preserve">ple in rural and </w:t>
      </w:r>
      <w:r w:rsidRPr="007F1A00">
        <w:rPr>
          <w:lang w:val="en-GB"/>
        </w:rPr>
        <w:t>remote areas is an ongoing issue due to the availability of local services.</w:t>
      </w:r>
      <w:r w:rsidR="00984586" w:rsidRPr="007F1A00">
        <w:rPr>
          <w:lang w:val="en-GB"/>
        </w:rPr>
        <w:t xml:space="preserve"> </w:t>
      </w:r>
      <w:r w:rsidR="00984586" w:rsidRPr="007F1A00">
        <w:rPr>
          <w:szCs w:val="20"/>
          <w:lang w:val="en-GB"/>
        </w:rPr>
        <w:t>The N</w:t>
      </w:r>
      <w:r w:rsidR="00F857BA">
        <w:rPr>
          <w:szCs w:val="20"/>
          <w:lang w:val="en-GB"/>
        </w:rPr>
        <w:t>T</w:t>
      </w:r>
      <w:r w:rsidR="006C271F">
        <w:rPr>
          <w:szCs w:val="20"/>
          <w:lang w:val="en-GB"/>
        </w:rPr>
        <w:t xml:space="preserve"> </w:t>
      </w:r>
      <w:r w:rsidR="00984586" w:rsidRPr="007F1A00">
        <w:rPr>
          <w:szCs w:val="20"/>
          <w:lang w:val="en-GB"/>
        </w:rPr>
        <w:t xml:space="preserve">reported that their TCP operates up to 180km outside of Darwin where there are no local therapists, </w:t>
      </w:r>
      <w:r w:rsidR="00886A7E">
        <w:rPr>
          <w:szCs w:val="20"/>
          <w:lang w:val="en-GB"/>
        </w:rPr>
        <w:t xml:space="preserve">resulting in </w:t>
      </w:r>
      <w:r w:rsidR="00984586" w:rsidRPr="007F1A00">
        <w:rPr>
          <w:szCs w:val="20"/>
          <w:lang w:val="en-GB"/>
        </w:rPr>
        <w:t>therapists</w:t>
      </w:r>
      <w:r w:rsidR="00886A7E">
        <w:rPr>
          <w:szCs w:val="20"/>
          <w:lang w:val="en-GB"/>
        </w:rPr>
        <w:t xml:space="preserve"> </w:t>
      </w:r>
      <w:r w:rsidR="00984586" w:rsidRPr="007F1A00">
        <w:rPr>
          <w:szCs w:val="20"/>
          <w:lang w:val="en-GB"/>
        </w:rPr>
        <w:t>travel</w:t>
      </w:r>
      <w:r w:rsidR="00886A7E">
        <w:rPr>
          <w:szCs w:val="20"/>
          <w:lang w:val="en-GB"/>
        </w:rPr>
        <w:t>ing</w:t>
      </w:r>
      <w:r w:rsidR="00984586" w:rsidRPr="007F1A00">
        <w:rPr>
          <w:szCs w:val="20"/>
          <w:lang w:val="en-GB"/>
        </w:rPr>
        <w:t xml:space="preserve"> out or the </w:t>
      </w:r>
      <w:r w:rsidR="00A31899" w:rsidRPr="007F1A00">
        <w:rPr>
          <w:szCs w:val="20"/>
          <w:lang w:val="en-GB"/>
        </w:rPr>
        <w:t>care recipient</w:t>
      </w:r>
      <w:r w:rsidR="00984586" w:rsidRPr="007F1A00">
        <w:rPr>
          <w:szCs w:val="20"/>
          <w:lang w:val="en-GB"/>
        </w:rPr>
        <w:t xml:space="preserve"> </w:t>
      </w:r>
      <w:r w:rsidR="00F93FCD">
        <w:rPr>
          <w:szCs w:val="20"/>
          <w:lang w:val="en-GB"/>
        </w:rPr>
        <w:t>being</w:t>
      </w:r>
      <w:r w:rsidR="00984586" w:rsidRPr="007F1A00">
        <w:rPr>
          <w:szCs w:val="20"/>
          <w:lang w:val="en-GB"/>
        </w:rPr>
        <w:t xml:space="preserve"> transported in</w:t>
      </w:r>
      <w:r w:rsidR="000D7A93" w:rsidRPr="007F1A00">
        <w:rPr>
          <w:szCs w:val="20"/>
          <w:lang w:val="en-GB"/>
        </w:rPr>
        <w:t>,</w:t>
      </w:r>
      <w:r w:rsidR="00F93FCD">
        <w:rPr>
          <w:szCs w:val="20"/>
          <w:lang w:val="en-GB"/>
        </w:rPr>
        <w:t xml:space="preserve"> both of</w:t>
      </w:r>
      <w:r w:rsidR="000D7A93" w:rsidRPr="007F1A00">
        <w:rPr>
          <w:szCs w:val="20"/>
          <w:lang w:val="en-GB"/>
        </w:rPr>
        <w:t xml:space="preserve"> which ha</w:t>
      </w:r>
      <w:r w:rsidR="00F93FCD">
        <w:rPr>
          <w:szCs w:val="20"/>
          <w:lang w:val="en-GB"/>
        </w:rPr>
        <w:t>ve</w:t>
      </w:r>
      <w:r w:rsidR="000D7A93" w:rsidRPr="007F1A00">
        <w:rPr>
          <w:szCs w:val="20"/>
          <w:lang w:val="en-GB"/>
        </w:rPr>
        <w:t xml:space="preserve"> cost implications</w:t>
      </w:r>
      <w:r w:rsidR="00984586" w:rsidRPr="007F1A00">
        <w:rPr>
          <w:szCs w:val="20"/>
          <w:lang w:val="en-GB"/>
        </w:rPr>
        <w:t xml:space="preserve">. </w:t>
      </w:r>
      <w:r w:rsidR="009338DF" w:rsidRPr="007F1A00">
        <w:rPr>
          <w:szCs w:val="20"/>
          <w:lang w:val="en-GB"/>
        </w:rPr>
        <w:t xml:space="preserve">This was supported by representatives from </w:t>
      </w:r>
      <w:r w:rsidR="00F93FCD">
        <w:rPr>
          <w:szCs w:val="20"/>
          <w:lang w:val="en-GB"/>
        </w:rPr>
        <w:t>Tasmania</w:t>
      </w:r>
      <w:r w:rsidR="009338DF" w:rsidRPr="007F1A00">
        <w:rPr>
          <w:szCs w:val="20"/>
          <w:lang w:val="en-GB"/>
        </w:rPr>
        <w:t xml:space="preserve">, who reported difficulty in sourcing service providers that can meet </w:t>
      </w:r>
      <w:r w:rsidR="00A31899" w:rsidRPr="007F1A00">
        <w:rPr>
          <w:szCs w:val="20"/>
          <w:lang w:val="en-GB"/>
        </w:rPr>
        <w:t>care recipient</w:t>
      </w:r>
      <w:r w:rsidR="009338DF" w:rsidRPr="007F1A00">
        <w:rPr>
          <w:szCs w:val="20"/>
          <w:lang w:val="en-GB"/>
        </w:rPr>
        <w:t xml:space="preserve"> needs in more remote areas.</w:t>
      </w:r>
      <w:r w:rsidR="000D7A93" w:rsidRPr="007F1A00">
        <w:rPr>
          <w:szCs w:val="20"/>
          <w:lang w:val="en-GB"/>
        </w:rPr>
        <w:t xml:space="preserve"> NSW providers </w:t>
      </w:r>
      <w:r w:rsidR="00F93FCD" w:rsidRPr="007F1A00">
        <w:rPr>
          <w:szCs w:val="20"/>
          <w:lang w:val="en-GB"/>
        </w:rPr>
        <w:t>report</w:t>
      </w:r>
      <w:r w:rsidR="00F93FCD">
        <w:rPr>
          <w:szCs w:val="20"/>
          <w:lang w:val="en-GB"/>
        </w:rPr>
        <w:t>ed</w:t>
      </w:r>
      <w:r w:rsidR="00F93FCD" w:rsidRPr="007F1A00">
        <w:rPr>
          <w:szCs w:val="20"/>
          <w:lang w:val="en-GB"/>
        </w:rPr>
        <w:t xml:space="preserve"> </w:t>
      </w:r>
      <w:r w:rsidR="000D7A93" w:rsidRPr="007F1A00">
        <w:rPr>
          <w:szCs w:val="20"/>
          <w:lang w:val="en-GB"/>
        </w:rPr>
        <w:t xml:space="preserve">having to cluster services in remote areas due to transport issues. Providers based in Queensland stated that it is difficult to make service provision to regional and rural areas financially viable and have declined referrals for people based in these areas on this basis. While telehealth is available, these providers stated it was not always appropriate as they cannot provide the appropriate level of service. </w:t>
      </w:r>
      <w:r w:rsidR="007126ED">
        <w:rPr>
          <w:lang w:val="en-GB"/>
        </w:rPr>
        <w:t>SA</w:t>
      </w:r>
      <w:r w:rsidR="00882A95" w:rsidRPr="007F1A00">
        <w:rPr>
          <w:szCs w:val="20"/>
          <w:lang w:val="en-GB"/>
        </w:rPr>
        <w:t xml:space="preserve"> representatives reported using tele-rehabilitation services more often and </w:t>
      </w:r>
      <w:r w:rsidR="007126ED">
        <w:rPr>
          <w:lang w:val="en-GB"/>
        </w:rPr>
        <w:t xml:space="preserve">SA </w:t>
      </w:r>
      <w:r w:rsidR="00882A95" w:rsidRPr="007F1A00">
        <w:rPr>
          <w:szCs w:val="20"/>
          <w:lang w:val="en-GB"/>
        </w:rPr>
        <w:t xml:space="preserve">Health has a digital </w:t>
      </w:r>
      <w:r w:rsidR="00882A95" w:rsidRPr="007F1A00">
        <w:rPr>
          <w:lang w:val="en-GB"/>
        </w:rPr>
        <w:t>telehealth network in every health unit</w:t>
      </w:r>
      <w:r w:rsidR="00F93FCD">
        <w:rPr>
          <w:lang w:val="en-GB"/>
        </w:rPr>
        <w:t>.</w:t>
      </w:r>
      <w:r w:rsidR="00246474">
        <w:rPr>
          <w:lang w:val="en-GB"/>
        </w:rPr>
        <w:t xml:space="preserve"> </w:t>
      </w:r>
      <w:r w:rsidR="00F93FCD">
        <w:rPr>
          <w:lang w:val="en-GB"/>
        </w:rPr>
        <w:t>C</w:t>
      </w:r>
      <w:r w:rsidR="00A31899" w:rsidRPr="007F1A00">
        <w:rPr>
          <w:lang w:val="en-GB"/>
        </w:rPr>
        <w:t>are recipient</w:t>
      </w:r>
      <w:r w:rsidR="00882A95" w:rsidRPr="007F1A00">
        <w:rPr>
          <w:lang w:val="en-GB"/>
        </w:rPr>
        <w:t xml:space="preserve">s can use iPads for increased frequency of service (however, reception is challenging in very remote areas). </w:t>
      </w:r>
      <w:r w:rsidR="007126ED">
        <w:rPr>
          <w:lang w:val="en-GB"/>
        </w:rPr>
        <w:t xml:space="preserve">SA </w:t>
      </w:r>
      <w:r w:rsidR="008C041C" w:rsidRPr="007F1A00">
        <w:rPr>
          <w:lang w:val="en-GB"/>
        </w:rPr>
        <w:t xml:space="preserve">and the </w:t>
      </w:r>
      <w:r w:rsidR="009E0E25">
        <w:rPr>
          <w:szCs w:val="20"/>
          <w:lang w:val="en-GB"/>
        </w:rPr>
        <w:t>NT</w:t>
      </w:r>
      <w:r w:rsidR="008C041C" w:rsidRPr="007F1A00">
        <w:rPr>
          <w:szCs w:val="20"/>
          <w:lang w:val="en-GB"/>
        </w:rPr>
        <w:t xml:space="preserve"> </w:t>
      </w:r>
      <w:r w:rsidR="00882A95" w:rsidRPr="007F1A00">
        <w:rPr>
          <w:lang w:val="en-GB"/>
        </w:rPr>
        <w:t xml:space="preserve">also </w:t>
      </w:r>
      <w:r w:rsidR="00882A95" w:rsidRPr="007F1A00">
        <w:rPr>
          <w:szCs w:val="20"/>
          <w:lang w:val="en-GB"/>
        </w:rPr>
        <w:t>reported that they use a fly in service for very remote areas of the</w:t>
      </w:r>
      <w:r w:rsidR="00F93FCD">
        <w:rPr>
          <w:szCs w:val="20"/>
          <w:lang w:val="en-GB"/>
        </w:rPr>
        <w:t>ir jurisdictions</w:t>
      </w:r>
      <w:r w:rsidR="00882A95" w:rsidRPr="007F1A00">
        <w:rPr>
          <w:szCs w:val="20"/>
          <w:lang w:val="en-GB"/>
        </w:rPr>
        <w:t>. This service maintains a regular roster of health staff who work across age groups and programs</w:t>
      </w:r>
      <w:r w:rsidR="00F93FCD">
        <w:rPr>
          <w:szCs w:val="20"/>
          <w:lang w:val="en-GB"/>
        </w:rPr>
        <w:t>;</w:t>
      </w:r>
      <w:r w:rsidR="00882A95" w:rsidRPr="007F1A00">
        <w:rPr>
          <w:szCs w:val="20"/>
          <w:lang w:val="en-GB"/>
        </w:rPr>
        <w:t xml:space="preserve"> however</w:t>
      </w:r>
      <w:r w:rsidR="00F93FCD">
        <w:rPr>
          <w:szCs w:val="20"/>
          <w:lang w:val="en-GB"/>
        </w:rPr>
        <w:t>,</w:t>
      </w:r>
      <w:r w:rsidR="00882A95" w:rsidRPr="007F1A00">
        <w:rPr>
          <w:szCs w:val="20"/>
          <w:lang w:val="en-GB"/>
        </w:rPr>
        <w:t xml:space="preserve"> some therapists only work on</w:t>
      </w:r>
      <w:r w:rsidR="00F93FCD">
        <w:rPr>
          <w:szCs w:val="20"/>
          <w:lang w:val="en-GB"/>
        </w:rPr>
        <w:t xml:space="preserve"> the</w:t>
      </w:r>
      <w:r w:rsidR="00882A95" w:rsidRPr="007F1A00">
        <w:rPr>
          <w:szCs w:val="20"/>
          <w:lang w:val="en-GB"/>
        </w:rPr>
        <w:t xml:space="preserve"> TCP. The cost of chartering flights for this service and the travel time involved are ongoing challenges for </w:t>
      </w:r>
      <w:r w:rsidR="00F93FCD">
        <w:rPr>
          <w:szCs w:val="20"/>
          <w:lang w:val="en-GB"/>
        </w:rPr>
        <w:t xml:space="preserve">the </w:t>
      </w:r>
      <w:r w:rsidR="00882A95" w:rsidRPr="007F1A00">
        <w:rPr>
          <w:szCs w:val="20"/>
          <w:lang w:val="en-GB"/>
        </w:rPr>
        <w:t xml:space="preserve">TCP in the </w:t>
      </w:r>
      <w:r w:rsidR="00F93FCD">
        <w:rPr>
          <w:szCs w:val="20"/>
          <w:lang w:val="en-GB"/>
        </w:rPr>
        <w:t>S</w:t>
      </w:r>
      <w:r w:rsidR="00882A95" w:rsidRPr="007F1A00">
        <w:rPr>
          <w:szCs w:val="20"/>
          <w:lang w:val="en-GB"/>
        </w:rPr>
        <w:t>tate.</w:t>
      </w:r>
    </w:p>
    <w:p w:rsidR="00885865" w:rsidRPr="007F1A00" w:rsidRDefault="000B1D40" w:rsidP="00885865">
      <w:pPr>
        <w:pStyle w:val="Heading2"/>
        <w:rPr>
          <w:lang w:val="en-GB"/>
        </w:rPr>
      </w:pPr>
      <w:bookmarkStart w:id="27" w:name="_Toc5270602"/>
      <w:r w:rsidRPr="007F1A00">
        <w:rPr>
          <w:lang w:val="en-GB"/>
        </w:rPr>
        <w:t>Variation across jurisdictions</w:t>
      </w:r>
      <w:bookmarkEnd w:id="27"/>
    </w:p>
    <w:p w:rsidR="00885865" w:rsidRPr="007F1A00" w:rsidRDefault="00FC41AF" w:rsidP="00885865">
      <w:pPr>
        <w:pStyle w:val="BodyText1"/>
        <w:rPr>
          <w:lang w:val="en-GB"/>
        </w:rPr>
      </w:pPr>
      <w:r w:rsidRPr="007F1A00">
        <w:rPr>
          <w:lang w:val="en-GB"/>
        </w:rPr>
        <w:t>This section details the</w:t>
      </w:r>
      <w:r w:rsidR="00885865" w:rsidRPr="007F1A00">
        <w:rPr>
          <w:lang w:val="en-GB"/>
        </w:rPr>
        <w:t xml:space="preserve"> two major findings </w:t>
      </w:r>
      <w:r w:rsidRPr="007F1A00">
        <w:rPr>
          <w:lang w:val="en-GB"/>
        </w:rPr>
        <w:t xml:space="preserve">relevant to the variations of the delivery of </w:t>
      </w:r>
      <w:r w:rsidR="003A2412">
        <w:rPr>
          <w:lang w:val="en-GB"/>
        </w:rPr>
        <w:t xml:space="preserve">the </w:t>
      </w:r>
      <w:r w:rsidRPr="007F1A00">
        <w:rPr>
          <w:lang w:val="en-GB"/>
        </w:rPr>
        <w:t>TCP across Australia:</w:t>
      </w:r>
    </w:p>
    <w:p w:rsidR="00885865" w:rsidRPr="007F1A00" w:rsidRDefault="00885865" w:rsidP="00885865">
      <w:pPr>
        <w:pStyle w:val="Bullet1stlevel"/>
        <w:rPr>
          <w:lang w:val="en-GB"/>
        </w:rPr>
      </w:pPr>
      <w:r w:rsidRPr="007F1A00">
        <w:rPr>
          <w:lang w:val="en-GB"/>
        </w:rPr>
        <w:t xml:space="preserve">The delivery and operation of </w:t>
      </w:r>
      <w:r w:rsidR="00F93FCD">
        <w:rPr>
          <w:lang w:val="en-GB"/>
        </w:rPr>
        <w:t xml:space="preserve">the </w:t>
      </w:r>
      <w:r w:rsidR="0096127B">
        <w:rPr>
          <w:lang w:val="en-GB"/>
        </w:rPr>
        <w:t>TCP varies across jurisdictions</w:t>
      </w:r>
      <w:r w:rsidR="00F93FCD">
        <w:rPr>
          <w:lang w:val="en-GB"/>
        </w:rPr>
        <w:t>; and</w:t>
      </w:r>
    </w:p>
    <w:p w:rsidR="00885865" w:rsidRPr="007F1A00" w:rsidRDefault="00885865" w:rsidP="00885865">
      <w:pPr>
        <w:pStyle w:val="Bullet1stlevel"/>
        <w:rPr>
          <w:lang w:val="en-GB"/>
        </w:rPr>
      </w:pPr>
      <w:r w:rsidRPr="007F1A00">
        <w:rPr>
          <w:lang w:val="en-GB"/>
        </w:rPr>
        <w:t>To help manage and alleviate variations, government stakeholders would like more opportunities to network with each other and the Commonwealth.</w:t>
      </w:r>
    </w:p>
    <w:p w:rsidR="000B1D40" w:rsidRPr="007F1A00" w:rsidRDefault="000B1D40" w:rsidP="000B1D40">
      <w:pPr>
        <w:pStyle w:val="Heading3"/>
        <w:rPr>
          <w:lang w:val="en-GB"/>
        </w:rPr>
      </w:pPr>
      <w:bookmarkStart w:id="28" w:name="_Ref536007863"/>
      <w:r w:rsidRPr="007F1A00">
        <w:rPr>
          <w:lang w:val="en-GB"/>
        </w:rPr>
        <w:t xml:space="preserve">The delivery and operation of </w:t>
      </w:r>
      <w:r w:rsidR="003A2412">
        <w:rPr>
          <w:lang w:val="en-GB"/>
        </w:rPr>
        <w:t xml:space="preserve">the </w:t>
      </w:r>
      <w:r w:rsidRPr="007F1A00">
        <w:rPr>
          <w:lang w:val="en-GB"/>
        </w:rPr>
        <w:t>TCP varies across jurisdictions</w:t>
      </w:r>
      <w:bookmarkEnd w:id="28"/>
      <w:r w:rsidRPr="007F1A00">
        <w:rPr>
          <w:lang w:val="en-GB"/>
        </w:rPr>
        <w:t xml:space="preserve"> </w:t>
      </w:r>
    </w:p>
    <w:p w:rsidR="00D00E1D" w:rsidRPr="007F1A00" w:rsidRDefault="00D00E1D" w:rsidP="00D00E1D">
      <w:pPr>
        <w:pStyle w:val="BodyText1"/>
        <w:rPr>
          <w:lang w:val="en-GB"/>
        </w:rPr>
      </w:pPr>
      <w:r w:rsidRPr="007F1A00">
        <w:rPr>
          <w:lang w:val="en-GB"/>
        </w:rPr>
        <w:t xml:space="preserve">There are variations in service types offered by each jurisdiction. As </w:t>
      </w:r>
      <w:r w:rsidRPr="007F1A00">
        <w:rPr>
          <w:lang w:val="en-GB"/>
        </w:rPr>
        <w:fldChar w:fldCharType="begin"/>
      </w:r>
      <w:r w:rsidRPr="007F1A00">
        <w:rPr>
          <w:lang w:val="en-GB"/>
        </w:rPr>
        <w:instrText xml:space="preserve"> REF _Ref535506688 \h  \* MERGEFORMAT </w:instrText>
      </w:r>
      <w:r w:rsidRPr="007F1A00">
        <w:rPr>
          <w:lang w:val="en-GB"/>
        </w:rPr>
      </w:r>
      <w:r w:rsidRPr="007F1A00">
        <w:rPr>
          <w:lang w:val="en-GB"/>
        </w:rPr>
        <w:fldChar w:fldCharType="separate"/>
      </w:r>
      <w:r w:rsidR="00DD20F5" w:rsidRPr="007F1A00">
        <w:rPr>
          <w:lang w:val="en-GB"/>
        </w:rPr>
        <w:t xml:space="preserve">Figure </w:t>
      </w:r>
      <w:r w:rsidR="00DD20F5">
        <w:rPr>
          <w:lang w:val="en-GB"/>
        </w:rPr>
        <w:t>7</w:t>
      </w:r>
      <w:r w:rsidRPr="007F1A00">
        <w:rPr>
          <w:lang w:val="en-GB"/>
        </w:rPr>
        <w:fldChar w:fldCharType="end"/>
      </w:r>
      <w:r w:rsidRPr="007F1A00">
        <w:rPr>
          <w:lang w:val="en-GB"/>
        </w:rPr>
        <w:t xml:space="preserve"> demonstrates, W</w:t>
      </w:r>
      <w:r w:rsidR="00886A7E">
        <w:rPr>
          <w:lang w:val="en-GB"/>
        </w:rPr>
        <w:t>A</w:t>
      </w:r>
      <w:r w:rsidR="00CB71DD" w:rsidRPr="007F1A00">
        <w:rPr>
          <w:lang w:val="en-GB"/>
        </w:rPr>
        <w:t xml:space="preserve"> and</w:t>
      </w:r>
      <w:r w:rsidRPr="007F1A00">
        <w:rPr>
          <w:lang w:val="en-GB"/>
        </w:rPr>
        <w:t xml:space="preserve"> Victoria have the highest proportion of ‘residential only’ services types offered in 2017/18, comprising 79.6</w:t>
      </w:r>
      <w:r w:rsidR="00043AE6" w:rsidRPr="007F1A00">
        <w:rPr>
          <w:lang w:val="en-GB"/>
        </w:rPr>
        <w:t xml:space="preserve"> per cent</w:t>
      </w:r>
      <w:r w:rsidRPr="007F1A00">
        <w:rPr>
          <w:lang w:val="en-GB"/>
        </w:rPr>
        <w:t xml:space="preserve"> and 67</w:t>
      </w:r>
      <w:r w:rsidR="00043AE6" w:rsidRPr="007F1A00">
        <w:rPr>
          <w:lang w:val="en-GB"/>
        </w:rPr>
        <w:t xml:space="preserve"> per cent</w:t>
      </w:r>
      <w:r w:rsidRPr="007F1A00">
        <w:rPr>
          <w:lang w:val="en-GB"/>
        </w:rPr>
        <w:t xml:space="preserve"> of services offered in each of these </w:t>
      </w:r>
      <w:r w:rsidR="00F93FCD">
        <w:rPr>
          <w:lang w:val="en-GB"/>
        </w:rPr>
        <w:t>S</w:t>
      </w:r>
      <w:r w:rsidRPr="007F1A00">
        <w:rPr>
          <w:lang w:val="en-GB"/>
        </w:rPr>
        <w:t>tates</w:t>
      </w:r>
      <w:r w:rsidR="00F93FCD">
        <w:rPr>
          <w:lang w:val="en-GB"/>
        </w:rPr>
        <w:t>,</w:t>
      </w:r>
      <w:r w:rsidRPr="007F1A00">
        <w:rPr>
          <w:lang w:val="en-GB"/>
        </w:rPr>
        <w:t xml:space="preserve"> </w:t>
      </w:r>
      <w:r w:rsidR="007D0646" w:rsidRPr="007F1A00">
        <w:rPr>
          <w:lang w:val="en-GB"/>
        </w:rPr>
        <w:t>respectively. In contrast,</w:t>
      </w:r>
      <w:r w:rsidRPr="007F1A00">
        <w:rPr>
          <w:lang w:val="en-GB"/>
        </w:rPr>
        <w:t xml:space="preserve"> </w:t>
      </w:r>
      <w:r w:rsidR="007D0646" w:rsidRPr="007F1A00">
        <w:rPr>
          <w:lang w:val="en-GB"/>
        </w:rPr>
        <w:t>N</w:t>
      </w:r>
      <w:r w:rsidR="00886A7E">
        <w:rPr>
          <w:lang w:val="en-GB"/>
        </w:rPr>
        <w:t>SW</w:t>
      </w:r>
      <w:r w:rsidRPr="007F1A00">
        <w:rPr>
          <w:lang w:val="en-GB"/>
        </w:rPr>
        <w:t>, Queensland and the N</w:t>
      </w:r>
      <w:r w:rsidR="00886A7E">
        <w:rPr>
          <w:lang w:val="en-GB"/>
        </w:rPr>
        <w:t>T</w:t>
      </w:r>
      <w:r w:rsidRPr="007F1A00">
        <w:rPr>
          <w:lang w:val="en-GB"/>
        </w:rPr>
        <w:t xml:space="preserve"> offered ‘community only’ services types at a proportion of 94.6</w:t>
      </w:r>
      <w:r w:rsidR="0077577D" w:rsidRPr="007F1A00">
        <w:rPr>
          <w:lang w:val="en-GB"/>
        </w:rPr>
        <w:t xml:space="preserve"> per cent</w:t>
      </w:r>
      <w:r w:rsidRPr="007F1A00">
        <w:rPr>
          <w:lang w:val="en-GB"/>
        </w:rPr>
        <w:t>, 85.3</w:t>
      </w:r>
      <w:r w:rsidR="0077577D" w:rsidRPr="007F1A00">
        <w:rPr>
          <w:lang w:val="en-GB"/>
        </w:rPr>
        <w:t xml:space="preserve"> per cent</w:t>
      </w:r>
      <w:r w:rsidRPr="007F1A00">
        <w:rPr>
          <w:lang w:val="en-GB"/>
        </w:rPr>
        <w:t>, and 68.4</w:t>
      </w:r>
      <w:r w:rsidR="0077577D" w:rsidRPr="007F1A00">
        <w:rPr>
          <w:lang w:val="en-GB"/>
        </w:rPr>
        <w:t xml:space="preserve"> per cent</w:t>
      </w:r>
      <w:r w:rsidRPr="007F1A00">
        <w:rPr>
          <w:lang w:val="en-GB"/>
        </w:rPr>
        <w:t xml:space="preserve"> respectively. It is likely that this impacts</w:t>
      </w:r>
      <w:r w:rsidR="00246474">
        <w:rPr>
          <w:lang w:val="en-GB"/>
        </w:rPr>
        <w:t xml:space="preserve"> </w:t>
      </w:r>
      <w:r w:rsidRPr="007F1A00">
        <w:rPr>
          <w:lang w:val="en-GB"/>
        </w:rPr>
        <w:t xml:space="preserve">the variation in expenditure seen across the </w:t>
      </w:r>
      <w:r w:rsidR="007211BF">
        <w:rPr>
          <w:lang w:val="en-GB"/>
        </w:rPr>
        <w:t>States and Territories</w:t>
      </w:r>
      <w:r w:rsidRPr="007F1A00">
        <w:rPr>
          <w:lang w:val="en-GB"/>
        </w:rPr>
        <w:t xml:space="preserve">, as operating costs as a proportion of all major expenditure in each </w:t>
      </w:r>
      <w:r w:rsidR="007211BF">
        <w:rPr>
          <w:lang w:val="en-GB"/>
        </w:rPr>
        <w:t>State and Territory</w:t>
      </w:r>
      <w:r w:rsidRPr="007F1A00">
        <w:rPr>
          <w:lang w:val="en-GB"/>
        </w:rPr>
        <w:t xml:space="preserve"> were highest in </w:t>
      </w:r>
      <w:r w:rsidR="00CB71DD" w:rsidRPr="007F1A00">
        <w:rPr>
          <w:lang w:val="en-GB"/>
        </w:rPr>
        <w:t>W</w:t>
      </w:r>
      <w:r w:rsidR="00886A7E">
        <w:rPr>
          <w:lang w:val="en-GB"/>
        </w:rPr>
        <w:t>A</w:t>
      </w:r>
      <w:r w:rsidR="00CB71DD" w:rsidRPr="007F1A00">
        <w:rPr>
          <w:lang w:val="en-GB"/>
        </w:rPr>
        <w:t xml:space="preserve"> and Victoria</w:t>
      </w:r>
      <w:r w:rsidRPr="007F1A00">
        <w:rPr>
          <w:lang w:val="en-GB"/>
        </w:rPr>
        <w:t>.</w:t>
      </w:r>
    </w:p>
    <w:p w:rsidR="00D00E1D" w:rsidRPr="007F1A00" w:rsidRDefault="00D00E1D" w:rsidP="005D2C05">
      <w:pPr>
        <w:pStyle w:val="Caption"/>
        <w:rPr>
          <w:lang w:val="en-GB"/>
        </w:rPr>
      </w:pPr>
      <w:bookmarkStart w:id="29" w:name="_Ref535506688"/>
      <w:r w:rsidRPr="007F1A00">
        <w:rPr>
          <w:lang w:val="en-GB"/>
        </w:rPr>
        <w:t xml:space="preserve">Figure </w:t>
      </w:r>
      <w:r w:rsidRPr="007F1A00">
        <w:rPr>
          <w:lang w:val="en-GB"/>
        </w:rPr>
        <w:fldChar w:fldCharType="begin"/>
      </w:r>
      <w:r w:rsidRPr="007F1A00">
        <w:rPr>
          <w:lang w:val="en-GB"/>
        </w:rPr>
        <w:instrText xml:space="preserve"> SEQ Figure \* ARABIC </w:instrText>
      </w:r>
      <w:r w:rsidRPr="007F1A00">
        <w:rPr>
          <w:lang w:val="en-GB"/>
        </w:rPr>
        <w:fldChar w:fldCharType="separate"/>
      </w:r>
      <w:r w:rsidR="00DD20F5">
        <w:rPr>
          <w:noProof/>
          <w:lang w:val="en-GB"/>
        </w:rPr>
        <w:t>7</w:t>
      </w:r>
      <w:r w:rsidRPr="007F1A00">
        <w:rPr>
          <w:lang w:val="en-GB"/>
        </w:rPr>
        <w:fldChar w:fldCharType="end"/>
      </w:r>
      <w:bookmarkEnd w:id="29"/>
      <w:r w:rsidRPr="007F1A00">
        <w:rPr>
          <w:lang w:val="en-GB"/>
        </w:rPr>
        <w:t xml:space="preserve">: Types of services offered by </w:t>
      </w:r>
      <w:r w:rsidR="002812BA" w:rsidRPr="007F1A00">
        <w:rPr>
          <w:lang w:val="en-GB"/>
        </w:rPr>
        <w:t>State</w:t>
      </w:r>
      <w:r w:rsidR="00BA4FE7" w:rsidRPr="007F1A00">
        <w:rPr>
          <w:lang w:val="en-GB"/>
        </w:rPr>
        <w:t>s</w:t>
      </w:r>
      <w:r w:rsidRPr="007F1A00">
        <w:rPr>
          <w:lang w:val="en-GB"/>
        </w:rPr>
        <w:t>/</w:t>
      </w:r>
      <w:r w:rsidR="00BA4FE7" w:rsidRPr="007F1A00">
        <w:rPr>
          <w:lang w:val="en-GB"/>
        </w:rPr>
        <w:t>Territories</w:t>
      </w:r>
      <w:r w:rsidRPr="007F1A00">
        <w:rPr>
          <w:lang w:val="en-GB"/>
        </w:rPr>
        <w:t xml:space="preserve"> as a proportion of all services</w:t>
      </w:r>
      <w:r w:rsidR="00BA4FE7" w:rsidRPr="007F1A00">
        <w:rPr>
          <w:lang w:val="en-GB"/>
        </w:rPr>
        <w:t xml:space="preserve"> offered by each jurisdiction in 2017/18</w:t>
      </w:r>
    </w:p>
    <w:p w:rsidR="00BE0797" w:rsidRPr="007F1A00" w:rsidRDefault="00BE0797" w:rsidP="00BA4FE7">
      <w:pPr>
        <w:rPr>
          <w:lang w:val="en-GB"/>
        </w:rPr>
      </w:pPr>
      <w:r>
        <w:rPr>
          <w:noProof/>
          <w:lang w:val="en-GB" w:eastAsia="en-GB"/>
        </w:rPr>
        <w:drawing>
          <wp:inline distT="0" distB="0" distL="0" distR="0" wp14:anchorId="5010ADD7">
            <wp:extent cx="5761355" cy="3310255"/>
            <wp:effectExtent l="0" t="0" r="0" b="0"/>
            <wp:docPr id="6" name="Picture 6" descr="In NSW 11% were residential only, 84% were community only and 55% were both residential and community &#10;In VIC 67% were residential only, 26% were community only and 79% were both residential and community &#10;In QLD 20% were residential only, 72% were community only and 8% were both residential and community &#10;In WA 76% were residential only, 19% were community only and 5% were both residential and community &#10;In SA 48% were residential only, 44% were community only and 8% were both residential and community &#10;In TAS 49% were residential only, 43% were community only and 8% were both residential and community &#10;In ACT 42% were residential only, 46% were community only and 12% were both residential and community &#10;In NT 29% were residential only, 67% were community only and 5% were both residential and community " title="Figure 8 shows the Types of services offered by States/Territories as a proportion of all services offered by each jurisdiction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310255"/>
                    </a:xfrm>
                    <a:prstGeom prst="rect">
                      <a:avLst/>
                    </a:prstGeom>
                    <a:noFill/>
                  </pic:spPr>
                </pic:pic>
              </a:graphicData>
            </a:graphic>
          </wp:inline>
        </w:drawing>
      </w:r>
    </w:p>
    <w:p w:rsidR="00D00E1D" w:rsidRPr="007F1A00" w:rsidRDefault="00D00E1D" w:rsidP="00B223B4">
      <w:pPr>
        <w:pStyle w:val="Bullet1stlevel"/>
        <w:numPr>
          <w:ilvl w:val="0"/>
          <w:numId w:val="0"/>
        </w:numPr>
        <w:rPr>
          <w:lang w:val="en-GB"/>
        </w:rPr>
      </w:pPr>
      <w:r w:rsidRPr="007F1A00">
        <w:rPr>
          <w:color w:val="44546A" w:themeColor="text2"/>
          <w:sz w:val="18"/>
          <w:szCs w:val="18"/>
          <w:lang w:val="en-GB"/>
        </w:rPr>
        <w:t xml:space="preserve">Source: </w:t>
      </w:r>
      <w:r w:rsidR="00052676" w:rsidRPr="007F1A00">
        <w:rPr>
          <w:color w:val="44546A" w:themeColor="text2"/>
          <w:sz w:val="18"/>
          <w:szCs w:val="18"/>
          <w:lang w:val="en-GB"/>
        </w:rPr>
        <w:t>Department of Health</w:t>
      </w:r>
    </w:p>
    <w:p w:rsidR="00A42606" w:rsidRPr="007F1A00" w:rsidRDefault="000B1D40" w:rsidP="00B223B4">
      <w:pPr>
        <w:pStyle w:val="Bullet1stlevel"/>
        <w:numPr>
          <w:ilvl w:val="0"/>
          <w:numId w:val="0"/>
        </w:numPr>
        <w:rPr>
          <w:lang w:val="en-GB"/>
        </w:rPr>
      </w:pPr>
      <w:r w:rsidRPr="007F1A00">
        <w:rPr>
          <w:lang w:val="en-GB"/>
        </w:rPr>
        <w:t xml:space="preserve">The application of the </w:t>
      </w:r>
      <w:r w:rsidR="00212781">
        <w:rPr>
          <w:lang w:val="en-GB"/>
        </w:rPr>
        <w:t>G</w:t>
      </w:r>
      <w:r w:rsidRPr="007F1A00">
        <w:rPr>
          <w:lang w:val="en-GB"/>
        </w:rPr>
        <w:t>uidelines varies, with reported differences in accepting</w:t>
      </w:r>
      <w:r w:rsidR="00A42606" w:rsidRPr="007F1A00">
        <w:rPr>
          <w:lang w:val="en-GB"/>
        </w:rPr>
        <w:t xml:space="preserve"> different cohorts of people. For example</w:t>
      </w:r>
      <w:r w:rsidR="00F93FCD">
        <w:rPr>
          <w:lang w:val="en-GB"/>
        </w:rPr>
        <w:t>:</w:t>
      </w:r>
    </w:p>
    <w:p w:rsidR="00012A20" w:rsidRPr="007F1A00" w:rsidRDefault="00E50CFC" w:rsidP="00B223B4">
      <w:pPr>
        <w:pStyle w:val="Bullet1stlevel"/>
        <w:rPr>
          <w:lang w:val="en-GB"/>
        </w:rPr>
      </w:pPr>
      <w:r w:rsidRPr="007F1A00">
        <w:rPr>
          <w:lang w:val="en-GB"/>
        </w:rPr>
        <w:t xml:space="preserve">in </w:t>
      </w:r>
      <w:r w:rsidR="00012A20" w:rsidRPr="007F1A00">
        <w:rPr>
          <w:lang w:val="en-GB"/>
        </w:rPr>
        <w:t>W</w:t>
      </w:r>
      <w:r w:rsidR="00886A7E">
        <w:rPr>
          <w:lang w:val="en-GB"/>
        </w:rPr>
        <w:t>A</w:t>
      </w:r>
      <w:r w:rsidR="007126ED">
        <w:rPr>
          <w:lang w:val="en-GB"/>
        </w:rPr>
        <w:t>,</w:t>
      </w:r>
      <w:r w:rsidR="006C271F">
        <w:rPr>
          <w:lang w:val="en-GB"/>
        </w:rPr>
        <w:t xml:space="preserve"> </w:t>
      </w:r>
      <w:r w:rsidR="00F93FCD">
        <w:rPr>
          <w:lang w:val="en-GB"/>
        </w:rPr>
        <w:t xml:space="preserve">the </w:t>
      </w:r>
      <w:r w:rsidR="00142AFB" w:rsidRPr="007F1A00">
        <w:rPr>
          <w:lang w:val="en-GB"/>
        </w:rPr>
        <w:t xml:space="preserve">TCP </w:t>
      </w:r>
      <w:r w:rsidRPr="007F1A00">
        <w:rPr>
          <w:lang w:val="en-GB"/>
        </w:rPr>
        <w:t xml:space="preserve">accepts </w:t>
      </w:r>
      <w:r w:rsidR="00142AFB" w:rsidRPr="007F1A00">
        <w:rPr>
          <w:lang w:val="en-GB"/>
        </w:rPr>
        <w:t>care recipients</w:t>
      </w:r>
      <w:r w:rsidRPr="007F1A00">
        <w:rPr>
          <w:lang w:val="en-GB"/>
        </w:rPr>
        <w:t xml:space="preserve"> </w:t>
      </w:r>
      <w:r w:rsidR="00012A20" w:rsidRPr="007F1A00">
        <w:rPr>
          <w:lang w:val="en-GB"/>
        </w:rPr>
        <w:t>with delirium and non-weight bearing fractures who are</w:t>
      </w:r>
      <w:r w:rsidRPr="007F1A00">
        <w:rPr>
          <w:lang w:val="en-GB"/>
        </w:rPr>
        <w:t xml:space="preserve"> </w:t>
      </w:r>
      <w:r w:rsidR="00012A20" w:rsidRPr="007F1A00">
        <w:rPr>
          <w:lang w:val="en-GB"/>
        </w:rPr>
        <w:t>n</w:t>
      </w:r>
      <w:r w:rsidRPr="007F1A00">
        <w:rPr>
          <w:lang w:val="en-GB"/>
        </w:rPr>
        <w:t>o</w:t>
      </w:r>
      <w:r w:rsidR="00012A20" w:rsidRPr="007F1A00">
        <w:rPr>
          <w:lang w:val="en-GB"/>
        </w:rPr>
        <w:t xml:space="preserve">t </w:t>
      </w:r>
      <w:r w:rsidRPr="007F1A00">
        <w:rPr>
          <w:lang w:val="en-GB"/>
        </w:rPr>
        <w:t>suitable for tradit</w:t>
      </w:r>
      <w:r w:rsidR="00CC4799" w:rsidRPr="007F1A00">
        <w:rPr>
          <w:lang w:val="en-GB"/>
        </w:rPr>
        <w:t>ional rehabilitation programs</w:t>
      </w:r>
      <w:r w:rsidR="00F93FCD">
        <w:rPr>
          <w:lang w:val="en-GB"/>
        </w:rPr>
        <w:t xml:space="preserve">; </w:t>
      </w:r>
    </w:p>
    <w:p w:rsidR="00E50CFC" w:rsidRPr="007F1A00" w:rsidRDefault="00E50CFC" w:rsidP="00B223B4">
      <w:pPr>
        <w:pStyle w:val="Bullet1stlevel"/>
        <w:rPr>
          <w:lang w:val="en-GB"/>
        </w:rPr>
      </w:pPr>
      <w:r w:rsidRPr="007F1A00">
        <w:rPr>
          <w:lang w:val="en-GB"/>
        </w:rPr>
        <w:t xml:space="preserve">in </w:t>
      </w:r>
      <w:r w:rsidR="007126ED">
        <w:rPr>
          <w:lang w:val="en-GB"/>
        </w:rPr>
        <w:t>SA,</w:t>
      </w:r>
      <w:r w:rsidR="00F93FCD">
        <w:rPr>
          <w:lang w:val="en-GB"/>
        </w:rPr>
        <w:t xml:space="preserve"> the</w:t>
      </w:r>
      <w:r w:rsidR="007126ED">
        <w:rPr>
          <w:lang w:val="en-GB"/>
        </w:rPr>
        <w:t xml:space="preserve"> </w:t>
      </w:r>
      <w:r w:rsidR="00142AFB" w:rsidRPr="007F1A00">
        <w:rPr>
          <w:lang w:val="en-GB"/>
        </w:rPr>
        <w:t xml:space="preserve">TCP </w:t>
      </w:r>
      <w:r w:rsidR="00CC4799" w:rsidRPr="007F1A00">
        <w:rPr>
          <w:lang w:val="en-GB"/>
        </w:rPr>
        <w:t xml:space="preserve">also </w:t>
      </w:r>
      <w:r w:rsidRPr="007F1A00">
        <w:rPr>
          <w:lang w:val="en-GB"/>
        </w:rPr>
        <w:t xml:space="preserve">accepts </w:t>
      </w:r>
      <w:r w:rsidR="00A31899" w:rsidRPr="007F1A00">
        <w:rPr>
          <w:lang w:val="en-GB"/>
        </w:rPr>
        <w:t>care recipient</w:t>
      </w:r>
      <w:r w:rsidRPr="007F1A00">
        <w:rPr>
          <w:lang w:val="en-GB"/>
        </w:rPr>
        <w:t>s with non</w:t>
      </w:r>
      <w:r w:rsidR="00CC4799" w:rsidRPr="007F1A00">
        <w:rPr>
          <w:lang w:val="en-GB"/>
        </w:rPr>
        <w:t>-weight bearing fractures</w:t>
      </w:r>
      <w:r w:rsidR="00F93FCD">
        <w:rPr>
          <w:lang w:val="en-GB"/>
        </w:rPr>
        <w:t>; but</w:t>
      </w:r>
    </w:p>
    <w:p w:rsidR="00E50CFC" w:rsidRPr="007F1A00" w:rsidRDefault="00E50CFC" w:rsidP="00E50CFC">
      <w:pPr>
        <w:pStyle w:val="Bullet1stlevel"/>
        <w:rPr>
          <w:lang w:val="en-GB"/>
        </w:rPr>
      </w:pPr>
      <w:r w:rsidRPr="007F1A00">
        <w:rPr>
          <w:lang w:val="en-GB"/>
        </w:rPr>
        <w:t xml:space="preserve">in </w:t>
      </w:r>
      <w:r w:rsidR="00012A20" w:rsidRPr="007F1A00">
        <w:rPr>
          <w:lang w:val="en-GB"/>
        </w:rPr>
        <w:t>NSW</w:t>
      </w:r>
      <w:r w:rsidR="007126ED">
        <w:rPr>
          <w:lang w:val="en-GB"/>
        </w:rPr>
        <w:t>,</w:t>
      </w:r>
      <w:r w:rsidRPr="007F1A00">
        <w:rPr>
          <w:lang w:val="en-GB"/>
        </w:rPr>
        <w:t xml:space="preserve"> </w:t>
      </w:r>
      <w:r w:rsidR="00F93FCD">
        <w:rPr>
          <w:lang w:val="en-GB"/>
        </w:rPr>
        <w:t xml:space="preserve">the </w:t>
      </w:r>
      <w:r w:rsidR="00142AFB" w:rsidRPr="007F1A00">
        <w:rPr>
          <w:lang w:val="en-GB"/>
        </w:rPr>
        <w:t xml:space="preserve">TCP </w:t>
      </w:r>
      <w:r w:rsidRPr="007F1A00">
        <w:rPr>
          <w:lang w:val="en-GB"/>
        </w:rPr>
        <w:t xml:space="preserve">will not accept any </w:t>
      </w:r>
      <w:r w:rsidR="00A31899" w:rsidRPr="007F1A00">
        <w:rPr>
          <w:lang w:val="en-GB"/>
        </w:rPr>
        <w:t>care recipient</w:t>
      </w:r>
      <w:r w:rsidRPr="007F1A00">
        <w:rPr>
          <w:lang w:val="en-GB"/>
        </w:rPr>
        <w:t>s with delirium nor non-weight bearing fractures</w:t>
      </w:r>
      <w:r w:rsidR="00012A20" w:rsidRPr="007F1A00">
        <w:rPr>
          <w:lang w:val="en-GB"/>
        </w:rPr>
        <w:t>.</w:t>
      </w:r>
    </w:p>
    <w:p w:rsidR="003F00A3" w:rsidRPr="007F1A00" w:rsidRDefault="003F00A3" w:rsidP="003F00A3">
      <w:pPr>
        <w:pStyle w:val="Bullet1stlevel"/>
        <w:numPr>
          <w:ilvl w:val="0"/>
          <w:numId w:val="0"/>
        </w:numPr>
        <w:rPr>
          <w:lang w:val="en-GB"/>
        </w:rPr>
      </w:pPr>
      <w:r w:rsidRPr="007F1A00">
        <w:rPr>
          <w:lang w:val="en-GB"/>
        </w:rPr>
        <w:t xml:space="preserve">Related to this issue, there are examples of </w:t>
      </w:r>
      <w:r w:rsidR="00F93FCD">
        <w:rPr>
          <w:lang w:val="en-GB"/>
        </w:rPr>
        <w:t xml:space="preserve">the </w:t>
      </w:r>
      <w:r w:rsidRPr="007F1A00">
        <w:rPr>
          <w:lang w:val="en-GB"/>
        </w:rPr>
        <w:t xml:space="preserve">TCP being used as a ‘stop gap’ measure. Specifically, some jurisdictions have used </w:t>
      </w:r>
      <w:r w:rsidR="00F93FCD">
        <w:rPr>
          <w:lang w:val="en-GB"/>
        </w:rPr>
        <w:t xml:space="preserve">the </w:t>
      </w:r>
      <w:r w:rsidRPr="007F1A00">
        <w:rPr>
          <w:lang w:val="en-GB"/>
        </w:rPr>
        <w:t xml:space="preserve">TCP as a method of socialising ongoing residential facilities for families who may be reluctant to put someone into </w:t>
      </w:r>
      <w:r w:rsidR="0077577D" w:rsidRPr="007F1A00">
        <w:rPr>
          <w:lang w:val="en-GB"/>
        </w:rPr>
        <w:t xml:space="preserve">ongoing residential </w:t>
      </w:r>
      <w:r w:rsidRPr="007F1A00">
        <w:rPr>
          <w:lang w:val="en-GB"/>
        </w:rPr>
        <w:t>care. TCP providers in Victoria stated that</w:t>
      </w:r>
      <w:r w:rsidR="006628DA">
        <w:rPr>
          <w:lang w:val="en-GB"/>
        </w:rPr>
        <w:t xml:space="preserve"> the</w:t>
      </w:r>
      <w:r w:rsidRPr="007F1A00">
        <w:rPr>
          <w:lang w:val="en-GB"/>
        </w:rPr>
        <w:t xml:space="preserve"> TCP is often used as a pathway into residential care. Representatives reported that entering into ongoing care can be a difficult process for the </w:t>
      </w:r>
      <w:r w:rsidR="00A31899" w:rsidRPr="007F1A00">
        <w:rPr>
          <w:lang w:val="en-GB"/>
        </w:rPr>
        <w:t>care recipient</w:t>
      </w:r>
      <w:r w:rsidRPr="007F1A00">
        <w:rPr>
          <w:lang w:val="en-GB"/>
        </w:rPr>
        <w:t xml:space="preserve"> and their family, so </w:t>
      </w:r>
      <w:r w:rsidR="006628DA">
        <w:rPr>
          <w:lang w:val="en-GB"/>
        </w:rPr>
        <w:t xml:space="preserve">the </w:t>
      </w:r>
      <w:r w:rsidRPr="007F1A00">
        <w:rPr>
          <w:lang w:val="en-GB"/>
        </w:rPr>
        <w:t xml:space="preserve">TCP is used to help them process this change. </w:t>
      </w:r>
      <w:r w:rsidR="006B0BBA">
        <w:rPr>
          <w:lang w:val="en-GB"/>
        </w:rPr>
        <w:t xml:space="preserve">SA stakeholders </w:t>
      </w:r>
      <w:r w:rsidRPr="007F1A00">
        <w:rPr>
          <w:lang w:val="en-GB"/>
        </w:rPr>
        <w:t xml:space="preserve">also stated that the Programme allows the care recipient and their family to be supported as they transition towards ongoing care. Further, WA </w:t>
      </w:r>
      <w:r w:rsidR="006B0BBA">
        <w:rPr>
          <w:lang w:val="en-GB"/>
        </w:rPr>
        <w:t>stakeholders</w:t>
      </w:r>
      <w:r w:rsidRPr="007F1A00">
        <w:rPr>
          <w:lang w:val="en-GB"/>
        </w:rPr>
        <w:t xml:space="preserve"> identified a major cohort of their care recipients as people who need permanent care, describing </w:t>
      </w:r>
      <w:r w:rsidR="006628DA">
        <w:rPr>
          <w:lang w:val="en-GB"/>
        </w:rPr>
        <w:t xml:space="preserve">the </w:t>
      </w:r>
      <w:r w:rsidRPr="007F1A00">
        <w:rPr>
          <w:lang w:val="en-GB"/>
        </w:rPr>
        <w:t>TCP as a “sanctuary” for this group.</w:t>
      </w:r>
    </w:p>
    <w:p w:rsidR="00C56FBA" w:rsidRPr="007F1A00" w:rsidRDefault="00C56FBA" w:rsidP="00DE5795">
      <w:pPr>
        <w:pStyle w:val="BodyText1"/>
        <w:rPr>
          <w:lang w:val="en-GB"/>
        </w:rPr>
      </w:pPr>
      <w:r w:rsidRPr="007F1A00">
        <w:rPr>
          <w:lang w:val="en-GB"/>
        </w:rPr>
        <w:t>The extent of d</w:t>
      </w:r>
      <w:r w:rsidR="00C96B5E" w:rsidRPr="007F1A00">
        <w:rPr>
          <w:lang w:val="en-GB"/>
        </w:rPr>
        <w:t xml:space="preserve">ata collection </w:t>
      </w:r>
      <w:r w:rsidRPr="007F1A00">
        <w:rPr>
          <w:lang w:val="en-GB"/>
        </w:rPr>
        <w:t xml:space="preserve">also </w:t>
      </w:r>
      <w:r w:rsidR="00C96B5E" w:rsidRPr="007F1A00">
        <w:rPr>
          <w:lang w:val="en-GB"/>
        </w:rPr>
        <w:t>varies</w:t>
      </w:r>
      <w:r w:rsidRPr="007F1A00">
        <w:rPr>
          <w:lang w:val="en-GB"/>
        </w:rPr>
        <w:t xml:space="preserve"> across the country. The majority of jurisdictions only collect</w:t>
      </w:r>
      <w:r w:rsidR="00C96B5E" w:rsidRPr="007F1A00">
        <w:rPr>
          <w:lang w:val="en-GB"/>
        </w:rPr>
        <w:t xml:space="preserve"> and provid</w:t>
      </w:r>
      <w:r w:rsidRPr="007F1A00">
        <w:rPr>
          <w:lang w:val="en-GB"/>
        </w:rPr>
        <w:t>e</w:t>
      </w:r>
      <w:r w:rsidR="00C96B5E" w:rsidRPr="007F1A00">
        <w:rPr>
          <w:lang w:val="en-GB"/>
        </w:rPr>
        <w:t xml:space="preserve"> financial and MBI data </w:t>
      </w:r>
      <w:r w:rsidRPr="007F1A00">
        <w:rPr>
          <w:lang w:val="en-GB"/>
        </w:rPr>
        <w:t xml:space="preserve">as required by </w:t>
      </w:r>
      <w:r w:rsidR="007D0646" w:rsidRPr="007F1A00">
        <w:rPr>
          <w:lang w:val="en-GB"/>
        </w:rPr>
        <w:t xml:space="preserve">the </w:t>
      </w:r>
      <w:r w:rsidR="00DB0EE5">
        <w:rPr>
          <w:lang w:val="en-GB"/>
        </w:rPr>
        <w:t>Department</w:t>
      </w:r>
      <w:r w:rsidR="00C96B5E" w:rsidRPr="007F1A00">
        <w:rPr>
          <w:lang w:val="en-GB"/>
        </w:rPr>
        <w:t>.</w:t>
      </w:r>
      <w:r w:rsidRPr="007F1A00">
        <w:rPr>
          <w:lang w:val="en-GB"/>
        </w:rPr>
        <w:t xml:space="preserve"> Notably, Victoria’s data collection and reporting is more extensive. In addition to Commonwealth reporting requirements, Victoria has key performance indicators that service providers must report against to ensure </w:t>
      </w:r>
      <w:r w:rsidR="007D0646" w:rsidRPr="007F1A00">
        <w:rPr>
          <w:lang w:val="en-GB"/>
        </w:rPr>
        <w:t xml:space="preserve">that </w:t>
      </w:r>
      <w:r w:rsidRPr="007F1A00">
        <w:rPr>
          <w:lang w:val="en-GB"/>
        </w:rPr>
        <w:t xml:space="preserve">a high standard of quality </w:t>
      </w:r>
      <w:r w:rsidR="007D0646" w:rsidRPr="007F1A00">
        <w:rPr>
          <w:lang w:val="en-GB"/>
        </w:rPr>
        <w:t xml:space="preserve">is </w:t>
      </w:r>
      <w:r w:rsidRPr="007F1A00">
        <w:rPr>
          <w:lang w:val="en-GB"/>
        </w:rPr>
        <w:t xml:space="preserve">delivered. Service providers are required to submit to </w:t>
      </w:r>
      <w:r w:rsidR="007D0646" w:rsidRPr="007F1A00">
        <w:rPr>
          <w:lang w:val="en-GB"/>
        </w:rPr>
        <w:t xml:space="preserve">local </w:t>
      </w:r>
      <w:r w:rsidRPr="007F1A00">
        <w:rPr>
          <w:lang w:val="en-GB"/>
        </w:rPr>
        <w:t xml:space="preserve">DHHS monthly data reports on occupancy, average length of stay, number of falls and MBI data. DHHS also collects feedback from care recipients and families on their experiences and actions any complaints they receive about the Programme. </w:t>
      </w:r>
    </w:p>
    <w:p w:rsidR="00ED3A6B" w:rsidRDefault="00CC4799" w:rsidP="00BD61D2">
      <w:pPr>
        <w:pStyle w:val="Bullet1stlevel"/>
        <w:numPr>
          <w:ilvl w:val="0"/>
          <w:numId w:val="0"/>
        </w:numPr>
        <w:rPr>
          <w:lang w:val="en-GB"/>
        </w:rPr>
      </w:pPr>
      <w:r w:rsidRPr="007F1A00">
        <w:rPr>
          <w:lang w:val="en-GB"/>
        </w:rPr>
        <w:t>Some g</w:t>
      </w:r>
      <w:r w:rsidR="00BD61D2" w:rsidRPr="007F1A00">
        <w:rPr>
          <w:lang w:val="en-GB"/>
        </w:rPr>
        <w:t>overnment and non-government</w:t>
      </w:r>
      <w:r w:rsidR="000B1D40" w:rsidRPr="007F1A00">
        <w:rPr>
          <w:lang w:val="en-GB"/>
        </w:rPr>
        <w:t xml:space="preserve"> </w:t>
      </w:r>
      <w:r w:rsidR="00F72E9D" w:rsidRPr="007F1A00">
        <w:rPr>
          <w:lang w:val="en-GB"/>
        </w:rPr>
        <w:t xml:space="preserve">representatives </w:t>
      </w:r>
      <w:r w:rsidR="000B1D40" w:rsidRPr="007F1A00">
        <w:rPr>
          <w:lang w:val="en-GB"/>
        </w:rPr>
        <w:t xml:space="preserve">reported issues </w:t>
      </w:r>
      <w:r w:rsidR="00066BDD" w:rsidRPr="007F1A00">
        <w:rPr>
          <w:lang w:val="en-GB"/>
        </w:rPr>
        <w:t xml:space="preserve">and matters </w:t>
      </w:r>
      <w:r w:rsidR="000B1D40" w:rsidRPr="007F1A00">
        <w:rPr>
          <w:lang w:val="en-GB"/>
        </w:rPr>
        <w:t xml:space="preserve">specific to the operation of </w:t>
      </w:r>
      <w:r w:rsidR="006628DA">
        <w:rPr>
          <w:lang w:val="en-GB"/>
        </w:rPr>
        <w:t xml:space="preserve">the </w:t>
      </w:r>
      <w:r w:rsidR="000B1D40" w:rsidRPr="007F1A00">
        <w:rPr>
          <w:lang w:val="en-GB"/>
        </w:rPr>
        <w:t>TCP in their jurisdiction</w:t>
      </w:r>
      <w:r w:rsidR="007212F8">
        <w:rPr>
          <w:lang w:val="en-GB"/>
        </w:rPr>
        <w:t xml:space="preserve">. States and Territories </w:t>
      </w:r>
      <w:r w:rsidR="00DF3F78">
        <w:rPr>
          <w:lang w:val="en-GB"/>
        </w:rPr>
        <w:t xml:space="preserve">that are not </w:t>
      </w:r>
      <w:r w:rsidR="00081224">
        <w:rPr>
          <w:lang w:val="en-GB"/>
        </w:rPr>
        <w:t>identified below had no specific issues related to the unique conditions of their jurisdiction.</w:t>
      </w:r>
    </w:p>
    <w:p w:rsidR="000B1D40" w:rsidRPr="007F1A00" w:rsidRDefault="003C3436" w:rsidP="00B223B4">
      <w:pPr>
        <w:pStyle w:val="Bullet1stlevel"/>
        <w:rPr>
          <w:lang w:val="en-GB"/>
        </w:rPr>
      </w:pPr>
      <w:r w:rsidRPr="007F1A00">
        <w:rPr>
          <w:lang w:val="en-GB"/>
        </w:rPr>
        <w:t xml:space="preserve">In the </w:t>
      </w:r>
      <w:r w:rsidR="007126ED">
        <w:rPr>
          <w:b/>
          <w:lang w:val="en-GB"/>
        </w:rPr>
        <w:t>NT</w:t>
      </w:r>
      <w:r w:rsidRPr="007F1A00">
        <w:rPr>
          <w:lang w:val="en-GB"/>
        </w:rPr>
        <w:t>:</w:t>
      </w:r>
    </w:p>
    <w:p w:rsidR="002670A5" w:rsidRPr="007F1A00" w:rsidRDefault="00DD20F5" w:rsidP="00B223B4">
      <w:pPr>
        <w:pStyle w:val="Bullet2ndlevel"/>
        <w:rPr>
          <w:lang w:val="en-GB"/>
        </w:rPr>
      </w:pPr>
      <w:r>
        <w:rPr>
          <w:lang w:val="en-GB"/>
        </w:rPr>
        <w:t>T</w:t>
      </w:r>
      <w:r w:rsidR="007D0646" w:rsidRPr="007F1A00">
        <w:rPr>
          <w:lang w:val="en-GB"/>
        </w:rPr>
        <w:t>he vast majority of</w:t>
      </w:r>
      <w:r w:rsidR="006628DA">
        <w:rPr>
          <w:lang w:val="en-GB"/>
        </w:rPr>
        <w:t xml:space="preserve"> the</w:t>
      </w:r>
      <w:r w:rsidR="00BD61D2" w:rsidRPr="007F1A00">
        <w:rPr>
          <w:lang w:val="en-GB"/>
        </w:rPr>
        <w:t xml:space="preserve"> TCP packages </w:t>
      </w:r>
      <w:r w:rsidR="002670A5" w:rsidRPr="007F1A00">
        <w:rPr>
          <w:lang w:val="en-GB"/>
        </w:rPr>
        <w:t xml:space="preserve">are community based. </w:t>
      </w:r>
      <w:r w:rsidR="00BD61D2" w:rsidRPr="007F1A00">
        <w:rPr>
          <w:lang w:val="en-GB"/>
        </w:rPr>
        <w:t xml:space="preserve">This limits the availability of </w:t>
      </w:r>
      <w:r w:rsidR="006628DA">
        <w:rPr>
          <w:lang w:val="en-GB"/>
        </w:rPr>
        <w:t xml:space="preserve">the </w:t>
      </w:r>
      <w:r w:rsidR="00BD61D2" w:rsidRPr="007F1A00">
        <w:rPr>
          <w:lang w:val="en-GB"/>
        </w:rPr>
        <w:t xml:space="preserve">TCP for people who live in remote areas and on country; a nurse based in Darwin reported that, if </w:t>
      </w:r>
      <w:r w:rsidR="003A2412">
        <w:rPr>
          <w:lang w:val="en-GB"/>
        </w:rPr>
        <w:t xml:space="preserve">the TCP in </w:t>
      </w:r>
      <w:r w:rsidR="00BD61D2" w:rsidRPr="007F1A00">
        <w:rPr>
          <w:lang w:val="en-GB"/>
        </w:rPr>
        <w:t xml:space="preserve">residential </w:t>
      </w:r>
      <w:r w:rsidR="003A2412">
        <w:rPr>
          <w:lang w:val="en-GB"/>
        </w:rPr>
        <w:t>settings</w:t>
      </w:r>
      <w:r w:rsidR="003A2412" w:rsidRPr="007F1A00">
        <w:rPr>
          <w:lang w:val="en-GB"/>
        </w:rPr>
        <w:t xml:space="preserve"> </w:t>
      </w:r>
      <w:r w:rsidR="00BD61D2" w:rsidRPr="007F1A00">
        <w:rPr>
          <w:lang w:val="en-GB"/>
        </w:rPr>
        <w:t>was available, these people could be placed in a bed for the duration of their care and then return home</w:t>
      </w:r>
      <w:r w:rsidR="006628DA">
        <w:rPr>
          <w:lang w:val="en-GB"/>
        </w:rPr>
        <w:t xml:space="preserve">; </w:t>
      </w:r>
    </w:p>
    <w:p w:rsidR="00BD61D2" w:rsidRPr="007F1A00" w:rsidRDefault="00BD61D2" w:rsidP="00BD61D2">
      <w:pPr>
        <w:pStyle w:val="Bullet2ndlevel"/>
        <w:rPr>
          <w:lang w:val="en-GB"/>
        </w:rPr>
      </w:pPr>
      <w:r w:rsidRPr="007F1A00">
        <w:rPr>
          <w:lang w:val="en-GB"/>
        </w:rPr>
        <w:t xml:space="preserve">Related to this point, </w:t>
      </w:r>
      <w:r w:rsidR="00246474">
        <w:rPr>
          <w:lang w:val="en-GB"/>
        </w:rPr>
        <w:t xml:space="preserve">government </w:t>
      </w:r>
      <w:r w:rsidRPr="007F1A00">
        <w:rPr>
          <w:lang w:val="en-GB"/>
        </w:rPr>
        <w:t xml:space="preserve">representatives from the </w:t>
      </w:r>
      <w:r w:rsidR="009E0E25">
        <w:rPr>
          <w:lang w:val="en-GB"/>
        </w:rPr>
        <w:t>NT</w:t>
      </w:r>
      <w:r w:rsidRPr="007F1A00">
        <w:rPr>
          <w:lang w:val="en-GB"/>
        </w:rPr>
        <w:t xml:space="preserve"> reported that care recipients reside in varied housing arrangements</w:t>
      </w:r>
      <w:r w:rsidR="006628DA">
        <w:rPr>
          <w:lang w:val="en-GB"/>
        </w:rPr>
        <w:t>. F</w:t>
      </w:r>
      <w:r w:rsidRPr="007F1A00">
        <w:rPr>
          <w:lang w:val="en-GB"/>
        </w:rPr>
        <w:t xml:space="preserve">or example, some live on boats while some live in very basic dwellings that may be overcrowded. This presents challenges in delivering </w:t>
      </w:r>
      <w:r w:rsidR="006628DA">
        <w:rPr>
          <w:lang w:val="en-GB"/>
        </w:rPr>
        <w:t xml:space="preserve">the </w:t>
      </w:r>
      <w:r w:rsidRPr="007F1A00">
        <w:rPr>
          <w:lang w:val="en-GB"/>
        </w:rPr>
        <w:t>TCP in the home</w:t>
      </w:r>
      <w:r w:rsidR="006628DA">
        <w:rPr>
          <w:lang w:val="en-GB"/>
        </w:rPr>
        <w:t xml:space="preserve">; </w:t>
      </w:r>
    </w:p>
    <w:p w:rsidR="00BD61D2" w:rsidRPr="007F1A00" w:rsidRDefault="00BD61D2" w:rsidP="00B223B4">
      <w:pPr>
        <w:pStyle w:val="Bullet2ndlevel"/>
        <w:rPr>
          <w:lang w:val="en-GB"/>
        </w:rPr>
      </w:pPr>
      <w:r w:rsidRPr="007F1A00">
        <w:rPr>
          <w:lang w:val="en-GB"/>
        </w:rPr>
        <w:t>There are a high number of fly in/fly out therapists servicing rural and remote areas, which has cost and time implications for the operation of</w:t>
      </w:r>
      <w:r w:rsidR="006628DA">
        <w:rPr>
          <w:lang w:val="en-GB"/>
        </w:rPr>
        <w:t xml:space="preserve"> the</w:t>
      </w:r>
      <w:r w:rsidRPr="007F1A00">
        <w:rPr>
          <w:lang w:val="en-GB"/>
        </w:rPr>
        <w:t xml:space="preserve"> TCP</w:t>
      </w:r>
      <w:r w:rsidR="006628DA">
        <w:rPr>
          <w:lang w:val="en-GB"/>
        </w:rPr>
        <w:t>;</w:t>
      </w:r>
    </w:p>
    <w:p w:rsidR="009D54E1" w:rsidRPr="007F1A00" w:rsidRDefault="00BD61D2" w:rsidP="00B223B4">
      <w:pPr>
        <w:pStyle w:val="Bullet2ndlevel"/>
        <w:rPr>
          <w:lang w:val="en-GB"/>
        </w:rPr>
      </w:pPr>
      <w:r w:rsidRPr="007F1A00">
        <w:rPr>
          <w:lang w:val="en-GB"/>
        </w:rPr>
        <w:t xml:space="preserve">The </w:t>
      </w:r>
      <w:r w:rsidR="009E0E25">
        <w:rPr>
          <w:lang w:val="en-GB"/>
        </w:rPr>
        <w:t>NT</w:t>
      </w:r>
      <w:r w:rsidRPr="007F1A00">
        <w:rPr>
          <w:lang w:val="en-GB"/>
        </w:rPr>
        <w:t xml:space="preserve"> reported a significant number of their care recipients live interstate but are hospitalised while traveling in the </w:t>
      </w:r>
      <w:r w:rsidR="006D0B5B" w:rsidRPr="007F1A00">
        <w:rPr>
          <w:lang w:val="en-GB"/>
        </w:rPr>
        <w:t>Territory</w:t>
      </w:r>
      <w:r w:rsidRPr="007F1A00">
        <w:rPr>
          <w:lang w:val="en-GB"/>
        </w:rPr>
        <w:t>.</w:t>
      </w:r>
      <w:r w:rsidR="00236B58" w:rsidRPr="007F1A00">
        <w:rPr>
          <w:lang w:val="en-GB"/>
        </w:rPr>
        <w:t xml:space="preserve"> If that person returns to their home </w:t>
      </w:r>
      <w:r w:rsidR="006628DA">
        <w:rPr>
          <w:lang w:val="en-GB"/>
        </w:rPr>
        <w:t>S</w:t>
      </w:r>
      <w:r w:rsidR="006628DA" w:rsidRPr="007F1A00">
        <w:rPr>
          <w:lang w:val="en-GB"/>
        </w:rPr>
        <w:t xml:space="preserve">tate </w:t>
      </w:r>
      <w:r w:rsidR="00236B58" w:rsidRPr="007F1A00">
        <w:rPr>
          <w:lang w:val="en-GB"/>
        </w:rPr>
        <w:t>during the care period, the file cannot be transferred on the My Aged Care portal</w:t>
      </w:r>
      <w:r w:rsidR="006628DA">
        <w:rPr>
          <w:lang w:val="en-GB"/>
        </w:rPr>
        <w:t>. I</w:t>
      </w:r>
      <w:r w:rsidR="00236B58" w:rsidRPr="007F1A00">
        <w:rPr>
          <w:lang w:val="en-GB"/>
        </w:rPr>
        <w:t>nstead, the Department will leave the file open and the home jurisdiction will advise of the final MBI score upon discharge.</w:t>
      </w:r>
      <w:r w:rsidRPr="007F1A00">
        <w:rPr>
          <w:lang w:val="en-GB"/>
        </w:rPr>
        <w:t xml:space="preserve"> </w:t>
      </w:r>
    </w:p>
    <w:p w:rsidR="00CC4799" w:rsidRPr="007F1A00" w:rsidRDefault="00CC4799" w:rsidP="00CC4799">
      <w:pPr>
        <w:pStyle w:val="Bullet1stlevel"/>
        <w:rPr>
          <w:lang w:val="en-GB"/>
        </w:rPr>
      </w:pPr>
      <w:r w:rsidRPr="007F1A00">
        <w:rPr>
          <w:lang w:val="en-GB"/>
        </w:rPr>
        <w:t xml:space="preserve">In </w:t>
      </w:r>
      <w:r w:rsidRPr="007F1A00">
        <w:rPr>
          <w:b/>
          <w:lang w:val="en-GB"/>
        </w:rPr>
        <w:t>Queensland</w:t>
      </w:r>
      <w:r w:rsidRPr="007F1A00">
        <w:rPr>
          <w:lang w:val="en-GB"/>
        </w:rPr>
        <w:t xml:space="preserve">, </w:t>
      </w:r>
      <w:r w:rsidR="00F72E9D" w:rsidRPr="007F1A00">
        <w:rPr>
          <w:lang w:val="en-GB"/>
        </w:rPr>
        <w:t xml:space="preserve">it was </w:t>
      </w:r>
      <w:r w:rsidRPr="007F1A00">
        <w:rPr>
          <w:lang w:val="en-GB"/>
        </w:rPr>
        <w:t>reported that</w:t>
      </w:r>
      <w:r w:rsidR="006628DA">
        <w:rPr>
          <w:lang w:val="en-GB"/>
        </w:rPr>
        <w:t xml:space="preserve"> it can be difficult to engage</w:t>
      </w:r>
      <w:r w:rsidRPr="007F1A00">
        <w:rPr>
          <w:lang w:val="en-GB"/>
        </w:rPr>
        <w:t xml:space="preserve"> Aboriginal and Torres Strait Islander people in the Programme and deliver supports if they are mov</w:t>
      </w:r>
      <w:r w:rsidR="00A52C03">
        <w:rPr>
          <w:lang w:val="en-GB"/>
        </w:rPr>
        <w:t>ing</w:t>
      </w:r>
      <w:r w:rsidRPr="007F1A00">
        <w:rPr>
          <w:lang w:val="en-GB"/>
        </w:rPr>
        <w:t xml:space="preserve"> regularly (this is</w:t>
      </w:r>
      <w:r w:rsidR="006628DA">
        <w:rPr>
          <w:lang w:val="en-GB"/>
        </w:rPr>
        <w:t xml:space="preserve"> also</w:t>
      </w:r>
      <w:r w:rsidRPr="007F1A00">
        <w:rPr>
          <w:lang w:val="en-GB"/>
        </w:rPr>
        <w:t xml:space="preserve"> relevant to other jurisdictions with a high Aboriginal and Torres Strait Islander population living on country).</w:t>
      </w:r>
    </w:p>
    <w:p w:rsidR="000B1D40" w:rsidRPr="007F1A00" w:rsidRDefault="003C3436" w:rsidP="00B223B4">
      <w:pPr>
        <w:pStyle w:val="Bullet1stlevel"/>
        <w:rPr>
          <w:lang w:val="en-GB"/>
        </w:rPr>
      </w:pPr>
      <w:r w:rsidRPr="007F1A00">
        <w:rPr>
          <w:lang w:val="en-GB"/>
        </w:rPr>
        <w:t xml:space="preserve">In </w:t>
      </w:r>
      <w:r w:rsidR="007126ED" w:rsidRPr="006B0BBA">
        <w:rPr>
          <w:b/>
          <w:lang w:val="en-GB"/>
        </w:rPr>
        <w:t>SA</w:t>
      </w:r>
      <w:r w:rsidRPr="007F1A00">
        <w:rPr>
          <w:lang w:val="en-GB"/>
        </w:rPr>
        <w:t>:</w:t>
      </w:r>
    </w:p>
    <w:p w:rsidR="003C3436" w:rsidRPr="007F1A00" w:rsidRDefault="006628DA" w:rsidP="003C3436">
      <w:pPr>
        <w:pStyle w:val="Bullet2ndlevel"/>
        <w:rPr>
          <w:lang w:val="en-GB"/>
        </w:rPr>
      </w:pPr>
      <w:r>
        <w:rPr>
          <w:lang w:val="en-GB"/>
        </w:rPr>
        <w:t xml:space="preserve">The </w:t>
      </w:r>
      <w:r w:rsidR="000B1D40" w:rsidRPr="007F1A00">
        <w:rPr>
          <w:lang w:val="en-GB"/>
        </w:rPr>
        <w:t>TCP is predominantly delivered in residential care</w:t>
      </w:r>
      <w:r w:rsidR="003C3436" w:rsidRPr="007F1A00">
        <w:rPr>
          <w:lang w:val="en-GB"/>
        </w:rPr>
        <w:t xml:space="preserve">. As identified in Section </w:t>
      </w:r>
      <w:r w:rsidR="003C3436" w:rsidRPr="007F1A00">
        <w:rPr>
          <w:lang w:val="en-GB"/>
        </w:rPr>
        <w:fldChar w:fldCharType="begin"/>
      </w:r>
      <w:r w:rsidR="003C3436" w:rsidRPr="007F1A00">
        <w:rPr>
          <w:lang w:val="en-GB"/>
        </w:rPr>
        <w:instrText xml:space="preserve"> REF _Ref535830915 \r \h </w:instrText>
      </w:r>
      <w:r w:rsidR="003C3436" w:rsidRPr="007F1A00">
        <w:rPr>
          <w:lang w:val="en-GB"/>
        </w:rPr>
      </w:r>
      <w:r w:rsidR="003C3436" w:rsidRPr="007F1A00">
        <w:rPr>
          <w:lang w:val="en-GB"/>
        </w:rPr>
        <w:fldChar w:fldCharType="separate"/>
      </w:r>
      <w:r w:rsidR="00ED07D2">
        <w:rPr>
          <w:lang w:val="en-GB"/>
        </w:rPr>
        <w:t>3.1.2</w:t>
      </w:r>
      <w:r w:rsidR="003C3436" w:rsidRPr="007F1A00">
        <w:rPr>
          <w:lang w:val="en-GB"/>
        </w:rPr>
        <w:fldChar w:fldCharType="end"/>
      </w:r>
      <w:r w:rsidR="003C3436" w:rsidRPr="007F1A00">
        <w:rPr>
          <w:lang w:val="en-GB"/>
        </w:rPr>
        <w:t xml:space="preserve">, </w:t>
      </w:r>
      <w:r w:rsidR="007126ED">
        <w:rPr>
          <w:lang w:val="en-GB"/>
        </w:rPr>
        <w:t>SA</w:t>
      </w:r>
      <w:r w:rsidR="003C3436" w:rsidRPr="007F1A00">
        <w:rPr>
          <w:lang w:val="en-GB"/>
        </w:rPr>
        <w:t xml:space="preserve"> Health is concerned that service providers in future are more likely opt for the more financially stable long-term bonded bed, rather than retain beds for </w:t>
      </w:r>
      <w:r>
        <w:rPr>
          <w:lang w:val="en-GB"/>
        </w:rPr>
        <w:t>the TCP; and</w:t>
      </w:r>
    </w:p>
    <w:p w:rsidR="000B1D40" w:rsidRPr="007F1A00" w:rsidRDefault="003C3436" w:rsidP="00A80D44">
      <w:pPr>
        <w:pStyle w:val="Bullet2ndlevel"/>
        <w:rPr>
          <w:lang w:val="en-GB"/>
        </w:rPr>
      </w:pPr>
      <w:r w:rsidRPr="007F1A00">
        <w:rPr>
          <w:lang w:val="en-GB"/>
        </w:rPr>
        <w:t xml:space="preserve">Similar to the </w:t>
      </w:r>
      <w:r w:rsidR="009E0E25">
        <w:rPr>
          <w:lang w:val="en-GB"/>
        </w:rPr>
        <w:t>NT</w:t>
      </w:r>
      <w:r w:rsidRPr="007F1A00">
        <w:rPr>
          <w:lang w:val="en-GB"/>
        </w:rPr>
        <w:t>, there are a h</w:t>
      </w:r>
      <w:r w:rsidR="000B1D40" w:rsidRPr="007F1A00">
        <w:rPr>
          <w:lang w:val="en-GB"/>
        </w:rPr>
        <w:t xml:space="preserve">igh number of fly in/fly out therapists </w:t>
      </w:r>
      <w:r w:rsidRPr="007F1A00">
        <w:rPr>
          <w:lang w:val="en-GB"/>
        </w:rPr>
        <w:t>servicing</w:t>
      </w:r>
      <w:r w:rsidR="000B1D40" w:rsidRPr="007F1A00">
        <w:rPr>
          <w:lang w:val="en-GB"/>
        </w:rPr>
        <w:t xml:space="preserve"> rural and remote areas</w:t>
      </w:r>
      <w:r w:rsidRPr="007F1A00">
        <w:rPr>
          <w:lang w:val="en-GB"/>
        </w:rPr>
        <w:t>.</w:t>
      </w:r>
    </w:p>
    <w:p w:rsidR="000B1D40" w:rsidRPr="007F1A00" w:rsidRDefault="003C3436" w:rsidP="00A80D44">
      <w:pPr>
        <w:pStyle w:val="Bullet1stlevel"/>
        <w:rPr>
          <w:lang w:val="en-GB"/>
        </w:rPr>
      </w:pPr>
      <w:r w:rsidRPr="007F1A00">
        <w:rPr>
          <w:lang w:val="en-GB"/>
        </w:rPr>
        <w:t xml:space="preserve">In </w:t>
      </w:r>
      <w:r w:rsidR="000B1D40" w:rsidRPr="007F1A00">
        <w:rPr>
          <w:b/>
          <w:lang w:val="en-GB"/>
        </w:rPr>
        <w:t>Tasmania</w:t>
      </w:r>
      <w:r w:rsidRPr="007F1A00">
        <w:rPr>
          <w:lang w:val="en-GB"/>
        </w:rPr>
        <w:t>, t</w:t>
      </w:r>
      <w:r w:rsidR="000B1D40" w:rsidRPr="007F1A00">
        <w:rPr>
          <w:lang w:val="en-GB"/>
        </w:rPr>
        <w:t xml:space="preserve">here are fewer allied health therapists </w:t>
      </w:r>
      <w:r w:rsidR="009D03FB">
        <w:rPr>
          <w:lang w:val="en-GB"/>
        </w:rPr>
        <w:t>as well as</w:t>
      </w:r>
      <w:r w:rsidR="000B1D40" w:rsidRPr="007F1A00">
        <w:rPr>
          <w:lang w:val="en-GB"/>
        </w:rPr>
        <w:t xml:space="preserve"> a </w:t>
      </w:r>
      <w:r w:rsidRPr="007F1A00">
        <w:rPr>
          <w:lang w:val="en-GB"/>
        </w:rPr>
        <w:t>significant</w:t>
      </w:r>
      <w:r w:rsidR="000B1D40" w:rsidRPr="007F1A00">
        <w:rPr>
          <w:lang w:val="en-GB"/>
        </w:rPr>
        <w:t xml:space="preserve"> older population, which is a challenging combination</w:t>
      </w:r>
      <w:r w:rsidRPr="007F1A00">
        <w:rPr>
          <w:lang w:val="en-GB"/>
        </w:rPr>
        <w:t xml:space="preserve"> to </w:t>
      </w:r>
      <w:r w:rsidR="00A346E8">
        <w:rPr>
          <w:lang w:val="en-GB"/>
        </w:rPr>
        <w:t xml:space="preserve">deliver </w:t>
      </w:r>
      <w:r w:rsidRPr="007F1A00">
        <w:rPr>
          <w:lang w:val="en-GB"/>
        </w:rPr>
        <w:t>TCP.</w:t>
      </w:r>
    </w:p>
    <w:p w:rsidR="00CC4799" w:rsidRPr="007F1A00" w:rsidRDefault="00CC4799" w:rsidP="00CC4799">
      <w:pPr>
        <w:pStyle w:val="Bullet1stlevel"/>
        <w:rPr>
          <w:lang w:val="en-GB"/>
        </w:rPr>
      </w:pPr>
      <w:r w:rsidRPr="007F1A00">
        <w:rPr>
          <w:lang w:val="en-GB"/>
        </w:rPr>
        <w:t xml:space="preserve">In the </w:t>
      </w:r>
      <w:r w:rsidR="0071482A">
        <w:rPr>
          <w:b/>
          <w:lang w:val="en-GB"/>
        </w:rPr>
        <w:t>ACT</w:t>
      </w:r>
      <w:r w:rsidRPr="007F1A00">
        <w:rPr>
          <w:lang w:val="en-GB"/>
        </w:rPr>
        <w:t xml:space="preserve"> there is only one </w:t>
      </w:r>
      <w:r w:rsidRPr="007F1A00">
        <w:rPr>
          <w:lang w:val="en-GB" w:eastAsia="en-AU"/>
        </w:rPr>
        <w:t xml:space="preserve">provider servicing the jurisdiction, enabling a central point for managing </w:t>
      </w:r>
      <w:r w:rsidR="00A31899" w:rsidRPr="007F1A00">
        <w:rPr>
          <w:lang w:val="en-GB" w:eastAsia="en-AU"/>
        </w:rPr>
        <w:t>care recipient</w:t>
      </w:r>
      <w:r w:rsidRPr="007F1A00">
        <w:rPr>
          <w:lang w:val="en-GB" w:eastAsia="en-AU"/>
        </w:rPr>
        <w:t xml:space="preserve">s. This is beneficial for ACT Health as it allows the agency a high level of oversight of the delivery of the Programme. </w:t>
      </w:r>
    </w:p>
    <w:p w:rsidR="000B1D40" w:rsidRPr="007F1A00" w:rsidRDefault="000E4DB7" w:rsidP="000B1D40">
      <w:pPr>
        <w:pStyle w:val="Heading3"/>
        <w:rPr>
          <w:lang w:val="en-GB"/>
        </w:rPr>
      </w:pPr>
      <w:r>
        <w:rPr>
          <w:lang w:val="en-GB"/>
        </w:rPr>
        <w:t>G</w:t>
      </w:r>
      <w:r w:rsidR="000B1D40" w:rsidRPr="007F1A00">
        <w:rPr>
          <w:lang w:val="en-GB"/>
        </w:rPr>
        <w:t>overnment stakeholders would like more opportunities to network</w:t>
      </w:r>
    </w:p>
    <w:p w:rsidR="008D3D93" w:rsidRPr="007F1A00" w:rsidRDefault="000B1D40" w:rsidP="00B223B4">
      <w:pPr>
        <w:pStyle w:val="Bullet1stlevel"/>
        <w:numPr>
          <w:ilvl w:val="0"/>
          <w:numId w:val="0"/>
        </w:numPr>
        <w:rPr>
          <w:lang w:val="en-GB"/>
        </w:rPr>
      </w:pPr>
      <w:r w:rsidRPr="007F1A00">
        <w:rPr>
          <w:lang w:val="en-GB"/>
        </w:rPr>
        <w:t>A number</w:t>
      </w:r>
      <w:r w:rsidR="005F355A" w:rsidRPr="007F1A00">
        <w:rPr>
          <w:lang w:val="en-GB"/>
        </w:rPr>
        <w:t xml:space="preserve"> of</w:t>
      </w:r>
      <w:r w:rsidR="005846FC" w:rsidRPr="007F1A00">
        <w:rPr>
          <w:lang w:val="en-GB"/>
        </w:rPr>
        <w:t xml:space="preserve"> </w:t>
      </w:r>
      <w:r w:rsidR="007211BF">
        <w:rPr>
          <w:lang w:val="en-GB"/>
        </w:rPr>
        <w:t>State and Territory</w:t>
      </w:r>
      <w:r w:rsidR="005F355A" w:rsidRPr="007F1A00">
        <w:rPr>
          <w:lang w:val="en-GB"/>
        </w:rPr>
        <w:t xml:space="preserve"> government </w:t>
      </w:r>
      <w:r w:rsidR="00F72E9D" w:rsidRPr="007F1A00">
        <w:rPr>
          <w:lang w:val="en-GB"/>
        </w:rPr>
        <w:t xml:space="preserve">representatives </w:t>
      </w:r>
      <w:r w:rsidRPr="007F1A00">
        <w:rPr>
          <w:lang w:val="en-GB"/>
        </w:rPr>
        <w:t xml:space="preserve">raised previous networking forums that allowed information sharing with the Commonwealth and other </w:t>
      </w:r>
      <w:r w:rsidR="006628DA">
        <w:rPr>
          <w:lang w:val="en-GB"/>
        </w:rPr>
        <w:t>jurisdictions</w:t>
      </w:r>
      <w:r w:rsidR="00F04626" w:rsidRPr="007F1A00">
        <w:rPr>
          <w:lang w:val="en-GB"/>
        </w:rPr>
        <w:t>, which</w:t>
      </w:r>
      <w:r w:rsidRPr="007F1A00">
        <w:rPr>
          <w:lang w:val="en-GB"/>
        </w:rPr>
        <w:t xml:space="preserve"> were reported to be helpful and valuable. </w:t>
      </w:r>
      <w:r w:rsidR="00993B83" w:rsidRPr="007F1A00">
        <w:rPr>
          <w:lang w:val="en-GB"/>
        </w:rPr>
        <w:t xml:space="preserve">State </w:t>
      </w:r>
      <w:r w:rsidR="002812BA" w:rsidRPr="007F1A00">
        <w:rPr>
          <w:lang w:val="en-GB"/>
        </w:rPr>
        <w:t>O</w:t>
      </w:r>
      <w:r w:rsidR="00993B83" w:rsidRPr="007F1A00">
        <w:rPr>
          <w:lang w:val="en-GB"/>
        </w:rPr>
        <w:t>ffice</w:t>
      </w:r>
      <w:r w:rsidR="00081A2E" w:rsidRPr="007F1A00">
        <w:rPr>
          <w:lang w:val="en-GB"/>
        </w:rPr>
        <w:t>r</w:t>
      </w:r>
      <w:r w:rsidR="00993B83" w:rsidRPr="007F1A00">
        <w:rPr>
          <w:lang w:val="en-GB"/>
        </w:rPr>
        <w:t xml:space="preserve">s of the Department of Health reported not receiving a lot of feedback about the quality and effectiveness of </w:t>
      </w:r>
      <w:r w:rsidR="006628DA">
        <w:rPr>
          <w:lang w:val="en-GB"/>
        </w:rPr>
        <w:t xml:space="preserve">the </w:t>
      </w:r>
      <w:r w:rsidR="00993B83" w:rsidRPr="007F1A00">
        <w:rPr>
          <w:lang w:val="en-GB"/>
        </w:rPr>
        <w:t xml:space="preserve">TCP in their jurisdictions, instead assuming that the Programme is progressing well unless they receive a complaint. </w:t>
      </w:r>
      <w:r w:rsidR="008133A7" w:rsidRPr="007F1A00">
        <w:rPr>
          <w:lang w:val="en-GB"/>
        </w:rPr>
        <w:t>O</w:t>
      </w:r>
      <w:r w:rsidR="00993B83" w:rsidRPr="007F1A00">
        <w:rPr>
          <w:lang w:val="en-GB"/>
        </w:rPr>
        <w:t>ne representative stated</w:t>
      </w:r>
      <w:r w:rsidR="006628DA">
        <w:rPr>
          <w:lang w:val="en-GB"/>
        </w:rPr>
        <w:t>,</w:t>
      </w:r>
      <w:r w:rsidR="00993B83" w:rsidRPr="007F1A00">
        <w:rPr>
          <w:lang w:val="en-GB"/>
        </w:rPr>
        <w:t xml:space="preserve"> “</w:t>
      </w:r>
      <w:r w:rsidR="00993B83" w:rsidRPr="006B0BBA">
        <w:rPr>
          <w:i/>
          <w:lang w:val="en-GB"/>
        </w:rPr>
        <w:t>We don’t have a strong involvement in how it’s managed … We haven’t heard any bad news. I presume we would be the ones who would be contacted if something bad were to happen.</w:t>
      </w:r>
      <w:r w:rsidR="00993B83" w:rsidRPr="007F1A00">
        <w:rPr>
          <w:lang w:val="en-GB"/>
        </w:rPr>
        <w:t xml:space="preserve">” Another representative stated that it would be beneficial to have more involvement in the operation of </w:t>
      </w:r>
      <w:r w:rsidR="006628DA">
        <w:rPr>
          <w:lang w:val="en-GB"/>
        </w:rPr>
        <w:t xml:space="preserve">the </w:t>
      </w:r>
      <w:r w:rsidR="00993B83" w:rsidRPr="007F1A00">
        <w:rPr>
          <w:lang w:val="en-GB"/>
        </w:rPr>
        <w:t xml:space="preserve">TCP, similar to how the </w:t>
      </w:r>
      <w:r w:rsidR="002812BA" w:rsidRPr="007F1A00">
        <w:rPr>
          <w:lang w:val="en-GB"/>
        </w:rPr>
        <w:t>State Officers are</w:t>
      </w:r>
      <w:r w:rsidR="00993B83" w:rsidRPr="007F1A00">
        <w:rPr>
          <w:lang w:val="en-GB"/>
        </w:rPr>
        <w:t xml:space="preserve"> involved in other aged care programs. Most jurisdictions independently raised that networking and information sharing about </w:t>
      </w:r>
      <w:r w:rsidR="006628DA">
        <w:rPr>
          <w:lang w:val="en-GB"/>
        </w:rPr>
        <w:t xml:space="preserve">the </w:t>
      </w:r>
      <w:r w:rsidR="00993B83" w:rsidRPr="007F1A00">
        <w:rPr>
          <w:lang w:val="en-GB"/>
        </w:rPr>
        <w:t>TCP between the jurisdictions and with the Commonwealth used to happen</w:t>
      </w:r>
      <w:r w:rsidR="006628DA">
        <w:rPr>
          <w:lang w:val="en-GB"/>
        </w:rPr>
        <w:t xml:space="preserve">; </w:t>
      </w:r>
      <w:r w:rsidR="00993B83" w:rsidRPr="007F1A00">
        <w:rPr>
          <w:lang w:val="en-GB"/>
        </w:rPr>
        <w:t>however</w:t>
      </w:r>
      <w:r w:rsidR="006628DA">
        <w:rPr>
          <w:lang w:val="en-GB"/>
        </w:rPr>
        <w:t>,</w:t>
      </w:r>
      <w:r w:rsidR="00993B83" w:rsidRPr="007F1A00">
        <w:rPr>
          <w:lang w:val="en-GB"/>
        </w:rPr>
        <w:t xml:space="preserve"> </w:t>
      </w:r>
      <w:r w:rsidR="00530FD3">
        <w:rPr>
          <w:lang w:val="en-GB"/>
        </w:rPr>
        <w:t>it was found that these forums stakeholders spoke of, were not TCP specific</w:t>
      </w:r>
      <w:r w:rsidR="00993B83" w:rsidRPr="007F1A00">
        <w:rPr>
          <w:lang w:val="en-GB"/>
        </w:rPr>
        <w:t xml:space="preserve">. For example, </w:t>
      </w:r>
      <w:r w:rsidR="007126ED">
        <w:rPr>
          <w:lang w:val="en-GB"/>
        </w:rPr>
        <w:t xml:space="preserve">SA </w:t>
      </w:r>
      <w:r w:rsidR="00993B83" w:rsidRPr="007F1A00">
        <w:rPr>
          <w:lang w:val="en-GB"/>
        </w:rPr>
        <w:t xml:space="preserve">Health reported that </w:t>
      </w:r>
      <w:r w:rsidR="008D3D93" w:rsidRPr="007F1A00">
        <w:rPr>
          <w:lang w:val="en-GB"/>
        </w:rPr>
        <w:t>that the following initiatives used to take place in regards to</w:t>
      </w:r>
      <w:r w:rsidR="003A2412">
        <w:rPr>
          <w:lang w:val="en-GB"/>
        </w:rPr>
        <w:t xml:space="preserve"> the</w:t>
      </w:r>
      <w:r w:rsidR="008D3D93" w:rsidRPr="007F1A00">
        <w:rPr>
          <w:lang w:val="en-GB"/>
        </w:rPr>
        <w:t xml:space="preserve"> TCP:</w:t>
      </w:r>
    </w:p>
    <w:p w:rsidR="008D3D93" w:rsidRPr="0096127B" w:rsidRDefault="008D3D93" w:rsidP="0096127B">
      <w:pPr>
        <w:pStyle w:val="Bullet1stlevel"/>
      </w:pPr>
      <w:r w:rsidRPr="0096127B">
        <w:t>Quarterly meetings with the Department (now reportedly held once or twic</w:t>
      </w:r>
      <w:r w:rsidR="0096127B" w:rsidRPr="0096127B">
        <w:t>e a year via teleconference)</w:t>
      </w:r>
      <w:r w:rsidR="006628DA">
        <w:t>; and</w:t>
      </w:r>
    </w:p>
    <w:p w:rsidR="008D3D93" w:rsidRPr="007F1A00" w:rsidRDefault="008D3D93" w:rsidP="0096127B">
      <w:pPr>
        <w:pStyle w:val="Bullet1stlevel"/>
        <w:rPr>
          <w:lang w:val="en-GB"/>
        </w:rPr>
      </w:pPr>
      <w:r w:rsidRPr="0096127B">
        <w:t xml:space="preserve">Broad data reports on </w:t>
      </w:r>
      <w:r w:rsidR="002812BA" w:rsidRPr="0096127B">
        <w:t>State</w:t>
      </w:r>
      <w:r w:rsidRPr="0096127B">
        <w:t xml:space="preserve"> and</w:t>
      </w:r>
      <w:r w:rsidRPr="007F1A00">
        <w:rPr>
          <w:lang w:val="en-GB"/>
        </w:rPr>
        <w:t xml:space="preserve"> </w:t>
      </w:r>
      <w:r w:rsidR="006D0B5B" w:rsidRPr="007F1A00">
        <w:rPr>
          <w:lang w:val="en-GB"/>
        </w:rPr>
        <w:t>Territory</w:t>
      </w:r>
      <w:r w:rsidRPr="007F1A00">
        <w:rPr>
          <w:lang w:val="en-GB"/>
        </w:rPr>
        <w:t xml:space="preserve"> performance.</w:t>
      </w:r>
    </w:p>
    <w:p w:rsidR="000B1D40" w:rsidRDefault="008C041C" w:rsidP="00B223B4">
      <w:pPr>
        <w:pStyle w:val="Bullet1stlevel"/>
        <w:numPr>
          <w:ilvl w:val="0"/>
          <w:numId w:val="0"/>
        </w:numPr>
        <w:rPr>
          <w:lang w:val="en-GB"/>
        </w:rPr>
      </w:pPr>
      <w:r w:rsidRPr="007F1A00">
        <w:rPr>
          <w:lang w:val="en-GB"/>
        </w:rPr>
        <w:t>I</w:t>
      </w:r>
      <w:r w:rsidR="008D3D93" w:rsidRPr="007F1A00">
        <w:rPr>
          <w:lang w:val="en-GB"/>
        </w:rPr>
        <w:t>n the</w:t>
      </w:r>
      <w:r w:rsidR="00993B83" w:rsidRPr="007F1A00">
        <w:rPr>
          <w:lang w:val="en-GB"/>
        </w:rPr>
        <w:t xml:space="preserve"> absence</w:t>
      </w:r>
      <w:r w:rsidR="008D3D93" w:rsidRPr="007F1A00">
        <w:rPr>
          <w:lang w:val="en-GB"/>
        </w:rPr>
        <w:t xml:space="preserve"> of these initiatives</w:t>
      </w:r>
      <w:r w:rsidR="00993B83" w:rsidRPr="007F1A00">
        <w:rPr>
          <w:lang w:val="en-GB"/>
        </w:rPr>
        <w:t>, jurisdictions are not aware of</w:t>
      </w:r>
      <w:r w:rsidR="008D3D93" w:rsidRPr="007F1A00">
        <w:rPr>
          <w:lang w:val="en-GB"/>
        </w:rPr>
        <w:t xml:space="preserve"> their performance in comparison to other </w:t>
      </w:r>
      <w:r w:rsidR="007211BF">
        <w:rPr>
          <w:lang w:val="en-GB"/>
        </w:rPr>
        <w:t>States and Territories</w:t>
      </w:r>
      <w:r w:rsidR="008D3D93" w:rsidRPr="007F1A00">
        <w:rPr>
          <w:lang w:val="en-GB"/>
        </w:rPr>
        <w:t>, nor are they aware of</w:t>
      </w:r>
      <w:r w:rsidR="00993B83" w:rsidRPr="007F1A00">
        <w:rPr>
          <w:lang w:val="en-GB"/>
        </w:rPr>
        <w:t xml:space="preserve"> </w:t>
      </w:r>
      <w:r w:rsidR="008D3D93" w:rsidRPr="007F1A00">
        <w:rPr>
          <w:lang w:val="en-GB"/>
        </w:rPr>
        <w:t>challenges and opportunities happening elsewhere in the country.</w:t>
      </w:r>
      <w:r w:rsidR="00993B83" w:rsidRPr="007F1A00">
        <w:rPr>
          <w:lang w:val="en-GB"/>
        </w:rPr>
        <w:t xml:space="preserve"> </w:t>
      </w:r>
    </w:p>
    <w:p w:rsidR="008041DA" w:rsidRDefault="008041DA" w:rsidP="00B223B4">
      <w:pPr>
        <w:pStyle w:val="Bullet1stlevel"/>
        <w:numPr>
          <w:ilvl w:val="0"/>
          <w:numId w:val="0"/>
        </w:numPr>
        <w:rPr>
          <w:b/>
          <w:lang w:val="en-GB"/>
        </w:rPr>
      </w:pPr>
      <w:r w:rsidRPr="008041DA">
        <w:rPr>
          <w:b/>
          <w:lang w:val="en-GB"/>
        </w:rPr>
        <w:t>Key findings – Key Themes</w:t>
      </w:r>
    </w:p>
    <w:p w:rsidR="008041DA" w:rsidRPr="008041DA" w:rsidRDefault="008041DA" w:rsidP="008041DA">
      <w:pPr>
        <w:pStyle w:val="Bullet1stlevel"/>
      </w:pPr>
      <w:r w:rsidRPr="008041DA">
        <w:t>The TCP is viewed as a very positive programme by a wide range of stakeholders. There are relatively few complaints (13 since programme inception) that have been received by the Commissioner.</w:t>
      </w:r>
    </w:p>
    <w:p w:rsidR="008041DA" w:rsidRPr="008041DA" w:rsidRDefault="008041DA" w:rsidP="008041DA">
      <w:pPr>
        <w:pStyle w:val="Bullet1stlevel"/>
      </w:pPr>
      <w:r w:rsidRPr="008041DA">
        <w:t>The TCP Guidelines and its core delivery model have remained largely the same since programme inception. This is in contrast to other aged care programs where there has been a significant shift in operations and policy.</w:t>
      </w:r>
    </w:p>
    <w:p w:rsidR="008041DA" w:rsidRPr="008041DA" w:rsidRDefault="008041DA" w:rsidP="008041DA">
      <w:pPr>
        <w:pStyle w:val="Bullet1stlevel"/>
      </w:pPr>
      <w:r w:rsidRPr="008041DA">
        <w:t>All stakeholders reported that there should be greater levels of flexibility around:</w:t>
      </w:r>
    </w:p>
    <w:p w:rsidR="008041DA" w:rsidRPr="008041DA" w:rsidRDefault="008041DA" w:rsidP="008041DA">
      <w:pPr>
        <w:pStyle w:val="Bullet2ndlevel"/>
        <w:rPr>
          <w:lang w:val="en-GB"/>
        </w:rPr>
      </w:pPr>
      <w:r w:rsidRPr="008041DA">
        <w:rPr>
          <w:lang w:val="en-GB"/>
        </w:rPr>
        <w:t xml:space="preserve">The need to discharge clients if they spend greater than 24 hours in hospital – stakeholders thought that 48-72 hours was more reasonable; </w:t>
      </w:r>
    </w:p>
    <w:p w:rsidR="008041DA" w:rsidRPr="008041DA" w:rsidRDefault="008041DA" w:rsidP="008041DA">
      <w:pPr>
        <w:pStyle w:val="Bullet2ndlevel"/>
        <w:rPr>
          <w:lang w:val="en-GB"/>
        </w:rPr>
      </w:pPr>
      <w:r w:rsidRPr="008041DA">
        <w:rPr>
          <w:lang w:val="en-GB"/>
        </w:rPr>
        <w:t>Leave provisions to align with STRC; and</w:t>
      </w:r>
    </w:p>
    <w:p w:rsidR="008041DA" w:rsidRPr="008041DA" w:rsidRDefault="008041DA" w:rsidP="008041DA">
      <w:pPr>
        <w:pStyle w:val="Bullet2ndlevel"/>
        <w:rPr>
          <w:lang w:val="en-GB"/>
        </w:rPr>
      </w:pPr>
      <w:r w:rsidRPr="008041DA">
        <w:rPr>
          <w:lang w:val="en-GB"/>
        </w:rPr>
        <w:t>The need to accept clients directly from hospital – a grace period of 24 hours was often requested.</w:t>
      </w:r>
    </w:p>
    <w:p w:rsidR="008041DA" w:rsidRPr="008041DA" w:rsidRDefault="008041DA" w:rsidP="008041DA">
      <w:pPr>
        <w:pStyle w:val="Bullet1stlevel"/>
      </w:pPr>
      <w:r w:rsidRPr="008041DA">
        <w:t>Some stakeholders reported that the MBI, while a useful outcome measure, did not capture all important aspects of the TCP. KPIs could be expanded to capture psychosocial domains.</w:t>
      </w:r>
    </w:p>
    <w:p w:rsidR="008041DA" w:rsidRPr="008041DA" w:rsidRDefault="008041DA" w:rsidP="008041DA">
      <w:pPr>
        <w:pStyle w:val="Bullet1stlevel"/>
      </w:pPr>
      <w:r w:rsidRPr="008041DA">
        <w:t xml:space="preserve">Stakeholders have reported that the complexity of clients is increasing; however, this is currently not supported by the data collected by the Department. </w:t>
      </w:r>
    </w:p>
    <w:p w:rsidR="008041DA" w:rsidRPr="008041DA" w:rsidRDefault="008041DA" w:rsidP="008041DA">
      <w:pPr>
        <w:pStyle w:val="Bullet1stlevel"/>
      </w:pPr>
      <w:r w:rsidRPr="008041DA">
        <w:t xml:space="preserve">There is reported difficulty in safely discharging some clients to a home setting due to reduced availability of CHSP and HCP programs. </w:t>
      </w:r>
    </w:p>
    <w:p w:rsidR="008041DA" w:rsidRPr="008041DA" w:rsidRDefault="008041DA" w:rsidP="008041DA">
      <w:pPr>
        <w:pStyle w:val="Bullet1stlevel"/>
      </w:pPr>
      <w:r w:rsidRPr="008041DA">
        <w:t>The TCP appears to be less accessible to a number of population groups including:</w:t>
      </w:r>
    </w:p>
    <w:p w:rsidR="008041DA" w:rsidRPr="008041DA" w:rsidRDefault="008041DA" w:rsidP="008041DA">
      <w:pPr>
        <w:pStyle w:val="Bullet2ndlevel"/>
        <w:rPr>
          <w:lang w:val="en-GB"/>
        </w:rPr>
      </w:pPr>
      <w:r w:rsidRPr="008041DA">
        <w:rPr>
          <w:lang w:val="en-GB"/>
        </w:rPr>
        <w:t>Aboriginal and Torres Strait Islander people</w:t>
      </w:r>
    </w:p>
    <w:p w:rsidR="008041DA" w:rsidRPr="008041DA" w:rsidRDefault="008041DA" w:rsidP="008041DA">
      <w:pPr>
        <w:pStyle w:val="Bullet2ndlevel"/>
        <w:rPr>
          <w:lang w:val="en-GB"/>
        </w:rPr>
      </w:pPr>
      <w:r w:rsidRPr="008041DA">
        <w:rPr>
          <w:lang w:val="en-GB"/>
        </w:rPr>
        <w:tab/>
        <w:t>CALD people</w:t>
      </w:r>
    </w:p>
    <w:p w:rsidR="008041DA" w:rsidRPr="008041DA" w:rsidRDefault="008041DA" w:rsidP="008041DA">
      <w:pPr>
        <w:pStyle w:val="Bullet2ndlevel"/>
        <w:rPr>
          <w:lang w:val="en-GB"/>
        </w:rPr>
      </w:pPr>
      <w:r w:rsidRPr="008041DA">
        <w:rPr>
          <w:lang w:val="en-GB"/>
        </w:rPr>
        <w:tab/>
        <w:t>People experiencing financial disadvantage</w:t>
      </w:r>
    </w:p>
    <w:p w:rsidR="008041DA" w:rsidRPr="008041DA" w:rsidRDefault="008041DA" w:rsidP="008041DA">
      <w:pPr>
        <w:pStyle w:val="Bullet2ndlevel"/>
        <w:rPr>
          <w:lang w:val="en-GB"/>
        </w:rPr>
      </w:pPr>
      <w:r w:rsidRPr="008041DA">
        <w:rPr>
          <w:lang w:val="en-GB"/>
        </w:rPr>
        <w:tab/>
        <w:t>People living in rural and remote areas.</w:t>
      </w:r>
    </w:p>
    <w:p w:rsidR="008041DA" w:rsidRPr="008041DA" w:rsidRDefault="008041DA" w:rsidP="008041DA">
      <w:pPr>
        <w:pStyle w:val="Bullet1stlevel"/>
      </w:pPr>
      <w:r w:rsidRPr="008041DA">
        <w:t>Service providers and State and Territory government officials would like more chances to network and come together to discuss and identify opportunities for the continuous improvement of the TCP.</w:t>
      </w:r>
    </w:p>
    <w:p w:rsidR="006A6BFB" w:rsidRPr="007F1A00" w:rsidRDefault="006A6BFB" w:rsidP="00012A20">
      <w:pPr>
        <w:pStyle w:val="BodyText1"/>
        <w:rPr>
          <w:lang w:val="en-GB"/>
        </w:rPr>
      </w:pPr>
    </w:p>
    <w:p w:rsidR="00A12B5A" w:rsidRPr="007F1A00" w:rsidRDefault="00A12B5A" w:rsidP="00A12B5A">
      <w:pPr>
        <w:spacing w:before="0" w:after="160" w:line="259" w:lineRule="auto"/>
        <w:rPr>
          <w:lang w:val="en-GB"/>
        </w:rPr>
      </w:pPr>
      <w:bookmarkStart w:id="30" w:name="_Toc450138051"/>
      <w:bookmarkStart w:id="31" w:name="_Toc450296014"/>
      <w:r w:rsidRPr="007F1A00">
        <w:rPr>
          <w:lang w:val="en-GB"/>
        </w:rPr>
        <w:br w:type="page"/>
      </w:r>
    </w:p>
    <w:p w:rsidR="00DE3BD7" w:rsidRDefault="00DE3BD7" w:rsidP="00DE3BD7">
      <w:pPr>
        <w:pStyle w:val="Heading1"/>
        <w:rPr>
          <w:lang w:val="en-GB" w:eastAsia="en-AU"/>
        </w:rPr>
      </w:pPr>
      <w:bookmarkStart w:id="32" w:name="_Toc5270603"/>
      <w:r w:rsidRPr="007F1A00">
        <w:rPr>
          <w:lang w:val="en-GB"/>
        </w:rPr>
        <w:t>Transition care programs internationally</w:t>
      </w:r>
      <w:bookmarkEnd w:id="32"/>
      <w:r>
        <w:rPr>
          <w:lang w:val="en-GB" w:eastAsia="en-AU"/>
        </w:rPr>
        <w:t xml:space="preserve"> </w:t>
      </w:r>
    </w:p>
    <w:p w:rsidR="003543DF" w:rsidRPr="003543DF" w:rsidRDefault="003543DF" w:rsidP="003543DF">
      <w:pPr>
        <w:pStyle w:val="BodyText1"/>
        <w:rPr>
          <w:lang w:val="en-GB" w:eastAsia="en-AU"/>
        </w:rPr>
      </w:pPr>
      <w:r>
        <w:rPr>
          <w:lang w:val="en-GB" w:eastAsia="en-AU"/>
        </w:rPr>
        <w:t>The following content has been gleaned from a desktop review of similar programs in international jurisdictions. The reviewers have chosen to reflect the language used by each jurisdiction, including the adoption of ‘clients’ in place of consumer. This explains the inconsistency in terminology from</w:t>
      </w:r>
      <w:r w:rsidR="00246474">
        <w:rPr>
          <w:lang w:val="en-GB" w:eastAsia="en-AU"/>
        </w:rPr>
        <w:t xml:space="preserve"> the</w:t>
      </w:r>
      <w:r>
        <w:rPr>
          <w:lang w:val="en-GB" w:eastAsia="en-AU"/>
        </w:rPr>
        <w:t xml:space="preserve"> TCP.</w:t>
      </w:r>
    </w:p>
    <w:p w:rsidR="00DA0D95" w:rsidRPr="007F1A00" w:rsidRDefault="00DA0D95" w:rsidP="003959B4">
      <w:pPr>
        <w:pStyle w:val="Heading2"/>
        <w:rPr>
          <w:rFonts w:eastAsia="Times New Roman" w:cs="Times New Roman"/>
          <w:color w:val="00338D" w:themeColor="background2"/>
          <w:lang w:val="en-GB" w:eastAsia="en-AU"/>
        </w:rPr>
      </w:pPr>
      <w:bookmarkStart w:id="33" w:name="_Toc5270604"/>
      <w:r w:rsidRPr="007F1A00">
        <w:rPr>
          <w:rFonts w:eastAsia="+mn-ea"/>
          <w:color w:val="00338D" w:themeColor="background2"/>
          <w:lang w:val="en-GB" w:eastAsia="en-AU"/>
        </w:rPr>
        <w:t>United States of America</w:t>
      </w:r>
      <w:bookmarkEnd w:id="33"/>
    </w:p>
    <w:p w:rsidR="00DA0D95" w:rsidRPr="007F1A00" w:rsidRDefault="00DA0D95" w:rsidP="00DA0D95">
      <w:pPr>
        <w:pStyle w:val="Bullet1stlevel"/>
        <w:numPr>
          <w:ilvl w:val="0"/>
          <w:numId w:val="0"/>
        </w:numPr>
        <w:rPr>
          <w:lang w:val="en-GB"/>
        </w:rPr>
      </w:pPr>
      <w:r w:rsidRPr="007F1A00">
        <w:rPr>
          <w:lang w:val="en-GB" w:eastAsia="en-AU"/>
        </w:rPr>
        <w:t>Dozens of transitional care interventions have been implemented across the United States with the purpose of reducing unnecessary hospital readmissions and improving the quality of care during transitions. The interventions range from small-scale transitional care services in research hospitals to initiatives that are fully funded as part of health plans.</w:t>
      </w:r>
      <w:r w:rsidRPr="007F1A00">
        <w:rPr>
          <w:rStyle w:val="FootnoteReference"/>
          <w:lang w:val="en-GB" w:eastAsia="en-AU"/>
        </w:rPr>
        <w:footnoteReference w:id="48"/>
      </w:r>
      <w:r w:rsidRPr="007F1A00">
        <w:rPr>
          <w:lang w:val="en-GB"/>
        </w:rPr>
        <w:t xml:space="preserve"> </w:t>
      </w:r>
    </w:p>
    <w:p w:rsidR="00DA0D95" w:rsidRPr="007F1A00" w:rsidRDefault="00C62284" w:rsidP="00DA0D95">
      <w:pPr>
        <w:pStyle w:val="Bullet1stlevel"/>
        <w:numPr>
          <w:ilvl w:val="0"/>
          <w:numId w:val="0"/>
        </w:numPr>
        <w:rPr>
          <w:lang w:val="en-GB" w:eastAsia="en-AU"/>
        </w:rPr>
      </w:pPr>
      <w:r w:rsidRPr="007F1A00">
        <w:rPr>
          <w:rFonts w:eastAsia="+mn-ea"/>
          <w:szCs w:val="32"/>
          <w:lang w:val="en-GB" w:eastAsia="en-AU"/>
        </w:rPr>
        <w:t xml:space="preserve">The Care Transitions Intervention (CTI) </w:t>
      </w:r>
      <w:r w:rsidR="00DA0D95" w:rsidRPr="007F1A00">
        <w:rPr>
          <w:lang w:val="en-GB" w:eastAsia="en-AU"/>
        </w:rPr>
        <w:t>is a well-establi</w:t>
      </w:r>
      <w:r w:rsidR="00046D5F" w:rsidRPr="007F1A00">
        <w:rPr>
          <w:lang w:val="en-GB" w:eastAsia="en-AU"/>
        </w:rPr>
        <w:t xml:space="preserve">shed model and is </w:t>
      </w:r>
      <w:r w:rsidR="00DA0D95" w:rsidRPr="007F1A00">
        <w:rPr>
          <w:lang w:val="en-GB" w:eastAsia="en-AU"/>
        </w:rPr>
        <w:t xml:space="preserve">more medically-focussed </w:t>
      </w:r>
      <w:r w:rsidR="00046D5F" w:rsidRPr="007F1A00">
        <w:rPr>
          <w:lang w:val="en-GB" w:eastAsia="en-AU"/>
        </w:rPr>
        <w:t xml:space="preserve">than </w:t>
      </w:r>
      <w:r w:rsidR="003A2412">
        <w:rPr>
          <w:lang w:val="en-GB" w:eastAsia="en-AU"/>
        </w:rPr>
        <w:t xml:space="preserve">the </w:t>
      </w:r>
      <w:r w:rsidR="00046D5F" w:rsidRPr="007F1A00">
        <w:rPr>
          <w:lang w:val="en-GB" w:eastAsia="en-AU"/>
        </w:rPr>
        <w:t xml:space="preserve">TCP. It is centred </w:t>
      </w:r>
      <w:r w:rsidR="00DA0D95" w:rsidRPr="007F1A00">
        <w:rPr>
          <w:lang w:val="en-GB" w:eastAsia="en-AU"/>
        </w:rPr>
        <w:t>on medication compliance, identifying health conditions and recording progress in a personally controlled electronic health record, scheduling follow up visits, recognising ‘red flags’ and escalating care appropriately.</w:t>
      </w:r>
      <w:r w:rsidR="00DA0D95" w:rsidRPr="007F1A00">
        <w:rPr>
          <w:rStyle w:val="FootnoteReference"/>
          <w:rFonts w:eastAsia="+mn-ea" w:cs="+mn-cs"/>
          <w:color w:val="000000"/>
          <w:kern w:val="24"/>
          <w:szCs w:val="20"/>
          <w:lang w:val="en-GB" w:eastAsia="en-AU"/>
        </w:rPr>
        <w:footnoteReference w:id="49"/>
      </w:r>
      <w:r w:rsidR="00DA0D95" w:rsidRPr="007F1A00">
        <w:rPr>
          <w:vertAlign w:val="superscript"/>
          <w:lang w:val="en-GB" w:eastAsia="en-AU"/>
        </w:rPr>
        <w:t>,</w:t>
      </w:r>
      <w:r w:rsidR="00DA0D95" w:rsidRPr="007F1A00">
        <w:rPr>
          <w:rStyle w:val="FootnoteReference"/>
          <w:rFonts w:eastAsia="+mn-ea" w:cs="+mn-cs"/>
          <w:color w:val="000000"/>
          <w:kern w:val="24"/>
          <w:szCs w:val="20"/>
          <w:lang w:val="en-GB" w:eastAsia="en-AU"/>
        </w:rPr>
        <w:footnoteReference w:id="50"/>
      </w:r>
      <w:r w:rsidR="00DA0D95" w:rsidRPr="007F1A00">
        <w:rPr>
          <w:vertAlign w:val="superscript"/>
          <w:lang w:val="en-GB" w:eastAsia="en-AU"/>
        </w:rPr>
        <w:t xml:space="preserve"> </w:t>
      </w:r>
      <w:r w:rsidR="00440AAD" w:rsidRPr="007F1A00">
        <w:rPr>
          <w:lang w:val="en-GB" w:eastAsia="en-AU"/>
        </w:rPr>
        <w:t>C</w:t>
      </w:r>
      <w:r w:rsidR="00DA0D95" w:rsidRPr="007F1A00">
        <w:rPr>
          <w:lang w:val="en-GB" w:eastAsia="en-AU"/>
        </w:rPr>
        <w:t>are is aimed at the elderly</w:t>
      </w:r>
      <w:r w:rsidR="00440AAD" w:rsidRPr="007F1A00">
        <w:rPr>
          <w:lang w:val="en-GB" w:eastAsia="en-AU"/>
        </w:rPr>
        <w:t xml:space="preserve"> and</w:t>
      </w:r>
      <w:r w:rsidR="004D0BB7">
        <w:rPr>
          <w:lang w:val="en-GB" w:eastAsia="en-AU"/>
        </w:rPr>
        <w:t xml:space="preserve"> is provided for four </w:t>
      </w:r>
      <w:r w:rsidR="00DA0D95" w:rsidRPr="007F1A00">
        <w:rPr>
          <w:lang w:val="en-GB" w:eastAsia="en-AU"/>
        </w:rPr>
        <w:t>weeks, targeting clients with one or more of 11 mostly medical diagnoses (including stroke, congestive heart failure, coronary artery disease, cardiac arrhythmias, chronic obstructive pulmonary disease, diabetes mellitus, spinal stenosis, hip fracture, peripheral vascular disease, deep venous thrombosis, and pulmonary embolism).</w:t>
      </w:r>
      <w:r w:rsidR="00DA0D95" w:rsidRPr="007F1A00">
        <w:rPr>
          <w:rStyle w:val="FootnoteReference"/>
          <w:lang w:val="en-GB" w:eastAsia="en-AU"/>
        </w:rPr>
        <w:footnoteReference w:id="51"/>
      </w:r>
      <w:r w:rsidR="00DA0D95" w:rsidRPr="007F1A00">
        <w:rPr>
          <w:vertAlign w:val="superscript"/>
          <w:lang w:val="en-GB" w:eastAsia="en-AU"/>
        </w:rPr>
        <w:t>,</w:t>
      </w:r>
      <w:r w:rsidR="00DA0D95" w:rsidRPr="007F1A00">
        <w:rPr>
          <w:rStyle w:val="FootnoteReference"/>
          <w:lang w:val="en-GB" w:eastAsia="en-AU"/>
        </w:rPr>
        <w:footnoteReference w:id="52"/>
      </w:r>
      <w:r w:rsidR="00DA0D95" w:rsidRPr="007F1A00">
        <w:rPr>
          <w:lang w:val="en-GB" w:eastAsia="en-AU"/>
        </w:rPr>
        <w:t xml:space="preserve"> CTI consists of engaging patients while they’re still in hospital to discuss any concerns, arranging a home follow up visit with accompanying phone calls to increase self-management, develop goals, and ensure continuity of care across the transition.</w:t>
      </w:r>
    </w:p>
    <w:p w:rsidR="00440AAD" w:rsidRDefault="00DA0D95" w:rsidP="00DA0D95">
      <w:pPr>
        <w:pStyle w:val="Bullet1stlevel"/>
        <w:numPr>
          <w:ilvl w:val="0"/>
          <w:numId w:val="0"/>
        </w:numPr>
        <w:rPr>
          <w:lang w:val="en-GB" w:eastAsia="en-AU"/>
        </w:rPr>
      </w:pPr>
      <w:r w:rsidRPr="007F1A00">
        <w:rPr>
          <w:lang w:val="en-GB" w:eastAsia="en-AU"/>
        </w:rPr>
        <w:t>A quasi-experimental cohort study</w:t>
      </w:r>
      <w:r w:rsidR="00046D5F" w:rsidRPr="007F1A00">
        <w:rPr>
          <w:lang w:val="en-GB" w:eastAsia="en-AU"/>
        </w:rPr>
        <w:t xml:space="preserve"> found that CTI was reasonably effective.</w:t>
      </w:r>
      <w:r w:rsidRPr="007F1A00">
        <w:rPr>
          <w:lang w:val="en-GB" w:eastAsia="en-AU"/>
        </w:rPr>
        <w:t xml:space="preserve"> </w:t>
      </w:r>
      <w:r w:rsidR="00046D5F" w:rsidRPr="007F1A00">
        <w:rPr>
          <w:lang w:val="en-GB" w:eastAsia="en-AU"/>
        </w:rPr>
        <w:t>It compared</w:t>
      </w:r>
      <w:r w:rsidRPr="007F1A00">
        <w:rPr>
          <w:lang w:val="en-GB" w:eastAsia="en-AU"/>
        </w:rPr>
        <w:t xml:space="preserve"> CTI with those who declined the service or were lost to follow-up (internal control group) </w:t>
      </w:r>
      <w:r w:rsidR="00046D5F" w:rsidRPr="007F1A00">
        <w:rPr>
          <w:lang w:val="en-GB" w:eastAsia="en-AU"/>
        </w:rPr>
        <w:t>and found that, six</w:t>
      </w:r>
      <w:r w:rsidRPr="007F1A00">
        <w:rPr>
          <w:lang w:val="en-GB" w:eastAsia="en-AU"/>
        </w:rPr>
        <w:t xml:space="preserve"> months after discharge, those receiving CTI had significantly less cost-shifting onto other parts of the health system post-discharge, such as </w:t>
      </w:r>
      <w:r w:rsidR="00046D5F" w:rsidRPr="007F1A00">
        <w:rPr>
          <w:lang w:val="en-GB" w:eastAsia="en-AU"/>
        </w:rPr>
        <w:t>emergency department</w:t>
      </w:r>
      <w:r w:rsidRPr="007F1A00">
        <w:rPr>
          <w:lang w:val="en-GB" w:eastAsia="en-AU"/>
        </w:rPr>
        <w:t xml:space="preserve"> visits or other outpatient services. Total health care costs were also 22</w:t>
      </w:r>
      <w:r w:rsidR="00142AFB" w:rsidRPr="007F1A00">
        <w:rPr>
          <w:lang w:val="en-GB" w:eastAsia="en-AU"/>
        </w:rPr>
        <w:t xml:space="preserve"> per cent </w:t>
      </w:r>
      <w:r w:rsidRPr="007F1A00">
        <w:rPr>
          <w:lang w:val="en-GB" w:eastAsia="en-AU"/>
        </w:rPr>
        <w:t>lower and the cost avoided per patient receiving an intervention was $3,752 compared to the internal control group.</w:t>
      </w:r>
      <w:r w:rsidRPr="007F1A00">
        <w:rPr>
          <w:rStyle w:val="FootnoteReference"/>
          <w:lang w:val="en-GB" w:eastAsia="en-AU"/>
        </w:rPr>
        <w:footnoteReference w:id="53"/>
      </w:r>
    </w:p>
    <w:p w:rsidR="00DE3BD7" w:rsidRPr="007F1A00" w:rsidRDefault="00DE3BD7" w:rsidP="00DE3BD7">
      <w:pPr>
        <w:pStyle w:val="BodyText1"/>
        <w:rPr>
          <w:b/>
          <w:lang w:val="en-GB" w:eastAsia="en-AU"/>
        </w:rPr>
      </w:pPr>
      <w:r w:rsidRPr="007F1A00">
        <w:rPr>
          <w:b/>
          <w:lang w:val="en-GB" w:eastAsia="en-AU"/>
        </w:rPr>
        <w:t xml:space="preserve">Considerations for </w:t>
      </w:r>
      <w:r>
        <w:rPr>
          <w:b/>
          <w:lang w:val="en-GB" w:eastAsia="en-AU"/>
        </w:rPr>
        <w:t xml:space="preserve">the </w:t>
      </w:r>
      <w:r w:rsidRPr="007F1A00">
        <w:rPr>
          <w:b/>
          <w:lang w:val="en-GB" w:eastAsia="en-AU"/>
        </w:rPr>
        <w:t>TCP</w:t>
      </w:r>
    </w:p>
    <w:p w:rsidR="00DE3BD7" w:rsidRPr="007F1A00" w:rsidRDefault="00DE3BD7" w:rsidP="00DE3BD7">
      <w:pPr>
        <w:pStyle w:val="Bullet1stlevel"/>
        <w:numPr>
          <w:ilvl w:val="0"/>
          <w:numId w:val="0"/>
        </w:numPr>
        <w:rPr>
          <w:lang w:val="en-GB" w:eastAsia="en-AU"/>
        </w:rPr>
      </w:pPr>
      <w:r w:rsidRPr="007F1A00">
        <w:rPr>
          <w:lang w:val="en-GB" w:eastAsia="en-AU"/>
        </w:rPr>
        <w:t xml:space="preserve">Given the impact CTI has had on reducing overall health system costs based on similar principles to the TCP, the current TCP could be leveraged to enhance all aspects of transitional care. For example, the TCP already has the established infrastructure to provide care to specific care recipients during a critical juncture in their care recipient journey. </w:t>
      </w:r>
      <w:r>
        <w:rPr>
          <w:lang w:val="en-GB" w:eastAsia="en-AU"/>
        </w:rPr>
        <w:t xml:space="preserve">The </w:t>
      </w:r>
      <w:r w:rsidRPr="007F1A00">
        <w:rPr>
          <w:lang w:val="en-GB" w:eastAsia="en-AU"/>
        </w:rPr>
        <w:t>TCP could be leveraged to provide more holistic transitional care by coordinating short-term restorative care with care recipients’ primary care physicians to ensure medical care is not only optimised but also works towards the same goals as short-term restorative goals.</w:t>
      </w:r>
    </w:p>
    <w:p w:rsidR="00DA0D95" w:rsidRPr="007F1A00" w:rsidRDefault="00DA0D95" w:rsidP="00DA0D95">
      <w:pPr>
        <w:pStyle w:val="Heading2"/>
        <w:rPr>
          <w:rFonts w:eastAsia="+mn-ea"/>
          <w:lang w:val="en-GB" w:eastAsia="en-AU"/>
        </w:rPr>
      </w:pPr>
      <w:bookmarkStart w:id="34" w:name="_Toc5270605"/>
      <w:r w:rsidRPr="007F1A00">
        <w:rPr>
          <w:rFonts w:eastAsia="+mn-ea"/>
          <w:lang w:val="en-GB" w:eastAsia="en-AU"/>
        </w:rPr>
        <w:t>United Kingdom</w:t>
      </w:r>
      <w:bookmarkEnd w:id="34"/>
    </w:p>
    <w:p w:rsidR="00DA0D95" w:rsidRPr="007F1A00" w:rsidRDefault="00DA0D95" w:rsidP="00DA0D95">
      <w:pPr>
        <w:pStyle w:val="Bullet1stlevel"/>
        <w:numPr>
          <w:ilvl w:val="0"/>
          <w:numId w:val="0"/>
        </w:numPr>
        <w:rPr>
          <w:lang w:val="en-GB" w:eastAsia="en-AU"/>
        </w:rPr>
      </w:pPr>
      <w:r w:rsidRPr="007F1A00">
        <w:rPr>
          <w:lang w:val="en-GB" w:eastAsia="en-AU"/>
        </w:rPr>
        <w:t xml:space="preserve">The </w:t>
      </w:r>
      <w:r w:rsidR="00C62284" w:rsidRPr="007F1A00">
        <w:rPr>
          <w:rFonts w:eastAsia="+mn-ea"/>
          <w:lang w:val="en-GB" w:eastAsia="en-AU"/>
        </w:rPr>
        <w:t>Intermediate Care and Reablement (ICR) program</w:t>
      </w:r>
      <w:r w:rsidR="00C62284" w:rsidRPr="007F1A00">
        <w:rPr>
          <w:lang w:val="en-GB" w:eastAsia="en-AU"/>
        </w:rPr>
        <w:t xml:space="preserve"> </w:t>
      </w:r>
      <w:r w:rsidRPr="007F1A00">
        <w:rPr>
          <w:lang w:val="en-GB" w:eastAsia="en-AU"/>
        </w:rPr>
        <w:t>is managed and funded by the National Health Service</w:t>
      </w:r>
      <w:r w:rsidR="00046D5F" w:rsidRPr="007F1A00">
        <w:rPr>
          <w:lang w:val="en-GB" w:eastAsia="en-AU"/>
        </w:rPr>
        <w:t>. S</w:t>
      </w:r>
      <w:r w:rsidRPr="007F1A00">
        <w:rPr>
          <w:lang w:val="en-GB" w:eastAsia="en-AU"/>
        </w:rPr>
        <w:t xml:space="preserve">imilar to </w:t>
      </w:r>
      <w:r w:rsidR="003A2412">
        <w:rPr>
          <w:lang w:val="en-GB" w:eastAsia="en-AU"/>
        </w:rPr>
        <w:t xml:space="preserve">the </w:t>
      </w:r>
      <w:r w:rsidRPr="007F1A00">
        <w:rPr>
          <w:lang w:val="en-GB" w:eastAsia="en-AU"/>
        </w:rPr>
        <w:t>TCP,</w:t>
      </w:r>
      <w:r w:rsidR="00046D5F" w:rsidRPr="007F1A00">
        <w:rPr>
          <w:lang w:val="en-GB" w:eastAsia="en-AU"/>
        </w:rPr>
        <w:t xml:space="preserve"> it</w:t>
      </w:r>
      <w:r w:rsidRPr="007F1A00">
        <w:rPr>
          <w:lang w:val="en-GB" w:eastAsia="en-AU"/>
        </w:rPr>
        <w:t xml:space="preserve"> aims to reduce unnecessary hospital admissions, help clients be as independent as possible after an unplanned hospital admission and avoid clients moving prematurely or permanently into a care home. Unlike</w:t>
      </w:r>
      <w:r w:rsidR="003A2412">
        <w:rPr>
          <w:lang w:val="en-GB" w:eastAsia="en-AU"/>
        </w:rPr>
        <w:t xml:space="preserve"> the</w:t>
      </w:r>
      <w:r w:rsidRPr="007F1A00">
        <w:rPr>
          <w:lang w:val="en-GB" w:eastAsia="en-AU"/>
        </w:rPr>
        <w:t xml:space="preserve"> TCP, </w:t>
      </w:r>
      <w:r w:rsidR="005A6945" w:rsidRPr="007F1A00">
        <w:rPr>
          <w:lang w:val="en-GB" w:eastAsia="en-AU"/>
        </w:rPr>
        <w:t>clients</w:t>
      </w:r>
      <w:r w:rsidRPr="007F1A00">
        <w:rPr>
          <w:lang w:val="en-GB" w:eastAsia="en-AU"/>
        </w:rPr>
        <w:t xml:space="preserve"> do not necessarily need to have to be inpatients to be eligible for care</w:t>
      </w:r>
      <w:r w:rsidR="00046D5F" w:rsidRPr="007F1A00">
        <w:rPr>
          <w:lang w:val="en-GB" w:eastAsia="en-AU"/>
        </w:rPr>
        <w:t>;</w:t>
      </w:r>
      <w:r w:rsidRPr="007F1A00">
        <w:rPr>
          <w:lang w:val="en-GB" w:eastAsia="en-AU"/>
        </w:rPr>
        <w:t xml:space="preserve"> ICR also offers assistance for clients living at home with increasing difficulty with </w:t>
      </w:r>
      <w:r w:rsidR="00046D5F" w:rsidRPr="007F1A00">
        <w:rPr>
          <w:lang w:val="en-GB" w:eastAsia="en-AU"/>
        </w:rPr>
        <w:t>activities of daily living (</w:t>
      </w:r>
      <w:r w:rsidRPr="007F1A00">
        <w:rPr>
          <w:lang w:val="en-GB" w:eastAsia="en-AU"/>
        </w:rPr>
        <w:t>ADLs</w:t>
      </w:r>
      <w:r w:rsidR="00046D5F" w:rsidRPr="007F1A00">
        <w:rPr>
          <w:lang w:val="en-GB" w:eastAsia="en-AU"/>
        </w:rPr>
        <w:t>)</w:t>
      </w:r>
      <w:r w:rsidRPr="007F1A00">
        <w:rPr>
          <w:lang w:val="en-GB" w:eastAsia="en-AU"/>
        </w:rPr>
        <w:t xml:space="preserve"> due to illness or disability. ICR last</w:t>
      </w:r>
      <w:r w:rsidR="00046D5F" w:rsidRPr="007F1A00">
        <w:rPr>
          <w:lang w:val="en-GB" w:eastAsia="en-AU"/>
        </w:rPr>
        <w:t>s up to six</w:t>
      </w:r>
      <w:r w:rsidRPr="007F1A00">
        <w:rPr>
          <w:lang w:val="en-GB" w:eastAsia="en-AU"/>
        </w:rPr>
        <w:t xml:space="preserve"> weeks and offers care in community and residential settings and also includes ‘crisis care’ with ca</w:t>
      </w:r>
      <w:r w:rsidR="00046D5F" w:rsidRPr="007F1A00">
        <w:rPr>
          <w:lang w:val="en-GB" w:eastAsia="en-AU"/>
        </w:rPr>
        <w:t>re commencing within 48 hours. T</w:t>
      </w:r>
      <w:r w:rsidRPr="007F1A00">
        <w:rPr>
          <w:lang w:val="en-GB" w:eastAsia="en-AU"/>
        </w:rPr>
        <w:t xml:space="preserve">hough ICR is available for all those over 18 years, the majority of clients are elderly. Care offered varies with the types of intermediate care, but similar services are offered to </w:t>
      </w:r>
      <w:r w:rsidR="003A2412">
        <w:rPr>
          <w:lang w:val="en-GB" w:eastAsia="en-AU"/>
        </w:rPr>
        <w:t xml:space="preserve">the </w:t>
      </w:r>
      <w:r w:rsidRPr="007F1A00">
        <w:rPr>
          <w:lang w:val="en-GB" w:eastAsia="en-AU"/>
        </w:rPr>
        <w:t>TCP including nursing, social work and other specialist therapy services including occupational therapy in similar settings in the clients’ home and community, and in residential facilities.</w:t>
      </w:r>
      <w:r w:rsidRPr="007F1A00">
        <w:rPr>
          <w:rStyle w:val="FootnoteReference"/>
          <w:rFonts w:eastAsia="Times New Roman" w:cs="Times New Roman"/>
          <w:szCs w:val="24"/>
          <w:lang w:val="en-GB" w:eastAsia="en-AU"/>
        </w:rPr>
        <w:footnoteReference w:id="54"/>
      </w:r>
    </w:p>
    <w:p w:rsidR="00DA0D95" w:rsidRDefault="00DA0D95" w:rsidP="00DA0D95">
      <w:pPr>
        <w:pStyle w:val="Bullet1stlevel"/>
        <w:numPr>
          <w:ilvl w:val="0"/>
          <w:numId w:val="0"/>
        </w:numPr>
        <w:rPr>
          <w:lang w:val="en-GB" w:eastAsia="en-AU"/>
        </w:rPr>
      </w:pPr>
      <w:r w:rsidRPr="007F1A00">
        <w:rPr>
          <w:lang w:val="en-GB" w:eastAsia="en-AU"/>
        </w:rPr>
        <w:t xml:space="preserve">A review of the evidence of </w:t>
      </w:r>
      <w:r w:rsidR="00046D5F" w:rsidRPr="007F1A00">
        <w:rPr>
          <w:lang w:val="en-GB" w:eastAsia="en-AU"/>
        </w:rPr>
        <w:t>ICR</w:t>
      </w:r>
      <w:r w:rsidRPr="007F1A00">
        <w:rPr>
          <w:lang w:val="en-GB" w:eastAsia="en-AU"/>
        </w:rPr>
        <w:t xml:space="preserve"> applied in the British context found that patients experiencing acute medical events were more likely to benefit from services than patients experiencing more complex acute-on-chronic episodes. However, patients with greater assessed need were found to potentially benefit the most from services. This group would incur higher costs of care in Intermediate Care service delivery. It was hypothesised there would be cost savings from avoiding future hospital admissions, however this has not been evaluated.</w:t>
      </w:r>
      <w:r w:rsidRPr="007F1A00">
        <w:rPr>
          <w:rStyle w:val="FootnoteReference"/>
          <w:lang w:val="en-GB" w:eastAsia="en-AU"/>
        </w:rPr>
        <w:footnoteReference w:id="55"/>
      </w:r>
      <w:r w:rsidR="006C271F">
        <w:rPr>
          <w:lang w:val="en-GB" w:eastAsia="en-AU"/>
        </w:rPr>
        <w:t xml:space="preserve">  </w:t>
      </w:r>
    </w:p>
    <w:p w:rsidR="00DE3BD7" w:rsidRPr="007F1A00" w:rsidRDefault="00DE3BD7" w:rsidP="00DE3BD7">
      <w:pPr>
        <w:pStyle w:val="BodyText1"/>
        <w:rPr>
          <w:b/>
          <w:lang w:val="en-GB" w:eastAsia="en-AU"/>
        </w:rPr>
      </w:pPr>
      <w:r w:rsidRPr="007F1A00">
        <w:rPr>
          <w:b/>
          <w:lang w:val="en-GB" w:eastAsia="en-AU"/>
        </w:rPr>
        <w:t>Considerations for</w:t>
      </w:r>
      <w:r>
        <w:rPr>
          <w:b/>
          <w:lang w:val="en-GB" w:eastAsia="en-AU"/>
        </w:rPr>
        <w:t xml:space="preserve"> the</w:t>
      </w:r>
      <w:r w:rsidRPr="007F1A00">
        <w:rPr>
          <w:b/>
          <w:lang w:val="en-GB" w:eastAsia="en-AU"/>
        </w:rPr>
        <w:t xml:space="preserve"> TCP</w:t>
      </w:r>
    </w:p>
    <w:p w:rsidR="00DE3BD7" w:rsidRDefault="00DE3BD7" w:rsidP="00DE3BD7">
      <w:pPr>
        <w:pStyle w:val="Bullet1stlevel"/>
        <w:rPr>
          <w:lang w:val="en-GB" w:eastAsia="en-AU"/>
        </w:rPr>
      </w:pPr>
      <w:r w:rsidRPr="007F1A00">
        <w:rPr>
          <w:lang w:val="en-GB" w:eastAsia="en-AU"/>
        </w:rPr>
        <w:t>The evidence on ICR indicates that complex care recipients could potentially benefit the most from care. This is relevant in Australia’s context of an ageing population with increas</w:t>
      </w:r>
      <w:r>
        <w:rPr>
          <w:lang w:val="en-GB" w:eastAsia="en-AU"/>
        </w:rPr>
        <w:t xml:space="preserve">ingly complex disease burdens. </w:t>
      </w:r>
    </w:p>
    <w:p w:rsidR="00DE3BD7" w:rsidRPr="00DE3BD7" w:rsidRDefault="00DE3BD7" w:rsidP="00DE3BD7">
      <w:pPr>
        <w:pStyle w:val="Bullet1stlevel"/>
        <w:rPr>
          <w:lang w:val="en-GB" w:eastAsia="en-AU"/>
        </w:rPr>
      </w:pPr>
      <w:r w:rsidRPr="00DE3BD7">
        <w:rPr>
          <w:lang w:val="en-GB" w:eastAsia="en-AU"/>
        </w:rPr>
        <w:t>There are benefits in identifying care recipients declining in performing their ADLs while they are still at home. Much of the stakeholder feedback addressed the rigidity of the eligibility criteria with many expressing the desire to have flexibility in the requirement to discharge care recipients directly from hospital to the TCP. ICR demonstrates that care can be offered at multiple transitions of care if services are tiered, while still maintaining a six week program across the program. This is roughly at half the length of the TCP, suggesting that transitional care can be provided in shorter time-frames.</w:t>
      </w:r>
    </w:p>
    <w:p w:rsidR="00DA0D95" w:rsidRPr="007F1A00" w:rsidRDefault="00DA0D95" w:rsidP="00DA0D95">
      <w:pPr>
        <w:pStyle w:val="Heading2"/>
        <w:rPr>
          <w:rFonts w:eastAsia="+mn-ea"/>
          <w:lang w:val="en-GB" w:eastAsia="en-AU"/>
        </w:rPr>
      </w:pPr>
      <w:bookmarkStart w:id="35" w:name="_Toc5270606"/>
      <w:r w:rsidRPr="007F1A00">
        <w:rPr>
          <w:rFonts w:eastAsia="+mn-ea"/>
          <w:lang w:val="en-GB" w:eastAsia="en-AU"/>
        </w:rPr>
        <w:t>New Zealand</w:t>
      </w:r>
      <w:bookmarkEnd w:id="35"/>
      <w:r w:rsidRPr="007F1A00">
        <w:rPr>
          <w:rFonts w:eastAsia="+mn-ea"/>
          <w:lang w:val="en-GB" w:eastAsia="en-AU"/>
        </w:rPr>
        <w:t xml:space="preserve"> </w:t>
      </w:r>
    </w:p>
    <w:p w:rsidR="00DA0D95" w:rsidRPr="007F1A00" w:rsidRDefault="00DA0D95" w:rsidP="00DA0D95">
      <w:pPr>
        <w:pStyle w:val="Bullet1stlevel"/>
        <w:numPr>
          <w:ilvl w:val="0"/>
          <w:numId w:val="0"/>
        </w:numPr>
        <w:rPr>
          <w:lang w:val="en-GB" w:eastAsia="en-AU"/>
        </w:rPr>
      </w:pPr>
      <w:r w:rsidRPr="007F1A00">
        <w:rPr>
          <w:lang w:val="en-GB" w:eastAsia="en-AU"/>
        </w:rPr>
        <w:t>Waikato District Health Board</w:t>
      </w:r>
      <w:r w:rsidR="00046D5F" w:rsidRPr="007F1A00">
        <w:rPr>
          <w:lang w:val="en-GB" w:eastAsia="en-AU"/>
        </w:rPr>
        <w:t xml:space="preserve"> (DHB)</w:t>
      </w:r>
      <w:r w:rsidRPr="007F1A00">
        <w:rPr>
          <w:lang w:val="en-GB" w:eastAsia="en-AU"/>
        </w:rPr>
        <w:t xml:space="preserve">’s </w:t>
      </w:r>
      <w:r w:rsidR="00C62284" w:rsidRPr="007F1A00">
        <w:rPr>
          <w:lang w:val="en-GB" w:eastAsia="en-AU"/>
        </w:rPr>
        <w:t xml:space="preserve">Supported Transfer Accelerated Rehabilitation Team (START) </w:t>
      </w:r>
      <w:r w:rsidRPr="007F1A00">
        <w:rPr>
          <w:lang w:val="en-GB" w:eastAsia="en-AU"/>
        </w:rPr>
        <w:t>program is available for p</w:t>
      </w:r>
      <w:r w:rsidR="00F13D12" w:rsidRPr="007F1A00">
        <w:rPr>
          <w:lang w:val="en-GB" w:eastAsia="en-AU"/>
        </w:rPr>
        <w:t xml:space="preserve">eople </w:t>
      </w:r>
      <w:r w:rsidRPr="007F1A00">
        <w:rPr>
          <w:lang w:val="en-GB" w:eastAsia="en-AU"/>
        </w:rPr>
        <w:t xml:space="preserve">65 years and over who require rehabilitation and have been discharged from hospital or </w:t>
      </w:r>
      <w:r w:rsidR="00046D5F" w:rsidRPr="007F1A00">
        <w:rPr>
          <w:lang w:val="en-GB" w:eastAsia="en-AU"/>
        </w:rPr>
        <w:t>emergency department</w:t>
      </w:r>
      <w:r w:rsidRPr="007F1A00">
        <w:rPr>
          <w:lang w:val="en-GB" w:eastAsia="en-AU"/>
        </w:rPr>
        <w:t xml:space="preserve">. It offers similar services </w:t>
      </w:r>
      <w:r w:rsidR="00C62284" w:rsidRPr="007F1A00">
        <w:rPr>
          <w:lang w:val="en-GB" w:eastAsia="en-AU"/>
        </w:rPr>
        <w:t xml:space="preserve">to </w:t>
      </w:r>
      <w:r w:rsidR="003A2412">
        <w:rPr>
          <w:lang w:val="en-GB" w:eastAsia="en-AU"/>
        </w:rPr>
        <w:t xml:space="preserve">the </w:t>
      </w:r>
      <w:r w:rsidR="00C62284" w:rsidRPr="007F1A00">
        <w:rPr>
          <w:lang w:val="en-GB" w:eastAsia="en-AU"/>
        </w:rPr>
        <w:t xml:space="preserve">TCP </w:t>
      </w:r>
      <w:r w:rsidRPr="007F1A00">
        <w:rPr>
          <w:lang w:val="en-GB" w:eastAsia="en-AU"/>
        </w:rPr>
        <w:t>with a registered nurse, physiotherapist and occupational therapist who all visit the patient at their home to set goals. However, care lasts up to six weeks and includes a health care assistant who may visit up to three times per day to support patients to achieve their goals.</w:t>
      </w:r>
      <w:r w:rsidRPr="007F1A00">
        <w:rPr>
          <w:rStyle w:val="FootnoteReference"/>
          <w:rFonts w:eastAsia="+mn-ea" w:cs="+mn-cs"/>
          <w:color w:val="000000"/>
          <w:kern w:val="24"/>
          <w:szCs w:val="20"/>
          <w:lang w:val="en-GB" w:eastAsia="en-AU"/>
        </w:rPr>
        <w:footnoteReference w:id="56"/>
      </w:r>
    </w:p>
    <w:p w:rsidR="00440AAD" w:rsidRDefault="00761D47" w:rsidP="00440AAD">
      <w:pPr>
        <w:pStyle w:val="Bullet1stlevel"/>
        <w:numPr>
          <w:ilvl w:val="0"/>
          <w:numId w:val="0"/>
        </w:numPr>
        <w:rPr>
          <w:rFonts w:ascii="Times New Roman" w:eastAsia="Times New Roman" w:hAnsi="Times New Roman" w:cs="Times New Roman"/>
          <w:szCs w:val="24"/>
          <w:lang w:val="en-GB" w:eastAsia="en-AU"/>
        </w:rPr>
      </w:pPr>
      <w:r w:rsidRPr="007F1A00">
        <w:rPr>
          <w:lang w:val="en-GB" w:eastAsia="en-AU"/>
        </w:rPr>
        <w:t xml:space="preserve">CREST </w:t>
      </w:r>
      <w:r w:rsidR="00DA0D95" w:rsidRPr="007F1A00">
        <w:rPr>
          <w:lang w:val="en-GB" w:eastAsia="en-AU"/>
        </w:rPr>
        <w:t xml:space="preserve">was initiated by Canterbury </w:t>
      </w:r>
      <w:r w:rsidRPr="007F1A00">
        <w:rPr>
          <w:lang w:val="en-GB" w:eastAsia="en-AU"/>
        </w:rPr>
        <w:t>DHB</w:t>
      </w:r>
      <w:r w:rsidR="00DA0D95" w:rsidRPr="007F1A00">
        <w:rPr>
          <w:lang w:val="en-GB" w:eastAsia="en-AU"/>
        </w:rPr>
        <w:t xml:space="preserve"> and has very similar criteria to the START program. Unlike</w:t>
      </w:r>
      <w:r w:rsidR="003A2412">
        <w:rPr>
          <w:lang w:val="en-GB" w:eastAsia="en-AU"/>
        </w:rPr>
        <w:t xml:space="preserve"> the</w:t>
      </w:r>
      <w:r w:rsidR="00DA0D95" w:rsidRPr="007F1A00">
        <w:rPr>
          <w:lang w:val="en-GB" w:eastAsia="en-AU"/>
        </w:rPr>
        <w:t xml:space="preserve"> TCP, </w:t>
      </w:r>
      <w:r w:rsidR="00C62284" w:rsidRPr="007F1A00">
        <w:rPr>
          <w:lang w:val="en-GB" w:eastAsia="en-AU"/>
        </w:rPr>
        <w:t xml:space="preserve">Community Rehabilitation Enablement and Support Team (CREST) </w:t>
      </w:r>
      <w:r w:rsidR="00DA0D95" w:rsidRPr="007F1A00">
        <w:rPr>
          <w:lang w:val="en-GB" w:eastAsia="en-AU"/>
        </w:rPr>
        <w:t xml:space="preserve">offers services to patients referred by </w:t>
      </w:r>
      <w:r w:rsidR="00C62284" w:rsidRPr="007F1A00">
        <w:rPr>
          <w:lang w:val="en-GB" w:eastAsia="en-AU"/>
        </w:rPr>
        <w:t>general practitioner</w:t>
      </w:r>
      <w:r w:rsidR="00DA0D95" w:rsidRPr="007F1A00">
        <w:rPr>
          <w:lang w:val="en-GB" w:eastAsia="en-AU"/>
        </w:rPr>
        <w:t xml:space="preserve">. CREST liaison workers who identify </w:t>
      </w:r>
      <w:r w:rsidR="00A31899" w:rsidRPr="007F1A00">
        <w:rPr>
          <w:lang w:val="en-GB" w:eastAsia="en-AU"/>
        </w:rPr>
        <w:t>care recipient</w:t>
      </w:r>
      <w:r w:rsidR="00DA0D95" w:rsidRPr="007F1A00">
        <w:rPr>
          <w:lang w:val="en-GB" w:eastAsia="en-AU"/>
        </w:rPr>
        <w:t xml:space="preserve">s in hospital eligible for CREST and a case manager who tailors their rehabilitation program, goals and care plan. Registered nurses or trained support workers visit the </w:t>
      </w:r>
      <w:r w:rsidR="00814381" w:rsidRPr="007F1A00">
        <w:rPr>
          <w:lang w:val="en-GB" w:eastAsia="en-AU"/>
        </w:rPr>
        <w:t>patient</w:t>
      </w:r>
      <w:r w:rsidR="00DA0D95" w:rsidRPr="007F1A00">
        <w:rPr>
          <w:lang w:val="en-GB" w:eastAsia="en-AU"/>
        </w:rPr>
        <w:t xml:space="preserve"> at home to deliver rehabilitation services.</w:t>
      </w:r>
      <w:r w:rsidR="00DA0D95" w:rsidRPr="007F1A00">
        <w:rPr>
          <w:rStyle w:val="FootnoteReference"/>
          <w:rFonts w:eastAsia="+mn-ea" w:cs="+mn-cs"/>
          <w:color w:val="000000"/>
          <w:kern w:val="24"/>
          <w:szCs w:val="20"/>
          <w:lang w:val="en-GB" w:eastAsia="en-AU"/>
        </w:rPr>
        <w:footnoteReference w:id="57"/>
      </w:r>
      <w:r w:rsidR="00DA0D95" w:rsidRPr="007F1A00">
        <w:rPr>
          <w:lang w:val="en-GB" w:eastAsia="en-AU"/>
        </w:rPr>
        <w:t xml:space="preserve"> </w:t>
      </w:r>
      <w:r w:rsidR="00DA0D95" w:rsidRPr="007F1A00">
        <w:rPr>
          <w:rStyle w:val="FootnoteReference"/>
          <w:rFonts w:eastAsia="+mn-ea" w:cs="+mn-cs"/>
          <w:color w:val="000000"/>
          <w:kern w:val="24"/>
          <w:szCs w:val="20"/>
          <w:lang w:val="en-GB" w:eastAsia="en-AU"/>
        </w:rPr>
        <w:footnoteReference w:id="58"/>
      </w:r>
      <w:r w:rsidR="00DA0D95" w:rsidRPr="007F1A00">
        <w:rPr>
          <w:rFonts w:ascii="Times New Roman" w:eastAsia="Times New Roman" w:hAnsi="Times New Roman" w:cs="Times New Roman"/>
          <w:szCs w:val="24"/>
          <w:lang w:val="en-GB" w:eastAsia="en-AU"/>
        </w:rPr>
        <w:t xml:space="preserve"> </w:t>
      </w:r>
    </w:p>
    <w:p w:rsidR="00DE3BD7" w:rsidRPr="007F1A00" w:rsidRDefault="00DE3BD7" w:rsidP="00DE3BD7">
      <w:pPr>
        <w:pStyle w:val="BodyText1"/>
        <w:rPr>
          <w:b/>
          <w:lang w:val="en-GB" w:eastAsia="en-AU"/>
        </w:rPr>
      </w:pPr>
      <w:r w:rsidRPr="007F1A00">
        <w:rPr>
          <w:b/>
          <w:lang w:val="en-GB" w:eastAsia="en-AU"/>
        </w:rPr>
        <w:t>Considerations for TCP</w:t>
      </w:r>
    </w:p>
    <w:p w:rsidR="00DE3BD7" w:rsidRPr="007F1A00" w:rsidRDefault="00DE3BD7" w:rsidP="00DE3BD7">
      <w:pPr>
        <w:pStyle w:val="Bullet1stlevel"/>
        <w:numPr>
          <w:ilvl w:val="0"/>
          <w:numId w:val="0"/>
        </w:numPr>
        <w:rPr>
          <w:lang w:val="en-GB" w:eastAsia="en-AU"/>
        </w:rPr>
      </w:pPr>
      <w:r w:rsidRPr="007F1A00">
        <w:rPr>
          <w:lang w:val="en-GB" w:eastAsia="en-AU"/>
        </w:rPr>
        <w:t>CREST, like the ICR, demonstrates that the Canterbury DHB has recognised the importance of referring care recipients for TCP-like services via multiple pathways.</w:t>
      </w:r>
    </w:p>
    <w:p w:rsidR="00DA0D95" w:rsidRPr="007F1A00" w:rsidRDefault="00DA0D95" w:rsidP="00DA0D95">
      <w:pPr>
        <w:pStyle w:val="Heading2"/>
        <w:rPr>
          <w:rFonts w:eastAsia="+mn-ea"/>
          <w:lang w:val="en-GB" w:eastAsia="en-AU"/>
        </w:rPr>
      </w:pPr>
      <w:bookmarkStart w:id="36" w:name="_Toc5270607"/>
      <w:r w:rsidRPr="007F1A00">
        <w:rPr>
          <w:rFonts w:eastAsia="+mn-ea"/>
          <w:lang w:val="en-GB" w:eastAsia="en-AU"/>
        </w:rPr>
        <w:t>Canada</w:t>
      </w:r>
      <w:bookmarkEnd w:id="36"/>
      <w:r w:rsidRPr="007F1A00">
        <w:rPr>
          <w:rFonts w:eastAsia="+mn-ea"/>
          <w:lang w:val="en-GB" w:eastAsia="en-AU"/>
        </w:rPr>
        <w:t xml:space="preserve"> </w:t>
      </w:r>
    </w:p>
    <w:p w:rsidR="00DA0D95" w:rsidRPr="007F1A00" w:rsidRDefault="00DA0D95" w:rsidP="00DA0D95">
      <w:pPr>
        <w:pStyle w:val="Bullet1stlevel"/>
        <w:numPr>
          <w:ilvl w:val="0"/>
          <w:numId w:val="0"/>
        </w:numPr>
        <w:rPr>
          <w:rFonts w:ascii="Times New Roman" w:eastAsia="Times New Roman" w:hAnsi="Times New Roman" w:cs="Times New Roman"/>
          <w:szCs w:val="24"/>
          <w:lang w:val="en-GB" w:eastAsia="en-AU"/>
        </w:rPr>
      </w:pPr>
      <w:r w:rsidRPr="007F1A00">
        <w:rPr>
          <w:lang w:val="en-GB" w:eastAsia="en-AU"/>
        </w:rPr>
        <w:t xml:space="preserve">Canada Regional Health Authorities have recently started introducing restorative care units to support those aged 65 years and older to transition from the hospital to the community, similar to </w:t>
      </w:r>
      <w:r w:rsidR="003A2412">
        <w:rPr>
          <w:lang w:val="en-GB" w:eastAsia="en-AU"/>
        </w:rPr>
        <w:t xml:space="preserve">the </w:t>
      </w:r>
      <w:r w:rsidRPr="007F1A00">
        <w:rPr>
          <w:lang w:val="en-GB" w:eastAsia="en-AU"/>
        </w:rPr>
        <w:t xml:space="preserve">residential TCP. Patients admitted to restorative care units are assessed by a multidisciplinary team consisting of a physician, occupational therapist, physiotherapist, </w:t>
      </w:r>
      <w:r w:rsidR="00046D5F" w:rsidRPr="007F1A00">
        <w:rPr>
          <w:lang w:val="en-GB" w:eastAsia="en-AU"/>
        </w:rPr>
        <w:t>dietician</w:t>
      </w:r>
      <w:r w:rsidRPr="007F1A00">
        <w:rPr>
          <w:lang w:val="en-GB" w:eastAsia="en-AU"/>
        </w:rPr>
        <w:t>, nurse, social worker, and recreation specialist. An individual care plan is developed for each client that includes client goals.</w:t>
      </w:r>
      <w:r w:rsidRPr="007F1A00">
        <w:rPr>
          <w:rStyle w:val="FootnoteReference"/>
          <w:rFonts w:eastAsia="+mn-ea" w:cs="+mn-cs"/>
          <w:color w:val="000000"/>
          <w:kern w:val="24"/>
          <w:szCs w:val="20"/>
          <w:lang w:val="en-GB" w:eastAsia="en-AU"/>
        </w:rPr>
        <w:footnoteReference w:id="59"/>
      </w:r>
    </w:p>
    <w:p w:rsidR="00A12B5A" w:rsidRDefault="00DA0D95" w:rsidP="00440AAD">
      <w:pPr>
        <w:pStyle w:val="Bullet1stlevel"/>
        <w:numPr>
          <w:ilvl w:val="0"/>
          <w:numId w:val="0"/>
        </w:numPr>
        <w:rPr>
          <w:lang w:val="en-GB" w:eastAsia="en-AU"/>
        </w:rPr>
      </w:pPr>
      <w:r w:rsidRPr="007F1A00">
        <w:rPr>
          <w:lang w:val="en-GB" w:eastAsia="en-AU"/>
        </w:rPr>
        <w:t>An evaluation was conducted of all patients discharged from restorative care units within the first year of their operation in Newfoundland and Labrador. The review found that 71</w:t>
      </w:r>
      <w:r w:rsidR="00F13D12" w:rsidRPr="007F1A00">
        <w:rPr>
          <w:lang w:val="en-GB" w:eastAsia="en-AU"/>
        </w:rPr>
        <w:t xml:space="preserve"> per cent</w:t>
      </w:r>
      <w:r w:rsidRPr="007F1A00">
        <w:rPr>
          <w:lang w:val="en-GB" w:eastAsia="en-AU"/>
        </w:rPr>
        <w:t xml:space="preserve"> of all patients returned to their prior living arrangement. Clients also experienced statistically significant improvements in function. The average </w:t>
      </w:r>
      <w:r w:rsidR="00046D5F" w:rsidRPr="007F1A00">
        <w:rPr>
          <w:lang w:val="en-GB" w:eastAsia="en-AU"/>
        </w:rPr>
        <w:t>Barthel Index</w:t>
      </w:r>
      <w:r w:rsidRPr="007F1A00">
        <w:rPr>
          <w:lang w:val="en-GB" w:eastAsia="en-AU"/>
        </w:rPr>
        <w:t xml:space="preserve"> score on admission was 54.20, consistent with clients being dependent for some aspects of </w:t>
      </w:r>
      <w:r w:rsidR="00046D5F" w:rsidRPr="007F1A00">
        <w:rPr>
          <w:lang w:val="en-GB" w:eastAsia="en-AU"/>
        </w:rPr>
        <w:t>ADLs</w:t>
      </w:r>
      <w:r w:rsidRPr="007F1A00">
        <w:rPr>
          <w:lang w:val="en-GB" w:eastAsia="en-AU"/>
        </w:rPr>
        <w:t>, on discharge the average was 78.75; suggesting clients improved their physical function, reaching a high degree of independence on discharge. There was also an impact on the health system with applications for long-term care initiated in acute care settings decreasing.</w:t>
      </w:r>
      <w:r w:rsidRPr="007F1A00">
        <w:rPr>
          <w:rStyle w:val="FootnoteReference"/>
          <w:lang w:val="en-GB" w:eastAsia="en-AU"/>
        </w:rPr>
        <w:footnoteReference w:id="60"/>
      </w:r>
      <w:r w:rsidR="006C271F">
        <w:rPr>
          <w:lang w:val="en-GB" w:eastAsia="en-AU"/>
        </w:rPr>
        <w:t xml:space="preserve"> </w:t>
      </w:r>
    </w:p>
    <w:p w:rsidR="00DE3BD7" w:rsidRPr="00DE3BD7" w:rsidRDefault="00DE3BD7" w:rsidP="00DE3BD7">
      <w:pPr>
        <w:pStyle w:val="Bullet1stlevel"/>
        <w:numPr>
          <w:ilvl w:val="0"/>
          <w:numId w:val="0"/>
        </w:numPr>
        <w:rPr>
          <w:b/>
          <w:lang w:val="en-GB" w:eastAsia="en-AU"/>
        </w:rPr>
      </w:pPr>
      <w:r w:rsidRPr="00DE3BD7">
        <w:rPr>
          <w:b/>
          <w:lang w:val="en-GB" w:eastAsia="en-AU"/>
        </w:rPr>
        <w:t>Considerations for the TCP</w:t>
      </w:r>
    </w:p>
    <w:p w:rsidR="00DE3BD7" w:rsidRDefault="00DE3BD7" w:rsidP="00DE3BD7">
      <w:pPr>
        <w:pStyle w:val="Bullet1stlevel"/>
        <w:rPr>
          <w:lang w:val="en-GB" w:eastAsia="en-AU"/>
        </w:rPr>
      </w:pPr>
      <w:r w:rsidRPr="00DE3BD7">
        <w:rPr>
          <w:lang w:val="en-GB" w:eastAsia="en-AU"/>
        </w:rPr>
        <w:t xml:space="preserve">In the Canadian model, the use of restorative care units have been leveraged to produce significant improvements in clients’ physical function with positive impacts on the health system more broadly. In Australia, there is a variation in the TCP services delivered between the states in terms of the mix between community and residential care. The residential care units in Newfoundland and Labrador demonstrate that an investment in the TCP in a residential setting can create broader benefits. </w:t>
      </w:r>
    </w:p>
    <w:p w:rsidR="00DE3BD7" w:rsidRPr="00DE3BD7" w:rsidRDefault="00DE3BD7" w:rsidP="00DE3BD7">
      <w:pPr>
        <w:pStyle w:val="Bullet1stlevel"/>
        <w:rPr>
          <w:lang w:val="en-GB" w:eastAsia="en-AU"/>
        </w:rPr>
      </w:pPr>
      <w:r w:rsidRPr="00DE3BD7">
        <w:rPr>
          <w:lang w:val="en-GB" w:eastAsia="en-AU"/>
        </w:rPr>
        <w:t>However, cost data was not publicly available, which is necessary to determine what the optimal mix of services should be. There is a need to assess the impact of the TCP on the broader health system to justify any investments to modify or enhance the scope of services offered by the Programme</w:t>
      </w:r>
    </w:p>
    <w:p w:rsidR="000B1D40" w:rsidRPr="007F1A00" w:rsidRDefault="000B1D40" w:rsidP="008E711B">
      <w:pPr>
        <w:pStyle w:val="Heading1"/>
        <w:rPr>
          <w:lang w:val="en-GB"/>
        </w:rPr>
      </w:pPr>
      <w:bookmarkStart w:id="37" w:name="_Toc5270608"/>
      <w:r w:rsidRPr="007F1A00">
        <w:rPr>
          <w:lang w:val="en-GB"/>
        </w:rPr>
        <w:t>Recommendations</w:t>
      </w:r>
      <w:bookmarkEnd w:id="37"/>
    </w:p>
    <w:p w:rsidR="007A1166" w:rsidRDefault="0039556F" w:rsidP="000B1D40">
      <w:pPr>
        <w:pStyle w:val="BodyText1"/>
        <w:rPr>
          <w:lang w:val="en-GB"/>
        </w:rPr>
      </w:pPr>
      <w:bookmarkStart w:id="38" w:name="_Toc401155221"/>
      <w:bookmarkEnd w:id="30"/>
      <w:bookmarkEnd w:id="31"/>
      <w:r>
        <w:rPr>
          <w:lang w:val="en-GB"/>
        </w:rPr>
        <w:t xml:space="preserve">This Review has found that </w:t>
      </w:r>
      <w:r w:rsidR="006628DA">
        <w:rPr>
          <w:lang w:val="en-GB"/>
        </w:rPr>
        <w:t xml:space="preserve">the </w:t>
      </w:r>
      <w:r>
        <w:rPr>
          <w:lang w:val="en-GB"/>
        </w:rPr>
        <w:t>TCP is generally operating effectively and efficiently in a number of areas. The Programme has attracted a significant amount of positive feedback from stakeholders, especially care recipients.</w:t>
      </w:r>
    </w:p>
    <w:p w:rsidR="0039556F" w:rsidRPr="007F1A00" w:rsidRDefault="0039556F" w:rsidP="000B1D40">
      <w:pPr>
        <w:pStyle w:val="BodyText1"/>
        <w:rPr>
          <w:lang w:val="en-GB"/>
        </w:rPr>
      </w:pPr>
      <w:r>
        <w:rPr>
          <w:lang w:val="en-GB"/>
        </w:rPr>
        <w:t xml:space="preserve">The following recommendations should be viewed as </w:t>
      </w:r>
      <w:r w:rsidR="006628DA">
        <w:rPr>
          <w:lang w:val="en-GB"/>
        </w:rPr>
        <w:t xml:space="preserve">potential </w:t>
      </w:r>
      <w:r>
        <w:rPr>
          <w:lang w:val="en-GB"/>
        </w:rPr>
        <w:t>improvements to the current Programme to address pain points and inefficiencies, rather than wholesale changes to a popular and effective aged care program</w:t>
      </w:r>
      <w:r w:rsidR="004D0BB7">
        <w:rPr>
          <w:lang w:val="en-GB"/>
        </w:rPr>
        <w:t>me</w:t>
      </w:r>
      <w:r>
        <w:rPr>
          <w:lang w:val="en-GB"/>
        </w:rPr>
        <w:t>.</w:t>
      </w:r>
    </w:p>
    <w:p w:rsidR="000B1D40" w:rsidRPr="00103537" w:rsidRDefault="000B1D40" w:rsidP="00103537">
      <w:pPr>
        <w:pStyle w:val="BodyText1"/>
        <w:rPr>
          <w:b/>
          <w:lang w:val="en-GB"/>
        </w:rPr>
      </w:pPr>
      <w:r w:rsidRPr="00103537">
        <w:rPr>
          <w:b/>
          <w:lang w:val="en-GB"/>
        </w:rPr>
        <w:t>Recommendation one</w:t>
      </w:r>
    </w:p>
    <w:p w:rsidR="00BE2EB9" w:rsidRPr="007F1A00" w:rsidRDefault="00BE2EB9" w:rsidP="00BE2EB9">
      <w:pPr>
        <w:pStyle w:val="BodyText1"/>
        <w:rPr>
          <w:i/>
          <w:lang w:val="en-GB"/>
        </w:rPr>
      </w:pPr>
      <w:r w:rsidRPr="007F1A00">
        <w:rPr>
          <w:i/>
          <w:lang w:val="en-GB"/>
        </w:rPr>
        <w:t>Update the Guidelines completely with the new terminology</w:t>
      </w:r>
      <w:r w:rsidR="006628DA">
        <w:rPr>
          <w:i/>
          <w:lang w:val="en-GB"/>
        </w:rPr>
        <w:t xml:space="preserve"> and</w:t>
      </w:r>
      <w:r w:rsidRPr="007F1A00">
        <w:rPr>
          <w:i/>
          <w:lang w:val="en-GB"/>
        </w:rPr>
        <w:t xml:space="preserve"> any changes to the </w:t>
      </w:r>
      <w:r w:rsidR="00BE1370">
        <w:rPr>
          <w:i/>
          <w:lang w:val="en-GB"/>
        </w:rPr>
        <w:t xml:space="preserve">Transition Care </w:t>
      </w:r>
      <w:r w:rsidRPr="007F1A00">
        <w:rPr>
          <w:i/>
          <w:lang w:val="en-GB"/>
        </w:rPr>
        <w:t>Programme. This should also include any updates to safety and quality parameters.</w:t>
      </w:r>
    </w:p>
    <w:p w:rsidR="00BE2EB9" w:rsidRPr="007F1A00" w:rsidRDefault="00BE2EB9" w:rsidP="00BE2EB9">
      <w:pPr>
        <w:pStyle w:val="BodyText1"/>
        <w:rPr>
          <w:lang w:val="en-GB"/>
        </w:rPr>
      </w:pPr>
      <w:r w:rsidRPr="007F1A00">
        <w:rPr>
          <w:lang w:val="en-GB"/>
        </w:rPr>
        <w:t xml:space="preserve">The Guidelines were last updated in 2015. Since then there have been a number of changes within the </w:t>
      </w:r>
      <w:r w:rsidR="006628DA">
        <w:rPr>
          <w:lang w:val="en-GB"/>
        </w:rPr>
        <w:t>a</w:t>
      </w:r>
      <w:r w:rsidR="006628DA" w:rsidRPr="007F1A00">
        <w:rPr>
          <w:lang w:val="en-GB"/>
        </w:rPr>
        <w:t xml:space="preserve">ged </w:t>
      </w:r>
      <w:r w:rsidR="006628DA">
        <w:rPr>
          <w:lang w:val="en-GB"/>
        </w:rPr>
        <w:t>c</w:t>
      </w:r>
      <w:r w:rsidR="006628DA" w:rsidRPr="007F1A00">
        <w:rPr>
          <w:lang w:val="en-GB"/>
        </w:rPr>
        <w:t xml:space="preserve">are </w:t>
      </w:r>
      <w:r w:rsidRPr="007F1A00">
        <w:rPr>
          <w:lang w:val="en-GB"/>
        </w:rPr>
        <w:t>sector. The Guidelines should be reviewed and terminology updated. Any accepted recommendations above should also be incorporated within the Guidelines.</w:t>
      </w:r>
    </w:p>
    <w:p w:rsidR="00BE2EB9" w:rsidRPr="00103537" w:rsidRDefault="00BE2EB9" w:rsidP="00103537">
      <w:pPr>
        <w:pStyle w:val="BodyText1"/>
        <w:rPr>
          <w:b/>
          <w:lang w:val="en-GB"/>
        </w:rPr>
      </w:pPr>
      <w:r w:rsidRPr="00103537">
        <w:rPr>
          <w:b/>
          <w:lang w:val="en-GB"/>
        </w:rPr>
        <w:t>Recommendation two</w:t>
      </w:r>
    </w:p>
    <w:p w:rsidR="000B1D40" w:rsidRPr="007F1A00" w:rsidRDefault="000B1D40" w:rsidP="000B1D40">
      <w:pPr>
        <w:pStyle w:val="BodyText1"/>
        <w:rPr>
          <w:i/>
          <w:lang w:val="en-GB"/>
        </w:rPr>
      </w:pPr>
      <w:r w:rsidRPr="007F1A00">
        <w:rPr>
          <w:i/>
          <w:lang w:val="en-GB"/>
        </w:rPr>
        <w:t xml:space="preserve">Extend leave provisions to align to practices in the </w:t>
      </w:r>
      <w:r w:rsidR="004D0BB7">
        <w:rPr>
          <w:i/>
          <w:lang w:val="en-GB"/>
        </w:rPr>
        <w:t>S</w:t>
      </w:r>
      <w:r w:rsidR="00EB61E6">
        <w:rPr>
          <w:i/>
          <w:lang w:val="en-GB"/>
        </w:rPr>
        <w:t>TRC</w:t>
      </w:r>
      <w:r w:rsidRPr="007F1A00">
        <w:rPr>
          <w:i/>
          <w:lang w:val="en-GB"/>
        </w:rPr>
        <w:t>.</w:t>
      </w:r>
    </w:p>
    <w:p w:rsidR="00F55021" w:rsidRPr="007F1A00" w:rsidRDefault="0084595B" w:rsidP="000B1D40">
      <w:pPr>
        <w:pStyle w:val="BodyText1"/>
        <w:rPr>
          <w:lang w:val="en-GB"/>
        </w:rPr>
      </w:pPr>
      <w:r w:rsidRPr="007F1A00">
        <w:rPr>
          <w:lang w:val="en-GB"/>
        </w:rPr>
        <w:t>Leave provisions for</w:t>
      </w:r>
      <w:r w:rsidR="006628DA">
        <w:rPr>
          <w:lang w:val="en-GB"/>
        </w:rPr>
        <w:t xml:space="preserve"> the</w:t>
      </w:r>
      <w:r w:rsidRPr="007F1A00">
        <w:rPr>
          <w:lang w:val="en-GB"/>
        </w:rPr>
        <w:t xml:space="preserve"> TCP should align to those of the STRC. Specifically, care recipients should be able to take up to a maximum of seven days unpaid leave from the Programme</w:t>
      </w:r>
      <w:r w:rsidR="00246474">
        <w:rPr>
          <w:lang w:val="en-GB"/>
        </w:rPr>
        <w:t>, which</w:t>
      </w:r>
      <w:r w:rsidR="00697078">
        <w:rPr>
          <w:lang w:val="en-GB"/>
        </w:rPr>
        <w:t xml:space="preserve"> should be stipulated in the </w:t>
      </w:r>
      <w:r w:rsidR="00212781">
        <w:rPr>
          <w:lang w:val="en-GB"/>
        </w:rPr>
        <w:t>G</w:t>
      </w:r>
      <w:r w:rsidR="00697078">
        <w:rPr>
          <w:lang w:val="en-GB"/>
        </w:rPr>
        <w:t>uidelines.</w:t>
      </w:r>
    </w:p>
    <w:p w:rsidR="0084595B" w:rsidRPr="007F1A00" w:rsidRDefault="0084595B" w:rsidP="000B1D40">
      <w:pPr>
        <w:pStyle w:val="BodyText1"/>
        <w:rPr>
          <w:lang w:val="en-GB"/>
        </w:rPr>
      </w:pPr>
      <w:r w:rsidRPr="007F1A00">
        <w:rPr>
          <w:lang w:val="en-GB"/>
        </w:rPr>
        <w:t xml:space="preserve">This will allow for care recipients to attend important events in their lives </w:t>
      </w:r>
      <w:r w:rsidR="00373217" w:rsidRPr="007F1A00">
        <w:rPr>
          <w:lang w:val="en-GB"/>
        </w:rPr>
        <w:t xml:space="preserve">that may require travel from their current place of residence. </w:t>
      </w:r>
    </w:p>
    <w:p w:rsidR="000B1D40" w:rsidRPr="00103537" w:rsidRDefault="00BE2EB9" w:rsidP="00103537">
      <w:pPr>
        <w:pStyle w:val="BodyText1"/>
        <w:rPr>
          <w:b/>
          <w:lang w:val="en-GB"/>
        </w:rPr>
      </w:pPr>
      <w:r w:rsidRPr="00103537">
        <w:rPr>
          <w:b/>
          <w:lang w:val="en-GB"/>
        </w:rPr>
        <w:t>Recommendation three</w:t>
      </w:r>
    </w:p>
    <w:p w:rsidR="000B1D40" w:rsidRPr="007F1A00" w:rsidRDefault="000B1D40" w:rsidP="000B1D40">
      <w:pPr>
        <w:pStyle w:val="BodyText1"/>
        <w:rPr>
          <w:i/>
          <w:lang w:val="en-GB"/>
        </w:rPr>
      </w:pPr>
      <w:r w:rsidRPr="007F1A00">
        <w:rPr>
          <w:i/>
          <w:lang w:val="en-GB"/>
        </w:rPr>
        <w:t xml:space="preserve">Extend the time period a </w:t>
      </w:r>
      <w:r w:rsidR="00A31899" w:rsidRPr="007F1A00">
        <w:rPr>
          <w:i/>
          <w:lang w:val="en-GB"/>
        </w:rPr>
        <w:t>care recipient</w:t>
      </w:r>
      <w:r w:rsidRPr="007F1A00">
        <w:rPr>
          <w:i/>
          <w:lang w:val="en-GB"/>
        </w:rPr>
        <w:t xml:space="preserve"> can be in hospital without needing to exit the </w:t>
      </w:r>
      <w:r w:rsidR="00BE1370">
        <w:rPr>
          <w:i/>
          <w:lang w:val="en-GB"/>
        </w:rPr>
        <w:t xml:space="preserve">Transition Care </w:t>
      </w:r>
      <w:r w:rsidRPr="007F1A00">
        <w:rPr>
          <w:i/>
          <w:lang w:val="en-GB"/>
        </w:rPr>
        <w:t>Programme</w:t>
      </w:r>
      <w:r w:rsidR="00373217" w:rsidRPr="007F1A00">
        <w:rPr>
          <w:i/>
          <w:lang w:val="en-GB"/>
        </w:rPr>
        <w:t xml:space="preserve"> to 72 hours</w:t>
      </w:r>
      <w:r w:rsidRPr="007F1A00">
        <w:rPr>
          <w:i/>
          <w:lang w:val="en-GB"/>
        </w:rPr>
        <w:t>.</w:t>
      </w:r>
    </w:p>
    <w:p w:rsidR="0084595B" w:rsidRPr="007F1A00" w:rsidRDefault="0084595B" w:rsidP="000B1D40">
      <w:pPr>
        <w:pStyle w:val="BodyText1"/>
        <w:rPr>
          <w:lang w:val="en-GB"/>
        </w:rPr>
      </w:pPr>
      <w:r w:rsidRPr="007F1A00">
        <w:rPr>
          <w:lang w:val="en-GB"/>
        </w:rPr>
        <w:t>Currently, care recipients must spend no longer than 24 hours within a hospital setting. If they do, then they are discharged from</w:t>
      </w:r>
      <w:r w:rsidR="006628DA">
        <w:rPr>
          <w:lang w:val="en-GB"/>
        </w:rPr>
        <w:t xml:space="preserve"> the</w:t>
      </w:r>
      <w:r w:rsidRPr="007F1A00">
        <w:rPr>
          <w:lang w:val="en-GB"/>
        </w:rPr>
        <w:t xml:space="preserve"> TCP. In addition, if their TCP approval was provided more than four weeks earlier, a care recipient will require a new ACAT assessment to re-enter </w:t>
      </w:r>
      <w:r w:rsidR="006628DA">
        <w:rPr>
          <w:lang w:val="en-GB"/>
        </w:rPr>
        <w:t xml:space="preserve">the </w:t>
      </w:r>
      <w:r w:rsidRPr="007F1A00">
        <w:rPr>
          <w:lang w:val="en-GB"/>
        </w:rPr>
        <w:t xml:space="preserve">TCP. </w:t>
      </w:r>
    </w:p>
    <w:p w:rsidR="0084595B" w:rsidRPr="007F1A00" w:rsidRDefault="0084595B" w:rsidP="000B1D40">
      <w:pPr>
        <w:pStyle w:val="BodyText1"/>
        <w:rPr>
          <w:lang w:val="en-GB"/>
        </w:rPr>
      </w:pPr>
      <w:r w:rsidRPr="007F1A00">
        <w:rPr>
          <w:lang w:val="en-GB"/>
        </w:rPr>
        <w:t xml:space="preserve">To provide </w:t>
      </w:r>
      <w:r w:rsidR="00373217" w:rsidRPr="007F1A00">
        <w:rPr>
          <w:lang w:val="en-GB"/>
        </w:rPr>
        <w:t xml:space="preserve">a care recipient with sufficient time to be assessed and treated in a hospital setting, the service time period should be extended from 24 hours to 72 hours. </w:t>
      </w:r>
    </w:p>
    <w:p w:rsidR="00373217" w:rsidRPr="00103537" w:rsidRDefault="00BE2EB9" w:rsidP="00103537">
      <w:pPr>
        <w:pStyle w:val="BodyText1"/>
        <w:rPr>
          <w:b/>
          <w:lang w:val="en-GB"/>
        </w:rPr>
      </w:pPr>
      <w:r w:rsidRPr="00103537">
        <w:rPr>
          <w:b/>
          <w:lang w:val="en-GB"/>
        </w:rPr>
        <w:t>Recommendation four</w:t>
      </w:r>
    </w:p>
    <w:p w:rsidR="00373217" w:rsidRPr="007F1A00" w:rsidRDefault="00EB61E6" w:rsidP="00373217">
      <w:pPr>
        <w:pStyle w:val="BodyText1"/>
        <w:rPr>
          <w:i/>
          <w:lang w:val="en-GB"/>
        </w:rPr>
      </w:pPr>
      <w:r w:rsidRPr="00EB61E6">
        <w:rPr>
          <w:i/>
          <w:lang w:val="en-GB"/>
        </w:rPr>
        <w:t xml:space="preserve">Extend the time period from when care recipients can be admitted into the Programme to 48 hours, </w:t>
      </w:r>
      <w:r w:rsidR="00C70AFA">
        <w:rPr>
          <w:i/>
          <w:lang w:val="en-GB"/>
        </w:rPr>
        <w:t>to</w:t>
      </w:r>
      <w:r w:rsidR="00C70AFA" w:rsidRPr="00EB61E6">
        <w:rPr>
          <w:i/>
          <w:lang w:val="en-GB"/>
        </w:rPr>
        <w:t xml:space="preserve"> </w:t>
      </w:r>
      <w:r w:rsidRPr="00EB61E6">
        <w:rPr>
          <w:i/>
          <w:lang w:val="en-GB"/>
        </w:rPr>
        <w:t>better support care recipients who will access the Transition Care Programme in a home setting, whilst ensuring appropriate hospital patient flow. Health services should remain responsible for ensuring safe discharge practices are followed.</w:t>
      </w:r>
    </w:p>
    <w:p w:rsidR="00373217" w:rsidRPr="007F1A00" w:rsidRDefault="002728FA" w:rsidP="00373217">
      <w:pPr>
        <w:pStyle w:val="BodyText1"/>
        <w:rPr>
          <w:lang w:val="en-GB"/>
        </w:rPr>
      </w:pPr>
      <w:r w:rsidRPr="007F1A00">
        <w:rPr>
          <w:lang w:val="en-GB"/>
        </w:rPr>
        <w:t xml:space="preserve">Care recipients are currently required to enter the Programme </w:t>
      </w:r>
      <w:r w:rsidR="001C3D8A" w:rsidRPr="007F1A00">
        <w:rPr>
          <w:lang w:val="en-GB"/>
        </w:rPr>
        <w:t xml:space="preserve">directly on discharge from hospital. In practice, this can be challenging for care recipients, hospitals and service providers to coordinate. </w:t>
      </w:r>
    </w:p>
    <w:p w:rsidR="001C3D8A" w:rsidRDefault="001C3D8A" w:rsidP="00373217">
      <w:pPr>
        <w:pStyle w:val="BodyText1"/>
        <w:rPr>
          <w:lang w:val="en-GB"/>
        </w:rPr>
      </w:pPr>
      <w:r w:rsidRPr="007F1A00">
        <w:rPr>
          <w:lang w:val="en-GB"/>
        </w:rPr>
        <w:t xml:space="preserve">Extending the window from hospital discharge to </w:t>
      </w:r>
      <w:r w:rsidR="00246474">
        <w:rPr>
          <w:lang w:val="en-GB"/>
        </w:rPr>
        <w:t xml:space="preserve">admission to the </w:t>
      </w:r>
      <w:r w:rsidRPr="007F1A00">
        <w:rPr>
          <w:lang w:val="en-GB"/>
        </w:rPr>
        <w:t xml:space="preserve">TCP to 48 hours will allow for more flexibility for care recipients, and prevent care recipients either staying in hospital unnecessarily, or missing out on the Programme. </w:t>
      </w:r>
    </w:p>
    <w:p w:rsidR="00AC7C44" w:rsidRDefault="00AC7C44" w:rsidP="00373217">
      <w:pPr>
        <w:pStyle w:val="BodyText1"/>
        <w:rPr>
          <w:lang w:val="en-GB"/>
        </w:rPr>
      </w:pPr>
      <w:r>
        <w:rPr>
          <w:lang w:val="en-GB"/>
        </w:rPr>
        <w:t>This extension should only be applicable for those care recipients who will access the TCP within a home setting. Care recipients who will be discharged to a residential care setting should not be eligible for the extension due to concerns about their safety post-discharge.</w:t>
      </w:r>
    </w:p>
    <w:p w:rsidR="00AC7C44" w:rsidRPr="007F1A00" w:rsidRDefault="00EB61E6" w:rsidP="00373217">
      <w:pPr>
        <w:pStyle w:val="BodyText1"/>
        <w:rPr>
          <w:b/>
          <w:lang w:val="en-GB"/>
        </w:rPr>
      </w:pPr>
      <w:r>
        <w:rPr>
          <w:lang w:val="en-GB"/>
        </w:rPr>
        <w:t>Duty of care will reside with t</w:t>
      </w:r>
      <w:r w:rsidR="00AC7C44">
        <w:rPr>
          <w:lang w:val="en-GB"/>
        </w:rPr>
        <w:t xml:space="preserve">he </w:t>
      </w:r>
      <w:r>
        <w:rPr>
          <w:lang w:val="en-GB"/>
        </w:rPr>
        <w:t>treating</w:t>
      </w:r>
      <w:r w:rsidR="00AC7C44">
        <w:rPr>
          <w:lang w:val="en-GB"/>
        </w:rPr>
        <w:t xml:space="preserve"> health service </w:t>
      </w:r>
      <w:r>
        <w:rPr>
          <w:lang w:val="en-GB"/>
        </w:rPr>
        <w:t xml:space="preserve">until </w:t>
      </w:r>
      <w:r w:rsidR="00AC7C44">
        <w:rPr>
          <w:lang w:val="en-GB"/>
        </w:rPr>
        <w:t xml:space="preserve">the care recipient is admitted to the TCP by the service provider. </w:t>
      </w:r>
    </w:p>
    <w:p w:rsidR="000B1D40" w:rsidRPr="00103537" w:rsidRDefault="00BE2EB9" w:rsidP="00103537">
      <w:pPr>
        <w:pStyle w:val="BodyText1"/>
        <w:rPr>
          <w:b/>
          <w:lang w:val="en-GB"/>
        </w:rPr>
      </w:pPr>
      <w:r w:rsidRPr="00103537">
        <w:rPr>
          <w:b/>
          <w:lang w:val="en-GB"/>
        </w:rPr>
        <w:t>Recommendation five</w:t>
      </w:r>
    </w:p>
    <w:p w:rsidR="00EB61E6" w:rsidRDefault="00EB61E6" w:rsidP="000B1D40">
      <w:pPr>
        <w:pStyle w:val="BodyText1"/>
        <w:rPr>
          <w:i/>
          <w:lang w:val="en-GB"/>
        </w:rPr>
      </w:pPr>
      <w:r w:rsidRPr="00EB61E6">
        <w:rPr>
          <w:i/>
          <w:lang w:val="en-GB"/>
        </w:rPr>
        <w:t>Directly engage with The National Advisory Group for Aboriginal and Torres Strait Islander Aged Care to determine how the Programme can be accessed and delivered in a more culturally appropriate and safe environment for Aboriginal and Torres Strait Islander people.</w:t>
      </w:r>
    </w:p>
    <w:p w:rsidR="00373217" w:rsidRPr="007F1A00" w:rsidRDefault="00373217" w:rsidP="000B1D40">
      <w:pPr>
        <w:pStyle w:val="BodyText1"/>
        <w:rPr>
          <w:lang w:val="en-GB"/>
        </w:rPr>
      </w:pPr>
      <w:r w:rsidRPr="007F1A00">
        <w:rPr>
          <w:lang w:val="en-GB"/>
        </w:rPr>
        <w:t>Participation rates of Aboriginal and Torres Strait Islande</w:t>
      </w:r>
      <w:r w:rsidR="001C3D8A" w:rsidRPr="007F1A00">
        <w:rPr>
          <w:lang w:val="en-GB"/>
        </w:rPr>
        <w:t xml:space="preserve">r peoples </w:t>
      </w:r>
      <w:r w:rsidR="006628DA">
        <w:rPr>
          <w:lang w:val="en-GB"/>
        </w:rPr>
        <w:t xml:space="preserve">are relatively </w:t>
      </w:r>
      <w:r w:rsidR="001C3D8A" w:rsidRPr="007F1A00">
        <w:rPr>
          <w:lang w:val="en-GB"/>
        </w:rPr>
        <w:t>low within the TCP. While it is anticipated the Recommendations One and Three</w:t>
      </w:r>
      <w:r w:rsidR="00615F1B" w:rsidRPr="007F1A00">
        <w:rPr>
          <w:lang w:val="en-GB"/>
        </w:rPr>
        <w:t xml:space="preserve"> will assist in reducing some structural barriers to participation, more work needs to be completed to understand how to make</w:t>
      </w:r>
      <w:r w:rsidR="006628DA">
        <w:rPr>
          <w:lang w:val="en-GB"/>
        </w:rPr>
        <w:t xml:space="preserve"> the</w:t>
      </w:r>
      <w:r w:rsidR="00615F1B" w:rsidRPr="007F1A00">
        <w:rPr>
          <w:lang w:val="en-GB"/>
        </w:rPr>
        <w:t xml:space="preserve"> TCP more appealing and accessible to Aboriginal and Torres Strait Islander</w:t>
      </w:r>
      <w:r w:rsidR="00476C58" w:rsidRPr="007F1A00">
        <w:rPr>
          <w:lang w:val="en-GB"/>
        </w:rPr>
        <w:t xml:space="preserve"> people</w:t>
      </w:r>
      <w:r w:rsidR="00615F1B" w:rsidRPr="007F1A00">
        <w:rPr>
          <w:lang w:val="en-GB"/>
        </w:rPr>
        <w:t xml:space="preserve">. </w:t>
      </w:r>
    </w:p>
    <w:p w:rsidR="000B1D40" w:rsidRPr="00103537" w:rsidRDefault="001C3D8A" w:rsidP="00103537">
      <w:pPr>
        <w:pStyle w:val="BodyText1"/>
        <w:rPr>
          <w:b/>
          <w:lang w:val="en-GB"/>
        </w:rPr>
      </w:pPr>
      <w:r w:rsidRPr="00103537">
        <w:rPr>
          <w:b/>
          <w:lang w:val="en-GB"/>
        </w:rPr>
        <w:t>Recommendation six</w:t>
      </w:r>
    </w:p>
    <w:p w:rsidR="000B1D40" w:rsidRPr="007F1A00" w:rsidRDefault="00D81698" w:rsidP="000B1D40">
      <w:pPr>
        <w:pStyle w:val="BodyText1"/>
        <w:rPr>
          <w:i/>
          <w:lang w:val="en-GB"/>
        </w:rPr>
      </w:pPr>
      <w:r>
        <w:rPr>
          <w:i/>
          <w:lang w:val="en-GB"/>
        </w:rPr>
        <w:t xml:space="preserve">Care recipients of the Transition Care Programme may be asked to pay fees to contribute to the Programme. </w:t>
      </w:r>
      <w:r w:rsidR="000B1D40" w:rsidRPr="007F1A00">
        <w:rPr>
          <w:i/>
          <w:lang w:val="en-GB"/>
        </w:rPr>
        <w:t>The ability for providers to waive fees for those with financial hardship</w:t>
      </w:r>
      <w:r w:rsidR="001F1C3F">
        <w:rPr>
          <w:i/>
          <w:lang w:val="en-GB"/>
        </w:rPr>
        <w:t>,</w:t>
      </w:r>
      <w:r w:rsidR="000B1D40" w:rsidRPr="007F1A00">
        <w:rPr>
          <w:i/>
          <w:lang w:val="en-GB"/>
        </w:rPr>
        <w:t xml:space="preserve"> should be made more explicit</w:t>
      </w:r>
      <w:r>
        <w:rPr>
          <w:i/>
          <w:lang w:val="en-GB"/>
        </w:rPr>
        <w:t xml:space="preserve"> within the Programme Guidelines</w:t>
      </w:r>
      <w:r w:rsidR="000B1D40" w:rsidRPr="007F1A00">
        <w:rPr>
          <w:i/>
          <w:lang w:val="en-GB"/>
        </w:rPr>
        <w:t xml:space="preserve">. This will improve consistency across the </w:t>
      </w:r>
      <w:r w:rsidR="00EB61E6">
        <w:rPr>
          <w:i/>
          <w:lang w:val="en-GB"/>
        </w:rPr>
        <w:t>TCP</w:t>
      </w:r>
      <w:r w:rsidR="000B1D40" w:rsidRPr="007F1A00">
        <w:rPr>
          <w:i/>
          <w:lang w:val="en-GB"/>
        </w:rPr>
        <w:t xml:space="preserve">. </w:t>
      </w:r>
    </w:p>
    <w:p w:rsidR="00A75584" w:rsidRPr="007F1A00" w:rsidRDefault="00A75584" w:rsidP="000B1D40">
      <w:pPr>
        <w:pStyle w:val="BodyText1"/>
        <w:rPr>
          <w:lang w:val="en-GB"/>
        </w:rPr>
      </w:pPr>
      <w:r w:rsidRPr="007F1A00">
        <w:rPr>
          <w:lang w:val="en-GB"/>
        </w:rPr>
        <w:t xml:space="preserve">While the </w:t>
      </w:r>
      <w:r w:rsidR="001F1C3F">
        <w:rPr>
          <w:lang w:val="en-GB"/>
        </w:rPr>
        <w:t>G</w:t>
      </w:r>
      <w:r w:rsidRPr="007F1A00">
        <w:rPr>
          <w:lang w:val="en-GB"/>
        </w:rPr>
        <w:t xml:space="preserve">uidelines are relatively comprehensive in relation to the setting of care fees, there remains some confusion and inconsistency in how </w:t>
      </w:r>
      <w:r w:rsidR="00F13D12" w:rsidRPr="007F1A00">
        <w:rPr>
          <w:lang w:val="en-GB"/>
        </w:rPr>
        <w:t>and when fees can be</w:t>
      </w:r>
      <w:r w:rsidRPr="007F1A00">
        <w:rPr>
          <w:lang w:val="en-GB"/>
        </w:rPr>
        <w:t xml:space="preserve"> waived especially in relation to financially disadvantaged c</w:t>
      </w:r>
      <w:r w:rsidR="00F13D12" w:rsidRPr="007F1A00">
        <w:rPr>
          <w:lang w:val="en-GB"/>
        </w:rPr>
        <w:t>are recipients</w:t>
      </w:r>
      <w:r w:rsidRPr="007F1A00">
        <w:rPr>
          <w:lang w:val="en-GB"/>
        </w:rPr>
        <w:t xml:space="preserve">. </w:t>
      </w:r>
    </w:p>
    <w:p w:rsidR="00A75584" w:rsidRPr="007F1A00" w:rsidRDefault="00A75584" w:rsidP="000B1D40">
      <w:pPr>
        <w:pStyle w:val="BodyText1"/>
        <w:rPr>
          <w:lang w:val="en-GB"/>
        </w:rPr>
      </w:pPr>
      <w:r w:rsidRPr="007F1A00">
        <w:rPr>
          <w:lang w:val="en-GB"/>
        </w:rPr>
        <w:t xml:space="preserve">A clear position stated in the Guidelines </w:t>
      </w:r>
      <w:r w:rsidR="00702E7D">
        <w:rPr>
          <w:lang w:val="en-GB"/>
        </w:rPr>
        <w:t>(for example,</w:t>
      </w:r>
      <w:r w:rsidRPr="007F1A00">
        <w:rPr>
          <w:lang w:val="en-GB"/>
        </w:rPr>
        <w:t xml:space="preserve"> that fees should be waived for those </w:t>
      </w:r>
      <w:r w:rsidR="00786E76">
        <w:rPr>
          <w:lang w:val="en-GB"/>
        </w:rPr>
        <w:t>care recipients who</w:t>
      </w:r>
      <w:r w:rsidRPr="007F1A00">
        <w:rPr>
          <w:lang w:val="en-GB"/>
        </w:rPr>
        <w:t xml:space="preserve"> are financially disadvantage</w:t>
      </w:r>
      <w:r w:rsidR="00702E7D">
        <w:rPr>
          <w:lang w:val="en-GB"/>
        </w:rPr>
        <w:t>)</w:t>
      </w:r>
      <w:r w:rsidRPr="007F1A00">
        <w:rPr>
          <w:lang w:val="en-GB"/>
        </w:rPr>
        <w:t xml:space="preserve"> would provide clearer guidance and consistency</w:t>
      </w:r>
      <w:r w:rsidR="00702E7D">
        <w:rPr>
          <w:lang w:val="en-GB"/>
        </w:rPr>
        <w:t>,</w:t>
      </w:r>
      <w:r w:rsidRPr="007F1A00">
        <w:rPr>
          <w:lang w:val="en-GB"/>
        </w:rPr>
        <w:t xml:space="preserve"> especially in jurisdictions with brokered service models.</w:t>
      </w:r>
    </w:p>
    <w:p w:rsidR="000B1D40" w:rsidRPr="00103537" w:rsidRDefault="001C3D8A" w:rsidP="00103537">
      <w:pPr>
        <w:pStyle w:val="BodyText1"/>
        <w:rPr>
          <w:b/>
          <w:lang w:val="en-GB"/>
        </w:rPr>
      </w:pPr>
      <w:r w:rsidRPr="00103537">
        <w:rPr>
          <w:b/>
          <w:lang w:val="en-GB"/>
        </w:rPr>
        <w:t>Recommendation seven</w:t>
      </w:r>
    </w:p>
    <w:p w:rsidR="00EB61E6" w:rsidRDefault="00EB61E6" w:rsidP="000B1D40">
      <w:pPr>
        <w:pStyle w:val="BodyText1"/>
        <w:rPr>
          <w:i/>
          <w:lang w:val="en-GB"/>
        </w:rPr>
      </w:pPr>
      <w:r w:rsidRPr="00EB61E6">
        <w:rPr>
          <w:i/>
          <w:lang w:val="en-GB"/>
        </w:rPr>
        <w:t>Consider adding additional Key Performance Indicators to assist with understanding the value of the Programme, especially around activity participation and psychosocial domains. These should be tested with providers and care recipients before their full implementation.</w:t>
      </w:r>
    </w:p>
    <w:p w:rsidR="00A75584" w:rsidRPr="007F1A00" w:rsidRDefault="000C3870" w:rsidP="000B1D40">
      <w:pPr>
        <w:pStyle w:val="BodyText1"/>
        <w:rPr>
          <w:lang w:val="en-GB"/>
        </w:rPr>
      </w:pPr>
      <w:r w:rsidRPr="007F1A00">
        <w:rPr>
          <w:lang w:val="en-GB"/>
        </w:rPr>
        <w:t>Additional KPIs should be considered to better understand the value of the Programme.</w:t>
      </w:r>
      <w:r w:rsidR="009D1F2D" w:rsidRPr="007F1A00">
        <w:rPr>
          <w:lang w:val="en-GB"/>
        </w:rPr>
        <w:t xml:space="preserve"> These should be trialled with p</w:t>
      </w:r>
      <w:r w:rsidRPr="007F1A00">
        <w:rPr>
          <w:lang w:val="en-GB"/>
        </w:rPr>
        <w:t>roviders to understand the impact on service provision and data reporting. These KPIs should be in addition to the MBI and may include:</w:t>
      </w:r>
    </w:p>
    <w:p w:rsidR="000C3870" w:rsidRPr="007F1A00" w:rsidRDefault="009D1F2D" w:rsidP="00522748">
      <w:pPr>
        <w:pStyle w:val="Bullet1stlevel"/>
        <w:rPr>
          <w:lang w:val="en-GB"/>
        </w:rPr>
      </w:pPr>
      <w:r w:rsidRPr="007F1A00">
        <w:rPr>
          <w:lang w:val="en-GB"/>
        </w:rPr>
        <w:t>SF-12</w:t>
      </w:r>
      <w:r w:rsidR="001F1C3F">
        <w:rPr>
          <w:lang w:val="en-GB"/>
        </w:rPr>
        <w:t xml:space="preserve">; </w:t>
      </w:r>
    </w:p>
    <w:p w:rsidR="00031DB0" w:rsidRDefault="009D1F2D" w:rsidP="00522748">
      <w:pPr>
        <w:pStyle w:val="Bullet1stlevel"/>
        <w:rPr>
          <w:lang w:val="en-GB"/>
        </w:rPr>
      </w:pPr>
      <w:r w:rsidRPr="007F1A00">
        <w:rPr>
          <w:lang w:val="en-GB"/>
        </w:rPr>
        <w:t>SF-36</w:t>
      </w:r>
      <w:r w:rsidR="001F1C3F">
        <w:rPr>
          <w:lang w:val="en-GB"/>
        </w:rPr>
        <w:t xml:space="preserve">; </w:t>
      </w:r>
    </w:p>
    <w:p w:rsidR="009D1F2D" w:rsidRPr="007F1A00" w:rsidRDefault="00031DB0" w:rsidP="00522748">
      <w:pPr>
        <w:pStyle w:val="Bullet1stlevel"/>
        <w:rPr>
          <w:lang w:val="en-GB"/>
        </w:rPr>
      </w:pPr>
      <w:r>
        <w:rPr>
          <w:lang w:val="en-GB"/>
        </w:rPr>
        <w:t xml:space="preserve">Caregiver Strain Index (CSI); </w:t>
      </w:r>
      <w:r w:rsidR="001F1C3F">
        <w:rPr>
          <w:lang w:val="en-GB"/>
        </w:rPr>
        <w:t>and/or</w:t>
      </w:r>
    </w:p>
    <w:p w:rsidR="009D1F2D" w:rsidRDefault="009D1F2D" w:rsidP="00522748">
      <w:pPr>
        <w:pStyle w:val="Bullet1stlevel"/>
        <w:rPr>
          <w:lang w:val="en-GB"/>
        </w:rPr>
      </w:pPr>
      <w:r w:rsidRPr="007F1A00">
        <w:rPr>
          <w:lang w:val="en-GB"/>
        </w:rPr>
        <w:t>Primary diagnosis.</w:t>
      </w:r>
    </w:p>
    <w:p w:rsidR="00522748" w:rsidRDefault="00522748" w:rsidP="00522748">
      <w:pPr>
        <w:pStyle w:val="BodyText1"/>
        <w:rPr>
          <w:lang w:val="en-GB"/>
        </w:rPr>
      </w:pPr>
      <w:r>
        <w:rPr>
          <w:lang w:val="en-GB"/>
        </w:rPr>
        <w:t xml:space="preserve">These measures will allow the Department to more fully understand the impact </w:t>
      </w:r>
      <w:r w:rsidR="001F1C3F">
        <w:rPr>
          <w:lang w:val="en-GB"/>
        </w:rPr>
        <w:t xml:space="preserve">the </w:t>
      </w:r>
      <w:r>
        <w:rPr>
          <w:lang w:val="en-GB"/>
        </w:rPr>
        <w:t xml:space="preserve">TCP has on care recipients, and the casemix of care recipients </w:t>
      </w:r>
      <w:r w:rsidR="001F1C3F">
        <w:rPr>
          <w:lang w:val="en-GB"/>
        </w:rPr>
        <w:t xml:space="preserve">which the </w:t>
      </w:r>
      <w:r>
        <w:rPr>
          <w:lang w:val="en-GB"/>
        </w:rPr>
        <w:t>TCP</w:t>
      </w:r>
      <w:r w:rsidR="001F1C3F">
        <w:rPr>
          <w:lang w:val="en-GB"/>
        </w:rPr>
        <w:t xml:space="preserve"> services</w:t>
      </w:r>
      <w:r>
        <w:rPr>
          <w:lang w:val="en-GB"/>
        </w:rPr>
        <w:t>.</w:t>
      </w:r>
      <w:r w:rsidR="00031DB0">
        <w:rPr>
          <w:lang w:val="en-GB"/>
        </w:rPr>
        <w:t xml:space="preserve"> Implementing measures, such as the CSI, will also be beneficial, as this may be used by ACATs as part of the assessment process – thereby increasing the number of outcome measures collected upon a care recipient’s journey through the aged care system.</w:t>
      </w:r>
    </w:p>
    <w:p w:rsidR="002A2AA2" w:rsidRPr="007F1A00" w:rsidRDefault="002A2AA2" w:rsidP="00522748">
      <w:pPr>
        <w:pStyle w:val="BodyText1"/>
        <w:rPr>
          <w:lang w:val="en-GB"/>
        </w:rPr>
      </w:pPr>
      <w:r>
        <w:rPr>
          <w:lang w:val="en-GB"/>
        </w:rPr>
        <w:t xml:space="preserve">Before implementation, these (or other identified) measures they should be tested with care recipients to determine their practicality and suitability. </w:t>
      </w:r>
    </w:p>
    <w:p w:rsidR="000B1D40" w:rsidRPr="00103537" w:rsidRDefault="001C3D8A" w:rsidP="00103537">
      <w:pPr>
        <w:pStyle w:val="BodyText1"/>
        <w:rPr>
          <w:b/>
          <w:lang w:val="en-GB"/>
        </w:rPr>
      </w:pPr>
      <w:r w:rsidRPr="00103537">
        <w:rPr>
          <w:b/>
          <w:lang w:val="en-GB"/>
        </w:rPr>
        <w:t>Recommendation eight</w:t>
      </w:r>
    </w:p>
    <w:p w:rsidR="00EB61E6" w:rsidRDefault="002C1618" w:rsidP="000B1D40">
      <w:pPr>
        <w:pStyle w:val="BodyText1"/>
        <w:rPr>
          <w:i/>
          <w:lang w:val="en-GB"/>
        </w:rPr>
      </w:pPr>
      <w:r w:rsidRPr="002C1618">
        <w:rPr>
          <w:i/>
          <w:lang w:val="en-GB"/>
        </w:rPr>
        <w:t>Safety and quality expectations need to be made explicit to providers, given the new Aged Care Quality Standards apply to TCP from 1 July 2019.</w:t>
      </w:r>
    </w:p>
    <w:p w:rsidR="009D1F2D" w:rsidRDefault="009D1F2D" w:rsidP="000B1D40">
      <w:pPr>
        <w:pStyle w:val="BodyText1"/>
        <w:rPr>
          <w:lang w:val="en-GB"/>
        </w:rPr>
      </w:pPr>
      <w:r w:rsidRPr="007F1A00">
        <w:rPr>
          <w:lang w:val="en-GB"/>
        </w:rPr>
        <w:t xml:space="preserve">With the introduction of the </w:t>
      </w:r>
      <w:r w:rsidR="00EF7F5D" w:rsidRPr="00EF7F5D">
        <w:rPr>
          <w:lang w:val="en-GB"/>
        </w:rPr>
        <w:t>Aged Care Quality Standards</w:t>
      </w:r>
      <w:r w:rsidRPr="007F1A00">
        <w:rPr>
          <w:lang w:val="en-GB"/>
        </w:rPr>
        <w:t xml:space="preserve">, all providers </w:t>
      </w:r>
      <w:r w:rsidR="001F1C3F">
        <w:rPr>
          <w:lang w:val="en-GB"/>
        </w:rPr>
        <w:t>should</w:t>
      </w:r>
      <w:r w:rsidR="00D81698">
        <w:rPr>
          <w:lang w:val="en-GB"/>
        </w:rPr>
        <w:t xml:space="preserve"> </w:t>
      </w:r>
      <w:r w:rsidRPr="007F1A00">
        <w:rPr>
          <w:lang w:val="en-GB"/>
        </w:rPr>
        <w:t xml:space="preserve">be assessed against </w:t>
      </w:r>
      <w:r w:rsidR="00EF7F5D">
        <w:rPr>
          <w:lang w:val="en-GB"/>
        </w:rPr>
        <w:t>these Standards</w:t>
      </w:r>
      <w:r w:rsidRPr="007F1A00">
        <w:rPr>
          <w:lang w:val="en-GB"/>
        </w:rPr>
        <w:t xml:space="preserve">. This will help reduce any perceived, or real, confusion as to the </w:t>
      </w:r>
      <w:r w:rsidR="007B72C3" w:rsidRPr="007F1A00">
        <w:rPr>
          <w:lang w:val="en-GB"/>
        </w:rPr>
        <w:t xml:space="preserve">safety and quality expectations that exist for providers. </w:t>
      </w:r>
    </w:p>
    <w:p w:rsidR="00C70AFA" w:rsidRPr="007F1A00" w:rsidRDefault="00C70AFA" w:rsidP="000B1D40">
      <w:pPr>
        <w:pStyle w:val="BodyText1"/>
        <w:rPr>
          <w:lang w:val="en-GB"/>
        </w:rPr>
      </w:pPr>
    </w:p>
    <w:p w:rsidR="009D1F2D" w:rsidRPr="00103537" w:rsidRDefault="009D1F2D" w:rsidP="00103537">
      <w:pPr>
        <w:pStyle w:val="BodyText1"/>
        <w:rPr>
          <w:b/>
          <w:lang w:val="en-GB"/>
        </w:rPr>
      </w:pPr>
      <w:r w:rsidRPr="00103537">
        <w:rPr>
          <w:b/>
          <w:lang w:val="en-GB"/>
        </w:rPr>
        <w:t>Recommendation nine</w:t>
      </w:r>
    </w:p>
    <w:p w:rsidR="009D1F2D" w:rsidRPr="007F1A00" w:rsidRDefault="007B72C3" w:rsidP="009D1F2D">
      <w:pPr>
        <w:pStyle w:val="BodyText1"/>
        <w:rPr>
          <w:i/>
          <w:lang w:val="en-GB"/>
        </w:rPr>
      </w:pPr>
      <w:r w:rsidRPr="007F1A00">
        <w:rPr>
          <w:i/>
          <w:lang w:val="en-GB"/>
        </w:rPr>
        <w:t xml:space="preserve">The appropriate length of stay for a </w:t>
      </w:r>
      <w:r w:rsidR="00BE1370" w:rsidRPr="00BE1370">
        <w:rPr>
          <w:i/>
          <w:lang w:val="en-GB"/>
        </w:rPr>
        <w:t>Transition Care Programme</w:t>
      </w:r>
      <w:r w:rsidR="00BE1370" w:rsidRPr="00BE1370" w:rsidDel="00BE1370">
        <w:rPr>
          <w:i/>
          <w:lang w:val="en-GB"/>
        </w:rPr>
        <w:t xml:space="preserve"> </w:t>
      </w:r>
      <w:r w:rsidRPr="007F1A00">
        <w:rPr>
          <w:i/>
          <w:lang w:val="en-GB"/>
        </w:rPr>
        <w:t>care recipient should be investigated further.</w:t>
      </w:r>
    </w:p>
    <w:p w:rsidR="009D1F2D" w:rsidRPr="007F1A00" w:rsidRDefault="007B72C3" w:rsidP="009D1F2D">
      <w:pPr>
        <w:pStyle w:val="BodyText1"/>
        <w:rPr>
          <w:lang w:val="en-GB"/>
        </w:rPr>
      </w:pPr>
      <w:r w:rsidRPr="007F1A00">
        <w:rPr>
          <w:lang w:val="en-GB"/>
        </w:rPr>
        <w:t xml:space="preserve">A pilot of MBI data being collected at the three week mark should be undertaken to determine if care recipient outcomes can be achieved in similar timeframes to other </w:t>
      </w:r>
      <w:r w:rsidR="000D180F">
        <w:rPr>
          <w:lang w:val="en-GB"/>
        </w:rPr>
        <w:t xml:space="preserve">restorative and </w:t>
      </w:r>
      <w:r w:rsidRPr="007F1A00">
        <w:rPr>
          <w:lang w:val="en-GB"/>
        </w:rPr>
        <w:t>rehabilitation programmes.</w:t>
      </w:r>
    </w:p>
    <w:p w:rsidR="009D1F2D" w:rsidRPr="00103537" w:rsidRDefault="007B72C3" w:rsidP="00103537">
      <w:pPr>
        <w:pStyle w:val="BodyText1"/>
        <w:rPr>
          <w:b/>
          <w:lang w:val="en-GB"/>
        </w:rPr>
      </w:pPr>
      <w:r w:rsidRPr="00103537">
        <w:rPr>
          <w:b/>
          <w:lang w:val="en-GB"/>
        </w:rPr>
        <w:t>Recommendation ten</w:t>
      </w:r>
    </w:p>
    <w:p w:rsidR="00EB61E6" w:rsidRDefault="00EB61E6" w:rsidP="009D1F2D">
      <w:pPr>
        <w:pStyle w:val="BodyText1"/>
        <w:rPr>
          <w:i/>
          <w:lang w:val="en-GB"/>
        </w:rPr>
      </w:pPr>
      <w:r w:rsidRPr="00EB61E6">
        <w:rPr>
          <w:i/>
          <w:lang w:val="en-GB"/>
        </w:rPr>
        <w:t>Consider managing total care days across an entire year, not daily, in order to provide flexibility for seasonal demand in the Transition Care Programme.</w:t>
      </w:r>
    </w:p>
    <w:p w:rsidR="009D1F2D" w:rsidRPr="007F1A00" w:rsidRDefault="00562109" w:rsidP="009D1F2D">
      <w:pPr>
        <w:pStyle w:val="BodyText1"/>
        <w:rPr>
          <w:lang w:val="en-GB"/>
        </w:rPr>
      </w:pPr>
      <w:r>
        <w:rPr>
          <w:lang w:val="en-GB"/>
        </w:rPr>
        <w:t>The Department should investigate the management of total care places each financial year to account for seasonal variation in the demand for</w:t>
      </w:r>
      <w:r w:rsidR="001F1C3F">
        <w:rPr>
          <w:lang w:val="en-GB"/>
        </w:rPr>
        <w:t xml:space="preserve"> the</w:t>
      </w:r>
      <w:r>
        <w:rPr>
          <w:lang w:val="en-GB"/>
        </w:rPr>
        <w:t xml:space="preserve"> TCP. Currently demand is highest in the winter months, and </w:t>
      </w:r>
      <w:r w:rsidR="001F1C3F">
        <w:rPr>
          <w:lang w:val="en-GB"/>
        </w:rPr>
        <w:t xml:space="preserve">the </w:t>
      </w:r>
      <w:r>
        <w:rPr>
          <w:lang w:val="en-GB"/>
        </w:rPr>
        <w:t xml:space="preserve">TCP is often underutilised over the summer months. It is </w:t>
      </w:r>
      <w:r w:rsidR="001F1C3F">
        <w:rPr>
          <w:lang w:val="en-GB"/>
        </w:rPr>
        <w:t xml:space="preserve">recognised that </w:t>
      </w:r>
      <w:r>
        <w:rPr>
          <w:lang w:val="en-GB"/>
        </w:rPr>
        <w:t xml:space="preserve">this would require a change to current legislation. </w:t>
      </w:r>
    </w:p>
    <w:p w:rsidR="009D1F2D" w:rsidRPr="00103537" w:rsidRDefault="007B72C3" w:rsidP="00103537">
      <w:pPr>
        <w:pStyle w:val="BodyText1"/>
        <w:rPr>
          <w:b/>
          <w:lang w:val="en-GB"/>
        </w:rPr>
      </w:pPr>
      <w:r w:rsidRPr="00103537">
        <w:rPr>
          <w:b/>
          <w:lang w:val="en-GB"/>
        </w:rPr>
        <w:t>Recommendation eleven</w:t>
      </w:r>
    </w:p>
    <w:p w:rsidR="00EB61E6" w:rsidRDefault="00EB61E6" w:rsidP="009D1F2D">
      <w:pPr>
        <w:pStyle w:val="BodyText1"/>
        <w:rPr>
          <w:i/>
          <w:lang w:val="en-GB"/>
        </w:rPr>
      </w:pPr>
      <w:r w:rsidRPr="00EB61E6">
        <w:rPr>
          <w:i/>
          <w:lang w:val="en-GB"/>
        </w:rPr>
        <w:t>The Department of Health should consider implementing more regular meetings between State and Territory health departments to improve collaboration and innovation.</w:t>
      </w:r>
    </w:p>
    <w:p w:rsidR="009D1F2D" w:rsidRPr="007F1A00" w:rsidRDefault="005B1513" w:rsidP="009D1F2D">
      <w:pPr>
        <w:pStyle w:val="BodyText1"/>
        <w:rPr>
          <w:lang w:val="en-GB"/>
        </w:rPr>
      </w:pPr>
      <w:r w:rsidRPr="007F1A00">
        <w:rPr>
          <w:lang w:val="en-GB"/>
        </w:rPr>
        <w:t xml:space="preserve">The </w:t>
      </w:r>
      <w:r w:rsidR="00DB0EE5">
        <w:rPr>
          <w:lang w:val="en-GB"/>
        </w:rPr>
        <w:t>Department</w:t>
      </w:r>
      <w:r w:rsidRPr="007F1A00">
        <w:rPr>
          <w:lang w:val="en-GB"/>
        </w:rPr>
        <w:t xml:space="preserve"> should seek </w:t>
      </w:r>
      <w:r w:rsidR="00451B7C">
        <w:rPr>
          <w:lang w:val="en-GB"/>
        </w:rPr>
        <w:t xml:space="preserve">to </w:t>
      </w:r>
      <w:r w:rsidR="00E56E52">
        <w:rPr>
          <w:lang w:val="en-GB"/>
        </w:rPr>
        <w:t>increase</w:t>
      </w:r>
      <w:r w:rsidR="00451B7C">
        <w:rPr>
          <w:lang w:val="en-GB"/>
        </w:rPr>
        <w:t xml:space="preserve"> the frequency of</w:t>
      </w:r>
      <w:r w:rsidRPr="007F1A00">
        <w:rPr>
          <w:lang w:val="en-GB"/>
        </w:rPr>
        <w:t xml:space="preserve"> meetings with State and Territory health departments to improve communication, facilitate information sharing and networking and provide a forum for service innovation. </w:t>
      </w:r>
    </w:p>
    <w:p w:rsidR="007B72C3" w:rsidRPr="00103537" w:rsidRDefault="007B72C3" w:rsidP="00103537">
      <w:pPr>
        <w:pStyle w:val="BodyText1"/>
        <w:rPr>
          <w:b/>
          <w:lang w:val="en-GB"/>
        </w:rPr>
      </w:pPr>
      <w:r w:rsidRPr="00103537">
        <w:rPr>
          <w:b/>
          <w:lang w:val="en-GB"/>
        </w:rPr>
        <w:t>Recommendation twelve</w:t>
      </w:r>
    </w:p>
    <w:p w:rsidR="007B72C3" w:rsidRPr="007F1A00" w:rsidRDefault="005B1513" w:rsidP="007B72C3">
      <w:pPr>
        <w:pStyle w:val="BodyText1"/>
        <w:rPr>
          <w:i/>
          <w:lang w:val="en-GB"/>
        </w:rPr>
      </w:pPr>
      <w:r w:rsidRPr="007F1A00">
        <w:rPr>
          <w:i/>
          <w:lang w:val="en-GB"/>
        </w:rPr>
        <w:t xml:space="preserve">Promote the Commonwealth funded </w:t>
      </w:r>
      <w:r w:rsidR="00BE1370" w:rsidRPr="00BE1370">
        <w:rPr>
          <w:i/>
          <w:lang w:val="en-GB"/>
        </w:rPr>
        <w:t>Translating and Interpreting Service</w:t>
      </w:r>
      <w:r w:rsidR="00BE1370" w:rsidRPr="00BE1370" w:rsidDel="00BE1370">
        <w:rPr>
          <w:i/>
          <w:lang w:val="en-GB"/>
        </w:rPr>
        <w:t xml:space="preserve"> </w:t>
      </w:r>
      <w:r w:rsidRPr="007F1A00">
        <w:rPr>
          <w:i/>
          <w:lang w:val="en-GB"/>
        </w:rPr>
        <w:t>to all service providers</w:t>
      </w:r>
      <w:r w:rsidR="009F6653">
        <w:rPr>
          <w:i/>
          <w:lang w:val="en-GB"/>
        </w:rPr>
        <w:t>.</w:t>
      </w:r>
    </w:p>
    <w:p w:rsidR="007B72C3" w:rsidRPr="007F1A00" w:rsidRDefault="0096127B" w:rsidP="007B72C3">
      <w:pPr>
        <w:pStyle w:val="BodyText1"/>
        <w:rPr>
          <w:lang w:val="en-GB"/>
        </w:rPr>
      </w:pPr>
      <w:r>
        <w:rPr>
          <w:lang w:val="en-GB"/>
        </w:rPr>
        <w:t xml:space="preserve">The Department should promote widely the </w:t>
      </w:r>
      <w:r w:rsidR="00702E7D">
        <w:rPr>
          <w:lang w:val="en-GB"/>
        </w:rPr>
        <w:t>TIS</w:t>
      </w:r>
      <w:r>
        <w:rPr>
          <w:lang w:val="en-GB"/>
        </w:rPr>
        <w:t xml:space="preserve"> to all service providers</w:t>
      </w:r>
      <w:r w:rsidR="001F1C3F">
        <w:rPr>
          <w:lang w:val="en-GB"/>
        </w:rPr>
        <w:t>. T</w:t>
      </w:r>
      <w:r>
        <w:rPr>
          <w:lang w:val="en-GB"/>
        </w:rPr>
        <w:t xml:space="preserve">hroughout consultations it was noted that awareness of this service was low. Increased awareness and access of the service would improve access to </w:t>
      </w:r>
      <w:r w:rsidR="001F1C3F">
        <w:rPr>
          <w:lang w:val="en-GB"/>
        </w:rPr>
        <w:t xml:space="preserve">the </w:t>
      </w:r>
      <w:r>
        <w:rPr>
          <w:lang w:val="en-GB"/>
        </w:rPr>
        <w:t>TCP for CALD care recipients.</w:t>
      </w:r>
    </w:p>
    <w:p w:rsidR="005B1513" w:rsidRPr="00103537" w:rsidRDefault="005B1513" w:rsidP="00103537">
      <w:pPr>
        <w:pStyle w:val="BodyText1"/>
        <w:rPr>
          <w:b/>
          <w:lang w:val="en-GB"/>
        </w:rPr>
      </w:pPr>
      <w:r w:rsidRPr="00103537">
        <w:rPr>
          <w:b/>
          <w:lang w:val="en-GB"/>
        </w:rPr>
        <w:t>Recommendation thirteen</w:t>
      </w:r>
    </w:p>
    <w:p w:rsidR="005B1513" w:rsidRPr="007F1A00" w:rsidRDefault="005B1513" w:rsidP="005B1513">
      <w:pPr>
        <w:pStyle w:val="BodyText1"/>
        <w:rPr>
          <w:i/>
          <w:lang w:val="en-GB"/>
        </w:rPr>
      </w:pPr>
      <w:r w:rsidRPr="007F1A00">
        <w:rPr>
          <w:i/>
          <w:lang w:val="en-GB"/>
        </w:rPr>
        <w:t>Data reporting should be made more consistent, especially in relation to Annual Accountability Reports.</w:t>
      </w:r>
    </w:p>
    <w:p w:rsidR="005B1513" w:rsidRPr="007F1A00" w:rsidRDefault="005B1513" w:rsidP="005B1513">
      <w:pPr>
        <w:pStyle w:val="BodyText1"/>
        <w:rPr>
          <w:lang w:val="en-GB"/>
        </w:rPr>
      </w:pPr>
      <w:r w:rsidRPr="007F1A00">
        <w:rPr>
          <w:lang w:val="en-GB"/>
        </w:rPr>
        <w:t xml:space="preserve">The </w:t>
      </w:r>
      <w:r w:rsidR="00DB0EE5">
        <w:rPr>
          <w:lang w:val="en-GB"/>
        </w:rPr>
        <w:t>Department</w:t>
      </w:r>
      <w:r w:rsidRPr="007F1A00">
        <w:rPr>
          <w:lang w:val="en-GB"/>
        </w:rPr>
        <w:t xml:space="preserve"> should seek to make the reporting of </w:t>
      </w:r>
      <w:r w:rsidR="00543099" w:rsidRPr="007F1A00">
        <w:rPr>
          <w:lang w:val="en-GB"/>
        </w:rPr>
        <w:t>expenditure more consistent to improve the ability to benchmark expenditure across jurisdictions, and fully understand how</w:t>
      </w:r>
      <w:r w:rsidR="001F1C3F">
        <w:rPr>
          <w:lang w:val="en-GB"/>
        </w:rPr>
        <w:t xml:space="preserve"> the</w:t>
      </w:r>
      <w:r w:rsidR="00543099" w:rsidRPr="007F1A00">
        <w:rPr>
          <w:lang w:val="en-GB"/>
        </w:rPr>
        <w:t xml:space="preserve"> TCP subsidies, </w:t>
      </w:r>
      <w:r w:rsidR="00A31899" w:rsidRPr="007F1A00">
        <w:rPr>
          <w:lang w:val="en-GB"/>
        </w:rPr>
        <w:t>care recipient</w:t>
      </w:r>
      <w:r w:rsidR="00543099" w:rsidRPr="007F1A00">
        <w:rPr>
          <w:lang w:val="en-GB"/>
        </w:rPr>
        <w:t xml:space="preserve"> contributions, and State and Territory monies</w:t>
      </w:r>
      <w:r w:rsidR="001F1C3F">
        <w:rPr>
          <w:lang w:val="en-GB"/>
        </w:rPr>
        <w:t>,</w:t>
      </w:r>
      <w:r w:rsidR="00543099" w:rsidRPr="007F1A00">
        <w:rPr>
          <w:lang w:val="en-GB"/>
        </w:rPr>
        <w:t xml:space="preserve"> are </w:t>
      </w:r>
      <w:r w:rsidR="00E56E52">
        <w:rPr>
          <w:lang w:val="en-GB"/>
        </w:rPr>
        <w:t>utilised.</w:t>
      </w:r>
      <w:r w:rsidRPr="007F1A00">
        <w:rPr>
          <w:lang w:val="en-GB"/>
        </w:rPr>
        <w:t xml:space="preserve"> </w:t>
      </w:r>
      <w:r w:rsidR="00543099" w:rsidRPr="007F1A00">
        <w:rPr>
          <w:lang w:val="en-GB"/>
        </w:rPr>
        <w:t>This could include the development of clear definitions to ensure that costs and expenditure are itemised consistently.</w:t>
      </w:r>
    </w:p>
    <w:p w:rsidR="000B1D40" w:rsidRPr="007F1A00" w:rsidRDefault="000B1D40" w:rsidP="000B1D40">
      <w:pPr>
        <w:pStyle w:val="BodyText1"/>
        <w:rPr>
          <w:lang w:val="en-GB"/>
        </w:rPr>
      </w:pPr>
    </w:p>
    <w:p w:rsidR="007B5801" w:rsidRPr="007F1A00" w:rsidRDefault="007B5801">
      <w:pPr>
        <w:spacing w:before="0" w:after="160" w:line="259" w:lineRule="auto"/>
        <w:rPr>
          <w:lang w:val="en-GB"/>
        </w:rPr>
      </w:pPr>
      <w:r w:rsidRPr="007F1A00">
        <w:rPr>
          <w:lang w:val="en-GB"/>
        </w:rPr>
        <w:br w:type="page"/>
      </w:r>
    </w:p>
    <w:p w:rsidR="007B5801" w:rsidRPr="007F1A00" w:rsidRDefault="007B5801" w:rsidP="007B5801">
      <w:pPr>
        <w:pStyle w:val="Appendixheading"/>
        <w:rPr>
          <w:lang w:val="en-GB"/>
        </w:rPr>
      </w:pPr>
      <w:bookmarkStart w:id="39" w:name="_Ref536021191"/>
      <w:bookmarkStart w:id="40" w:name="_Toc5270609"/>
      <w:r w:rsidRPr="007F1A00">
        <w:rPr>
          <w:lang w:val="en-GB"/>
        </w:rPr>
        <w:t xml:space="preserve">: Evidence of alternative </w:t>
      </w:r>
      <w:bookmarkEnd w:id="39"/>
      <w:r w:rsidR="00247854">
        <w:rPr>
          <w:lang w:val="en-GB"/>
        </w:rPr>
        <w:t>key performance indicators</w:t>
      </w:r>
      <w:bookmarkEnd w:id="40"/>
    </w:p>
    <w:p w:rsidR="00B97526" w:rsidRPr="007F1A00" w:rsidRDefault="007B5801" w:rsidP="00DE5795">
      <w:pPr>
        <w:pStyle w:val="BodyText1"/>
        <w:rPr>
          <w:lang w:val="en-GB"/>
        </w:rPr>
      </w:pPr>
      <w:r w:rsidRPr="007F1A00">
        <w:rPr>
          <w:lang w:val="en-GB"/>
        </w:rPr>
        <w:t xml:space="preserve">A </w:t>
      </w:r>
      <w:r w:rsidR="0005505F" w:rsidRPr="007F1A00">
        <w:rPr>
          <w:lang w:val="en-GB"/>
        </w:rPr>
        <w:t xml:space="preserve">desktop </w:t>
      </w:r>
      <w:r w:rsidRPr="007F1A00">
        <w:rPr>
          <w:lang w:val="en-GB"/>
        </w:rPr>
        <w:t xml:space="preserve">review was performed to identify potential key performance indicators for </w:t>
      </w:r>
      <w:r w:rsidR="00A31899" w:rsidRPr="007F1A00">
        <w:rPr>
          <w:lang w:val="en-GB"/>
        </w:rPr>
        <w:t>care recipient</w:t>
      </w:r>
      <w:r w:rsidRPr="007F1A00">
        <w:rPr>
          <w:lang w:val="en-GB"/>
        </w:rPr>
        <w:t xml:space="preserve"> outcomes beyond the MBI, considering different domains including: validity, reliability</w:t>
      </w:r>
      <w:r w:rsidR="00451B7C">
        <w:rPr>
          <w:lang w:val="en-GB"/>
        </w:rPr>
        <w:t xml:space="preserve">, </w:t>
      </w:r>
      <w:r w:rsidRPr="007F1A00">
        <w:rPr>
          <w:lang w:val="en-GB"/>
        </w:rPr>
        <w:t>time to administer</w:t>
      </w:r>
      <w:r w:rsidR="00451B7C">
        <w:rPr>
          <w:lang w:val="en-GB"/>
        </w:rPr>
        <w:t>,</w:t>
      </w:r>
      <w:r w:rsidRPr="007F1A00">
        <w:rPr>
          <w:lang w:val="en-GB"/>
        </w:rPr>
        <w:t xml:space="preserve"> and training requirements. Based on the extensiveness and quality of the evidence available, each of the metrics was given a </w:t>
      </w:r>
      <w:r w:rsidR="007D0646" w:rsidRPr="007F1A00">
        <w:rPr>
          <w:lang w:val="en-GB"/>
        </w:rPr>
        <w:t>rating across specific domains.</w:t>
      </w:r>
      <w:r w:rsidR="006C271F">
        <w:rPr>
          <w:lang w:val="en-GB"/>
        </w:rPr>
        <w:t xml:space="preserve"> </w:t>
      </w:r>
      <w:r w:rsidR="007D0646" w:rsidRPr="007F1A00">
        <w:rPr>
          <w:lang w:val="en-GB"/>
        </w:rPr>
        <w:fldChar w:fldCharType="begin"/>
      </w:r>
      <w:r w:rsidR="007D0646" w:rsidRPr="007F1A00">
        <w:rPr>
          <w:lang w:val="en-GB"/>
        </w:rPr>
        <w:instrText xml:space="preserve"> REF _Ref536541766 \h </w:instrText>
      </w:r>
      <w:r w:rsidR="007D0646" w:rsidRPr="007F1A00">
        <w:rPr>
          <w:lang w:val="en-GB"/>
        </w:rPr>
      </w:r>
      <w:r w:rsidR="007D0646" w:rsidRPr="007F1A00">
        <w:rPr>
          <w:lang w:val="en-GB"/>
        </w:rPr>
        <w:fldChar w:fldCharType="separate"/>
      </w:r>
      <w:r w:rsidR="00ED07D2" w:rsidRPr="007F1A00">
        <w:rPr>
          <w:lang w:val="en-GB"/>
        </w:rPr>
        <w:t xml:space="preserve">Table </w:t>
      </w:r>
      <w:r w:rsidR="00ED07D2">
        <w:rPr>
          <w:noProof/>
          <w:lang w:val="en-GB"/>
        </w:rPr>
        <w:t>3</w:t>
      </w:r>
      <w:r w:rsidR="007D0646" w:rsidRPr="007F1A00">
        <w:rPr>
          <w:lang w:val="en-GB"/>
        </w:rPr>
        <w:fldChar w:fldCharType="end"/>
      </w:r>
      <w:r w:rsidR="007D0646" w:rsidRPr="007F1A00">
        <w:rPr>
          <w:lang w:val="en-GB"/>
        </w:rPr>
        <w:t xml:space="preserve"> </w:t>
      </w:r>
      <w:r w:rsidRPr="007F1A00">
        <w:rPr>
          <w:lang w:val="en-GB"/>
        </w:rPr>
        <w:t xml:space="preserve">describes the criteria used to rate the metrics across specific domains and </w:t>
      </w:r>
      <w:r w:rsidR="000D27CD" w:rsidRPr="007F1A00">
        <w:rPr>
          <w:lang w:val="en-GB"/>
        </w:rPr>
        <w:fldChar w:fldCharType="begin"/>
      </w:r>
      <w:r w:rsidR="000D27CD" w:rsidRPr="007F1A00">
        <w:rPr>
          <w:lang w:val="en-GB"/>
        </w:rPr>
        <w:instrText xml:space="preserve"> REF _Ref536021150 \h </w:instrText>
      </w:r>
      <w:r w:rsidR="000D27CD" w:rsidRPr="007F1A00">
        <w:rPr>
          <w:lang w:val="en-GB"/>
        </w:rPr>
      </w:r>
      <w:r w:rsidR="000D27CD" w:rsidRPr="007F1A00">
        <w:rPr>
          <w:lang w:val="en-GB"/>
        </w:rPr>
        <w:fldChar w:fldCharType="separate"/>
      </w:r>
      <w:r w:rsidR="00ED07D2" w:rsidRPr="007F1A00">
        <w:rPr>
          <w:lang w:val="en-GB"/>
        </w:rPr>
        <w:t xml:space="preserve">Table </w:t>
      </w:r>
      <w:r w:rsidR="00ED07D2">
        <w:rPr>
          <w:noProof/>
          <w:lang w:val="en-GB"/>
        </w:rPr>
        <w:t>4</w:t>
      </w:r>
      <w:r w:rsidR="000D27CD" w:rsidRPr="007F1A00">
        <w:rPr>
          <w:lang w:val="en-GB"/>
        </w:rPr>
        <w:fldChar w:fldCharType="end"/>
      </w:r>
      <w:r w:rsidR="000D27CD" w:rsidRPr="007F1A00">
        <w:rPr>
          <w:lang w:val="en-GB"/>
        </w:rPr>
        <w:t xml:space="preserve"> </w:t>
      </w:r>
      <w:r w:rsidRPr="007F1A00">
        <w:rPr>
          <w:lang w:val="en-GB"/>
        </w:rPr>
        <w:t>provides a summary of the evidence on alternative metrics.</w:t>
      </w:r>
    </w:p>
    <w:p w:rsidR="00B97526" w:rsidRPr="007F1A00" w:rsidRDefault="00B97526" w:rsidP="00DE5795">
      <w:pPr>
        <w:pStyle w:val="BodyText1"/>
        <w:rPr>
          <w:lang w:val="en-GB"/>
        </w:rPr>
      </w:pPr>
      <w:r w:rsidRPr="007F1A00">
        <w:rPr>
          <w:lang w:val="en-GB"/>
        </w:rPr>
        <w:t xml:space="preserve">These ratings have been developed specifically with </w:t>
      </w:r>
      <w:r w:rsidR="00CB2B5E">
        <w:rPr>
          <w:lang w:val="en-GB"/>
        </w:rPr>
        <w:t xml:space="preserve">the </w:t>
      </w:r>
      <w:r w:rsidRPr="007F1A00">
        <w:rPr>
          <w:lang w:val="en-GB"/>
        </w:rPr>
        <w:t>TCP in mind. They encompass the practicalities in delivering a TCP service and include:</w:t>
      </w:r>
    </w:p>
    <w:p w:rsidR="00B97526" w:rsidRPr="007F1A00" w:rsidRDefault="00B97526" w:rsidP="00B97526">
      <w:pPr>
        <w:pStyle w:val="Bullet1stlevel"/>
        <w:spacing w:after="0"/>
        <w:rPr>
          <w:lang w:val="en-GB"/>
        </w:rPr>
      </w:pPr>
      <w:r w:rsidRPr="007F1A00">
        <w:rPr>
          <w:lang w:val="en-GB"/>
        </w:rPr>
        <w:t>Types of care recipients accessing the Programme</w:t>
      </w:r>
      <w:r w:rsidR="007A471F">
        <w:rPr>
          <w:lang w:val="en-GB"/>
        </w:rPr>
        <w:t>;</w:t>
      </w:r>
    </w:p>
    <w:p w:rsidR="00B97526" w:rsidRPr="007F1A00" w:rsidRDefault="00B97526" w:rsidP="00B97526">
      <w:pPr>
        <w:pStyle w:val="Bullet1stlevel"/>
        <w:spacing w:after="0"/>
        <w:rPr>
          <w:lang w:val="en-GB"/>
        </w:rPr>
      </w:pPr>
      <w:r w:rsidRPr="007F1A00">
        <w:rPr>
          <w:lang w:val="en-GB"/>
        </w:rPr>
        <w:t>Staff mix</w:t>
      </w:r>
      <w:r w:rsidR="007A471F">
        <w:rPr>
          <w:lang w:val="en-GB"/>
        </w:rPr>
        <w:t>; and</w:t>
      </w:r>
    </w:p>
    <w:p w:rsidR="007D0646" w:rsidRPr="007F1A00" w:rsidRDefault="00B97526" w:rsidP="007D0646">
      <w:pPr>
        <w:pStyle w:val="Bullet1stlevel"/>
        <w:spacing w:after="0"/>
        <w:rPr>
          <w:lang w:val="en-GB"/>
        </w:rPr>
      </w:pPr>
      <w:r w:rsidRPr="007F1A00">
        <w:rPr>
          <w:lang w:val="en-GB"/>
        </w:rPr>
        <w:t>Resources available.</w:t>
      </w:r>
    </w:p>
    <w:p w:rsidR="007D0646" w:rsidRPr="00103537" w:rsidRDefault="007D0646" w:rsidP="00103537">
      <w:pPr>
        <w:pStyle w:val="BodyText1"/>
        <w:rPr>
          <w:b/>
          <w:lang w:val="en-GB"/>
        </w:rPr>
      </w:pPr>
      <w:r w:rsidRPr="00103537">
        <w:rPr>
          <w:b/>
          <w:lang w:val="en-GB"/>
        </w:rPr>
        <w:t>Rating criteria across specific metric domains</w:t>
      </w:r>
    </w:p>
    <w:p w:rsidR="00103537" w:rsidRPr="00103537" w:rsidRDefault="00103537" w:rsidP="00103537">
      <w:pPr>
        <w:pStyle w:val="BodyText1"/>
        <w:rPr>
          <w:u w:val="single"/>
          <w:lang w:val="en-GB"/>
        </w:rPr>
      </w:pPr>
      <w:r w:rsidRPr="00103537">
        <w:rPr>
          <w:u w:val="single"/>
          <w:lang w:val="en-GB"/>
        </w:rPr>
        <w:t>Time to administer</w:t>
      </w:r>
    </w:p>
    <w:p w:rsidR="00103537" w:rsidRDefault="00103537" w:rsidP="00103537">
      <w:pPr>
        <w:pStyle w:val="BodyText1"/>
        <w:rPr>
          <w:lang w:val="en-GB"/>
        </w:rPr>
      </w:pPr>
      <w:r w:rsidRPr="00103537">
        <w:rPr>
          <w:lang w:val="en-GB"/>
        </w:rPr>
        <w:t>Red</w:t>
      </w:r>
      <w:r>
        <w:rPr>
          <w:lang w:val="en-GB"/>
        </w:rPr>
        <w:t xml:space="preserve">: </w:t>
      </w:r>
      <w:r>
        <w:rPr>
          <w:sz w:val="18"/>
          <w:szCs w:val="18"/>
          <w:lang w:val="en-GB"/>
        </w:rPr>
        <w:t>&gt;20</w:t>
      </w:r>
      <w:r w:rsidRPr="007F1A00">
        <w:rPr>
          <w:sz w:val="18"/>
          <w:szCs w:val="18"/>
          <w:lang w:val="en-GB"/>
        </w:rPr>
        <w:t xml:space="preserve"> minutes</w:t>
      </w:r>
    </w:p>
    <w:p w:rsidR="00103537" w:rsidRDefault="00103537" w:rsidP="00103537">
      <w:pPr>
        <w:pStyle w:val="BodyText1"/>
        <w:rPr>
          <w:lang w:val="en-GB"/>
        </w:rPr>
      </w:pPr>
      <w:r w:rsidRPr="00103537">
        <w:rPr>
          <w:lang w:val="en-GB"/>
        </w:rPr>
        <w:t>Amber</w:t>
      </w:r>
      <w:r>
        <w:rPr>
          <w:lang w:val="en-GB"/>
        </w:rPr>
        <w:t xml:space="preserve">: </w:t>
      </w:r>
      <w:r w:rsidRPr="007F1A00">
        <w:rPr>
          <w:sz w:val="18"/>
          <w:szCs w:val="18"/>
          <w:lang w:val="en-GB"/>
        </w:rPr>
        <w:t>10-20 minutes</w:t>
      </w:r>
    </w:p>
    <w:p w:rsidR="00103537" w:rsidRPr="00103537" w:rsidRDefault="00103537" w:rsidP="00103537">
      <w:pPr>
        <w:pStyle w:val="BodyText1"/>
        <w:rPr>
          <w:lang w:val="en-GB"/>
        </w:rPr>
      </w:pPr>
      <w:r w:rsidRPr="00103537">
        <w:rPr>
          <w:lang w:val="en-GB"/>
        </w:rPr>
        <w:t>Green</w:t>
      </w:r>
      <w:r>
        <w:rPr>
          <w:lang w:val="en-GB"/>
        </w:rPr>
        <w:t xml:space="preserve">: </w:t>
      </w:r>
      <w:r>
        <w:rPr>
          <w:sz w:val="18"/>
          <w:szCs w:val="18"/>
          <w:lang w:val="en-GB"/>
        </w:rPr>
        <w:t>&lt;1</w:t>
      </w:r>
      <w:r w:rsidRPr="007F1A00">
        <w:rPr>
          <w:sz w:val="18"/>
          <w:szCs w:val="18"/>
          <w:lang w:val="en-GB"/>
        </w:rPr>
        <w:t>0 minutes</w:t>
      </w:r>
    </w:p>
    <w:p w:rsidR="00103537" w:rsidRPr="00103537" w:rsidRDefault="00103537" w:rsidP="00103537">
      <w:pPr>
        <w:pStyle w:val="BodyText1"/>
        <w:rPr>
          <w:u w:val="single"/>
          <w:lang w:val="en-GB"/>
        </w:rPr>
      </w:pPr>
      <w:r w:rsidRPr="00103537">
        <w:rPr>
          <w:u w:val="single"/>
          <w:lang w:val="en-GB"/>
        </w:rPr>
        <w:t xml:space="preserve">Validity </w:t>
      </w:r>
    </w:p>
    <w:p w:rsidR="00103537" w:rsidRPr="00103537" w:rsidRDefault="00103537" w:rsidP="00103537">
      <w:pPr>
        <w:pStyle w:val="BodyText1"/>
        <w:rPr>
          <w:lang w:val="en-GB"/>
        </w:rPr>
      </w:pPr>
      <w:r w:rsidRPr="00103537">
        <w:rPr>
          <w:lang w:val="en-GB"/>
        </w:rPr>
        <w:t>Red</w:t>
      </w:r>
      <w:r>
        <w:rPr>
          <w:lang w:val="en-GB"/>
        </w:rPr>
        <w:t xml:space="preserve">: </w:t>
      </w:r>
      <w:r w:rsidRPr="007F1A00">
        <w:rPr>
          <w:lang w:val="en-GB"/>
        </w:rPr>
        <w:t xml:space="preserve">There is evidence that the metric is either not valid or should be used with caution for its intended purpose. </w:t>
      </w:r>
    </w:p>
    <w:p w:rsidR="00103537" w:rsidRDefault="00103537" w:rsidP="00103537">
      <w:pPr>
        <w:pStyle w:val="BodyText1"/>
        <w:rPr>
          <w:lang w:val="en-GB"/>
        </w:rPr>
      </w:pPr>
      <w:r w:rsidRPr="00103537">
        <w:rPr>
          <w:lang w:val="en-GB"/>
        </w:rPr>
        <w:t>Amber</w:t>
      </w:r>
      <w:r>
        <w:rPr>
          <w:lang w:val="en-GB"/>
        </w:rPr>
        <w:t xml:space="preserve">: </w:t>
      </w:r>
      <w:r w:rsidRPr="007F1A00">
        <w:rPr>
          <w:lang w:val="en-GB"/>
        </w:rPr>
        <w:t>There is evidence that the metric has been validated in specific circumstances that would only apply to specific cohorts of TCP care recipients, or, the evidence is limited.</w:t>
      </w:r>
    </w:p>
    <w:p w:rsidR="00103537" w:rsidRPr="00103537" w:rsidRDefault="00103537" w:rsidP="00103537">
      <w:pPr>
        <w:pStyle w:val="BodyText1"/>
        <w:rPr>
          <w:lang w:val="en-GB"/>
        </w:rPr>
      </w:pPr>
      <w:r w:rsidRPr="00103537">
        <w:rPr>
          <w:lang w:val="en-GB"/>
        </w:rPr>
        <w:t>Green</w:t>
      </w:r>
      <w:r>
        <w:rPr>
          <w:lang w:val="en-GB"/>
        </w:rPr>
        <w:t xml:space="preserve">: </w:t>
      </w:r>
      <w:r w:rsidRPr="007F1A00">
        <w:rPr>
          <w:lang w:val="en-GB"/>
        </w:rPr>
        <w:t>There is evidence that the metric has been validated for intended purpose.</w:t>
      </w:r>
    </w:p>
    <w:p w:rsidR="00103537" w:rsidRPr="00103537" w:rsidRDefault="00103537" w:rsidP="00103537">
      <w:pPr>
        <w:pStyle w:val="BodyText1"/>
        <w:rPr>
          <w:u w:val="single"/>
          <w:lang w:val="en-GB"/>
        </w:rPr>
      </w:pPr>
      <w:r w:rsidRPr="00103537">
        <w:rPr>
          <w:u w:val="single"/>
          <w:lang w:val="en-GB"/>
        </w:rPr>
        <w:t>Reliability</w:t>
      </w:r>
    </w:p>
    <w:p w:rsidR="00103537" w:rsidRPr="00103537" w:rsidRDefault="00103537" w:rsidP="00103537">
      <w:pPr>
        <w:pStyle w:val="BodyText1"/>
      </w:pPr>
      <w:r w:rsidRPr="00103537">
        <w:t>Red: Reliability is consistently poor across multiple domains and across multiple aspects of reliability.</w:t>
      </w:r>
    </w:p>
    <w:p w:rsidR="00103537" w:rsidRPr="00103537" w:rsidRDefault="00103537" w:rsidP="00103537">
      <w:pPr>
        <w:pStyle w:val="BodyText1"/>
      </w:pPr>
      <w:r w:rsidRPr="00103537">
        <w:t>Amber: Reliability is mixed, varying with different components within the metric or varying with different aspects of reliability.</w:t>
      </w:r>
    </w:p>
    <w:p w:rsidR="00103537" w:rsidRPr="00103537" w:rsidRDefault="00103537" w:rsidP="00103537">
      <w:pPr>
        <w:pStyle w:val="BodyText1"/>
      </w:pPr>
      <w:r w:rsidRPr="00103537">
        <w:t>Green: Reliability is consistent across different domains within the metric and across multiple aspects of reliability including inter-rater reliability, test-retest reliability, and internal consistency.</w:t>
      </w:r>
    </w:p>
    <w:p w:rsidR="00103537" w:rsidRPr="00103537" w:rsidRDefault="00103537" w:rsidP="00103537">
      <w:pPr>
        <w:pStyle w:val="BodyText1"/>
        <w:rPr>
          <w:u w:val="single"/>
          <w:lang w:val="en-GB"/>
        </w:rPr>
      </w:pPr>
      <w:r w:rsidRPr="00103537">
        <w:rPr>
          <w:u w:val="single"/>
          <w:lang w:val="en-GB"/>
        </w:rPr>
        <w:t>Training requirements</w:t>
      </w:r>
    </w:p>
    <w:p w:rsidR="00103537" w:rsidRPr="00103537" w:rsidRDefault="00103537" w:rsidP="00103537">
      <w:pPr>
        <w:pStyle w:val="BodyText1"/>
      </w:pPr>
      <w:r w:rsidRPr="00103537">
        <w:t>Red: Can only be administered by a health professional who needs to have undertaken specific course/s and/or scoring requires specialised services.</w:t>
      </w:r>
    </w:p>
    <w:p w:rsidR="00103537" w:rsidRPr="00103537" w:rsidRDefault="00103537" w:rsidP="00103537">
      <w:pPr>
        <w:pStyle w:val="BodyText1"/>
      </w:pPr>
      <w:r w:rsidRPr="00103537">
        <w:t>Amber: Needs to be administered by health professionals, but with minimal training</w:t>
      </w:r>
    </w:p>
    <w:p w:rsidR="00103537" w:rsidRPr="00103537" w:rsidRDefault="00103537" w:rsidP="00103537">
      <w:pPr>
        <w:pStyle w:val="BodyText1"/>
      </w:pPr>
      <w:r w:rsidRPr="00103537">
        <w:t>Green: Can be self-administered by care recipients.</w:t>
      </w:r>
    </w:p>
    <w:p w:rsidR="00103537" w:rsidRPr="00103537" w:rsidRDefault="00103537" w:rsidP="00103537">
      <w:pPr>
        <w:pStyle w:val="BodyText1"/>
        <w:rPr>
          <w:b/>
          <w:lang w:val="en-GB"/>
        </w:rPr>
      </w:pPr>
      <w:r w:rsidRPr="00103537">
        <w:rPr>
          <w:b/>
          <w:lang w:val="en-GB"/>
        </w:rPr>
        <w:t>Summary of the evidence of alternative metrics across specific domains</w:t>
      </w:r>
    </w:p>
    <w:p w:rsidR="00103537" w:rsidRPr="00103537" w:rsidRDefault="00103537" w:rsidP="00103537">
      <w:pPr>
        <w:pStyle w:val="BodyText1"/>
        <w:rPr>
          <w:b/>
          <w:lang w:val="en-GB"/>
        </w:rPr>
      </w:pPr>
      <w:r w:rsidRPr="00103537">
        <w:rPr>
          <w:b/>
          <w:lang w:val="en-GB"/>
        </w:rPr>
        <w:t>MBI</w:t>
      </w:r>
      <w:r w:rsidRPr="00103537">
        <w:rPr>
          <w:rStyle w:val="FootnoteReference"/>
          <w:rFonts w:eastAsia="Calibri" w:cs="Times New Roman"/>
          <w:b/>
          <w:sz w:val="18"/>
          <w:szCs w:val="18"/>
          <w:lang w:val="en-GB"/>
        </w:rPr>
        <w:footnoteReference w:id="61"/>
      </w:r>
      <w:r w:rsidRPr="00103537">
        <w:rPr>
          <w:b/>
          <w:vertAlign w:val="superscript"/>
          <w:lang w:val="en-GB"/>
        </w:rPr>
        <w:t>,</w:t>
      </w:r>
      <w:r w:rsidRPr="00103537">
        <w:rPr>
          <w:rStyle w:val="FootnoteReference"/>
          <w:rFonts w:eastAsia="Calibri" w:cs="Times New Roman"/>
          <w:b/>
          <w:sz w:val="18"/>
          <w:szCs w:val="18"/>
          <w:lang w:val="en-GB"/>
        </w:rPr>
        <w:footnoteReference w:id="62"/>
      </w:r>
      <w:r w:rsidRPr="00103537">
        <w:rPr>
          <w:b/>
          <w:vertAlign w:val="superscript"/>
          <w:lang w:val="en-GB"/>
        </w:rPr>
        <w:t>,</w:t>
      </w:r>
      <w:r w:rsidRPr="00103537">
        <w:rPr>
          <w:rStyle w:val="FootnoteReference"/>
          <w:rFonts w:eastAsia="Calibri" w:cs="Times New Roman"/>
          <w:b/>
          <w:sz w:val="18"/>
          <w:szCs w:val="18"/>
          <w:lang w:val="en-GB"/>
        </w:rPr>
        <w:footnoteReference w:id="63"/>
      </w:r>
      <w:r w:rsidRPr="00103537">
        <w:rPr>
          <w:b/>
          <w:vertAlign w:val="superscript"/>
          <w:lang w:val="en-GB"/>
        </w:rPr>
        <w:t>,</w:t>
      </w:r>
      <w:r w:rsidRPr="00103537">
        <w:rPr>
          <w:rStyle w:val="FootnoteReference"/>
          <w:rFonts w:eastAsia="Calibri" w:cs="Times New Roman"/>
          <w:b/>
          <w:sz w:val="18"/>
          <w:szCs w:val="18"/>
          <w:lang w:val="en-GB"/>
        </w:rPr>
        <w:footnoteReference w:id="64"/>
      </w:r>
    </w:p>
    <w:p w:rsidR="00103537" w:rsidRPr="00103537" w:rsidRDefault="00103537" w:rsidP="00103537">
      <w:pPr>
        <w:rPr>
          <w:u w:val="single"/>
          <w:lang w:val="en-GB"/>
        </w:rPr>
      </w:pPr>
      <w:r w:rsidRPr="00103537">
        <w:rPr>
          <w:u w:val="single"/>
          <w:lang w:val="en-GB"/>
        </w:rPr>
        <w:t>Summary</w:t>
      </w:r>
    </w:p>
    <w:p w:rsidR="00103537" w:rsidRDefault="00103537" w:rsidP="00103537">
      <w:pPr>
        <w:rPr>
          <w:lang w:val="en-GB"/>
        </w:rPr>
      </w:pPr>
      <w:r w:rsidRPr="00103537">
        <w:rPr>
          <w:lang w:val="en-GB"/>
        </w:rPr>
        <w:t>Assesses functional performance of activities of daily living (ADLs), and predicts clinical outcomes and quality of life.</w:t>
      </w:r>
    </w:p>
    <w:p w:rsidR="00103537" w:rsidRPr="00103537" w:rsidRDefault="00103537" w:rsidP="00103537">
      <w:pPr>
        <w:rPr>
          <w:u w:val="single"/>
          <w:lang w:val="en-GB"/>
        </w:rPr>
      </w:pPr>
      <w:r w:rsidRPr="00103537">
        <w:rPr>
          <w:u w:val="single"/>
          <w:lang w:val="en-GB"/>
        </w:rPr>
        <w:t>Time to administer</w:t>
      </w:r>
    </w:p>
    <w:p w:rsidR="00103537" w:rsidRDefault="00103537" w:rsidP="00103537">
      <w:pPr>
        <w:rPr>
          <w:lang w:val="en-GB"/>
        </w:rPr>
      </w:pPr>
      <w:r>
        <w:rPr>
          <w:lang w:val="en-GB"/>
        </w:rPr>
        <w:t>GREEN</w:t>
      </w:r>
    </w:p>
    <w:p w:rsidR="00103537" w:rsidRPr="00103537" w:rsidRDefault="00103537" w:rsidP="00103537">
      <w:pPr>
        <w:rPr>
          <w:lang w:val="en-GB"/>
        </w:rPr>
      </w:pPr>
      <w:r w:rsidRPr="00103537">
        <w:rPr>
          <w:lang w:val="en-GB"/>
        </w:rPr>
        <w:t>2-5 minutes by a health professional, 5 minutes minimum if observational method used.</w:t>
      </w:r>
    </w:p>
    <w:p w:rsidR="00103537" w:rsidRDefault="00103537" w:rsidP="00103537">
      <w:pPr>
        <w:rPr>
          <w:lang w:val="en-GB"/>
        </w:rPr>
      </w:pPr>
      <w:r w:rsidRPr="00103537">
        <w:rPr>
          <w:lang w:val="en-GB"/>
        </w:rPr>
        <w:t>Self-administration approximately 10 minutes.</w:t>
      </w:r>
    </w:p>
    <w:p w:rsidR="00103537" w:rsidRPr="00103537" w:rsidRDefault="00103537" w:rsidP="00103537">
      <w:pPr>
        <w:rPr>
          <w:u w:val="single"/>
          <w:lang w:val="en-GB"/>
        </w:rPr>
      </w:pPr>
      <w:r w:rsidRPr="00103537">
        <w:rPr>
          <w:u w:val="single"/>
          <w:lang w:val="en-GB"/>
        </w:rPr>
        <w:t xml:space="preserve">Validity </w:t>
      </w:r>
    </w:p>
    <w:p w:rsidR="00103537" w:rsidRDefault="00103537" w:rsidP="00103537">
      <w:pPr>
        <w:rPr>
          <w:lang w:val="en-GB"/>
        </w:rPr>
      </w:pPr>
      <w:r>
        <w:rPr>
          <w:lang w:val="en-GB"/>
        </w:rPr>
        <w:t>GREEN</w:t>
      </w:r>
    </w:p>
    <w:p w:rsidR="00103537" w:rsidRDefault="00103537" w:rsidP="00103537">
      <w:pPr>
        <w:rPr>
          <w:lang w:val="en-GB"/>
        </w:rPr>
      </w:pPr>
      <w:r w:rsidRPr="00103537">
        <w:rPr>
          <w:lang w:val="en-GB"/>
        </w:rPr>
        <w:t>15-item MBI is valid for measuring and monitoring functional independence.</w:t>
      </w:r>
    </w:p>
    <w:p w:rsidR="00103537" w:rsidRPr="00103537" w:rsidRDefault="00103537" w:rsidP="00103537">
      <w:pPr>
        <w:rPr>
          <w:u w:val="single"/>
          <w:lang w:val="en-GB"/>
        </w:rPr>
      </w:pPr>
      <w:r w:rsidRPr="00103537">
        <w:rPr>
          <w:u w:val="single"/>
          <w:lang w:val="en-GB"/>
        </w:rPr>
        <w:t>Reliability</w:t>
      </w:r>
    </w:p>
    <w:p w:rsidR="00103537" w:rsidRDefault="00103537" w:rsidP="00103537">
      <w:pPr>
        <w:rPr>
          <w:lang w:val="en-GB"/>
        </w:rPr>
      </w:pPr>
      <w:r>
        <w:rPr>
          <w:lang w:val="en-GB"/>
        </w:rPr>
        <w:t>GREEN</w:t>
      </w:r>
    </w:p>
    <w:p w:rsidR="00103537" w:rsidRDefault="00103537" w:rsidP="00103537">
      <w:pPr>
        <w:rPr>
          <w:lang w:val="en-GB"/>
        </w:rPr>
      </w:pPr>
      <w:r w:rsidRPr="00103537">
        <w:rPr>
          <w:lang w:val="en-GB"/>
        </w:rPr>
        <w:t>There are a range of Modified Barthel Indices, but, the 15-item MBI has been demonstrated to be reliable when administered face to face, by telephone and by different observers.</w:t>
      </w:r>
    </w:p>
    <w:p w:rsidR="00103537" w:rsidRPr="00103537" w:rsidRDefault="00103537" w:rsidP="00103537">
      <w:pPr>
        <w:rPr>
          <w:u w:val="single"/>
          <w:lang w:val="en-GB"/>
        </w:rPr>
      </w:pPr>
      <w:r w:rsidRPr="00103537">
        <w:rPr>
          <w:u w:val="single"/>
          <w:lang w:val="en-GB"/>
        </w:rPr>
        <w:t>Training requirements</w:t>
      </w:r>
    </w:p>
    <w:p w:rsidR="00103537" w:rsidRDefault="00103537" w:rsidP="00103537">
      <w:pPr>
        <w:rPr>
          <w:lang w:val="en-GB"/>
        </w:rPr>
      </w:pPr>
      <w:r>
        <w:rPr>
          <w:lang w:val="en-GB"/>
        </w:rPr>
        <w:t>GREEN</w:t>
      </w:r>
    </w:p>
    <w:p w:rsidR="00103537" w:rsidRDefault="00103537" w:rsidP="00103537">
      <w:pPr>
        <w:rPr>
          <w:lang w:val="en-GB"/>
        </w:rPr>
      </w:pPr>
      <w:r w:rsidRPr="00103537">
        <w:rPr>
          <w:lang w:val="en-GB"/>
        </w:rPr>
        <w:t>Questionnaire is self-explanatory.</w:t>
      </w:r>
    </w:p>
    <w:p w:rsidR="00103537" w:rsidRPr="00103537" w:rsidRDefault="00103537" w:rsidP="00103537">
      <w:pPr>
        <w:rPr>
          <w:u w:val="single"/>
          <w:lang w:val="en-GB"/>
        </w:rPr>
      </w:pPr>
      <w:r w:rsidRPr="00103537">
        <w:rPr>
          <w:u w:val="single"/>
          <w:lang w:val="en-GB"/>
        </w:rPr>
        <w:t>Potential application</w:t>
      </w:r>
    </w:p>
    <w:p w:rsidR="000B54DC" w:rsidRDefault="00103537" w:rsidP="000B1D40">
      <w:pPr>
        <w:pStyle w:val="BodyText1"/>
        <w:rPr>
          <w:lang w:val="en-GB"/>
        </w:rPr>
      </w:pPr>
      <w:r w:rsidRPr="00103537">
        <w:rPr>
          <w:lang w:val="en-GB"/>
        </w:rPr>
        <w:t>Can be used to monitor the impact of the TCP on physical function, comparing scores on entry and exit.</w:t>
      </w:r>
    </w:p>
    <w:p w:rsidR="00103537" w:rsidRPr="00103537" w:rsidRDefault="00103537" w:rsidP="000B1D40">
      <w:pPr>
        <w:pStyle w:val="BodyText1"/>
        <w:rPr>
          <w:b/>
          <w:lang w:val="en-GB"/>
        </w:rPr>
      </w:pPr>
      <w:r w:rsidRPr="00103537">
        <w:rPr>
          <w:b/>
          <w:bCs/>
          <w:lang w:val="en-GB"/>
        </w:rPr>
        <w:t>EADL</w:t>
      </w:r>
      <w:r w:rsidRPr="00103537">
        <w:rPr>
          <w:b/>
          <w:bCs/>
          <w:vertAlign w:val="superscript"/>
          <w:lang w:val="en-GB"/>
        </w:rPr>
        <w:footnoteReference w:id="65"/>
      </w:r>
      <w:r w:rsidRPr="00103537">
        <w:rPr>
          <w:b/>
          <w:bCs/>
          <w:vertAlign w:val="superscript"/>
          <w:lang w:val="en-GB"/>
        </w:rPr>
        <w:t>,</w:t>
      </w:r>
      <w:r w:rsidRPr="00103537">
        <w:rPr>
          <w:b/>
          <w:bCs/>
          <w:vertAlign w:val="superscript"/>
          <w:lang w:val="en-GB"/>
        </w:rPr>
        <w:footnoteReference w:id="66"/>
      </w:r>
    </w:p>
    <w:p w:rsidR="00103537" w:rsidRPr="00103537" w:rsidRDefault="00103537" w:rsidP="000B1D40">
      <w:pPr>
        <w:pStyle w:val="BodyText1"/>
        <w:rPr>
          <w:u w:val="single"/>
          <w:lang w:val="en-GB"/>
        </w:rPr>
      </w:pPr>
      <w:r w:rsidRPr="00103537">
        <w:rPr>
          <w:u w:val="single"/>
          <w:lang w:val="en-GB"/>
        </w:rPr>
        <w:t>Summary</w:t>
      </w:r>
    </w:p>
    <w:p w:rsidR="00103537" w:rsidRDefault="00EA1BE6" w:rsidP="000B1D40">
      <w:pPr>
        <w:pStyle w:val="BodyText1"/>
        <w:rPr>
          <w:lang w:val="en-GB"/>
        </w:rPr>
      </w:pPr>
      <w:r w:rsidRPr="00EA1BE6">
        <w:rPr>
          <w:lang w:val="en-GB"/>
        </w:rPr>
        <w:t>Assesses 4 subscales across mobility, kitchen tasks, domestic tasks and leisure.</w:t>
      </w:r>
    </w:p>
    <w:p w:rsidR="00103537" w:rsidRPr="00103537" w:rsidRDefault="00103537" w:rsidP="000B1D40">
      <w:pPr>
        <w:pStyle w:val="BodyText1"/>
        <w:rPr>
          <w:u w:val="single"/>
          <w:lang w:val="en-GB"/>
        </w:rPr>
      </w:pPr>
      <w:r w:rsidRPr="00103537">
        <w:rPr>
          <w:u w:val="single"/>
          <w:lang w:val="en-GB"/>
        </w:rPr>
        <w:t>Time to administer</w:t>
      </w:r>
    </w:p>
    <w:p w:rsidR="00103537" w:rsidRDefault="006D1BA9" w:rsidP="000B1D40">
      <w:pPr>
        <w:pStyle w:val="BodyText1"/>
        <w:rPr>
          <w:lang w:val="en-GB"/>
        </w:rPr>
      </w:pPr>
      <w:r>
        <w:rPr>
          <w:lang w:val="en-GB"/>
        </w:rPr>
        <w:t>GREEN</w:t>
      </w:r>
    </w:p>
    <w:p w:rsidR="006D1BA9" w:rsidRDefault="006D1BA9" w:rsidP="000B1D40">
      <w:pPr>
        <w:pStyle w:val="BodyText1"/>
        <w:rPr>
          <w:lang w:val="en-GB"/>
        </w:rPr>
      </w:pPr>
      <w:r w:rsidRPr="006D1BA9">
        <w:rPr>
          <w:lang w:val="en-GB"/>
        </w:rPr>
        <w:t>5 minutes.</w:t>
      </w:r>
    </w:p>
    <w:p w:rsidR="00103537" w:rsidRPr="00103537" w:rsidRDefault="00103537" w:rsidP="000B1D40">
      <w:pPr>
        <w:pStyle w:val="BodyText1"/>
        <w:rPr>
          <w:u w:val="single"/>
          <w:lang w:val="en-GB"/>
        </w:rPr>
      </w:pPr>
      <w:r w:rsidRPr="00103537">
        <w:rPr>
          <w:u w:val="single"/>
          <w:lang w:val="en-GB"/>
        </w:rPr>
        <w:t>Validity</w:t>
      </w:r>
    </w:p>
    <w:p w:rsidR="00103537" w:rsidRDefault="006D1BA9" w:rsidP="000B1D40">
      <w:pPr>
        <w:pStyle w:val="BodyText1"/>
        <w:rPr>
          <w:lang w:val="en-GB"/>
        </w:rPr>
      </w:pPr>
      <w:r>
        <w:rPr>
          <w:lang w:val="en-GB"/>
        </w:rPr>
        <w:t>GREEN</w:t>
      </w:r>
    </w:p>
    <w:p w:rsidR="006D1BA9" w:rsidRDefault="006D1BA9" w:rsidP="000B1D40">
      <w:pPr>
        <w:pStyle w:val="BodyText1"/>
        <w:rPr>
          <w:lang w:val="en-GB"/>
        </w:rPr>
      </w:pPr>
      <w:r w:rsidRPr="006D1BA9">
        <w:rPr>
          <w:lang w:val="en-GB"/>
        </w:rPr>
        <w:t>Compared to formal assessments of functional abilities, the EADL was more cost and time effective. EADL has been validated as a postal questionnaire used in stroke rehabilitation.</w:t>
      </w:r>
    </w:p>
    <w:p w:rsidR="00103537" w:rsidRPr="00103537" w:rsidRDefault="00103537" w:rsidP="000B1D40">
      <w:pPr>
        <w:pStyle w:val="BodyText1"/>
        <w:rPr>
          <w:u w:val="single"/>
          <w:lang w:val="en-GB"/>
        </w:rPr>
      </w:pPr>
      <w:r w:rsidRPr="00103537">
        <w:rPr>
          <w:u w:val="single"/>
          <w:lang w:val="en-GB"/>
        </w:rPr>
        <w:t>Reliability</w:t>
      </w:r>
    </w:p>
    <w:p w:rsidR="00103537" w:rsidRDefault="006D1BA9" w:rsidP="000B1D40">
      <w:pPr>
        <w:pStyle w:val="BodyText1"/>
        <w:rPr>
          <w:lang w:val="en-GB"/>
        </w:rPr>
      </w:pPr>
      <w:r>
        <w:rPr>
          <w:lang w:val="en-GB"/>
        </w:rPr>
        <w:t>AMBER</w:t>
      </w:r>
    </w:p>
    <w:p w:rsidR="006D1BA9" w:rsidRDefault="006D1BA9" w:rsidP="000B1D40">
      <w:pPr>
        <w:pStyle w:val="BodyText1"/>
        <w:rPr>
          <w:lang w:val="en-GB"/>
        </w:rPr>
      </w:pPr>
      <w:r w:rsidRPr="006D1BA9">
        <w:rPr>
          <w:lang w:val="en-GB"/>
        </w:rPr>
        <w:t>Among multiple sclerosis care recipients, internal consistency is good and test-retest reliability satisfactory.</w:t>
      </w:r>
    </w:p>
    <w:p w:rsidR="00103537" w:rsidRPr="00103537" w:rsidRDefault="00103537" w:rsidP="000B1D40">
      <w:pPr>
        <w:pStyle w:val="BodyText1"/>
        <w:rPr>
          <w:u w:val="single"/>
          <w:lang w:val="en-GB"/>
        </w:rPr>
      </w:pPr>
      <w:r w:rsidRPr="00103537">
        <w:rPr>
          <w:u w:val="single"/>
          <w:lang w:val="en-GB"/>
        </w:rPr>
        <w:t>Training requirements</w:t>
      </w:r>
    </w:p>
    <w:p w:rsidR="00103537" w:rsidRDefault="006D1BA9" w:rsidP="000B1D40">
      <w:pPr>
        <w:pStyle w:val="BodyText1"/>
        <w:rPr>
          <w:lang w:val="en-GB"/>
        </w:rPr>
      </w:pPr>
      <w:r>
        <w:rPr>
          <w:lang w:val="en-GB"/>
        </w:rPr>
        <w:t>GREEN</w:t>
      </w:r>
    </w:p>
    <w:p w:rsidR="006D1BA9" w:rsidRDefault="006D1BA9" w:rsidP="000B1D40">
      <w:pPr>
        <w:pStyle w:val="BodyText1"/>
        <w:rPr>
          <w:lang w:val="en-GB"/>
        </w:rPr>
      </w:pPr>
      <w:r w:rsidRPr="006D1BA9">
        <w:rPr>
          <w:lang w:val="en-GB"/>
        </w:rPr>
        <w:t>Can be self-administered by care recipients and sent via post.</w:t>
      </w:r>
    </w:p>
    <w:p w:rsidR="00103537" w:rsidRPr="00103537" w:rsidRDefault="00103537" w:rsidP="000B1D40">
      <w:pPr>
        <w:pStyle w:val="BodyText1"/>
        <w:rPr>
          <w:u w:val="single"/>
          <w:lang w:val="en-GB"/>
        </w:rPr>
      </w:pPr>
      <w:r w:rsidRPr="00103537">
        <w:rPr>
          <w:u w:val="single"/>
          <w:lang w:val="en-GB"/>
        </w:rPr>
        <w:t>Potential application</w:t>
      </w:r>
    </w:p>
    <w:p w:rsidR="00EA1BE6" w:rsidRDefault="006D1BA9" w:rsidP="000B1D40">
      <w:pPr>
        <w:pStyle w:val="BodyText1"/>
        <w:rPr>
          <w:bCs/>
          <w:szCs w:val="20"/>
          <w:lang w:val="en-GB"/>
        </w:rPr>
      </w:pPr>
      <w:r w:rsidRPr="006D1BA9">
        <w:rPr>
          <w:bCs/>
          <w:szCs w:val="20"/>
          <w:lang w:val="en-GB"/>
        </w:rPr>
        <w:t>Can be used as part of a suite of measures to assess physical function, and provides an alternative that can be administered remotely.</w:t>
      </w:r>
    </w:p>
    <w:p w:rsidR="00103537" w:rsidRDefault="00103537" w:rsidP="000B1D40">
      <w:pPr>
        <w:pStyle w:val="BodyText1"/>
        <w:rPr>
          <w:b/>
          <w:bCs/>
          <w:szCs w:val="20"/>
          <w:vertAlign w:val="superscript"/>
          <w:lang w:val="en-GB"/>
        </w:rPr>
      </w:pPr>
      <w:r w:rsidRPr="00EA1BE6">
        <w:rPr>
          <w:b/>
          <w:bCs/>
          <w:szCs w:val="20"/>
          <w:lang w:val="en-GB"/>
        </w:rPr>
        <w:t>CBMS</w:t>
      </w:r>
      <w:r w:rsidRPr="00EA1BE6">
        <w:rPr>
          <w:b/>
          <w:bCs/>
          <w:szCs w:val="20"/>
          <w:vertAlign w:val="superscript"/>
          <w:lang w:val="en-GB"/>
        </w:rPr>
        <w:footnoteReference w:id="67"/>
      </w:r>
      <w:r w:rsidRPr="00EA1BE6">
        <w:rPr>
          <w:b/>
          <w:bCs/>
          <w:szCs w:val="20"/>
          <w:vertAlign w:val="superscript"/>
          <w:lang w:val="en-GB"/>
        </w:rPr>
        <w:t>,</w:t>
      </w:r>
      <w:r w:rsidRPr="00EA1BE6">
        <w:rPr>
          <w:b/>
          <w:bCs/>
          <w:szCs w:val="20"/>
          <w:vertAlign w:val="superscript"/>
          <w:lang w:val="en-GB"/>
        </w:rPr>
        <w:footnoteReference w:id="68"/>
      </w:r>
    </w:p>
    <w:p w:rsidR="00EA1BE6" w:rsidRPr="00103537" w:rsidRDefault="00EA1BE6" w:rsidP="00EA1BE6">
      <w:pPr>
        <w:pStyle w:val="BodyText1"/>
        <w:rPr>
          <w:u w:val="single"/>
          <w:lang w:val="en-GB"/>
        </w:rPr>
      </w:pPr>
      <w:r w:rsidRPr="00103537">
        <w:rPr>
          <w:u w:val="single"/>
          <w:lang w:val="en-GB"/>
        </w:rPr>
        <w:t>Summary</w:t>
      </w:r>
    </w:p>
    <w:p w:rsidR="00EA1BE6" w:rsidRDefault="006D1BA9" w:rsidP="00EA1BE6">
      <w:pPr>
        <w:pStyle w:val="BodyText1"/>
        <w:rPr>
          <w:lang w:val="en-GB"/>
        </w:rPr>
      </w:pPr>
      <w:r w:rsidRPr="006D1BA9">
        <w:rPr>
          <w:lang w:val="en-GB"/>
        </w:rPr>
        <w:t>Assesses postural instability, motor skills, balance and mobility status in an ambulatory adults returning to the community following an intervention for the management of traumatic brain injury.</w:t>
      </w:r>
    </w:p>
    <w:p w:rsidR="00EA1BE6" w:rsidRPr="00103537" w:rsidRDefault="00EA1BE6" w:rsidP="00EA1BE6">
      <w:pPr>
        <w:pStyle w:val="BodyText1"/>
        <w:rPr>
          <w:u w:val="single"/>
          <w:lang w:val="en-GB"/>
        </w:rPr>
      </w:pPr>
      <w:r w:rsidRPr="00103537">
        <w:rPr>
          <w:u w:val="single"/>
          <w:lang w:val="en-GB"/>
        </w:rPr>
        <w:t>Time to administer</w:t>
      </w:r>
    </w:p>
    <w:p w:rsidR="00EA1BE6" w:rsidRDefault="006D1BA9" w:rsidP="006D1BA9">
      <w:pPr>
        <w:pStyle w:val="BodyText1"/>
        <w:rPr>
          <w:lang w:val="en-GB"/>
        </w:rPr>
      </w:pPr>
      <w:r>
        <w:rPr>
          <w:lang w:val="en-GB"/>
        </w:rPr>
        <w:t>RED</w:t>
      </w:r>
    </w:p>
    <w:p w:rsidR="006D1BA9" w:rsidRDefault="006D1BA9" w:rsidP="006D1BA9">
      <w:pPr>
        <w:pStyle w:val="BodyText1"/>
        <w:rPr>
          <w:lang w:val="en-GB"/>
        </w:rPr>
      </w:pPr>
      <w:r w:rsidRPr="006D1BA9">
        <w:rPr>
          <w:lang w:val="en-GB"/>
        </w:rPr>
        <w:t>20-30 minutes depending on the care recipient’s ability.</w:t>
      </w:r>
    </w:p>
    <w:p w:rsidR="00EA1BE6" w:rsidRPr="00103537" w:rsidRDefault="00EA1BE6" w:rsidP="00EA1BE6">
      <w:pPr>
        <w:pStyle w:val="BodyText1"/>
        <w:rPr>
          <w:u w:val="single"/>
          <w:lang w:val="en-GB"/>
        </w:rPr>
      </w:pPr>
      <w:r w:rsidRPr="00103537">
        <w:rPr>
          <w:u w:val="single"/>
          <w:lang w:val="en-GB"/>
        </w:rPr>
        <w:t>Validity</w:t>
      </w:r>
    </w:p>
    <w:p w:rsidR="00EA1BE6" w:rsidRDefault="006D1BA9" w:rsidP="00EA1BE6">
      <w:pPr>
        <w:pStyle w:val="BodyText1"/>
        <w:rPr>
          <w:lang w:val="en-GB"/>
        </w:rPr>
      </w:pPr>
      <w:r>
        <w:rPr>
          <w:lang w:val="en-GB"/>
        </w:rPr>
        <w:t>AMBER</w:t>
      </w:r>
    </w:p>
    <w:p w:rsidR="006D1BA9" w:rsidRDefault="006D1BA9" w:rsidP="00EA1BE6">
      <w:pPr>
        <w:pStyle w:val="BodyText1"/>
        <w:rPr>
          <w:lang w:val="en-GB"/>
        </w:rPr>
      </w:pPr>
      <w:r w:rsidRPr="006D1BA9">
        <w:rPr>
          <w:lang w:val="en-GB"/>
        </w:rPr>
        <w:t>CBMS is valid at predicting rehabilitation requirements following traumatic brain injury.</w:t>
      </w:r>
    </w:p>
    <w:p w:rsidR="00EA1BE6" w:rsidRPr="00103537" w:rsidRDefault="00EA1BE6" w:rsidP="00EA1BE6">
      <w:pPr>
        <w:pStyle w:val="BodyText1"/>
        <w:rPr>
          <w:u w:val="single"/>
          <w:lang w:val="en-GB"/>
        </w:rPr>
      </w:pPr>
      <w:r w:rsidRPr="00103537">
        <w:rPr>
          <w:u w:val="single"/>
          <w:lang w:val="en-GB"/>
        </w:rPr>
        <w:t>Reliability</w:t>
      </w:r>
    </w:p>
    <w:p w:rsidR="00EA1BE6" w:rsidRDefault="006D1BA9" w:rsidP="00EA1BE6">
      <w:pPr>
        <w:pStyle w:val="BodyText1"/>
        <w:rPr>
          <w:lang w:val="en-GB"/>
        </w:rPr>
      </w:pPr>
      <w:r>
        <w:rPr>
          <w:lang w:val="en-GB"/>
        </w:rPr>
        <w:t>GREEN</w:t>
      </w:r>
    </w:p>
    <w:p w:rsidR="006D1BA9" w:rsidRDefault="006D1BA9" w:rsidP="00EA1BE6">
      <w:pPr>
        <w:pStyle w:val="BodyText1"/>
        <w:rPr>
          <w:lang w:val="en-GB"/>
        </w:rPr>
      </w:pPr>
      <w:r w:rsidRPr="006D1BA9">
        <w:rPr>
          <w:lang w:val="en-GB"/>
        </w:rPr>
        <w:t>CBMS has high intra-, inter- and test-retest reliability.</w:t>
      </w:r>
    </w:p>
    <w:p w:rsidR="00EA1BE6" w:rsidRPr="00103537" w:rsidRDefault="00EA1BE6" w:rsidP="00EA1BE6">
      <w:pPr>
        <w:pStyle w:val="BodyText1"/>
        <w:rPr>
          <w:u w:val="single"/>
          <w:lang w:val="en-GB"/>
        </w:rPr>
      </w:pPr>
      <w:r w:rsidRPr="00103537">
        <w:rPr>
          <w:u w:val="single"/>
          <w:lang w:val="en-GB"/>
        </w:rPr>
        <w:t>Training requirements</w:t>
      </w:r>
    </w:p>
    <w:p w:rsidR="00EA1BE6" w:rsidRDefault="006D1BA9" w:rsidP="00EA1BE6">
      <w:pPr>
        <w:pStyle w:val="BodyText1"/>
        <w:rPr>
          <w:lang w:val="en-GB"/>
        </w:rPr>
      </w:pPr>
      <w:r>
        <w:rPr>
          <w:lang w:val="en-GB"/>
        </w:rPr>
        <w:t>AMBER</w:t>
      </w:r>
    </w:p>
    <w:p w:rsidR="006D1BA9" w:rsidRDefault="006D1BA9" w:rsidP="00EA1BE6">
      <w:pPr>
        <w:pStyle w:val="BodyText1"/>
        <w:rPr>
          <w:lang w:val="en-GB"/>
        </w:rPr>
      </w:pPr>
      <w:r w:rsidRPr="006D1BA9">
        <w:rPr>
          <w:lang w:val="en-GB"/>
        </w:rPr>
        <w:t>Does not require specific training, but therapists should understand the tool and its use.</w:t>
      </w:r>
    </w:p>
    <w:p w:rsidR="00EA1BE6" w:rsidRDefault="00EA1BE6" w:rsidP="00EA1BE6">
      <w:pPr>
        <w:pStyle w:val="BodyText1"/>
        <w:rPr>
          <w:u w:val="single"/>
          <w:lang w:val="en-GB"/>
        </w:rPr>
      </w:pPr>
      <w:r w:rsidRPr="00103537">
        <w:rPr>
          <w:u w:val="single"/>
          <w:lang w:val="en-GB"/>
        </w:rPr>
        <w:t>Potential application</w:t>
      </w:r>
    </w:p>
    <w:p w:rsidR="006D1BA9" w:rsidRDefault="006D1BA9" w:rsidP="000B1D40">
      <w:pPr>
        <w:pStyle w:val="BodyText1"/>
        <w:rPr>
          <w:lang w:val="en-GB"/>
        </w:rPr>
      </w:pPr>
      <w:r w:rsidRPr="006D1BA9">
        <w:rPr>
          <w:lang w:val="en-GB"/>
        </w:rPr>
        <w:t>Potential to assess rehabilitation requirements prior to entry into the TCP among specific care recipient cohorts.</w:t>
      </w:r>
    </w:p>
    <w:p w:rsidR="00103537" w:rsidRPr="00EA1BE6" w:rsidRDefault="00103537" w:rsidP="000B1D40">
      <w:pPr>
        <w:pStyle w:val="BodyText1"/>
        <w:rPr>
          <w:b/>
          <w:szCs w:val="20"/>
          <w:vertAlign w:val="superscript"/>
          <w:lang w:val="en-GB"/>
        </w:rPr>
      </w:pPr>
      <w:r w:rsidRPr="00EA1BE6">
        <w:rPr>
          <w:b/>
          <w:szCs w:val="20"/>
          <w:lang w:val="en-GB"/>
        </w:rPr>
        <w:t>FIM + FAM</w:t>
      </w:r>
      <w:r w:rsidRPr="00EA1BE6">
        <w:rPr>
          <w:b/>
          <w:szCs w:val="20"/>
          <w:vertAlign w:val="superscript"/>
          <w:lang w:val="en-GB"/>
        </w:rPr>
        <w:footnoteReference w:id="69"/>
      </w:r>
      <w:r w:rsidRPr="00EA1BE6">
        <w:rPr>
          <w:b/>
          <w:szCs w:val="20"/>
          <w:vertAlign w:val="superscript"/>
          <w:lang w:val="en-GB"/>
        </w:rPr>
        <w:t>,</w:t>
      </w:r>
      <w:r w:rsidRPr="00EA1BE6">
        <w:rPr>
          <w:b/>
          <w:szCs w:val="20"/>
          <w:vertAlign w:val="superscript"/>
          <w:lang w:val="en-GB"/>
        </w:rPr>
        <w:footnoteReference w:id="70"/>
      </w:r>
      <w:r w:rsidRPr="00EA1BE6">
        <w:rPr>
          <w:b/>
          <w:szCs w:val="20"/>
          <w:vertAlign w:val="superscript"/>
          <w:lang w:val="en-GB"/>
        </w:rPr>
        <w:t>,</w:t>
      </w:r>
      <w:r w:rsidRPr="00EA1BE6">
        <w:rPr>
          <w:b/>
          <w:szCs w:val="20"/>
          <w:vertAlign w:val="superscript"/>
          <w:lang w:val="en-GB"/>
        </w:rPr>
        <w:footnoteReference w:id="71"/>
      </w:r>
      <w:r w:rsidRPr="00EA1BE6">
        <w:rPr>
          <w:b/>
          <w:szCs w:val="20"/>
          <w:vertAlign w:val="superscript"/>
          <w:lang w:val="en-GB"/>
        </w:rPr>
        <w:t xml:space="preserve">, </w:t>
      </w:r>
      <w:r w:rsidRPr="00EA1BE6">
        <w:rPr>
          <w:b/>
          <w:szCs w:val="20"/>
          <w:vertAlign w:val="superscript"/>
          <w:lang w:val="en-GB"/>
        </w:rPr>
        <w:footnoteReference w:id="72"/>
      </w:r>
      <w:r w:rsidRPr="00EA1BE6">
        <w:rPr>
          <w:b/>
          <w:szCs w:val="20"/>
          <w:vertAlign w:val="superscript"/>
          <w:lang w:val="en-GB"/>
        </w:rPr>
        <w:t xml:space="preserve">, </w:t>
      </w:r>
      <w:r w:rsidRPr="00EA1BE6">
        <w:rPr>
          <w:b/>
          <w:szCs w:val="20"/>
          <w:vertAlign w:val="superscript"/>
          <w:lang w:val="en-GB"/>
        </w:rPr>
        <w:footnoteReference w:id="73"/>
      </w:r>
      <w:r w:rsidRPr="00EA1BE6">
        <w:rPr>
          <w:b/>
          <w:szCs w:val="20"/>
          <w:vertAlign w:val="superscript"/>
          <w:lang w:val="en-GB"/>
        </w:rPr>
        <w:t>,</w:t>
      </w:r>
      <w:r w:rsidRPr="00EA1BE6">
        <w:rPr>
          <w:b/>
          <w:szCs w:val="20"/>
          <w:vertAlign w:val="superscript"/>
          <w:lang w:val="en-GB"/>
        </w:rPr>
        <w:footnoteReference w:id="74"/>
      </w:r>
      <w:r w:rsidRPr="00EA1BE6">
        <w:rPr>
          <w:b/>
          <w:szCs w:val="20"/>
          <w:vertAlign w:val="superscript"/>
          <w:lang w:val="en-GB"/>
        </w:rPr>
        <w:t xml:space="preserve">, </w:t>
      </w:r>
      <w:r w:rsidRPr="00EA1BE6">
        <w:rPr>
          <w:b/>
          <w:szCs w:val="20"/>
          <w:vertAlign w:val="superscript"/>
          <w:lang w:val="en-GB"/>
        </w:rPr>
        <w:footnoteReference w:id="75"/>
      </w:r>
    </w:p>
    <w:p w:rsidR="00EA1BE6" w:rsidRPr="00103537" w:rsidRDefault="00EA1BE6" w:rsidP="00EA1BE6">
      <w:pPr>
        <w:pStyle w:val="BodyText1"/>
        <w:rPr>
          <w:u w:val="single"/>
          <w:lang w:val="en-GB"/>
        </w:rPr>
      </w:pPr>
      <w:r w:rsidRPr="00103537">
        <w:rPr>
          <w:u w:val="single"/>
          <w:lang w:val="en-GB"/>
        </w:rPr>
        <w:t>Summary</w:t>
      </w:r>
    </w:p>
    <w:p w:rsidR="00EA1BE6" w:rsidRDefault="006D1BA9" w:rsidP="00EA1BE6">
      <w:pPr>
        <w:pStyle w:val="BodyText1"/>
        <w:rPr>
          <w:lang w:val="en-GB"/>
        </w:rPr>
      </w:pPr>
      <w:r w:rsidRPr="006D1BA9">
        <w:rPr>
          <w:lang w:val="en-GB"/>
        </w:rPr>
        <w:t>The FIM comprises 3 domains: basic ADLs, mobility, cognitive function; FAM, focuses on cognitive and psychosocial function.</w:t>
      </w:r>
    </w:p>
    <w:p w:rsidR="00EA1BE6" w:rsidRPr="00103537" w:rsidRDefault="00EA1BE6" w:rsidP="00EA1BE6">
      <w:pPr>
        <w:pStyle w:val="BodyText1"/>
        <w:rPr>
          <w:u w:val="single"/>
          <w:lang w:val="en-GB"/>
        </w:rPr>
      </w:pPr>
      <w:r w:rsidRPr="00103537">
        <w:rPr>
          <w:u w:val="single"/>
          <w:lang w:val="en-GB"/>
        </w:rPr>
        <w:t>Time to administer</w:t>
      </w:r>
    </w:p>
    <w:p w:rsidR="00EA1BE6" w:rsidRDefault="006D1BA9" w:rsidP="00EA1BE6">
      <w:pPr>
        <w:pStyle w:val="BodyText1"/>
        <w:rPr>
          <w:lang w:val="en-GB"/>
        </w:rPr>
      </w:pPr>
      <w:r>
        <w:rPr>
          <w:lang w:val="en-GB"/>
        </w:rPr>
        <w:t>RED</w:t>
      </w:r>
    </w:p>
    <w:p w:rsidR="006D1BA9" w:rsidRPr="006D1BA9" w:rsidRDefault="006D1BA9" w:rsidP="006D1BA9">
      <w:pPr>
        <w:rPr>
          <w:lang w:val="en-GB"/>
        </w:rPr>
      </w:pPr>
      <w:r w:rsidRPr="006D1BA9">
        <w:rPr>
          <w:lang w:val="en-GB"/>
        </w:rPr>
        <w:t>20-30 minutes by observation or by telephone interview.</w:t>
      </w:r>
    </w:p>
    <w:p w:rsidR="00EA1BE6" w:rsidRPr="00103537" w:rsidRDefault="00EA1BE6" w:rsidP="00EA1BE6">
      <w:pPr>
        <w:pStyle w:val="BodyText1"/>
        <w:rPr>
          <w:u w:val="single"/>
          <w:lang w:val="en-GB"/>
        </w:rPr>
      </w:pPr>
      <w:r w:rsidRPr="00103537">
        <w:rPr>
          <w:u w:val="single"/>
          <w:lang w:val="en-GB"/>
        </w:rPr>
        <w:t>Validity</w:t>
      </w:r>
    </w:p>
    <w:p w:rsidR="00EA1BE6" w:rsidRDefault="006D1BA9" w:rsidP="00EA1BE6">
      <w:pPr>
        <w:pStyle w:val="BodyText1"/>
        <w:rPr>
          <w:lang w:val="en-GB"/>
        </w:rPr>
      </w:pPr>
      <w:r>
        <w:rPr>
          <w:lang w:val="en-GB"/>
        </w:rPr>
        <w:t>AMBER</w:t>
      </w:r>
    </w:p>
    <w:p w:rsidR="006D1BA9" w:rsidRDefault="006D1BA9" w:rsidP="00EA1BE6">
      <w:pPr>
        <w:pStyle w:val="BodyText1"/>
        <w:rPr>
          <w:lang w:val="en-GB"/>
        </w:rPr>
      </w:pPr>
      <w:r w:rsidRPr="006D1BA9">
        <w:rPr>
          <w:lang w:val="en-GB"/>
        </w:rPr>
        <w:t>In the context of head injury rehabilitation, it was found to have good validity.</w:t>
      </w:r>
    </w:p>
    <w:p w:rsidR="00EA1BE6" w:rsidRPr="00103537" w:rsidRDefault="00EA1BE6" w:rsidP="00EA1BE6">
      <w:pPr>
        <w:pStyle w:val="BodyText1"/>
        <w:rPr>
          <w:u w:val="single"/>
          <w:lang w:val="en-GB"/>
        </w:rPr>
      </w:pPr>
      <w:r w:rsidRPr="00103537">
        <w:rPr>
          <w:u w:val="single"/>
          <w:lang w:val="en-GB"/>
        </w:rPr>
        <w:t>Reliability</w:t>
      </w:r>
    </w:p>
    <w:p w:rsidR="00EA1BE6" w:rsidRDefault="006D1BA9" w:rsidP="00EA1BE6">
      <w:pPr>
        <w:pStyle w:val="BodyText1"/>
        <w:rPr>
          <w:lang w:val="en-GB"/>
        </w:rPr>
      </w:pPr>
      <w:r>
        <w:rPr>
          <w:lang w:val="en-GB"/>
        </w:rPr>
        <w:t>AMBER</w:t>
      </w:r>
    </w:p>
    <w:p w:rsidR="006D1BA9" w:rsidRDefault="006D1BA9" w:rsidP="00EA1BE6">
      <w:pPr>
        <w:pStyle w:val="BodyText1"/>
        <w:rPr>
          <w:lang w:val="en-GB"/>
        </w:rPr>
      </w:pPr>
      <w:r w:rsidRPr="006D1BA9">
        <w:rPr>
          <w:lang w:val="en-GB"/>
        </w:rPr>
        <w:t>In a neurorehabilitation setting FIM+FAM was found to have excellent inter-rater, reliability and test-retest agreement.</w:t>
      </w:r>
    </w:p>
    <w:p w:rsidR="00EA1BE6" w:rsidRPr="00103537" w:rsidRDefault="00EA1BE6" w:rsidP="00EA1BE6">
      <w:pPr>
        <w:pStyle w:val="BodyText1"/>
        <w:rPr>
          <w:u w:val="single"/>
          <w:lang w:val="en-GB"/>
        </w:rPr>
      </w:pPr>
      <w:r w:rsidRPr="00103537">
        <w:rPr>
          <w:u w:val="single"/>
          <w:lang w:val="en-GB"/>
        </w:rPr>
        <w:t>Training requirements</w:t>
      </w:r>
    </w:p>
    <w:p w:rsidR="00EA1BE6" w:rsidRDefault="006D1BA9" w:rsidP="00EA1BE6">
      <w:pPr>
        <w:pStyle w:val="BodyText1"/>
        <w:rPr>
          <w:lang w:val="en-GB"/>
        </w:rPr>
      </w:pPr>
      <w:r>
        <w:rPr>
          <w:lang w:val="en-GB"/>
        </w:rPr>
        <w:t>RED</w:t>
      </w:r>
    </w:p>
    <w:p w:rsidR="006D1BA9" w:rsidRDefault="006D1BA9" w:rsidP="00EA1BE6">
      <w:pPr>
        <w:pStyle w:val="BodyText1"/>
        <w:rPr>
          <w:lang w:val="en-GB"/>
        </w:rPr>
      </w:pPr>
      <w:r w:rsidRPr="006D1BA9">
        <w:rPr>
          <w:lang w:val="en-GB"/>
        </w:rPr>
        <w:t>Training varies internationally but usually includes a minimum training day/workshop(s) +- formal examination.</w:t>
      </w:r>
    </w:p>
    <w:p w:rsidR="00EA1BE6" w:rsidRPr="00103537" w:rsidRDefault="00EA1BE6" w:rsidP="00EA1BE6">
      <w:pPr>
        <w:pStyle w:val="BodyText1"/>
        <w:rPr>
          <w:u w:val="single"/>
          <w:lang w:val="en-GB"/>
        </w:rPr>
      </w:pPr>
      <w:r w:rsidRPr="00103537">
        <w:rPr>
          <w:u w:val="single"/>
          <w:lang w:val="en-GB"/>
        </w:rPr>
        <w:t>Potential application</w:t>
      </w:r>
    </w:p>
    <w:p w:rsidR="00EA1BE6" w:rsidRPr="006D1BA9" w:rsidRDefault="006D1BA9" w:rsidP="006D1BA9">
      <w:pPr>
        <w:pStyle w:val="BodyText1"/>
      </w:pPr>
      <w:r w:rsidRPr="006D1BA9">
        <w:t>Consider use in specific care recipient cohorts, e.g. head injury care recipients. Costs of training and administering tool should be considered.</w:t>
      </w:r>
    </w:p>
    <w:p w:rsidR="00EA1BE6" w:rsidRPr="00EA1BE6" w:rsidRDefault="00EA1BE6" w:rsidP="000B1D40">
      <w:pPr>
        <w:pStyle w:val="BodyText1"/>
        <w:rPr>
          <w:b/>
          <w:szCs w:val="20"/>
          <w:vertAlign w:val="superscript"/>
          <w:lang w:val="en-GB"/>
        </w:rPr>
      </w:pPr>
      <w:r w:rsidRPr="00EA1BE6">
        <w:rPr>
          <w:b/>
          <w:szCs w:val="20"/>
          <w:lang w:val="en-GB"/>
        </w:rPr>
        <w:t>BRASS</w:t>
      </w:r>
      <w:r w:rsidRPr="00EA1BE6">
        <w:rPr>
          <w:rStyle w:val="FootnoteReference"/>
          <w:rFonts w:eastAsia="Calibri" w:cs="Times New Roman"/>
          <w:b/>
          <w:szCs w:val="20"/>
          <w:lang w:val="en-GB"/>
        </w:rPr>
        <w:footnoteReference w:id="76"/>
      </w:r>
      <w:r w:rsidRPr="00EA1BE6">
        <w:rPr>
          <w:b/>
          <w:szCs w:val="20"/>
          <w:vertAlign w:val="superscript"/>
          <w:lang w:val="en-GB"/>
        </w:rPr>
        <w:t>,</w:t>
      </w:r>
      <w:r w:rsidRPr="00EA1BE6">
        <w:rPr>
          <w:rStyle w:val="FootnoteReference"/>
          <w:rFonts w:eastAsia="Calibri" w:cs="Times New Roman"/>
          <w:b/>
          <w:szCs w:val="20"/>
          <w:lang w:val="en-GB"/>
        </w:rPr>
        <w:footnoteReference w:id="77"/>
      </w:r>
      <w:r w:rsidRPr="00EA1BE6">
        <w:rPr>
          <w:b/>
          <w:szCs w:val="20"/>
          <w:vertAlign w:val="superscript"/>
          <w:lang w:val="en-GB"/>
        </w:rPr>
        <w:t>,</w:t>
      </w:r>
      <w:r w:rsidRPr="00EA1BE6">
        <w:rPr>
          <w:rStyle w:val="FootnoteReference"/>
          <w:rFonts w:eastAsia="Calibri" w:cs="Times New Roman"/>
          <w:b/>
          <w:szCs w:val="20"/>
          <w:lang w:val="en-GB"/>
        </w:rPr>
        <w:footnoteReference w:id="78"/>
      </w:r>
    </w:p>
    <w:p w:rsidR="00EA1BE6" w:rsidRPr="00103537" w:rsidRDefault="00EA1BE6" w:rsidP="00EA1BE6">
      <w:pPr>
        <w:pStyle w:val="BodyText1"/>
        <w:rPr>
          <w:u w:val="single"/>
          <w:lang w:val="en-GB"/>
        </w:rPr>
      </w:pPr>
      <w:r w:rsidRPr="00103537">
        <w:rPr>
          <w:u w:val="single"/>
          <w:lang w:val="en-GB"/>
        </w:rPr>
        <w:t>Summary</w:t>
      </w:r>
    </w:p>
    <w:p w:rsidR="00EA1BE6" w:rsidRDefault="006D1BA9" w:rsidP="00EA1BE6">
      <w:pPr>
        <w:pStyle w:val="BodyText1"/>
        <w:rPr>
          <w:lang w:val="en-GB"/>
        </w:rPr>
      </w:pPr>
      <w:r w:rsidRPr="006D1BA9">
        <w:rPr>
          <w:lang w:val="en-GB"/>
        </w:rPr>
        <w:t>Identifies care recipients at risk of prolonged hospital admissions, and predicts discharge planning requirements.</w:t>
      </w:r>
    </w:p>
    <w:p w:rsidR="00EA1BE6" w:rsidRPr="00103537" w:rsidRDefault="00EA1BE6" w:rsidP="00EA1BE6">
      <w:pPr>
        <w:pStyle w:val="BodyText1"/>
        <w:rPr>
          <w:u w:val="single"/>
          <w:lang w:val="en-GB"/>
        </w:rPr>
      </w:pPr>
      <w:r w:rsidRPr="00103537">
        <w:rPr>
          <w:u w:val="single"/>
          <w:lang w:val="en-GB"/>
        </w:rPr>
        <w:t>Time to administer</w:t>
      </w:r>
    </w:p>
    <w:p w:rsidR="00EA1BE6" w:rsidRDefault="006D1BA9" w:rsidP="00EA1BE6">
      <w:pPr>
        <w:pStyle w:val="BodyText1"/>
        <w:rPr>
          <w:lang w:val="en-GB"/>
        </w:rPr>
      </w:pPr>
      <w:r>
        <w:rPr>
          <w:lang w:val="en-GB"/>
        </w:rPr>
        <w:t>GREEN</w:t>
      </w:r>
    </w:p>
    <w:p w:rsidR="006D1BA9" w:rsidRDefault="006D1BA9" w:rsidP="00EA1BE6">
      <w:pPr>
        <w:pStyle w:val="BodyText1"/>
        <w:rPr>
          <w:lang w:val="en-GB"/>
        </w:rPr>
      </w:pPr>
      <w:r w:rsidRPr="006D1BA9">
        <w:rPr>
          <w:lang w:val="en-GB"/>
        </w:rPr>
        <w:t>5-10 minutes.</w:t>
      </w:r>
    </w:p>
    <w:p w:rsidR="00EA1BE6" w:rsidRPr="00103537" w:rsidRDefault="00EA1BE6" w:rsidP="00EA1BE6">
      <w:pPr>
        <w:pStyle w:val="BodyText1"/>
        <w:rPr>
          <w:u w:val="single"/>
          <w:lang w:val="en-GB"/>
        </w:rPr>
      </w:pPr>
      <w:r w:rsidRPr="00103537">
        <w:rPr>
          <w:u w:val="single"/>
          <w:lang w:val="en-GB"/>
        </w:rPr>
        <w:t>Validity</w:t>
      </w:r>
    </w:p>
    <w:p w:rsidR="00EA1BE6" w:rsidRDefault="006D1BA9" w:rsidP="00EA1BE6">
      <w:pPr>
        <w:pStyle w:val="BodyText1"/>
        <w:rPr>
          <w:lang w:val="en-GB"/>
        </w:rPr>
      </w:pPr>
      <w:r>
        <w:rPr>
          <w:lang w:val="en-GB"/>
        </w:rPr>
        <w:t>GREEN</w:t>
      </w:r>
    </w:p>
    <w:p w:rsidR="006D1BA9" w:rsidRDefault="006D1BA9" w:rsidP="00EA1BE6">
      <w:pPr>
        <w:pStyle w:val="BodyText1"/>
        <w:rPr>
          <w:lang w:val="en-GB"/>
        </w:rPr>
      </w:pPr>
      <w:r w:rsidRPr="006D1BA9">
        <w:rPr>
          <w:lang w:val="en-GB"/>
        </w:rPr>
        <w:t>A positive association has been demonstrated between BRASS scores and outcomes post-hospitalisation in geriatrics rehabilitation settings.</w:t>
      </w:r>
    </w:p>
    <w:p w:rsidR="00EA1BE6" w:rsidRPr="00103537" w:rsidRDefault="00EA1BE6" w:rsidP="00EA1BE6">
      <w:pPr>
        <w:pStyle w:val="BodyText1"/>
        <w:rPr>
          <w:u w:val="single"/>
          <w:lang w:val="en-GB"/>
        </w:rPr>
      </w:pPr>
      <w:r w:rsidRPr="00103537">
        <w:rPr>
          <w:u w:val="single"/>
          <w:lang w:val="en-GB"/>
        </w:rPr>
        <w:t>Reliability</w:t>
      </w:r>
    </w:p>
    <w:p w:rsidR="00EA1BE6" w:rsidRDefault="006D1BA9" w:rsidP="00EA1BE6">
      <w:pPr>
        <w:pStyle w:val="BodyText1"/>
        <w:rPr>
          <w:lang w:val="en-GB"/>
        </w:rPr>
      </w:pPr>
      <w:r>
        <w:rPr>
          <w:lang w:val="en-GB"/>
        </w:rPr>
        <w:t>AMBER</w:t>
      </w:r>
    </w:p>
    <w:p w:rsidR="006D1BA9" w:rsidRDefault="006D1BA9" w:rsidP="00EA1BE6">
      <w:pPr>
        <w:pStyle w:val="BodyText1"/>
        <w:rPr>
          <w:lang w:val="en-GB"/>
        </w:rPr>
      </w:pPr>
      <w:r w:rsidRPr="006D1BA9">
        <w:rPr>
          <w:lang w:val="en-GB"/>
        </w:rPr>
        <w:t>Inter-rater reliability was good, but internal consistency reliability was very poor.</w:t>
      </w:r>
    </w:p>
    <w:p w:rsidR="00EA1BE6" w:rsidRPr="00103537" w:rsidRDefault="00EA1BE6" w:rsidP="00EA1BE6">
      <w:pPr>
        <w:pStyle w:val="BodyText1"/>
        <w:rPr>
          <w:u w:val="single"/>
          <w:lang w:val="en-GB"/>
        </w:rPr>
      </w:pPr>
      <w:r w:rsidRPr="00103537">
        <w:rPr>
          <w:u w:val="single"/>
          <w:lang w:val="en-GB"/>
        </w:rPr>
        <w:t>Training requirements</w:t>
      </w:r>
    </w:p>
    <w:p w:rsidR="00EA1BE6" w:rsidRDefault="006D1BA9" w:rsidP="00EA1BE6">
      <w:pPr>
        <w:pStyle w:val="BodyText1"/>
        <w:rPr>
          <w:lang w:val="en-GB"/>
        </w:rPr>
      </w:pPr>
      <w:r>
        <w:rPr>
          <w:lang w:val="en-GB"/>
        </w:rPr>
        <w:t>AMBER</w:t>
      </w:r>
    </w:p>
    <w:p w:rsidR="006D1BA9" w:rsidRDefault="006D1BA9" w:rsidP="00EA1BE6">
      <w:pPr>
        <w:pStyle w:val="BodyText1"/>
        <w:rPr>
          <w:lang w:val="en-GB"/>
        </w:rPr>
      </w:pPr>
      <w:r w:rsidRPr="006D1BA9">
        <w:rPr>
          <w:lang w:val="en-GB"/>
        </w:rPr>
        <w:t>Questionnaire can be completed by health professionals without specific training.</w:t>
      </w:r>
    </w:p>
    <w:p w:rsidR="00EA1BE6" w:rsidRPr="00103537" w:rsidRDefault="00EA1BE6" w:rsidP="00EA1BE6">
      <w:pPr>
        <w:pStyle w:val="BodyText1"/>
        <w:rPr>
          <w:u w:val="single"/>
          <w:lang w:val="en-GB"/>
        </w:rPr>
      </w:pPr>
      <w:r w:rsidRPr="00103537">
        <w:rPr>
          <w:u w:val="single"/>
          <w:lang w:val="en-GB"/>
        </w:rPr>
        <w:t>Potential application</w:t>
      </w:r>
    </w:p>
    <w:p w:rsidR="00EA1BE6" w:rsidRPr="006D1BA9" w:rsidRDefault="006D1BA9" w:rsidP="006D1BA9">
      <w:pPr>
        <w:pStyle w:val="BodyText1"/>
      </w:pPr>
      <w:r w:rsidRPr="006D1BA9">
        <w:t>Assessing care recipients while still admitted in an acute care setting to predict need for the TCP.</w:t>
      </w:r>
    </w:p>
    <w:p w:rsidR="00EA1BE6" w:rsidRPr="00EA1BE6" w:rsidRDefault="00EA1BE6" w:rsidP="000B1D40">
      <w:pPr>
        <w:pStyle w:val="BodyText1"/>
        <w:rPr>
          <w:b/>
          <w:szCs w:val="20"/>
          <w:vertAlign w:val="superscript"/>
          <w:lang w:val="en-GB"/>
        </w:rPr>
      </w:pPr>
      <w:r w:rsidRPr="00EA1BE6">
        <w:rPr>
          <w:b/>
          <w:szCs w:val="20"/>
          <w:lang w:val="en-GB"/>
        </w:rPr>
        <w:t>TUG</w:t>
      </w:r>
      <w:r w:rsidRPr="00EA1BE6">
        <w:rPr>
          <w:rStyle w:val="FootnoteReference"/>
          <w:rFonts w:eastAsia="Calibri" w:cs="Times New Roman"/>
          <w:b/>
          <w:szCs w:val="20"/>
          <w:lang w:val="en-GB"/>
        </w:rPr>
        <w:footnoteReference w:id="79"/>
      </w:r>
      <w:r w:rsidRPr="00EA1BE6">
        <w:rPr>
          <w:b/>
          <w:szCs w:val="20"/>
          <w:vertAlign w:val="superscript"/>
          <w:lang w:val="en-GB"/>
        </w:rPr>
        <w:t>,</w:t>
      </w:r>
      <w:r w:rsidRPr="00EA1BE6">
        <w:rPr>
          <w:rStyle w:val="FootnoteReference"/>
          <w:rFonts w:eastAsia="Calibri" w:cs="Times New Roman"/>
          <w:b/>
          <w:szCs w:val="20"/>
          <w:lang w:val="en-GB"/>
        </w:rPr>
        <w:footnoteReference w:id="80"/>
      </w:r>
    </w:p>
    <w:p w:rsidR="00EA1BE6" w:rsidRPr="00103537" w:rsidRDefault="00EA1BE6" w:rsidP="00EA1BE6">
      <w:pPr>
        <w:pStyle w:val="BodyText1"/>
        <w:rPr>
          <w:u w:val="single"/>
          <w:lang w:val="en-GB"/>
        </w:rPr>
      </w:pPr>
      <w:r w:rsidRPr="00103537">
        <w:rPr>
          <w:u w:val="single"/>
          <w:lang w:val="en-GB"/>
        </w:rPr>
        <w:t>Summary</w:t>
      </w:r>
    </w:p>
    <w:p w:rsidR="00EA1BE6" w:rsidRDefault="006D1BA9" w:rsidP="00EA1BE6">
      <w:pPr>
        <w:pStyle w:val="BodyText1"/>
        <w:rPr>
          <w:lang w:val="en-GB"/>
        </w:rPr>
      </w:pPr>
      <w:r w:rsidRPr="006D1BA9">
        <w:rPr>
          <w:lang w:val="en-GB"/>
        </w:rPr>
        <w:t>Assesses falls risk and mobility in the elderly. TUG measures the time taken for a care recipient to rise from an arm chair, walk comfortably and safely 3 metres, then turn, and walk back to the chair and sit down again.</w:t>
      </w:r>
    </w:p>
    <w:p w:rsidR="00EA1BE6" w:rsidRPr="00103537" w:rsidRDefault="00EA1BE6" w:rsidP="00EA1BE6">
      <w:pPr>
        <w:pStyle w:val="BodyText1"/>
        <w:rPr>
          <w:u w:val="single"/>
          <w:lang w:val="en-GB"/>
        </w:rPr>
      </w:pPr>
      <w:r w:rsidRPr="00103537">
        <w:rPr>
          <w:u w:val="single"/>
          <w:lang w:val="en-GB"/>
        </w:rPr>
        <w:t>Time to administer</w:t>
      </w:r>
    </w:p>
    <w:p w:rsidR="00EA1BE6" w:rsidRDefault="006D1BA9" w:rsidP="00EA1BE6">
      <w:pPr>
        <w:pStyle w:val="BodyText1"/>
        <w:rPr>
          <w:lang w:val="en-GB"/>
        </w:rPr>
      </w:pPr>
      <w:r>
        <w:rPr>
          <w:lang w:val="en-GB"/>
        </w:rPr>
        <w:t>GREEN</w:t>
      </w:r>
    </w:p>
    <w:p w:rsidR="006D1BA9" w:rsidRDefault="006D1BA9" w:rsidP="00EA1BE6">
      <w:pPr>
        <w:pStyle w:val="BodyText1"/>
        <w:rPr>
          <w:lang w:val="en-GB"/>
        </w:rPr>
      </w:pPr>
      <w:r w:rsidRPr="006D1BA9">
        <w:rPr>
          <w:lang w:val="en-GB"/>
        </w:rPr>
        <w:t>1-2 minutes.</w:t>
      </w:r>
    </w:p>
    <w:p w:rsidR="00EA1BE6" w:rsidRPr="00103537" w:rsidRDefault="00EA1BE6" w:rsidP="00EA1BE6">
      <w:pPr>
        <w:pStyle w:val="BodyText1"/>
        <w:rPr>
          <w:u w:val="single"/>
          <w:lang w:val="en-GB"/>
        </w:rPr>
      </w:pPr>
      <w:r w:rsidRPr="00103537">
        <w:rPr>
          <w:u w:val="single"/>
          <w:lang w:val="en-GB"/>
        </w:rPr>
        <w:t>Validity</w:t>
      </w:r>
    </w:p>
    <w:p w:rsidR="00EA1BE6" w:rsidRDefault="006D1BA9" w:rsidP="00EA1BE6">
      <w:pPr>
        <w:pStyle w:val="BodyText1"/>
        <w:rPr>
          <w:lang w:val="en-GB"/>
        </w:rPr>
      </w:pPr>
      <w:r>
        <w:rPr>
          <w:lang w:val="en-GB"/>
        </w:rPr>
        <w:t>RED</w:t>
      </w:r>
    </w:p>
    <w:p w:rsidR="006D1BA9" w:rsidRDefault="006D1BA9" w:rsidP="00EA1BE6">
      <w:pPr>
        <w:pStyle w:val="BodyText1"/>
        <w:rPr>
          <w:lang w:val="en-GB"/>
        </w:rPr>
      </w:pPr>
      <w:r w:rsidRPr="006D1BA9">
        <w:rPr>
          <w:lang w:val="en-GB"/>
        </w:rPr>
        <w:t>However, TUG alone has been demonstrated in a systematic review not be a valid metric to identify elderly adults at high risk of falls in the community when used in isolation.</w:t>
      </w:r>
    </w:p>
    <w:p w:rsidR="00EA1BE6" w:rsidRPr="00103537" w:rsidRDefault="00EA1BE6" w:rsidP="00EA1BE6">
      <w:pPr>
        <w:pStyle w:val="BodyText1"/>
        <w:rPr>
          <w:u w:val="single"/>
          <w:lang w:val="en-GB"/>
        </w:rPr>
      </w:pPr>
      <w:r w:rsidRPr="00103537">
        <w:rPr>
          <w:u w:val="single"/>
          <w:lang w:val="en-GB"/>
        </w:rPr>
        <w:t>Reliability</w:t>
      </w:r>
    </w:p>
    <w:p w:rsidR="00EA1BE6" w:rsidRDefault="006D1BA9" w:rsidP="00EA1BE6">
      <w:pPr>
        <w:pStyle w:val="BodyText1"/>
        <w:rPr>
          <w:lang w:val="en-GB"/>
        </w:rPr>
      </w:pPr>
      <w:r>
        <w:rPr>
          <w:lang w:val="en-GB"/>
        </w:rPr>
        <w:t>GREEN</w:t>
      </w:r>
    </w:p>
    <w:p w:rsidR="006D1BA9" w:rsidRDefault="006D1BA9" w:rsidP="00EA1BE6">
      <w:pPr>
        <w:pStyle w:val="BodyText1"/>
        <w:rPr>
          <w:lang w:val="en-GB"/>
        </w:rPr>
      </w:pPr>
      <w:r w:rsidRPr="006D1BA9">
        <w:rPr>
          <w:lang w:val="en-GB"/>
        </w:rPr>
        <w:t>Inter-rater reliability is excellent.</w:t>
      </w:r>
    </w:p>
    <w:p w:rsidR="00EA1BE6" w:rsidRPr="00103537" w:rsidRDefault="00EA1BE6" w:rsidP="00EA1BE6">
      <w:pPr>
        <w:pStyle w:val="BodyText1"/>
        <w:rPr>
          <w:u w:val="single"/>
          <w:lang w:val="en-GB"/>
        </w:rPr>
      </w:pPr>
      <w:r w:rsidRPr="00103537">
        <w:rPr>
          <w:u w:val="single"/>
          <w:lang w:val="en-GB"/>
        </w:rPr>
        <w:t>Training requirements</w:t>
      </w:r>
    </w:p>
    <w:p w:rsidR="00EA1BE6" w:rsidRDefault="006D1BA9" w:rsidP="00EA1BE6">
      <w:pPr>
        <w:pStyle w:val="BodyText1"/>
        <w:rPr>
          <w:lang w:val="en-GB"/>
        </w:rPr>
      </w:pPr>
      <w:r>
        <w:rPr>
          <w:lang w:val="en-GB"/>
        </w:rPr>
        <w:t>AMBER</w:t>
      </w:r>
    </w:p>
    <w:p w:rsidR="006D1BA9" w:rsidRDefault="006D1BA9" w:rsidP="00EA1BE6">
      <w:pPr>
        <w:pStyle w:val="BodyText1"/>
        <w:rPr>
          <w:lang w:val="en-GB"/>
        </w:rPr>
      </w:pPr>
      <w:r w:rsidRPr="006D1BA9">
        <w:rPr>
          <w:lang w:val="en-GB"/>
        </w:rPr>
        <w:t>Self-explanatory.</w:t>
      </w:r>
    </w:p>
    <w:p w:rsidR="00EA1BE6" w:rsidRPr="00103537" w:rsidRDefault="00EA1BE6" w:rsidP="00EA1BE6">
      <w:pPr>
        <w:pStyle w:val="BodyText1"/>
        <w:rPr>
          <w:u w:val="single"/>
          <w:lang w:val="en-GB"/>
        </w:rPr>
      </w:pPr>
      <w:r w:rsidRPr="00103537">
        <w:rPr>
          <w:u w:val="single"/>
          <w:lang w:val="en-GB"/>
        </w:rPr>
        <w:t>Potential application</w:t>
      </w:r>
    </w:p>
    <w:p w:rsidR="00EA1BE6" w:rsidRPr="006D1BA9" w:rsidRDefault="006D1BA9" w:rsidP="006D1BA9">
      <w:pPr>
        <w:pStyle w:val="BodyText1"/>
      </w:pPr>
      <w:r w:rsidRPr="006D1BA9">
        <w:t>Should be considered as part of a suite of metrics to assess falls risk, but should be used with caution given poor validity.</w:t>
      </w:r>
    </w:p>
    <w:p w:rsidR="00EA1BE6" w:rsidRPr="00EA1BE6" w:rsidRDefault="00EA1BE6" w:rsidP="000B1D40">
      <w:pPr>
        <w:pStyle w:val="BodyText1"/>
        <w:rPr>
          <w:b/>
          <w:szCs w:val="20"/>
          <w:vertAlign w:val="superscript"/>
          <w:lang w:val="en-GB"/>
        </w:rPr>
      </w:pPr>
      <w:r w:rsidRPr="00EA1BE6">
        <w:rPr>
          <w:b/>
          <w:szCs w:val="20"/>
          <w:lang w:val="en-GB"/>
        </w:rPr>
        <w:t>GDS</w:t>
      </w:r>
      <w:r w:rsidRPr="00EA1BE6">
        <w:rPr>
          <w:rStyle w:val="FootnoteReference"/>
          <w:rFonts w:eastAsia="Calibri" w:cs="Times New Roman"/>
          <w:b/>
          <w:szCs w:val="20"/>
          <w:lang w:val="en-GB"/>
        </w:rPr>
        <w:footnoteReference w:id="81"/>
      </w:r>
      <w:r w:rsidRPr="00EA1BE6">
        <w:rPr>
          <w:b/>
          <w:szCs w:val="20"/>
          <w:vertAlign w:val="superscript"/>
          <w:lang w:val="en-GB"/>
        </w:rPr>
        <w:t>,</w:t>
      </w:r>
      <w:r w:rsidRPr="00EA1BE6">
        <w:rPr>
          <w:rStyle w:val="FootnoteReference"/>
          <w:rFonts w:eastAsia="Calibri" w:cs="Times New Roman"/>
          <w:b/>
          <w:szCs w:val="20"/>
          <w:lang w:val="en-GB"/>
        </w:rPr>
        <w:footnoteReference w:id="82"/>
      </w:r>
      <w:r w:rsidRPr="00EA1BE6">
        <w:rPr>
          <w:b/>
          <w:szCs w:val="20"/>
          <w:vertAlign w:val="superscript"/>
          <w:lang w:val="en-GB"/>
        </w:rPr>
        <w:t xml:space="preserve">, </w:t>
      </w:r>
      <w:r w:rsidRPr="00EA1BE6">
        <w:rPr>
          <w:rStyle w:val="FootnoteReference"/>
          <w:rFonts w:eastAsia="Calibri" w:cs="Times New Roman"/>
          <w:b/>
          <w:szCs w:val="20"/>
          <w:lang w:val="en-GB"/>
        </w:rPr>
        <w:footnoteReference w:id="83"/>
      </w:r>
      <w:r w:rsidRPr="00EA1BE6">
        <w:rPr>
          <w:b/>
          <w:szCs w:val="20"/>
          <w:vertAlign w:val="superscript"/>
          <w:lang w:val="en-GB"/>
        </w:rPr>
        <w:t>,</w:t>
      </w:r>
      <w:r w:rsidRPr="00EA1BE6">
        <w:rPr>
          <w:rStyle w:val="FootnoteReference"/>
          <w:rFonts w:eastAsia="Calibri" w:cs="Times New Roman"/>
          <w:b/>
          <w:szCs w:val="20"/>
          <w:lang w:val="en-GB"/>
        </w:rPr>
        <w:footnoteReference w:id="84"/>
      </w:r>
    </w:p>
    <w:p w:rsidR="00EA1BE6" w:rsidRPr="00103537" w:rsidRDefault="00EA1BE6" w:rsidP="00EA1BE6">
      <w:pPr>
        <w:pStyle w:val="BodyText1"/>
        <w:rPr>
          <w:u w:val="single"/>
          <w:lang w:val="en-GB"/>
        </w:rPr>
      </w:pPr>
      <w:r w:rsidRPr="00103537">
        <w:rPr>
          <w:u w:val="single"/>
          <w:lang w:val="en-GB"/>
        </w:rPr>
        <w:t>Summary</w:t>
      </w:r>
    </w:p>
    <w:p w:rsidR="00EA1BE6" w:rsidRDefault="006D1BA9" w:rsidP="00EA1BE6">
      <w:pPr>
        <w:pStyle w:val="BodyText1"/>
        <w:rPr>
          <w:lang w:val="en-GB"/>
        </w:rPr>
      </w:pPr>
      <w:r w:rsidRPr="006D1BA9">
        <w:rPr>
          <w:lang w:val="en-GB"/>
        </w:rPr>
        <w:t>Screens for clinical depression among the elderly using a simple yes/no response format.</w:t>
      </w:r>
    </w:p>
    <w:p w:rsidR="00EA1BE6" w:rsidRPr="00103537" w:rsidRDefault="00EA1BE6" w:rsidP="00EA1BE6">
      <w:pPr>
        <w:pStyle w:val="BodyText1"/>
        <w:rPr>
          <w:u w:val="single"/>
          <w:lang w:val="en-GB"/>
        </w:rPr>
      </w:pPr>
      <w:r w:rsidRPr="00103537">
        <w:rPr>
          <w:u w:val="single"/>
          <w:lang w:val="en-GB"/>
        </w:rPr>
        <w:t>Time to administer</w:t>
      </w:r>
    </w:p>
    <w:p w:rsidR="00EA1BE6" w:rsidRDefault="006D1BA9" w:rsidP="00EA1BE6">
      <w:pPr>
        <w:pStyle w:val="BodyText1"/>
        <w:rPr>
          <w:lang w:val="en-GB"/>
        </w:rPr>
      </w:pPr>
      <w:r>
        <w:rPr>
          <w:lang w:val="en-GB"/>
        </w:rPr>
        <w:t>GREEN</w:t>
      </w:r>
    </w:p>
    <w:p w:rsidR="006D1BA9" w:rsidRDefault="006D1BA9" w:rsidP="00EA1BE6">
      <w:pPr>
        <w:pStyle w:val="BodyText1"/>
        <w:rPr>
          <w:lang w:val="en-GB"/>
        </w:rPr>
      </w:pPr>
      <w:r w:rsidRPr="006D1BA9">
        <w:rPr>
          <w:lang w:val="en-GB"/>
        </w:rPr>
        <w:t>5-10 minutes.</w:t>
      </w:r>
    </w:p>
    <w:p w:rsidR="00EA1BE6" w:rsidRPr="00103537" w:rsidRDefault="00EA1BE6" w:rsidP="00EA1BE6">
      <w:pPr>
        <w:pStyle w:val="BodyText1"/>
        <w:rPr>
          <w:u w:val="single"/>
          <w:lang w:val="en-GB"/>
        </w:rPr>
      </w:pPr>
      <w:r w:rsidRPr="00103537">
        <w:rPr>
          <w:u w:val="single"/>
          <w:lang w:val="en-GB"/>
        </w:rPr>
        <w:t>Validity</w:t>
      </w:r>
    </w:p>
    <w:p w:rsidR="00EA1BE6" w:rsidRDefault="006D1BA9" w:rsidP="00EA1BE6">
      <w:pPr>
        <w:pStyle w:val="BodyText1"/>
        <w:rPr>
          <w:lang w:val="en-GB"/>
        </w:rPr>
      </w:pPr>
      <w:r>
        <w:rPr>
          <w:lang w:val="en-GB"/>
        </w:rPr>
        <w:t>GREEN</w:t>
      </w:r>
    </w:p>
    <w:p w:rsidR="006D1BA9" w:rsidRDefault="006D1BA9" w:rsidP="00EA1BE6">
      <w:pPr>
        <w:pStyle w:val="BodyText1"/>
        <w:rPr>
          <w:lang w:val="en-GB"/>
        </w:rPr>
      </w:pPr>
      <w:r w:rsidRPr="006D1BA9">
        <w:rPr>
          <w:lang w:val="en-GB"/>
        </w:rPr>
        <w:t>The GDS was found to be useful as a screening tool for depression with good sensitivity and specificity compared to structured clinical interviews.</w:t>
      </w:r>
    </w:p>
    <w:p w:rsidR="00EA1BE6" w:rsidRPr="00103537" w:rsidRDefault="00EA1BE6" w:rsidP="00EA1BE6">
      <w:pPr>
        <w:pStyle w:val="BodyText1"/>
        <w:rPr>
          <w:u w:val="single"/>
          <w:lang w:val="en-GB"/>
        </w:rPr>
      </w:pPr>
      <w:r w:rsidRPr="00103537">
        <w:rPr>
          <w:u w:val="single"/>
          <w:lang w:val="en-GB"/>
        </w:rPr>
        <w:t>Reliability</w:t>
      </w:r>
    </w:p>
    <w:p w:rsidR="006D1BA9" w:rsidRDefault="006D1BA9" w:rsidP="00EA1BE6">
      <w:pPr>
        <w:pStyle w:val="BodyText1"/>
        <w:rPr>
          <w:lang w:val="en-GB"/>
        </w:rPr>
      </w:pPr>
      <w:r>
        <w:rPr>
          <w:lang w:val="en-GB"/>
        </w:rPr>
        <w:t>GREEN</w:t>
      </w:r>
    </w:p>
    <w:p w:rsidR="006D1BA9" w:rsidRDefault="006D1BA9" w:rsidP="00EA1BE6">
      <w:pPr>
        <w:pStyle w:val="BodyText1"/>
        <w:rPr>
          <w:lang w:val="en-GB"/>
        </w:rPr>
      </w:pPr>
      <w:r w:rsidRPr="006D1BA9">
        <w:rPr>
          <w:lang w:val="en-GB"/>
        </w:rPr>
        <w:t>Internal consistency reliability was also good in the elderly.</w:t>
      </w:r>
    </w:p>
    <w:p w:rsidR="00EA1BE6" w:rsidRPr="00103537" w:rsidRDefault="00EA1BE6" w:rsidP="00EA1BE6">
      <w:pPr>
        <w:pStyle w:val="BodyText1"/>
        <w:rPr>
          <w:u w:val="single"/>
          <w:lang w:val="en-GB"/>
        </w:rPr>
      </w:pPr>
      <w:r w:rsidRPr="00103537">
        <w:rPr>
          <w:u w:val="single"/>
          <w:lang w:val="en-GB"/>
        </w:rPr>
        <w:t>Training requirements</w:t>
      </w:r>
    </w:p>
    <w:p w:rsidR="00EA1BE6" w:rsidRDefault="006D1BA9" w:rsidP="00EA1BE6">
      <w:pPr>
        <w:pStyle w:val="BodyText1"/>
        <w:rPr>
          <w:lang w:val="en-GB"/>
        </w:rPr>
      </w:pPr>
      <w:r>
        <w:rPr>
          <w:lang w:val="en-GB"/>
        </w:rPr>
        <w:t>GREEN</w:t>
      </w:r>
    </w:p>
    <w:p w:rsidR="006D1BA9" w:rsidRPr="006D1BA9" w:rsidRDefault="006D1BA9" w:rsidP="006D1BA9">
      <w:pPr>
        <w:rPr>
          <w:lang w:val="en-GB"/>
        </w:rPr>
      </w:pPr>
      <w:r w:rsidRPr="006D1BA9">
        <w:rPr>
          <w:lang w:val="en-GB"/>
        </w:rPr>
        <w:t>GDS is a self-report instrument that requires no training. The simple yes/no format facilitates use by those with impaired cognitive functions</w:t>
      </w:r>
    </w:p>
    <w:p w:rsidR="00EA1BE6" w:rsidRPr="00103537" w:rsidRDefault="00EA1BE6" w:rsidP="00EA1BE6">
      <w:pPr>
        <w:pStyle w:val="BodyText1"/>
        <w:rPr>
          <w:u w:val="single"/>
          <w:lang w:val="en-GB"/>
        </w:rPr>
      </w:pPr>
      <w:r w:rsidRPr="00103537">
        <w:rPr>
          <w:u w:val="single"/>
          <w:lang w:val="en-GB"/>
        </w:rPr>
        <w:t>Potential application</w:t>
      </w:r>
    </w:p>
    <w:p w:rsidR="006D1BA9" w:rsidRPr="006D1BA9" w:rsidRDefault="006D1BA9" w:rsidP="006D1BA9">
      <w:r w:rsidRPr="006D1BA9">
        <w:t xml:space="preserve">Consider to screen care recipients for depression at any relevant point in the care recipient journey. </w:t>
      </w:r>
    </w:p>
    <w:p w:rsidR="00EA1BE6" w:rsidRPr="00EA1BE6" w:rsidRDefault="00EA1BE6" w:rsidP="000B1D40">
      <w:pPr>
        <w:pStyle w:val="BodyText1"/>
        <w:rPr>
          <w:b/>
          <w:szCs w:val="20"/>
          <w:lang w:val="en-GB"/>
        </w:rPr>
      </w:pPr>
      <w:r w:rsidRPr="00EA1BE6">
        <w:rPr>
          <w:b/>
          <w:szCs w:val="20"/>
          <w:lang w:val="en-GB"/>
        </w:rPr>
        <w:t>MOCA</w:t>
      </w:r>
      <w:r w:rsidRPr="00EA1BE6">
        <w:rPr>
          <w:rStyle w:val="FootnoteReference"/>
          <w:rFonts w:eastAsia="Calibri" w:cs="Times New Roman"/>
          <w:b/>
          <w:szCs w:val="20"/>
          <w:lang w:val="en-GB"/>
        </w:rPr>
        <w:footnoteReference w:id="85"/>
      </w:r>
    </w:p>
    <w:p w:rsidR="00EA1BE6" w:rsidRPr="00103537" w:rsidRDefault="00EA1BE6" w:rsidP="00EA1BE6">
      <w:pPr>
        <w:pStyle w:val="BodyText1"/>
        <w:rPr>
          <w:u w:val="single"/>
          <w:lang w:val="en-GB"/>
        </w:rPr>
      </w:pPr>
      <w:r w:rsidRPr="00103537">
        <w:rPr>
          <w:u w:val="single"/>
          <w:lang w:val="en-GB"/>
        </w:rPr>
        <w:t>Summary</w:t>
      </w:r>
    </w:p>
    <w:p w:rsidR="00EA1BE6" w:rsidRDefault="006D1BA9" w:rsidP="00EA1BE6">
      <w:pPr>
        <w:pStyle w:val="BodyText1"/>
        <w:rPr>
          <w:lang w:val="en-GB"/>
        </w:rPr>
      </w:pPr>
      <w:r w:rsidRPr="006D1BA9">
        <w:rPr>
          <w:lang w:val="en-GB"/>
        </w:rPr>
        <w:t>The Montreal Cognitive Assessment (MOCA) tool is used to identify individuals with cognitive impairment.</w:t>
      </w:r>
    </w:p>
    <w:p w:rsidR="00EA1BE6" w:rsidRPr="00103537" w:rsidRDefault="00EA1BE6" w:rsidP="00EA1BE6">
      <w:pPr>
        <w:pStyle w:val="BodyText1"/>
        <w:rPr>
          <w:u w:val="single"/>
          <w:lang w:val="en-GB"/>
        </w:rPr>
      </w:pPr>
      <w:r w:rsidRPr="00103537">
        <w:rPr>
          <w:u w:val="single"/>
          <w:lang w:val="en-GB"/>
        </w:rPr>
        <w:t>Time to administer</w:t>
      </w:r>
    </w:p>
    <w:p w:rsidR="006D1BA9" w:rsidRDefault="006D1BA9" w:rsidP="00EA1BE6">
      <w:pPr>
        <w:pStyle w:val="BodyText1"/>
        <w:rPr>
          <w:lang w:val="en-GB"/>
        </w:rPr>
      </w:pPr>
      <w:r>
        <w:rPr>
          <w:lang w:val="en-GB"/>
        </w:rPr>
        <w:t>AMBER</w:t>
      </w:r>
    </w:p>
    <w:p w:rsidR="00EA1BE6" w:rsidRDefault="006D1BA9" w:rsidP="00EA1BE6">
      <w:pPr>
        <w:pStyle w:val="BodyText1"/>
        <w:rPr>
          <w:lang w:val="en-GB"/>
        </w:rPr>
      </w:pPr>
      <w:r w:rsidRPr="006D1BA9">
        <w:rPr>
          <w:lang w:val="en-GB"/>
        </w:rPr>
        <w:t>Approximately 10-15 minutes</w:t>
      </w:r>
    </w:p>
    <w:p w:rsidR="00EA1BE6" w:rsidRPr="00103537" w:rsidRDefault="00EA1BE6" w:rsidP="00EA1BE6">
      <w:pPr>
        <w:pStyle w:val="BodyText1"/>
        <w:rPr>
          <w:u w:val="single"/>
          <w:lang w:val="en-GB"/>
        </w:rPr>
      </w:pPr>
      <w:r w:rsidRPr="00103537">
        <w:rPr>
          <w:u w:val="single"/>
          <w:lang w:val="en-GB"/>
        </w:rPr>
        <w:t>Validity</w:t>
      </w:r>
    </w:p>
    <w:p w:rsidR="00EA1BE6" w:rsidRDefault="006D1BA9" w:rsidP="00EA1BE6">
      <w:pPr>
        <w:pStyle w:val="BodyText1"/>
        <w:rPr>
          <w:lang w:val="en-GB"/>
        </w:rPr>
      </w:pPr>
      <w:r>
        <w:rPr>
          <w:lang w:val="en-GB"/>
        </w:rPr>
        <w:t>GREEN</w:t>
      </w:r>
    </w:p>
    <w:p w:rsidR="006D1BA9" w:rsidRDefault="006D1BA9" w:rsidP="00EA1BE6">
      <w:pPr>
        <w:pStyle w:val="BodyText1"/>
        <w:rPr>
          <w:lang w:val="en-GB"/>
        </w:rPr>
      </w:pPr>
      <w:r w:rsidRPr="006D1BA9">
        <w:rPr>
          <w:lang w:val="en-GB"/>
        </w:rPr>
        <w:t>The MOCA has been identified as a good tool to measure mild cognitive impairment.</w:t>
      </w:r>
    </w:p>
    <w:p w:rsidR="00EA1BE6" w:rsidRPr="00103537" w:rsidRDefault="00EA1BE6" w:rsidP="00EA1BE6">
      <w:pPr>
        <w:pStyle w:val="BodyText1"/>
        <w:rPr>
          <w:u w:val="single"/>
          <w:lang w:val="en-GB"/>
        </w:rPr>
      </w:pPr>
      <w:r w:rsidRPr="00103537">
        <w:rPr>
          <w:u w:val="single"/>
          <w:lang w:val="en-GB"/>
        </w:rPr>
        <w:t>Reliability</w:t>
      </w:r>
    </w:p>
    <w:p w:rsidR="00EA1BE6" w:rsidRDefault="006D1BA9" w:rsidP="00EA1BE6">
      <w:pPr>
        <w:pStyle w:val="BodyText1"/>
        <w:rPr>
          <w:lang w:val="en-GB"/>
        </w:rPr>
      </w:pPr>
      <w:r>
        <w:rPr>
          <w:lang w:val="en-GB"/>
        </w:rPr>
        <w:t>GREEN</w:t>
      </w:r>
    </w:p>
    <w:p w:rsidR="006D1BA9" w:rsidRDefault="006D1BA9" w:rsidP="006D1BA9">
      <w:pPr>
        <w:rPr>
          <w:lang w:val="en-GB"/>
        </w:rPr>
      </w:pPr>
      <w:r w:rsidRPr="006D1BA9">
        <w:rPr>
          <w:lang w:val="en-GB"/>
        </w:rPr>
        <w:t>Evidence supports that the M</w:t>
      </w:r>
      <w:r>
        <w:rPr>
          <w:lang w:val="en-GB"/>
        </w:rPr>
        <w:t>O</w:t>
      </w:r>
      <w:r w:rsidRPr="006D1BA9">
        <w:rPr>
          <w:lang w:val="en-GB"/>
        </w:rPr>
        <w:t>CA tool, widely used by occupation therapists, is a reliable tool to iden</w:t>
      </w:r>
      <w:r>
        <w:rPr>
          <w:lang w:val="en-GB"/>
        </w:rPr>
        <w:t>tify mild cognitive impairment.</w:t>
      </w:r>
    </w:p>
    <w:p w:rsidR="00EA1BE6" w:rsidRPr="00103537" w:rsidRDefault="00EA1BE6" w:rsidP="00EA1BE6">
      <w:pPr>
        <w:pStyle w:val="BodyText1"/>
        <w:rPr>
          <w:u w:val="single"/>
          <w:lang w:val="en-GB"/>
        </w:rPr>
      </w:pPr>
      <w:r w:rsidRPr="00103537">
        <w:rPr>
          <w:u w:val="single"/>
          <w:lang w:val="en-GB"/>
        </w:rPr>
        <w:t>Training requirements</w:t>
      </w:r>
    </w:p>
    <w:p w:rsidR="00EA1BE6" w:rsidRDefault="006D1BA9" w:rsidP="00EA1BE6">
      <w:pPr>
        <w:pStyle w:val="BodyText1"/>
        <w:rPr>
          <w:lang w:val="en-GB"/>
        </w:rPr>
      </w:pPr>
      <w:r>
        <w:rPr>
          <w:lang w:val="en-GB"/>
        </w:rPr>
        <w:t>AMBER</w:t>
      </w:r>
    </w:p>
    <w:p w:rsidR="006D1BA9" w:rsidRDefault="006D1BA9" w:rsidP="00EA1BE6">
      <w:pPr>
        <w:pStyle w:val="BodyText1"/>
        <w:rPr>
          <w:lang w:val="en-GB"/>
        </w:rPr>
      </w:pPr>
      <w:r w:rsidRPr="006D1BA9">
        <w:rPr>
          <w:lang w:val="en-GB"/>
        </w:rPr>
        <w:t>Questionnaire often administered by occupational therapists, doctors and other health professionals.</w:t>
      </w:r>
    </w:p>
    <w:p w:rsidR="00EA1BE6" w:rsidRPr="00103537" w:rsidRDefault="00EA1BE6" w:rsidP="00EA1BE6">
      <w:pPr>
        <w:pStyle w:val="BodyText1"/>
        <w:rPr>
          <w:u w:val="single"/>
          <w:lang w:val="en-GB"/>
        </w:rPr>
      </w:pPr>
      <w:r w:rsidRPr="00103537">
        <w:rPr>
          <w:u w:val="single"/>
          <w:lang w:val="en-GB"/>
        </w:rPr>
        <w:t>Potential application</w:t>
      </w:r>
    </w:p>
    <w:p w:rsidR="00EA1BE6" w:rsidRPr="006D1BA9" w:rsidRDefault="006D1BA9" w:rsidP="006D1BA9">
      <w:pPr>
        <w:pStyle w:val="BodyText1"/>
      </w:pPr>
      <w:r w:rsidRPr="006D1BA9">
        <w:t>When clinically indicated</w:t>
      </w:r>
    </w:p>
    <w:p w:rsidR="00EA1BE6" w:rsidRPr="00EA1BE6" w:rsidRDefault="00EA1BE6" w:rsidP="000B1D40">
      <w:pPr>
        <w:pStyle w:val="BodyText1"/>
        <w:rPr>
          <w:b/>
          <w:szCs w:val="20"/>
          <w:lang w:val="en-GB"/>
        </w:rPr>
      </w:pPr>
      <w:r w:rsidRPr="00EA1BE6">
        <w:rPr>
          <w:b/>
          <w:szCs w:val="20"/>
          <w:lang w:val="en-GB"/>
        </w:rPr>
        <w:t>MMSE</w:t>
      </w:r>
      <w:r w:rsidRPr="00EA1BE6">
        <w:rPr>
          <w:rStyle w:val="FootnoteReference"/>
          <w:rFonts w:eastAsia="Calibri" w:cs="Times New Roman"/>
          <w:b/>
          <w:szCs w:val="20"/>
          <w:lang w:val="en-GB"/>
        </w:rPr>
        <w:footnoteReference w:id="86"/>
      </w:r>
    </w:p>
    <w:p w:rsidR="00EA1BE6" w:rsidRPr="00103537" w:rsidRDefault="00EA1BE6" w:rsidP="00EA1BE6">
      <w:pPr>
        <w:pStyle w:val="BodyText1"/>
        <w:rPr>
          <w:u w:val="single"/>
          <w:lang w:val="en-GB"/>
        </w:rPr>
      </w:pPr>
      <w:r w:rsidRPr="00103537">
        <w:rPr>
          <w:u w:val="single"/>
          <w:lang w:val="en-GB"/>
        </w:rPr>
        <w:t>Summary</w:t>
      </w:r>
    </w:p>
    <w:p w:rsidR="00EA1BE6" w:rsidRDefault="0009567D" w:rsidP="00EA1BE6">
      <w:pPr>
        <w:pStyle w:val="BodyText1"/>
        <w:rPr>
          <w:lang w:val="en-GB"/>
        </w:rPr>
      </w:pPr>
      <w:r w:rsidRPr="0009567D">
        <w:rPr>
          <w:lang w:val="en-GB"/>
        </w:rPr>
        <w:t>The Mini-Mental State Examination (MMSE) is a short, 30 question test used to evaluate cognitive function.</w:t>
      </w:r>
    </w:p>
    <w:p w:rsidR="00EA1BE6" w:rsidRPr="00103537" w:rsidRDefault="00EA1BE6" w:rsidP="00EA1BE6">
      <w:pPr>
        <w:pStyle w:val="BodyText1"/>
        <w:rPr>
          <w:u w:val="single"/>
          <w:lang w:val="en-GB"/>
        </w:rPr>
      </w:pPr>
      <w:r w:rsidRPr="00103537">
        <w:rPr>
          <w:u w:val="single"/>
          <w:lang w:val="en-GB"/>
        </w:rPr>
        <w:t>Time to administer</w:t>
      </w:r>
    </w:p>
    <w:p w:rsidR="00EA1BE6" w:rsidRDefault="0009567D" w:rsidP="00EA1BE6">
      <w:pPr>
        <w:pStyle w:val="BodyText1"/>
        <w:rPr>
          <w:lang w:val="en-GB"/>
        </w:rPr>
      </w:pPr>
      <w:r>
        <w:rPr>
          <w:lang w:val="en-GB"/>
        </w:rPr>
        <w:t>AMBER</w:t>
      </w:r>
    </w:p>
    <w:p w:rsidR="0009567D" w:rsidRDefault="0009567D" w:rsidP="00EA1BE6">
      <w:pPr>
        <w:pStyle w:val="BodyText1"/>
        <w:rPr>
          <w:lang w:val="en-GB"/>
        </w:rPr>
      </w:pPr>
      <w:r w:rsidRPr="0009567D">
        <w:rPr>
          <w:lang w:val="en-GB"/>
        </w:rPr>
        <w:t>Approximately 10 minutes</w:t>
      </w:r>
    </w:p>
    <w:p w:rsidR="00EA1BE6" w:rsidRPr="00103537" w:rsidRDefault="00EA1BE6" w:rsidP="00EA1BE6">
      <w:pPr>
        <w:pStyle w:val="BodyText1"/>
        <w:rPr>
          <w:u w:val="single"/>
          <w:lang w:val="en-GB"/>
        </w:rPr>
      </w:pPr>
      <w:r w:rsidRPr="00103537">
        <w:rPr>
          <w:u w:val="single"/>
          <w:lang w:val="en-GB"/>
        </w:rPr>
        <w:t>Validity</w:t>
      </w:r>
    </w:p>
    <w:p w:rsidR="00EA1BE6" w:rsidRDefault="0009567D" w:rsidP="00EA1BE6">
      <w:pPr>
        <w:pStyle w:val="BodyText1"/>
        <w:rPr>
          <w:lang w:val="en-GB"/>
        </w:rPr>
      </w:pPr>
      <w:r>
        <w:rPr>
          <w:lang w:val="en-GB"/>
        </w:rPr>
        <w:t>GREEN</w:t>
      </w:r>
    </w:p>
    <w:p w:rsidR="0009567D" w:rsidRDefault="0009567D" w:rsidP="00EA1BE6">
      <w:pPr>
        <w:pStyle w:val="BodyText1"/>
        <w:rPr>
          <w:lang w:val="en-GB"/>
        </w:rPr>
      </w:pPr>
      <w:r w:rsidRPr="0009567D">
        <w:rPr>
          <w:lang w:val="en-GB"/>
        </w:rPr>
        <w:t>Occupational therapists often validate the results of the MMSE by completing the MOCA tool.</w:t>
      </w:r>
    </w:p>
    <w:p w:rsidR="00EA1BE6" w:rsidRPr="00103537" w:rsidRDefault="00EA1BE6" w:rsidP="00EA1BE6">
      <w:pPr>
        <w:pStyle w:val="BodyText1"/>
        <w:rPr>
          <w:u w:val="single"/>
          <w:lang w:val="en-GB"/>
        </w:rPr>
      </w:pPr>
      <w:r w:rsidRPr="00103537">
        <w:rPr>
          <w:u w:val="single"/>
          <w:lang w:val="en-GB"/>
        </w:rPr>
        <w:t>Reliability</w:t>
      </w:r>
    </w:p>
    <w:p w:rsidR="00EA1BE6" w:rsidRDefault="0009567D" w:rsidP="00EA1BE6">
      <w:pPr>
        <w:pStyle w:val="BodyText1"/>
        <w:rPr>
          <w:lang w:val="en-GB"/>
        </w:rPr>
      </w:pPr>
      <w:r>
        <w:rPr>
          <w:lang w:val="en-GB"/>
        </w:rPr>
        <w:t>GREEN</w:t>
      </w:r>
    </w:p>
    <w:p w:rsidR="0009567D" w:rsidRDefault="0009567D" w:rsidP="00EA1BE6">
      <w:pPr>
        <w:pStyle w:val="BodyText1"/>
        <w:rPr>
          <w:lang w:val="en-GB"/>
        </w:rPr>
      </w:pPr>
      <w:r w:rsidRPr="0009567D">
        <w:rPr>
          <w:lang w:val="en-GB"/>
        </w:rPr>
        <w:t>Relatively reliable tool to assess cognitive function, however, results are often verified with the MoCA.</w:t>
      </w:r>
    </w:p>
    <w:p w:rsidR="00EA1BE6" w:rsidRPr="00103537" w:rsidRDefault="00EA1BE6" w:rsidP="00EA1BE6">
      <w:pPr>
        <w:pStyle w:val="BodyText1"/>
        <w:rPr>
          <w:u w:val="single"/>
          <w:lang w:val="en-GB"/>
        </w:rPr>
      </w:pPr>
      <w:r w:rsidRPr="00103537">
        <w:rPr>
          <w:u w:val="single"/>
          <w:lang w:val="en-GB"/>
        </w:rPr>
        <w:t>Training requirements</w:t>
      </w:r>
    </w:p>
    <w:p w:rsidR="00EA1BE6" w:rsidRDefault="0009567D" w:rsidP="00EA1BE6">
      <w:pPr>
        <w:pStyle w:val="BodyText1"/>
        <w:rPr>
          <w:lang w:val="en-GB"/>
        </w:rPr>
      </w:pPr>
      <w:r>
        <w:rPr>
          <w:lang w:val="en-GB"/>
        </w:rPr>
        <w:t>AMBER</w:t>
      </w:r>
    </w:p>
    <w:p w:rsidR="0009567D" w:rsidRDefault="0009567D" w:rsidP="00EA1BE6">
      <w:pPr>
        <w:pStyle w:val="BodyText1"/>
        <w:rPr>
          <w:lang w:val="en-GB"/>
        </w:rPr>
      </w:pPr>
      <w:r w:rsidRPr="0009567D">
        <w:rPr>
          <w:lang w:val="en-GB"/>
        </w:rPr>
        <w:t>Questionnaire often administered by occupational therapists, doctors and other health professionals.</w:t>
      </w:r>
    </w:p>
    <w:p w:rsidR="00EA1BE6" w:rsidRPr="00103537" w:rsidRDefault="00EA1BE6" w:rsidP="00EA1BE6">
      <w:pPr>
        <w:pStyle w:val="BodyText1"/>
        <w:rPr>
          <w:u w:val="single"/>
          <w:lang w:val="en-GB"/>
        </w:rPr>
      </w:pPr>
      <w:r w:rsidRPr="00103537">
        <w:rPr>
          <w:u w:val="single"/>
          <w:lang w:val="en-GB"/>
        </w:rPr>
        <w:t>Potential application</w:t>
      </w:r>
    </w:p>
    <w:p w:rsidR="006D1BA9" w:rsidRPr="006D1BA9" w:rsidRDefault="006D1BA9" w:rsidP="006D1BA9">
      <w:pPr>
        <w:pStyle w:val="BodyText1"/>
      </w:pPr>
      <w:r w:rsidRPr="006D1BA9">
        <w:t>When clinically indicated</w:t>
      </w:r>
    </w:p>
    <w:p w:rsidR="00EA1BE6" w:rsidRPr="00EA1BE6" w:rsidRDefault="00EA1BE6" w:rsidP="000B1D40">
      <w:pPr>
        <w:pStyle w:val="BodyText1"/>
        <w:rPr>
          <w:b/>
          <w:szCs w:val="20"/>
          <w:lang w:val="en-GB"/>
        </w:rPr>
      </w:pPr>
      <w:r w:rsidRPr="00EA1BE6">
        <w:rPr>
          <w:b/>
          <w:szCs w:val="20"/>
          <w:lang w:val="en-GB"/>
        </w:rPr>
        <w:t>CSI</w:t>
      </w:r>
      <w:r w:rsidRPr="00EA1BE6">
        <w:rPr>
          <w:rStyle w:val="FootnoteReference"/>
          <w:rFonts w:eastAsia="Calibri" w:cs="Times New Roman"/>
          <w:b/>
          <w:szCs w:val="20"/>
          <w:lang w:val="en-GB"/>
        </w:rPr>
        <w:footnoteReference w:id="87"/>
      </w:r>
    </w:p>
    <w:p w:rsidR="00EA1BE6" w:rsidRPr="00103537" w:rsidRDefault="00EA1BE6" w:rsidP="00EA1BE6">
      <w:pPr>
        <w:pStyle w:val="BodyText1"/>
        <w:rPr>
          <w:u w:val="single"/>
          <w:lang w:val="en-GB"/>
        </w:rPr>
      </w:pPr>
      <w:r w:rsidRPr="00103537">
        <w:rPr>
          <w:u w:val="single"/>
          <w:lang w:val="en-GB"/>
        </w:rPr>
        <w:t>Summary</w:t>
      </w:r>
    </w:p>
    <w:p w:rsidR="00EA1BE6" w:rsidRDefault="0009567D" w:rsidP="00EA1BE6">
      <w:pPr>
        <w:pStyle w:val="BodyText1"/>
        <w:rPr>
          <w:lang w:val="en-GB"/>
        </w:rPr>
      </w:pPr>
      <w:r w:rsidRPr="0009567D">
        <w:rPr>
          <w:lang w:val="en-GB"/>
        </w:rPr>
        <w:t>Assesses the impact on carers across three strain dimensions- perception of caregiving, care-recipient characteristics and emotional status.</w:t>
      </w:r>
    </w:p>
    <w:p w:rsidR="00EA1BE6" w:rsidRPr="00103537" w:rsidRDefault="00EA1BE6" w:rsidP="00EA1BE6">
      <w:pPr>
        <w:pStyle w:val="BodyText1"/>
        <w:rPr>
          <w:u w:val="single"/>
          <w:lang w:val="en-GB"/>
        </w:rPr>
      </w:pPr>
      <w:r w:rsidRPr="00103537">
        <w:rPr>
          <w:u w:val="single"/>
          <w:lang w:val="en-GB"/>
        </w:rPr>
        <w:t>Time to administer</w:t>
      </w:r>
    </w:p>
    <w:p w:rsidR="00EA1BE6" w:rsidRDefault="0009567D" w:rsidP="00EA1BE6">
      <w:pPr>
        <w:pStyle w:val="BodyText1"/>
        <w:rPr>
          <w:lang w:val="en-GB"/>
        </w:rPr>
      </w:pPr>
      <w:r>
        <w:rPr>
          <w:lang w:val="en-GB"/>
        </w:rPr>
        <w:t>GREEN</w:t>
      </w:r>
    </w:p>
    <w:p w:rsidR="0009567D" w:rsidRDefault="0009567D" w:rsidP="00EA1BE6">
      <w:pPr>
        <w:pStyle w:val="BodyText1"/>
        <w:rPr>
          <w:lang w:val="en-GB"/>
        </w:rPr>
      </w:pPr>
      <w:r w:rsidRPr="0009567D">
        <w:rPr>
          <w:lang w:val="en-GB"/>
        </w:rPr>
        <w:t>5 minutes.</w:t>
      </w:r>
    </w:p>
    <w:p w:rsidR="00EA1BE6" w:rsidRPr="00103537" w:rsidRDefault="00EA1BE6" w:rsidP="00EA1BE6">
      <w:pPr>
        <w:pStyle w:val="BodyText1"/>
        <w:rPr>
          <w:u w:val="single"/>
          <w:lang w:val="en-GB"/>
        </w:rPr>
      </w:pPr>
      <w:r w:rsidRPr="00103537">
        <w:rPr>
          <w:u w:val="single"/>
          <w:lang w:val="en-GB"/>
        </w:rPr>
        <w:t>Validity</w:t>
      </w:r>
    </w:p>
    <w:p w:rsidR="00EA1BE6" w:rsidRDefault="0009567D" w:rsidP="00EA1BE6">
      <w:pPr>
        <w:pStyle w:val="BodyText1"/>
        <w:rPr>
          <w:lang w:val="en-GB"/>
        </w:rPr>
      </w:pPr>
      <w:r>
        <w:rPr>
          <w:lang w:val="en-GB"/>
        </w:rPr>
        <w:t>GREEN</w:t>
      </w:r>
    </w:p>
    <w:p w:rsidR="0009567D" w:rsidRDefault="0009567D" w:rsidP="00EA1BE6">
      <w:pPr>
        <w:pStyle w:val="BodyText1"/>
        <w:rPr>
          <w:lang w:val="en-GB"/>
        </w:rPr>
      </w:pPr>
      <w:r w:rsidRPr="0009567D">
        <w:rPr>
          <w:lang w:val="en-GB"/>
        </w:rPr>
        <w:t>CSI is a useful measure to detect strain levels among informal caregivers.</w:t>
      </w:r>
    </w:p>
    <w:p w:rsidR="00EA1BE6" w:rsidRPr="00103537" w:rsidRDefault="00EA1BE6" w:rsidP="00EA1BE6">
      <w:pPr>
        <w:pStyle w:val="BodyText1"/>
        <w:rPr>
          <w:u w:val="single"/>
          <w:lang w:val="en-GB"/>
        </w:rPr>
      </w:pPr>
      <w:r w:rsidRPr="00103537">
        <w:rPr>
          <w:u w:val="single"/>
          <w:lang w:val="en-GB"/>
        </w:rPr>
        <w:t>Reliability</w:t>
      </w:r>
    </w:p>
    <w:p w:rsidR="00EA1BE6" w:rsidRDefault="0009567D" w:rsidP="00EA1BE6">
      <w:pPr>
        <w:pStyle w:val="BodyText1"/>
        <w:rPr>
          <w:lang w:val="en-GB"/>
        </w:rPr>
      </w:pPr>
      <w:r>
        <w:rPr>
          <w:lang w:val="en-GB"/>
        </w:rPr>
        <w:t>GREEN</w:t>
      </w:r>
    </w:p>
    <w:p w:rsidR="0009567D" w:rsidRDefault="0009567D" w:rsidP="00EA1BE6">
      <w:pPr>
        <w:pStyle w:val="BodyText1"/>
        <w:rPr>
          <w:lang w:val="en-GB"/>
        </w:rPr>
      </w:pPr>
      <w:r w:rsidRPr="0009567D">
        <w:rPr>
          <w:lang w:val="en-GB"/>
        </w:rPr>
        <w:t>CSI had good internal and retest reliability.</w:t>
      </w:r>
    </w:p>
    <w:p w:rsidR="00EA1BE6" w:rsidRPr="00103537" w:rsidRDefault="00EA1BE6" w:rsidP="00EA1BE6">
      <w:pPr>
        <w:pStyle w:val="BodyText1"/>
        <w:rPr>
          <w:u w:val="single"/>
          <w:lang w:val="en-GB"/>
        </w:rPr>
      </w:pPr>
      <w:r w:rsidRPr="00103537">
        <w:rPr>
          <w:u w:val="single"/>
          <w:lang w:val="en-GB"/>
        </w:rPr>
        <w:t>Training requirements</w:t>
      </w:r>
    </w:p>
    <w:p w:rsidR="00EA1BE6" w:rsidRDefault="0009567D" w:rsidP="00EA1BE6">
      <w:pPr>
        <w:pStyle w:val="BodyText1"/>
        <w:rPr>
          <w:lang w:val="en-GB"/>
        </w:rPr>
      </w:pPr>
      <w:r>
        <w:rPr>
          <w:lang w:val="en-GB"/>
        </w:rPr>
        <w:t>GREEN</w:t>
      </w:r>
    </w:p>
    <w:p w:rsidR="0009567D" w:rsidRDefault="0009567D" w:rsidP="00EA1BE6">
      <w:pPr>
        <w:pStyle w:val="BodyText1"/>
        <w:rPr>
          <w:lang w:val="en-GB"/>
        </w:rPr>
      </w:pPr>
      <w:r w:rsidRPr="0009567D">
        <w:rPr>
          <w:lang w:val="en-GB"/>
        </w:rPr>
        <w:t>Questionnaire is self-explanatory</w:t>
      </w:r>
    </w:p>
    <w:p w:rsidR="00EA1BE6" w:rsidRPr="00103537" w:rsidRDefault="00EA1BE6" w:rsidP="00EA1BE6">
      <w:pPr>
        <w:pStyle w:val="BodyText1"/>
        <w:rPr>
          <w:u w:val="single"/>
          <w:lang w:val="en-GB"/>
        </w:rPr>
      </w:pPr>
      <w:r w:rsidRPr="00103537">
        <w:rPr>
          <w:u w:val="single"/>
          <w:lang w:val="en-GB"/>
        </w:rPr>
        <w:t>Potential application</w:t>
      </w:r>
    </w:p>
    <w:p w:rsidR="00EA1BE6" w:rsidRPr="0009567D" w:rsidRDefault="0009567D" w:rsidP="0009567D">
      <w:pPr>
        <w:pStyle w:val="BodyText1"/>
      </w:pPr>
      <w:r w:rsidRPr="0009567D">
        <w:t>Consider administering to carers either routinely or when indicated.</w:t>
      </w:r>
    </w:p>
    <w:p w:rsidR="00EA1BE6" w:rsidRPr="00EA1BE6" w:rsidRDefault="00EA1BE6" w:rsidP="000B1D40">
      <w:pPr>
        <w:pStyle w:val="BodyText1"/>
        <w:rPr>
          <w:b/>
          <w:bCs/>
          <w:szCs w:val="20"/>
          <w:vertAlign w:val="superscript"/>
          <w:lang w:val="en-GB"/>
        </w:rPr>
      </w:pPr>
      <w:r w:rsidRPr="00EA1BE6">
        <w:rPr>
          <w:b/>
          <w:bCs/>
          <w:szCs w:val="20"/>
          <w:lang w:val="en-GB"/>
        </w:rPr>
        <w:t>SF-36</w:t>
      </w:r>
      <w:r w:rsidRPr="00EA1BE6">
        <w:rPr>
          <w:rStyle w:val="FootnoteReference"/>
          <w:rFonts w:eastAsia="Calibri" w:cs="Times New Roman"/>
          <w:b/>
          <w:bCs/>
          <w:szCs w:val="20"/>
          <w:lang w:val="en-GB"/>
        </w:rPr>
        <w:footnoteReference w:id="88"/>
      </w:r>
      <w:r w:rsidRPr="00EA1BE6">
        <w:rPr>
          <w:b/>
          <w:bCs/>
          <w:szCs w:val="20"/>
          <w:vertAlign w:val="superscript"/>
          <w:lang w:val="en-GB"/>
        </w:rPr>
        <w:t>,</w:t>
      </w:r>
      <w:r w:rsidRPr="00EA1BE6">
        <w:rPr>
          <w:rStyle w:val="FootnoteReference"/>
          <w:rFonts w:eastAsia="Calibri" w:cs="Times New Roman"/>
          <w:b/>
          <w:bCs/>
          <w:szCs w:val="20"/>
          <w:lang w:val="en-GB"/>
        </w:rPr>
        <w:footnoteReference w:id="89"/>
      </w:r>
      <w:r w:rsidRPr="00EA1BE6">
        <w:rPr>
          <w:b/>
          <w:bCs/>
          <w:szCs w:val="20"/>
          <w:vertAlign w:val="superscript"/>
          <w:lang w:val="en-GB"/>
        </w:rPr>
        <w:t>,</w:t>
      </w:r>
      <w:r w:rsidRPr="00EA1BE6">
        <w:rPr>
          <w:rStyle w:val="FootnoteReference"/>
          <w:rFonts w:eastAsia="Calibri" w:cs="Times New Roman"/>
          <w:b/>
          <w:bCs/>
          <w:szCs w:val="20"/>
          <w:lang w:val="en-GB"/>
        </w:rPr>
        <w:footnoteReference w:id="90"/>
      </w:r>
    </w:p>
    <w:p w:rsidR="00EA1BE6" w:rsidRPr="00103537" w:rsidRDefault="00EA1BE6" w:rsidP="00EA1BE6">
      <w:pPr>
        <w:pStyle w:val="BodyText1"/>
        <w:rPr>
          <w:u w:val="single"/>
          <w:lang w:val="en-GB"/>
        </w:rPr>
      </w:pPr>
      <w:r w:rsidRPr="00103537">
        <w:rPr>
          <w:u w:val="single"/>
          <w:lang w:val="en-GB"/>
        </w:rPr>
        <w:t>Summary</w:t>
      </w:r>
    </w:p>
    <w:p w:rsidR="0009567D" w:rsidRPr="0009567D" w:rsidRDefault="0009567D" w:rsidP="0009567D">
      <w:pPr>
        <w:pStyle w:val="BodyText1"/>
        <w:rPr>
          <w:lang w:val="en-GB"/>
        </w:rPr>
      </w:pPr>
      <w:r w:rsidRPr="0009567D">
        <w:rPr>
          <w:lang w:val="en-GB"/>
        </w:rPr>
        <w:t xml:space="preserve">Evaluates health-related quality of life across eight scales: physical functioning, role physical, bodily pain, general health, vitality, social functioning, emotional and mental health. </w:t>
      </w:r>
    </w:p>
    <w:p w:rsidR="00EA1BE6" w:rsidRDefault="0009567D" w:rsidP="0009567D">
      <w:pPr>
        <w:pStyle w:val="BodyText1"/>
        <w:rPr>
          <w:lang w:val="en-GB"/>
        </w:rPr>
      </w:pPr>
      <w:r w:rsidRPr="0009567D">
        <w:rPr>
          <w:lang w:val="en-GB"/>
        </w:rPr>
        <w:t>SF-36 can be used in general and clinical populations and make comparisons across disease groups and against the general population.</w:t>
      </w:r>
    </w:p>
    <w:p w:rsidR="00EA1BE6" w:rsidRPr="00103537" w:rsidRDefault="00EA1BE6" w:rsidP="00EA1BE6">
      <w:pPr>
        <w:pStyle w:val="BodyText1"/>
        <w:rPr>
          <w:u w:val="single"/>
          <w:lang w:val="en-GB"/>
        </w:rPr>
      </w:pPr>
      <w:r w:rsidRPr="00103537">
        <w:rPr>
          <w:u w:val="single"/>
          <w:lang w:val="en-GB"/>
        </w:rPr>
        <w:t>Time to administer</w:t>
      </w:r>
    </w:p>
    <w:p w:rsidR="00EA1BE6" w:rsidRDefault="0009567D" w:rsidP="00EA1BE6">
      <w:pPr>
        <w:pStyle w:val="BodyText1"/>
        <w:rPr>
          <w:lang w:val="en-GB"/>
        </w:rPr>
      </w:pPr>
      <w:r>
        <w:rPr>
          <w:lang w:val="en-GB"/>
        </w:rPr>
        <w:t>GREEN</w:t>
      </w:r>
    </w:p>
    <w:p w:rsidR="0009567D" w:rsidRPr="0009567D" w:rsidRDefault="0009567D" w:rsidP="0009567D">
      <w:pPr>
        <w:pStyle w:val="BodyText1"/>
        <w:rPr>
          <w:lang w:val="en-GB"/>
        </w:rPr>
      </w:pPr>
      <w:r w:rsidRPr="0009567D">
        <w:rPr>
          <w:lang w:val="en-GB"/>
        </w:rPr>
        <w:t>Self-administration, approximately 7-10 minutes.</w:t>
      </w:r>
    </w:p>
    <w:p w:rsidR="0009567D" w:rsidRDefault="0009567D" w:rsidP="0009567D">
      <w:pPr>
        <w:pStyle w:val="BodyText1"/>
        <w:rPr>
          <w:lang w:val="en-GB"/>
        </w:rPr>
      </w:pPr>
      <w:r w:rsidRPr="0009567D">
        <w:rPr>
          <w:lang w:val="en-GB"/>
        </w:rPr>
        <w:t>Interview administration by telephone, approximately 16-17 minutes.</w:t>
      </w:r>
    </w:p>
    <w:p w:rsidR="00EA1BE6" w:rsidRPr="00103537" w:rsidRDefault="00EA1BE6" w:rsidP="00EA1BE6">
      <w:pPr>
        <w:pStyle w:val="BodyText1"/>
        <w:rPr>
          <w:u w:val="single"/>
          <w:lang w:val="en-GB"/>
        </w:rPr>
      </w:pPr>
      <w:r w:rsidRPr="00103537">
        <w:rPr>
          <w:u w:val="single"/>
          <w:lang w:val="en-GB"/>
        </w:rPr>
        <w:t>Validity</w:t>
      </w:r>
    </w:p>
    <w:p w:rsidR="00EA1BE6" w:rsidRDefault="0009567D" w:rsidP="00EA1BE6">
      <w:pPr>
        <w:pStyle w:val="BodyText1"/>
        <w:rPr>
          <w:lang w:val="en-GB"/>
        </w:rPr>
      </w:pPr>
      <w:r>
        <w:rPr>
          <w:lang w:val="en-GB"/>
        </w:rPr>
        <w:t>GREEN</w:t>
      </w:r>
    </w:p>
    <w:p w:rsidR="0009567D" w:rsidRPr="0009567D" w:rsidRDefault="0009567D" w:rsidP="0009567D">
      <w:pPr>
        <w:pStyle w:val="BodyText1"/>
        <w:rPr>
          <w:lang w:val="en-GB"/>
        </w:rPr>
      </w:pPr>
      <w:r w:rsidRPr="0009567D">
        <w:rPr>
          <w:lang w:val="en-GB"/>
        </w:rPr>
        <w:t>The SF-36 has been used in specific conditions and to measure the efficacy of interventions. Measures of health status are most accurate when administered by a health professional.</w:t>
      </w:r>
    </w:p>
    <w:p w:rsidR="0009567D" w:rsidRDefault="0009567D" w:rsidP="0009567D">
      <w:pPr>
        <w:pStyle w:val="BodyText1"/>
        <w:rPr>
          <w:lang w:val="en-GB"/>
        </w:rPr>
      </w:pPr>
      <w:r w:rsidRPr="0009567D">
        <w:rPr>
          <w:lang w:val="en-GB"/>
        </w:rPr>
        <w:t>Unclear if SF-36 captures the broad range of health states. Overall validity is good and it can detect large improvements in health status. However, validity varies based on scale, setting and condition.</w:t>
      </w:r>
    </w:p>
    <w:p w:rsidR="00EA1BE6" w:rsidRPr="00103537" w:rsidRDefault="00EA1BE6" w:rsidP="00EA1BE6">
      <w:pPr>
        <w:pStyle w:val="BodyText1"/>
        <w:rPr>
          <w:u w:val="single"/>
          <w:lang w:val="en-GB"/>
        </w:rPr>
      </w:pPr>
      <w:r w:rsidRPr="00103537">
        <w:rPr>
          <w:u w:val="single"/>
          <w:lang w:val="en-GB"/>
        </w:rPr>
        <w:t>Reliability</w:t>
      </w:r>
    </w:p>
    <w:p w:rsidR="00EA1BE6" w:rsidRDefault="0009567D" w:rsidP="00EA1BE6">
      <w:pPr>
        <w:pStyle w:val="BodyText1"/>
        <w:rPr>
          <w:lang w:val="en-GB"/>
        </w:rPr>
      </w:pPr>
      <w:r>
        <w:rPr>
          <w:lang w:val="en-GB"/>
        </w:rPr>
        <w:t>AMBER</w:t>
      </w:r>
    </w:p>
    <w:p w:rsidR="0009567D" w:rsidRPr="0009567D" w:rsidRDefault="0009567D" w:rsidP="0009567D">
      <w:pPr>
        <w:pStyle w:val="BodyText1"/>
        <w:rPr>
          <w:lang w:val="en-GB"/>
        </w:rPr>
      </w:pPr>
      <w:r w:rsidRPr="0009567D">
        <w:rPr>
          <w:lang w:val="en-GB"/>
        </w:rPr>
        <w:t>Multiple studies show scores are consistently lower when self-administered compared to interviewer administered.</w:t>
      </w:r>
    </w:p>
    <w:p w:rsidR="0009567D" w:rsidRPr="0009567D" w:rsidRDefault="0009567D" w:rsidP="0009567D">
      <w:pPr>
        <w:pStyle w:val="BodyText1"/>
        <w:rPr>
          <w:lang w:val="en-GB"/>
        </w:rPr>
      </w:pPr>
      <w:r w:rsidRPr="0009567D">
        <w:rPr>
          <w:lang w:val="en-GB"/>
        </w:rPr>
        <w:t>Good internal consistency. Test-retest reliability low on mental health, role emotional role physical and vitality.</w:t>
      </w:r>
    </w:p>
    <w:p w:rsidR="0009567D" w:rsidRDefault="0009567D" w:rsidP="0009567D">
      <w:pPr>
        <w:pStyle w:val="BodyText1"/>
        <w:rPr>
          <w:lang w:val="en-GB"/>
        </w:rPr>
      </w:pPr>
      <w:r w:rsidRPr="0009567D">
        <w:rPr>
          <w:lang w:val="en-GB"/>
        </w:rPr>
        <w:t>Large intra-individual variations- most suitable for detecting treatment impact and changes at the group rather than individual level.</w:t>
      </w:r>
    </w:p>
    <w:p w:rsidR="00EA1BE6" w:rsidRPr="00103537" w:rsidRDefault="00EA1BE6" w:rsidP="00EA1BE6">
      <w:pPr>
        <w:pStyle w:val="BodyText1"/>
        <w:rPr>
          <w:u w:val="single"/>
          <w:lang w:val="en-GB"/>
        </w:rPr>
      </w:pPr>
      <w:r w:rsidRPr="00103537">
        <w:rPr>
          <w:u w:val="single"/>
          <w:lang w:val="en-GB"/>
        </w:rPr>
        <w:t>Training requirements</w:t>
      </w:r>
    </w:p>
    <w:p w:rsidR="00EA1BE6" w:rsidRDefault="0009567D" w:rsidP="0009567D">
      <w:pPr>
        <w:pStyle w:val="BodyText1"/>
        <w:rPr>
          <w:lang w:val="en-GB"/>
        </w:rPr>
      </w:pPr>
      <w:r>
        <w:rPr>
          <w:lang w:val="en-GB"/>
        </w:rPr>
        <w:t>RED</w:t>
      </w:r>
    </w:p>
    <w:p w:rsidR="0009567D" w:rsidRPr="0009567D" w:rsidRDefault="0009567D" w:rsidP="0009567D">
      <w:pPr>
        <w:pStyle w:val="BodyText1"/>
        <w:rPr>
          <w:lang w:val="en-GB"/>
        </w:rPr>
      </w:pPr>
      <w:r w:rsidRPr="0009567D">
        <w:rPr>
          <w:lang w:val="en-GB"/>
        </w:rPr>
        <w:t xml:space="preserve">Questionnaire is self-explanatory. </w:t>
      </w:r>
    </w:p>
    <w:p w:rsidR="0009567D" w:rsidRDefault="0009567D" w:rsidP="0009567D">
      <w:pPr>
        <w:pStyle w:val="BodyText1"/>
        <w:rPr>
          <w:lang w:val="en-GB"/>
        </w:rPr>
      </w:pPr>
      <w:r w:rsidRPr="0009567D">
        <w:rPr>
          <w:lang w:val="en-GB"/>
        </w:rPr>
        <w:t>The scale contribute in different proportions to 2 aggregate measures- physical and mental component summaries (PCS &amp; MCS). Australia has a country-specific weighting. Computerised scoring algorithms can be purchased and requires basic knowledge of statistical software.</w:t>
      </w:r>
    </w:p>
    <w:p w:rsidR="00EA1BE6" w:rsidRPr="00103537" w:rsidRDefault="00EA1BE6" w:rsidP="00EA1BE6">
      <w:pPr>
        <w:pStyle w:val="BodyText1"/>
        <w:rPr>
          <w:u w:val="single"/>
          <w:lang w:val="en-GB"/>
        </w:rPr>
      </w:pPr>
      <w:r w:rsidRPr="00103537">
        <w:rPr>
          <w:u w:val="single"/>
          <w:lang w:val="en-GB"/>
        </w:rPr>
        <w:t>Potential application</w:t>
      </w:r>
    </w:p>
    <w:p w:rsidR="00EA1BE6" w:rsidRPr="0009567D" w:rsidRDefault="0009567D" w:rsidP="0009567D">
      <w:pPr>
        <w:pStyle w:val="BodyText1"/>
      </w:pPr>
      <w:r w:rsidRPr="0009567D">
        <w:t>The TCP provides a holistic care approach, but much of this in not currently captured. SF-36 can be used to assess the impact on quality of life of the TCP on entry and exit.</w:t>
      </w:r>
    </w:p>
    <w:p w:rsidR="00EA1BE6" w:rsidRPr="00EA1BE6" w:rsidRDefault="00EA1BE6" w:rsidP="000B1D40">
      <w:pPr>
        <w:pStyle w:val="BodyText1"/>
        <w:rPr>
          <w:rFonts w:eastAsia="Calibri" w:cs="Times New Roman"/>
          <w:b/>
          <w:bCs/>
          <w:szCs w:val="20"/>
          <w:vertAlign w:val="superscript"/>
          <w:lang w:val="en-GB"/>
        </w:rPr>
      </w:pPr>
      <w:r w:rsidRPr="00EA1BE6">
        <w:rPr>
          <w:rFonts w:eastAsia="Calibri" w:cs="Times New Roman"/>
          <w:b/>
          <w:bCs/>
          <w:szCs w:val="20"/>
          <w:lang w:val="en-GB"/>
        </w:rPr>
        <w:t>SF-12</w:t>
      </w:r>
      <w:r w:rsidRPr="00EA1BE6">
        <w:rPr>
          <w:rStyle w:val="FootnoteReference"/>
          <w:rFonts w:eastAsia="Calibri" w:cs="Times New Roman"/>
          <w:b/>
          <w:bCs/>
          <w:szCs w:val="20"/>
          <w:lang w:val="en-GB"/>
        </w:rPr>
        <w:footnoteReference w:id="91"/>
      </w:r>
      <w:r w:rsidRPr="00EA1BE6">
        <w:rPr>
          <w:rFonts w:eastAsia="Calibri" w:cs="Times New Roman"/>
          <w:b/>
          <w:bCs/>
          <w:szCs w:val="20"/>
          <w:vertAlign w:val="superscript"/>
          <w:lang w:val="en-GB"/>
        </w:rPr>
        <w:t>,</w:t>
      </w:r>
      <w:r w:rsidRPr="00EA1BE6">
        <w:rPr>
          <w:rStyle w:val="FootnoteReference"/>
          <w:rFonts w:eastAsia="Calibri" w:cs="Times New Roman"/>
          <w:b/>
          <w:bCs/>
          <w:szCs w:val="20"/>
          <w:lang w:val="en-GB"/>
        </w:rPr>
        <w:footnoteReference w:id="92"/>
      </w:r>
    </w:p>
    <w:p w:rsidR="00EA1BE6" w:rsidRPr="00103537" w:rsidRDefault="00EA1BE6" w:rsidP="00EA1BE6">
      <w:pPr>
        <w:pStyle w:val="BodyText1"/>
        <w:rPr>
          <w:u w:val="single"/>
          <w:lang w:val="en-GB"/>
        </w:rPr>
      </w:pPr>
      <w:r w:rsidRPr="00103537">
        <w:rPr>
          <w:u w:val="single"/>
          <w:lang w:val="en-GB"/>
        </w:rPr>
        <w:t>Summary</w:t>
      </w:r>
    </w:p>
    <w:p w:rsidR="00EA1BE6" w:rsidRDefault="0009567D" w:rsidP="00EA1BE6">
      <w:pPr>
        <w:pStyle w:val="BodyText1"/>
        <w:rPr>
          <w:lang w:val="en-GB"/>
        </w:rPr>
      </w:pPr>
      <w:r w:rsidRPr="0009567D">
        <w:rPr>
          <w:lang w:val="en-GB"/>
        </w:rPr>
        <w:t>The SF-12 is a shorter version of the SF-36 that uses 12 instead of 36 to assess health-related quality of life, but covers the same eight domains as SF-36. Sf-12 reproduces the two summary scores of SF-36 (the physical component summary [PCS] and mental component scores [MCS])</w:t>
      </w:r>
    </w:p>
    <w:p w:rsidR="00EA1BE6" w:rsidRPr="00103537" w:rsidRDefault="00EA1BE6" w:rsidP="00EA1BE6">
      <w:pPr>
        <w:pStyle w:val="BodyText1"/>
        <w:rPr>
          <w:u w:val="single"/>
          <w:lang w:val="en-GB"/>
        </w:rPr>
      </w:pPr>
      <w:r w:rsidRPr="00103537">
        <w:rPr>
          <w:u w:val="single"/>
          <w:lang w:val="en-GB"/>
        </w:rPr>
        <w:t>Time to administer</w:t>
      </w:r>
    </w:p>
    <w:p w:rsidR="00EA1BE6" w:rsidRDefault="0009567D" w:rsidP="00EA1BE6">
      <w:pPr>
        <w:pStyle w:val="BodyText1"/>
        <w:rPr>
          <w:lang w:val="en-GB"/>
        </w:rPr>
      </w:pPr>
      <w:r>
        <w:rPr>
          <w:lang w:val="en-GB"/>
        </w:rPr>
        <w:t>GREEN</w:t>
      </w:r>
    </w:p>
    <w:p w:rsidR="0009567D" w:rsidRPr="0009567D" w:rsidRDefault="0009567D" w:rsidP="0009567D">
      <w:pPr>
        <w:pStyle w:val="BodyText1"/>
        <w:rPr>
          <w:lang w:val="en-GB"/>
        </w:rPr>
      </w:pPr>
      <w:r w:rsidRPr="0009567D">
        <w:rPr>
          <w:lang w:val="en-GB"/>
        </w:rPr>
        <w:t xml:space="preserve">Can be self-administered, takes 2-3 minutes. </w:t>
      </w:r>
    </w:p>
    <w:p w:rsidR="0009567D" w:rsidRDefault="0009567D" w:rsidP="0009567D">
      <w:pPr>
        <w:pStyle w:val="BodyText1"/>
        <w:rPr>
          <w:lang w:val="en-GB"/>
        </w:rPr>
      </w:pPr>
      <w:r w:rsidRPr="0009567D">
        <w:rPr>
          <w:lang w:val="en-GB"/>
        </w:rPr>
        <w:t>Self and interview administration as low as one third the time of SF-36.</w:t>
      </w:r>
    </w:p>
    <w:p w:rsidR="00EA1BE6" w:rsidRPr="00103537" w:rsidRDefault="00EA1BE6" w:rsidP="00EA1BE6">
      <w:pPr>
        <w:pStyle w:val="BodyText1"/>
        <w:rPr>
          <w:u w:val="single"/>
          <w:lang w:val="en-GB"/>
        </w:rPr>
      </w:pPr>
      <w:r w:rsidRPr="00103537">
        <w:rPr>
          <w:u w:val="single"/>
          <w:lang w:val="en-GB"/>
        </w:rPr>
        <w:t>Validity</w:t>
      </w:r>
    </w:p>
    <w:p w:rsidR="00EA1BE6" w:rsidRDefault="0009567D" w:rsidP="00EA1BE6">
      <w:pPr>
        <w:pStyle w:val="BodyText1"/>
        <w:rPr>
          <w:lang w:val="en-GB"/>
        </w:rPr>
      </w:pPr>
      <w:r>
        <w:rPr>
          <w:lang w:val="en-GB"/>
        </w:rPr>
        <w:t>AMBER</w:t>
      </w:r>
    </w:p>
    <w:p w:rsidR="0009567D" w:rsidRDefault="0009567D" w:rsidP="00EA1BE6">
      <w:pPr>
        <w:pStyle w:val="BodyText1"/>
        <w:rPr>
          <w:lang w:val="en-GB"/>
        </w:rPr>
      </w:pPr>
      <w:r w:rsidRPr="0009567D">
        <w:rPr>
          <w:lang w:val="en-GB"/>
        </w:rPr>
        <w:t>SF-12 is able to reproduce the PCS and MCS of SF-36 with a similar ability to check changes in health status. However, SF-12 is less well-researched than SF-36 so findings are not necessarily transferrable.</w:t>
      </w:r>
    </w:p>
    <w:p w:rsidR="00EA1BE6" w:rsidRPr="00103537" w:rsidRDefault="00EA1BE6" w:rsidP="00EA1BE6">
      <w:pPr>
        <w:pStyle w:val="BodyText1"/>
        <w:rPr>
          <w:u w:val="single"/>
          <w:lang w:val="en-GB"/>
        </w:rPr>
      </w:pPr>
      <w:r w:rsidRPr="00103537">
        <w:rPr>
          <w:u w:val="single"/>
          <w:lang w:val="en-GB"/>
        </w:rPr>
        <w:t>Reliability</w:t>
      </w:r>
    </w:p>
    <w:p w:rsidR="00EA1BE6" w:rsidRDefault="0009567D" w:rsidP="00EA1BE6">
      <w:pPr>
        <w:pStyle w:val="BodyText1"/>
        <w:rPr>
          <w:lang w:val="en-GB"/>
        </w:rPr>
      </w:pPr>
      <w:r>
        <w:rPr>
          <w:lang w:val="en-GB"/>
        </w:rPr>
        <w:t>AMBER</w:t>
      </w:r>
    </w:p>
    <w:p w:rsidR="0009567D" w:rsidRDefault="0009567D" w:rsidP="00EA1BE6">
      <w:pPr>
        <w:pStyle w:val="BodyText1"/>
        <w:rPr>
          <w:lang w:val="en-GB"/>
        </w:rPr>
      </w:pPr>
      <w:r w:rsidRPr="0009567D">
        <w:rPr>
          <w:lang w:val="en-GB"/>
        </w:rPr>
        <w:t>The internal consistency is high and test-retest reliability is good in the general population. However more evidence is required in clinical settings.</w:t>
      </w:r>
    </w:p>
    <w:p w:rsidR="00EA1BE6" w:rsidRPr="00103537" w:rsidRDefault="00EA1BE6" w:rsidP="00EA1BE6">
      <w:pPr>
        <w:pStyle w:val="BodyText1"/>
        <w:rPr>
          <w:u w:val="single"/>
          <w:lang w:val="en-GB"/>
        </w:rPr>
      </w:pPr>
      <w:r w:rsidRPr="00103537">
        <w:rPr>
          <w:u w:val="single"/>
          <w:lang w:val="en-GB"/>
        </w:rPr>
        <w:t>Training requirements</w:t>
      </w:r>
    </w:p>
    <w:p w:rsidR="00EA1BE6" w:rsidRDefault="0009567D" w:rsidP="00EA1BE6">
      <w:pPr>
        <w:pStyle w:val="BodyText1"/>
        <w:rPr>
          <w:lang w:val="en-GB"/>
        </w:rPr>
      </w:pPr>
      <w:r>
        <w:rPr>
          <w:lang w:val="en-GB"/>
        </w:rPr>
        <w:t>RED</w:t>
      </w:r>
    </w:p>
    <w:p w:rsidR="0009567D" w:rsidRPr="0009567D" w:rsidRDefault="0009567D" w:rsidP="0009567D">
      <w:pPr>
        <w:pStyle w:val="BodyText1"/>
        <w:rPr>
          <w:lang w:val="en-GB"/>
        </w:rPr>
      </w:pPr>
      <w:r w:rsidRPr="0009567D">
        <w:rPr>
          <w:lang w:val="en-GB"/>
        </w:rPr>
        <w:t xml:space="preserve">Questionnaire is self-explanatory. </w:t>
      </w:r>
    </w:p>
    <w:p w:rsidR="0009567D" w:rsidRDefault="0009567D" w:rsidP="0009567D">
      <w:pPr>
        <w:pStyle w:val="BodyText1"/>
        <w:rPr>
          <w:lang w:val="en-GB"/>
        </w:rPr>
      </w:pPr>
      <w:r w:rsidRPr="0009567D">
        <w:rPr>
          <w:lang w:val="en-GB"/>
        </w:rPr>
        <w:t>However, like SF-36, SF-12 uses country-specific weights and computerised scoring algorithms.</w:t>
      </w:r>
    </w:p>
    <w:p w:rsidR="00EA1BE6" w:rsidRPr="00103537" w:rsidRDefault="00EA1BE6" w:rsidP="00EA1BE6">
      <w:pPr>
        <w:pStyle w:val="BodyText1"/>
        <w:rPr>
          <w:u w:val="single"/>
          <w:lang w:val="en-GB"/>
        </w:rPr>
      </w:pPr>
      <w:r w:rsidRPr="00103537">
        <w:rPr>
          <w:u w:val="single"/>
          <w:lang w:val="en-GB"/>
        </w:rPr>
        <w:t>Potential application</w:t>
      </w:r>
    </w:p>
    <w:p w:rsidR="00EA1BE6" w:rsidRPr="0009567D" w:rsidRDefault="0009567D" w:rsidP="0009567D">
      <w:pPr>
        <w:pStyle w:val="BodyText1"/>
      </w:pPr>
      <w:r w:rsidRPr="0009567D">
        <w:t>Similar to SF-36 with lower administration times. However, more research is needed to determine its comparability with SF-36 and applications in specific clinical settings.</w:t>
      </w:r>
    </w:p>
    <w:p w:rsidR="00EA1BE6" w:rsidRPr="00EA1BE6" w:rsidRDefault="00EA1BE6" w:rsidP="000B1D40">
      <w:pPr>
        <w:pStyle w:val="BodyText1"/>
        <w:rPr>
          <w:b/>
          <w:szCs w:val="20"/>
          <w:lang w:val="en-GB"/>
        </w:rPr>
      </w:pPr>
      <w:r w:rsidRPr="00EA1BE6">
        <w:rPr>
          <w:b/>
          <w:szCs w:val="20"/>
          <w:lang w:val="en-GB"/>
        </w:rPr>
        <w:t>NHP</w:t>
      </w:r>
      <w:r w:rsidRPr="00EA1BE6">
        <w:rPr>
          <w:rStyle w:val="FootnoteReference"/>
          <w:rFonts w:eastAsia="Calibri" w:cs="Times New Roman"/>
          <w:b/>
          <w:szCs w:val="20"/>
          <w:lang w:val="en-GB"/>
        </w:rPr>
        <w:footnoteReference w:id="93"/>
      </w:r>
      <w:r w:rsidRPr="00EA1BE6">
        <w:rPr>
          <w:b/>
          <w:szCs w:val="20"/>
          <w:vertAlign w:val="superscript"/>
          <w:lang w:val="en-GB"/>
        </w:rPr>
        <w:t>,</w:t>
      </w:r>
      <w:r w:rsidRPr="00EA1BE6">
        <w:rPr>
          <w:rStyle w:val="FootnoteReference"/>
          <w:rFonts w:eastAsia="Calibri" w:cs="Times New Roman"/>
          <w:b/>
          <w:szCs w:val="20"/>
          <w:lang w:val="en-GB"/>
        </w:rPr>
        <w:footnoteReference w:id="94"/>
      </w:r>
    </w:p>
    <w:p w:rsidR="00EA1BE6" w:rsidRPr="00103537" w:rsidRDefault="00EA1BE6" w:rsidP="00EA1BE6">
      <w:pPr>
        <w:pStyle w:val="BodyText1"/>
        <w:rPr>
          <w:u w:val="single"/>
          <w:lang w:val="en-GB"/>
        </w:rPr>
      </w:pPr>
      <w:r w:rsidRPr="00103537">
        <w:rPr>
          <w:u w:val="single"/>
          <w:lang w:val="en-GB"/>
        </w:rPr>
        <w:t>Summary</w:t>
      </w:r>
    </w:p>
    <w:p w:rsidR="00EA1BE6" w:rsidRDefault="0009567D" w:rsidP="00EA1BE6">
      <w:pPr>
        <w:pStyle w:val="BodyText1"/>
        <w:rPr>
          <w:lang w:val="en-GB"/>
        </w:rPr>
      </w:pPr>
      <w:r w:rsidRPr="0009567D">
        <w:rPr>
          <w:lang w:val="en-GB"/>
        </w:rPr>
        <w:t>Measures the impact of illness on care recipients and changes in health status over time. Part 1 covers the health status of the individual (energy levels, pain, emotional reactions, sleep, social isolation and physical abilities); part 2 the impact of ill health on daily life (paid employment, home duties, social life, home life, sex life, interests, hobbies and vacations). Can be used to make comparisons across disease groups.</w:t>
      </w:r>
    </w:p>
    <w:p w:rsidR="00EA1BE6" w:rsidRPr="00103537" w:rsidRDefault="00EA1BE6" w:rsidP="00EA1BE6">
      <w:pPr>
        <w:pStyle w:val="BodyText1"/>
        <w:rPr>
          <w:u w:val="single"/>
          <w:lang w:val="en-GB"/>
        </w:rPr>
      </w:pPr>
      <w:r w:rsidRPr="00103537">
        <w:rPr>
          <w:u w:val="single"/>
          <w:lang w:val="en-GB"/>
        </w:rPr>
        <w:t>Time to administer</w:t>
      </w:r>
    </w:p>
    <w:p w:rsidR="00EA1BE6" w:rsidRDefault="0009567D" w:rsidP="00EA1BE6">
      <w:pPr>
        <w:pStyle w:val="BodyText1"/>
        <w:rPr>
          <w:lang w:val="en-GB"/>
        </w:rPr>
      </w:pPr>
      <w:r>
        <w:rPr>
          <w:lang w:val="en-GB"/>
        </w:rPr>
        <w:t>GREEN</w:t>
      </w:r>
    </w:p>
    <w:p w:rsidR="0009567D" w:rsidRDefault="0009567D" w:rsidP="00EA1BE6">
      <w:pPr>
        <w:pStyle w:val="BodyText1"/>
        <w:rPr>
          <w:lang w:val="en-GB"/>
        </w:rPr>
      </w:pPr>
      <w:r w:rsidRPr="0009567D">
        <w:rPr>
          <w:lang w:val="en-GB"/>
        </w:rPr>
        <w:t>Self-administration, approximately 5-10 minutes to complete.</w:t>
      </w:r>
    </w:p>
    <w:p w:rsidR="00EA1BE6" w:rsidRPr="00103537" w:rsidRDefault="00EA1BE6" w:rsidP="00EA1BE6">
      <w:pPr>
        <w:pStyle w:val="BodyText1"/>
        <w:rPr>
          <w:u w:val="single"/>
          <w:lang w:val="en-GB"/>
        </w:rPr>
      </w:pPr>
      <w:r w:rsidRPr="00103537">
        <w:rPr>
          <w:u w:val="single"/>
          <w:lang w:val="en-GB"/>
        </w:rPr>
        <w:t>Validity</w:t>
      </w:r>
    </w:p>
    <w:p w:rsidR="00EA1BE6" w:rsidRDefault="0009567D" w:rsidP="00EA1BE6">
      <w:pPr>
        <w:pStyle w:val="BodyText1"/>
        <w:rPr>
          <w:lang w:val="en-GB"/>
        </w:rPr>
      </w:pPr>
      <w:r>
        <w:rPr>
          <w:lang w:val="en-GB"/>
        </w:rPr>
        <w:t>GREEN</w:t>
      </w:r>
    </w:p>
    <w:p w:rsidR="0009567D" w:rsidRPr="0009567D" w:rsidRDefault="0009567D" w:rsidP="0009567D">
      <w:pPr>
        <w:pStyle w:val="BodyText1"/>
        <w:rPr>
          <w:lang w:val="en-GB"/>
        </w:rPr>
      </w:pPr>
      <w:r w:rsidRPr="0009567D">
        <w:rPr>
          <w:lang w:val="en-GB"/>
        </w:rPr>
        <w:t xml:space="preserve">NHP has been used in a range of conditions and to measure changes in health status following surgical and rehabilitation interventions. </w:t>
      </w:r>
    </w:p>
    <w:p w:rsidR="0009567D" w:rsidRDefault="0009567D" w:rsidP="0009567D">
      <w:pPr>
        <w:pStyle w:val="BodyText1"/>
        <w:rPr>
          <w:lang w:val="en-GB"/>
        </w:rPr>
      </w:pPr>
      <w:r w:rsidRPr="0009567D">
        <w:rPr>
          <w:lang w:val="en-GB"/>
        </w:rPr>
        <w:t>Good construct validity. Lower sensitivity to change in condition than comparable instruments.</w:t>
      </w:r>
    </w:p>
    <w:p w:rsidR="00EA1BE6" w:rsidRPr="00103537" w:rsidRDefault="00EA1BE6" w:rsidP="00EA1BE6">
      <w:pPr>
        <w:pStyle w:val="BodyText1"/>
        <w:rPr>
          <w:u w:val="single"/>
          <w:lang w:val="en-GB"/>
        </w:rPr>
      </w:pPr>
      <w:r w:rsidRPr="00103537">
        <w:rPr>
          <w:u w:val="single"/>
          <w:lang w:val="en-GB"/>
        </w:rPr>
        <w:t>Reliability</w:t>
      </w:r>
    </w:p>
    <w:p w:rsidR="00EA1BE6" w:rsidRDefault="0009567D" w:rsidP="00EA1BE6">
      <w:pPr>
        <w:pStyle w:val="BodyText1"/>
        <w:rPr>
          <w:lang w:val="en-GB"/>
        </w:rPr>
      </w:pPr>
      <w:r>
        <w:rPr>
          <w:lang w:val="en-GB"/>
        </w:rPr>
        <w:t>AMBER</w:t>
      </w:r>
    </w:p>
    <w:p w:rsidR="0009567D" w:rsidRPr="0009567D" w:rsidRDefault="0009567D" w:rsidP="0009567D">
      <w:pPr>
        <w:pStyle w:val="BodyText1"/>
        <w:rPr>
          <w:lang w:val="en-GB"/>
        </w:rPr>
      </w:pPr>
      <w:r w:rsidRPr="0009567D">
        <w:rPr>
          <w:lang w:val="en-GB"/>
        </w:rPr>
        <w:t>Good internal consistency.</w:t>
      </w:r>
    </w:p>
    <w:p w:rsidR="0009567D" w:rsidRDefault="0009567D" w:rsidP="0009567D">
      <w:pPr>
        <w:pStyle w:val="BodyText1"/>
        <w:rPr>
          <w:lang w:val="en-GB"/>
        </w:rPr>
      </w:pPr>
      <w:r w:rsidRPr="0009567D">
        <w:rPr>
          <w:lang w:val="en-GB"/>
        </w:rPr>
        <w:t>Test-retest reliability is good, but low in emotion and social domains.</w:t>
      </w:r>
    </w:p>
    <w:p w:rsidR="00EA1BE6" w:rsidRPr="00103537" w:rsidRDefault="00EA1BE6" w:rsidP="00EA1BE6">
      <w:pPr>
        <w:pStyle w:val="BodyText1"/>
        <w:rPr>
          <w:u w:val="single"/>
          <w:lang w:val="en-GB"/>
        </w:rPr>
      </w:pPr>
      <w:r w:rsidRPr="00103537">
        <w:rPr>
          <w:u w:val="single"/>
          <w:lang w:val="en-GB"/>
        </w:rPr>
        <w:t>Training requirements</w:t>
      </w:r>
    </w:p>
    <w:p w:rsidR="00EA1BE6" w:rsidRDefault="0009567D" w:rsidP="00EA1BE6">
      <w:pPr>
        <w:pStyle w:val="BodyText1"/>
        <w:rPr>
          <w:lang w:val="en-GB"/>
        </w:rPr>
      </w:pPr>
      <w:r>
        <w:rPr>
          <w:lang w:val="en-GB"/>
        </w:rPr>
        <w:t>RED</w:t>
      </w:r>
    </w:p>
    <w:p w:rsidR="0009567D" w:rsidRPr="0009567D" w:rsidRDefault="0009567D" w:rsidP="0009567D">
      <w:pPr>
        <w:pStyle w:val="BodyText1"/>
        <w:rPr>
          <w:lang w:val="en-GB"/>
        </w:rPr>
      </w:pPr>
      <w:r w:rsidRPr="0009567D">
        <w:rPr>
          <w:lang w:val="en-GB"/>
        </w:rPr>
        <w:t xml:space="preserve">Questionnaire is self-explanatory. It is designed to be self-administered. </w:t>
      </w:r>
    </w:p>
    <w:p w:rsidR="0009567D" w:rsidRDefault="0009567D" w:rsidP="0009567D">
      <w:pPr>
        <w:pStyle w:val="BodyText1"/>
        <w:rPr>
          <w:lang w:val="en-GB"/>
        </w:rPr>
      </w:pPr>
      <w:r w:rsidRPr="0009567D">
        <w:rPr>
          <w:lang w:val="en-GB"/>
        </w:rPr>
        <w:t>Scoring can be cumbersome if done by hand- a scoring algorithm can be purchased. However, no specific training is required for scoring or administration.</w:t>
      </w:r>
    </w:p>
    <w:p w:rsidR="00EA1BE6" w:rsidRPr="00103537" w:rsidRDefault="00EA1BE6" w:rsidP="00EA1BE6">
      <w:pPr>
        <w:pStyle w:val="BodyText1"/>
        <w:rPr>
          <w:u w:val="single"/>
          <w:lang w:val="en-GB"/>
        </w:rPr>
      </w:pPr>
      <w:r w:rsidRPr="00103537">
        <w:rPr>
          <w:u w:val="single"/>
          <w:lang w:val="en-GB"/>
        </w:rPr>
        <w:t>Potential application</w:t>
      </w:r>
    </w:p>
    <w:p w:rsidR="00EA1BE6" w:rsidRPr="0009567D" w:rsidRDefault="0009567D" w:rsidP="0009567D">
      <w:pPr>
        <w:pStyle w:val="BodyText1"/>
      </w:pPr>
      <w:r w:rsidRPr="0009567D">
        <w:t>Similarly, NHP can be used to capture QoL and the impact of holistic care delivered by the TCP.</w:t>
      </w:r>
    </w:p>
    <w:p w:rsidR="0009567D" w:rsidRDefault="0009567D">
      <w:pPr>
        <w:spacing w:before="0" w:after="160" w:line="259" w:lineRule="auto"/>
        <w:rPr>
          <w:lang w:val="en-GB"/>
        </w:rPr>
      </w:pPr>
      <w:r>
        <w:rPr>
          <w:lang w:val="en-GB"/>
        </w:rPr>
        <w:br w:type="page"/>
      </w:r>
    </w:p>
    <w:p w:rsidR="00036832" w:rsidRDefault="00DA0D95" w:rsidP="00DA0D95">
      <w:pPr>
        <w:pStyle w:val="Appendixheading"/>
        <w:rPr>
          <w:lang w:val="en-GB"/>
        </w:rPr>
      </w:pPr>
      <w:bookmarkStart w:id="41" w:name="_Ref290771"/>
      <w:bookmarkStart w:id="42" w:name="_Toc5270610"/>
      <w:bookmarkEnd w:id="38"/>
      <w:r w:rsidRPr="007F1A00">
        <w:rPr>
          <w:lang w:val="en-GB"/>
        </w:rPr>
        <w:t xml:space="preserve">: </w:t>
      </w:r>
      <w:r w:rsidR="00036832">
        <w:rPr>
          <w:lang w:val="en-GB"/>
        </w:rPr>
        <w:t>Location of care recipients</w:t>
      </w:r>
      <w:bookmarkEnd w:id="41"/>
      <w:bookmarkEnd w:id="42"/>
    </w:p>
    <w:p w:rsidR="00036832" w:rsidRDefault="00036832" w:rsidP="00522748">
      <w:pPr>
        <w:pStyle w:val="BodyText1"/>
        <w:rPr>
          <w:lang w:val="en-GB"/>
        </w:rPr>
      </w:pPr>
      <w:r>
        <w:rPr>
          <w:lang w:val="en-GB"/>
        </w:rPr>
        <w:t>This section examines where care recipients reside in Australia. While majority of service provision will occur within this geographical location – or close by – it is possible that some care recipients in rural and remote areas would have received their care in a location different from their home address. This is most likely true for those clients who received their care in a residential setting; however, the reviewers believe this number to be small and the following maps indicative of where service provision actually occurs.</w:t>
      </w:r>
    </w:p>
    <w:p w:rsidR="007A471F" w:rsidRPr="00860A83" w:rsidRDefault="007A471F" w:rsidP="007A471F">
      <w:pPr>
        <w:pStyle w:val="AppendixHeading2"/>
      </w:pPr>
      <w:r w:rsidRPr="007A471F">
        <w:rPr>
          <w:lang w:val="en-GB"/>
        </w:rPr>
        <w:t>Analysis of TCP data by financial year and postcode/suburb</w:t>
      </w:r>
    </w:p>
    <w:p w:rsidR="007A471F" w:rsidRPr="00BE223B" w:rsidRDefault="007A471F" w:rsidP="006B0BBA">
      <w:pPr>
        <w:pStyle w:val="BodyText1"/>
        <w:rPr>
          <w:lang w:val="en-GB"/>
        </w:rPr>
      </w:pPr>
      <w:r>
        <w:rPr>
          <w:lang w:val="en-GB"/>
        </w:rPr>
        <w:t>Supplied TCP data provided insights into the number of clients, the number of episodes and the days of support and the location of these clients (postcode and suburb) for the period 2005/06 to 2017/18. The data was supplied with some caveats. These included:</w:t>
      </w:r>
    </w:p>
    <w:p w:rsidR="007A471F" w:rsidRDefault="007A471F" w:rsidP="006B0BBA">
      <w:pPr>
        <w:pStyle w:val="Bullet1stlevel"/>
        <w:rPr>
          <w:lang w:val="en-GB"/>
        </w:rPr>
      </w:pPr>
      <w:r w:rsidRPr="00BE223B">
        <w:rPr>
          <w:lang w:val="en-GB"/>
        </w:rPr>
        <w:t>Data extracted 29 January 2019.  Results may vary from published results due to retrospective changes to the data.</w:t>
      </w:r>
    </w:p>
    <w:p w:rsidR="007A471F" w:rsidRDefault="007A471F" w:rsidP="006B0BBA">
      <w:pPr>
        <w:pStyle w:val="Bullet1stlevel"/>
        <w:rPr>
          <w:lang w:val="en-GB"/>
        </w:rPr>
      </w:pPr>
      <w:r w:rsidRPr="00BE223B">
        <w:rPr>
          <w:lang w:val="en-GB"/>
        </w:rPr>
        <w:t>Location is based on the client record, rather than the location of the service provider.</w:t>
      </w:r>
      <w:r>
        <w:rPr>
          <w:lang w:val="en-GB"/>
        </w:rPr>
        <w:t xml:space="preserve"> On this point some postcodes in the supplied data were special postcodes or PO boxes.</w:t>
      </w:r>
      <w:r>
        <w:rPr>
          <w:rStyle w:val="FootnoteReference"/>
          <w:lang w:val="en-GB"/>
        </w:rPr>
        <w:footnoteReference w:id="95"/>
      </w:r>
      <w:r>
        <w:rPr>
          <w:lang w:val="en-GB"/>
        </w:rPr>
        <w:t xml:space="preserve"> </w:t>
      </w:r>
    </w:p>
    <w:p w:rsidR="007A471F" w:rsidRDefault="007A471F" w:rsidP="006B0BBA">
      <w:pPr>
        <w:pStyle w:val="Bullet1stlevel"/>
        <w:rPr>
          <w:lang w:val="en-GB"/>
        </w:rPr>
      </w:pPr>
      <w:r w:rsidRPr="00BE223B">
        <w:rPr>
          <w:lang w:val="en-GB"/>
        </w:rPr>
        <w:t>Episodes of care ongoing at 30 June 2018 have been excluded.</w:t>
      </w:r>
      <w:r>
        <w:rPr>
          <w:lang w:val="en-GB"/>
        </w:rPr>
        <w:t xml:space="preserve"> This explains the lower count of clients in 2017/18.</w:t>
      </w:r>
    </w:p>
    <w:p w:rsidR="007A471F" w:rsidRDefault="007A471F" w:rsidP="006B0BBA">
      <w:pPr>
        <w:pStyle w:val="BodyText1"/>
        <w:rPr>
          <w:lang w:val="en-GB"/>
        </w:rPr>
      </w:pPr>
      <w:r>
        <w:rPr>
          <w:lang w:val="en-GB"/>
        </w:rPr>
        <w:t xml:space="preserve">TCP can be provided for a period of 12 weeks (84 days) with an extension of a further 6 weeks (42 days). There were instances throughout the data where support had been provided for longer than this maximum of 126 days (84 + 42). These could only be identified for postcodes that had one client, one episode of care and a total day figure. For example there was an instance of a client receiving 224 days of support in 2016/17. </w:t>
      </w:r>
    </w:p>
    <w:p w:rsidR="007A471F" w:rsidRDefault="007A471F" w:rsidP="006B0BBA">
      <w:pPr>
        <w:pStyle w:val="BodyText1"/>
        <w:rPr>
          <w:lang w:val="en-GB"/>
        </w:rPr>
      </w:pPr>
      <w:r>
        <w:rPr>
          <w:lang w:val="en-GB"/>
        </w:rPr>
        <w:t>To supplement this data Australian Bureau of Statistics correspondences were used to code the postcodes to remoteness areas</w:t>
      </w:r>
      <w:r>
        <w:rPr>
          <w:rStyle w:val="FootnoteReference"/>
          <w:lang w:val="en-GB"/>
        </w:rPr>
        <w:footnoteReference w:id="96"/>
      </w:r>
      <w:r>
        <w:rPr>
          <w:lang w:val="en-GB"/>
        </w:rPr>
        <w:t xml:space="preserve"> (Major city, Inner Regional, Outer Regional, Remote, Very Remote) and to greater capital city spatial areas</w:t>
      </w:r>
      <w:r>
        <w:rPr>
          <w:rStyle w:val="FootnoteReference"/>
          <w:lang w:val="en-GB"/>
        </w:rPr>
        <w:footnoteReference w:id="97"/>
      </w:r>
      <w:r>
        <w:rPr>
          <w:lang w:val="en-GB"/>
        </w:rPr>
        <w:t xml:space="preserve">. </w:t>
      </w:r>
    </w:p>
    <w:p w:rsidR="007A471F" w:rsidRPr="007A471F" w:rsidRDefault="007A471F" w:rsidP="006B0BBA">
      <w:pPr>
        <w:pStyle w:val="AppendixHeading3"/>
        <w:rPr>
          <w:lang w:val="en-GB"/>
        </w:rPr>
      </w:pPr>
      <w:r w:rsidRPr="007A471F">
        <w:rPr>
          <w:lang w:val="en-GB"/>
        </w:rPr>
        <w:t>Clients, episodes and total days</w:t>
      </w:r>
    </w:p>
    <w:p w:rsidR="007A471F" w:rsidRDefault="007A471F" w:rsidP="006B0BBA">
      <w:pPr>
        <w:pStyle w:val="BodyText1"/>
        <w:rPr>
          <w:lang w:val="en-GB"/>
        </w:rPr>
      </w:pPr>
      <w:r>
        <w:rPr>
          <w:lang w:val="en-GB"/>
        </w:rPr>
        <w:t xml:space="preserve">The supplied data provided insight into the national trends in clients, episodes and total days of support over the period 2005/06 to 2017/18. Over the full period there has been a marked increase in the total number of clients. The overall trend was a noticeable increase in clients between 2005/06 and 2012/13. Between 2013/14 and 2017/18 there has been no increase in clients and the number of clients has remained steady at about approximately 25,000. This overall trend is repeated closely for episodes and total days of support. The drop-off in clients and episodes between 2016/17 and 2017/18 is likely attributable to the caveats outlined above. </w:t>
      </w:r>
    </w:p>
    <w:p w:rsidR="007A471F" w:rsidRPr="007A471F" w:rsidRDefault="007A471F" w:rsidP="006B0BBA">
      <w:pPr>
        <w:pStyle w:val="AppendixHeading3"/>
        <w:rPr>
          <w:lang w:val="en-GB"/>
        </w:rPr>
      </w:pPr>
      <w:r w:rsidRPr="007A471F">
        <w:rPr>
          <w:lang w:val="en-GB"/>
        </w:rPr>
        <w:t xml:space="preserve">Clients by remoteness area  </w:t>
      </w:r>
    </w:p>
    <w:p w:rsidR="007A471F" w:rsidRDefault="007A471F" w:rsidP="006B0BBA">
      <w:pPr>
        <w:pStyle w:val="BodyText1"/>
        <w:rPr>
          <w:lang w:val="en-GB"/>
        </w:rPr>
      </w:pPr>
      <w:r>
        <w:rPr>
          <w:lang w:val="en-GB"/>
        </w:rPr>
        <w:t xml:space="preserve">Remoteness areas were used to explore whether: </w:t>
      </w:r>
    </w:p>
    <w:p w:rsidR="007A471F" w:rsidRPr="003768DE" w:rsidRDefault="007A471F" w:rsidP="006B0BBA">
      <w:pPr>
        <w:pStyle w:val="Bullet1stlevel"/>
        <w:rPr>
          <w:lang w:val="en-GB"/>
        </w:rPr>
      </w:pPr>
      <w:r>
        <w:rPr>
          <w:lang w:val="en-GB"/>
        </w:rPr>
        <w:t xml:space="preserve">The distribution of </w:t>
      </w:r>
      <w:r w:rsidR="003A2412">
        <w:rPr>
          <w:lang w:val="en-GB"/>
        </w:rPr>
        <w:t>TCP care recipient</w:t>
      </w:r>
      <w:r>
        <w:rPr>
          <w:lang w:val="en-GB"/>
        </w:rPr>
        <w:t>s reflects the population distribution by remoteness area;</w:t>
      </w:r>
    </w:p>
    <w:p w:rsidR="007A471F" w:rsidRDefault="007A471F" w:rsidP="006B0BBA">
      <w:pPr>
        <w:pStyle w:val="Bullet1stlevel"/>
        <w:rPr>
          <w:lang w:val="en-GB"/>
        </w:rPr>
      </w:pPr>
      <w:r>
        <w:rPr>
          <w:lang w:val="en-GB"/>
        </w:rPr>
        <w:t xml:space="preserve">The number </w:t>
      </w:r>
      <w:r w:rsidR="003A2412">
        <w:rPr>
          <w:lang w:val="en-GB"/>
        </w:rPr>
        <w:t>TCP care recipient</w:t>
      </w:r>
      <w:r>
        <w:rPr>
          <w:lang w:val="en-GB"/>
        </w:rPr>
        <w:t>s grew in line with population growth by remoteness area; and</w:t>
      </w:r>
    </w:p>
    <w:p w:rsidR="007A471F" w:rsidRPr="00773B03" w:rsidRDefault="007A471F" w:rsidP="006B0BBA">
      <w:pPr>
        <w:pStyle w:val="Bullet1stlevel"/>
        <w:rPr>
          <w:lang w:val="en-GB"/>
        </w:rPr>
      </w:pPr>
      <w:r>
        <w:rPr>
          <w:lang w:val="en-GB"/>
        </w:rPr>
        <w:t xml:space="preserve">Whether the distribution of </w:t>
      </w:r>
      <w:r w:rsidR="003A2412">
        <w:rPr>
          <w:lang w:val="en-GB"/>
        </w:rPr>
        <w:t>TCP care recipient</w:t>
      </w:r>
      <w:r>
        <w:rPr>
          <w:lang w:val="en-GB"/>
        </w:rPr>
        <w:t xml:space="preserve"> by remoteness area changed over time.</w:t>
      </w:r>
    </w:p>
    <w:p w:rsidR="007A471F" w:rsidRDefault="007A471F" w:rsidP="006B0BBA">
      <w:pPr>
        <w:pStyle w:val="BodyText1"/>
        <w:rPr>
          <w:lang w:val="en-GB"/>
        </w:rPr>
      </w:pPr>
      <w:r>
        <w:rPr>
          <w:lang w:val="en-GB"/>
        </w:rPr>
        <w:t xml:space="preserve">The distribution of </w:t>
      </w:r>
      <w:r w:rsidR="003A2412">
        <w:rPr>
          <w:lang w:val="en-GB"/>
        </w:rPr>
        <w:t>TCP care recipient</w:t>
      </w:r>
      <w:r>
        <w:rPr>
          <w:lang w:val="en-GB"/>
        </w:rPr>
        <w:t xml:space="preserve">s in 2016/17 closely mirrors the distribution of persons aged 65 years and over by remoteness area. The largest percentage point difference is for outer regional Australia, where 9.9 per cent of the population aged 65 and over are based but only 7.8 per cent of </w:t>
      </w:r>
      <w:r w:rsidR="003A2412">
        <w:rPr>
          <w:lang w:val="en-GB"/>
        </w:rPr>
        <w:t>TCP care recipient</w:t>
      </w:r>
      <w:r>
        <w:rPr>
          <w:lang w:val="en-GB"/>
        </w:rPr>
        <w:t xml:space="preserve">s are located in outer regional Australia. </w:t>
      </w:r>
    </w:p>
    <w:p w:rsidR="007A471F" w:rsidRDefault="007A471F" w:rsidP="003451F4">
      <w:pPr>
        <w:pStyle w:val="BodyText1"/>
        <w:rPr>
          <w:b/>
        </w:rPr>
      </w:pPr>
      <w:r w:rsidRPr="003451F4">
        <w:rPr>
          <w:b/>
        </w:rPr>
        <w:t xml:space="preserve">Population distribution by remoteness area for estimated resident population, persons over 65 years and </w:t>
      </w:r>
      <w:r w:rsidR="003A2412" w:rsidRPr="003451F4">
        <w:rPr>
          <w:b/>
        </w:rPr>
        <w:t>TCP care recipient</w:t>
      </w:r>
      <w:r w:rsidRPr="003451F4">
        <w:rPr>
          <w:b/>
        </w:rPr>
        <w:t>s</w:t>
      </w:r>
    </w:p>
    <w:p w:rsidR="003451F4" w:rsidRPr="003451F4" w:rsidRDefault="003451F4" w:rsidP="003451F4">
      <w:pPr>
        <w:pStyle w:val="BodyText1"/>
        <w:rPr>
          <w:u w:val="single"/>
        </w:rPr>
      </w:pPr>
      <w:r w:rsidRPr="003451F4">
        <w:rPr>
          <w:u w:val="single"/>
        </w:rPr>
        <w:t>Major Cities of Australia</w:t>
      </w:r>
    </w:p>
    <w:p w:rsidR="003451F4" w:rsidRDefault="003451F4" w:rsidP="003451F4">
      <w:pPr>
        <w:pStyle w:val="BodyText1"/>
      </w:pPr>
      <w:r w:rsidRPr="003451F4">
        <w:t>2017 population</w:t>
      </w:r>
      <w:r w:rsidRPr="003451F4">
        <w:tab/>
      </w:r>
      <w:r>
        <w:t xml:space="preserve">: </w:t>
      </w:r>
      <w:r w:rsidRPr="003451F4">
        <w:t>17,666,685</w:t>
      </w:r>
      <w:r>
        <w:t xml:space="preserve"> (</w:t>
      </w:r>
      <w:r w:rsidRPr="003451F4">
        <w:t>71.8%</w:t>
      </w:r>
      <w:r>
        <w:t>)</w:t>
      </w:r>
    </w:p>
    <w:p w:rsidR="003451F4" w:rsidRDefault="003451F4" w:rsidP="003451F4">
      <w:pPr>
        <w:pStyle w:val="BodyText1"/>
      </w:pPr>
      <w:r w:rsidRPr="003451F4">
        <w:t>Persons aged 65 years and over (June 2017)</w:t>
      </w:r>
      <w:r>
        <w:t xml:space="preserve">: </w:t>
      </w:r>
      <w:r w:rsidRPr="003451F4">
        <w:t>2,498,196</w:t>
      </w:r>
      <w:r>
        <w:t xml:space="preserve"> (65.9%)</w:t>
      </w:r>
    </w:p>
    <w:p w:rsidR="003451F4" w:rsidRPr="003451F4" w:rsidRDefault="003451F4" w:rsidP="003451F4">
      <w:pPr>
        <w:pStyle w:val="BodyText1"/>
      </w:pPr>
      <w:r w:rsidRPr="003451F4">
        <w:t>2016/2017 TCP care recipients</w:t>
      </w:r>
      <w:r>
        <w:t xml:space="preserve">: </w:t>
      </w:r>
      <w:r w:rsidRPr="003451F4">
        <w:t>16,917</w:t>
      </w:r>
      <w:r>
        <w:t xml:space="preserve"> (66.7%)</w:t>
      </w:r>
    </w:p>
    <w:p w:rsidR="003451F4" w:rsidRPr="003451F4" w:rsidRDefault="003451F4" w:rsidP="003451F4">
      <w:pPr>
        <w:pStyle w:val="BodyText1"/>
        <w:rPr>
          <w:u w:val="single"/>
        </w:rPr>
      </w:pPr>
      <w:r w:rsidRPr="003451F4">
        <w:rPr>
          <w:u w:val="single"/>
        </w:rPr>
        <w:t>Inner Regional Australia</w:t>
      </w:r>
    </w:p>
    <w:p w:rsidR="003451F4" w:rsidRDefault="003451F4" w:rsidP="003451F4">
      <w:pPr>
        <w:pStyle w:val="BodyText1"/>
      </w:pPr>
      <w:r w:rsidRPr="003451F4">
        <w:t>2017 population</w:t>
      </w:r>
      <w:r w:rsidRPr="003451F4">
        <w:tab/>
      </w:r>
      <w:r>
        <w:t xml:space="preserve">: </w:t>
      </w:r>
      <w:r w:rsidRPr="003451F4">
        <w:t>4,390,400</w:t>
      </w:r>
      <w:r>
        <w:t xml:space="preserve"> (17.8%)</w:t>
      </w:r>
    </w:p>
    <w:p w:rsidR="003451F4" w:rsidRPr="003451F4" w:rsidRDefault="003451F4" w:rsidP="003451F4">
      <w:pPr>
        <w:pStyle w:val="BodyText1"/>
      </w:pPr>
      <w:r w:rsidRPr="003451F4">
        <w:t>Persons aged 65 years and over (June 2017)</w:t>
      </w:r>
      <w:r>
        <w:t xml:space="preserve">: </w:t>
      </w:r>
      <w:r w:rsidRPr="003451F4">
        <w:t>861,236</w:t>
      </w:r>
      <w:r>
        <w:t xml:space="preserve"> (22.7%)</w:t>
      </w:r>
    </w:p>
    <w:p w:rsidR="003451F4" w:rsidRPr="003451F4" w:rsidRDefault="003451F4" w:rsidP="003451F4">
      <w:pPr>
        <w:pStyle w:val="BodyText1"/>
      </w:pPr>
      <w:r w:rsidRPr="003451F4">
        <w:t>2016/2017 TCP care recipients</w:t>
      </w:r>
      <w:r>
        <w:t xml:space="preserve">: </w:t>
      </w:r>
      <w:r w:rsidRPr="003451F4">
        <w:t>6,257</w:t>
      </w:r>
      <w:r>
        <w:t xml:space="preserve"> (24.7%)</w:t>
      </w:r>
    </w:p>
    <w:p w:rsidR="003451F4" w:rsidRPr="003451F4" w:rsidRDefault="003451F4" w:rsidP="003451F4">
      <w:pPr>
        <w:pStyle w:val="BodyText1"/>
        <w:rPr>
          <w:u w:val="single"/>
        </w:rPr>
      </w:pPr>
      <w:r w:rsidRPr="003451F4">
        <w:rPr>
          <w:u w:val="single"/>
        </w:rPr>
        <w:t>Outer Regional Australia</w:t>
      </w:r>
    </w:p>
    <w:p w:rsidR="003451F4" w:rsidRDefault="003451F4" w:rsidP="003451F4">
      <w:pPr>
        <w:pStyle w:val="BodyText1"/>
      </w:pPr>
      <w:r w:rsidRPr="003451F4">
        <w:t>2017 population</w:t>
      </w:r>
      <w:r w:rsidRPr="003451F4">
        <w:tab/>
      </w:r>
      <w:r>
        <w:t xml:space="preserve">: </w:t>
      </w:r>
      <w:r w:rsidRPr="003451F4">
        <w:t>2,047,790</w:t>
      </w:r>
      <w:r>
        <w:t xml:space="preserve"> (8.3%)</w:t>
      </w:r>
    </w:p>
    <w:p w:rsidR="003451F4" w:rsidRPr="003451F4" w:rsidRDefault="003451F4" w:rsidP="003451F4">
      <w:pPr>
        <w:pStyle w:val="BodyText1"/>
      </w:pPr>
      <w:r w:rsidRPr="003451F4">
        <w:t>Persons aged 65 years and over (June 2017)</w:t>
      </w:r>
      <w:r>
        <w:t xml:space="preserve">: </w:t>
      </w:r>
      <w:r w:rsidRPr="003451F4">
        <w:t>374,994</w:t>
      </w:r>
      <w:r>
        <w:t xml:space="preserve"> (9.9%)</w:t>
      </w:r>
    </w:p>
    <w:p w:rsidR="003451F4" w:rsidRPr="003451F4" w:rsidRDefault="003451F4" w:rsidP="003451F4">
      <w:pPr>
        <w:pStyle w:val="BodyText1"/>
      </w:pPr>
      <w:r w:rsidRPr="003451F4">
        <w:t>2016/2017 TCP care recipients</w:t>
      </w:r>
      <w:r>
        <w:t xml:space="preserve">: </w:t>
      </w:r>
      <w:r w:rsidRPr="003451F4">
        <w:t>1,982</w:t>
      </w:r>
      <w:r>
        <w:t xml:space="preserve"> (7.8%)</w:t>
      </w:r>
    </w:p>
    <w:p w:rsidR="003451F4" w:rsidRPr="003451F4" w:rsidRDefault="003451F4" w:rsidP="003451F4">
      <w:pPr>
        <w:pStyle w:val="BodyText1"/>
        <w:rPr>
          <w:u w:val="single"/>
        </w:rPr>
      </w:pPr>
      <w:r w:rsidRPr="003451F4">
        <w:rPr>
          <w:u w:val="single"/>
        </w:rPr>
        <w:t>Remote Australia</w:t>
      </w:r>
    </w:p>
    <w:p w:rsidR="003451F4" w:rsidRPr="003451F4" w:rsidRDefault="003451F4" w:rsidP="003451F4">
      <w:pPr>
        <w:pStyle w:val="BodyText1"/>
      </w:pPr>
      <w:r w:rsidRPr="003451F4">
        <w:t>2017 population</w:t>
      </w:r>
      <w:r w:rsidRPr="003451F4">
        <w:tab/>
      </w:r>
      <w:r>
        <w:t xml:space="preserve">: </w:t>
      </w:r>
      <w:r w:rsidRPr="003451F4">
        <w:t>292,070</w:t>
      </w:r>
      <w:r>
        <w:t xml:space="preserve"> (1.2%)</w:t>
      </w:r>
    </w:p>
    <w:p w:rsidR="003451F4" w:rsidRPr="003451F4" w:rsidRDefault="003451F4" w:rsidP="003451F4">
      <w:pPr>
        <w:pStyle w:val="BodyText1"/>
      </w:pPr>
      <w:r w:rsidRPr="003451F4">
        <w:t>Persons aged 65 years and over (June 2017)</w:t>
      </w:r>
      <w:r>
        <w:t xml:space="preserve">: </w:t>
      </w:r>
      <w:r w:rsidRPr="003451F4">
        <w:t>39,865</w:t>
      </w:r>
      <w:r>
        <w:t xml:space="preserve"> (1.1%)</w:t>
      </w:r>
    </w:p>
    <w:p w:rsidR="003451F4" w:rsidRPr="003451F4" w:rsidRDefault="003451F4" w:rsidP="003451F4">
      <w:pPr>
        <w:pStyle w:val="BodyText1"/>
      </w:pPr>
      <w:r w:rsidRPr="003451F4">
        <w:t>2016/2017 TCP care recipients</w:t>
      </w:r>
      <w:r>
        <w:t xml:space="preserve">: </w:t>
      </w:r>
      <w:r w:rsidRPr="003451F4">
        <w:t>136</w:t>
      </w:r>
      <w:r>
        <w:t xml:space="preserve"> (0.5%)</w:t>
      </w:r>
    </w:p>
    <w:p w:rsidR="003451F4" w:rsidRPr="003451F4" w:rsidRDefault="003451F4" w:rsidP="003451F4">
      <w:pPr>
        <w:pStyle w:val="BodyText1"/>
        <w:rPr>
          <w:u w:val="single"/>
        </w:rPr>
      </w:pPr>
      <w:r w:rsidRPr="003451F4">
        <w:rPr>
          <w:u w:val="single"/>
        </w:rPr>
        <w:t>Very Remote Australia</w:t>
      </w:r>
    </w:p>
    <w:p w:rsidR="003451F4" w:rsidRPr="003451F4" w:rsidRDefault="003451F4" w:rsidP="003451F4">
      <w:pPr>
        <w:pStyle w:val="BodyText1"/>
      </w:pPr>
      <w:r w:rsidRPr="003451F4">
        <w:t>2017 population</w:t>
      </w:r>
      <w:r w:rsidRPr="003451F4">
        <w:tab/>
      </w:r>
      <w:r>
        <w:t xml:space="preserve">: </w:t>
      </w:r>
      <w:r w:rsidRPr="003451F4">
        <w:t>200,583</w:t>
      </w:r>
      <w:r>
        <w:t xml:space="preserve"> (0.8%)</w:t>
      </w:r>
    </w:p>
    <w:p w:rsidR="003451F4" w:rsidRPr="003451F4" w:rsidRDefault="003451F4" w:rsidP="003451F4">
      <w:pPr>
        <w:pStyle w:val="BodyText1"/>
      </w:pPr>
      <w:r w:rsidRPr="003451F4">
        <w:t>Persons aged 65 years and over (June 2017)</w:t>
      </w:r>
      <w:r>
        <w:t xml:space="preserve">: </w:t>
      </w:r>
      <w:r w:rsidRPr="003451F4">
        <w:t>16,500</w:t>
      </w:r>
      <w:r>
        <w:t xml:space="preserve"> (0.4%)</w:t>
      </w:r>
    </w:p>
    <w:p w:rsidR="003451F4" w:rsidRPr="003451F4" w:rsidRDefault="003451F4" w:rsidP="003451F4">
      <w:pPr>
        <w:pStyle w:val="BodyText1"/>
      </w:pPr>
      <w:r w:rsidRPr="003451F4">
        <w:t>2016/2017 TCP care recipients</w:t>
      </w:r>
      <w:r>
        <w:t xml:space="preserve">: </w:t>
      </w:r>
      <w:r w:rsidRPr="003451F4">
        <w:t>33</w:t>
      </w:r>
      <w:r>
        <w:t xml:space="preserve"> (0.1%)</w:t>
      </w:r>
    </w:p>
    <w:p w:rsidR="003451F4" w:rsidRPr="003451F4" w:rsidRDefault="003451F4" w:rsidP="003451F4">
      <w:pPr>
        <w:pStyle w:val="BodyText1"/>
        <w:rPr>
          <w:u w:val="single"/>
        </w:rPr>
      </w:pPr>
      <w:r w:rsidRPr="003451F4">
        <w:rPr>
          <w:u w:val="single"/>
        </w:rPr>
        <w:t>Grand Total</w:t>
      </w:r>
    </w:p>
    <w:p w:rsidR="003451F4" w:rsidRPr="003451F4" w:rsidRDefault="003451F4" w:rsidP="003451F4">
      <w:pPr>
        <w:pStyle w:val="BodyText1"/>
      </w:pPr>
      <w:bookmarkStart w:id="43" w:name="_Ref451229"/>
      <w:r w:rsidRPr="003451F4">
        <w:t>2017 population</w:t>
      </w:r>
      <w:r w:rsidRPr="003451F4">
        <w:tab/>
      </w:r>
      <w:r>
        <w:t xml:space="preserve">: </w:t>
      </w:r>
      <w:r w:rsidRPr="003451F4">
        <w:t>24,597,528</w:t>
      </w:r>
    </w:p>
    <w:p w:rsidR="003451F4" w:rsidRPr="003451F4" w:rsidRDefault="003451F4" w:rsidP="003451F4">
      <w:pPr>
        <w:pStyle w:val="BodyText1"/>
      </w:pPr>
      <w:r w:rsidRPr="003451F4">
        <w:t>Persons aged 65 years and over (June 2017)</w:t>
      </w:r>
      <w:r>
        <w:t xml:space="preserve">: </w:t>
      </w:r>
      <w:r w:rsidRPr="003451F4">
        <w:t>3,790,791</w:t>
      </w:r>
    </w:p>
    <w:p w:rsidR="003451F4" w:rsidRPr="003451F4" w:rsidRDefault="003451F4" w:rsidP="003451F4">
      <w:pPr>
        <w:pStyle w:val="BodyText1"/>
      </w:pPr>
      <w:r w:rsidRPr="003451F4">
        <w:t>2016/2017 TCP care recipients</w:t>
      </w:r>
      <w:r>
        <w:t xml:space="preserve">: </w:t>
      </w:r>
      <w:r w:rsidRPr="003451F4">
        <w:t>25,346</w:t>
      </w:r>
    </w:p>
    <w:p w:rsidR="007A471F" w:rsidRPr="00AD52EF" w:rsidRDefault="007A471F" w:rsidP="006B0BBA">
      <w:pPr>
        <w:pStyle w:val="BodyText1"/>
        <w:rPr>
          <w:lang w:val="en-GB"/>
        </w:rPr>
      </w:pPr>
      <w:r>
        <w:rPr>
          <w:lang w:val="en-GB"/>
        </w:rPr>
        <w:t>For the period 2012 to 2017 there has been noticeable variation in the population (estimated resident population) growth across remoteness areas. The population in Major Cities grew 10.0 per cent over this period while remote and very remote areas decreased by 3.7 per cent and 5.4 per cent respectively.</w:t>
      </w:r>
      <w:r>
        <w:rPr>
          <w:rStyle w:val="FootnoteReference"/>
          <w:lang w:val="en-GB"/>
        </w:rPr>
        <w:footnoteReference w:id="98"/>
      </w:r>
      <w:r>
        <w:rPr>
          <w:lang w:val="en-GB"/>
        </w:rPr>
        <w:t xml:space="preserve"> </w:t>
      </w:r>
      <w:r w:rsidR="003A2412">
        <w:rPr>
          <w:lang w:val="en-GB"/>
        </w:rPr>
        <w:t>TCP care recipient</w:t>
      </w:r>
      <w:r>
        <w:rPr>
          <w:lang w:val="en-GB"/>
        </w:rPr>
        <w:t xml:space="preserve"> growth has been above population growth for this period across all remoteness areas apart from very remote Australia. However there are only a small number of clients in very remote Australia and as such larger variations in client numbers are not surprising. </w:t>
      </w:r>
    </w:p>
    <w:bookmarkEnd w:id="43"/>
    <w:p w:rsidR="007A471F" w:rsidRPr="009C60F7" w:rsidRDefault="007A471F" w:rsidP="009C60F7">
      <w:pPr>
        <w:pStyle w:val="BodyText1"/>
        <w:rPr>
          <w:b/>
        </w:rPr>
      </w:pPr>
      <w:r w:rsidRPr="009C60F7">
        <w:rPr>
          <w:b/>
        </w:rPr>
        <w:t>Population and percentage growth between 2012 and 2017</w:t>
      </w:r>
    </w:p>
    <w:p w:rsidR="009C60F7" w:rsidRPr="009C60F7" w:rsidRDefault="009C60F7" w:rsidP="009C60F7">
      <w:pPr>
        <w:pStyle w:val="BodyText1"/>
        <w:rPr>
          <w:u w:val="single"/>
        </w:rPr>
      </w:pPr>
      <w:r w:rsidRPr="009C60F7">
        <w:rPr>
          <w:u w:val="single"/>
        </w:rPr>
        <w:t>Major Cities of Australia</w:t>
      </w:r>
    </w:p>
    <w:p w:rsidR="009C60F7" w:rsidRDefault="009C60F7" w:rsidP="009C60F7">
      <w:pPr>
        <w:pStyle w:val="BodyText1"/>
      </w:pPr>
      <w:r w:rsidRPr="009C60F7">
        <w:t>Population</w:t>
      </w:r>
      <w:r>
        <w:t xml:space="preserve"> </w:t>
      </w:r>
      <w:r w:rsidRPr="009C60F7">
        <w:t>2012</w:t>
      </w:r>
      <w:r>
        <w:t xml:space="preserve">: </w:t>
      </w:r>
      <w:r w:rsidRPr="009C60F7">
        <w:t>16,062,163</w:t>
      </w:r>
    </w:p>
    <w:p w:rsidR="009C60F7" w:rsidRDefault="009C60F7" w:rsidP="009C60F7">
      <w:pPr>
        <w:pStyle w:val="BodyText1"/>
      </w:pPr>
      <w:r w:rsidRPr="009C60F7">
        <w:t>Population 2017</w:t>
      </w:r>
      <w:r w:rsidRPr="009C60F7">
        <w:tab/>
      </w:r>
      <w:r>
        <w:t xml:space="preserve">: </w:t>
      </w:r>
      <w:r w:rsidRPr="009C60F7">
        <w:t>17,666,685</w:t>
      </w:r>
    </w:p>
    <w:p w:rsidR="009C60F7" w:rsidRDefault="009C60F7" w:rsidP="009C60F7">
      <w:pPr>
        <w:pStyle w:val="BodyText1"/>
      </w:pPr>
      <w:r w:rsidRPr="009C60F7">
        <w:t>Population % change</w:t>
      </w:r>
      <w:r>
        <w:t xml:space="preserve">: </w:t>
      </w:r>
      <w:r w:rsidRPr="009C60F7">
        <w:t>10.0%</w:t>
      </w:r>
    </w:p>
    <w:p w:rsidR="009C60F7" w:rsidRDefault="009C60F7" w:rsidP="009C60F7">
      <w:pPr>
        <w:pStyle w:val="BodyText1"/>
      </w:pPr>
      <w:r w:rsidRPr="009C60F7">
        <w:t>TCP care recipient 2011/12</w:t>
      </w:r>
      <w:r>
        <w:t xml:space="preserve">: </w:t>
      </w:r>
      <w:r w:rsidRPr="009C60F7">
        <w:t>14,739</w:t>
      </w:r>
    </w:p>
    <w:p w:rsidR="009C60F7" w:rsidRDefault="009C60F7" w:rsidP="009C60F7">
      <w:pPr>
        <w:pStyle w:val="BodyText1"/>
      </w:pPr>
      <w:r w:rsidRPr="009C60F7">
        <w:t>TCP care recipient 2016/17</w:t>
      </w:r>
      <w:r>
        <w:t xml:space="preserve">: </w:t>
      </w:r>
      <w:r w:rsidRPr="009C60F7">
        <w:t>16,917</w:t>
      </w:r>
    </w:p>
    <w:p w:rsidR="009C60F7" w:rsidRDefault="009C60F7" w:rsidP="009C60F7">
      <w:pPr>
        <w:pStyle w:val="BodyText1"/>
      </w:pPr>
      <w:r w:rsidRPr="009C60F7">
        <w:t>TCP % change</w:t>
      </w:r>
      <w:r>
        <w:t xml:space="preserve">: </w:t>
      </w:r>
      <w:r w:rsidRPr="009C60F7">
        <w:t>14.8%</w:t>
      </w:r>
    </w:p>
    <w:p w:rsidR="009C60F7" w:rsidRPr="009C60F7" w:rsidRDefault="009C60F7" w:rsidP="009C60F7">
      <w:pPr>
        <w:pStyle w:val="BodyText1"/>
        <w:rPr>
          <w:u w:val="single"/>
        </w:rPr>
      </w:pPr>
      <w:r w:rsidRPr="009C60F7">
        <w:rPr>
          <w:u w:val="single"/>
        </w:rPr>
        <w:t>Inner Regional Australia</w:t>
      </w:r>
    </w:p>
    <w:p w:rsidR="009C60F7" w:rsidRDefault="009C60F7" w:rsidP="009C60F7">
      <w:pPr>
        <w:pStyle w:val="BodyText1"/>
      </w:pPr>
      <w:r w:rsidRPr="009C60F7">
        <w:t>Population</w:t>
      </w:r>
      <w:r>
        <w:t xml:space="preserve"> </w:t>
      </w:r>
      <w:r w:rsidRPr="009C60F7">
        <w:t>2012</w:t>
      </w:r>
      <w:r>
        <w:t xml:space="preserve">: </w:t>
      </w:r>
      <w:r w:rsidRPr="009C60F7">
        <w:t>4,155,240</w:t>
      </w:r>
    </w:p>
    <w:p w:rsidR="009C60F7" w:rsidRDefault="009C60F7" w:rsidP="009C60F7">
      <w:pPr>
        <w:pStyle w:val="BodyText1"/>
      </w:pPr>
      <w:r w:rsidRPr="009C60F7">
        <w:t>Population 2017</w:t>
      </w:r>
      <w:r w:rsidRPr="009C60F7">
        <w:tab/>
      </w:r>
      <w:r>
        <w:t xml:space="preserve">: </w:t>
      </w:r>
      <w:r w:rsidRPr="009C60F7">
        <w:t>4,390,400</w:t>
      </w:r>
    </w:p>
    <w:p w:rsidR="009C60F7" w:rsidRDefault="009C60F7" w:rsidP="009C60F7">
      <w:pPr>
        <w:pStyle w:val="BodyText1"/>
      </w:pPr>
      <w:r w:rsidRPr="009C60F7">
        <w:t>Population % change</w:t>
      </w:r>
      <w:r>
        <w:t xml:space="preserve">: </w:t>
      </w:r>
      <w:r w:rsidRPr="009C60F7">
        <w:t>5.7%</w:t>
      </w:r>
    </w:p>
    <w:p w:rsidR="009C60F7" w:rsidRDefault="009C60F7" w:rsidP="009C60F7">
      <w:pPr>
        <w:pStyle w:val="BodyText1"/>
      </w:pPr>
      <w:r w:rsidRPr="009C60F7">
        <w:t>TCP care recipient 2011/12</w:t>
      </w:r>
      <w:r>
        <w:t xml:space="preserve">: </w:t>
      </w:r>
      <w:r w:rsidRPr="009C60F7">
        <w:t>5,342</w:t>
      </w:r>
    </w:p>
    <w:p w:rsidR="009C60F7" w:rsidRDefault="009C60F7" w:rsidP="009C60F7">
      <w:pPr>
        <w:pStyle w:val="BodyText1"/>
      </w:pPr>
      <w:r w:rsidRPr="009C60F7">
        <w:t>TCP care recipient 2016/17</w:t>
      </w:r>
      <w:r>
        <w:t xml:space="preserve">: </w:t>
      </w:r>
      <w:r w:rsidRPr="009C60F7">
        <w:t>6,257</w:t>
      </w:r>
    </w:p>
    <w:p w:rsidR="009C60F7" w:rsidRDefault="009C60F7" w:rsidP="009C60F7">
      <w:pPr>
        <w:pStyle w:val="BodyText1"/>
      </w:pPr>
      <w:r w:rsidRPr="009C60F7">
        <w:t>TCP % change</w:t>
      </w:r>
      <w:r>
        <w:t xml:space="preserve">: </w:t>
      </w:r>
      <w:r w:rsidRPr="009C60F7">
        <w:t>17.1%</w:t>
      </w:r>
    </w:p>
    <w:p w:rsidR="009C60F7" w:rsidRPr="009C60F7" w:rsidRDefault="009C60F7" w:rsidP="009C60F7">
      <w:pPr>
        <w:pStyle w:val="BodyText1"/>
        <w:rPr>
          <w:u w:val="single"/>
        </w:rPr>
      </w:pPr>
      <w:r w:rsidRPr="009C60F7">
        <w:rPr>
          <w:u w:val="single"/>
        </w:rPr>
        <w:t>Outer Regional Australia</w:t>
      </w:r>
    </w:p>
    <w:p w:rsidR="009C60F7" w:rsidRDefault="009C60F7" w:rsidP="009C60F7">
      <w:pPr>
        <w:pStyle w:val="BodyText1"/>
      </w:pPr>
      <w:r w:rsidRPr="009C60F7">
        <w:t>Population</w:t>
      </w:r>
      <w:r>
        <w:t xml:space="preserve"> </w:t>
      </w:r>
      <w:r w:rsidRPr="009C60F7">
        <w:t>2012</w:t>
      </w:r>
      <w:r>
        <w:t xml:space="preserve">: </w:t>
      </w:r>
      <w:r w:rsidRPr="009C60F7">
        <w:t>2,000,819</w:t>
      </w:r>
    </w:p>
    <w:p w:rsidR="009C60F7" w:rsidRDefault="009C60F7" w:rsidP="009C60F7">
      <w:pPr>
        <w:pStyle w:val="BodyText1"/>
      </w:pPr>
      <w:r w:rsidRPr="009C60F7">
        <w:t>Population 2017</w:t>
      </w:r>
      <w:r w:rsidRPr="009C60F7">
        <w:tab/>
      </w:r>
      <w:r>
        <w:t xml:space="preserve">: </w:t>
      </w:r>
      <w:r w:rsidRPr="009C60F7">
        <w:t>2,047,790</w:t>
      </w:r>
    </w:p>
    <w:p w:rsidR="009C60F7" w:rsidRDefault="009C60F7" w:rsidP="009C60F7">
      <w:pPr>
        <w:pStyle w:val="BodyText1"/>
      </w:pPr>
      <w:r w:rsidRPr="009C60F7">
        <w:t>Population % change</w:t>
      </w:r>
      <w:r>
        <w:t xml:space="preserve">: </w:t>
      </w:r>
      <w:r w:rsidRPr="009C60F7">
        <w:t>2.3%</w:t>
      </w:r>
    </w:p>
    <w:p w:rsidR="009C60F7" w:rsidRDefault="009C60F7" w:rsidP="009C60F7">
      <w:pPr>
        <w:pStyle w:val="BodyText1"/>
      </w:pPr>
      <w:r w:rsidRPr="009C60F7">
        <w:t>TCP care recipient 2011/12</w:t>
      </w:r>
      <w:r>
        <w:t xml:space="preserve">: </w:t>
      </w:r>
      <w:r w:rsidRPr="009C60F7">
        <w:t>1,711</w:t>
      </w:r>
    </w:p>
    <w:p w:rsidR="009C60F7" w:rsidRDefault="009C60F7" w:rsidP="009C60F7">
      <w:pPr>
        <w:pStyle w:val="BodyText1"/>
      </w:pPr>
      <w:r w:rsidRPr="009C60F7">
        <w:t>TCP care recipient 2016/17</w:t>
      </w:r>
      <w:r>
        <w:t xml:space="preserve">: </w:t>
      </w:r>
      <w:r w:rsidRPr="009C60F7">
        <w:t>1,982</w:t>
      </w:r>
    </w:p>
    <w:p w:rsidR="009C60F7" w:rsidRDefault="009C60F7" w:rsidP="009C60F7">
      <w:pPr>
        <w:pStyle w:val="BodyText1"/>
      </w:pPr>
      <w:r w:rsidRPr="009C60F7">
        <w:t>TCP % change</w:t>
      </w:r>
      <w:r>
        <w:t xml:space="preserve">: </w:t>
      </w:r>
      <w:r w:rsidRPr="009C60F7">
        <w:t>15.8%</w:t>
      </w:r>
    </w:p>
    <w:p w:rsidR="009C60F7" w:rsidRPr="009C60F7" w:rsidRDefault="009C60F7" w:rsidP="009C60F7">
      <w:pPr>
        <w:pStyle w:val="BodyText1"/>
        <w:rPr>
          <w:u w:val="single"/>
        </w:rPr>
      </w:pPr>
      <w:r w:rsidRPr="009C60F7">
        <w:rPr>
          <w:u w:val="single"/>
        </w:rPr>
        <w:t>Remote Australia</w:t>
      </w:r>
    </w:p>
    <w:p w:rsidR="009C60F7" w:rsidRDefault="009C60F7" w:rsidP="009C60F7">
      <w:pPr>
        <w:pStyle w:val="BodyText1"/>
      </w:pPr>
      <w:r w:rsidRPr="009C60F7">
        <w:t>Population</w:t>
      </w:r>
      <w:r>
        <w:t xml:space="preserve"> </w:t>
      </w:r>
      <w:r w:rsidRPr="009C60F7">
        <w:t>2012</w:t>
      </w:r>
      <w:r>
        <w:t xml:space="preserve">: </w:t>
      </w:r>
      <w:r w:rsidRPr="009C60F7">
        <w:t>303,208</w:t>
      </w:r>
    </w:p>
    <w:p w:rsidR="009C60F7" w:rsidRDefault="009C60F7" w:rsidP="009C60F7">
      <w:pPr>
        <w:pStyle w:val="BodyText1"/>
      </w:pPr>
      <w:r w:rsidRPr="009C60F7">
        <w:t>Population 2017</w:t>
      </w:r>
      <w:r w:rsidRPr="009C60F7">
        <w:tab/>
      </w:r>
      <w:r>
        <w:t xml:space="preserve">: </w:t>
      </w:r>
      <w:r w:rsidRPr="009C60F7">
        <w:t>292,070</w:t>
      </w:r>
    </w:p>
    <w:p w:rsidR="009C60F7" w:rsidRDefault="009C60F7" w:rsidP="009C60F7">
      <w:pPr>
        <w:pStyle w:val="BodyText1"/>
      </w:pPr>
      <w:r w:rsidRPr="009C60F7">
        <w:t>Population % change</w:t>
      </w:r>
      <w:r>
        <w:t xml:space="preserve">: </w:t>
      </w:r>
      <w:r w:rsidRPr="009C60F7">
        <w:t>-3.7%</w:t>
      </w:r>
    </w:p>
    <w:p w:rsidR="009C60F7" w:rsidRDefault="009C60F7" w:rsidP="009C60F7">
      <w:pPr>
        <w:pStyle w:val="BodyText1"/>
      </w:pPr>
      <w:r w:rsidRPr="009C60F7">
        <w:t>TCP care recipient 2011/12</w:t>
      </w:r>
      <w:r>
        <w:t xml:space="preserve">: </w:t>
      </w:r>
      <w:r w:rsidRPr="009C60F7">
        <w:t>106</w:t>
      </w:r>
    </w:p>
    <w:p w:rsidR="009C60F7" w:rsidRDefault="009C60F7" w:rsidP="009C60F7">
      <w:pPr>
        <w:pStyle w:val="BodyText1"/>
      </w:pPr>
      <w:r w:rsidRPr="009C60F7">
        <w:t>TCP care recipient 2016/17</w:t>
      </w:r>
      <w:r>
        <w:t xml:space="preserve">: </w:t>
      </w:r>
      <w:r w:rsidRPr="009C60F7">
        <w:t>136</w:t>
      </w:r>
    </w:p>
    <w:p w:rsidR="009C60F7" w:rsidRDefault="009C60F7" w:rsidP="009C60F7">
      <w:pPr>
        <w:pStyle w:val="BodyText1"/>
      </w:pPr>
      <w:r w:rsidRPr="009C60F7">
        <w:t>TCP % change</w:t>
      </w:r>
      <w:r>
        <w:t xml:space="preserve">: </w:t>
      </w:r>
      <w:r w:rsidRPr="009C60F7">
        <w:t>28.3%</w:t>
      </w:r>
    </w:p>
    <w:p w:rsidR="009C60F7" w:rsidRPr="009C60F7" w:rsidRDefault="009C60F7" w:rsidP="009C60F7">
      <w:pPr>
        <w:pStyle w:val="BodyText1"/>
        <w:rPr>
          <w:u w:val="single"/>
        </w:rPr>
      </w:pPr>
      <w:r w:rsidRPr="009C60F7">
        <w:rPr>
          <w:u w:val="single"/>
        </w:rPr>
        <w:t>Very Remote Australia</w:t>
      </w:r>
    </w:p>
    <w:p w:rsidR="009C60F7" w:rsidRDefault="009C60F7" w:rsidP="009C60F7">
      <w:pPr>
        <w:pStyle w:val="BodyText1"/>
      </w:pPr>
      <w:r w:rsidRPr="009C60F7">
        <w:t>Population</w:t>
      </w:r>
      <w:r>
        <w:t xml:space="preserve"> </w:t>
      </w:r>
      <w:r w:rsidRPr="009C60F7">
        <w:t>2012</w:t>
      </w:r>
      <w:r>
        <w:t xml:space="preserve">: </w:t>
      </w:r>
      <w:r w:rsidRPr="009C60F7">
        <w:t>212,035</w:t>
      </w:r>
    </w:p>
    <w:p w:rsidR="009C60F7" w:rsidRDefault="009C60F7" w:rsidP="009C60F7">
      <w:pPr>
        <w:pStyle w:val="BodyText1"/>
      </w:pPr>
      <w:r w:rsidRPr="009C60F7">
        <w:t>Population 2017</w:t>
      </w:r>
      <w:r w:rsidRPr="009C60F7">
        <w:tab/>
      </w:r>
      <w:r>
        <w:t xml:space="preserve">: </w:t>
      </w:r>
      <w:r w:rsidRPr="009C60F7">
        <w:t>200,583</w:t>
      </w:r>
    </w:p>
    <w:p w:rsidR="009C60F7" w:rsidRDefault="009C60F7" w:rsidP="009C60F7">
      <w:pPr>
        <w:pStyle w:val="BodyText1"/>
      </w:pPr>
      <w:r w:rsidRPr="009C60F7">
        <w:t>Population % change</w:t>
      </w:r>
      <w:r>
        <w:t xml:space="preserve">: </w:t>
      </w:r>
      <w:r w:rsidRPr="009C60F7">
        <w:t>-5.4%</w:t>
      </w:r>
    </w:p>
    <w:p w:rsidR="009C60F7" w:rsidRDefault="009C60F7" w:rsidP="009C60F7">
      <w:pPr>
        <w:pStyle w:val="BodyText1"/>
      </w:pPr>
      <w:r w:rsidRPr="009C60F7">
        <w:t>TCP care recipient 2011/12</w:t>
      </w:r>
      <w:r>
        <w:t xml:space="preserve">: </w:t>
      </w:r>
      <w:r w:rsidRPr="009C60F7">
        <w:t>46</w:t>
      </w:r>
    </w:p>
    <w:p w:rsidR="009C60F7" w:rsidRDefault="009C60F7" w:rsidP="009C60F7">
      <w:pPr>
        <w:pStyle w:val="BodyText1"/>
      </w:pPr>
      <w:r w:rsidRPr="009C60F7">
        <w:t>TCP care recipient 2016/17</w:t>
      </w:r>
      <w:r>
        <w:t xml:space="preserve">: </w:t>
      </w:r>
      <w:r w:rsidRPr="009C60F7">
        <w:t>33</w:t>
      </w:r>
    </w:p>
    <w:p w:rsidR="009C60F7" w:rsidRDefault="009C60F7" w:rsidP="009C60F7">
      <w:pPr>
        <w:pStyle w:val="BodyText1"/>
      </w:pPr>
      <w:r w:rsidRPr="009C60F7">
        <w:t>TCP % change</w:t>
      </w:r>
      <w:r>
        <w:t xml:space="preserve">: </w:t>
      </w:r>
      <w:r w:rsidRPr="009C60F7">
        <w:t>-28.3%</w:t>
      </w:r>
    </w:p>
    <w:p w:rsidR="009C60F7" w:rsidRPr="009C60F7" w:rsidRDefault="009C60F7" w:rsidP="009C60F7">
      <w:pPr>
        <w:pStyle w:val="BodyText1"/>
        <w:rPr>
          <w:u w:val="single"/>
        </w:rPr>
      </w:pPr>
      <w:r w:rsidRPr="009C60F7">
        <w:rPr>
          <w:u w:val="single"/>
        </w:rPr>
        <w:t>Total</w:t>
      </w:r>
    </w:p>
    <w:p w:rsidR="009C60F7" w:rsidRDefault="009C60F7" w:rsidP="009C60F7">
      <w:pPr>
        <w:pStyle w:val="BodyText1"/>
      </w:pPr>
      <w:r w:rsidRPr="009C60F7">
        <w:t>Population</w:t>
      </w:r>
      <w:r>
        <w:t xml:space="preserve"> </w:t>
      </w:r>
      <w:r w:rsidRPr="009C60F7">
        <w:t>2012</w:t>
      </w:r>
      <w:r>
        <w:t xml:space="preserve">: </w:t>
      </w:r>
      <w:r w:rsidRPr="009C60F7">
        <w:t>22,733,465</w:t>
      </w:r>
    </w:p>
    <w:p w:rsidR="009C60F7" w:rsidRDefault="009C60F7" w:rsidP="009C60F7">
      <w:pPr>
        <w:pStyle w:val="BodyText1"/>
      </w:pPr>
      <w:r w:rsidRPr="009C60F7">
        <w:t>Population 2017</w:t>
      </w:r>
      <w:r w:rsidRPr="009C60F7">
        <w:tab/>
      </w:r>
      <w:r>
        <w:t xml:space="preserve">: </w:t>
      </w:r>
      <w:r w:rsidRPr="009C60F7">
        <w:t>24,597,528</w:t>
      </w:r>
    </w:p>
    <w:p w:rsidR="009C60F7" w:rsidRDefault="009C60F7" w:rsidP="009C60F7">
      <w:pPr>
        <w:pStyle w:val="BodyText1"/>
      </w:pPr>
      <w:r w:rsidRPr="009C60F7">
        <w:t>Population % change</w:t>
      </w:r>
      <w:r>
        <w:t xml:space="preserve">: </w:t>
      </w:r>
      <w:r w:rsidRPr="009C60F7">
        <w:t>8.2%</w:t>
      </w:r>
    </w:p>
    <w:p w:rsidR="009C60F7" w:rsidRDefault="009C60F7" w:rsidP="009C60F7">
      <w:pPr>
        <w:pStyle w:val="BodyText1"/>
      </w:pPr>
      <w:r w:rsidRPr="009C60F7">
        <w:t>TCP care recipient 2011/12</w:t>
      </w:r>
      <w:r>
        <w:t xml:space="preserve">: </w:t>
      </w:r>
      <w:r w:rsidRPr="009C60F7">
        <w:t>21,962</w:t>
      </w:r>
    </w:p>
    <w:p w:rsidR="009C60F7" w:rsidRDefault="009C60F7" w:rsidP="009C60F7">
      <w:pPr>
        <w:pStyle w:val="BodyText1"/>
      </w:pPr>
      <w:r w:rsidRPr="009C60F7">
        <w:t>TCP care recipient 2016/17</w:t>
      </w:r>
      <w:r>
        <w:t xml:space="preserve">: </w:t>
      </w:r>
      <w:r w:rsidRPr="009C60F7">
        <w:t>25,346</w:t>
      </w:r>
    </w:p>
    <w:p w:rsidR="009C60F7" w:rsidRDefault="009C60F7" w:rsidP="009C60F7">
      <w:pPr>
        <w:pStyle w:val="BodyText1"/>
      </w:pPr>
      <w:r w:rsidRPr="009C60F7">
        <w:t>TCP % change</w:t>
      </w:r>
      <w:r>
        <w:t xml:space="preserve">: </w:t>
      </w:r>
      <w:r w:rsidRPr="009C60F7">
        <w:t>15.4%</w:t>
      </w:r>
    </w:p>
    <w:p w:rsidR="007A471F" w:rsidRDefault="007A471F" w:rsidP="007A471F">
      <w:pPr>
        <w:pStyle w:val="BodyText"/>
        <w:rPr>
          <w:lang w:val="en-GB"/>
        </w:rPr>
      </w:pPr>
      <w:r>
        <w:rPr>
          <w:lang w:val="en-GB"/>
        </w:rPr>
        <w:t xml:space="preserve">The distribution of </w:t>
      </w:r>
      <w:r w:rsidR="003A2412">
        <w:rPr>
          <w:lang w:val="en-GB"/>
        </w:rPr>
        <w:t>TCP care recipient</w:t>
      </w:r>
      <w:r>
        <w:rPr>
          <w:lang w:val="en-GB"/>
        </w:rPr>
        <w:t xml:space="preserve">s by remoteness area has remained consistent between 2010/11 and 2016/17. For example in 2016/17 66.7 per cent of clients were from major cities and in 2010/11 67.7 per cent of clients were from major cities. T </w:t>
      </w:r>
    </w:p>
    <w:p w:rsidR="007A471F" w:rsidRPr="007A471F" w:rsidRDefault="007A471F" w:rsidP="006B0BBA">
      <w:pPr>
        <w:pStyle w:val="AppendixHeading3"/>
        <w:rPr>
          <w:lang w:val="en-GB"/>
        </w:rPr>
      </w:pPr>
      <w:r w:rsidRPr="007A471F">
        <w:rPr>
          <w:lang w:val="en-GB"/>
        </w:rPr>
        <w:t>Clients by Greater Capital City Spatial Areas (GCCSA)</w:t>
      </w:r>
    </w:p>
    <w:p w:rsidR="007A471F" w:rsidRDefault="007A471F" w:rsidP="007A471F">
      <w:pPr>
        <w:pStyle w:val="BodyText"/>
        <w:rPr>
          <w:lang w:val="en-GB"/>
        </w:rPr>
      </w:pPr>
      <w:r>
        <w:rPr>
          <w:lang w:val="en-GB"/>
        </w:rPr>
        <w:t>Maps of the count of clients by postcode for 2016/17 provide have been created based on the supplied data. The postcodes were mapped to the GCCSA as defined by the ABS.</w:t>
      </w:r>
      <w:r>
        <w:rPr>
          <w:rStyle w:val="FootnoteReference"/>
          <w:lang w:val="en-GB"/>
        </w:rPr>
        <w:footnoteReference w:id="99"/>
      </w:r>
      <w:r>
        <w:rPr>
          <w:lang w:val="en-GB"/>
        </w:rPr>
        <w:t xml:space="preserve"> </w:t>
      </w:r>
    </w:p>
    <w:p w:rsidR="007A471F" w:rsidRDefault="007A471F" w:rsidP="005D2C05">
      <w:pPr>
        <w:pStyle w:val="Caption"/>
      </w:pPr>
      <w:r>
        <w:t xml:space="preserve">Figure </w:t>
      </w:r>
      <w:r w:rsidR="00A52C03">
        <w:rPr>
          <w:noProof/>
        </w:rPr>
        <w:fldChar w:fldCharType="begin"/>
      </w:r>
      <w:r w:rsidR="00A52C03">
        <w:rPr>
          <w:noProof/>
        </w:rPr>
        <w:instrText xml:space="preserve"> SEQ Figure \* ARABIC </w:instrText>
      </w:r>
      <w:r w:rsidR="00A52C03">
        <w:rPr>
          <w:noProof/>
        </w:rPr>
        <w:fldChar w:fldCharType="separate"/>
      </w:r>
      <w:r w:rsidR="00DD20F5">
        <w:rPr>
          <w:noProof/>
        </w:rPr>
        <w:t>8</w:t>
      </w:r>
      <w:r w:rsidR="00A52C03">
        <w:rPr>
          <w:noProof/>
        </w:rPr>
        <w:fldChar w:fldCharType="end"/>
      </w:r>
      <w:r>
        <w:t xml:space="preserve">: </w:t>
      </w:r>
      <w:r w:rsidRPr="00786005">
        <w:t xml:space="preserve">2016/17 </w:t>
      </w:r>
      <w:r w:rsidR="003A2412">
        <w:t>TCP care recipient</w:t>
      </w:r>
      <w:r w:rsidRPr="00786005">
        <w:t xml:space="preserve">s by postcode for </w:t>
      </w:r>
      <w:r>
        <w:t>Sydney</w:t>
      </w:r>
      <w:r w:rsidRPr="00786005">
        <w:t xml:space="preserve"> GCCSA</w:t>
      </w:r>
    </w:p>
    <w:p w:rsidR="007A471F" w:rsidRDefault="007A471F" w:rsidP="007A471F">
      <w:pPr>
        <w:pStyle w:val="BodyText"/>
        <w:rPr>
          <w:lang w:val="en-GB"/>
        </w:rPr>
      </w:pPr>
      <w:r>
        <w:rPr>
          <w:noProof/>
          <w:lang w:val="en-GB" w:eastAsia="en-GB"/>
        </w:rPr>
        <w:drawing>
          <wp:inline distT="0" distB="0" distL="0" distR="0" wp14:anchorId="43538A31" wp14:editId="76E9501D">
            <wp:extent cx="5759450" cy="4586605"/>
            <wp:effectExtent l="0" t="0" r="0" b="4445"/>
            <wp:docPr id="67869" name="Picture 67869" descr="This image is a map of the postcodes that make up the Sydney greater capital city area. These postcodes are colour coded based on the number of TCP care recipients (or clients) in those postcodes. Post codes with 0 clients are light grey, postcodes with 1 to 19 clients are light blue, postcodes with 20 to 49 clients are blue and postcodes with 50 or more clients are dark blue. There is a cluster of dark blue postcodes to the northern end of Sydney and some dark blue postcodes towards the west of Sydney. The remainder of this map of Sydney is a mix of light blue postcodes (1 to 19 clients) and blue postcodes (20 to 49 cl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4586605"/>
                    </a:xfrm>
                    <a:prstGeom prst="rect">
                      <a:avLst/>
                    </a:prstGeom>
                  </pic:spPr>
                </pic:pic>
              </a:graphicData>
            </a:graphic>
          </wp:inline>
        </w:drawing>
      </w:r>
    </w:p>
    <w:p w:rsidR="007A471F" w:rsidRDefault="007A471F" w:rsidP="005D2C05">
      <w:pPr>
        <w:pStyle w:val="Caption"/>
      </w:pPr>
      <w:r>
        <w:t xml:space="preserve">Figure </w:t>
      </w:r>
      <w:r w:rsidR="00A52C03">
        <w:rPr>
          <w:noProof/>
        </w:rPr>
        <w:fldChar w:fldCharType="begin"/>
      </w:r>
      <w:r w:rsidR="00A52C03">
        <w:rPr>
          <w:noProof/>
        </w:rPr>
        <w:instrText xml:space="preserve"> SEQ Figure \* ARABIC </w:instrText>
      </w:r>
      <w:r w:rsidR="00A52C03">
        <w:rPr>
          <w:noProof/>
        </w:rPr>
        <w:fldChar w:fldCharType="separate"/>
      </w:r>
      <w:r w:rsidR="00DD20F5">
        <w:rPr>
          <w:noProof/>
        </w:rPr>
        <w:t>9</w:t>
      </w:r>
      <w:r w:rsidR="00A52C03">
        <w:rPr>
          <w:noProof/>
        </w:rPr>
        <w:fldChar w:fldCharType="end"/>
      </w:r>
      <w:r>
        <w:t xml:space="preserve">: </w:t>
      </w:r>
      <w:r w:rsidRPr="00C8497E">
        <w:t xml:space="preserve">2016/17 </w:t>
      </w:r>
      <w:r w:rsidR="003A2412">
        <w:t>TCP care recipient</w:t>
      </w:r>
      <w:r w:rsidRPr="00C8497E">
        <w:t xml:space="preserve">s by postcode for </w:t>
      </w:r>
      <w:r>
        <w:t>Melbourne</w:t>
      </w:r>
      <w:r w:rsidRPr="00C8497E">
        <w:t xml:space="preserve"> GCCSA</w:t>
      </w:r>
    </w:p>
    <w:p w:rsidR="007A471F" w:rsidRDefault="007A471F" w:rsidP="007A471F">
      <w:pPr>
        <w:pStyle w:val="BodyText"/>
        <w:rPr>
          <w:lang w:val="en-GB"/>
        </w:rPr>
      </w:pPr>
      <w:r>
        <w:rPr>
          <w:noProof/>
          <w:lang w:val="en-GB" w:eastAsia="en-GB"/>
        </w:rPr>
        <w:drawing>
          <wp:inline distT="0" distB="0" distL="0" distR="0" wp14:anchorId="6FB37253" wp14:editId="5235DBDA">
            <wp:extent cx="5759450" cy="4588510"/>
            <wp:effectExtent l="0" t="0" r="0" b="2540"/>
            <wp:docPr id="67870" name="Picture 67870" descr="is a map of the postcodes that make up the Melbourne greater capital city area. These postcodes are colour coded based on the number of TCP care recipients (or clients) in those postcodes. Postcodes with 0 clients are light grey, postcodes with 1 to 19 clients are light blue, postcodes with 20 to 49 clients are blue and postcodes with 50 or more clients are dark blue. There are scattered dark blue postcodes to the west and east of inner Melbourne. The remainder of this map of Melbourne is a mix of light blue and blue postcodes, with a scattering of grey post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4588510"/>
                    </a:xfrm>
                    <a:prstGeom prst="rect">
                      <a:avLst/>
                    </a:prstGeom>
                  </pic:spPr>
                </pic:pic>
              </a:graphicData>
            </a:graphic>
          </wp:inline>
        </w:drawing>
      </w:r>
    </w:p>
    <w:p w:rsidR="007A471F" w:rsidRDefault="007A471F" w:rsidP="005D2C05">
      <w:pPr>
        <w:pStyle w:val="Caption"/>
      </w:pPr>
      <w:r>
        <w:t xml:space="preserve">Figure </w:t>
      </w:r>
      <w:r w:rsidR="00A52C03">
        <w:rPr>
          <w:noProof/>
        </w:rPr>
        <w:fldChar w:fldCharType="begin"/>
      </w:r>
      <w:r w:rsidR="00A52C03">
        <w:rPr>
          <w:noProof/>
        </w:rPr>
        <w:instrText xml:space="preserve"> SEQ Figure \* ARABIC </w:instrText>
      </w:r>
      <w:r w:rsidR="00A52C03">
        <w:rPr>
          <w:noProof/>
        </w:rPr>
        <w:fldChar w:fldCharType="separate"/>
      </w:r>
      <w:r w:rsidR="00DD20F5">
        <w:rPr>
          <w:noProof/>
        </w:rPr>
        <w:t>10</w:t>
      </w:r>
      <w:r w:rsidR="00A52C03">
        <w:rPr>
          <w:noProof/>
        </w:rPr>
        <w:fldChar w:fldCharType="end"/>
      </w:r>
      <w:r>
        <w:t xml:space="preserve">: </w:t>
      </w:r>
      <w:r w:rsidRPr="000201DE">
        <w:t xml:space="preserve">2016/17 </w:t>
      </w:r>
      <w:r w:rsidR="003A2412">
        <w:t>TCP care recipient</w:t>
      </w:r>
      <w:r w:rsidRPr="000201DE">
        <w:t xml:space="preserve">s by postcode for </w:t>
      </w:r>
      <w:r>
        <w:t>Brisbane</w:t>
      </w:r>
      <w:r w:rsidRPr="000201DE">
        <w:t xml:space="preserve"> GCCSA</w:t>
      </w:r>
    </w:p>
    <w:p w:rsidR="007A471F" w:rsidRDefault="007A471F" w:rsidP="007A471F">
      <w:pPr>
        <w:pStyle w:val="BodyText"/>
        <w:rPr>
          <w:lang w:val="en-GB"/>
        </w:rPr>
      </w:pPr>
      <w:r>
        <w:rPr>
          <w:noProof/>
          <w:lang w:val="en-GB" w:eastAsia="en-GB"/>
        </w:rPr>
        <w:drawing>
          <wp:inline distT="0" distB="0" distL="0" distR="0" wp14:anchorId="77402437" wp14:editId="72BA5301">
            <wp:extent cx="5759450" cy="4603115"/>
            <wp:effectExtent l="0" t="0" r="0" b="6985"/>
            <wp:docPr id="68120" name="Picture 68120" descr="is a map of the postcodes that make up the Brisbane greater capital city area. These postcodes are colour coded based on the number of TCP care recipients (or clients) in those postcodes. Postcodes with 0 clients are light grey, postcodes with 1 to 19 clients are light blue, postcodes with 20 to 49 clients are blue and postcodes with 50 or more clients are dark blue. There is a cluster of dark blue postcodes to the northern end of inner Brisbane and some dark blue postcodes towards the south of Brisbane. The remainder of this map of Brisbane is a mix of light blue and blue postcodes, with limited grey post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4603115"/>
                    </a:xfrm>
                    <a:prstGeom prst="rect">
                      <a:avLst/>
                    </a:prstGeom>
                  </pic:spPr>
                </pic:pic>
              </a:graphicData>
            </a:graphic>
          </wp:inline>
        </w:drawing>
      </w:r>
    </w:p>
    <w:p w:rsidR="007A471F" w:rsidRDefault="007A471F" w:rsidP="005D2C05">
      <w:pPr>
        <w:pStyle w:val="Caption"/>
      </w:pPr>
      <w:r>
        <w:t xml:space="preserve">Figure </w:t>
      </w:r>
      <w:r w:rsidR="00A52C03">
        <w:rPr>
          <w:noProof/>
        </w:rPr>
        <w:fldChar w:fldCharType="begin"/>
      </w:r>
      <w:r w:rsidR="00A52C03">
        <w:rPr>
          <w:noProof/>
        </w:rPr>
        <w:instrText xml:space="preserve"> SEQ Figure \* ARABIC </w:instrText>
      </w:r>
      <w:r w:rsidR="00A52C03">
        <w:rPr>
          <w:noProof/>
        </w:rPr>
        <w:fldChar w:fldCharType="separate"/>
      </w:r>
      <w:r w:rsidR="00DD20F5">
        <w:rPr>
          <w:noProof/>
        </w:rPr>
        <w:t>11</w:t>
      </w:r>
      <w:r w:rsidR="00A52C03">
        <w:rPr>
          <w:noProof/>
        </w:rPr>
        <w:fldChar w:fldCharType="end"/>
      </w:r>
      <w:r>
        <w:t xml:space="preserve">: </w:t>
      </w:r>
      <w:r w:rsidRPr="00DE5718">
        <w:t xml:space="preserve">2016/17 </w:t>
      </w:r>
      <w:r w:rsidR="003A2412">
        <w:t>TCP care recipient</w:t>
      </w:r>
      <w:r w:rsidRPr="00DE5718">
        <w:t xml:space="preserve">s by postcode for </w:t>
      </w:r>
      <w:r>
        <w:t>Adelaide</w:t>
      </w:r>
      <w:r w:rsidRPr="00DE5718">
        <w:t xml:space="preserve"> GCCSA</w:t>
      </w:r>
    </w:p>
    <w:p w:rsidR="007A471F" w:rsidRDefault="007A471F" w:rsidP="007A471F">
      <w:pPr>
        <w:pStyle w:val="BodyText"/>
        <w:rPr>
          <w:lang w:val="en-GB"/>
        </w:rPr>
      </w:pPr>
      <w:r>
        <w:rPr>
          <w:noProof/>
          <w:lang w:val="en-GB" w:eastAsia="en-GB"/>
        </w:rPr>
        <w:drawing>
          <wp:inline distT="0" distB="0" distL="0" distR="0" wp14:anchorId="710F4578" wp14:editId="71E91363">
            <wp:extent cx="5759450" cy="4581525"/>
            <wp:effectExtent l="0" t="0" r="0" b="9525"/>
            <wp:docPr id="68121" name="Picture 68121" descr="is a map of the postcodes that make up the Adelaide greater capital city area. These postcodes are colour coded based on the number of TCP care recipients (or clients) in those postcodes. Postcodes with 0 clients are light grey, postcodes with 1 to 19 clients are light blue, postcodes with 20 to 49 clients are blue and postcodes with 50 or more clients are dark blue. There is only one dark blue postcode in inner Adelaide. The remainder of this map is primarily a mix of light blue and blue postcodes, with some grey postcodes to the north and east of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4581525"/>
                    </a:xfrm>
                    <a:prstGeom prst="rect">
                      <a:avLst/>
                    </a:prstGeom>
                  </pic:spPr>
                </pic:pic>
              </a:graphicData>
            </a:graphic>
          </wp:inline>
        </w:drawing>
      </w:r>
    </w:p>
    <w:p w:rsidR="007A471F" w:rsidRDefault="007A471F" w:rsidP="005D2C05">
      <w:pPr>
        <w:pStyle w:val="Caption"/>
      </w:pPr>
      <w:r>
        <w:t xml:space="preserve">Figure </w:t>
      </w:r>
      <w:r w:rsidR="00A52C03">
        <w:rPr>
          <w:noProof/>
        </w:rPr>
        <w:fldChar w:fldCharType="begin"/>
      </w:r>
      <w:r w:rsidR="00A52C03">
        <w:rPr>
          <w:noProof/>
        </w:rPr>
        <w:instrText xml:space="preserve"> SEQ Figure \* ARABIC </w:instrText>
      </w:r>
      <w:r w:rsidR="00A52C03">
        <w:rPr>
          <w:noProof/>
        </w:rPr>
        <w:fldChar w:fldCharType="separate"/>
      </w:r>
      <w:r w:rsidR="00DD20F5">
        <w:rPr>
          <w:noProof/>
        </w:rPr>
        <w:t>12</w:t>
      </w:r>
      <w:r w:rsidR="00A52C03">
        <w:rPr>
          <w:noProof/>
        </w:rPr>
        <w:fldChar w:fldCharType="end"/>
      </w:r>
      <w:r>
        <w:t xml:space="preserve">: 2016/17 </w:t>
      </w:r>
      <w:r w:rsidR="003A2412">
        <w:t>TCP care recipient</w:t>
      </w:r>
      <w:r>
        <w:t>s by postcode for Perth GCCSA</w:t>
      </w:r>
    </w:p>
    <w:p w:rsidR="007A471F" w:rsidRDefault="007A471F" w:rsidP="007A471F">
      <w:pPr>
        <w:pStyle w:val="BodyText"/>
        <w:rPr>
          <w:lang w:val="en-GB"/>
        </w:rPr>
      </w:pPr>
      <w:r w:rsidRPr="00BD1FCB">
        <w:rPr>
          <w:noProof/>
          <w:lang w:val="en-GB" w:eastAsia="en-GB"/>
        </w:rPr>
        <w:drawing>
          <wp:inline distT="0" distB="0" distL="0" distR="0" wp14:anchorId="1599B47A" wp14:editId="44AD7B5F">
            <wp:extent cx="5759450" cy="4580890"/>
            <wp:effectExtent l="0" t="0" r="0" b="0"/>
            <wp:docPr id="68122" name="Picture 68122" descr="is a map of the postcodes that make up the Perth greater capital city area. These postcodes are colour coded based on the number of TCP care recipients (or clients) in those postcodes. Postcodes with 0 clients are light grey, postcodes with 1 to 19 clients are light blue, postcodes with 20 to 49 clients are blue and postcodes with 50 or more clients are dark blue. There is a cluster of dark blue postcodes to the northern end of Perth and a few scattered dark blue postcodes towards the east and south of Perth. The remainder of this map is a mix of light blue, blue, and grey postc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4580890"/>
                    </a:xfrm>
                    <a:prstGeom prst="rect">
                      <a:avLst/>
                    </a:prstGeom>
                  </pic:spPr>
                </pic:pic>
              </a:graphicData>
            </a:graphic>
          </wp:inline>
        </w:drawing>
      </w:r>
    </w:p>
    <w:p w:rsidR="007A471F" w:rsidRDefault="007A471F" w:rsidP="005D2C05">
      <w:pPr>
        <w:pStyle w:val="Caption"/>
      </w:pPr>
      <w:r>
        <w:t xml:space="preserve">Figure </w:t>
      </w:r>
      <w:r w:rsidR="00A52C03">
        <w:rPr>
          <w:noProof/>
        </w:rPr>
        <w:fldChar w:fldCharType="begin"/>
      </w:r>
      <w:r w:rsidR="00A52C03">
        <w:rPr>
          <w:noProof/>
        </w:rPr>
        <w:instrText xml:space="preserve"> SEQ Figure \* ARABIC </w:instrText>
      </w:r>
      <w:r w:rsidR="00A52C03">
        <w:rPr>
          <w:noProof/>
        </w:rPr>
        <w:fldChar w:fldCharType="separate"/>
      </w:r>
      <w:r w:rsidR="00DD20F5">
        <w:rPr>
          <w:noProof/>
        </w:rPr>
        <w:t>13</w:t>
      </w:r>
      <w:r w:rsidR="00A52C03">
        <w:rPr>
          <w:noProof/>
        </w:rPr>
        <w:fldChar w:fldCharType="end"/>
      </w:r>
      <w:r>
        <w:t xml:space="preserve">: </w:t>
      </w:r>
      <w:r w:rsidRPr="00812AF6">
        <w:t xml:space="preserve">2016/17 </w:t>
      </w:r>
      <w:r w:rsidR="003A2412">
        <w:t>TCP care recipient</w:t>
      </w:r>
      <w:r w:rsidRPr="00812AF6">
        <w:t xml:space="preserve">s by postcode for </w:t>
      </w:r>
      <w:r>
        <w:t>Hobart</w:t>
      </w:r>
      <w:r w:rsidRPr="00812AF6">
        <w:t xml:space="preserve"> GCCSA</w:t>
      </w:r>
    </w:p>
    <w:p w:rsidR="007A471F" w:rsidRDefault="007A471F" w:rsidP="007A471F">
      <w:pPr>
        <w:pStyle w:val="BodyText"/>
        <w:rPr>
          <w:lang w:val="en-GB"/>
        </w:rPr>
      </w:pPr>
      <w:r>
        <w:rPr>
          <w:noProof/>
          <w:lang w:val="en-GB" w:eastAsia="en-GB"/>
        </w:rPr>
        <w:drawing>
          <wp:inline distT="0" distB="0" distL="0" distR="0" wp14:anchorId="4E62B730" wp14:editId="3C1A97CF">
            <wp:extent cx="5759450" cy="4560570"/>
            <wp:effectExtent l="0" t="0" r="0" b="0"/>
            <wp:docPr id="68123" name="Picture 68123" descr="is a map of the postcodes that make up the Hobart greater capital city area. These postcodes are colour coded based on the number of TCP care recipients (or clients) in those postcodes. Postcodes with 0 clients are light grey, postcodes with 1 to 19 clients are light blue, postcodes with 20 to 49 clients are blue and postcodes with 50 or more clients are dark blue. There is only one dark blue postcode in inner Hobart. The remainder of this map is primarily light blue postcodes, with limited blue and grey post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4560570"/>
                    </a:xfrm>
                    <a:prstGeom prst="rect">
                      <a:avLst/>
                    </a:prstGeom>
                  </pic:spPr>
                </pic:pic>
              </a:graphicData>
            </a:graphic>
          </wp:inline>
        </w:drawing>
      </w:r>
    </w:p>
    <w:p w:rsidR="007A471F" w:rsidRDefault="007A471F" w:rsidP="007A471F">
      <w:pPr>
        <w:pStyle w:val="BodyText"/>
        <w:rPr>
          <w:lang w:val="en-GB"/>
        </w:rPr>
      </w:pPr>
    </w:p>
    <w:p w:rsidR="007A471F" w:rsidRDefault="007A471F" w:rsidP="005D2C05">
      <w:pPr>
        <w:pStyle w:val="Caption"/>
      </w:pPr>
      <w:r>
        <w:t xml:space="preserve">Figure </w:t>
      </w:r>
      <w:r w:rsidR="00A52C03">
        <w:rPr>
          <w:noProof/>
        </w:rPr>
        <w:fldChar w:fldCharType="begin"/>
      </w:r>
      <w:r w:rsidR="00A52C03">
        <w:rPr>
          <w:noProof/>
        </w:rPr>
        <w:instrText xml:space="preserve"> SEQ Figure \* ARABIC </w:instrText>
      </w:r>
      <w:r w:rsidR="00A52C03">
        <w:rPr>
          <w:noProof/>
        </w:rPr>
        <w:fldChar w:fldCharType="separate"/>
      </w:r>
      <w:r w:rsidR="00DD20F5">
        <w:rPr>
          <w:noProof/>
        </w:rPr>
        <w:t>14</w:t>
      </w:r>
      <w:r w:rsidR="00A52C03">
        <w:rPr>
          <w:noProof/>
        </w:rPr>
        <w:fldChar w:fldCharType="end"/>
      </w:r>
      <w:r>
        <w:t xml:space="preserve">: </w:t>
      </w:r>
      <w:r w:rsidRPr="009D7309">
        <w:t xml:space="preserve">2016/17 </w:t>
      </w:r>
      <w:r w:rsidR="003A2412">
        <w:t>TCP care recipient</w:t>
      </w:r>
      <w:r w:rsidRPr="009D7309">
        <w:t xml:space="preserve">s by postcode for </w:t>
      </w:r>
      <w:r>
        <w:t>Darwin</w:t>
      </w:r>
      <w:r w:rsidRPr="009D7309">
        <w:t xml:space="preserve"> GCCSA</w:t>
      </w:r>
    </w:p>
    <w:p w:rsidR="007A471F" w:rsidRDefault="007A471F" w:rsidP="007A471F">
      <w:pPr>
        <w:pStyle w:val="BodyText"/>
        <w:rPr>
          <w:lang w:val="en-GB"/>
        </w:rPr>
      </w:pPr>
      <w:r>
        <w:rPr>
          <w:noProof/>
          <w:lang w:val="en-GB" w:eastAsia="en-GB"/>
        </w:rPr>
        <w:drawing>
          <wp:inline distT="0" distB="0" distL="0" distR="0" wp14:anchorId="633EC533" wp14:editId="7A203008">
            <wp:extent cx="5759450" cy="4577080"/>
            <wp:effectExtent l="0" t="0" r="0" b="0"/>
            <wp:docPr id="68124" name="Picture 68124" descr="This image is a map of the postcodes that make up the Darwin greater capital city area. These postcodes are colour coded based on the number of TCP care recipients (or clients) in those postcodes. Postcodes with 0 clients are light grey, postcodes with 1 to 19 clients are light blue, postcodes with 20 to 49 clients are blue and postcodes with 50 or more clients are dark blue. The vast majority of Darwin is comprised by light blue postcodes, with limited grey postcodes. There are no dark blue or blue post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4577080"/>
                    </a:xfrm>
                    <a:prstGeom prst="rect">
                      <a:avLst/>
                    </a:prstGeom>
                  </pic:spPr>
                </pic:pic>
              </a:graphicData>
            </a:graphic>
          </wp:inline>
        </w:drawing>
      </w:r>
    </w:p>
    <w:p w:rsidR="007A471F" w:rsidRDefault="007A471F" w:rsidP="005D2C05">
      <w:pPr>
        <w:pStyle w:val="Caption"/>
      </w:pPr>
      <w:r>
        <w:t xml:space="preserve">Figure </w:t>
      </w:r>
      <w:r w:rsidR="00A52C03">
        <w:rPr>
          <w:noProof/>
        </w:rPr>
        <w:fldChar w:fldCharType="begin"/>
      </w:r>
      <w:r w:rsidR="00A52C03">
        <w:rPr>
          <w:noProof/>
        </w:rPr>
        <w:instrText xml:space="preserve"> SEQ Figure \* ARABIC </w:instrText>
      </w:r>
      <w:r w:rsidR="00A52C03">
        <w:rPr>
          <w:noProof/>
        </w:rPr>
        <w:fldChar w:fldCharType="separate"/>
      </w:r>
      <w:r w:rsidR="00DD20F5">
        <w:rPr>
          <w:noProof/>
        </w:rPr>
        <w:t>15</w:t>
      </w:r>
      <w:r w:rsidR="00A52C03">
        <w:rPr>
          <w:noProof/>
        </w:rPr>
        <w:fldChar w:fldCharType="end"/>
      </w:r>
      <w:r>
        <w:t xml:space="preserve">: </w:t>
      </w:r>
      <w:r w:rsidRPr="001C4074">
        <w:t xml:space="preserve">2016/17 </w:t>
      </w:r>
      <w:r w:rsidR="003A2412">
        <w:t>TCP care recipient</w:t>
      </w:r>
      <w:r w:rsidRPr="001C4074">
        <w:t xml:space="preserve">s by postcode for </w:t>
      </w:r>
      <w:r>
        <w:t xml:space="preserve">ACT </w:t>
      </w:r>
      <w:r w:rsidRPr="001C4074">
        <w:t>GCCSA</w:t>
      </w:r>
    </w:p>
    <w:p w:rsidR="007A471F" w:rsidRPr="00BE223B" w:rsidRDefault="007A471F" w:rsidP="007A471F">
      <w:pPr>
        <w:pStyle w:val="BodyText"/>
        <w:rPr>
          <w:lang w:val="en-GB"/>
        </w:rPr>
      </w:pPr>
      <w:r>
        <w:rPr>
          <w:noProof/>
          <w:lang w:val="en-GB" w:eastAsia="en-GB"/>
        </w:rPr>
        <w:drawing>
          <wp:inline distT="0" distB="0" distL="0" distR="0" wp14:anchorId="3FDFA26F" wp14:editId="01675C29">
            <wp:extent cx="5759450" cy="4581525"/>
            <wp:effectExtent l="0" t="0" r="0" b="9525"/>
            <wp:docPr id="68125" name="Picture 68125" descr="This image is a map of the postcodes that make up the ACT. These postcodes are colour coded based on the number of TCP care recipients (or clients) in those postcodes. Postcodes with 0 clients are light grey, postcodes with 1 to 19 clients are light blue, postcodes with 20 to 49 clients are blue and postcodes with 50 or more clients are dark blue. The vast majority of Darwin is comprised by blue postcodes, with limited light blue and grey postcodes. There are no dark blue post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4581525"/>
                    </a:xfrm>
                    <a:prstGeom prst="rect">
                      <a:avLst/>
                    </a:prstGeom>
                  </pic:spPr>
                </pic:pic>
              </a:graphicData>
            </a:graphic>
          </wp:inline>
        </w:drawing>
      </w:r>
    </w:p>
    <w:p w:rsidR="007A471F" w:rsidRPr="00036832" w:rsidRDefault="007A471F" w:rsidP="00522748">
      <w:pPr>
        <w:pStyle w:val="BodyText1"/>
        <w:rPr>
          <w:lang w:val="en-GB"/>
        </w:rPr>
      </w:pPr>
    </w:p>
    <w:p w:rsidR="00DA0D95" w:rsidRDefault="00036832" w:rsidP="00DA0D95">
      <w:pPr>
        <w:pStyle w:val="Appendixheading"/>
        <w:rPr>
          <w:lang w:val="en-GB"/>
        </w:rPr>
      </w:pPr>
      <w:bookmarkStart w:id="44" w:name="_Toc5270611"/>
      <w:r>
        <w:rPr>
          <w:lang w:val="en-GB"/>
        </w:rPr>
        <w:t xml:space="preserve">: </w:t>
      </w:r>
      <w:r w:rsidR="00DA0D95" w:rsidRPr="007F1A00">
        <w:rPr>
          <w:lang w:val="en-GB"/>
        </w:rPr>
        <w:t xml:space="preserve">Service </w:t>
      </w:r>
      <w:r>
        <w:rPr>
          <w:lang w:val="en-GB"/>
        </w:rPr>
        <w:t xml:space="preserve">provider </w:t>
      </w:r>
      <w:r w:rsidR="00DA0D95" w:rsidRPr="007F1A00">
        <w:rPr>
          <w:lang w:val="en-GB"/>
        </w:rPr>
        <w:t>mapping</w:t>
      </w:r>
      <w:bookmarkEnd w:id="44"/>
    </w:p>
    <w:p w:rsidR="00036832" w:rsidRPr="00036832" w:rsidRDefault="00036832" w:rsidP="00036832">
      <w:pPr>
        <w:pStyle w:val="BodyText1"/>
        <w:rPr>
          <w:lang w:val="en-GB"/>
        </w:rPr>
      </w:pPr>
      <w:r>
        <w:rPr>
          <w:lang w:val="en-GB"/>
        </w:rPr>
        <w:t>The following sections maps the service provider locations of</w:t>
      </w:r>
      <w:r w:rsidR="003A2412">
        <w:rPr>
          <w:lang w:val="en-GB"/>
        </w:rPr>
        <w:t xml:space="preserve"> the</w:t>
      </w:r>
      <w:r>
        <w:rPr>
          <w:lang w:val="en-GB"/>
        </w:rPr>
        <w:t xml:space="preserve"> TCP across Australia, and then in some of the major cities. The below is not a complete picture of where services are delivered as it only takes into account where the physical offices are for providers. To ful</w:t>
      </w:r>
      <w:r w:rsidR="00702E7D">
        <w:rPr>
          <w:lang w:val="en-GB"/>
        </w:rPr>
        <w:t xml:space="preserve">ly understand the reach of </w:t>
      </w:r>
      <w:r w:rsidR="003A2412">
        <w:rPr>
          <w:lang w:val="en-GB"/>
        </w:rPr>
        <w:t xml:space="preserve">the </w:t>
      </w:r>
      <w:r w:rsidR="00702E7D">
        <w:rPr>
          <w:lang w:val="en-GB"/>
        </w:rPr>
        <w:t>TCP,</w:t>
      </w:r>
      <w:r>
        <w:rPr>
          <w:lang w:val="en-GB"/>
        </w:rPr>
        <w:t xml:space="preserve"> see </w:t>
      </w:r>
      <w:r>
        <w:rPr>
          <w:lang w:val="en-GB"/>
        </w:rPr>
        <w:fldChar w:fldCharType="begin"/>
      </w:r>
      <w:r>
        <w:rPr>
          <w:lang w:val="en-GB"/>
        </w:rPr>
        <w:instrText xml:space="preserve"> REF _Ref290771 \r \h </w:instrText>
      </w:r>
      <w:r>
        <w:rPr>
          <w:lang w:val="en-GB"/>
        </w:rPr>
      </w:r>
      <w:r>
        <w:rPr>
          <w:lang w:val="en-GB"/>
        </w:rPr>
        <w:fldChar w:fldCharType="separate"/>
      </w:r>
      <w:r w:rsidR="00ED07D2">
        <w:rPr>
          <w:lang w:val="en-GB"/>
        </w:rPr>
        <w:t>Appendix B</w:t>
      </w:r>
      <w:r>
        <w:rPr>
          <w:lang w:val="en-GB"/>
        </w:rPr>
        <w:fldChar w:fldCharType="end"/>
      </w:r>
      <w:r>
        <w:rPr>
          <w:lang w:val="en-GB"/>
        </w:rPr>
        <w:t xml:space="preserve"> above.</w:t>
      </w:r>
    </w:p>
    <w:p w:rsidR="00DA0D95" w:rsidRDefault="00BE2EB9" w:rsidP="00DA0D95">
      <w:pPr>
        <w:pStyle w:val="AppendixHeading2"/>
        <w:rPr>
          <w:lang w:val="en-GB"/>
        </w:rPr>
      </w:pPr>
      <w:r>
        <w:rPr>
          <w:lang w:val="en-GB"/>
        </w:rPr>
        <w:t>Service locations across Australia</w:t>
      </w:r>
    </w:p>
    <w:p w:rsidR="00BE2EB9" w:rsidRDefault="00BE2EB9" w:rsidP="00BE2EB9">
      <w:pPr>
        <w:pStyle w:val="BodyText"/>
        <w:rPr>
          <w:lang w:val="en-GB"/>
        </w:rPr>
      </w:pPr>
      <w:r w:rsidRPr="00BE2EB9">
        <w:rPr>
          <w:noProof/>
          <w:lang w:val="en-GB" w:eastAsia="en-GB"/>
        </w:rPr>
        <w:drawing>
          <wp:inline distT="0" distB="0" distL="0" distR="0" wp14:anchorId="75475095" wp14:editId="4BEB4D1B">
            <wp:extent cx="5759450" cy="4950676"/>
            <wp:effectExtent l="0" t="0" r="0" b="2540"/>
            <wp:docPr id="8" name="Picture 8" descr="This image shows a map of Australia with each of the locations of TCP providers indicated with a coloured marker. These are largely centred around the capital cities and the majority of providers are located on the east co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ohnson4\AppData\Local\Microsoft\Windows\INetCache\Content.Outlook\RBBHAF48\aus 1 (0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4950676"/>
                    </a:xfrm>
                    <a:prstGeom prst="rect">
                      <a:avLst/>
                    </a:prstGeom>
                    <a:noFill/>
                    <a:ln>
                      <a:noFill/>
                    </a:ln>
                  </pic:spPr>
                </pic:pic>
              </a:graphicData>
            </a:graphic>
          </wp:inline>
        </w:drawing>
      </w:r>
    </w:p>
    <w:p w:rsidR="00BE2EB9" w:rsidRPr="00BE2EB9" w:rsidRDefault="00BE2EB9" w:rsidP="00BE2EB9">
      <w:pPr>
        <w:pStyle w:val="Bullet1stlevel"/>
        <w:numPr>
          <w:ilvl w:val="0"/>
          <w:numId w:val="0"/>
        </w:numPr>
        <w:rPr>
          <w:lang w:val="en-GB"/>
        </w:rPr>
      </w:pPr>
      <w:r w:rsidRPr="007F1A00">
        <w:rPr>
          <w:color w:val="44546A" w:themeColor="text2"/>
          <w:sz w:val="18"/>
          <w:szCs w:val="18"/>
          <w:lang w:val="en-GB"/>
        </w:rPr>
        <w:t>Source: Department of Health</w:t>
      </w:r>
    </w:p>
    <w:p w:rsidR="00DA0D95" w:rsidRDefault="00BE2EB9" w:rsidP="00DA0D95">
      <w:pPr>
        <w:pStyle w:val="AppendixHeading3"/>
        <w:rPr>
          <w:lang w:val="en-GB"/>
        </w:rPr>
      </w:pPr>
      <w:r>
        <w:rPr>
          <w:lang w:val="en-GB"/>
        </w:rPr>
        <w:t>Service locations in major cities</w:t>
      </w:r>
    </w:p>
    <w:p w:rsidR="00BE2EB9" w:rsidRDefault="00BE2EB9" w:rsidP="00BE2EB9">
      <w:pPr>
        <w:pStyle w:val="Heading5"/>
        <w:rPr>
          <w:lang w:val="en-GB"/>
        </w:rPr>
      </w:pPr>
      <w:r>
        <w:rPr>
          <w:lang w:val="en-GB"/>
        </w:rPr>
        <w:t>Sydney</w:t>
      </w:r>
    </w:p>
    <w:p w:rsidR="00BE2EB9" w:rsidRDefault="00BE2EB9" w:rsidP="00BE2EB9">
      <w:pPr>
        <w:pStyle w:val="BodyText"/>
        <w:rPr>
          <w:lang w:val="en-GB"/>
        </w:rPr>
      </w:pPr>
      <w:r w:rsidRPr="00BE2EB9">
        <w:rPr>
          <w:noProof/>
          <w:lang w:val="en-GB" w:eastAsia="en-GB"/>
        </w:rPr>
        <w:drawing>
          <wp:inline distT="0" distB="0" distL="0" distR="0" wp14:anchorId="1CF9D642" wp14:editId="379D6676">
            <wp:extent cx="5759450" cy="5079835"/>
            <wp:effectExtent l="0" t="0" r="0" b="6985"/>
            <wp:docPr id="12" name="Picture 12" descr="This image shows TCP providers in the wider Sydney area. The providers are located in Wyoming, Crows Nest, Wollongong, Penrith, North Ryde, Belrose, Randwick, Waverley, Kogarah,Caringbah, Liverpool, Bankstown, Darlinghurst, Balmain, Westmead, and Blackt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johnson4\AppData\Local\Microsoft\Windows\INetCache\Content.Outlook\RBBHAF48\sydney.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5079835"/>
                    </a:xfrm>
                    <a:prstGeom prst="rect">
                      <a:avLst/>
                    </a:prstGeom>
                    <a:noFill/>
                    <a:ln>
                      <a:noFill/>
                    </a:ln>
                  </pic:spPr>
                </pic:pic>
              </a:graphicData>
            </a:graphic>
          </wp:inline>
        </w:drawing>
      </w:r>
    </w:p>
    <w:p w:rsidR="00BE2EB9" w:rsidRDefault="00BE2EB9" w:rsidP="00BE2EB9">
      <w:pPr>
        <w:pStyle w:val="Bullet1stlevel"/>
        <w:numPr>
          <w:ilvl w:val="0"/>
          <w:numId w:val="0"/>
        </w:numPr>
        <w:rPr>
          <w:lang w:val="en-GB"/>
        </w:rPr>
      </w:pPr>
      <w:r w:rsidRPr="007F1A00">
        <w:rPr>
          <w:color w:val="44546A" w:themeColor="text2"/>
          <w:sz w:val="18"/>
          <w:szCs w:val="18"/>
          <w:lang w:val="en-GB"/>
        </w:rPr>
        <w:t>Source: Department of Health</w:t>
      </w:r>
    </w:p>
    <w:p w:rsidR="00BE2EB9" w:rsidRDefault="00BE2EB9" w:rsidP="00BE2EB9">
      <w:pPr>
        <w:pStyle w:val="Heading5"/>
        <w:rPr>
          <w:lang w:val="en-GB"/>
        </w:rPr>
      </w:pPr>
      <w:r>
        <w:rPr>
          <w:lang w:val="en-GB"/>
        </w:rPr>
        <w:t>Melbourne</w:t>
      </w:r>
    </w:p>
    <w:p w:rsidR="00BE2EB9" w:rsidRDefault="00BE2EB9" w:rsidP="00BE2EB9">
      <w:pPr>
        <w:pStyle w:val="BodyText"/>
        <w:rPr>
          <w:lang w:val="en-GB"/>
        </w:rPr>
      </w:pPr>
      <w:r w:rsidRPr="00BE2EB9">
        <w:rPr>
          <w:noProof/>
          <w:lang w:val="en-GB" w:eastAsia="en-GB"/>
        </w:rPr>
        <w:drawing>
          <wp:inline distT="0" distB="0" distL="0" distR="0" wp14:anchorId="2C709775" wp14:editId="766F2E21">
            <wp:extent cx="5759450" cy="4013331"/>
            <wp:effectExtent l="0" t="0" r="0" b="6350"/>
            <wp:docPr id="11" name="Picture 11" descr="This image shows TCP providers in the wider Melbourne area. The providers are located in Caulfield, Ballarat, Heidelberg, Geeling, Bendigo, Ringwood, Traralgon West, Parkville, Cheltenham, Preston, Frankston, Portland, Warrnambool, Kew, Weeribee, Hamilton, and Footsc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johnson4\AppData\Local\Microsoft\Windows\INetCache\Content.Outlook\RBBHAF48\Melbourn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4013331"/>
                    </a:xfrm>
                    <a:prstGeom prst="rect">
                      <a:avLst/>
                    </a:prstGeom>
                    <a:noFill/>
                    <a:ln>
                      <a:noFill/>
                    </a:ln>
                  </pic:spPr>
                </pic:pic>
              </a:graphicData>
            </a:graphic>
          </wp:inline>
        </w:drawing>
      </w:r>
    </w:p>
    <w:p w:rsidR="00BE2EB9" w:rsidRDefault="00BE2EB9" w:rsidP="00BE2EB9">
      <w:pPr>
        <w:pStyle w:val="Bullet1stlevel"/>
        <w:numPr>
          <w:ilvl w:val="0"/>
          <w:numId w:val="0"/>
        </w:numPr>
        <w:rPr>
          <w:color w:val="44546A" w:themeColor="text2"/>
          <w:sz w:val="18"/>
          <w:szCs w:val="18"/>
          <w:lang w:val="en-GB"/>
        </w:rPr>
      </w:pPr>
      <w:r w:rsidRPr="007F1A00">
        <w:rPr>
          <w:color w:val="44546A" w:themeColor="text2"/>
          <w:sz w:val="18"/>
          <w:szCs w:val="18"/>
          <w:lang w:val="en-GB"/>
        </w:rPr>
        <w:t>Source: Department of Health</w:t>
      </w:r>
    </w:p>
    <w:p w:rsidR="00BE2EB9" w:rsidRDefault="00BE2EB9" w:rsidP="00BE2EB9">
      <w:pPr>
        <w:pStyle w:val="Heading5"/>
        <w:rPr>
          <w:lang w:val="en-GB"/>
        </w:rPr>
      </w:pPr>
      <w:r>
        <w:rPr>
          <w:lang w:val="en-GB"/>
        </w:rPr>
        <w:t>Brisbane</w:t>
      </w:r>
    </w:p>
    <w:p w:rsidR="00BE2EB9" w:rsidRDefault="00BE2EB9" w:rsidP="00BE2EB9">
      <w:pPr>
        <w:pStyle w:val="BodyText"/>
        <w:rPr>
          <w:lang w:val="en-GB"/>
        </w:rPr>
      </w:pPr>
      <w:r w:rsidRPr="00BE2EB9">
        <w:rPr>
          <w:noProof/>
          <w:lang w:val="en-GB" w:eastAsia="en-GB"/>
        </w:rPr>
        <w:drawing>
          <wp:inline distT="0" distB="0" distL="0" distR="0" wp14:anchorId="2249A4E5" wp14:editId="7E47B73C">
            <wp:extent cx="5759450" cy="3556415"/>
            <wp:effectExtent l="0" t="0" r="0" b="6350"/>
            <wp:docPr id="10" name="Picture 10" descr="This image shows TCP providers in the wider Brisbane area. The providers are located in Cleveland, Eight Mile Plains, Southport, Brighton, Nambour, Cranley, and Ips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johnson4\AppData\Local\Microsoft\Windows\INetCache\Content.Outlook\RBBHAF48\Brisban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3556415"/>
                    </a:xfrm>
                    <a:prstGeom prst="rect">
                      <a:avLst/>
                    </a:prstGeom>
                    <a:noFill/>
                    <a:ln>
                      <a:noFill/>
                    </a:ln>
                  </pic:spPr>
                </pic:pic>
              </a:graphicData>
            </a:graphic>
          </wp:inline>
        </w:drawing>
      </w:r>
    </w:p>
    <w:p w:rsidR="00BE2EB9" w:rsidRDefault="00BE2EB9" w:rsidP="00BE2EB9">
      <w:pPr>
        <w:pStyle w:val="Bullet1stlevel"/>
        <w:numPr>
          <w:ilvl w:val="0"/>
          <w:numId w:val="0"/>
        </w:numPr>
        <w:rPr>
          <w:lang w:val="en-GB"/>
        </w:rPr>
      </w:pPr>
      <w:r w:rsidRPr="007F1A00">
        <w:rPr>
          <w:color w:val="44546A" w:themeColor="text2"/>
          <w:sz w:val="18"/>
          <w:szCs w:val="18"/>
          <w:lang w:val="en-GB"/>
        </w:rPr>
        <w:t>Source: Department of Health</w:t>
      </w:r>
    </w:p>
    <w:p w:rsidR="00BE2EB9" w:rsidRPr="00BE2EB9" w:rsidRDefault="00BE2EB9" w:rsidP="00BE2EB9">
      <w:pPr>
        <w:pStyle w:val="Heading5"/>
        <w:rPr>
          <w:lang w:val="en-GB"/>
        </w:rPr>
      </w:pPr>
      <w:r>
        <w:rPr>
          <w:lang w:val="en-GB"/>
        </w:rPr>
        <w:t>Adelaide</w:t>
      </w:r>
    </w:p>
    <w:p w:rsidR="00DA0D95" w:rsidRPr="007F1A00" w:rsidRDefault="00BE2EB9" w:rsidP="00DA0D95">
      <w:pPr>
        <w:pStyle w:val="BodyText"/>
        <w:rPr>
          <w:lang w:val="en-GB"/>
        </w:rPr>
      </w:pPr>
      <w:r w:rsidRPr="00BE2EB9">
        <w:rPr>
          <w:noProof/>
          <w:lang w:val="en-GB" w:eastAsia="en-GB"/>
        </w:rPr>
        <w:drawing>
          <wp:inline distT="0" distB="0" distL="0" distR="0" wp14:anchorId="204D7508" wp14:editId="568F6DAD">
            <wp:extent cx="5759450" cy="6141100"/>
            <wp:effectExtent l="0" t="0" r="0" b="0"/>
            <wp:docPr id="9" name="Picture 9" descr="This image shows TCP providers in the wider Adelaide area. The providers are located in Torrensville, Hove, Hindmarsh, Parkside, Fullarton, Eastwood, Wayville, Keswick, Parkside, Adelaide, and Port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johnson4\AppData\Local\Microsoft\Windows\INetCache\Content.Outlook\RBBHAF48\adelaid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6141100"/>
                    </a:xfrm>
                    <a:prstGeom prst="rect">
                      <a:avLst/>
                    </a:prstGeom>
                    <a:noFill/>
                    <a:ln>
                      <a:noFill/>
                    </a:ln>
                  </pic:spPr>
                </pic:pic>
              </a:graphicData>
            </a:graphic>
          </wp:inline>
        </w:drawing>
      </w:r>
    </w:p>
    <w:p w:rsidR="000D3A24" w:rsidRPr="007F1A00" w:rsidRDefault="00BE2EB9" w:rsidP="00BE2EB9">
      <w:pPr>
        <w:pStyle w:val="Bullet1stlevel"/>
        <w:numPr>
          <w:ilvl w:val="0"/>
          <w:numId w:val="0"/>
        </w:numPr>
        <w:rPr>
          <w:lang w:val="en-GB"/>
        </w:rPr>
      </w:pPr>
      <w:r w:rsidRPr="007F1A00">
        <w:rPr>
          <w:color w:val="44546A" w:themeColor="text2"/>
          <w:sz w:val="18"/>
          <w:szCs w:val="18"/>
          <w:lang w:val="en-GB"/>
        </w:rPr>
        <w:t>Source: Department of Health</w:t>
      </w:r>
    </w:p>
    <w:p w:rsidR="006D476F" w:rsidRDefault="006D476F">
      <w:pPr>
        <w:spacing w:before="0" w:after="160" w:line="259" w:lineRule="auto"/>
        <w:rPr>
          <w:lang w:val="en-GB"/>
        </w:rPr>
      </w:pPr>
      <w:r>
        <w:rPr>
          <w:lang w:val="en-GB"/>
        </w:rPr>
        <w:br w:type="page"/>
      </w:r>
    </w:p>
    <w:p w:rsidR="006D476F" w:rsidRDefault="006D476F" w:rsidP="006D476F">
      <w:pPr>
        <w:pStyle w:val="Appendixheading"/>
        <w:rPr>
          <w:lang w:val="en-GB"/>
        </w:rPr>
      </w:pPr>
      <w:bookmarkStart w:id="45" w:name="_Toc5270612"/>
      <w:r>
        <w:rPr>
          <w:lang w:val="en-GB"/>
        </w:rPr>
        <w:t>: Modified Barthel Index scores on admission and exit from the Programme</w:t>
      </w:r>
      <w:bookmarkEnd w:id="45"/>
    </w:p>
    <w:p w:rsidR="006D476F" w:rsidRPr="00E71CBA" w:rsidRDefault="006D476F" w:rsidP="006D476F">
      <w:pPr>
        <w:pStyle w:val="AppendixHeading3"/>
        <w:rPr>
          <w:lang w:val="en-GB"/>
        </w:rPr>
      </w:pPr>
      <w:r w:rsidRPr="00E71CBA">
        <w:rPr>
          <w:lang w:val="en-GB"/>
        </w:rPr>
        <w:t xml:space="preserve">MBI </w:t>
      </w:r>
      <w:r>
        <w:rPr>
          <w:lang w:val="en-GB"/>
        </w:rPr>
        <w:t>data on admission and discharge</w:t>
      </w:r>
      <w:r w:rsidRPr="00E71CBA">
        <w:rPr>
          <w:lang w:val="en-GB"/>
        </w:rPr>
        <w:t xml:space="preserve"> </w:t>
      </w:r>
    </w:p>
    <w:p w:rsidR="006D476F" w:rsidRPr="00C70BF6" w:rsidRDefault="006D476F" w:rsidP="006D476F">
      <w:pPr>
        <w:pStyle w:val="BodyText1"/>
        <w:rPr>
          <w:lang w:val="en-GB"/>
        </w:rPr>
      </w:pPr>
      <w:r w:rsidRPr="00C70BF6">
        <w:rPr>
          <w:lang w:val="en-GB"/>
        </w:rPr>
        <w:t xml:space="preserve">The </w:t>
      </w:r>
      <w:r>
        <w:rPr>
          <w:lang w:val="en-GB"/>
        </w:rPr>
        <w:t xml:space="preserve">information </w:t>
      </w:r>
      <w:r w:rsidRPr="00C70BF6">
        <w:rPr>
          <w:lang w:val="en-GB"/>
        </w:rPr>
        <w:t>below show</w:t>
      </w:r>
      <w:r>
        <w:rPr>
          <w:lang w:val="en-GB"/>
        </w:rPr>
        <w:t>s</w:t>
      </w:r>
      <w:r w:rsidRPr="00C70BF6">
        <w:rPr>
          <w:lang w:val="en-GB"/>
        </w:rPr>
        <w:t xml:space="preserve"> further detail comparing the distribution of MBI scores on entry and exit for each jurisdiction. Considering entry MBI scores, nationally, the proportion of care recipients admitted under each category has remained constant suggesting the casemix of patients admitted to</w:t>
      </w:r>
      <w:r>
        <w:rPr>
          <w:lang w:val="en-GB"/>
        </w:rPr>
        <w:t xml:space="preserve"> the</w:t>
      </w:r>
      <w:r w:rsidRPr="00C70BF6">
        <w:rPr>
          <w:lang w:val="en-GB"/>
        </w:rPr>
        <w:t xml:space="preserve"> TCP has remained constant since 2006/07. However, there is variation between jurisdictions with the ACT and NT admitting proportionately fewer complex patients over time. On the other hand, WA has been admitting increasingly complex patients over time. </w:t>
      </w:r>
    </w:p>
    <w:p w:rsidR="006D476F" w:rsidRPr="00C70BF6" w:rsidRDefault="006D476F" w:rsidP="006D476F">
      <w:pPr>
        <w:pStyle w:val="BodyText1"/>
        <w:rPr>
          <w:lang w:val="en-GB"/>
        </w:rPr>
      </w:pPr>
      <w:r w:rsidRPr="00C70BF6">
        <w:rPr>
          <w:lang w:val="en-GB"/>
        </w:rPr>
        <w:t xml:space="preserve">The </w:t>
      </w:r>
      <w:r>
        <w:rPr>
          <w:lang w:val="en-GB"/>
        </w:rPr>
        <w:t>information demonstrates that Victoria</w:t>
      </w:r>
      <w:r w:rsidRPr="00C70BF6">
        <w:rPr>
          <w:lang w:val="en-GB"/>
        </w:rPr>
        <w:t xml:space="preserve"> has consistently been admitting a higher proportion of more complex patients compared to the other jurisdictions. </w:t>
      </w:r>
    </w:p>
    <w:p w:rsidR="006D476F" w:rsidRDefault="006D476F" w:rsidP="006D476F">
      <w:pPr>
        <w:pStyle w:val="BodyText1"/>
        <w:rPr>
          <w:lang w:val="en-GB"/>
        </w:rPr>
      </w:pPr>
      <w:r w:rsidRPr="00C70BF6">
        <w:rPr>
          <w:lang w:val="en-GB"/>
        </w:rPr>
        <w:t>The MBI exit scores correlate what was discussed earlier with respe</w:t>
      </w:r>
      <w:r>
        <w:rPr>
          <w:lang w:val="en-GB"/>
        </w:rPr>
        <w:t>ct to the effectiveness of the P</w:t>
      </w:r>
      <w:r w:rsidRPr="00C70BF6">
        <w:rPr>
          <w:lang w:val="en-GB"/>
        </w:rPr>
        <w:t>rogram</w:t>
      </w:r>
      <w:r>
        <w:rPr>
          <w:lang w:val="en-GB"/>
        </w:rPr>
        <w:t>me</w:t>
      </w:r>
      <w:r w:rsidRPr="00C70BF6">
        <w:rPr>
          <w:lang w:val="en-GB"/>
        </w:rPr>
        <w:t>. Comparing entry and exit scores for each jurisdiction we can see the shift in the concentration of care recipients from lower functioning to higher functioning categories from entry to exit. Again, the data is skewed by the over-repres</w:t>
      </w:r>
      <w:r>
        <w:rPr>
          <w:lang w:val="en-GB"/>
        </w:rPr>
        <w:t>entation of zero scores on exit</w:t>
      </w:r>
    </w:p>
    <w:p w:rsidR="002E0AAE" w:rsidRPr="006D476F" w:rsidRDefault="002E0AAE" w:rsidP="006D476F">
      <w:pPr>
        <w:pStyle w:val="BodyText1"/>
        <w:rPr>
          <w:b/>
        </w:rPr>
      </w:pPr>
      <w:r w:rsidRPr="006D476F">
        <w:rPr>
          <w:b/>
        </w:rPr>
        <w:t>MBI admission scores nationally</w:t>
      </w:r>
    </w:p>
    <w:p w:rsidR="006D476F" w:rsidRDefault="006D476F" w:rsidP="006D476F">
      <w:r>
        <w:t xml:space="preserve">In 2006/07: </w:t>
      </w:r>
      <w:r w:rsidRPr="004A6868">
        <w:t>2% of participants had a score of 0,</w:t>
      </w:r>
      <w:r>
        <w:t xml:space="preserve"> </w:t>
      </w:r>
      <w:r w:rsidRPr="004A6868">
        <w:t xml:space="preserve">2% </w:t>
      </w:r>
      <w:r>
        <w:t>of participants had a score of 1-9</w:t>
      </w:r>
      <w:r w:rsidRPr="004A6868">
        <w:t>,</w:t>
      </w:r>
      <w:r>
        <w:t xml:space="preserve"> 4</w:t>
      </w:r>
      <w:r w:rsidRPr="004A6868">
        <w:t xml:space="preserve">% </w:t>
      </w:r>
      <w:r>
        <w:t>of participants had a score of 10-19</w:t>
      </w:r>
      <w:r w:rsidRPr="004A6868">
        <w:t>,</w:t>
      </w:r>
      <w:r>
        <w:t xml:space="preserve"> 4</w:t>
      </w:r>
      <w:r w:rsidRPr="004A6868">
        <w:t xml:space="preserve">% </w:t>
      </w:r>
      <w:r>
        <w:t>of participants had a score of 20-29</w:t>
      </w:r>
      <w:r w:rsidRPr="004A6868">
        <w:t>,</w:t>
      </w:r>
      <w:r>
        <w:t xml:space="preserve"> 5</w:t>
      </w:r>
      <w:r w:rsidRPr="004A6868">
        <w:t xml:space="preserve">% of participants had a score of </w:t>
      </w:r>
      <w:r>
        <w:t>30-39</w:t>
      </w:r>
      <w:r w:rsidRPr="004A6868">
        <w:t>,</w:t>
      </w:r>
      <w:r>
        <w:t xml:space="preserve"> 7</w:t>
      </w:r>
      <w:r w:rsidRPr="004A6868">
        <w:t xml:space="preserve">% of participants had a score of </w:t>
      </w:r>
      <w:r>
        <w:t>40-49</w:t>
      </w:r>
      <w:r w:rsidRPr="004A6868">
        <w:t>,</w:t>
      </w:r>
      <w:r>
        <w:t xml:space="preserve"> 9</w:t>
      </w:r>
      <w:r w:rsidRPr="004A6868">
        <w:t xml:space="preserve">% of participants had a score of </w:t>
      </w:r>
      <w:r>
        <w:t>50-59</w:t>
      </w:r>
      <w:r w:rsidRPr="004A6868">
        <w:t>,</w:t>
      </w:r>
      <w:r>
        <w:t xml:space="preserve"> 13</w:t>
      </w:r>
      <w:r w:rsidRPr="004A6868">
        <w:t xml:space="preserve">% of participants had a score of </w:t>
      </w:r>
      <w:r>
        <w:t>60-69</w:t>
      </w:r>
      <w:r w:rsidRPr="004A6868">
        <w:t>,</w:t>
      </w:r>
      <w:r>
        <w:t xml:space="preserve"> 17%</w:t>
      </w:r>
      <w:r w:rsidRPr="004A6868">
        <w:t xml:space="preserve"> of participants had a score of </w:t>
      </w:r>
      <w:r>
        <w:t>70-79</w:t>
      </w:r>
      <w:r w:rsidRPr="004A6868">
        <w:t>,</w:t>
      </w:r>
      <w:r>
        <w:t xml:space="preserve"> 22</w:t>
      </w:r>
      <w:r w:rsidRPr="004A6868">
        <w:t xml:space="preserve">% of participants had a score of </w:t>
      </w:r>
      <w:r>
        <w:t>80-89</w:t>
      </w:r>
      <w:r w:rsidRPr="004A6868">
        <w:t>,</w:t>
      </w:r>
      <w:r>
        <w:t xml:space="preserve"> and 15</w:t>
      </w:r>
      <w:r w:rsidRPr="004A6868">
        <w:t xml:space="preserve">% of participants had a score of </w:t>
      </w:r>
      <w:r>
        <w:t>90+.</w:t>
      </w:r>
    </w:p>
    <w:p w:rsidR="006D476F" w:rsidRDefault="006D476F" w:rsidP="006D476F">
      <w:r w:rsidRPr="004A6868">
        <w:t>In 200</w:t>
      </w:r>
      <w:r>
        <w:t>7</w:t>
      </w:r>
      <w:r w:rsidRPr="004A6868">
        <w:t>/0</w:t>
      </w:r>
      <w:r>
        <w:t xml:space="preserve">8: </w:t>
      </w:r>
      <w:r w:rsidRPr="004A6868">
        <w:t>2% of participants had a score of 0,</w:t>
      </w:r>
      <w:r>
        <w:t xml:space="preserve"> </w:t>
      </w:r>
      <w:r w:rsidRPr="004A6868">
        <w:t xml:space="preserve">2% </w:t>
      </w:r>
      <w:r>
        <w:t>of participants had a score of 1-9</w:t>
      </w:r>
      <w:r w:rsidRPr="004A6868">
        <w:t>,</w:t>
      </w:r>
      <w:r>
        <w:t xml:space="preserve"> 3</w:t>
      </w:r>
      <w:r w:rsidRPr="004A6868">
        <w:t xml:space="preserve">% </w:t>
      </w:r>
      <w:r>
        <w:t>of participants had a score of 10-19</w:t>
      </w:r>
      <w:r w:rsidRPr="004A6868">
        <w:t>,</w:t>
      </w:r>
      <w:r>
        <w:t xml:space="preserve"> 3</w:t>
      </w:r>
      <w:r w:rsidRPr="004A6868">
        <w:t xml:space="preserve">% </w:t>
      </w:r>
      <w:r>
        <w:t>of participants had a score of 20-29</w:t>
      </w:r>
      <w:r w:rsidRPr="004A6868">
        <w:t>,</w:t>
      </w:r>
      <w:r>
        <w:t xml:space="preserve"> 4</w:t>
      </w:r>
      <w:r w:rsidRPr="004A6868">
        <w:t xml:space="preserve">% of participants had a score of </w:t>
      </w:r>
      <w:r>
        <w:t>30-39</w:t>
      </w:r>
      <w:r w:rsidRPr="004A6868">
        <w:t>,</w:t>
      </w:r>
      <w:r>
        <w:t xml:space="preserve"> 6</w:t>
      </w:r>
      <w:r w:rsidRPr="004A6868">
        <w:t xml:space="preserve">% of participants had a score of </w:t>
      </w:r>
      <w:r>
        <w:t>40-49</w:t>
      </w:r>
      <w:r w:rsidRPr="004A6868">
        <w:t>,</w:t>
      </w:r>
      <w:r>
        <w:t xml:space="preserve"> 8</w:t>
      </w:r>
      <w:r w:rsidRPr="004A6868">
        <w:t xml:space="preserve">% of participants had a score of </w:t>
      </w:r>
      <w:r>
        <w:t>50-59</w:t>
      </w:r>
      <w:r w:rsidRPr="004A6868">
        <w:t>,</w:t>
      </w:r>
      <w:r>
        <w:t xml:space="preserve"> 13</w:t>
      </w:r>
      <w:r w:rsidRPr="004A6868">
        <w:t xml:space="preserve">% of participants had a score of </w:t>
      </w:r>
      <w:r>
        <w:t>60-69</w:t>
      </w:r>
      <w:r w:rsidRPr="004A6868">
        <w:t>,</w:t>
      </w:r>
      <w:r>
        <w:t xml:space="preserve"> 18%</w:t>
      </w:r>
      <w:r w:rsidRPr="004A6868">
        <w:t xml:space="preserve"> of participants had a score of </w:t>
      </w:r>
      <w:r>
        <w:t>70-79</w:t>
      </w:r>
      <w:r w:rsidRPr="004A6868">
        <w:t>,</w:t>
      </w:r>
      <w:r>
        <w:t xml:space="preserve"> 24</w:t>
      </w:r>
      <w:r w:rsidRPr="004A6868">
        <w:t xml:space="preserve">% of participants had a score of </w:t>
      </w:r>
      <w:r>
        <w:t>80-89</w:t>
      </w:r>
      <w:r w:rsidRPr="004A6868">
        <w:t>,</w:t>
      </w:r>
      <w:r>
        <w:t xml:space="preserve"> and 17</w:t>
      </w:r>
      <w:r w:rsidRPr="004A6868">
        <w:t xml:space="preserve">% of participants had a score of </w:t>
      </w:r>
      <w:r>
        <w:t>90+.</w:t>
      </w:r>
    </w:p>
    <w:p w:rsidR="006D476F" w:rsidRDefault="006D476F" w:rsidP="006D476F">
      <w:r>
        <w:t xml:space="preserve">In 2008/09: </w:t>
      </w:r>
      <w:r w:rsidRPr="004A6868">
        <w:t>2% of participants had a score of 0,</w:t>
      </w:r>
      <w:r>
        <w:t xml:space="preserve"> 1</w:t>
      </w:r>
      <w:r w:rsidRPr="004A6868">
        <w:t xml:space="preserve">% </w:t>
      </w:r>
      <w:r>
        <w:t>of participants had a score of 1-9</w:t>
      </w:r>
      <w:r w:rsidRPr="004A6868">
        <w:t>,</w:t>
      </w:r>
      <w:r>
        <w:t xml:space="preserve"> 2</w:t>
      </w:r>
      <w:r w:rsidRPr="004A6868">
        <w:t xml:space="preserve">% </w:t>
      </w:r>
      <w:r>
        <w:t>of participants had a score of 10-19</w:t>
      </w:r>
      <w:r w:rsidRPr="004A6868">
        <w:t>,</w:t>
      </w:r>
      <w:r>
        <w:t xml:space="preserve"> 3</w:t>
      </w:r>
      <w:r w:rsidRPr="004A6868">
        <w:t xml:space="preserve">% </w:t>
      </w:r>
      <w:r>
        <w:t>of participants had a score of 20-29</w:t>
      </w:r>
      <w:r w:rsidRPr="004A6868">
        <w:t>,</w:t>
      </w:r>
      <w:r>
        <w:t xml:space="preserve"> 4</w:t>
      </w:r>
      <w:r w:rsidRPr="004A6868">
        <w:t xml:space="preserve">% of participants had a score of </w:t>
      </w:r>
      <w:r>
        <w:t>30-39</w:t>
      </w:r>
      <w:r w:rsidRPr="004A6868">
        <w:t>,</w:t>
      </w:r>
      <w:r>
        <w:t xml:space="preserve"> 6</w:t>
      </w:r>
      <w:r w:rsidRPr="004A6868">
        <w:t xml:space="preserve">% of participants had a score of </w:t>
      </w:r>
      <w:r>
        <w:t>40-49</w:t>
      </w:r>
      <w:r w:rsidRPr="004A6868">
        <w:t>,</w:t>
      </w:r>
      <w:r>
        <w:t xml:space="preserve"> 9</w:t>
      </w:r>
      <w:r w:rsidRPr="004A6868">
        <w:t xml:space="preserve">% of participants had a score of </w:t>
      </w:r>
      <w:r>
        <w:t>50-59</w:t>
      </w:r>
      <w:r w:rsidRPr="004A6868">
        <w:t>,</w:t>
      </w:r>
      <w:r>
        <w:t xml:space="preserve"> 12</w:t>
      </w:r>
      <w:r w:rsidRPr="004A6868">
        <w:t xml:space="preserve">% of participants had a score of </w:t>
      </w:r>
      <w:r>
        <w:t>60-69</w:t>
      </w:r>
      <w:r w:rsidRPr="004A6868">
        <w:t>,</w:t>
      </w:r>
      <w:r>
        <w:t xml:space="preserve"> 19%</w:t>
      </w:r>
      <w:r w:rsidRPr="004A6868">
        <w:t xml:space="preserve"> of participants had a score of </w:t>
      </w:r>
      <w:r>
        <w:t>70-79</w:t>
      </w:r>
      <w:r w:rsidRPr="004A6868">
        <w:t>,</w:t>
      </w:r>
      <w:r>
        <w:t xml:space="preserve"> 25</w:t>
      </w:r>
      <w:r w:rsidRPr="004A6868">
        <w:t xml:space="preserve">% of participants had a score of </w:t>
      </w:r>
      <w:r>
        <w:t>80-89</w:t>
      </w:r>
      <w:r w:rsidRPr="004A6868">
        <w:t>,</w:t>
      </w:r>
      <w:r>
        <w:t xml:space="preserve"> and 17</w:t>
      </w:r>
      <w:r w:rsidRPr="004A6868">
        <w:t xml:space="preserve">% of participants had a score of </w:t>
      </w:r>
      <w:r>
        <w:t>90+.</w:t>
      </w:r>
    </w:p>
    <w:p w:rsidR="006D476F" w:rsidRDefault="006D476F" w:rsidP="006D476F">
      <w:r>
        <w:t xml:space="preserve">In 2009/10: </w:t>
      </w:r>
      <w:r w:rsidRPr="004A6868">
        <w:t>2% of participants had a score of 0,</w:t>
      </w:r>
      <w:r>
        <w:t xml:space="preserve"> 1</w:t>
      </w:r>
      <w:r w:rsidRPr="004A6868">
        <w:t xml:space="preserve">% </w:t>
      </w:r>
      <w:r>
        <w:t>of participants had a score of 1-9</w:t>
      </w:r>
      <w:r w:rsidRPr="004A6868">
        <w:t>,</w:t>
      </w:r>
      <w:r>
        <w:t xml:space="preserve"> 2</w:t>
      </w:r>
      <w:r w:rsidRPr="004A6868">
        <w:t xml:space="preserve">% </w:t>
      </w:r>
      <w:r>
        <w:t>of  participants had a score of 10-19</w:t>
      </w:r>
      <w:r w:rsidRPr="004A6868">
        <w:t>,</w:t>
      </w:r>
      <w:r>
        <w:t xml:space="preserve"> 3</w:t>
      </w:r>
      <w:r w:rsidRPr="004A6868">
        <w:t xml:space="preserve">% </w:t>
      </w:r>
      <w:r>
        <w:t>of participants had a score of 20-29</w:t>
      </w:r>
      <w:r w:rsidRPr="004A6868">
        <w:t>,</w:t>
      </w:r>
      <w:r>
        <w:t xml:space="preserve"> 4</w:t>
      </w:r>
      <w:r w:rsidRPr="004A6868">
        <w:t xml:space="preserve">% of participants had a score of </w:t>
      </w:r>
      <w:r>
        <w:t>30-39</w:t>
      </w:r>
      <w:r w:rsidRPr="004A6868">
        <w:t>,</w:t>
      </w:r>
      <w:r>
        <w:t xml:space="preserve"> 5</w:t>
      </w:r>
      <w:r w:rsidRPr="004A6868">
        <w:t xml:space="preserve">% of participants had a score of </w:t>
      </w:r>
      <w:r>
        <w:t>40-49</w:t>
      </w:r>
      <w:r w:rsidRPr="004A6868">
        <w:t>,</w:t>
      </w:r>
      <w:r>
        <w:t xml:space="preserve"> 8</w:t>
      </w:r>
      <w:r w:rsidRPr="004A6868">
        <w:t xml:space="preserve">% of participants had a score of </w:t>
      </w:r>
      <w:r>
        <w:t>50-59</w:t>
      </w:r>
      <w:r w:rsidRPr="004A6868">
        <w:t>,</w:t>
      </w:r>
      <w:r>
        <w:t xml:space="preserve"> 12</w:t>
      </w:r>
      <w:r w:rsidRPr="004A6868">
        <w:t xml:space="preserve">% of participants had a score of </w:t>
      </w:r>
      <w:r>
        <w:t>60-69</w:t>
      </w:r>
      <w:r w:rsidRPr="004A6868">
        <w:t>,</w:t>
      </w:r>
      <w:r>
        <w:t xml:space="preserve"> 19%</w:t>
      </w:r>
      <w:r w:rsidRPr="004A6868">
        <w:t xml:space="preserve"> of participants had a score of </w:t>
      </w:r>
      <w:r>
        <w:t>70-79</w:t>
      </w:r>
      <w:r w:rsidRPr="004A6868">
        <w:t>,</w:t>
      </w:r>
      <w:r>
        <w:t xml:space="preserve"> 26</w:t>
      </w:r>
      <w:r w:rsidRPr="004A6868">
        <w:t xml:space="preserve">% of participants had a score of </w:t>
      </w:r>
      <w:r>
        <w:t>80-89</w:t>
      </w:r>
      <w:r w:rsidRPr="004A6868">
        <w:t>,</w:t>
      </w:r>
      <w:r>
        <w:t xml:space="preserve"> and 18</w:t>
      </w:r>
      <w:r w:rsidRPr="004A6868">
        <w:t xml:space="preserve">% of participants had a score of </w:t>
      </w:r>
      <w:r>
        <w:t>90+.</w:t>
      </w:r>
    </w:p>
    <w:p w:rsidR="006D476F" w:rsidRDefault="006D476F" w:rsidP="006D476F">
      <w:r w:rsidRPr="004A6868">
        <w:t>In 20</w:t>
      </w:r>
      <w:r>
        <w:t>10</w:t>
      </w:r>
      <w:r w:rsidRPr="004A6868">
        <w:t>/</w:t>
      </w:r>
      <w:r>
        <w:t xml:space="preserve">11: </w:t>
      </w:r>
      <w:r w:rsidRPr="004A6868">
        <w:t>2% of participants had a score of 0,</w:t>
      </w:r>
      <w:r>
        <w:t xml:space="preserve"> 1</w:t>
      </w:r>
      <w:r w:rsidRPr="004A6868">
        <w:t xml:space="preserve">% </w:t>
      </w:r>
      <w:r>
        <w:t>of participants had a score of 1-9</w:t>
      </w:r>
      <w:r w:rsidRPr="004A6868">
        <w:t>,</w:t>
      </w:r>
      <w:r>
        <w:t xml:space="preserve"> 2</w:t>
      </w:r>
      <w:r w:rsidRPr="004A6868">
        <w:t xml:space="preserve">% </w:t>
      </w:r>
      <w:r>
        <w:t>of participants had a score of 10-19</w:t>
      </w:r>
      <w:r w:rsidRPr="004A6868">
        <w:t>,</w:t>
      </w:r>
      <w:r>
        <w:t xml:space="preserve"> 3</w:t>
      </w:r>
      <w:r w:rsidRPr="004A6868">
        <w:t xml:space="preserve">% </w:t>
      </w:r>
      <w:r>
        <w:t>of participants had a score of 20-29</w:t>
      </w:r>
      <w:r w:rsidRPr="004A6868">
        <w:t>,</w:t>
      </w:r>
      <w:r>
        <w:t xml:space="preserve"> 4</w:t>
      </w:r>
      <w:r w:rsidRPr="004A6868">
        <w:t xml:space="preserve">% of participants had a score of </w:t>
      </w:r>
      <w:r>
        <w:t>30-39</w:t>
      </w:r>
      <w:r w:rsidRPr="004A6868">
        <w:t>,</w:t>
      </w:r>
      <w:r>
        <w:t xml:space="preserve"> 5</w:t>
      </w:r>
      <w:r w:rsidRPr="004A6868">
        <w:t xml:space="preserve">% of participants had a score of </w:t>
      </w:r>
      <w:r>
        <w:t>40-49</w:t>
      </w:r>
      <w:r w:rsidRPr="004A6868">
        <w:t>,</w:t>
      </w:r>
      <w:r>
        <w:t xml:space="preserve"> 8</w:t>
      </w:r>
      <w:r w:rsidRPr="004A6868">
        <w:t xml:space="preserve">% of participants had a score of </w:t>
      </w:r>
      <w:r>
        <w:t>50-59</w:t>
      </w:r>
      <w:r w:rsidRPr="004A6868">
        <w:t>,</w:t>
      </w:r>
      <w:r>
        <w:t xml:space="preserve"> 12</w:t>
      </w:r>
      <w:r w:rsidRPr="004A6868">
        <w:t xml:space="preserve">% of participants had a score of </w:t>
      </w:r>
      <w:r>
        <w:t>60-69</w:t>
      </w:r>
      <w:r w:rsidRPr="004A6868">
        <w:t>,</w:t>
      </w:r>
      <w:r>
        <w:t xml:space="preserve"> 19%</w:t>
      </w:r>
      <w:r w:rsidRPr="004A6868">
        <w:t xml:space="preserve"> of participants had a score of </w:t>
      </w:r>
      <w:r>
        <w:t>70-79</w:t>
      </w:r>
      <w:r w:rsidRPr="004A6868">
        <w:t>,</w:t>
      </w:r>
      <w:r>
        <w:t xml:space="preserve"> 27</w:t>
      </w:r>
      <w:r w:rsidRPr="004A6868">
        <w:t xml:space="preserve">% of participants had a score of </w:t>
      </w:r>
      <w:r>
        <w:t>80-89</w:t>
      </w:r>
      <w:r w:rsidRPr="004A6868">
        <w:t>,</w:t>
      </w:r>
      <w:r>
        <w:t xml:space="preserve"> and 17</w:t>
      </w:r>
      <w:r w:rsidRPr="004A6868">
        <w:t xml:space="preserve">% of participants had a score of </w:t>
      </w:r>
      <w:r>
        <w:t>90+.</w:t>
      </w:r>
    </w:p>
    <w:p w:rsidR="006D476F" w:rsidRDefault="006D476F" w:rsidP="006D476F">
      <w:r w:rsidRPr="004A6868">
        <w:t>In 20</w:t>
      </w:r>
      <w:r>
        <w:t>11</w:t>
      </w:r>
      <w:r w:rsidRPr="004A6868">
        <w:t>/</w:t>
      </w:r>
      <w:r>
        <w:t>12: 1</w:t>
      </w:r>
      <w:r w:rsidRPr="004A6868">
        <w:t>% of participants had a score of 0,</w:t>
      </w:r>
      <w:r>
        <w:t xml:space="preserve"> 1</w:t>
      </w:r>
      <w:r w:rsidRPr="004A6868">
        <w:t xml:space="preserve">% </w:t>
      </w:r>
      <w:r>
        <w:t>of participants had a score of 1-9</w:t>
      </w:r>
      <w:r w:rsidRPr="004A6868">
        <w:t>,</w:t>
      </w:r>
      <w:r>
        <w:t xml:space="preserve"> 2</w:t>
      </w:r>
      <w:r w:rsidRPr="004A6868">
        <w:t xml:space="preserve">% </w:t>
      </w:r>
      <w:r>
        <w:t>of participants had a score of 10-19</w:t>
      </w:r>
      <w:r w:rsidRPr="004A6868">
        <w:t>,</w:t>
      </w:r>
      <w:r>
        <w:t xml:space="preserve"> 3</w:t>
      </w:r>
      <w:r w:rsidRPr="004A6868">
        <w:t xml:space="preserve">% </w:t>
      </w:r>
      <w:r>
        <w:t>of participants had a score of 20-29</w:t>
      </w:r>
      <w:r w:rsidRPr="004A6868">
        <w:t>,</w:t>
      </w:r>
      <w:r>
        <w:t xml:space="preserve"> 3</w:t>
      </w:r>
      <w:r w:rsidRPr="004A6868">
        <w:t xml:space="preserve">% of participants had a score of </w:t>
      </w:r>
      <w:r>
        <w:t>30-39</w:t>
      </w:r>
      <w:r w:rsidRPr="004A6868">
        <w:t>,</w:t>
      </w:r>
      <w:r>
        <w:t xml:space="preserve"> 5</w:t>
      </w:r>
      <w:r w:rsidRPr="004A6868">
        <w:t xml:space="preserve">% of participants had a score of </w:t>
      </w:r>
      <w:r>
        <w:t>40-49</w:t>
      </w:r>
      <w:r w:rsidRPr="004A6868">
        <w:t>,</w:t>
      </w:r>
      <w:r>
        <w:t xml:space="preserve"> 8</w:t>
      </w:r>
      <w:r w:rsidRPr="004A6868">
        <w:t xml:space="preserve">% of participants had a score of </w:t>
      </w:r>
      <w:r>
        <w:t>50-59</w:t>
      </w:r>
      <w:r w:rsidRPr="004A6868">
        <w:t>,</w:t>
      </w:r>
      <w:r>
        <w:t xml:space="preserve"> 12</w:t>
      </w:r>
      <w:r w:rsidRPr="004A6868">
        <w:t xml:space="preserve">% of participants had a score of </w:t>
      </w:r>
      <w:r>
        <w:t>60-69</w:t>
      </w:r>
      <w:r w:rsidRPr="004A6868">
        <w:t>,</w:t>
      </w:r>
      <w:r>
        <w:t xml:space="preserve"> 20%</w:t>
      </w:r>
      <w:r w:rsidRPr="004A6868">
        <w:t xml:space="preserve"> of participants had a score of </w:t>
      </w:r>
      <w:r>
        <w:t>70-79</w:t>
      </w:r>
      <w:r w:rsidRPr="004A6868">
        <w:t>,</w:t>
      </w:r>
      <w:r>
        <w:t xml:space="preserve"> 27</w:t>
      </w:r>
      <w:r w:rsidRPr="004A6868">
        <w:t xml:space="preserve">% of participants had a score of </w:t>
      </w:r>
      <w:r>
        <w:t>80-89</w:t>
      </w:r>
      <w:r w:rsidRPr="004A6868">
        <w:t>,</w:t>
      </w:r>
      <w:r>
        <w:t xml:space="preserve"> and 17%</w:t>
      </w:r>
      <w:r w:rsidRPr="004A6868">
        <w:t xml:space="preserve"> of participants had a score of </w:t>
      </w:r>
      <w:r>
        <w:t>90+.</w:t>
      </w:r>
    </w:p>
    <w:p w:rsidR="006D476F" w:rsidRDefault="006D476F" w:rsidP="006D476F">
      <w:r w:rsidRPr="004A6868">
        <w:t>In 20</w:t>
      </w:r>
      <w:r>
        <w:t>12</w:t>
      </w:r>
      <w:r w:rsidRPr="004A6868">
        <w:t>/</w:t>
      </w:r>
      <w:r>
        <w:t>13: 1</w:t>
      </w:r>
      <w:r w:rsidRPr="004A6868">
        <w:t>% of participants had a score of 0,</w:t>
      </w:r>
      <w:r>
        <w:t xml:space="preserve"> </w:t>
      </w:r>
      <w:r w:rsidRPr="004A6868">
        <w:t xml:space="preserve">2% </w:t>
      </w:r>
      <w:r>
        <w:t>of participants had a score of 1-9</w:t>
      </w:r>
      <w:r w:rsidRPr="004A6868">
        <w:t>,</w:t>
      </w:r>
      <w:r>
        <w:t xml:space="preserve"> 2</w:t>
      </w:r>
      <w:r w:rsidRPr="004A6868">
        <w:t xml:space="preserve">% </w:t>
      </w:r>
      <w:r>
        <w:t>of participants had a score of 10-19</w:t>
      </w:r>
      <w:r w:rsidRPr="004A6868">
        <w:t>,</w:t>
      </w:r>
      <w:r>
        <w:t xml:space="preserve"> 3</w:t>
      </w:r>
      <w:r w:rsidRPr="004A6868">
        <w:t xml:space="preserve">% </w:t>
      </w:r>
      <w:r>
        <w:t>of participants had a score of 20-29</w:t>
      </w:r>
      <w:r w:rsidRPr="004A6868">
        <w:t>,</w:t>
      </w:r>
      <w:r>
        <w:t xml:space="preserve"> 3</w:t>
      </w:r>
      <w:r w:rsidRPr="004A6868">
        <w:t xml:space="preserve">% of participants had a score of </w:t>
      </w:r>
      <w:r>
        <w:t>30-39</w:t>
      </w:r>
      <w:r w:rsidRPr="004A6868">
        <w:t>,</w:t>
      </w:r>
      <w:r>
        <w:t xml:space="preserve"> 5</w:t>
      </w:r>
      <w:r w:rsidRPr="004A6868">
        <w:t xml:space="preserve">% of participants had a score of </w:t>
      </w:r>
      <w:r>
        <w:t>40-49</w:t>
      </w:r>
      <w:r w:rsidRPr="004A6868">
        <w:t>,</w:t>
      </w:r>
      <w:r>
        <w:t xml:space="preserve"> 8</w:t>
      </w:r>
      <w:r w:rsidRPr="004A6868">
        <w:t xml:space="preserve">% of participants had a score of </w:t>
      </w:r>
      <w:r>
        <w:t>50-59</w:t>
      </w:r>
      <w:r w:rsidRPr="004A6868">
        <w:t>,</w:t>
      </w:r>
      <w:r>
        <w:t xml:space="preserve"> 12</w:t>
      </w:r>
      <w:r w:rsidRPr="004A6868">
        <w:t xml:space="preserve">% of participants had a score of </w:t>
      </w:r>
      <w:r>
        <w:t>60-69</w:t>
      </w:r>
      <w:r w:rsidRPr="004A6868">
        <w:t>,</w:t>
      </w:r>
      <w:r>
        <w:t xml:space="preserve"> 19%</w:t>
      </w:r>
      <w:r w:rsidRPr="004A6868">
        <w:t xml:space="preserve"> of participants had a score of </w:t>
      </w:r>
      <w:r>
        <w:t>70-79</w:t>
      </w:r>
      <w:r w:rsidRPr="004A6868">
        <w:t>,</w:t>
      </w:r>
      <w:r>
        <w:t xml:space="preserve"> 27</w:t>
      </w:r>
      <w:r w:rsidRPr="004A6868">
        <w:t xml:space="preserve">% of participants had a score of </w:t>
      </w:r>
      <w:r>
        <w:t>80-89</w:t>
      </w:r>
      <w:r w:rsidRPr="004A6868">
        <w:t>,</w:t>
      </w:r>
      <w:r>
        <w:t xml:space="preserve"> and 17</w:t>
      </w:r>
      <w:r w:rsidRPr="004A6868">
        <w:t xml:space="preserve">% of participants had a score of </w:t>
      </w:r>
      <w:r>
        <w:t>90+.</w:t>
      </w:r>
    </w:p>
    <w:p w:rsidR="006D476F" w:rsidRDefault="006D476F" w:rsidP="006D476F">
      <w:r>
        <w:t>In 2013/14: 1</w:t>
      </w:r>
      <w:r w:rsidRPr="004A6868">
        <w:t>% of participants had a score of 0,</w:t>
      </w:r>
      <w:r>
        <w:t xml:space="preserve"> </w:t>
      </w:r>
      <w:r w:rsidRPr="004A6868">
        <w:t xml:space="preserve">2% </w:t>
      </w:r>
      <w:r>
        <w:t>of participants had a score of 1-9</w:t>
      </w:r>
      <w:r w:rsidRPr="004A6868">
        <w:t>,</w:t>
      </w:r>
      <w:r>
        <w:t xml:space="preserve"> 2</w:t>
      </w:r>
      <w:r w:rsidRPr="004A6868">
        <w:t xml:space="preserve">% </w:t>
      </w:r>
      <w:r>
        <w:t>of participants had a score of 10-19</w:t>
      </w:r>
      <w:r w:rsidRPr="004A6868">
        <w:t>,</w:t>
      </w:r>
      <w:r>
        <w:t xml:space="preserve"> 3</w:t>
      </w:r>
      <w:r w:rsidRPr="004A6868">
        <w:t xml:space="preserve">% </w:t>
      </w:r>
      <w:r>
        <w:t>of participants had a score of 20-29</w:t>
      </w:r>
      <w:r w:rsidRPr="004A6868">
        <w:t>,</w:t>
      </w:r>
      <w:r>
        <w:t xml:space="preserve"> 4</w:t>
      </w:r>
      <w:r w:rsidRPr="004A6868">
        <w:t xml:space="preserve">% of participants had a score of </w:t>
      </w:r>
      <w:r>
        <w:t>30-39</w:t>
      </w:r>
      <w:r w:rsidRPr="004A6868">
        <w:t>,</w:t>
      </w:r>
      <w:r>
        <w:t xml:space="preserve"> 5</w:t>
      </w:r>
      <w:r w:rsidRPr="004A6868">
        <w:t xml:space="preserve">% of participants had a score of </w:t>
      </w:r>
      <w:r>
        <w:t>40-49</w:t>
      </w:r>
      <w:r w:rsidRPr="004A6868">
        <w:t>,</w:t>
      </w:r>
      <w:r>
        <w:t xml:space="preserve"> 9</w:t>
      </w:r>
      <w:r w:rsidRPr="004A6868">
        <w:t xml:space="preserve">% of participants had a score of </w:t>
      </w:r>
      <w:r>
        <w:t>50-59</w:t>
      </w:r>
      <w:r w:rsidRPr="004A6868">
        <w:t>,</w:t>
      </w:r>
      <w:r>
        <w:t xml:space="preserve"> 12</w:t>
      </w:r>
      <w:r w:rsidRPr="004A6868">
        <w:t xml:space="preserve">% of participants had a score of </w:t>
      </w:r>
      <w:r>
        <w:t>60-69</w:t>
      </w:r>
      <w:r w:rsidRPr="004A6868">
        <w:t>,</w:t>
      </w:r>
      <w:r>
        <w:t xml:space="preserve"> 19%</w:t>
      </w:r>
      <w:r w:rsidRPr="004A6868">
        <w:t xml:space="preserve"> of participants had a score of </w:t>
      </w:r>
      <w:r>
        <w:t>70-79</w:t>
      </w:r>
      <w:r w:rsidRPr="004A6868">
        <w:t>,</w:t>
      </w:r>
      <w:r>
        <w:t xml:space="preserve"> 26</w:t>
      </w:r>
      <w:r w:rsidRPr="004A6868">
        <w:t xml:space="preserve">% of participants had a score of </w:t>
      </w:r>
      <w:r>
        <w:t>80-89</w:t>
      </w:r>
      <w:r w:rsidRPr="004A6868">
        <w:t>,</w:t>
      </w:r>
      <w:r>
        <w:t xml:space="preserve"> and 17</w:t>
      </w:r>
      <w:r w:rsidRPr="004A6868">
        <w:t xml:space="preserve">% of participants had a score of </w:t>
      </w:r>
      <w:r>
        <w:t>90+.</w:t>
      </w:r>
    </w:p>
    <w:p w:rsidR="006D476F" w:rsidRDefault="006D476F" w:rsidP="006D476F">
      <w:r w:rsidRPr="004A6868">
        <w:t>In 20</w:t>
      </w:r>
      <w:r>
        <w:t>14</w:t>
      </w:r>
      <w:r w:rsidRPr="004A6868">
        <w:t>/</w:t>
      </w:r>
      <w:r>
        <w:t xml:space="preserve">15: 1% </w:t>
      </w:r>
      <w:r w:rsidRPr="004A6868">
        <w:t>of participants had a score of 0,</w:t>
      </w:r>
      <w:r>
        <w:t xml:space="preserve"> 2% </w:t>
      </w:r>
      <w:r w:rsidRPr="004A6868">
        <w:t xml:space="preserve">of participants had a score of </w:t>
      </w:r>
      <w:r>
        <w:t>1-9</w:t>
      </w:r>
      <w:r w:rsidRPr="004A6868">
        <w:t>,</w:t>
      </w:r>
      <w:r>
        <w:t xml:space="preserve"> 3% </w:t>
      </w:r>
      <w:r w:rsidRPr="004A6868">
        <w:t xml:space="preserve">of participants had a score of </w:t>
      </w:r>
      <w:r>
        <w:t>10-19</w:t>
      </w:r>
      <w:r w:rsidRPr="004A6868">
        <w:t>,</w:t>
      </w:r>
      <w:r>
        <w:t xml:space="preserve"> 3% of participants had a score of 20-29</w:t>
      </w:r>
      <w:r w:rsidRPr="004A6868">
        <w:t>,</w:t>
      </w:r>
      <w:r>
        <w:t xml:space="preserve"> 4%</w:t>
      </w:r>
      <w:r w:rsidRPr="0030790A">
        <w:t xml:space="preserve"> </w:t>
      </w:r>
      <w:r>
        <w:t>of participants had a score of 30-39</w:t>
      </w:r>
      <w:r w:rsidRPr="004A6868">
        <w:t>,</w:t>
      </w:r>
      <w:r>
        <w:t xml:space="preserve"> 6%</w:t>
      </w:r>
      <w:r w:rsidRPr="0030790A">
        <w:t xml:space="preserve"> </w:t>
      </w:r>
      <w:r>
        <w:t>of participants had a score of 40-49</w:t>
      </w:r>
      <w:r w:rsidRPr="004A6868">
        <w:t>,</w:t>
      </w:r>
      <w:r>
        <w:t xml:space="preserve"> 9%</w:t>
      </w:r>
      <w:r w:rsidRPr="0030790A">
        <w:t xml:space="preserve"> </w:t>
      </w:r>
      <w:r>
        <w:t>of participants had a score of 50-59</w:t>
      </w:r>
      <w:r w:rsidRPr="004A6868">
        <w:t>,</w:t>
      </w:r>
      <w:r>
        <w:t xml:space="preserve"> 12%</w:t>
      </w:r>
      <w:r w:rsidRPr="0030790A">
        <w:t xml:space="preserve"> </w:t>
      </w:r>
      <w:r w:rsidRPr="004A6868">
        <w:t xml:space="preserve">of participants had a score of </w:t>
      </w:r>
      <w:r>
        <w:t>60-69</w:t>
      </w:r>
      <w:r w:rsidRPr="004A6868">
        <w:t>,</w:t>
      </w:r>
      <w:r>
        <w:t xml:space="preserve"> 18%</w:t>
      </w:r>
      <w:r w:rsidRPr="0030790A">
        <w:t xml:space="preserve"> </w:t>
      </w:r>
      <w:r w:rsidRPr="004A6868">
        <w:t xml:space="preserve">of participants had a score of </w:t>
      </w:r>
      <w:r>
        <w:t>70-79</w:t>
      </w:r>
      <w:r w:rsidRPr="004A6868">
        <w:t>,</w:t>
      </w:r>
      <w:r>
        <w:t xml:space="preserve"> 26%</w:t>
      </w:r>
      <w:r w:rsidRPr="0030790A">
        <w:t xml:space="preserve"> </w:t>
      </w:r>
      <w:r>
        <w:t>of participants had a score of 80-89</w:t>
      </w:r>
      <w:r w:rsidRPr="004A6868">
        <w:t>,</w:t>
      </w:r>
      <w:r>
        <w:t xml:space="preserve"> and 16%</w:t>
      </w:r>
      <w:r w:rsidRPr="0030790A">
        <w:t xml:space="preserve"> </w:t>
      </w:r>
      <w:r>
        <w:t>of participants had a score of 90+.</w:t>
      </w:r>
    </w:p>
    <w:p w:rsidR="006D476F" w:rsidRDefault="006D476F" w:rsidP="006D476F">
      <w:r w:rsidRPr="004A6868">
        <w:t>In 20</w:t>
      </w:r>
      <w:r>
        <w:t>15</w:t>
      </w:r>
      <w:r w:rsidRPr="004A6868">
        <w:t>/</w:t>
      </w:r>
      <w:r>
        <w:t>16: 1%</w:t>
      </w:r>
      <w:r w:rsidRPr="00424A6F">
        <w:t xml:space="preserve"> </w:t>
      </w:r>
      <w:r w:rsidRPr="004A6868">
        <w:t>of participants had a score of 0,</w:t>
      </w:r>
      <w:r>
        <w:t xml:space="preserve"> 2%</w:t>
      </w:r>
      <w:r w:rsidRPr="00424A6F">
        <w:t xml:space="preserve"> </w:t>
      </w:r>
      <w:r>
        <w:t>of participants had a score of 1-9</w:t>
      </w:r>
      <w:r w:rsidRPr="004A6868">
        <w:t>,</w:t>
      </w:r>
      <w:r>
        <w:t xml:space="preserve"> 3% of participants had a score of 10-19</w:t>
      </w:r>
      <w:r w:rsidRPr="004A6868">
        <w:t>,</w:t>
      </w:r>
      <w:r>
        <w:t xml:space="preserve"> 3% of participants had a score of 20-29</w:t>
      </w:r>
      <w:r w:rsidRPr="004A6868">
        <w:t>,</w:t>
      </w:r>
      <w:r>
        <w:t xml:space="preserve"> 4%</w:t>
      </w:r>
      <w:r w:rsidRPr="00424A6F">
        <w:t xml:space="preserve"> </w:t>
      </w:r>
      <w:r>
        <w:t>of participants had a score of 30-39</w:t>
      </w:r>
      <w:r w:rsidRPr="004A6868">
        <w:t>,</w:t>
      </w:r>
      <w:r>
        <w:t xml:space="preserve"> 6% of participants had a score of 40-49</w:t>
      </w:r>
      <w:r w:rsidRPr="004A6868">
        <w:t>,</w:t>
      </w:r>
      <w:r>
        <w:t xml:space="preserve"> 9% of participants had a score of 50-59</w:t>
      </w:r>
      <w:r w:rsidRPr="004A6868">
        <w:t>,</w:t>
      </w:r>
      <w:r>
        <w:t xml:space="preserve"> 12% of participants had a score of 60-69</w:t>
      </w:r>
      <w:r w:rsidRPr="004A6868">
        <w:t>,</w:t>
      </w:r>
      <w:r>
        <w:t xml:space="preserve"> 19% of participants had a score of 70-79</w:t>
      </w:r>
      <w:r w:rsidRPr="004A6868">
        <w:t>,</w:t>
      </w:r>
      <w:r>
        <w:t xml:space="preserve"> 26% of participants had a score of 80-89</w:t>
      </w:r>
      <w:r w:rsidRPr="004A6868">
        <w:t>,</w:t>
      </w:r>
      <w:r>
        <w:t xml:space="preserve"> and 17% </w:t>
      </w:r>
      <w:r w:rsidRPr="004A6868">
        <w:t xml:space="preserve">of participants had a score of </w:t>
      </w:r>
      <w:r>
        <w:t>90+.</w:t>
      </w:r>
    </w:p>
    <w:p w:rsidR="006D476F" w:rsidRDefault="006D476F" w:rsidP="006D476F">
      <w:r w:rsidRPr="004A6868">
        <w:t>In 20</w:t>
      </w:r>
      <w:r>
        <w:t>16</w:t>
      </w:r>
      <w:r w:rsidRPr="004A6868">
        <w:t>/</w:t>
      </w:r>
      <w:r>
        <w:t>17: 2%</w:t>
      </w:r>
      <w:r w:rsidRPr="00424A6F">
        <w:t xml:space="preserve"> </w:t>
      </w:r>
      <w:r w:rsidRPr="004A6868">
        <w:t>of participants had a score of 0,</w:t>
      </w:r>
      <w:r>
        <w:t xml:space="preserve"> 2%</w:t>
      </w:r>
      <w:r w:rsidRPr="00424A6F">
        <w:t xml:space="preserve"> </w:t>
      </w:r>
      <w:r>
        <w:t>of participants had a score of 1-9</w:t>
      </w:r>
      <w:r w:rsidRPr="004A6868">
        <w:t>,</w:t>
      </w:r>
      <w:r>
        <w:t xml:space="preserve"> 2% </w:t>
      </w:r>
      <w:r w:rsidRPr="004A6868">
        <w:t xml:space="preserve">of participants had a score of </w:t>
      </w:r>
      <w:r>
        <w:t>10-19</w:t>
      </w:r>
      <w:r w:rsidRPr="004A6868">
        <w:t>,</w:t>
      </w:r>
      <w:r>
        <w:t xml:space="preserve"> 3%</w:t>
      </w:r>
      <w:r w:rsidRPr="00424A6F">
        <w:t xml:space="preserve"> </w:t>
      </w:r>
      <w:r>
        <w:t>of participants had a score of 20-29</w:t>
      </w:r>
      <w:r w:rsidRPr="004A6868">
        <w:t>,</w:t>
      </w:r>
      <w:r>
        <w:t xml:space="preserve"> 4%</w:t>
      </w:r>
      <w:r w:rsidRPr="00424A6F">
        <w:t xml:space="preserve"> </w:t>
      </w:r>
      <w:r>
        <w:t>of participants had a score of 30-39</w:t>
      </w:r>
      <w:r w:rsidRPr="004A6868">
        <w:t>,</w:t>
      </w:r>
      <w:r>
        <w:t xml:space="preserve"> 6%</w:t>
      </w:r>
      <w:r w:rsidRPr="00424A6F">
        <w:t xml:space="preserve"> </w:t>
      </w:r>
      <w:r>
        <w:t>of participants had a score of 40-49</w:t>
      </w:r>
      <w:r w:rsidRPr="004A6868">
        <w:t>,</w:t>
      </w:r>
      <w:r>
        <w:t xml:space="preserve"> 9%</w:t>
      </w:r>
      <w:r w:rsidRPr="00424A6F">
        <w:t xml:space="preserve"> </w:t>
      </w:r>
      <w:r>
        <w:t>of participants had a score of 50-59</w:t>
      </w:r>
      <w:r w:rsidRPr="004A6868">
        <w:t>,</w:t>
      </w:r>
      <w:r>
        <w:t xml:space="preserve"> 12%</w:t>
      </w:r>
      <w:r w:rsidRPr="00424A6F">
        <w:t xml:space="preserve"> </w:t>
      </w:r>
      <w:r>
        <w:t>of participants had a score of 60-69</w:t>
      </w:r>
      <w:r w:rsidRPr="004A6868">
        <w:t>,</w:t>
      </w:r>
      <w:r>
        <w:t xml:space="preserve"> 18%</w:t>
      </w:r>
      <w:r w:rsidRPr="00424A6F">
        <w:t xml:space="preserve"> </w:t>
      </w:r>
      <w:r>
        <w:t>of participants had a score of 70-79</w:t>
      </w:r>
      <w:r w:rsidRPr="004A6868">
        <w:t>,</w:t>
      </w:r>
      <w:r>
        <w:t xml:space="preserve"> 25%</w:t>
      </w:r>
      <w:r w:rsidRPr="00424A6F">
        <w:t xml:space="preserve"> </w:t>
      </w:r>
      <w:r>
        <w:t>of participants had a score of 80-89</w:t>
      </w:r>
      <w:r w:rsidRPr="004A6868">
        <w:t>,</w:t>
      </w:r>
      <w:r>
        <w:t xml:space="preserve"> and 16% of participants had a score of 90+.</w:t>
      </w:r>
    </w:p>
    <w:p w:rsidR="006D476F" w:rsidRDefault="006D476F" w:rsidP="006D476F">
      <w:r>
        <w:t>In 2017/18: 1%</w:t>
      </w:r>
      <w:r w:rsidRPr="00424A6F">
        <w:t xml:space="preserve"> </w:t>
      </w:r>
      <w:r w:rsidRPr="004A6868">
        <w:t>of participants had a score of 0,</w:t>
      </w:r>
      <w:r>
        <w:t xml:space="preserve"> 2%</w:t>
      </w:r>
      <w:r w:rsidRPr="00424A6F">
        <w:t xml:space="preserve"> </w:t>
      </w:r>
      <w:r>
        <w:t>of participants had a score of 1-9</w:t>
      </w:r>
      <w:r w:rsidRPr="004A6868">
        <w:t>,</w:t>
      </w:r>
      <w:r>
        <w:t xml:space="preserve"> 2%</w:t>
      </w:r>
      <w:r w:rsidRPr="00424A6F">
        <w:t xml:space="preserve"> </w:t>
      </w:r>
      <w:r>
        <w:t>of participants had a score of 10-19</w:t>
      </w:r>
      <w:r w:rsidRPr="004A6868">
        <w:t>,</w:t>
      </w:r>
      <w:r>
        <w:t xml:space="preserve"> 3%</w:t>
      </w:r>
      <w:r w:rsidRPr="00424A6F">
        <w:t xml:space="preserve"> </w:t>
      </w:r>
      <w:r>
        <w:t>of participants had a score of 20-29</w:t>
      </w:r>
      <w:r w:rsidRPr="004A6868">
        <w:t>,</w:t>
      </w:r>
      <w:r>
        <w:t xml:space="preserve"> 4%</w:t>
      </w:r>
      <w:r w:rsidRPr="00424A6F">
        <w:t xml:space="preserve"> </w:t>
      </w:r>
      <w:r w:rsidRPr="004A6868">
        <w:t xml:space="preserve">of participants had a score of </w:t>
      </w:r>
      <w:r>
        <w:t>30-39</w:t>
      </w:r>
      <w:r w:rsidRPr="004A6868">
        <w:t>,</w:t>
      </w:r>
      <w:r>
        <w:t xml:space="preserve"> 6%</w:t>
      </w:r>
      <w:r w:rsidRPr="00424A6F">
        <w:t xml:space="preserve"> </w:t>
      </w:r>
      <w:r>
        <w:t>of participants had a score of 40-49</w:t>
      </w:r>
      <w:r w:rsidRPr="004A6868">
        <w:t>,</w:t>
      </w:r>
      <w:r>
        <w:t xml:space="preserve"> 10%</w:t>
      </w:r>
      <w:r w:rsidRPr="00424A6F">
        <w:t xml:space="preserve"> </w:t>
      </w:r>
      <w:r>
        <w:t>of participants had a score of 50-59</w:t>
      </w:r>
      <w:r w:rsidRPr="004A6868">
        <w:t>,</w:t>
      </w:r>
      <w:r>
        <w:t xml:space="preserve"> 13%</w:t>
      </w:r>
      <w:r w:rsidRPr="00424A6F">
        <w:t xml:space="preserve"> </w:t>
      </w:r>
      <w:r>
        <w:t>of participants had a score of 60-69</w:t>
      </w:r>
      <w:r w:rsidRPr="004A6868">
        <w:t>,</w:t>
      </w:r>
      <w:r>
        <w:t xml:space="preserve"> 18%</w:t>
      </w:r>
      <w:r w:rsidRPr="00424A6F">
        <w:t xml:space="preserve"> </w:t>
      </w:r>
      <w:r>
        <w:t>of participants had a score of 70-79</w:t>
      </w:r>
      <w:r w:rsidRPr="004A6868">
        <w:t>,</w:t>
      </w:r>
      <w:r>
        <w:t xml:space="preserve"> 24%</w:t>
      </w:r>
      <w:r w:rsidRPr="00424A6F">
        <w:t xml:space="preserve"> </w:t>
      </w:r>
      <w:r>
        <w:t>of participants had a score of 80-89</w:t>
      </w:r>
      <w:r w:rsidRPr="004A6868">
        <w:t>,</w:t>
      </w:r>
      <w:r>
        <w:t xml:space="preserve"> and 16% of participants had a score of 90+.</w:t>
      </w:r>
    </w:p>
    <w:p w:rsidR="002E0AAE" w:rsidRPr="006D476F" w:rsidRDefault="002E0AAE" w:rsidP="006D476F">
      <w:pPr>
        <w:pStyle w:val="BodyText1"/>
        <w:rPr>
          <w:b/>
        </w:rPr>
      </w:pPr>
      <w:r w:rsidRPr="006D476F">
        <w:rPr>
          <w:b/>
        </w:rPr>
        <w:t xml:space="preserve">MBI exit scores nationally </w:t>
      </w:r>
    </w:p>
    <w:p w:rsidR="006D476F" w:rsidRDefault="006D476F" w:rsidP="006D476F">
      <w:pPr>
        <w:pStyle w:val="BodyText1"/>
      </w:pPr>
      <w:r>
        <w:t>In 2006/07: 17% of participants had a score of 0, 1% of participants had a score of 1-9, 3% of participants had a score of 10-19, 3% of participants had a score of 20-29, 3% of participants had a score of 30-39, 4% of participants had a score of 40-49, 4% of participants had a score of 50-59, 6% of participants had a score of 60-69, 9% of participants had a score of 70-79, 16% of participants had a score of 80-89, and 35% of participants had a score of 90+.</w:t>
      </w:r>
    </w:p>
    <w:p w:rsidR="006D476F" w:rsidRDefault="006D476F" w:rsidP="006D476F">
      <w:pPr>
        <w:pStyle w:val="BodyText1"/>
      </w:pPr>
      <w:r>
        <w:t>In 2007/08: 15% of participants had a score of 0, 1% of participants had a score of 1-9, 2% of participants had a score of 10-19, 2% of participants had a score of 20-29, 2% of participants had a score of 30-39, 3% of participants had a score of 40-49, 4% of participants had a score of 50-59, 6% of participants had a score of 60-69, 8% of participants had a score of 70-79, 16% of participants had a score of 80-89, and 39% of participants had a score of 90+.</w:t>
      </w:r>
    </w:p>
    <w:p w:rsidR="006D476F" w:rsidRDefault="006D476F" w:rsidP="006D476F">
      <w:pPr>
        <w:pStyle w:val="BodyText1"/>
      </w:pPr>
      <w:r>
        <w:t>In 2008/09: 15% of participants had a score of 0, 1% of participants had a score of 1-9, 2% of participants had a score of 10-19, 2% of participants had a score of 20-29, 2% of participants had a score of 30-39, 3% of participants had a score of 40-49, 4% of participants had a score of 50-59, 5% of participants had a score of 60-69, 9% of participants had a score of 70-79, 16% of participants had a score of 80-89, and 40% of participants had a score of 90+.</w:t>
      </w:r>
    </w:p>
    <w:p w:rsidR="006D476F" w:rsidRDefault="006D476F" w:rsidP="006D476F">
      <w:pPr>
        <w:pStyle w:val="BodyText1"/>
      </w:pPr>
      <w:r>
        <w:t>In 2009/10: 15% of participants had a score of 0, 1% of participants had a score of 1-9, 1% of participants had a score of 10-19, 2% of participants had a score of 20-29, 2% of participants had a score of 30-39, 3% of participants had a score of 40-49, 4% of participants had a score of 50-59, 5% of participants had a score of 60-69, 9% of participants had a score of 70-79, 17% of participants had a score of 80-89, and 42% of participants had a score of 90+.</w:t>
      </w:r>
    </w:p>
    <w:p w:rsidR="006D476F" w:rsidRDefault="006D476F" w:rsidP="006D476F">
      <w:pPr>
        <w:pStyle w:val="BodyText1"/>
      </w:pPr>
      <w:r>
        <w:t>In 2010/11: 18% of participants had a score of 0, 1% of participants had a score of 1-9, 1% of participants had a score of 10-19, 2% of participants had a score of 20-29, 2% of participants had a score of 30-39, 2% of participants had a score of 40-49, 4% of participants had a score of 50-59, 5% of participants had a score of 60-69, 9% of participants had a score of 70-79, 17% of participants had a score of 80-89, and 40% of participants had a score of 90+.</w:t>
      </w:r>
    </w:p>
    <w:p w:rsidR="006D476F" w:rsidRDefault="006D476F" w:rsidP="006D476F">
      <w:pPr>
        <w:pStyle w:val="BodyText1"/>
      </w:pPr>
      <w:r>
        <w:t>In 2011/12: 18% of participants had a score of 0, 1% of participants had a score of 1-9, 1% of participants had a score of 10-19, 1% of participants had a score of 20-29, 2% of participants had a score of 30-39, 2% of participants had a score of 40-49, 4% of participants had a score of 50-59, 5% of participants had a score of 60-69, 9% of participants had a score of 70-79, 16% of participants had a score of 80-89, and 41% of participants had a score of 90+.</w:t>
      </w:r>
    </w:p>
    <w:p w:rsidR="006D476F" w:rsidRDefault="006D476F" w:rsidP="006D476F">
      <w:pPr>
        <w:pStyle w:val="BodyText1"/>
      </w:pPr>
      <w:r>
        <w:t>In 2012/13: 19% of participants had a score of 0, 1% of participants had a score of 1-9,1% of participants had a score of 10-19, 1% of participants had a score of 20-29, 2% of participants had a score of 30-39, 2% of participants had a score of 40-49, 4% of participants had a score of 50-59, 5% of participants had a score of 60-69, 8% of participants had a score of 70-79, 15% of participants had a score of 80-89, and 41% of participants had a score of 90+.</w:t>
      </w:r>
    </w:p>
    <w:p w:rsidR="006D476F" w:rsidRDefault="006D476F" w:rsidP="006D476F">
      <w:pPr>
        <w:pStyle w:val="BodyText1"/>
      </w:pPr>
      <w:r>
        <w:t>In 2013/14: 19% of participants had a score of 0, 1% of participants had a score of 1-9, 1% of participants had a score of 10-19, 2% of participants had a score of 20-29, 2% of participants had a score of 30-39, 3% of participants had a score of 40-49, 4% of participants had a score of 50-59, 5% of participants had a score of 60-69, 8% of participants had a score of 70-79, 15% of participants had a score of 80-89, and 40% of participants had a score of 90+.</w:t>
      </w:r>
    </w:p>
    <w:p w:rsidR="006D476F" w:rsidRDefault="006D476F" w:rsidP="006D476F">
      <w:pPr>
        <w:pStyle w:val="BodyText1"/>
      </w:pPr>
      <w:r>
        <w:t>In 2014/15: 18% of participants had a score of 0, 2% of participants had a score of 1-9, 1% of participants had a score of 10-19, 2% of participants had a score of 20-29, 2% of participants had a score of 30-39, 3% of participants had a score of 40-49, 4% of participants had a score of 50-59, 5% of participants had a score of 60-69, 8% of participants had a score of 70-79, 15% of participants had a score of 80-89, and 39% of participants had a score of 90+.</w:t>
      </w:r>
    </w:p>
    <w:p w:rsidR="006D476F" w:rsidRDefault="006D476F" w:rsidP="006D476F">
      <w:pPr>
        <w:pStyle w:val="BodyText1"/>
      </w:pPr>
      <w:r>
        <w:t>In 2015/16: 17% of participants had a score of 0, 2% of participants had a score of 1-9, 2% of participants had a score of 10-19, 2% of participants had a score of 20-29, 2% of participants had a score of 30-39, 3% of participants had a score of 40-49, 4% of participants had a score of 50-59, 5% of participants had a score of 60-69, 9% of participants had a score of 70-79, 16% of participants had a score of 80-89, and 39% of participants had a score of 90+.</w:t>
      </w:r>
    </w:p>
    <w:p w:rsidR="006D476F" w:rsidRDefault="006D476F" w:rsidP="006D476F">
      <w:pPr>
        <w:pStyle w:val="BodyText1"/>
      </w:pPr>
      <w:r>
        <w:t>In 2016/17: 20% of participants had a score of 0, 1% of participants had a score of 1-9, 1% of participants had a score of 10-19, 2% of participants had a score of 20-29, 2% of participants had a score of 30-39, 3% of participants had a score of 40-49, 4% of participants had a score of 50-59, 5% of participants had a score of 60-69, 8% of participants had a score of 70-79, 15% of participants had a score of 80-89, and 39% of participants had a score of 90+.</w:t>
      </w:r>
    </w:p>
    <w:p w:rsidR="006D476F" w:rsidRDefault="006D476F" w:rsidP="006D476F">
      <w:pPr>
        <w:pStyle w:val="BodyText1"/>
      </w:pPr>
      <w:r>
        <w:t>In 2017/18: 20% of participants had a score of 0, 1% of participants had a score of 1-9, 1% of participants had a score of 10-19, 2% of participants had a score of 20-29, 2% of participants had a score of 30-39, 3% of participants had a score of 40-49, 4% of participants had a score of 50-59, 6% of participants had a score of 60-69, 8% of participants had a score of 70-79, 15% of participants had a score of 80-89, and 38% of participants had a score of 90+.</w:t>
      </w:r>
    </w:p>
    <w:p w:rsidR="0071482A" w:rsidRPr="00D945C4" w:rsidRDefault="002E0AAE" w:rsidP="00D945C4">
      <w:pPr>
        <w:pStyle w:val="BodyText1"/>
        <w:rPr>
          <w:b/>
        </w:rPr>
      </w:pPr>
      <w:r w:rsidRPr="00D945C4">
        <w:rPr>
          <w:b/>
        </w:rPr>
        <w:t xml:space="preserve">MBI admission scores from 2006/07 to 2017/18 for NSW </w:t>
      </w:r>
    </w:p>
    <w:p w:rsidR="00D945C4" w:rsidRDefault="00D945C4" w:rsidP="00D945C4">
      <w:pPr>
        <w:pStyle w:val="BodyText1"/>
      </w:pPr>
      <w:r>
        <w:t>In 2006/07: 1% of participants had a score of 0, 0% of participants had a score of 1-9, 2% of participants had a score of 10-19, 1% of participants had a score of 20-29, 3% of participants had a score of 30-39, 6% of participants had a score of 40-49, 9% of participants had a score of 50-59, 11% of participants had a score of 60-69, 18% of participants had a score of 70-79, 27% of participants had a score of 80-89, and 22% of participants had a score of 90+.</w:t>
      </w:r>
    </w:p>
    <w:p w:rsidR="00D945C4" w:rsidRDefault="00D945C4" w:rsidP="00D945C4">
      <w:pPr>
        <w:pStyle w:val="BodyText1"/>
      </w:pPr>
      <w:r>
        <w:t>In 2007/08: 0% of participants had a score of 0 , 0% of participants had a score of 1-9, 1% of participants had a score of 10-19, 1% of participants had a score of 20-29, 3% of participants had a score of 30-39, 4% of participants had a score of 40-49, 5% of participants had a score of 50-59, 11% of participants had a score of 60-69, 19% of participants had a score of 70-79, 31% of participants had a score of 80-89, and 25% of participants had a score of 90+.</w:t>
      </w:r>
    </w:p>
    <w:p w:rsidR="00D945C4" w:rsidRDefault="00D945C4" w:rsidP="00D945C4">
      <w:pPr>
        <w:pStyle w:val="BodyText1"/>
      </w:pPr>
      <w:r>
        <w:t>In 2008/09: 1% of participants had a score of 0, 0% of participants had a score of 1-9, 0% of participants had a score of 10-19, 1% of participants had a score of 20-29, 2% of participants had a score of 30-39, 4% of participants had a score of 40-49, 6% of participants had a score of 50-59, 10% of participants had a score of 60-69, 19% of participants had a score of 70-79, 32% of participants had a score of 80-89, and 26% of participants had a score of 90+.</w:t>
      </w:r>
    </w:p>
    <w:p w:rsidR="00D945C4" w:rsidRDefault="00D945C4" w:rsidP="00D945C4">
      <w:pPr>
        <w:pStyle w:val="BodyText1"/>
      </w:pPr>
      <w:r>
        <w:t>In 2009/10: 0% of participants had a score of 0, 0% of participants had a score of 1-9, 0% of participants had a score of 10-19, 1% of participants had a score of 20-29, 2% of participants had a score of 30-39, 3% of participants had a score of 40-49, 5% of participants had a score of 50-59, 10% of participants had a score of 60-69, 19% of participants had a score of 70-79, 33% of participants had a score of 80-89, and 27% of participants had a score of 90+.</w:t>
      </w:r>
    </w:p>
    <w:p w:rsidR="00D945C4" w:rsidRDefault="00D945C4" w:rsidP="00D945C4">
      <w:pPr>
        <w:pStyle w:val="BodyText1"/>
      </w:pPr>
      <w:r>
        <w:t>In 2010/11: 1% of participants had a score of 0, 0% of participants had a score of 1-9, 0% of participants had a score of 10-19, 1% of participants had a score of 20-29, 2% of participants had a score of 30-39, 3% of participants had a score of 40-49, 6% of participants had a score of 50-59, 10% of participants had a score of 60-69, 20% of participants had a score of 70-79, 35% of participants had a score of 80-89, and 24% of participants had a score of 90+.</w:t>
      </w:r>
    </w:p>
    <w:p w:rsidR="00D945C4" w:rsidRDefault="00D945C4" w:rsidP="00D945C4">
      <w:pPr>
        <w:pStyle w:val="BodyText1"/>
      </w:pPr>
      <w:r>
        <w:t>In 2011/12: 1% of participants had a score of 0, 0% of participants had a score of 1-9, 0% of participants had a score of 10-19, 0% of participants had a score of 20-29, 1% of participants had a score of 30-39, 2% of participants had a score of 40-49, 5% of participants had a score of 50-59, 10% of participants had a score of 60-69, 19% of participants had a score of 70-79, 34% of participants had a score of 80-89, and 26% of participants had a score of 90+.</w:t>
      </w:r>
    </w:p>
    <w:p w:rsidR="00D945C4" w:rsidRDefault="00D945C4" w:rsidP="00D945C4">
      <w:pPr>
        <w:pStyle w:val="BodyText1"/>
      </w:pPr>
      <w:r>
        <w:t>In 2012/13: 1% of participants had a score of 0, 0% of participants had a score of 1-9, 1% of participants had a score of 10-19, 1% of participants had a score of 20-29, 1% of participants had a score of 30-39, 3% of participants had a score of 40-49, 5% of participants had a score of 50-59, 11% of participants had a score of 60-69, 19% of participants had a score of 70-79, 34% of participants had a score of 80-89, and 24% of participants had a score of 90+.</w:t>
      </w:r>
    </w:p>
    <w:p w:rsidR="00D945C4" w:rsidRDefault="00D945C4" w:rsidP="00D945C4">
      <w:pPr>
        <w:pStyle w:val="BodyText1"/>
      </w:pPr>
      <w:r>
        <w:t>In 2013/14: 1% of participants had a score of 0, 0% of participants had a score of 1-9, 1% of participants had a score of 10-19, 1% of participants had a score of 20-29, 1% of participants had a score of 30-39, 3% of participants had a score of 40-49, 5% of participants had a score of 50-59, 10% of participants had a score of 60-69, 19% of participants had a score of 70-79, 34% of participants had a score of 80-89, and 25% of participants had a score of 90+.</w:t>
      </w:r>
    </w:p>
    <w:p w:rsidR="00D945C4" w:rsidRDefault="00D945C4" w:rsidP="00D945C4">
      <w:pPr>
        <w:pStyle w:val="BodyText1"/>
      </w:pPr>
      <w:r>
        <w:t>In 2014/15: 0% of participants had a score of 0, 0% of participants had a score of 1-9, 1% of participants had a score of 10-19, 1% of participants had a score of 20-29, 1% of participants had a score of 30-39, 3% of participants had a score of 40-49, 5% of participants had a score of 50-59, 10% of participants had a score of 60-69, 19% of participants had a score of 70-79, 34% of participants had a score of 80-89, and 25% of participants had a score of 90+.</w:t>
      </w:r>
    </w:p>
    <w:p w:rsidR="00D945C4" w:rsidRDefault="00D945C4" w:rsidP="00D945C4">
      <w:pPr>
        <w:pStyle w:val="BodyText1"/>
      </w:pPr>
      <w:r>
        <w:t>In 2015/16: 1% of participants had a score of 0, 0% of participants had a score of 1-9, 1% of participants had a score of 10-19, 1% of participants had a score of 20-29, 2% of participants had a score of 30-39, 3% of participants had a score of 40-49, 6% of participants had a score of 50-59, 9% of participants had a score of 60-69, 19% of participants had a score of 70-79, 33% of participants had a score of 80-89, and 26% of participants had a score of 90+.</w:t>
      </w:r>
    </w:p>
    <w:p w:rsidR="00D945C4" w:rsidRDefault="00D945C4" w:rsidP="00D945C4">
      <w:pPr>
        <w:pStyle w:val="BodyText1"/>
      </w:pPr>
      <w:r>
        <w:t>In 2016/17: 1% of participants had a score of 0, 0% of participants had a score of 1-9, 1% of participants had a score of 10-19, 1% of participants had a score of 20-29, 2% of participants had a score of 30-39, 3% of participants had a score of 40-49, 5% of participants had a score of 50-59, 9% of participants had a score of 60-69, 19% of participants had a score of 70-79, 34% of participants had a score of 80-89, and 26% of participants had a score of 90+.</w:t>
      </w:r>
    </w:p>
    <w:p w:rsidR="007A471F" w:rsidRDefault="00D945C4" w:rsidP="00D945C4">
      <w:pPr>
        <w:pStyle w:val="BodyText1"/>
      </w:pPr>
      <w:r>
        <w:t>In 2017/18: 1% of participants had a score of 0, 0% of participants had a score of 1-9, 1% of participants had a score of 10-19, 1% of participants had a score of 20-29, 1% of participants had a score of 30-39, 3% of participants had a score of 40-49, 5% of participants had a score of 50-59, 10% of participants had a score of 60-69, 20% of participants had a score of 70-79, 33% of participants had a score of 80-89, and 26% of participants had a score of 90+.</w:t>
      </w:r>
    </w:p>
    <w:p w:rsidR="002E0AAE" w:rsidRPr="00D945C4" w:rsidRDefault="002E0AAE" w:rsidP="00D945C4">
      <w:pPr>
        <w:pStyle w:val="BodyText1"/>
        <w:rPr>
          <w:b/>
        </w:rPr>
      </w:pPr>
      <w:r w:rsidRPr="00D945C4">
        <w:rPr>
          <w:b/>
        </w:rPr>
        <w:t xml:space="preserve">MBI exit scores from 2006/07 to 2017/18 for NSW </w:t>
      </w:r>
    </w:p>
    <w:p w:rsidR="00D945C4" w:rsidRDefault="00D945C4" w:rsidP="00D945C4">
      <w:pPr>
        <w:pStyle w:val="BodyText1"/>
      </w:pPr>
      <w:r>
        <w:t>In 2006/07: 21% of participants had a score of 0, 0% of participants had a score of 1-9, 1% of participants had a score of 10-19, 1% of participants had a score of 20-29, 1% of participants had a score of 30-39, 2% of participants had a score of 40-49, 2% of participants had a score of 50-59, 4% of participants had a score of 60-69, 6% of participants had a score of 70-79, 15% of participants had a score of 80-89, and 47% of participants had a score of 90+.</w:t>
      </w:r>
    </w:p>
    <w:p w:rsidR="00D945C4" w:rsidRDefault="00D945C4" w:rsidP="00D945C4">
      <w:pPr>
        <w:pStyle w:val="BodyText1"/>
      </w:pPr>
      <w:r>
        <w:t>In 2007/08: 16% of participants had a score of 0,0% of participants had a score of 1-9, 0% of participants had a score of 10-19, 1% of participants had a score of 20-29, 0% of participants had a score of 30-39, 1% of participants had a score of 40-49, 2% of participants had a score of 50-59, 4% of participants had a score of 60-69, 6% of participants had a score of 70-79, 15% of participants had a score of 80-89, and 54% of participants had a score of 90+.</w:t>
      </w:r>
    </w:p>
    <w:p w:rsidR="00D945C4" w:rsidRDefault="00D945C4" w:rsidP="00D945C4">
      <w:pPr>
        <w:pStyle w:val="BodyText1"/>
      </w:pPr>
      <w:r>
        <w:t>In 2008/09: 16% of participants had a score of 0, 0% of participants had a score of 1-9, 0% of participants had a score of 10-19, 0% of participants had a score of 20-29, 1% of participants had a score of 30-39, 1% of participants had a score of 40-49, 2% of participants had a score of 50-59, 3% of participants had a score of 60-69, 7% of participants had a score of 70-79, 15% of participants had a score of 80-89, and 53% of participants had a score of 90+.</w:t>
      </w:r>
    </w:p>
    <w:p w:rsidR="00D945C4" w:rsidRDefault="00D945C4" w:rsidP="00D945C4">
      <w:pPr>
        <w:pStyle w:val="BodyText1"/>
      </w:pPr>
      <w:r>
        <w:t>In 2009/10: 17% of participants had a score of 0, 0% of participants had a score of 1-9, 0% of participants had a score of 10-19, 0% of participants had a score of 20-29, 1% of participants had a score of 30-39, 1% of participants had a score of 40-49, 2% of participants had a score of 50-59, 3% of participants had a score of 60-69, 7% of participants had a score of 70-79, 14% of participants had a score of 80-89, and 55% of participants had a score of 90+.</w:t>
      </w:r>
    </w:p>
    <w:p w:rsidR="00D945C4" w:rsidRDefault="00D945C4" w:rsidP="00D945C4">
      <w:pPr>
        <w:pStyle w:val="BodyText1"/>
      </w:pPr>
      <w:r>
        <w:t>In 2010/2011: 18% of participants had a score of 0, 0% of participants had a score of 1-9, 0% of participants had a score of 10-19, 1% of participants had a score of 20-29, 1% of participants had a score of 30-39, 1% of participants had a score of 40-49, 2% of participants had a score of 50-59, 3% of participants had a score of 60-69, 7% of participants had a score of 70-79, 15% of participants had a score of 80-89, 53% of participants had a score of 90+.</w:t>
      </w:r>
    </w:p>
    <w:p w:rsidR="00D945C4" w:rsidRDefault="00D945C4" w:rsidP="00D945C4">
      <w:pPr>
        <w:pStyle w:val="BodyText1"/>
      </w:pPr>
      <w:r>
        <w:t>In 2011/2012: 19% of participants had a score of 0, 0% of participants had a score of 1-9, 0% of participants had a score of 10-19, 0% of participants had a score of 20-29, 1% of participants had a score of 30-39, 1% of participants had a score of 40-49, 2% of participants had a score of 50-59, 3% of participants had a score of 60-69, 6% of participants had a score of 70-79, 14% of participants had a score of 80-89, and 54% of participants had a score of 90+.</w:t>
      </w:r>
    </w:p>
    <w:p w:rsidR="00D945C4" w:rsidRDefault="00D945C4" w:rsidP="00D945C4">
      <w:pPr>
        <w:pStyle w:val="BodyText1"/>
      </w:pPr>
      <w:r>
        <w:t>In 2012/13: 20% of participants had a score of 0, 0% of participants had a score of 1-9, 0% of participants had a score of 10-19, 0% of participants had a score of 20-29, 1% of participants had a score of 30-39, 1% of participants had a score of 40-49, 1% of participants had a score of 50-59, 3% of participants had a score of 60-69, 6% of participants had a score of 70-79, 13% of participants had a score of 80-89, and 53% of participants had a score of 90+.</w:t>
      </w:r>
    </w:p>
    <w:p w:rsidR="00D945C4" w:rsidRDefault="00D945C4" w:rsidP="00D945C4">
      <w:pPr>
        <w:pStyle w:val="BodyText1"/>
      </w:pPr>
      <w:r>
        <w:t>In 2013/14: 20% of participants had a score of 0, 0% of participants had a score of 1-9, 0% of participants had a score of 10-19, 0% of participants had a score of 20-29, 0% of participants had a score of 30-39, 1% of participants had a score of 40-49, 1% of participants had a score of 50-59, 3% of participants had a score of 60-69, 6% of participants had a score of 70-79, 13% of participants had a score of 80-89, and 54% of participants had a score of 90+.</w:t>
      </w:r>
    </w:p>
    <w:p w:rsidR="00D945C4" w:rsidRDefault="00D945C4" w:rsidP="00D945C4">
      <w:pPr>
        <w:pStyle w:val="BodyText1"/>
      </w:pPr>
      <w:r>
        <w:t>In 2014/15: 19% of participants had a score of 0, 1% of participants had a score of 1-9, 0% of participants had a score of 10-19, 0% of participants had a score of 20-29, 0% of participants had a score of 30-39, 1% of participants had a score of 40-49, 2% of participants had a score of 50-59, 3% of participants had a score of 60-69, 6% of participants had a score of 70-79, 13% of participants had a score of 80-89, and 55% of participants had a score of 90+.</w:t>
      </w:r>
    </w:p>
    <w:p w:rsidR="00D945C4" w:rsidRDefault="00D945C4" w:rsidP="00D945C4">
      <w:pPr>
        <w:pStyle w:val="BodyText1"/>
      </w:pPr>
      <w:r>
        <w:t>In 2015/16: 19% of participants had a score of 0, 1% of participants had a score of 1-9, 1% of participants had a score of 10-19, 0% of participants had a score of 20-29, 1% of participants had a score of 30-39, 1% of participants had a score of 40-49, 2% of participants had a score of 50-59, 3% of participants had a score of 60-69, 5% of participants had a score of 70-79, 14% of participants had a score of 80-89, and 54% of participants had a score of 90+.</w:t>
      </w:r>
    </w:p>
    <w:p w:rsidR="00D945C4" w:rsidRDefault="00D945C4" w:rsidP="00D945C4">
      <w:pPr>
        <w:pStyle w:val="BodyText1"/>
      </w:pPr>
      <w:r>
        <w:t>In 2016/17: 21% of participants had a score of 0, 0% of participants had a score of 1-9, 0% of participants had a score of 10-19, 0% of participants had a score of 20-29, 0% of participants had a score of 30-39, 1% of participants had a score of 40-49, 1% of participants had a score of 50-59, 3% of participants had a score of 60-69, 4% of participants had a score of 70-79, 13% of participants had a score of 80-89, and 55% of participants had a score of 90+.</w:t>
      </w:r>
    </w:p>
    <w:p w:rsidR="0071482A" w:rsidRDefault="00D945C4" w:rsidP="00D945C4">
      <w:pPr>
        <w:pStyle w:val="BodyText1"/>
        <w:rPr>
          <w:color w:val="44546A" w:themeColor="text2"/>
          <w:sz w:val="18"/>
          <w:szCs w:val="18"/>
        </w:rPr>
      </w:pPr>
      <w:r>
        <w:t>In 2017/18: 21% of participants had a score of 0, 0% of participants had a score of 1-9, 0% of participants had a score of 10-19, 0% of participants had a score of 20-29, 0% of participants had a score of 30-39, 1% of participants had a score of 40-49, 1% of participants had a score of 50-59, 3% of participants had a score of 60-69, 5% of participants had a score of 70-79, 13% of participants had a score of 80-89, and 55% of participants had a score of 90+.</w:t>
      </w:r>
    </w:p>
    <w:p w:rsidR="002E0AAE" w:rsidRPr="00D945C4" w:rsidRDefault="002E0AAE" w:rsidP="00D945C4">
      <w:pPr>
        <w:pStyle w:val="BodyText1"/>
        <w:rPr>
          <w:b/>
        </w:rPr>
      </w:pPr>
      <w:r w:rsidRPr="00D945C4">
        <w:rPr>
          <w:b/>
        </w:rPr>
        <w:t xml:space="preserve">MBI admission scores from 2006/07 to 2017/18 for VIC </w:t>
      </w:r>
    </w:p>
    <w:p w:rsidR="00D945C4" w:rsidRDefault="00D945C4" w:rsidP="00D945C4">
      <w:pPr>
        <w:pStyle w:val="BodyText1"/>
      </w:pPr>
      <w:r>
        <w:t>In 2006/07: 6% of participants had a score of 0, 5% of participants had a score of 1-9, 8% of participants had a score of 10-19, 7% of participants had a score of 20-29, 10% of participants had a score of 30-39, 9% of participants had a score of 40-49, 9% of participants had a score of 50-59, 12% of participants had a score of 60-69, 12% of participants had a score of 70-79, 12% of participants had a score of 80-89, and 9% of participants had a score of 90+.</w:t>
      </w:r>
    </w:p>
    <w:p w:rsidR="00D945C4" w:rsidRDefault="00D945C4" w:rsidP="00D945C4">
      <w:pPr>
        <w:pStyle w:val="BodyText1"/>
      </w:pPr>
      <w:r>
        <w:t>In 2007/08: 5% of participants had a score of 0, 4% of participants had a score of 1-9, 6% of participants had a score of 10-19, 6% of participants had a score of 20-29, 8% of participants had a score of 30-39, 11% of participants had a score of 40-49, 9% of participants had a score of 50-59, 13% of participants had a score of 60-69, 14% of participants had a score of 70-79, 15% of participants had a score of 80-89, and 9% of participants had a score of 90+.</w:t>
      </w:r>
    </w:p>
    <w:p w:rsidR="00D945C4" w:rsidRDefault="00D945C4" w:rsidP="00D945C4">
      <w:pPr>
        <w:pStyle w:val="BodyText1"/>
      </w:pPr>
      <w:r>
        <w:t>In 2008/09: 4% of participants had a score of 0, 4% of participants had a score of 1-9, 6% of participants had a score of 10-19, 6% of participants had a score of 20-29, 7% of participants had a score of 30-39, 8% of participants had a score of 40-49, 10% of participants had a score of 50-59, 13% of participants had a score of 60-69, 16% of participants had a score of 70-79, 16% of participants had a score of 80-89, 11% of participants had a score of 90+.</w:t>
      </w:r>
    </w:p>
    <w:p w:rsidR="00D945C4" w:rsidRDefault="00D945C4" w:rsidP="00D945C4">
      <w:pPr>
        <w:pStyle w:val="BodyText1"/>
      </w:pPr>
      <w:r>
        <w:t>In 2009/10: 4% of participants had a score of 0, 3% of participants had a score of 1-9, 5% of participants had a score of 10-19, 5% of participants had a score of 20-29, 6% of participants had a score of 30-39, 7% of participants had a score of 40-49, 10% of participants had a score of 50-59, 12% of participants had a score of 60-69, 17% of participants had a score of 70-79, 18% of participants had a score of 80-89</w:t>
      </w:r>
      <w:r w:rsidR="007240AF">
        <w:t xml:space="preserve">, and </w:t>
      </w:r>
      <w:r>
        <w:t>14% of participants had a score of 90+</w:t>
      </w:r>
      <w:r w:rsidR="007240AF">
        <w:t>.</w:t>
      </w:r>
    </w:p>
    <w:p w:rsidR="00D945C4" w:rsidRDefault="00D945C4" w:rsidP="00D945C4">
      <w:pPr>
        <w:pStyle w:val="BodyText1"/>
      </w:pPr>
      <w:r>
        <w:t>In 2010/11</w:t>
      </w:r>
      <w:r w:rsidR="007240AF">
        <w:t xml:space="preserve">: </w:t>
      </w:r>
      <w:r>
        <w:t>3% of participants had a score of 0</w:t>
      </w:r>
      <w:r w:rsidR="007240AF">
        <w:t xml:space="preserve">, </w:t>
      </w:r>
      <w:r>
        <w:t>3% of participants had a score of 1-9</w:t>
      </w:r>
      <w:r w:rsidR="007240AF">
        <w:t xml:space="preserve">, </w:t>
      </w:r>
      <w:r>
        <w:t>5% of participants had a score of 10-19</w:t>
      </w:r>
      <w:r w:rsidR="007240AF">
        <w:t xml:space="preserve">, </w:t>
      </w:r>
      <w:r>
        <w:t>5% of participants had a score of 20-29</w:t>
      </w:r>
      <w:r w:rsidR="007240AF">
        <w:t xml:space="preserve">, </w:t>
      </w:r>
      <w:r>
        <w:t>6% of participants had a score of 30-39</w:t>
      </w:r>
      <w:r w:rsidR="007240AF">
        <w:t xml:space="preserve">, </w:t>
      </w:r>
      <w:r>
        <w:t>6% of participants had a score of 40-49</w:t>
      </w:r>
      <w:r w:rsidR="007240AF">
        <w:t xml:space="preserve">, </w:t>
      </w:r>
      <w:r>
        <w:t>10% of participants had a score of 50-59</w:t>
      </w:r>
      <w:r w:rsidR="007240AF">
        <w:t xml:space="preserve">, </w:t>
      </w:r>
      <w:r>
        <w:t>14% of participants had a score of 60-69</w:t>
      </w:r>
      <w:r w:rsidR="007240AF">
        <w:t xml:space="preserve">, </w:t>
      </w:r>
      <w:r>
        <w:t>17% of participants had a score of 70-79</w:t>
      </w:r>
      <w:r w:rsidR="007240AF">
        <w:t xml:space="preserve">, </w:t>
      </w:r>
      <w:r>
        <w:t>19% of participants had a score of 80-89</w:t>
      </w:r>
      <w:r w:rsidR="007240AF">
        <w:t xml:space="preserve">, and </w:t>
      </w:r>
      <w:r>
        <w:t>12% of participants had a score of 90+</w:t>
      </w:r>
      <w:r w:rsidR="007240AF">
        <w:t>.</w:t>
      </w:r>
    </w:p>
    <w:p w:rsidR="00D945C4" w:rsidRDefault="00D945C4" w:rsidP="00D945C4">
      <w:pPr>
        <w:pStyle w:val="BodyText1"/>
      </w:pPr>
      <w:r>
        <w:t>In 2011/12</w:t>
      </w:r>
      <w:r w:rsidR="007240AF">
        <w:t xml:space="preserve">: </w:t>
      </w:r>
      <w:r>
        <w:t>2% of participants had a score of 0</w:t>
      </w:r>
      <w:r w:rsidR="007240AF">
        <w:t xml:space="preserve">, </w:t>
      </w:r>
      <w:r>
        <w:t>3% of participants had a score of 1-9</w:t>
      </w:r>
      <w:r w:rsidR="007240AF">
        <w:t xml:space="preserve">, </w:t>
      </w:r>
      <w:r>
        <w:t>4% of participants had a score of 10-19</w:t>
      </w:r>
      <w:r w:rsidR="007240AF">
        <w:t xml:space="preserve">, </w:t>
      </w:r>
      <w:r>
        <w:t>5% of participants had a score of 20-29</w:t>
      </w:r>
      <w:r w:rsidR="007240AF">
        <w:t xml:space="preserve">, </w:t>
      </w:r>
      <w:r>
        <w:t>5% of participants had a score of 30-39</w:t>
      </w:r>
      <w:r w:rsidR="007240AF">
        <w:t xml:space="preserve">, </w:t>
      </w:r>
      <w:r>
        <w:t>7% of participants had a score of</w:t>
      </w:r>
      <w:r w:rsidR="007240AF">
        <w:t xml:space="preserve"> </w:t>
      </w:r>
      <w:r>
        <w:t>40-49</w:t>
      </w:r>
      <w:r w:rsidR="007240AF">
        <w:t xml:space="preserve">, </w:t>
      </w:r>
      <w:r>
        <w:t>10% of participants had a score of 50-59</w:t>
      </w:r>
      <w:r w:rsidR="007240AF">
        <w:t xml:space="preserve">, </w:t>
      </w:r>
      <w:r>
        <w:t>14% of participants had a score of 60-69</w:t>
      </w:r>
      <w:r w:rsidR="007240AF">
        <w:t xml:space="preserve">, </w:t>
      </w:r>
      <w:r>
        <w:t>19% of participants had a score of 70-79</w:t>
      </w:r>
      <w:r w:rsidR="007240AF">
        <w:t xml:space="preserve">, </w:t>
      </w:r>
      <w:r>
        <w:t>18% of participants had a score of 80-89</w:t>
      </w:r>
      <w:r w:rsidR="007240AF">
        <w:t xml:space="preserve">, and </w:t>
      </w:r>
      <w:r>
        <w:t>13% of participants had a score of 90+</w:t>
      </w:r>
      <w:r w:rsidR="007240AF">
        <w:t>.</w:t>
      </w:r>
    </w:p>
    <w:p w:rsidR="00D945C4" w:rsidRDefault="00D945C4" w:rsidP="00D945C4">
      <w:pPr>
        <w:pStyle w:val="BodyText1"/>
      </w:pPr>
      <w:r>
        <w:t>In 2012/13</w:t>
      </w:r>
      <w:r w:rsidR="007240AF">
        <w:t xml:space="preserve">: </w:t>
      </w:r>
      <w:r>
        <w:t>2% of participants had a score of 0</w:t>
      </w:r>
      <w:r w:rsidR="007240AF">
        <w:t xml:space="preserve">, </w:t>
      </w:r>
      <w:r>
        <w:t>3% of participants had a score of 1-9</w:t>
      </w:r>
      <w:r w:rsidR="007240AF">
        <w:t xml:space="preserve">, </w:t>
      </w:r>
      <w:r>
        <w:t>4% of participants had a score of 10-19</w:t>
      </w:r>
      <w:r w:rsidR="007240AF">
        <w:t xml:space="preserve">, </w:t>
      </w:r>
      <w:r>
        <w:t>5% of participants had a score of 20-29</w:t>
      </w:r>
      <w:r w:rsidR="007240AF">
        <w:t xml:space="preserve">, </w:t>
      </w:r>
      <w:r>
        <w:t>5% of participants had a score of 30-39</w:t>
      </w:r>
      <w:r w:rsidR="007240AF">
        <w:t xml:space="preserve">, </w:t>
      </w:r>
      <w:r>
        <w:t>6% of participants had a score of 40-49</w:t>
      </w:r>
      <w:r w:rsidR="007240AF">
        <w:t xml:space="preserve">, </w:t>
      </w:r>
      <w:r>
        <w:t>10% of participants had a score of 50-59</w:t>
      </w:r>
      <w:r w:rsidR="007240AF">
        <w:t xml:space="preserve">, </w:t>
      </w:r>
      <w:r>
        <w:t>13% of participants had a score of 60-69</w:t>
      </w:r>
      <w:r w:rsidR="007240AF">
        <w:t xml:space="preserve">, </w:t>
      </w:r>
      <w:r>
        <w:t>19% of participants had a score of 70-79</w:t>
      </w:r>
      <w:r w:rsidR="007240AF">
        <w:t xml:space="preserve">, </w:t>
      </w:r>
      <w:r>
        <w:t>20% of participants had a score of 80-89</w:t>
      </w:r>
      <w:r w:rsidR="007240AF">
        <w:t xml:space="preserve">, and </w:t>
      </w:r>
      <w:r>
        <w:t>12% of participants had a score of 90+</w:t>
      </w:r>
      <w:r w:rsidR="007240AF">
        <w:t>.</w:t>
      </w:r>
    </w:p>
    <w:p w:rsidR="00D945C4" w:rsidRDefault="00D945C4" w:rsidP="00D945C4">
      <w:pPr>
        <w:pStyle w:val="BodyText1"/>
      </w:pPr>
      <w:r>
        <w:t>In 2013/14</w:t>
      </w:r>
      <w:r w:rsidR="007240AF">
        <w:t xml:space="preserve">: </w:t>
      </w:r>
      <w:r>
        <w:t>3% of participants had a score of 0</w:t>
      </w:r>
      <w:r w:rsidR="007240AF">
        <w:t xml:space="preserve">, </w:t>
      </w:r>
      <w:r>
        <w:t>3% of participants had a score of 1-9</w:t>
      </w:r>
      <w:r w:rsidR="007240AF">
        <w:t xml:space="preserve">, </w:t>
      </w:r>
      <w:r>
        <w:t>4% of participants had a score of 10-19</w:t>
      </w:r>
      <w:r w:rsidR="007240AF">
        <w:t xml:space="preserve">, </w:t>
      </w:r>
      <w:r>
        <w:t>5% of participants had a score of 20-29</w:t>
      </w:r>
      <w:r w:rsidR="007240AF">
        <w:t xml:space="preserve">, </w:t>
      </w:r>
      <w:r>
        <w:t>5% of participants had a score of 30-39</w:t>
      </w:r>
      <w:r w:rsidR="007240AF">
        <w:t xml:space="preserve">, </w:t>
      </w:r>
      <w:r>
        <w:t>7% of participants had a score of</w:t>
      </w:r>
      <w:r w:rsidR="007240AF">
        <w:t xml:space="preserve"> </w:t>
      </w:r>
      <w:r>
        <w:t>40-49</w:t>
      </w:r>
      <w:r w:rsidR="007240AF">
        <w:t xml:space="preserve">, </w:t>
      </w:r>
      <w:r>
        <w:t>11% of participants had a score of 50-59</w:t>
      </w:r>
      <w:r w:rsidR="007240AF">
        <w:t xml:space="preserve">, </w:t>
      </w:r>
      <w:r>
        <w:t>13% of pa</w:t>
      </w:r>
      <w:r w:rsidR="007240AF">
        <w:t xml:space="preserve">rticipants had a score of 60-69, </w:t>
      </w:r>
      <w:r>
        <w:t>18% of participants had a score of 70-79</w:t>
      </w:r>
      <w:r w:rsidR="007240AF">
        <w:t xml:space="preserve">, </w:t>
      </w:r>
      <w:r>
        <w:t>20% of participants had a score of 80-89</w:t>
      </w:r>
      <w:r w:rsidR="007240AF">
        <w:t xml:space="preserve">, and </w:t>
      </w:r>
      <w:r>
        <w:t>11% of participants had a score of 90+</w:t>
      </w:r>
      <w:r w:rsidR="007240AF">
        <w:t>.</w:t>
      </w:r>
    </w:p>
    <w:p w:rsidR="00D945C4" w:rsidRDefault="00D945C4" w:rsidP="00D945C4">
      <w:pPr>
        <w:pStyle w:val="BodyText1"/>
      </w:pPr>
      <w:r>
        <w:t>In 2014/15</w:t>
      </w:r>
      <w:r w:rsidR="007240AF">
        <w:t xml:space="preserve">: </w:t>
      </w:r>
      <w:r>
        <w:t>3% of participants had a score of 0</w:t>
      </w:r>
      <w:r w:rsidR="007240AF">
        <w:t xml:space="preserve">, </w:t>
      </w:r>
      <w:r>
        <w:t>4% of participants had a score of 1-9</w:t>
      </w:r>
      <w:r w:rsidR="007240AF">
        <w:t xml:space="preserve">, </w:t>
      </w:r>
      <w:r>
        <w:t>4% of participants had a score of 10-19</w:t>
      </w:r>
      <w:r w:rsidR="007240AF">
        <w:t xml:space="preserve">, </w:t>
      </w:r>
      <w:r>
        <w:t>5% of participants had a score of</w:t>
      </w:r>
      <w:r w:rsidR="007240AF">
        <w:t xml:space="preserve"> </w:t>
      </w:r>
      <w:r>
        <w:t>20-29</w:t>
      </w:r>
      <w:r w:rsidR="007240AF">
        <w:t xml:space="preserve">, </w:t>
      </w:r>
      <w:r>
        <w:t>6% of participants had a score of 30-39</w:t>
      </w:r>
      <w:r w:rsidR="007240AF">
        <w:t xml:space="preserve">, </w:t>
      </w:r>
      <w:r>
        <w:t>8% of participants had a score of 40-49</w:t>
      </w:r>
      <w:r w:rsidR="007240AF">
        <w:t xml:space="preserve">, </w:t>
      </w:r>
      <w:r>
        <w:t>10% of participants had a score of 50-59</w:t>
      </w:r>
      <w:r w:rsidR="007240AF">
        <w:t xml:space="preserve">, </w:t>
      </w:r>
      <w:r>
        <w:t>14% of participants had a score of 60-69</w:t>
      </w:r>
      <w:r w:rsidR="007240AF">
        <w:t xml:space="preserve">, </w:t>
      </w:r>
      <w:r>
        <w:t>16% of participants had a score of 70-79</w:t>
      </w:r>
      <w:r w:rsidR="007240AF">
        <w:t xml:space="preserve">, </w:t>
      </w:r>
      <w:r>
        <w:t>18% of participants had a score of 80-89</w:t>
      </w:r>
      <w:r w:rsidR="007240AF">
        <w:t xml:space="preserve">, and </w:t>
      </w:r>
      <w:r>
        <w:t>12% of participants had a score of 90+</w:t>
      </w:r>
      <w:r w:rsidR="007240AF">
        <w:t>.</w:t>
      </w:r>
    </w:p>
    <w:p w:rsidR="00D945C4" w:rsidRDefault="00D945C4" w:rsidP="00D945C4">
      <w:pPr>
        <w:pStyle w:val="BodyText1"/>
      </w:pPr>
      <w:r>
        <w:t>In 2015/16</w:t>
      </w:r>
      <w:r w:rsidR="007240AF">
        <w:t xml:space="preserve">: </w:t>
      </w:r>
      <w:r>
        <w:t>3% of participants had a score of 0</w:t>
      </w:r>
      <w:r w:rsidR="007240AF">
        <w:t xml:space="preserve">, </w:t>
      </w:r>
      <w:r>
        <w:t>3% of participants had a score of 1-9</w:t>
      </w:r>
      <w:r w:rsidR="007240AF">
        <w:t xml:space="preserve">, </w:t>
      </w:r>
      <w:r>
        <w:t>4% of participants had a score of 10-19</w:t>
      </w:r>
      <w:r w:rsidR="007240AF">
        <w:t xml:space="preserve">, </w:t>
      </w:r>
      <w:r>
        <w:t>5% of participants had a score of 20-29</w:t>
      </w:r>
      <w:r w:rsidR="007240AF">
        <w:t xml:space="preserve">, </w:t>
      </w:r>
      <w:r>
        <w:t>6% of participants had a score of 30-39</w:t>
      </w:r>
      <w:r w:rsidR="007240AF">
        <w:t xml:space="preserve">, </w:t>
      </w:r>
      <w:r>
        <w:t>8% of participants had a score of 40-49</w:t>
      </w:r>
      <w:r w:rsidR="007240AF">
        <w:t xml:space="preserve">, </w:t>
      </w:r>
      <w:r>
        <w:t>10% of participants had a score of 50-59</w:t>
      </w:r>
      <w:r w:rsidR="007240AF">
        <w:t xml:space="preserve">, </w:t>
      </w:r>
      <w:r>
        <w:t>13% of pa</w:t>
      </w:r>
      <w:r w:rsidR="007240AF">
        <w:t xml:space="preserve">rticipants had a score of 60-69, </w:t>
      </w:r>
      <w:r>
        <w:t>17% of participants had a score of 70-79</w:t>
      </w:r>
      <w:r w:rsidR="007240AF">
        <w:t xml:space="preserve">, </w:t>
      </w:r>
      <w:r>
        <w:t>19% of participants had a score of 80-89</w:t>
      </w:r>
      <w:r w:rsidR="007240AF">
        <w:t xml:space="preserve">, and </w:t>
      </w:r>
      <w:r>
        <w:t>11% of participants had a score of 90+</w:t>
      </w:r>
      <w:r w:rsidR="007240AF">
        <w:t>.</w:t>
      </w:r>
    </w:p>
    <w:p w:rsidR="00D945C4" w:rsidRDefault="00D945C4" w:rsidP="00D945C4">
      <w:pPr>
        <w:pStyle w:val="BodyText1"/>
      </w:pPr>
      <w:r>
        <w:t>In 2016/17</w:t>
      </w:r>
      <w:r w:rsidR="007240AF">
        <w:t xml:space="preserve">: </w:t>
      </w:r>
      <w:r>
        <w:t>3% of participants had a score of 0</w:t>
      </w:r>
      <w:r w:rsidR="007240AF">
        <w:t xml:space="preserve">, </w:t>
      </w:r>
      <w:r>
        <w:t>3% of participants had a score of 1-9</w:t>
      </w:r>
      <w:r w:rsidR="007240AF">
        <w:t xml:space="preserve">, </w:t>
      </w:r>
      <w:r>
        <w:t>4% of participants had a score of 10-19</w:t>
      </w:r>
      <w:r w:rsidR="007240AF">
        <w:t xml:space="preserve">, </w:t>
      </w:r>
      <w:r>
        <w:t>5% of participants had a score of</w:t>
      </w:r>
      <w:r w:rsidR="007240AF">
        <w:t xml:space="preserve"> </w:t>
      </w:r>
      <w:r>
        <w:t>20-29</w:t>
      </w:r>
      <w:r w:rsidR="007240AF">
        <w:t xml:space="preserve">, </w:t>
      </w:r>
      <w:r>
        <w:t>6% of participants had a score of</w:t>
      </w:r>
      <w:r w:rsidR="007240AF">
        <w:t xml:space="preserve"> </w:t>
      </w:r>
      <w:r>
        <w:t>30-39</w:t>
      </w:r>
      <w:r w:rsidR="007240AF">
        <w:t xml:space="preserve">, </w:t>
      </w:r>
      <w:r>
        <w:t>7% of participants had a score of 40-49</w:t>
      </w:r>
      <w:r w:rsidR="007240AF">
        <w:t xml:space="preserve">, </w:t>
      </w:r>
      <w:r>
        <w:t>10% of participants had a score of 50-59</w:t>
      </w:r>
      <w:r w:rsidR="007240AF">
        <w:t xml:space="preserve">, </w:t>
      </w:r>
      <w:r>
        <w:t>13% of participants had a score of 60-69</w:t>
      </w:r>
      <w:r w:rsidR="007240AF">
        <w:t xml:space="preserve">, </w:t>
      </w:r>
      <w:r>
        <w:t>17% of participants had a score of 70-79</w:t>
      </w:r>
      <w:r w:rsidR="007240AF">
        <w:t xml:space="preserve">, </w:t>
      </w:r>
      <w:r>
        <w:t>18% of participants had a score of 80-89</w:t>
      </w:r>
      <w:r w:rsidR="007240AF">
        <w:t xml:space="preserve">, and </w:t>
      </w:r>
      <w:r>
        <w:t>13% of participants had a score of 90+</w:t>
      </w:r>
      <w:r w:rsidR="007240AF">
        <w:t>.</w:t>
      </w:r>
    </w:p>
    <w:p w:rsidR="007A471F" w:rsidRPr="00D945C4" w:rsidRDefault="00D945C4" w:rsidP="00D945C4">
      <w:pPr>
        <w:pStyle w:val="BodyText1"/>
      </w:pPr>
      <w:r>
        <w:t>In 2017/18</w:t>
      </w:r>
      <w:r w:rsidR="007240AF">
        <w:t xml:space="preserve">: </w:t>
      </w:r>
      <w:r>
        <w:t>3% of participants had a score of</w:t>
      </w:r>
      <w:r w:rsidR="007240AF">
        <w:t xml:space="preserve"> 0, </w:t>
      </w:r>
      <w:r>
        <w:t>3% of participants had a score of 1-9</w:t>
      </w:r>
      <w:r w:rsidR="007240AF">
        <w:t xml:space="preserve">, </w:t>
      </w:r>
      <w:r>
        <w:t>4% of participants had a score of 10-19</w:t>
      </w:r>
      <w:r w:rsidR="007240AF">
        <w:t xml:space="preserve">, </w:t>
      </w:r>
      <w:r>
        <w:t>5% of participants had a score of 20-29</w:t>
      </w:r>
      <w:r w:rsidR="007240AF">
        <w:t xml:space="preserve">, </w:t>
      </w:r>
      <w:r>
        <w:t>6% of participants had a score of 30-39</w:t>
      </w:r>
      <w:r w:rsidR="007240AF">
        <w:t xml:space="preserve">, </w:t>
      </w:r>
      <w:r>
        <w:t>8% of participants had a score of 40-49</w:t>
      </w:r>
      <w:r w:rsidR="007240AF">
        <w:t xml:space="preserve">, </w:t>
      </w:r>
      <w:r>
        <w:t>11% of participants had a score of 50-59</w:t>
      </w:r>
      <w:r w:rsidR="007240AF">
        <w:t xml:space="preserve">, </w:t>
      </w:r>
      <w:r>
        <w:t>14% of participants had a score of 60-69</w:t>
      </w:r>
      <w:r w:rsidR="007240AF">
        <w:t xml:space="preserve">, </w:t>
      </w:r>
      <w:r>
        <w:t>18% of participants had a score of 70-79</w:t>
      </w:r>
      <w:r w:rsidR="007240AF">
        <w:t xml:space="preserve">, </w:t>
      </w:r>
      <w:r>
        <w:t>17% of participants had a score of 80-89</w:t>
      </w:r>
      <w:r w:rsidR="007240AF">
        <w:t xml:space="preserve">, and </w:t>
      </w:r>
      <w:r>
        <w:t>12% of participants had a score of 90+</w:t>
      </w:r>
      <w:r w:rsidR="007240AF">
        <w:t>.</w:t>
      </w:r>
    </w:p>
    <w:p w:rsidR="002E0AAE" w:rsidRPr="00D945C4" w:rsidRDefault="002E0AAE" w:rsidP="00D945C4">
      <w:pPr>
        <w:pStyle w:val="BodyText1"/>
        <w:rPr>
          <w:b/>
        </w:rPr>
      </w:pPr>
      <w:r w:rsidRPr="00D945C4">
        <w:rPr>
          <w:b/>
        </w:rPr>
        <w:t>MBI exit scores from 2006/07 to 2017/18 for VIC</w:t>
      </w:r>
    </w:p>
    <w:p w:rsidR="007240AF" w:rsidRDefault="007240AF" w:rsidP="007240AF">
      <w:pPr>
        <w:pStyle w:val="BodyText1"/>
      </w:pPr>
      <w:r>
        <w:t>In 2006/07: 17% of participants had a score of 0, 4% of participants had a score of 1-9, 6% of participants had a score of 10-19, 6% of participants had a score of 20-29, 8% of participants had a score of 30-39, 7% of participants had a score of 40-49, 7% of participants had a score of 50-59, 8% of participants had a score of 60-69, 10% of participants had a score of 70-79, 12% of participants had a score of 80-89, and 15% of participants had a score of 90+.</w:t>
      </w:r>
    </w:p>
    <w:p w:rsidR="007240AF" w:rsidRDefault="007240AF" w:rsidP="007240AF">
      <w:pPr>
        <w:pStyle w:val="BodyText1"/>
      </w:pPr>
      <w:r>
        <w:t>In 2007/08: 16% of participants had a score of 0, 4% of participants had a score of 1-9, 4% of participants had a score of 10-19, 5% of participants had a score of 20-29, 6% of participants had a score of 30-39, 6% of participants had a score of 40-49, 7% of participants had a score of 50-59, 9% of participants had a score of 60-69, 11% of participants had a score of 70-79, 15% of participants had a score of 80-89, and 17% of participants had a score of 90+.</w:t>
      </w:r>
    </w:p>
    <w:p w:rsidR="007240AF" w:rsidRDefault="007240AF" w:rsidP="007240AF">
      <w:pPr>
        <w:pStyle w:val="BodyText1"/>
      </w:pPr>
      <w:r>
        <w:t>In 2008/09: 15% of participants had a score of 0, 3% of participants had a score of 1-9, 5% of participants had a score of 10-19, 5% of participants had a score of 20-29, 5% of participants had a score of 30-39, 6% of participants had a score of 40-49, 7% of participants had a score of 50-59, 8% of participants had a score of 60-69, 11% of participants had a score of 70-79, 15% of participants had a score of 80-89, and 21% of participants had a score of 90+.</w:t>
      </w:r>
    </w:p>
    <w:p w:rsidR="007240AF" w:rsidRDefault="007240AF" w:rsidP="007240AF">
      <w:pPr>
        <w:pStyle w:val="BodyText1"/>
      </w:pPr>
      <w:r>
        <w:t>In 2009/10: 15% of participants had a score of 0, 3% of participants had a score of 1-9, 4% of participants had a score of 10-19, 3% of participants had a score of 20-29, 4% of participants had a score of 30-39, 5% of participants had a score of 40-49, 6% of participants had a score of 50-59, 8% of participants had a score of 60-69, 12% of participants had a score of 70-79, 17% of participants had a score of 80-89, and 24% of participants had a score of 90+.</w:t>
      </w:r>
    </w:p>
    <w:p w:rsidR="007240AF" w:rsidRDefault="007240AF" w:rsidP="007240AF">
      <w:pPr>
        <w:pStyle w:val="BodyText1"/>
      </w:pPr>
      <w:r>
        <w:t>In 2010/11: 25% of participants had a score of 0, 2% of participants had a score of 1-9, 3% of participants had a score of 10-19, 3% of participants had a score of 20-29, 3% of participants had a score of 30-39, 4% of participants had a score of 40-49, 6% of participants had a score of 50-59, 7% of participants had a score of 60-69, 10% of participants had a score of 70-79, 16% of participants had a score of 80-89, and 21% of participants had a score of 90+.</w:t>
      </w:r>
    </w:p>
    <w:p w:rsidR="007240AF" w:rsidRDefault="007240AF" w:rsidP="007240AF">
      <w:pPr>
        <w:pStyle w:val="BodyText1"/>
      </w:pPr>
      <w:r>
        <w:t>In 2011/12: 25% of participants had a score of 0, 2% of participants had a score of 1-9, 3% of participants had a score of 10-19, 3% of participants had a score of 20-29, 3% of participants had a score of 30-39, 3% of participants had a score of 40-49, 5% of participants had a score of 50-59, 6% of participants had a score of 60-69, 10% of participants had a score of 70-79, 15% of participants had a score of 80-89, and 24% of participants had a score of 90+.</w:t>
      </w:r>
    </w:p>
    <w:p w:rsidR="007240AF" w:rsidRDefault="007240AF" w:rsidP="007240AF">
      <w:pPr>
        <w:pStyle w:val="BodyText1"/>
      </w:pPr>
      <w:r>
        <w:t>In 2012/13: 25% of participants had a score of 0, 2% of participants had a score of 1-9, 3% of participants had a score of 10-19, 2% of participants had a score of 20-29, 3% of participants had a score of 30-39, 3% of participants had a score of 40-49, 5% of participants had a score of 50-59, 7% of participants had a score of 60-69, 10% of participants had a score of 70-79, 17% of participants had a score of 80-89, and 24% of participants had a score of 90+.</w:t>
      </w:r>
    </w:p>
    <w:p w:rsidR="007240AF" w:rsidRDefault="007240AF" w:rsidP="007240AF">
      <w:pPr>
        <w:pStyle w:val="BodyText1"/>
      </w:pPr>
      <w:r>
        <w:t>In 2013/14: 25% of participants had a score of 0, 2% of participants had a score of 1-9, 2% of participants had a score of 10-19, 3% of participants had a score of 20-29, 3% of participants had a score of 30-39, 4% of participants had a score of 40-49, 5% of participants had a score of 50-59, 7% of participants had a score of 60-69, 9% of participants had a score of 70-79, 17% of participants had a score of 80-89, and 22% of participants had a score of 90+.</w:t>
      </w:r>
    </w:p>
    <w:p w:rsidR="007240AF" w:rsidRDefault="007240AF" w:rsidP="007240AF">
      <w:pPr>
        <w:pStyle w:val="BodyText1"/>
      </w:pPr>
      <w:r>
        <w:t>In 2014/15: 25% of participants had a score of 0, 4% of participants had a score of 1-9, 3% of participants had a score of 10-19, 3% of participants had a score of 20-29 , 3% of participants had a score of 30-39, 4% of participants had a score of 40-49, 5% of participants had a score of 50-59, 7% of participants had a score of 60-69, 9% of participants had a score of 70-79, 15% of participants had a score of 80-89, and 22% of participants had a score of 90+.</w:t>
      </w:r>
    </w:p>
    <w:p w:rsidR="007240AF" w:rsidRDefault="007240AF" w:rsidP="007240AF">
      <w:pPr>
        <w:pStyle w:val="BodyText1"/>
      </w:pPr>
      <w:r>
        <w:t>In 2015/16: 23% of participants had a score of 0, 3% of participants had a score of 1-9, 3% of participants had a score of 10-19, 3% of participants had a score of 20-29, 4% of participants had a score of 30-39, 4% of participants had a score of 40-49, 5% of participants had a score of 50-59, 7% of participants had a score of 60-69, 10% of participants had a score of 70-79, 16% of participants had a score of 80-89, and 23% of participants had a score of 90+.</w:t>
      </w:r>
    </w:p>
    <w:p w:rsidR="007240AF" w:rsidRDefault="007240AF" w:rsidP="007240AF">
      <w:pPr>
        <w:pStyle w:val="BodyText1"/>
      </w:pPr>
      <w:r>
        <w:t>In 2016/17: 25% of participants had a score of 0, 2% of participants had a score of 1-9, 3% of participants had a score of 10-19, 2% of participants had a score of 20-29, 3% of participants had a score of 30-39, 4% of participants had a score of 40-49, 5% of participants had a score of 50-59, 7% of participants had a score of 60-69, 10% of participants had a score of 70-79, 15% of participants had a score of 80-89 and 23% of participants had a score of 90+.</w:t>
      </w:r>
    </w:p>
    <w:p w:rsidR="0071482A" w:rsidRDefault="007240AF" w:rsidP="007240AF">
      <w:pPr>
        <w:pStyle w:val="BodyText1"/>
        <w:rPr>
          <w:i/>
          <w:iCs/>
          <w:color w:val="44546A" w:themeColor="text2"/>
          <w:sz w:val="18"/>
          <w:szCs w:val="18"/>
        </w:rPr>
      </w:pPr>
      <w:r>
        <w:t>In 2017/18: 26% of participants had a score of 0, 2% of participants had a score of 1-9, 2% of participants had a score of 10-19, 3% of participants had a score of 20-29, 3% of participants had a score of 30-39, 3% of participants had a score of 40-49, 6% of participants had a score of 50-59, 7% of participants had a score of 60-69, 10% of participants had a score of 70 -79, 15% of participants had a score of 80-89, and 22% of participants had a score of 90+.</w:t>
      </w:r>
    </w:p>
    <w:p w:rsidR="002E0AAE" w:rsidRPr="007240AF" w:rsidRDefault="002E0AAE" w:rsidP="007240AF">
      <w:pPr>
        <w:pStyle w:val="BodyText1"/>
        <w:rPr>
          <w:b/>
        </w:rPr>
      </w:pPr>
      <w:r w:rsidRPr="007240AF">
        <w:rPr>
          <w:b/>
        </w:rPr>
        <w:t>MBI admission scores from 2006/07 to 2017/18 for QLD</w:t>
      </w:r>
    </w:p>
    <w:p w:rsidR="007240AF" w:rsidRDefault="007240AF" w:rsidP="007240AF">
      <w:pPr>
        <w:pStyle w:val="BodyText1"/>
      </w:pPr>
      <w:r>
        <w:t>In 2006/07: 0% of participants had a score of 0, 0% of participants had a score of 1-9, 0% of participants had a score of 10-19, 0% of participants had a score of 20-29, 1% of participants had a score of 30-39</w:t>
      </w:r>
      <w:r w:rsidR="004A5145">
        <w:t xml:space="preserve">, </w:t>
      </w:r>
      <w:r>
        <w:t>2% of parti</w:t>
      </w:r>
      <w:r w:rsidR="004A5145">
        <w:t xml:space="preserve">cipants had a score of 40-49, </w:t>
      </w:r>
      <w:r>
        <w:t>6% of participants had a score of 50-59</w:t>
      </w:r>
      <w:r w:rsidR="004A5145">
        <w:t xml:space="preserve">, </w:t>
      </w:r>
      <w:r>
        <w:t>10% of pa</w:t>
      </w:r>
      <w:r w:rsidR="004A5145">
        <w:t xml:space="preserve">rticipants had a score of 60-69, </w:t>
      </w:r>
      <w:r>
        <w:t>17% of pa</w:t>
      </w:r>
      <w:r w:rsidR="004A5145">
        <w:t xml:space="preserve">rticipants had a score of 70-79, </w:t>
      </w:r>
      <w:r>
        <w:t>39% of participants had a score of 80-89</w:t>
      </w:r>
      <w:r w:rsidR="004A5145">
        <w:t xml:space="preserve">, and </w:t>
      </w:r>
      <w:r>
        <w:t>24% of participants had a score of 90+</w:t>
      </w:r>
      <w:r w:rsidR="004A5145">
        <w:t>.</w:t>
      </w:r>
    </w:p>
    <w:p w:rsidR="007240AF" w:rsidRDefault="007240AF" w:rsidP="007240AF">
      <w:pPr>
        <w:pStyle w:val="BodyText1"/>
      </w:pPr>
      <w:r>
        <w:t>In 2007/08</w:t>
      </w:r>
      <w:r w:rsidR="004A5145">
        <w:t xml:space="preserve">: </w:t>
      </w:r>
      <w:r>
        <w:t>0% of participants had a score of 0</w:t>
      </w:r>
      <w:r w:rsidR="004A5145">
        <w:t xml:space="preserve">, </w:t>
      </w:r>
      <w:r>
        <w:t>0% of participants had a score of 1-9</w:t>
      </w:r>
      <w:r w:rsidR="004A5145">
        <w:t xml:space="preserve">, </w:t>
      </w:r>
      <w:r>
        <w:t>0% of participants had a score of 10-19</w:t>
      </w:r>
      <w:r w:rsidR="004A5145">
        <w:t xml:space="preserve">, </w:t>
      </w:r>
      <w:r>
        <w:t>1% of pa</w:t>
      </w:r>
      <w:r w:rsidR="004A5145">
        <w:t xml:space="preserve">rticipants had a score of 20-29, </w:t>
      </w:r>
      <w:r>
        <w:t>1% of participants had a score of 30-39</w:t>
      </w:r>
      <w:r w:rsidR="004A5145">
        <w:t xml:space="preserve">, </w:t>
      </w:r>
      <w:r>
        <w:t>3% of participants had a score of 40-49</w:t>
      </w:r>
      <w:r w:rsidR="004A5145">
        <w:t xml:space="preserve">, </w:t>
      </w:r>
      <w:r>
        <w:t>4% of participants had a score of 50-59</w:t>
      </w:r>
      <w:r w:rsidR="004A5145">
        <w:t xml:space="preserve">, </w:t>
      </w:r>
      <w:r>
        <w:t>11% of participants had a score of 60-69</w:t>
      </w:r>
      <w:r w:rsidR="004A5145">
        <w:t>,</w:t>
      </w:r>
      <w:r>
        <w:t xml:space="preserve"> 19% of pa</w:t>
      </w:r>
      <w:r w:rsidR="004A5145">
        <w:t xml:space="preserve">rticipants had a score of 70-79, </w:t>
      </w:r>
      <w:r>
        <w:t>34% of participants had a score of 80-89</w:t>
      </w:r>
      <w:r w:rsidR="004A5145">
        <w:t xml:space="preserve">, and </w:t>
      </w:r>
      <w:r>
        <w:t xml:space="preserve">26% of </w:t>
      </w:r>
      <w:r w:rsidR="004A5145">
        <w:t>participants had a score of 90+.</w:t>
      </w:r>
    </w:p>
    <w:p w:rsidR="007240AF" w:rsidRDefault="004A5145" w:rsidP="007240AF">
      <w:pPr>
        <w:pStyle w:val="BodyText1"/>
      </w:pPr>
      <w:r>
        <w:t xml:space="preserve">In 2008/09: </w:t>
      </w:r>
      <w:r w:rsidR="007240AF">
        <w:t>0% of participants had a score of 0</w:t>
      </w:r>
      <w:r>
        <w:t xml:space="preserve">, </w:t>
      </w:r>
      <w:r w:rsidR="007240AF">
        <w:t>0% of participants had a score of 1-9</w:t>
      </w:r>
      <w:r>
        <w:t xml:space="preserve">, </w:t>
      </w:r>
      <w:r w:rsidR="007240AF">
        <w:t>0% of participants had a score of 10-19</w:t>
      </w:r>
      <w:r>
        <w:t xml:space="preserve">, </w:t>
      </w:r>
      <w:r w:rsidR="007240AF">
        <w:t>2% of participants had a score of 20-29</w:t>
      </w:r>
      <w:r>
        <w:t xml:space="preserve">, </w:t>
      </w:r>
      <w:r w:rsidR="007240AF">
        <w:t>2% of participants had a score of 30-39</w:t>
      </w:r>
      <w:r>
        <w:t xml:space="preserve">, </w:t>
      </w:r>
      <w:r w:rsidR="007240AF">
        <w:t>4% of participants had a score of 40-49</w:t>
      </w:r>
      <w:r>
        <w:t xml:space="preserve">, </w:t>
      </w:r>
      <w:r w:rsidR="007240AF">
        <w:t>6% of participants had a score of 50-59</w:t>
      </w:r>
      <w:r>
        <w:t xml:space="preserve">, </w:t>
      </w:r>
      <w:r w:rsidR="007240AF">
        <w:t>10% of participants had a score of 60-69</w:t>
      </w:r>
      <w:r>
        <w:t xml:space="preserve">, </w:t>
      </w:r>
      <w:r w:rsidR="007240AF">
        <w:t>23% of participants had a score of 70-79</w:t>
      </w:r>
      <w:r>
        <w:t xml:space="preserve">, </w:t>
      </w:r>
      <w:r w:rsidR="007240AF">
        <w:t>33% of pa</w:t>
      </w:r>
      <w:r>
        <w:t xml:space="preserve">rticipants had a score of 80-89, and </w:t>
      </w:r>
      <w:r w:rsidR="007240AF">
        <w:t>19% of participants had a score of 90+</w:t>
      </w:r>
      <w:r>
        <w:t>.</w:t>
      </w:r>
    </w:p>
    <w:p w:rsidR="007240AF" w:rsidRDefault="007240AF" w:rsidP="007240AF">
      <w:pPr>
        <w:pStyle w:val="BodyText1"/>
      </w:pPr>
      <w:r>
        <w:t>In 2009/10</w:t>
      </w:r>
      <w:r w:rsidR="004A5145">
        <w:t>:</w:t>
      </w:r>
      <w:r>
        <w:t xml:space="preserve"> 0% of participants had a score of 0</w:t>
      </w:r>
      <w:r w:rsidR="004A5145">
        <w:t xml:space="preserve">, </w:t>
      </w:r>
      <w:r>
        <w:t>0% of participants had a score of 1-9</w:t>
      </w:r>
      <w:r w:rsidR="004A5145">
        <w:t xml:space="preserve">, </w:t>
      </w:r>
      <w:r>
        <w:t>1% of pa</w:t>
      </w:r>
      <w:r w:rsidR="004A5145">
        <w:t xml:space="preserve">rticipants had a score of 10-19, </w:t>
      </w:r>
      <w:r>
        <w:t>2% of participant</w:t>
      </w:r>
      <w:r w:rsidR="004A5145">
        <w:t xml:space="preserve">s had a score of 20-29, </w:t>
      </w:r>
      <w:r>
        <w:t>3% of pa</w:t>
      </w:r>
      <w:r w:rsidR="004A5145">
        <w:t xml:space="preserve">rticipants had a score of 30-39, </w:t>
      </w:r>
      <w:r>
        <w:t>4% of pa</w:t>
      </w:r>
      <w:r w:rsidR="004A5145">
        <w:t xml:space="preserve">rticipants had a score of 40-49, </w:t>
      </w:r>
      <w:r>
        <w:t>7% of participants had a score of 50-59</w:t>
      </w:r>
      <w:r w:rsidR="004A5145">
        <w:t xml:space="preserve">, </w:t>
      </w:r>
      <w:r>
        <w:t>9% of participants had a score of 60-69</w:t>
      </w:r>
      <w:r w:rsidR="004A5145">
        <w:t>,</w:t>
      </w:r>
      <w:r>
        <w:t xml:space="preserve"> 20% of pa</w:t>
      </w:r>
      <w:r w:rsidR="004A5145">
        <w:t xml:space="preserve">rticipants had a score of 70-79, </w:t>
      </w:r>
      <w:r>
        <w:t xml:space="preserve">34% of participants had a </w:t>
      </w:r>
      <w:r w:rsidR="004A5145">
        <w:t xml:space="preserve">score of 80-89, and </w:t>
      </w:r>
      <w:r>
        <w:t>21% of participants had a score of 90+</w:t>
      </w:r>
      <w:r w:rsidR="004A5145">
        <w:t>.</w:t>
      </w:r>
    </w:p>
    <w:p w:rsidR="007240AF" w:rsidRDefault="007240AF" w:rsidP="007240AF">
      <w:pPr>
        <w:pStyle w:val="BodyText1"/>
      </w:pPr>
      <w:r>
        <w:t>In 2010/11</w:t>
      </w:r>
      <w:r w:rsidR="004A5145">
        <w:t xml:space="preserve">: </w:t>
      </w:r>
      <w:r>
        <w:t>0% of participants had a score of 0</w:t>
      </w:r>
      <w:r w:rsidR="004A5145">
        <w:t xml:space="preserve">, </w:t>
      </w:r>
      <w:r>
        <w:t>0% of participants had a score of 1-9</w:t>
      </w:r>
      <w:r w:rsidR="004A5145">
        <w:t xml:space="preserve">, </w:t>
      </w:r>
      <w:r>
        <w:t>1% of pa</w:t>
      </w:r>
      <w:r w:rsidR="004A5145">
        <w:t xml:space="preserve">rticipants had a score of 10-19, </w:t>
      </w:r>
      <w:r>
        <w:t>2% of pa</w:t>
      </w:r>
      <w:r w:rsidR="004A5145">
        <w:t xml:space="preserve">rticipants had a score of 20-29, </w:t>
      </w:r>
      <w:r>
        <w:t>3% of participants had a score of 30-39</w:t>
      </w:r>
      <w:r w:rsidR="004A5145">
        <w:t>,</w:t>
      </w:r>
      <w:r>
        <w:t xml:space="preserve"> 5% of participants had a score of 40-49</w:t>
      </w:r>
      <w:r w:rsidR="004A5145">
        <w:t>,</w:t>
      </w:r>
      <w:r>
        <w:t xml:space="preserve"> 6% of participants had a score of 50-59</w:t>
      </w:r>
      <w:r w:rsidR="004A5145">
        <w:t xml:space="preserve">, </w:t>
      </w:r>
      <w:r>
        <w:t>9% of pa</w:t>
      </w:r>
      <w:r w:rsidR="004A5145">
        <w:t xml:space="preserve">rticipants had a score of 60-69, </w:t>
      </w:r>
      <w:r>
        <w:t>20% of pa</w:t>
      </w:r>
      <w:r w:rsidR="004A5145">
        <w:t xml:space="preserve">rticipants had a score of 70-79, </w:t>
      </w:r>
      <w:r>
        <w:t>33% of pa</w:t>
      </w:r>
      <w:r w:rsidR="004A5145">
        <w:t xml:space="preserve">rticipants had a score of 80-89, and </w:t>
      </w:r>
      <w:r>
        <w:t>21% of participants had a score of 90+</w:t>
      </w:r>
      <w:r w:rsidR="004A5145">
        <w:t>.</w:t>
      </w:r>
    </w:p>
    <w:p w:rsidR="007240AF" w:rsidRDefault="007240AF" w:rsidP="007240AF">
      <w:pPr>
        <w:pStyle w:val="BodyText1"/>
      </w:pPr>
      <w:r>
        <w:t>In 2011/12</w:t>
      </w:r>
      <w:r w:rsidR="004A5145">
        <w:t xml:space="preserve">: </w:t>
      </w:r>
      <w:r>
        <w:t>0% o</w:t>
      </w:r>
      <w:r w:rsidR="004A5145">
        <w:t xml:space="preserve">f participants had a score of 0, </w:t>
      </w:r>
      <w:r>
        <w:t>0% of participants had a score of 1-9</w:t>
      </w:r>
      <w:r w:rsidR="004A5145">
        <w:t xml:space="preserve">, </w:t>
      </w:r>
      <w:r>
        <w:t>0% of participants had a score of 10-19</w:t>
      </w:r>
      <w:r w:rsidR="004A5145">
        <w:t>,</w:t>
      </w:r>
      <w:r>
        <w:t xml:space="preserve"> 1% of participants had a score of 20-29</w:t>
      </w:r>
      <w:r w:rsidR="004A5145">
        <w:t xml:space="preserve">, </w:t>
      </w:r>
      <w:r>
        <w:t>2% of pa</w:t>
      </w:r>
      <w:r w:rsidR="004A5145">
        <w:t xml:space="preserve">rticipants had a score of 30-39, </w:t>
      </w:r>
      <w:r>
        <w:t>3% of pa</w:t>
      </w:r>
      <w:r w:rsidR="004A5145">
        <w:t xml:space="preserve">rticipants had a score of 40-49, </w:t>
      </w:r>
      <w:r>
        <w:t>7% of participants had a score of 50-59</w:t>
      </w:r>
      <w:r w:rsidR="004A5145">
        <w:t>,</w:t>
      </w:r>
      <w:r>
        <w:t xml:space="preserve"> 10% of pa</w:t>
      </w:r>
      <w:r w:rsidR="004A5145">
        <w:t xml:space="preserve">rticipants had a score of 60-69, </w:t>
      </w:r>
      <w:r>
        <w:t>21% of participants had a score of 70-79</w:t>
      </w:r>
      <w:r w:rsidR="004A5145">
        <w:t xml:space="preserve">, </w:t>
      </w:r>
      <w:r>
        <w:t>35% of pa</w:t>
      </w:r>
      <w:r w:rsidR="004A5145">
        <w:t xml:space="preserve">rticipants had a score of 80-89, and </w:t>
      </w:r>
      <w:r>
        <w:t>20% of participants had a score of 90+</w:t>
      </w:r>
      <w:r w:rsidR="004A5145">
        <w:t>.</w:t>
      </w:r>
    </w:p>
    <w:p w:rsidR="007240AF" w:rsidRDefault="007240AF" w:rsidP="007240AF">
      <w:pPr>
        <w:pStyle w:val="BodyText1"/>
      </w:pPr>
      <w:r>
        <w:t>In 2012/13</w:t>
      </w:r>
      <w:r w:rsidR="004A5145">
        <w:t xml:space="preserve">: </w:t>
      </w:r>
      <w:r>
        <w:t>1% of participants had a score of 0</w:t>
      </w:r>
      <w:r w:rsidR="004A5145">
        <w:t xml:space="preserve">, </w:t>
      </w:r>
      <w:r>
        <w:t>0% of participants had a score of 1-9</w:t>
      </w:r>
      <w:r w:rsidR="004A5145">
        <w:t xml:space="preserve">, </w:t>
      </w:r>
      <w:r>
        <w:t>0% of pa</w:t>
      </w:r>
      <w:r w:rsidR="004A5145">
        <w:t xml:space="preserve">rticipants had a score of 10-19, </w:t>
      </w:r>
      <w:r>
        <w:t>2% of participants had a score of 20-29</w:t>
      </w:r>
      <w:r w:rsidR="004A5145">
        <w:t xml:space="preserve">, </w:t>
      </w:r>
      <w:r>
        <w:t>2% of participants had a score of 30-39</w:t>
      </w:r>
      <w:r w:rsidR="004A5145">
        <w:t xml:space="preserve">, </w:t>
      </w:r>
      <w:r>
        <w:t>3% of pa</w:t>
      </w:r>
      <w:r w:rsidR="004A5145">
        <w:t xml:space="preserve">rticipants had a score of 40-49, </w:t>
      </w:r>
      <w:r>
        <w:t>6% of pa</w:t>
      </w:r>
      <w:r w:rsidR="004A5145">
        <w:t xml:space="preserve">rticipants had a score of 50-59, </w:t>
      </w:r>
      <w:r>
        <w:t>11% of participants ha</w:t>
      </w:r>
      <w:r w:rsidR="004A5145">
        <w:t xml:space="preserve">d a score of 60-69, </w:t>
      </w:r>
      <w:r>
        <w:t>19% of pa</w:t>
      </w:r>
      <w:r w:rsidR="004A5145">
        <w:t xml:space="preserve">rticipants had a score of 70-79, </w:t>
      </w:r>
      <w:r>
        <w:t>34% of pa</w:t>
      </w:r>
      <w:r w:rsidR="004A5145">
        <w:t xml:space="preserve">rticipants had a score of 80-89, and </w:t>
      </w:r>
      <w:r>
        <w:t xml:space="preserve">23% of </w:t>
      </w:r>
      <w:r w:rsidR="004A5145">
        <w:t>participants had a score of 90+.</w:t>
      </w:r>
    </w:p>
    <w:p w:rsidR="007240AF" w:rsidRDefault="007240AF" w:rsidP="007240AF">
      <w:pPr>
        <w:pStyle w:val="BodyText1"/>
      </w:pPr>
      <w:r>
        <w:t>In 2013/14</w:t>
      </w:r>
      <w:r w:rsidR="004A5145">
        <w:t xml:space="preserve">: </w:t>
      </w:r>
      <w:r>
        <w:t>0% o</w:t>
      </w:r>
      <w:r w:rsidR="004A5145">
        <w:t xml:space="preserve">f participants had a score of 0, </w:t>
      </w:r>
      <w:r>
        <w:t>1% of participants had a score of 1-9</w:t>
      </w:r>
      <w:r w:rsidR="004A5145">
        <w:t xml:space="preserve">, </w:t>
      </w:r>
      <w:r>
        <w:t>2% of participants had a</w:t>
      </w:r>
      <w:r w:rsidR="004A5145">
        <w:t xml:space="preserve"> score of 10-19, 2% </w:t>
      </w:r>
      <w:r>
        <w:t>of participants had a score of 20-29</w:t>
      </w:r>
      <w:r w:rsidR="004A5145">
        <w:t xml:space="preserve">, </w:t>
      </w:r>
      <w:r>
        <w:t>3% of pa</w:t>
      </w:r>
      <w:r w:rsidR="004A5145">
        <w:t xml:space="preserve">rticipants had a score of 30-39, </w:t>
      </w:r>
      <w:r>
        <w:t>5% of pa</w:t>
      </w:r>
      <w:r w:rsidR="004A5145">
        <w:t xml:space="preserve">rticipants had a score of 40-49, </w:t>
      </w:r>
      <w:r>
        <w:t>7% of pa</w:t>
      </w:r>
      <w:r w:rsidR="004A5145">
        <w:t xml:space="preserve">rticipants had a score of 50-59, </w:t>
      </w:r>
      <w:r>
        <w:t>12% of pa</w:t>
      </w:r>
      <w:r w:rsidR="004A5145">
        <w:t xml:space="preserve">rticipants had a score of 60-69, </w:t>
      </w:r>
      <w:r>
        <w:t>19% of participants had a score o</w:t>
      </w:r>
      <w:r w:rsidR="004A5145">
        <w:t xml:space="preserve">f 70-79, </w:t>
      </w:r>
      <w:r>
        <w:t>30% of pa</w:t>
      </w:r>
      <w:r w:rsidR="004A5145">
        <w:t>rticipants had a score of 80-89, and 1</w:t>
      </w:r>
      <w:r>
        <w:t>9% of participants had a score of 90+</w:t>
      </w:r>
      <w:r w:rsidR="004A5145">
        <w:t>.</w:t>
      </w:r>
    </w:p>
    <w:p w:rsidR="007240AF" w:rsidRDefault="007240AF" w:rsidP="007240AF">
      <w:pPr>
        <w:pStyle w:val="BodyText1"/>
      </w:pPr>
      <w:r>
        <w:t>In 2014/15</w:t>
      </w:r>
      <w:r w:rsidR="004A5145">
        <w:t xml:space="preserve">: </w:t>
      </w:r>
      <w:r>
        <w:t>1% of participants had a score of 0</w:t>
      </w:r>
      <w:r w:rsidR="004A5145">
        <w:t xml:space="preserve">, </w:t>
      </w:r>
      <w:r>
        <w:t xml:space="preserve">1% of </w:t>
      </w:r>
      <w:r w:rsidR="004A5145">
        <w:t xml:space="preserve">participants had a score of 1-9, </w:t>
      </w:r>
      <w:r>
        <w:t>2% of pa</w:t>
      </w:r>
      <w:r w:rsidR="004A5145">
        <w:t xml:space="preserve">rticipants had a score of 10-19, </w:t>
      </w:r>
      <w:r>
        <w:t>3% of participants had a score of 20-</w:t>
      </w:r>
      <w:r w:rsidR="004A5145">
        <w:t xml:space="preserve">29, </w:t>
      </w:r>
      <w:r>
        <w:t>3% of pa</w:t>
      </w:r>
      <w:r w:rsidR="004A5145">
        <w:t xml:space="preserve">rticipants had a score of 30-39, </w:t>
      </w:r>
      <w:r>
        <w:t>5% of pa</w:t>
      </w:r>
      <w:r w:rsidR="004A5145">
        <w:t xml:space="preserve">rticipants had a score of 40-49, </w:t>
      </w:r>
      <w:r>
        <w:t>7% of p</w:t>
      </w:r>
      <w:r w:rsidR="004A5145">
        <w:t xml:space="preserve">articipants had a score of 50-59, </w:t>
      </w:r>
      <w:r>
        <w:t>12% of pa</w:t>
      </w:r>
      <w:r w:rsidR="004A5145">
        <w:t xml:space="preserve">rticipants had a score of 60-69, </w:t>
      </w:r>
      <w:r>
        <w:t>21% of p</w:t>
      </w:r>
      <w:r w:rsidR="004A5145">
        <w:t xml:space="preserve">articipants had a score of 70-79, </w:t>
      </w:r>
      <w:r>
        <w:t>30% of pa</w:t>
      </w:r>
      <w:r w:rsidR="004A5145">
        <w:t xml:space="preserve">rticipants had a score of 80-89, and </w:t>
      </w:r>
      <w:r>
        <w:t>16% of participants had a score of 90+</w:t>
      </w:r>
      <w:r w:rsidR="004A5145">
        <w:t>.</w:t>
      </w:r>
    </w:p>
    <w:p w:rsidR="007240AF" w:rsidRDefault="007240AF" w:rsidP="007240AF">
      <w:pPr>
        <w:pStyle w:val="BodyText1"/>
      </w:pPr>
      <w:r>
        <w:t>In 2015/16</w:t>
      </w:r>
      <w:r w:rsidR="004A5145">
        <w:t xml:space="preserve">: </w:t>
      </w:r>
      <w:r>
        <w:t>0% of participants had a score of 0</w:t>
      </w:r>
      <w:r w:rsidR="004A5145">
        <w:t xml:space="preserve">, </w:t>
      </w:r>
      <w:r>
        <w:t>1% of</w:t>
      </w:r>
      <w:r w:rsidR="004A5145">
        <w:t xml:space="preserve"> participants had a score of 1-9, </w:t>
      </w:r>
      <w:r>
        <w:t>2% of pa</w:t>
      </w:r>
      <w:r w:rsidR="004A5145">
        <w:t xml:space="preserve">rticipants had a score of 10-19, </w:t>
      </w:r>
      <w:r>
        <w:t>3% of pa</w:t>
      </w:r>
      <w:r w:rsidR="004A5145">
        <w:t xml:space="preserve">rticipants had a score of 20-29, </w:t>
      </w:r>
      <w:r>
        <w:t>4% of pa</w:t>
      </w:r>
      <w:r w:rsidR="004A5145">
        <w:t xml:space="preserve">rticipants had a score of 30-39, </w:t>
      </w:r>
      <w:r>
        <w:t>5% of partici</w:t>
      </w:r>
      <w:r w:rsidR="004A5145">
        <w:t xml:space="preserve">pants had a score of 40-49, </w:t>
      </w:r>
      <w:r>
        <w:t>7% of pa</w:t>
      </w:r>
      <w:r w:rsidR="004A5145">
        <w:t xml:space="preserve">rticipants had a score of 50-59, </w:t>
      </w:r>
      <w:r>
        <w:t>12% of pa</w:t>
      </w:r>
      <w:r w:rsidR="004A5145">
        <w:t xml:space="preserve">rticipants had a score of 60-69, </w:t>
      </w:r>
      <w:r>
        <w:t>21% of pa</w:t>
      </w:r>
      <w:r w:rsidR="004A5145">
        <w:t xml:space="preserve">rticipants had a score of 70-79, </w:t>
      </w:r>
      <w:r>
        <w:t>29% of pa</w:t>
      </w:r>
      <w:r w:rsidR="004A5145">
        <w:t xml:space="preserve">rticipants had a score of 80-89, and </w:t>
      </w:r>
      <w:r>
        <w:t xml:space="preserve">15% of </w:t>
      </w:r>
      <w:r w:rsidR="004A5145">
        <w:t>participants had a score of 90+.</w:t>
      </w:r>
    </w:p>
    <w:p w:rsidR="007240AF" w:rsidRDefault="007240AF" w:rsidP="007240AF">
      <w:pPr>
        <w:pStyle w:val="BodyText1"/>
      </w:pPr>
      <w:r>
        <w:t>In 2016/17</w:t>
      </w:r>
      <w:r w:rsidR="004A5145">
        <w:t xml:space="preserve">: </w:t>
      </w:r>
      <w:r>
        <w:t>1% of participants had a score of 0</w:t>
      </w:r>
      <w:r w:rsidR="004A5145">
        <w:t xml:space="preserve">, </w:t>
      </w:r>
      <w:r>
        <w:t xml:space="preserve">1% of </w:t>
      </w:r>
      <w:r w:rsidR="004A5145">
        <w:t xml:space="preserve">participants had a score of 1-9, </w:t>
      </w:r>
      <w:r>
        <w:t>2% of pa</w:t>
      </w:r>
      <w:r w:rsidR="004A5145">
        <w:t xml:space="preserve">rticipants had a score of 10-19, </w:t>
      </w:r>
      <w:r>
        <w:t>3% of pa</w:t>
      </w:r>
      <w:r w:rsidR="004A5145">
        <w:t xml:space="preserve">rticipants had a score of 20-29, </w:t>
      </w:r>
      <w:r>
        <w:t>4% of pa</w:t>
      </w:r>
      <w:r w:rsidR="004A5145">
        <w:t xml:space="preserve">rticipants had a score of 30-39, </w:t>
      </w:r>
      <w:r>
        <w:t>5% of pa</w:t>
      </w:r>
      <w:r w:rsidR="004A5145">
        <w:t xml:space="preserve">rticipants had a score of 40-49, </w:t>
      </w:r>
      <w:r>
        <w:t>7% of participants had a s</w:t>
      </w:r>
      <w:r w:rsidR="004A5145">
        <w:t xml:space="preserve">core of 50-59, </w:t>
      </w:r>
      <w:r>
        <w:t>13% of pa</w:t>
      </w:r>
      <w:r w:rsidR="004A5145">
        <w:t xml:space="preserve">rticipants had a score of 60-69, </w:t>
      </w:r>
      <w:r>
        <w:t>22% of pa</w:t>
      </w:r>
      <w:r w:rsidR="004A5145">
        <w:t xml:space="preserve">rticipants had a score of 70-79, </w:t>
      </w:r>
      <w:r>
        <w:t>28% of pa</w:t>
      </w:r>
      <w:r w:rsidR="004A5145">
        <w:t xml:space="preserve">rticipants had a score of 80-89, and </w:t>
      </w:r>
      <w:r>
        <w:t xml:space="preserve">14% of </w:t>
      </w:r>
      <w:r w:rsidR="004A5145">
        <w:t>participants had a score of 90+.</w:t>
      </w:r>
    </w:p>
    <w:p w:rsidR="007A471F" w:rsidRPr="007240AF" w:rsidRDefault="004A5145" w:rsidP="007240AF">
      <w:pPr>
        <w:pStyle w:val="BodyText1"/>
      </w:pPr>
      <w:r>
        <w:t xml:space="preserve">In 2017/18: </w:t>
      </w:r>
      <w:r w:rsidR="007240AF">
        <w:t>1% o</w:t>
      </w:r>
      <w:r>
        <w:t xml:space="preserve">f participants had a score of 0, </w:t>
      </w:r>
      <w:r w:rsidR="007240AF">
        <w:t xml:space="preserve">1% of participants had a </w:t>
      </w:r>
      <w:r>
        <w:t xml:space="preserve">score of 1-9, </w:t>
      </w:r>
      <w:r w:rsidR="007240AF">
        <w:t>2% of pa</w:t>
      </w:r>
      <w:r>
        <w:t xml:space="preserve">rticipants had a score of 10-19, </w:t>
      </w:r>
      <w:r w:rsidR="007240AF">
        <w:t>3% of pa</w:t>
      </w:r>
      <w:r>
        <w:t xml:space="preserve">rticipants had a score of 20-29, </w:t>
      </w:r>
      <w:r w:rsidR="007240AF">
        <w:t>4% of pa</w:t>
      </w:r>
      <w:r>
        <w:t xml:space="preserve">rticipants had a score of 30-39, </w:t>
      </w:r>
      <w:r w:rsidR="007240AF">
        <w:t>6% of pa</w:t>
      </w:r>
      <w:r>
        <w:t xml:space="preserve">rticipants had a score of 40-49, </w:t>
      </w:r>
      <w:r w:rsidR="007240AF">
        <w:t>7% of pa</w:t>
      </w:r>
      <w:r>
        <w:t xml:space="preserve">rticipants had a score of 50-59, </w:t>
      </w:r>
      <w:r w:rsidR="007240AF">
        <w:t>13% of participants had a score of 60</w:t>
      </w:r>
      <w:r>
        <w:t xml:space="preserve">-69, </w:t>
      </w:r>
      <w:r w:rsidR="007240AF">
        <w:t>21% of pa</w:t>
      </w:r>
      <w:r>
        <w:t xml:space="preserve">rticipants had a score of 70-79, </w:t>
      </w:r>
      <w:r w:rsidR="007240AF">
        <w:t>28% of pa</w:t>
      </w:r>
      <w:r>
        <w:t xml:space="preserve">rticipants had a score of 80-89, and </w:t>
      </w:r>
      <w:r w:rsidR="007240AF">
        <w:t>14% of participants had a score of 90+</w:t>
      </w:r>
      <w:r>
        <w:t>.</w:t>
      </w:r>
    </w:p>
    <w:p w:rsidR="002E0AAE" w:rsidRPr="007240AF" w:rsidRDefault="002E0AAE" w:rsidP="007240AF">
      <w:pPr>
        <w:pStyle w:val="BodyText1"/>
        <w:rPr>
          <w:b/>
        </w:rPr>
      </w:pPr>
      <w:r w:rsidRPr="007240AF">
        <w:rPr>
          <w:b/>
        </w:rPr>
        <w:t>MBI exit scores from 2006/07 to 2017/18 for QLD</w:t>
      </w:r>
    </w:p>
    <w:p w:rsidR="004A5145" w:rsidRDefault="00FA539F" w:rsidP="004A5145">
      <w:pPr>
        <w:pStyle w:val="BodyText1"/>
      </w:pPr>
      <w:r>
        <w:t xml:space="preserve">In 2006/07: </w:t>
      </w:r>
      <w:r w:rsidR="004A5145">
        <w:t>16% o</w:t>
      </w:r>
      <w:r>
        <w:t xml:space="preserve">f participants had a score of 0, </w:t>
      </w:r>
      <w:r w:rsidR="004A5145">
        <w:t xml:space="preserve">0% of </w:t>
      </w:r>
      <w:r>
        <w:t xml:space="preserve">participants had a score of 1-9, </w:t>
      </w:r>
      <w:r w:rsidR="004A5145">
        <w:t>1% of par</w:t>
      </w:r>
      <w:r>
        <w:t xml:space="preserve">ticipants had a score of 10-19, </w:t>
      </w:r>
      <w:r w:rsidR="004A5145">
        <w:t>0% of pa</w:t>
      </w:r>
      <w:r>
        <w:t xml:space="preserve">rticipants had a score of 20-29, </w:t>
      </w:r>
      <w:r w:rsidR="004A5145">
        <w:t>1% of pa</w:t>
      </w:r>
      <w:r>
        <w:t xml:space="preserve">rticipants had a score of 30-39, </w:t>
      </w:r>
      <w:r w:rsidR="004A5145">
        <w:t>1% of pa</w:t>
      </w:r>
      <w:r>
        <w:t xml:space="preserve">rticipants had a score of 40-49, </w:t>
      </w:r>
      <w:r w:rsidR="004A5145">
        <w:t>1% of pa</w:t>
      </w:r>
      <w:r>
        <w:t xml:space="preserve">rticipants had a score of 50-59, </w:t>
      </w:r>
      <w:r w:rsidR="004A5145">
        <w:t>2% of pa</w:t>
      </w:r>
      <w:r>
        <w:t xml:space="preserve">rticipants had a score of 60-69, </w:t>
      </w:r>
      <w:r w:rsidR="004A5145">
        <w:t>7% of pa</w:t>
      </w:r>
      <w:r>
        <w:t xml:space="preserve">rticipants had a score of 70-79, </w:t>
      </w:r>
      <w:r w:rsidR="004A5145">
        <w:t>13% of pa</w:t>
      </w:r>
      <w:r>
        <w:t xml:space="preserve">rticipants had a score of 80-89, and </w:t>
      </w:r>
      <w:r w:rsidR="004A5145">
        <w:t>56% of participants had a score of 90+</w:t>
      </w:r>
      <w:r>
        <w:t>.</w:t>
      </w:r>
    </w:p>
    <w:p w:rsidR="004A5145" w:rsidRDefault="004A5145" w:rsidP="004A5145">
      <w:pPr>
        <w:pStyle w:val="BodyText1"/>
      </w:pPr>
      <w:r>
        <w:t>In 2007/08</w:t>
      </w:r>
      <w:r w:rsidR="00FA539F">
        <w:t xml:space="preserve">: </w:t>
      </w:r>
      <w:r>
        <w:t xml:space="preserve">18% of </w:t>
      </w:r>
      <w:r w:rsidR="00FA539F">
        <w:t xml:space="preserve">participants had a score of 0, </w:t>
      </w:r>
      <w:r>
        <w:t xml:space="preserve">0% of </w:t>
      </w:r>
      <w:r w:rsidR="00FA539F">
        <w:t xml:space="preserve">participants had a score of 1-9, </w:t>
      </w:r>
      <w:r>
        <w:t>0% of par</w:t>
      </w:r>
      <w:r w:rsidR="00FA539F">
        <w:t xml:space="preserve">ticipants had a score of 10-19, </w:t>
      </w:r>
      <w:r>
        <w:t>0% of par</w:t>
      </w:r>
      <w:r w:rsidR="00FA539F">
        <w:t xml:space="preserve">ticipants had a score of 20-29, </w:t>
      </w:r>
      <w:r>
        <w:t>0% of part</w:t>
      </w:r>
      <w:r w:rsidR="00FA539F">
        <w:t xml:space="preserve">icipants had a score of 30-39, </w:t>
      </w:r>
      <w:r>
        <w:t>1% of pa</w:t>
      </w:r>
      <w:r w:rsidR="00FA539F">
        <w:t xml:space="preserve">rticipants had a score of 40-49, </w:t>
      </w:r>
      <w:r>
        <w:t>1% of par</w:t>
      </w:r>
      <w:r w:rsidR="00FA539F">
        <w:t xml:space="preserve">ticipants had a score of 50-59, </w:t>
      </w:r>
      <w:r>
        <w:t>2% of par</w:t>
      </w:r>
      <w:r w:rsidR="00FA539F">
        <w:t xml:space="preserve">ticipants had a score of 60-69, </w:t>
      </w:r>
      <w:r>
        <w:t>5% of pa</w:t>
      </w:r>
      <w:r w:rsidR="00FA539F">
        <w:t xml:space="preserve">rticipants had a score of 70-79, </w:t>
      </w:r>
      <w:r>
        <w:t>12% of p</w:t>
      </w:r>
      <w:r w:rsidR="00FA539F">
        <w:t xml:space="preserve">articipants had a score of 80-89, and </w:t>
      </w:r>
      <w:r>
        <w:t>60% of participants had a score of 90+</w:t>
      </w:r>
      <w:r w:rsidR="00FA539F">
        <w:t>.</w:t>
      </w:r>
    </w:p>
    <w:p w:rsidR="004A5145" w:rsidRDefault="004A5145" w:rsidP="004A5145">
      <w:pPr>
        <w:pStyle w:val="BodyText1"/>
      </w:pPr>
      <w:r>
        <w:t>In 2008/09</w:t>
      </w:r>
      <w:r w:rsidR="00FA539F">
        <w:t xml:space="preserve">: </w:t>
      </w:r>
      <w:r>
        <w:t>17% o</w:t>
      </w:r>
      <w:r w:rsidR="00FA539F">
        <w:t xml:space="preserve">f participants had a score of 0, </w:t>
      </w:r>
      <w:r>
        <w:t xml:space="preserve">0% of </w:t>
      </w:r>
      <w:r w:rsidR="00FA539F">
        <w:t xml:space="preserve">participants had a score of 1-9, </w:t>
      </w:r>
      <w:r>
        <w:t>0% of pa</w:t>
      </w:r>
      <w:r w:rsidR="00FA539F">
        <w:t xml:space="preserve">rticipants had a score of 10-19, </w:t>
      </w:r>
      <w:r>
        <w:t>1% of pa</w:t>
      </w:r>
      <w:r w:rsidR="00FA539F">
        <w:t xml:space="preserve">rticipants had a score of 20-29, </w:t>
      </w:r>
      <w:r>
        <w:t>1% of pa</w:t>
      </w:r>
      <w:r w:rsidR="00FA539F">
        <w:t xml:space="preserve">rticipants had a score of 30-39, </w:t>
      </w:r>
      <w:r>
        <w:t>1% of pa</w:t>
      </w:r>
      <w:r w:rsidR="00FA539F">
        <w:t xml:space="preserve">rticipants had a score of 40-49, </w:t>
      </w:r>
      <w:r>
        <w:t>2% of pa</w:t>
      </w:r>
      <w:r w:rsidR="00FA539F">
        <w:t xml:space="preserve">rticipants had a score of 50-59, </w:t>
      </w:r>
      <w:r>
        <w:t>3% of partic</w:t>
      </w:r>
      <w:r w:rsidR="00FA539F">
        <w:t xml:space="preserve">ipants had a score of 60-69, </w:t>
      </w:r>
      <w:r>
        <w:t>5% of pa</w:t>
      </w:r>
      <w:r w:rsidR="00FA539F">
        <w:t xml:space="preserve">rticipants had a score of 70-79, </w:t>
      </w:r>
      <w:r>
        <w:t>16% of pa</w:t>
      </w:r>
      <w:r w:rsidR="00FA539F">
        <w:t xml:space="preserve">rticipants had a score of 80-89, and </w:t>
      </w:r>
      <w:r>
        <w:t>54% of participants had a score of 90+</w:t>
      </w:r>
      <w:r w:rsidR="00FA539F">
        <w:t>.</w:t>
      </w:r>
    </w:p>
    <w:p w:rsidR="004A5145" w:rsidRDefault="004A5145" w:rsidP="004A5145">
      <w:pPr>
        <w:pStyle w:val="BodyText1"/>
      </w:pPr>
      <w:r>
        <w:t>In 2009/10</w:t>
      </w:r>
      <w:r w:rsidR="00FA539F">
        <w:t xml:space="preserve">: </w:t>
      </w:r>
      <w:r>
        <w:t>16% o</w:t>
      </w:r>
      <w:r w:rsidR="00FA539F">
        <w:t xml:space="preserve">f participants had a score of 0, </w:t>
      </w:r>
      <w:r>
        <w:t xml:space="preserve">0% of </w:t>
      </w:r>
      <w:r w:rsidR="00FA539F">
        <w:t xml:space="preserve">participants had a score of 1-9, </w:t>
      </w:r>
      <w:r>
        <w:t>0% of participants had a score of 10-19</w:t>
      </w:r>
      <w:r w:rsidR="00FA539F">
        <w:t xml:space="preserve">, </w:t>
      </w:r>
      <w:r>
        <w:t>1% of p</w:t>
      </w:r>
      <w:r w:rsidR="00FA539F">
        <w:t xml:space="preserve">articipants had a score of 20-29, </w:t>
      </w:r>
      <w:r>
        <w:t>1% of participants had a score of 30-39</w:t>
      </w:r>
      <w:r w:rsidR="00FA539F">
        <w:t xml:space="preserve">, </w:t>
      </w:r>
      <w:r>
        <w:t>2% of participants had a score of 40-49</w:t>
      </w:r>
      <w:r w:rsidR="00FA539F">
        <w:t xml:space="preserve">, </w:t>
      </w:r>
      <w:r>
        <w:t>2% of participants had a score of 50-59</w:t>
      </w:r>
      <w:r w:rsidR="00FA539F">
        <w:t xml:space="preserve">, </w:t>
      </w:r>
      <w:r>
        <w:t>3% of participants had a score of 60-69</w:t>
      </w:r>
      <w:r w:rsidR="00FA539F">
        <w:t xml:space="preserve">, </w:t>
      </w:r>
      <w:r>
        <w:t>6% of participants had a score of 70-79</w:t>
      </w:r>
      <w:r w:rsidR="00FA539F">
        <w:t xml:space="preserve">, </w:t>
      </w:r>
      <w:r>
        <w:t>15% of participants had a score of 80-89</w:t>
      </w:r>
      <w:r w:rsidR="00FA539F">
        <w:t xml:space="preserve">, and </w:t>
      </w:r>
      <w:r>
        <w:t>55% of participants had a score of 90+</w:t>
      </w:r>
      <w:r w:rsidR="00FA539F">
        <w:t>.</w:t>
      </w:r>
    </w:p>
    <w:p w:rsidR="004A5145" w:rsidRDefault="004A5145" w:rsidP="004A5145">
      <w:pPr>
        <w:pStyle w:val="BodyText1"/>
      </w:pPr>
      <w:r>
        <w:t>In 2010/ 11</w:t>
      </w:r>
      <w:r w:rsidR="00FA539F">
        <w:t xml:space="preserve">: </w:t>
      </w:r>
      <w:r>
        <w:t>16% of participants had a score of 0</w:t>
      </w:r>
      <w:r w:rsidR="00FA539F">
        <w:t xml:space="preserve">, </w:t>
      </w:r>
      <w:r>
        <w:t>0% of participants had a score of 1-9</w:t>
      </w:r>
      <w:r w:rsidR="00FA539F">
        <w:t xml:space="preserve">, </w:t>
      </w:r>
      <w:r>
        <w:t>1% of participants had a score of 10-19</w:t>
      </w:r>
      <w:r w:rsidR="00FA539F">
        <w:t xml:space="preserve">, </w:t>
      </w:r>
      <w:r>
        <w:t>1% of participants had a score of 20-29</w:t>
      </w:r>
      <w:r w:rsidR="00FA539F">
        <w:t xml:space="preserve">, </w:t>
      </w:r>
      <w:r>
        <w:t>1% of participants had a score of 30-39</w:t>
      </w:r>
      <w:r w:rsidR="00FA539F">
        <w:t xml:space="preserve">, </w:t>
      </w:r>
      <w:r>
        <w:t>1% of participants had a score of 40-49</w:t>
      </w:r>
      <w:r w:rsidR="00FA539F">
        <w:t xml:space="preserve">, </w:t>
      </w:r>
      <w:r>
        <w:t>2% of participants had a score of 50-59</w:t>
      </w:r>
      <w:r w:rsidR="00FA539F">
        <w:t xml:space="preserve">, </w:t>
      </w:r>
      <w:r>
        <w:t>3% of participants had a score of 60-69</w:t>
      </w:r>
      <w:r w:rsidR="00FA539F">
        <w:t xml:space="preserve">, </w:t>
      </w:r>
      <w:r>
        <w:t>6% of participants had a score of 70-79</w:t>
      </w:r>
      <w:r w:rsidR="00FA539F">
        <w:t xml:space="preserve">, </w:t>
      </w:r>
      <w:r>
        <w:t>14% of participants had a score of 80-89</w:t>
      </w:r>
      <w:r w:rsidR="00FA539F">
        <w:t xml:space="preserve">, and </w:t>
      </w:r>
      <w:r>
        <w:t>55% of participants had a score of 90+</w:t>
      </w:r>
      <w:r w:rsidR="00FA539F">
        <w:t>.</w:t>
      </w:r>
    </w:p>
    <w:p w:rsidR="004A5145" w:rsidRDefault="004A5145" w:rsidP="004A5145">
      <w:pPr>
        <w:pStyle w:val="BodyText1"/>
      </w:pPr>
      <w:r>
        <w:t>In 2011/12</w:t>
      </w:r>
      <w:r w:rsidR="00FA539F">
        <w:t xml:space="preserve">: </w:t>
      </w:r>
      <w:r>
        <w:t>15% of participants had a score of 0</w:t>
      </w:r>
      <w:r w:rsidR="00FA539F">
        <w:t xml:space="preserve">, </w:t>
      </w:r>
      <w:r>
        <w:t>0% of participants had a score of 1-9</w:t>
      </w:r>
      <w:r w:rsidR="00FA539F">
        <w:t xml:space="preserve">, </w:t>
      </w:r>
      <w:r>
        <w:t>0% of participants had a score of 10-19</w:t>
      </w:r>
      <w:r w:rsidR="00FA539F">
        <w:t xml:space="preserve">, </w:t>
      </w:r>
      <w:r>
        <w:t>1% of participants had a score of 20-29</w:t>
      </w:r>
      <w:r w:rsidR="00FA539F">
        <w:t xml:space="preserve">, </w:t>
      </w:r>
      <w:r>
        <w:t>1% of participants had a score of 30-39</w:t>
      </w:r>
      <w:r w:rsidR="00FA539F">
        <w:t xml:space="preserve">, </w:t>
      </w:r>
      <w:r>
        <w:t>1% of participants had a score of 40-49</w:t>
      </w:r>
      <w:r w:rsidR="00FA539F">
        <w:t xml:space="preserve">, </w:t>
      </w:r>
      <w:r>
        <w:t>3% of participants had a score of 50-59</w:t>
      </w:r>
      <w:r w:rsidR="00FA539F">
        <w:t xml:space="preserve">, </w:t>
      </w:r>
      <w:r>
        <w:t>3% of participants had a score of 60-69</w:t>
      </w:r>
      <w:r w:rsidR="00FA539F">
        <w:t xml:space="preserve">, </w:t>
      </w:r>
      <w:r>
        <w:t>6% of participants had a score of 70-79</w:t>
      </w:r>
      <w:r w:rsidR="00FA539F">
        <w:t xml:space="preserve">, </w:t>
      </w:r>
      <w:r>
        <w:t>15% of participants had a score of 80-89</w:t>
      </w:r>
      <w:r w:rsidR="00FA539F">
        <w:t xml:space="preserve">, and </w:t>
      </w:r>
      <w:r>
        <w:t>54% of participants had a score of 90+</w:t>
      </w:r>
      <w:r w:rsidR="00FA539F">
        <w:t>.</w:t>
      </w:r>
    </w:p>
    <w:p w:rsidR="004A5145" w:rsidRDefault="004A5145" w:rsidP="004A5145">
      <w:pPr>
        <w:pStyle w:val="BodyText1"/>
      </w:pPr>
      <w:r>
        <w:t>In 2012/13</w:t>
      </w:r>
      <w:r w:rsidR="00FA539F">
        <w:t xml:space="preserve">: </w:t>
      </w:r>
      <w:r>
        <w:t>18% of participants had a score of 0</w:t>
      </w:r>
      <w:r w:rsidR="00FA539F">
        <w:t xml:space="preserve">, </w:t>
      </w:r>
      <w:r>
        <w:t>0% of participants had a score of 1-9</w:t>
      </w:r>
      <w:r w:rsidR="00FA539F">
        <w:t xml:space="preserve">, </w:t>
      </w:r>
      <w:r>
        <w:t>0% of participants had a score of 10-19</w:t>
      </w:r>
      <w:r w:rsidR="00FA539F">
        <w:t xml:space="preserve">, </w:t>
      </w:r>
      <w:r>
        <w:t>0% of participants had a score of 20-29</w:t>
      </w:r>
      <w:r w:rsidR="00FA539F">
        <w:t xml:space="preserve">, </w:t>
      </w:r>
      <w:r>
        <w:t>1% of participants had a score of 30-39</w:t>
      </w:r>
      <w:r w:rsidR="00FA539F">
        <w:t xml:space="preserve">, </w:t>
      </w:r>
      <w:r>
        <w:t>1% of participants had a score of 40-49</w:t>
      </w:r>
      <w:r w:rsidR="00FA539F">
        <w:t xml:space="preserve">, </w:t>
      </w:r>
      <w:r>
        <w:t>2% of participants had a score of 50-59</w:t>
      </w:r>
      <w:r w:rsidR="00FA539F">
        <w:t xml:space="preserve">, </w:t>
      </w:r>
      <w:r>
        <w:t>3% of participants had a score of 60-69</w:t>
      </w:r>
      <w:r w:rsidR="00FA539F">
        <w:t xml:space="preserve">, </w:t>
      </w:r>
      <w:r>
        <w:t>6% of participants had a score of 70-79</w:t>
      </w:r>
      <w:r w:rsidR="00FA539F">
        <w:t xml:space="preserve">, </w:t>
      </w:r>
      <w:r>
        <w:t>14% of participants had a score of 80-89</w:t>
      </w:r>
      <w:r w:rsidR="00FA539F">
        <w:t xml:space="preserve">, and </w:t>
      </w:r>
      <w:r>
        <w:t>54% of participants had a score of 90+</w:t>
      </w:r>
      <w:r w:rsidR="00FA539F">
        <w:t>.</w:t>
      </w:r>
    </w:p>
    <w:p w:rsidR="004A5145" w:rsidRDefault="004A5145" w:rsidP="004A5145">
      <w:pPr>
        <w:pStyle w:val="BodyText1"/>
      </w:pPr>
      <w:r>
        <w:t>In 2013/14</w:t>
      </w:r>
      <w:r w:rsidR="00FA539F">
        <w:t xml:space="preserve">: </w:t>
      </w:r>
      <w:r>
        <w:t>19% of participants had a score of 0</w:t>
      </w:r>
      <w:r w:rsidR="00FA539F">
        <w:t xml:space="preserve">, </w:t>
      </w:r>
      <w:r>
        <w:t>1% of participants had a score of 1-9</w:t>
      </w:r>
      <w:r w:rsidR="00FA539F">
        <w:t xml:space="preserve">, </w:t>
      </w:r>
      <w:r>
        <w:t>1% of participants had a score of 10-19</w:t>
      </w:r>
      <w:r w:rsidR="00FA539F">
        <w:t xml:space="preserve">, </w:t>
      </w:r>
      <w:r>
        <w:t>1% of participants had a score of 20-29</w:t>
      </w:r>
      <w:r w:rsidR="00FA539F">
        <w:t xml:space="preserve">, </w:t>
      </w:r>
      <w:r>
        <w:t>1% of participants had a score of 30-39</w:t>
      </w:r>
      <w:r w:rsidR="00FA539F">
        <w:t xml:space="preserve">, </w:t>
      </w:r>
      <w:r>
        <w:t>2% of participants had a score of 40-49</w:t>
      </w:r>
      <w:r w:rsidR="00FA539F">
        <w:t xml:space="preserve">, </w:t>
      </w:r>
      <w:r>
        <w:t>2% of participants had a score of 50-59</w:t>
      </w:r>
      <w:r w:rsidR="00FA539F">
        <w:t xml:space="preserve">, </w:t>
      </w:r>
      <w:r>
        <w:t>4% of participants had a score of 60-69</w:t>
      </w:r>
      <w:r w:rsidR="00FA539F">
        <w:t xml:space="preserve">, </w:t>
      </w:r>
      <w:r>
        <w:t>6% of participants had a score of 70-79</w:t>
      </w:r>
      <w:r w:rsidR="00FA539F">
        <w:t xml:space="preserve">, </w:t>
      </w:r>
      <w:r>
        <w:t>15% of participants had a score of 80-89</w:t>
      </w:r>
      <w:r w:rsidR="00FA539F">
        <w:t xml:space="preserve">, and </w:t>
      </w:r>
      <w:r>
        <w:t>49% of participants had a score of 90+</w:t>
      </w:r>
      <w:r w:rsidR="00FA539F">
        <w:t>.</w:t>
      </w:r>
    </w:p>
    <w:p w:rsidR="004A5145" w:rsidRDefault="004A5145" w:rsidP="004A5145">
      <w:pPr>
        <w:pStyle w:val="BodyText1"/>
      </w:pPr>
      <w:r>
        <w:t>In 2014/15</w:t>
      </w:r>
      <w:r w:rsidR="00FA539F">
        <w:t xml:space="preserve">: </w:t>
      </w:r>
      <w:r>
        <w:t>18% of participants had a score of 0</w:t>
      </w:r>
      <w:r w:rsidR="00FA539F">
        <w:t xml:space="preserve">, </w:t>
      </w:r>
      <w:r>
        <w:t>1% of participants had a score of 1-9</w:t>
      </w:r>
      <w:r w:rsidR="00FA539F">
        <w:t xml:space="preserve">, </w:t>
      </w:r>
      <w:r>
        <w:t>1% of participants had a score of 10-19</w:t>
      </w:r>
      <w:r w:rsidR="00FA539F">
        <w:t xml:space="preserve">, </w:t>
      </w:r>
      <w:r>
        <w:t>1% of participants had a score of 20-29</w:t>
      </w:r>
      <w:r w:rsidR="00FA539F">
        <w:t xml:space="preserve">, </w:t>
      </w:r>
      <w:r>
        <w:t>2% of participants had a score of 30-39</w:t>
      </w:r>
      <w:r w:rsidR="00FA539F">
        <w:t xml:space="preserve">, </w:t>
      </w:r>
      <w:r>
        <w:t>2% of participants had a score of 40-49</w:t>
      </w:r>
      <w:r w:rsidR="00FA539F">
        <w:t xml:space="preserve">, </w:t>
      </w:r>
      <w:r>
        <w:t>3% of participants had a score of 50-59</w:t>
      </w:r>
      <w:r w:rsidR="00FA539F">
        <w:t xml:space="preserve">, </w:t>
      </w:r>
      <w:r>
        <w:t>4% of participants had a score of 60-69</w:t>
      </w:r>
      <w:r w:rsidR="00FA539F">
        <w:t xml:space="preserve">, </w:t>
      </w:r>
      <w:r>
        <w:t>8% of participants had a score of 70-79</w:t>
      </w:r>
      <w:r w:rsidR="00FA539F">
        <w:t xml:space="preserve">, </w:t>
      </w:r>
      <w:r>
        <w:t>15% of participants had a score of 80-89</w:t>
      </w:r>
      <w:r w:rsidR="00CA3E62">
        <w:t xml:space="preserve">, and </w:t>
      </w:r>
      <w:r>
        <w:t>45% of participants had a score of 90+</w:t>
      </w:r>
      <w:r w:rsidR="00CA3E62">
        <w:t>.</w:t>
      </w:r>
    </w:p>
    <w:p w:rsidR="004A5145" w:rsidRDefault="004A5145" w:rsidP="004A5145">
      <w:pPr>
        <w:pStyle w:val="BodyText1"/>
      </w:pPr>
      <w:r>
        <w:t>In 2015/16</w:t>
      </w:r>
      <w:r w:rsidR="00CA3E62">
        <w:t xml:space="preserve">: </w:t>
      </w:r>
      <w:r>
        <w:t>16% of participants had a score of 0</w:t>
      </w:r>
      <w:r w:rsidR="00CA3E62">
        <w:t xml:space="preserve">, </w:t>
      </w:r>
      <w:r>
        <w:t>2% of participants had a score of 1-9</w:t>
      </w:r>
      <w:r w:rsidR="00CA3E62">
        <w:t xml:space="preserve">, </w:t>
      </w:r>
      <w:r>
        <w:t>1% of participants had a score of 10-19</w:t>
      </w:r>
      <w:r w:rsidR="00CA3E62">
        <w:t xml:space="preserve">, </w:t>
      </w:r>
      <w:r>
        <w:t>2% of participants had a score of 20-29</w:t>
      </w:r>
      <w:r w:rsidR="00CA3E62">
        <w:t xml:space="preserve">, </w:t>
      </w:r>
      <w:r>
        <w:t>2% of participants had a score of 30-39</w:t>
      </w:r>
      <w:r w:rsidR="00CA3E62">
        <w:t xml:space="preserve">, </w:t>
      </w:r>
      <w:r>
        <w:t>2% of participants had a score of 40-49</w:t>
      </w:r>
      <w:r w:rsidR="00CA3E62">
        <w:t xml:space="preserve">, </w:t>
      </w:r>
      <w:r>
        <w:t>3% of participants had a score of 50-59</w:t>
      </w:r>
      <w:r w:rsidR="00CA3E62">
        <w:t xml:space="preserve">, </w:t>
      </w:r>
      <w:r>
        <w:t>5% of participants had a score of 60-69</w:t>
      </w:r>
      <w:r w:rsidR="00CA3E62">
        <w:t xml:space="preserve">, </w:t>
      </w:r>
      <w:r>
        <w:t>9% of participants had a score of 70-79</w:t>
      </w:r>
      <w:r w:rsidR="00CA3E62">
        <w:t xml:space="preserve">, </w:t>
      </w:r>
      <w:r>
        <w:t>15% of participants had a score of 80-89</w:t>
      </w:r>
      <w:r w:rsidR="00CA3E62">
        <w:t xml:space="preserve">, and </w:t>
      </w:r>
      <w:r>
        <w:t>43% of participants had a score of 90+</w:t>
      </w:r>
      <w:r w:rsidR="00CA3E62">
        <w:t>.</w:t>
      </w:r>
    </w:p>
    <w:p w:rsidR="004A5145" w:rsidRDefault="004A5145" w:rsidP="004A5145">
      <w:pPr>
        <w:pStyle w:val="BodyText1"/>
      </w:pPr>
      <w:r>
        <w:t>In 2016/17</w:t>
      </w:r>
      <w:r w:rsidR="00CA3E62">
        <w:t xml:space="preserve">: </w:t>
      </w:r>
      <w:r>
        <w:t>20% of participants had a score of 0</w:t>
      </w:r>
      <w:r w:rsidR="00CA3E62">
        <w:t xml:space="preserve">, </w:t>
      </w:r>
      <w:r>
        <w:t>1% of participants had a score of 1-9</w:t>
      </w:r>
      <w:r w:rsidR="00CA3E62">
        <w:t xml:space="preserve">, </w:t>
      </w:r>
      <w:r>
        <w:t>1% of participants had a score of 10-19</w:t>
      </w:r>
      <w:r w:rsidR="00CA3E62">
        <w:t xml:space="preserve">, </w:t>
      </w:r>
      <w:r>
        <w:t>1% of participants had a score of 20-29</w:t>
      </w:r>
      <w:r w:rsidR="00CA3E62">
        <w:t xml:space="preserve">, </w:t>
      </w:r>
      <w:r>
        <w:t>2% of participants had a score of 30-39</w:t>
      </w:r>
      <w:r w:rsidR="00CA3E62">
        <w:t xml:space="preserve">, </w:t>
      </w:r>
      <w:r>
        <w:t>2% of participants had a score of 40-49</w:t>
      </w:r>
      <w:r w:rsidR="00CA3E62">
        <w:t xml:space="preserve">, </w:t>
      </w:r>
      <w:r>
        <w:t>3% of participants had a score of 50-59</w:t>
      </w:r>
      <w:r w:rsidR="00CA3E62">
        <w:t xml:space="preserve">, </w:t>
      </w:r>
      <w:r>
        <w:t>5% of participants had a score of 60-69</w:t>
      </w:r>
      <w:r w:rsidR="00CA3E62">
        <w:t xml:space="preserve">, </w:t>
      </w:r>
      <w:r>
        <w:t>8% of participants had a score of 70-79</w:t>
      </w:r>
      <w:r w:rsidR="00CA3E62">
        <w:t xml:space="preserve">, </w:t>
      </w:r>
      <w:r>
        <w:t>16% of participants had a score of 80-89</w:t>
      </w:r>
      <w:r w:rsidR="00CA3E62">
        <w:t xml:space="preserve">, and </w:t>
      </w:r>
      <w:r>
        <w:t>42% of participants had a score of 90+</w:t>
      </w:r>
      <w:r w:rsidR="00CA3E62">
        <w:t>.</w:t>
      </w:r>
    </w:p>
    <w:p w:rsidR="0071482A" w:rsidRDefault="004A5145" w:rsidP="004A5145">
      <w:pPr>
        <w:pStyle w:val="BodyText1"/>
      </w:pPr>
      <w:r>
        <w:t>In 2017/18</w:t>
      </w:r>
      <w:r w:rsidR="00CA3E62">
        <w:t xml:space="preserve">: </w:t>
      </w:r>
      <w:r>
        <w:t>20% of participants had a score of 0</w:t>
      </w:r>
      <w:r w:rsidR="00CA3E62">
        <w:t xml:space="preserve">, </w:t>
      </w:r>
      <w:r>
        <w:t>1% of participants had a score of 1-9</w:t>
      </w:r>
      <w:r w:rsidR="00CA3E62">
        <w:t xml:space="preserve">, </w:t>
      </w:r>
      <w:r>
        <w:t>1% of participants had a score of 10-19</w:t>
      </w:r>
      <w:r w:rsidR="00CA3E62">
        <w:t xml:space="preserve">, </w:t>
      </w:r>
      <w:r>
        <w:t>1% of participants had a score of 20-29</w:t>
      </w:r>
      <w:r w:rsidR="00CA3E62">
        <w:t xml:space="preserve">, </w:t>
      </w:r>
      <w:r>
        <w:t>2% of participants had a score of 30-39</w:t>
      </w:r>
      <w:r w:rsidR="00CA3E62">
        <w:t xml:space="preserve">, </w:t>
      </w:r>
      <w:r>
        <w:t>2% of participants had a score of 40-49</w:t>
      </w:r>
      <w:r w:rsidR="00CA3E62">
        <w:t xml:space="preserve">, </w:t>
      </w:r>
      <w:r>
        <w:t>2% of participants had a score of 50-59</w:t>
      </w:r>
      <w:r w:rsidR="00CA3E62">
        <w:t xml:space="preserve">, </w:t>
      </w:r>
      <w:r>
        <w:t>4% of participants had a score of 60-69</w:t>
      </w:r>
      <w:r w:rsidR="00CA3E62">
        <w:t xml:space="preserve">, </w:t>
      </w:r>
      <w:r>
        <w:t>7% of participants had a score of 70-79</w:t>
      </w:r>
      <w:r w:rsidR="00CA3E62">
        <w:t xml:space="preserve">, </w:t>
      </w:r>
      <w:r>
        <w:t>17% of participants had a score of 80-89</w:t>
      </w:r>
      <w:r w:rsidR="00CA3E62">
        <w:t xml:space="preserve">, and </w:t>
      </w:r>
      <w:r>
        <w:t>43% of participants had a score of 90+</w:t>
      </w:r>
      <w:r w:rsidR="00CA3E62">
        <w:t>.</w:t>
      </w:r>
    </w:p>
    <w:p w:rsidR="002E0AAE" w:rsidRPr="00CA3E62" w:rsidRDefault="002E0AAE" w:rsidP="00CA3E62">
      <w:pPr>
        <w:pStyle w:val="BodyText1"/>
        <w:rPr>
          <w:b/>
        </w:rPr>
      </w:pPr>
      <w:r w:rsidRPr="00CA3E62">
        <w:rPr>
          <w:b/>
        </w:rPr>
        <w:t>MBI admission scores from 2006/07 to 2017/18 for WA</w:t>
      </w:r>
    </w:p>
    <w:p w:rsidR="00CA3E62" w:rsidRDefault="00CA3E62" w:rsidP="00CA3E62">
      <w:pPr>
        <w:pStyle w:val="BodyText1"/>
      </w:pPr>
      <w:r>
        <w:t>In 2006/07: 1% of participants had a score of 0, 1% of participants had a score of 1-9, 4% of participants had a score of 10-19, 5% of participants had a score of 20-29, 5% of participants had a score of 30-39, 9% of participants had a score of 40-49, 10% of participants had a score of 50-59, 18% of participants had a score of 60-69, 19% of participants had a score of 70-79, 18% of participants had a score of 80-89, and 10% of participants had a score of 90+.</w:t>
      </w:r>
    </w:p>
    <w:p w:rsidR="00CA3E62" w:rsidRDefault="00CA3E62" w:rsidP="00CA3E62">
      <w:pPr>
        <w:pStyle w:val="BodyText1"/>
      </w:pPr>
      <w:r>
        <w:t>In 2007/2008: 2% of participants had a score of 0, 1% of participants had a score of 1-9, 2% of participants had a score of 10-19, 3% of participants had a score of 20-29, 3% of participants had a score of 30-39, 6% of participants had a score of 40-49, 13% of participants had a score of 50-59, 18% of participants had a score of 60-69, 20% of participants had a score of 70-79, 23% of participants had a score of 80-89, and 10% of participants had a score of 90+.</w:t>
      </w:r>
    </w:p>
    <w:p w:rsidR="00CA3E62" w:rsidRDefault="00CA3E62" w:rsidP="00CA3E62">
      <w:pPr>
        <w:pStyle w:val="BodyText1"/>
      </w:pPr>
      <w:r>
        <w:t>In 2008/2009: 1% of participants had a score of 0, 2% of participants had a score of 1-9, 1% of participants had a score of 10-19, 4% of participants had a score of 20-29, 6% of participants had a score of 30-39, 7% of participants had a score of 40-49, 13% of participants had a score of 50-59, 13% of participants had a score of 60-69, 21% of participants had a score of 70-79, 20% of participants had a score of 80-89, and 11% of participants had a score of 90+.</w:t>
      </w:r>
    </w:p>
    <w:p w:rsidR="00CA3E62" w:rsidRDefault="00CA3E62" w:rsidP="00CA3E62">
      <w:pPr>
        <w:pStyle w:val="BodyText1"/>
      </w:pPr>
      <w:r>
        <w:t>In 2009/2010: 3% of participants had a score of 0, 3% of participants had a score of 1-9, 4% of participants had a score of 10-19, 4% of participants had a score of 20-29, 5% of participants had a score of 30-39, 9% of participants had a score of 40-49, 10% of participants had a score of 50-59, 14% of participants had a score of 60-69, 20% of participants had a score of 70-79, 18% of participants had a score of 80-89, and 10% of participants had a score of 90+.</w:t>
      </w:r>
    </w:p>
    <w:p w:rsidR="00CA3E62" w:rsidRDefault="00CA3E62" w:rsidP="00CA3E62">
      <w:pPr>
        <w:pStyle w:val="BodyText1"/>
      </w:pPr>
      <w:r>
        <w:t>In 2010/2011: 4% of participants had a score of 0, 4% of participants had a score of 1-9, 5% of participants had a score of 10-19, 5% of participants had a score of 20-29, 7% of participants had a score of 30-39, 7% of participants had a score of 40-49, 10% of participants had a score of 50-59, 14% of participants had a score of 60-69, 18% of participants had a score of 70-79, 18% of participants had a score of 80-89, and 8% of participants had a score of 90+.</w:t>
      </w:r>
    </w:p>
    <w:p w:rsidR="00CA3E62" w:rsidRDefault="00CA3E62" w:rsidP="00CA3E62">
      <w:pPr>
        <w:pStyle w:val="BodyText1"/>
      </w:pPr>
      <w:r>
        <w:t>In 2011/2012: 3% of participants had a score of 0, 4% of participants had a score of 1-9, 6% of participants had a score of 10-19, 6% of participants had a score of 20-29, 7% of participants had a score of 30-39, 9% of participants had a score of 40-49, 12% of participants had a score of 50-59, 16% of participants had a score of 60-69, 15% of participants had a score of 70-79, 14% of participants had a score of 80-89, and 8% of participants had a score of 90+.</w:t>
      </w:r>
    </w:p>
    <w:p w:rsidR="00CA3E62" w:rsidRDefault="00CA3E62" w:rsidP="00CA3E62">
      <w:pPr>
        <w:pStyle w:val="BodyText1"/>
      </w:pPr>
      <w:r>
        <w:t>In 2012/2013: 3% of participants had a score of 0, 5% of participants had a score of 1-9, 5% of participants had a score of 10-19, 6% of participants had a score of 20-29, 8% of participants had a score of 30-39, 10% of participants had a score of 40-49, 13% of participants had a score of 50-59, 14% of participants had a score of 60-69, 16% of participants had a score of 70-79, 13% of participants had a score of 80-89, and 7% of participants had a score of 90+.</w:t>
      </w:r>
    </w:p>
    <w:p w:rsidR="00CA3E62" w:rsidRDefault="00CA3E62" w:rsidP="00CA3E62">
      <w:pPr>
        <w:pStyle w:val="BodyText1"/>
      </w:pPr>
      <w:r>
        <w:t>In 2013/2014: 3% of participants had a score of 0, 4% of participants had a score of 1-9, 5% of participants had a score of 10-19, 6% of participants had a score of 20-29, 7% of participants had a score of 30-39, 9% of participants had a score of 40-49, 12% of participants had a score of 50-59, 15% of participants had a score of 60-69, 17% of participants had a score of 70-79, 15% of participants had a score of 80-89, and 7% of participants had a score of 90+.</w:t>
      </w:r>
    </w:p>
    <w:p w:rsidR="00CA3E62" w:rsidRDefault="00CA3E62" w:rsidP="00CA3E62">
      <w:pPr>
        <w:pStyle w:val="BodyText1"/>
      </w:pPr>
      <w:r>
        <w:t>In 2014/2015: 2% of participants had a score of 0, 5% of participants had a score of 1-9, 7% of participants had a score of 10-19, 7% of participants had a score of 20-29, 7% of participants had a score of 30-39, 9% of participants had a score of 40-49, 11% of participants had a score of 50-59, 12% of participants had a score of 60-69, 16% of participants had a score of 70-79, 15% of participants had a score of 80-89, and 7% of participants had a score of 90+.</w:t>
      </w:r>
    </w:p>
    <w:p w:rsidR="00CA3E62" w:rsidRDefault="00CA3E62" w:rsidP="00CA3E62">
      <w:pPr>
        <w:pStyle w:val="BodyText1"/>
      </w:pPr>
      <w:r>
        <w:t>In 2015/2016: 3% of participants had a score of 0, 4% of participants had a score of 1-9, 6% of participants had a score of 10-19, 6% of participants had a score of 20-29, 8% of participants had a score of 30-39, 10% of participants had a score of 40-49, 12% of participants had a score of 50-59, 13% of participants had a score of 60-69, 15% of participants had a score of 70-79, 16% of participants had a score of 80-89, and 6% of participants had a score of 90+.</w:t>
      </w:r>
    </w:p>
    <w:p w:rsidR="00CA3E62" w:rsidRDefault="00CA3E62" w:rsidP="00CA3E62">
      <w:pPr>
        <w:pStyle w:val="BodyText1"/>
      </w:pPr>
      <w:r>
        <w:t>In 2016/2017: 3% of participants had a score of 0, 4% of participants had a score of 1-9, 5% of participants had a score of 10-19, 6% of participants had a score of 20-29, 9% of participants had a score of 30-39, 13% of participants had a score of 40-49, 15% of participants had a score of 50-59, 15% of participants had a score of 60-69, 15% of participants had a score of 70-79, 10% of participants had a score of 80-89, and 6% of participants had a score of 90+.</w:t>
      </w:r>
    </w:p>
    <w:p w:rsidR="007A471F" w:rsidRPr="00CA3E62" w:rsidRDefault="00CA3E62" w:rsidP="00CA3E62">
      <w:pPr>
        <w:pStyle w:val="BodyText1"/>
      </w:pPr>
      <w:r>
        <w:t>In 2017/2018: 3% of participants had a score of 0, 4% of participants had a score of 1-9, 6% of participants had a score of 10-19, 8% of participants had a score of 20-29, 12% of participants had a score of 30-39, 13% of participants had a score of 40-49, 17% of participants had a score of 50-59, 14% of participants had a score of 60-69, 12% of participants had a score of 70-79, 9% of participants had a score of 80-89, and 3% of participants had a score of 90+.</w:t>
      </w:r>
    </w:p>
    <w:p w:rsidR="002E0AAE" w:rsidRPr="00CA3E62" w:rsidRDefault="002E0AAE" w:rsidP="00CA3E62">
      <w:pPr>
        <w:pStyle w:val="BodyText1"/>
        <w:rPr>
          <w:b/>
        </w:rPr>
      </w:pPr>
      <w:r w:rsidRPr="00CA3E62">
        <w:rPr>
          <w:b/>
        </w:rPr>
        <w:t>MBI exit scores from 2006/07 to 2017/18 for WA</w:t>
      </w:r>
    </w:p>
    <w:p w:rsidR="00CA3E62" w:rsidRDefault="00CA3E62" w:rsidP="00CA3E62">
      <w:pPr>
        <w:pStyle w:val="BodyText1"/>
      </w:pPr>
      <w:r>
        <w:t>In 2006/2007: 24% of participants had a score of 0, 0% of participants had a score of 1-9, 2% of participants had a score of 10-19, 2% of participants had a score of 20-29, 2% of participants had a score of 30-39, 3% of participants had a score of 40-49, 4% of participants had a score of 50-59, 5% of participants had a score of 60-69, 12% of participants had a score of 70-79, 14% of participants had a score of 80-89, and 31% of participants had a score of 90+.</w:t>
      </w:r>
    </w:p>
    <w:p w:rsidR="00CA3E62" w:rsidRDefault="00CA3E62" w:rsidP="00CA3E62">
      <w:pPr>
        <w:pStyle w:val="BodyText1"/>
      </w:pPr>
      <w:r>
        <w:t>In 2007/2008: 27% of participants had a score of 0, 0% of participants had a score of 1-9, 1% of participants had a score of 10-19, 2% of participants had a score of 20-29, 1% of participants had a score of 30-39, 2% of participants had a score of 40-49, 2% of participants had a score of 50-59, 4% of participants had a score of 60-69, 9% of participants had a score of 70-79, 20% of participants had a score of 80-89, and 32% of participants had a score of 90+.</w:t>
      </w:r>
    </w:p>
    <w:p w:rsidR="00CA3E62" w:rsidRDefault="00CA3E62" w:rsidP="00CA3E62">
      <w:pPr>
        <w:pStyle w:val="BodyText1"/>
      </w:pPr>
      <w:r>
        <w:t>In 2008/2009: 24% of participants had a score of 0, 0% of participants had a score of 1-9, 1% of participants had a score of 10-19, 1% of participants had a score of 20-29, 2% of participants had a score of 30-39, 1% of participants had a score of 40-49, 2% of participants had a score of 50-59, 6% of participants had a score of 60-69, 11% of participants had a score of 70-79, 21% of participants had a score of 80-89, and 30% of participants had a score of 90+.</w:t>
      </w:r>
    </w:p>
    <w:p w:rsidR="00CA3E62" w:rsidRDefault="00CA3E62" w:rsidP="00CA3E62">
      <w:pPr>
        <w:pStyle w:val="BodyText1"/>
      </w:pPr>
      <w:r>
        <w:t>In 2009/2010: 22% of participants had a score of 0, 2% of participants had a score of 1-9, 1% of participants had a score of 10-19, 2% of participants had a score of 20-29, 2% of participants had a score of 30-39, 4% of participants had a score of 40-49, 5% of participants had a score of 50-59, 6% of participants had a score of 60-69, 11% of participants had a score of 70-79, 19% of participants had a score of 80-89, and 26% of participants had a score of 90+.</w:t>
      </w:r>
    </w:p>
    <w:p w:rsidR="00CA3E62" w:rsidRDefault="00CA3E62" w:rsidP="00CA3E62">
      <w:pPr>
        <w:pStyle w:val="BodyText1"/>
      </w:pPr>
      <w:r>
        <w:t>In 2010/2011: 21% of participants had a score of 0, 3% of participants had a score of 1-9, 3% of participants had a score of 10-19, 4% of participants had a score of 20-29, 4% of participants had a score of 30-39, 4% of participants had a score of 40-49, 6% of participants had a score of 50-59, 7% of participants had a score of 60-69, 12% of participants had a score of 70-79, 18% of participants had a score of 80-89, and 18% of participants had a score of 90+.</w:t>
      </w:r>
    </w:p>
    <w:p w:rsidR="00CA3E62" w:rsidRDefault="00CA3E62" w:rsidP="00CA3E62">
      <w:pPr>
        <w:pStyle w:val="BodyText1"/>
      </w:pPr>
      <w:r>
        <w:t>In 2011/2012: 24% of participants had a score of 0, 3% of participants had a score of 1-9, 3% of participants had a score of 10-19, 3% of participants had a score of 20-29, 4% of participants had a score of 30-39, 5% of participants had a score of 40-49, 7% of participants had a score of 50-59, 9% of participants had a score of 60-69, 13% of participants had a score of 70-79, 14% of participants had a score of 80-89, and 15% of participants had a score of 90+.</w:t>
      </w:r>
    </w:p>
    <w:p w:rsidR="00CA3E62" w:rsidRDefault="00CA3E62" w:rsidP="00CA3E62">
      <w:pPr>
        <w:pStyle w:val="BodyText1"/>
      </w:pPr>
      <w:r>
        <w:t>In 2012/2013: 25% of participants had a score of 0, 3% of participants had a score of 1-9, 3% of participants had a score of 10-19, 4% of participants had a score of 20-29, 4% of participants had a score of 30-39, 5% of participants had a score of 40-49, 8% of participants had a score of 50-59, 9% of participants had a score of 60-69, 13% of participants had a score of 70-79, 13% of participants had a score of 80-89, and 13% of participants had a score of 90+.</w:t>
      </w:r>
    </w:p>
    <w:p w:rsidR="00CA3E62" w:rsidRDefault="00CA3E62" w:rsidP="00CA3E62">
      <w:pPr>
        <w:pStyle w:val="BodyText1"/>
      </w:pPr>
      <w:r>
        <w:t>In 2013/2014: 20% of participants had a score of 0, 3% of participants had a score of 1-9, 3% of participants had a score of 10-19, 5% of participants had a score of 20-29, 4% of participants had a score of 30-39, 6% of participants had a score of 40-49, 7% of participants had a score of 50-59, 10% of participants had a score of 60-69, 13% of participants had a score of 70-79, 14% of participants had a score of 80-89, and 15% of participants had a score of 90+.</w:t>
      </w:r>
    </w:p>
    <w:p w:rsidR="00CA3E62" w:rsidRDefault="00CA3E62" w:rsidP="00CA3E62">
      <w:pPr>
        <w:pStyle w:val="BodyText1"/>
      </w:pPr>
      <w:r>
        <w:t>In 2014/2015: 16% of participants had a score of 0, 7% of participants had a score of 1-9, 4% of participants had a score of 10-19, 4% of participants had a score of 20-29, 4% of participants had a score of 30-39, 5% of participants had a score of 40-49, 6% of participants had a score of 50-59, 9% of participants had a score of 60-69, 13% of participants had a score of 70-79, 16% of participants had a score of 80-89, and 17% of participants had a score of 90+.</w:t>
      </w:r>
    </w:p>
    <w:p w:rsidR="00CA3E62" w:rsidRDefault="00CA3E62" w:rsidP="00CA3E62">
      <w:pPr>
        <w:pStyle w:val="BodyText1"/>
      </w:pPr>
      <w:r>
        <w:t>In 2015/2016: 17% of participants had a score of 0, 4% of participants had a score of 1-9, 4% of participants had a score of 10-19, 3% of participants had a score of 20-29, 5% of participants had a score of 30-39, 7% of participants had a score of 40-49, 7% of participants had a score of 50-59, 9% of participants had a score of 60-69, 13% of participants had a score of 70-79, 16% of participants had a score of 80-89, and 15% of participants had a score of 90+.</w:t>
      </w:r>
    </w:p>
    <w:p w:rsidR="00CA3E62" w:rsidRDefault="00CA3E62" w:rsidP="00CA3E62">
      <w:pPr>
        <w:pStyle w:val="BodyText1"/>
      </w:pPr>
      <w:r>
        <w:t>In 2016/2017: 21% of participants had a score of 0, 3% of participants had a score of 1-9, 3% of participants had a score of 10-19, 4% of participants had a score of 20-29, 5% of participants had a score of 30-39, 7% of participants had a score of 40-49, 9% of participants had a score of 50-59, 11% of participants had a score of 60-69, 12% of participants had a score of 70-79, 13% of participants had a score of 80-89, and 12% of participants had a score of 90+.</w:t>
      </w:r>
    </w:p>
    <w:p w:rsidR="0071482A" w:rsidRDefault="00CA3E62" w:rsidP="00CA3E62">
      <w:pPr>
        <w:pStyle w:val="BodyText1"/>
      </w:pPr>
      <w:r>
        <w:t>In 2017/2018: 19% of participants had a score of 0, 3% of participants had a score of 1-9, 4% of participants had a score of 10-19, 4% of participants had a score of 20-29, 6% of participants had a score of 30-39, 8% of participants had a score of 40-49, 11% of participants had a score of 50-59, 12% of participants had a score of 60-69, 12% of participants had a score of 70-79, 12% of participants had a score of 80-89, and 10% of participants had a score of 90+.</w:t>
      </w:r>
    </w:p>
    <w:p w:rsidR="002E0AAE" w:rsidRPr="00CA3E62" w:rsidRDefault="002E0AAE" w:rsidP="00CA3E62">
      <w:pPr>
        <w:pStyle w:val="BodyText1"/>
        <w:rPr>
          <w:b/>
        </w:rPr>
      </w:pPr>
      <w:r w:rsidRPr="00CA3E62">
        <w:rPr>
          <w:b/>
        </w:rPr>
        <w:t>MBI admission scores from 2006/07 to 2017/18 for SA</w:t>
      </w:r>
    </w:p>
    <w:p w:rsidR="00CA3E62" w:rsidRDefault="00CA3E62" w:rsidP="00CA3E62">
      <w:pPr>
        <w:pStyle w:val="BodyText1"/>
      </w:pPr>
      <w:r>
        <w:t>In 2006/2007: 0% of participants had a score of 0, 2% of participants had a score of 1-9, 4% of participants had a score of 10-19, 5% of participants had a score of 20-29, 5% of participants had a score of 30-39, 9% of participants had a score of 40-49, 13% of participants had a score of 50-59, 15% of participants had a score of 60-69, 22% of participants had a score of 70-79, 17% of participants had a score of 80-89, and 8% of participants had a score of 90+.</w:t>
      </w:r>
    </w:p>
    <w:p w:rsidR="00CA3E62" w:rsidRDefault="00CA3E62" w:rsidP="00CA3E62">
      <w:pPr>
        <w:pStyle w:val="BodyText1"/>
      </w:pPr>
      <w:r>
        <w:t>In 2007/2008: 0% of participants had a score of 0, 1% of participants had a score of 1-9, 3% of participants had a score of 10-19, 5% of participants had a score of 20-29, 6% of participants had a score of 30-39, 8% of participants had a score of 40-49, 12% of participants had a score of 50-59, 16% of participants had a score of 60-69, 23% of participants had a score of 70-79, 19% of participants had a score of 80-89, and 7% of participants had a score of 90+.</w:t>
      </w:r>
    </w:p>
    <w:p w:rsidR="00CA3E62" w:rsidRDefault="00CA3E62" w:rsidP="00CA3E62">
      <w:pPr>
        <w:pStyle w:val="BodyText1"/>
      </w:pPr>
      <w:r>
        <w:t>In 2008/2009: 0% of participants had a score of 0, 0% of participants had a score of 1-9, 1% of participants had a score of 10-19, 3% of participants had a score of 20-29, 4% of participants had a score of 30-39, 10% of participants had a score of 40-49, 16% of participants had a score of 50-59, 18% of participants had a score of 60-69, 22% of participants had a score of 70-79, 18% of participants had a score of 80-89, and 7% of participants had a score of 90+.</w:t>
      </w:r>
    </w:p>
    <w:p w:rsidR="00CA3E62" w:rsidRDefault="00CA3E62" w:rsidP="00CA3E62">
      <w:pPr>
        <w:pStyle w:val="BodyText1"/>
      </w:pPr>
      <w:r>
        <w:t>In 2009/2010: 0% of participants had a score of 0, 0% of participants had a score of 1-9, 2% of participants had a score of 10-19, 4% of participants had a score of 20-29, 5% of participants had a score of 30-39, 8% of participants had a score of 40-49, 13% of participants had a score of 50-59, 15% of participants had a score of 60-69, 22% of participants had a score of 70-79, 21% of participants had a score of 80-89, and 9% of participants had a score of 90+.</w:t>
      </w:r>
    </w:p>
    <w:p w:rsidR="00CA3E62" w:rsidRDefault="00CA3E62" w:rsidP="00CA3E62">
      <w:pPr>
        <w:pStyle w:val="BodyText1"/>
      </w:pPr>
      <w:r>
        <w:t>In 2010/2011: 0% of participants had a score of 0, 1% of participants had a score of 1-9, 2% of participants had a score of 10-19, 4% of participants had a score of 20-29, 6% of participants had a score of 30-39, 9% of participants had a score of 40-49, 13% of participants had a score of 50-59, 17% of participants had a score of 60-69, 22% of participants had a score of 70-79, 20% of participants had a score of 80-89, and 7% of participants had a score of 90+.</w:t>
      </w:r>
    </w:p>
    <w:p w:rsidR="00CA3E62" w:rsidRDefault="00CA3E62" w:rsidP="00CA3E62">
      <w:pPr>
        <w:pStyle w:val="BodyText1"/>
      </w:pPr>
      <w:r>
        <w:t>In 2011/2012: 0% of participants had a score of 0, 1% of participants had a score of 1-9, 2% of participants had a score of 10-19, 4% of participants had a score of 20-29, 4% of participants had a score of 30-39, 9% of participants had a score of 40-49, 14% of participants had a score of 50-59, 17% of participants had a score of 60-69, 23% of participants had a score of 70-79, 22% of participants had a score of 80-89, and 6% of participants had a score of 90+.</w:t>
      </w:r>
    </w:p>
    <w:p w:rsidR="00CA3E62" w:rsidRDefault="00CA3E62" w:rsidP="00CA3E62">
      <w:pPr>
        <w:pStyle w:val="BodyText1"/>
      </w:pPr>
      <w:r>
        <w:t xml:space="preserve">In </w:t>
      </w:r>
      <w:r w:rsidR="003B59AC">
        <w:t xml:space="preserve">2012/2013: </w:t>
      </w:r>
      <w:r>
        <w:t>0% of participants had a score of 0</w:t>
      </w:r>
      <w:r w:rsidR="003B59AC">
        <w:t xml:space="preserve">, </w:t>
      </w:r>
      <w:r>
        <w:t>0% of participants had a score of 1-9</w:t>
      </w:r>
      <w:r w:rsidR="003B59AC">
        <w:t xml:space="preserve">, </w:t>
      </w:r>
      <w:r>
        <w:t>1% of participants had a score of 10-19</w:t>
      </w:r>
      <w:r w:rsidR="003B59AC">
        <w:t xml:space="preserve">, </w:t>
      </w:r>
      <w:r>
        <w:t>3% of participants had a score of 20-29</w:t>
      </w:r>
      <w:r w:rsidR="003B59AC">
        <w:t xml:space="preserve">, </w:t>
      </w:r>
      <w:r>
        <w:t>4% of participants had a score of 30-39</w:t>
      </w:r>
      <w:r w:rsidR="003B59AC">
        <w:t xml:space="preserve">, </w:t>
      </w:r>
      <w:r>
        <w:t>9% of participants had a score of 40-49</w:t>
      </w:r>
      <w:r w:rsidR="003B59AC">
        <w:t xml:space="preserve">, </w:t>
      </w:r>
      <w:r>
        <w:t>17% of participants had a score of 50-59</w:t>
      </w:r>
      <w:r w:rsidR="003B59AC">
        <w:t xml:space="preserve">, </w:t>
      </w:r>
      <w:r>
        <w:t>16% of participants had a score of 60-69</w:t>
      </w:r>
      <w:r w:rsidR="003B59AC">
        <w:t xml:space="preserve">, </w:t>
      </w:r>
      <w:r>
        <w:t>20% of participants had a score of 70-79</w:t>
      </w:r>
      <w:r w:rsidR="003B59AC">
        <w:t xml:space="preserve">, </w:t>
      </w:r>
      <w:r>
        <w:t>21% of participants had a score of 80-89</w:t>
      </w:r>
      <w:r w:rsidR="003B59AC">
        <w:t xml:space="preserve">, and </w:t>
      </w:r>
      <w:r>
        <w:t>8% of participants had a score of 90+</w:t>
      </w:r>
      <w:r w:rsidR="003B59AC">
        <w:t>.</w:t>
      </w:r>
    </w:p>
    <w:p w:rsidR="00CA3E62" w:rsidRDefault="003B59AC" w:rsidP="00CA3E62">
      <w:pPr>
        <w:pStyle w:val="BodyText1"/>
      </w:pPr>
      <w:r>
        <w:t xml:space="preserve">In 2013/2014: </w:t>
      </w:r>
      <w:r w:rsidR="00CA3E62">
        <w:t>0% of participants had a score of 0</w:t>
      </w:r>
      <w:r>
        <w:t xml:space="preserve">, </w:t>
      </w:r>
      <w:r w:rsidR="00CA3E62">
        <w:t>0% of participants had a score of 1-9</w:t>
      </w:r>
      <w:r>
        <w:t xml:space="preserve">, </w:t>
      </w:r>
      <w:r w:rsidR="00CA3E62">
        <w:t>1% of participants had a score of 10-19</w:t>
      </w:r>
      <w:r>
        <w:t xml:space="preserve">, </w:t>
      </w:r>
      <w:r w:rsidR="00CA3E62">
        <w:t>3% of participants had a score of 20-29</w:t>
      </w:r>
      <w:r>
        <w:t xml:space="preserve">, </w:t>
      </w:r>
      <w:r w:rsidR="00CA3E62">
        <w:t>4% of participants had a score of 30-39</w:t>
      </w:r>
      <w:r>
        <w:t xml:space="preserve">, </w:t>
      </w:r>
      <w:r w:rsidR="00CA3E62">
        <w:t>7% of participants had a score of 40-49</w:t>
      </w:r>
      <w:r>
        <w:t xml:space="preserve">, </w:t>
      </w:r>
      <w:r w:rsidR="00CA3E62">
        <w:t>15% of participants had a score of 50-59</w:t>
      </w:r>
      <w:r>
        <w:t xml:space="preserve">, </w:t>
      </w:r>
      <w:r w:rsidR="00CA3E62">
        <w:t>17% of participants had a score of 60-69</w:t>
      </w:r>
      <w:r>
        <w:t xml:space="preserve">, </w:t>
      </w:r>
      <w:r w:rsidR="00CA3E62">
        <w:t>23% of participants had a score of 70-79</w:t>
      </w:r>
      <w:r>
        <w:t xml:space="preserve">, </w:t>
      </w:r>
      <w:r w:rsidR="00CA3E62">
        <w:t>22% of participants had a score of 80-89</w:t>
      </w:r>
      <w:r>
        <w:t xml:space="preserve">, and </w:t>
      </w:r>
      <w:r w:rsidR="00CA3E62">
        <w:t>9% of participants had a score of 90+</w:t>
      </w:r>
      <w:r>
        <w:t>.</w:t>
      </w:r>
    </w:p>
    <w:p w:rsidR="00CA3E62" w:rsidRDefault="003B59AC" w:rsidP="00CA3E62">
      <w:pPr>
        <w:pStyle w:val="BodyText1"/>
      </w:pPr>
      <w:r>
        <w:t xml:space="preserve">In 2014/2015, </w:t>
      </w:r>
      <w:r w:rsidR="00CA3E62">
        <w:t>0% of participants had a score of 0</w:t>
      </w:r>
      <w:r>
        <w:t xml:space="preserve">, </w:t>
      </w:r>
      <w:r w:rsidR="00CA3E62">
        <w:t>0% of participants had a score of 1-9</w:t>
      </w:r>
      <w:r>
        <w:t xml:space="preserve">, </w:t>
      </w:r>
      <w:r w:rsidR="00CA3E62">
        <w:t>1% of participants had a score of 10-19</w:t>
      </w:r>
      <w:r>
        <w:t xml:space="preserve">, </w:t>
      </w:r>
      <w:r w:rsidR="00CA3E62">
        <w:t>3% of participants had a score of 20-29</w:t>
      </w:r>
      <w:r>
        <w:t xml:space="preserve">, </w:t>
      </w:r>
      <w:r w:rsidR="00CA3E62">
        <w:t>4% of participants had a score of 30-39</w:t>
      </w:r>
      <w:r>
        <w:t xml:space="preserve">, </w:t>
      </w:r>
      <w:r w:rsidR="00CA3E62">
        <w:t>8% of participants had a score of 40-49</w:t>
      </w:r>
      <w:r>
        <w:t xml:space="preserve">, </w:t>
      </w:r>
      <w:r w:rsidR="00CA3E62">
        <w:t>17% of participants had a score of 50-59</w:t>
      </w:r>
      <w:r>
        <w:t xml:space="preserve">, </w:t>
      </w:r>
      <w:r w:rsidR="00CA3E62">
        <w:t>16% of participants had a score of 60-69</w:t>
      </w:r>
      <w:r>
        <w:t xml:space="preserve">, </w:t>
      </w:r>
      <w:r w:rsidR="00CA3E62">
        <w:t>22% of participants had a score of 70-79</w:t>
      </w:r>
      <w:r>
        <w:t xml:space="preserve">, </w:t>
      </w:r>
      <w:r w:rsidR="00CA3E62">
        <w:t>20% of participants had a score of 80-89</w:t>
      </w:r>
      <w:r>
        <w:t xml:space="preserve">, and </w:t>
      </w:r>
      <w:r w:rsidR="00CA3E62">
        <w:t>8% of participants had a score of 90+</w:t>
      </w:r>
      <w:r>
        <w:t>.</w:t>
      </w:r>
    </w:p>
    <w:p w:rsidR="00CA3E62" w:rsidRDefault="003B59AC" w:rsidP="00CA3E62">
      <w:pPr>
        <w:pStyle w:val="BodyText1"/>
      </w:pPr>
      <w:r>
        <w:t xml:space="preserve">In 2015/2016: </w:t>
      </w:r>
      <w:r w:rsidR="00CA3E62">
        <w:t>0% of participants had a score of 0</w:t>
      </w:r>
      <w:r>
        <w:t xml:space="preserve">, </w:t>
      </w:r>
      <w:r w:rsidR="00CA3E62">
        <w:t>0% of participants had a score of 1-9</w:t>
      </w:r>
      <w:r>
        <w:t xml:space="preserve">, </w:t>
      </w:r>
      <w:r w:rsidR="00CA3E62">
        <w:t>1% of participants had a score of 10-19</w:t>
      </w:r>
      <w:r>
        <w:t xml:space="preserve">, </w:t>
      </w:r>
      <w:r w:rsidR="00CA3E62">
        <w:t>2% of participants had a score of 20-29</w:t>
      </w:r>
      <w:r>
        <w:t xml:space="preserve">, </w:t>
      </w:r>
      <w:r w:rsidR="00CA3E62">
        <w:t>3% of participants had a score of 30-39</w:t>
      </w:r>
      <w:r>
        <w:t xml:space="preserve">, </w:t>
      </w:r>
      <w:r w:rsidR="00CA3E62">
        <w:t>7% of participants had a score of 40-49</w:t>
      </w:r>
      <w:r>
        <w:t xml:space="preserve">, </w:t>
      </w:r>
      <w:r w:rsidR="00CA3E62">
        <w:t>15% of participants had a score of 50-59</w:t>
      </w:r>
      <w:r>
        <w:t xml:space="preserve">, </w:t>
      </w:r>
      <w:r w:rsidR="00CA3E62">
        <w:t>18% of participants had a score of 60-69</w:t>
      </w:r>
      <w:r>
        <w:t xml:space="preserve">, </w:t>
      </w:r>
      <w:r w:rsidR="00CA3E62">
        <w:t>22% of participants had a score of 70-79</w:t>
      </w:r>
      <w:r>
        <w:t xml:space="preserve">, </w:t>
      </w:r>
      <w:r w:rsidR="00CA3E62">
        <w:t>22% of participants had a score of 80-89</w:t>
      </w:r>
      <w:r>
        <w:t xml:space="preserve">, and </w:t>
      </w:r>
      <w:r w:rsidR="00CA3E62">
        <w:t>10% of participants had a score of 90+</w:t>
      </w:r>
    </w:p>
    <w:p w:rsidR="00CA3E62" w:rsidRDefault="003B59AC" w:rsidP="00CA3E62">
      <w:pPr>
        <w:pStyle w:val="BodyText1"/>
      </w:pPr>
      <w:r>
        <w:t xml:space="preserve">In 2016/2017: </w:t>
      </w:r>
      <w:r w:rsidR="00CA3E62">
        <w:t>0% of participants had a score of 0</w:t>
      </w:r>
      <w:r>
        <w:t xml:space="preserve">, </w:t>
      </w:r>
      <w:r w:rsidR="00CA3E62">
        <w:t>0% of participants had a score of 1-9</w:t>
      </w:r>
      <w:r>
        <w:t xml:space="preserve">, </w:t>
      </w:r>
      <w:r w:rsidR="00CA3E62">
        <w:t>1% of participants had a score of 10-19</w:t>
      </w:r>
      <w:r>
        <w:t xml:space="preserve">, </w:t>
      </w:r>
      <w:r w:rsidR="00CA3E62">
        <w:t>3% of participants had a score of 20-29</w:t>
      </w:r>
      <w:r>
        <w:t xml:space="preserve">, </w:t>
      </w:r>
      <w:r w:rsidR="00CA3E62">
        <w:t>4% of participants had a score of 30-39</w:t>
      </w:r>
      <w:r>
        <w:t xml:space="preserve">, </w:t>
      </w:r>
      <w:r w:rsidR="00CA3E62">
        <w:t>8% of participants had a score of 40-49</w:t>
      </w:r>
      <w:r>
        <w:t xml:space="preserve">, </w:t>
      </w:r>
      <w:r w:rsidR="00CA3E62">
        <w:t>15% of participants had a score of 50-59</w:t>
      </w:r>
      <w:r>
        <w:t xml:space="preserve">, </w:t>
      </w:r>
      <w:r w:rsidR="00CA3E62">
        <w:t>17% of participants had a score of 60-69</w:t>
      </w:r>
      <w:r>
        <w:t xml:space="preserve">, </w:t>
      </w:r>
      <w:r w:rsidR="00CA3E62">
        <w:t>19% of participants had a score of 70-79</w:t>
      </w:r>
      <w:r>
        <w:t xml:space="preserve">, </w:t>
      </w:r>
      <w:r w:rsidR="00CA3E62">
        <w:t>22% of participants had a score of 80-89</w:t>
      </w:r>
      <w:r>
        <w:t xml:space="preserve">, and </w:t>
      </w:r>
      <w:r w:rsidR="00CA3E62">
        <w:t>10% of participants had a score of 90+</w:t>
      </w:r>
      <w:r>
        <w:t>.</w:t>
      </w:r>
    </w:p>
    <w:p w:rsidR="007A471F" w:rsidRPr="00CA3E62" w:rsidRDefault="003B59AC" w:rsidP="00CA3E62">
      <w:pPr>
        <w:pStyle w:val="BodyText1"/>
      </w:pPr>
      <w:r>
        <w:t xml:space="preserve">In </w:t>
      </w:r>
      <w:r w:rsidR="00CA3E62">
        <w:t>2017/2018</w:t>
      </w:r>
      <w:r>
        <w:t xml:space="preserve">: </w:t>
      </w:r>
      <w:r w:rsidR="00CA3E62">
        <w:t>0% of participants had a score of 0</w:t>
      </w:r>
      <w:r>
        <w:t xml:space="preserve">, </w:t>
      </w:r>
      <w:r w:rsidR="00CA3E62">
        <w:t>0% of participants had a score of 1-9</w:t>
      </w:r>
      <w:r>
        <w:t xml:space="preserve">, </w:t>
      </w:r>
      <w:r w:rsidR="00CA3E62">
        <w:t>1% of participants had a score of 10-19</w:t>
      </w:r>
      <w:r>
        <w:t xml:space="preserve">, </w:t>
      </w:r>
      <w:r w:rsidR="00CA3E62">
        <w:t>2% of participants had a score of 20-29</w:t>
      </w:r>
      <w:r>
        <w:t xml:space="preserve">, </w:t>
      </w:r>
      <w:r w:rsidR="00CA3E62">
        <w:t>3% of participants had a score of 30-39</w:t>
      </w:r>
      <w:r>
        <w:t xml:space="preserve">, </w:t>
      </w:r>
      <w:r w:rsidR="00CA3E62">
        <w:t>7% of participants had a score of 40-49</w:t>
      </w:r>
      <w:r>
        <w:t xml:space="preserve">, </w:t>
      </w:r>
      <w:r w:rsidR="00CA3E62">
        <w:t>16% of participants had a score of 50-59</w:t>
      </w:r>
      <w:r>
        <w:t xml:space="preserve">, </w:t>
      </w:r>
      <w:r w:rsidR="00CA3E62">
        <w:t>18% of participants had a score of 60-69</w:t>
      </w:r>
      <w:r>
        <w:t xml:space="preserve">, </w:t>
      </w:r>
      <w:r w:rsidR="00CA3E62">
        <w:t>21% of participants had a score of 70-79</w:t>
      </w:r>
      <w:r>
        <w:t xml:space="preserve">, </w:t>
      </w:r>
      <w:r w:rsidR="00CA3E62">
        <w:t>23% of participants had a score of 80-89</w:t>
      </w:r>
      <w:r>
        <w:t xml:space="preserve">, and </w:t>
      </w:r>
      <w:r w:rsidR="00CA3E62">
        <w:t>9% of participants had a score of 90+</w:t>
      </w:r>
      <w:r>
        <w:t>.</w:t>
      </w:r>
    </w:p>
    <w:p w:rsidR="002E0AAE" w:rsidRPr="00CA3E62" w:rsidRDefault="002E0AAE" w:rsidP="00CA3E62">
      <w:pPr>
        <w:pStyle w:val="BodyText1"/>
        <w:rPr>
          <w:b/>
        </w:rPr>
      </w:pPr>
      <w:r w:rsidRPr="00CA3E62">
        <w:rPr>
          <w:b/>
        </w:rPr>
        <w:t>MBI exit scores from 2006/07 to 2017/18 for SA</w:t>
      </w:r>
    </w:p>
    <w:p w:rsidR="003B59AC" w:rsidRDefault="003B59AC" w:rsidP="003B59AC">
      <w:pPr>
        <w:pStyle w:val="BodyText1"/>
      </w:pPr>
      <w:r>
        <w:t>In 2006/2007: 3% of participants had a score of 0, 0% of participants had a score of 1-9, 2% of participants had a score of 10-19, 2% of participants had a score of 20-29, 2% of participants had a score of 30-39, 5% of participants had a score of 40-49, 8% of participants had a score of 50-59, 9% of participants had a score of 60-69, 17% of participants had a score of 70-79, 27% of participants had a score of 80-89, and 25% of participants had a score of 90+.</w:t>
      </w:r>
    </w:p>
    <w:p w:rsidR="003B59AC" w:rsidRDefault="003B59AC" w:rsidP="003B59AC">
      <w:pPr>
        <w:pStyle w:val="BodyText1"/>
      </w:pPr>
      <w:r>
        <w:t>In 2007/2008: 4% of participants had a score of 0, 0% of participants had a score of 1-9, 1% of participants had a score of 10-19, 2% of participants had a score of 20-29, 2% of participants had a score of 30-39, 5% of participants had a score of 40-49, 8% of participants had a score of 50-59, 11% of participants had a score of 60-69, 14% of participants had a score of 70-79, 26% of participants had a score of 80-89, and 27% of participants had a score of 90+.</w:t>
      </w:r>
    </w:p>
    <w:p w:rsidR="003B59AC" w:rsidRDefault="003B59AC" w:rsidP="003B59AC">
      <w:pPr>
        <w:pStyle w:val="BodyText1"/>
      </w:pPr>
      <w:r>
        <w:t>In 2008/2009: 11% of participants had a score of 0, 2% of participants had a score of 1-9, 1% of participants had a score of 10-19, 1% of participants had a score of 20-29, 2% of participants had a score of 30-39, 4% of participants had a score of 40-49, 6% of participants had a score of 50-59, 8% of participants had a score of 60-69, 14% of participants had a score of 70-79, 22% of participants had a score of 80-89, and 30% of participants had a score of 90+.</w:t>
      </w:r>
    </w:p>
    <w:p w:rsidR="003B59AC" w:rsidRDefault="003B59AC" w:rsidP="003B59AC">
      <w:pPr>
        <w:pStyle w:val="BodyText1"/>
      </w:pPr>
      <w:r>
        <w:t>In 2009/2010: 2% of participants had a score of 0, 1% of participants had a score of 1-9, 1% of participants had a score of 10-19, 1% of participants had a score of 20-29, 2% of participants had a score of 30-39, 3% of participants had a score of 40-49, 4% of participants had a score of 50-59, 7% of participants had a score of 60-69, 14% of participants had a score of 70-79, 27% of participants had a score of 80-89, and 38% of participants had a score of 90+.</w:t>
      </w:r>
    </w:p>
    <w:p w:rsidR="003B59AC" w:rsidRDefault="003B59AC" w:rsidP="003B59AC">
      <w:pPr>
        <w:pStyle w:val="BodyText1"/>
      </w:pPr>
      <w:r>
        <w:t>In 2010/2011: 1% of participants had a score of 0, 1% of participants had a score of 1-9, 1% of participants had a score of 10-19, 2% of participants had a score of 20-29, 2% of participants had a score of 30-39, 3% of participants had a score of 40-49, 5% of participants had a score of 50-59, 7% of participants had a score of 60-69, 12% of participants had a score of 70-79, 27% of participants had a score of 80-89, and 39% of participants had a score of 90+.</w:t>
      </w:r>
    </w:p>
    <w:p w:rsidR="003B59AC" w:rsidRDefault="003B59AC" w:rsidP="003B59AC">
      <w:pPr>
        <w:pStyle w:val="BodyText1"/>
      </w:pPr>
      <w:r>
        <w:t>In 2011/2012: 1% of participants had a score of 0, 1% of participants had a score of 1-9, 1% of participants had a score of 10-19, 2% of participants had a score of 20-29, 2% of participants had a score of 30-39, 4% of participants had a score of 40-49, 5% of participants had a score of 50-59, 7% of participants had a score of 60-69, 14% of participants had a score of 70-79, 25% of participants had a score of 80-89, and 38% of participants had a score of 90+.</w:t>
      </w:r>
    </w:p>
    <w:p w:rsidR="003B59AC" w:rsidRDefault="003B59AC" w:rsidP="003B59AC">
      <w:pPr>
        <w:pStyle w:val="BodyText1"/>
      </w:pPr>
      <w:r>
        <w:t>In 2012/2013: 1% of participants had a score of 0, 0% of participants had a score of 1-9, 1% of participants had a score of 10-19, 2% of participants had a score of 20-29, 2% of participants had a score of 30-39, 4% of participants had a score of 40-49, 7% of participants had a score of 50-59, 9% of participants had a score of 60-69, 13% of participants had a score of 70-79, 22% of participants had a score of 80-89, and 39% of participants had a score of 90+.</w:t>
      </w:r>
    </w:p>
    <w:p w:rsidR="003B59AC" w:rsidRDefault="003B59AC" w:rsidP="003B59AC">
      <w:pPr>
        <w:pStyle w:val="BodyText1"/>
      </w:pPr>
      <w:r>
        <w:t>In 2013/2014: 1% of participants had a score of 0, 0% of participants had a score of 1-9, 1% of participants had a score of 10-19, 2% of participants had a score of 20-29, 2% of participants had a score of 30-39, 4% of participants had a score of 40-49, 6% of participants had a score of 50-59, 7% of participants had a score of 60-69, 12% of participants had a score of 70-79, 24% of participants had a score of 80-89, and 42% of participants had a score of 90+.</w:t>
      </w:r>
    </w:p>
    <w:p w:rsidR="003B59AC" w:rsidRDefault="003B59AC" w:rsidP="003B59AC">
      <w:pPr>
        <w:pStyle w:val="BodyText1"/>
      </w:pPr>
      <w:r>
        <w:t>In 2014/2015: 2% of participants had a score of 0, 0% of participants had a score of 1-9, 1% of participants had a score of 10-19, 1% of participants had a score of 20-29, 2% of participants had a score of 30-39, 3% of participants had a score of 40-49, 6% of participants had a score of 50-59, 8% of participants had a score of 60-69, 12% of participants had a score of 70-79, 23% of participants had a score of 80-89, and 42% of participants had a score of 90+.</w:t>
      </w:r>
    </w:p>
    <w:p w:rsidR="003B59AC" w:rsidRDefault="003B59AC" w:rsidP="003B59AC">
      <w:pPr>
        <w:pStyle w:val="BodyText1"/>
      </w:pPr>
      <w:r>
        <w:t>In 2015/2016: 1% of participants had a score of 0, 0% of participants had a score of 1-9, 1% of participants had a score of 10-19, 1% of participants had a score of 20-29, 2% of participants had a score of 30-39, 2% of participants had a score of 40-49, 5% of participants had a score of 50-59, 7% of participants had a score of 60-69, 11% of participants had a score of 70-79, 24% of participants had a score of 80-89, and 45% of participants had a score of 90+.</w:t>
      </w:r>
    </w:p>
    <w:p w:rsidR="003B59AC" w:rsidRDefault="003B59AC" w:rsidP="003B59AC">
      <w:pPr>
        <w:pStyle w:val="BodyText1"/>
      </w:pPr>
      <w:r>
        <w:t>In 2016/2017: 11% of participants had a score of 0, 0% of participants had a score of 1-9, 0% of participants had a score of 10-19, 1% of participants had a score of 20-29, 2% of participants had a score of 30-39, 3% of participants had a score of 40-49, 5% of participants had a score of 50-59, 6% of participants had a score of 60-69, 9% of participants had a score of 70-79, 20% of participants had a score of 80-89, and 44% of participants had a score of 90+.</w:t>
      </w:r>
    </w:p>
    <w:p w:rsidR="0071482A" w:rsidRDefault="003B59AC" w:rsidP="003B59AC">
      <w:pPr>
        <w:pStyle w:val="BodyText1"/>
      </w:pPr>
      <w:r>
        <w:t>In 2017/2018: 4% of participants had a score of 0, 0% of participants had a score of 1-9, 0% of participants had a score of 10-19, 1% of participants had a score of 20-29, 1% of participants had a score of 30-39, 3% of participants had a score of 40-49, 4% of participants had a score of 50-59, 8% of participants had a score of 60-69, 11% of participants had a score of 70-79, 20% of participants had a score of 80-89, and 47% of participants had a score of 90+.</w:t>
      </w:r>
    </w:p>
    <w:p w:rsidR="002E0AAE" w:rsidRPr="003B59AC" w:rsidRDefault="002E0AAE" w:rsidP="003B59AC">
      <w:pPr>
        <w:pStyle w:val="BodyText1"/>
        <w:rPr>
          <w:b/>
        </w:rPr>
      </w:pPr>
      <w:r w:rsidRPr="003B59AC">
        <w:rPr>
          <w:b/>
        </w:rPr>
        <w:t>MBI admission scores from 2006/07 to 2017/18 for TAS</w:t>
      </w:r>
    </w:p>
    <w:p w:rsidR="003B59AC" w:rsidRDefault="003B59AC" w:rsidP="003B59AC">
      <w:pPr>
        <w:pStyle w:val="BodyText1"/>
      </w:pPr>
      <w:r>
        <w:t>In 2006/2007: 1% of participants had a score of 0, 0% of participants had a score of 1-9, 1% of participants had a score of 10-19, 2% of participants had a score of 20-29, 1% of participants had a score of 30-39, 10% of participants had a score of 40-49, 17% of participants had a score of 50-59, 23% of participants had a score of 60-69, 20% of participants had a score of 70-79, 19% of participants had a score of 80-89, and 6% of participants had a score of 90+.</w:t>
      </w:r>
    </w:p>
    <w:p w:rsidR="003B59AC" w:rsidRDefault="003B59AC" w:rsidP="003B59AC">
      <w:pPr>
        <w:pStyle w:val="BodyText1"/>
      </w:pPr>
      <w:r>
        <w:t>In 2007/2008: 1% of participants had a score of 0, 2% of participants had a score of 1-9, 2% of participants had a score of 10-19, 2% of participants had a score of 20-29, 3% of participants had a score of 30-39, 11% of participants had a score of 40-49, 14% of participants had a score of 50-59, 16% of participants had a score of 60-69, 21% of participants had a score of 70-79, 21% of participants had a score of 80-89, and 7% of participants had a score of 90+.</w:t>
      </w:r>
    </w:p>
    <w:p w:rsidR="003B59AC" w:rsidRDefault="003B59AC" w:rsidP="003B59AC">
      <w:pPr>
        <w:pStyle w:val="BodyText1"/>
      </w:pPr>
      <w:r>
        <w:t>In 2008/2009: 1% of participants had a score of 0, 2% of participants had a score of 1-9, 2% of participants had a score of 10-19, 1% of participants had a score of 20-29, 7% of participants had a score of 30-39, 9% of participants had a score of 40-49, 15% of participants had a score of 50-59, 19% of participants had a score of 60-69, 24% of participants had a score of 70-79, 15% of participants had a score of 80-89, and 6% of participants had a score of 90+.</w:t>
      </w:r>
    </w:p>
    <w:p w:rsidR="003B59AC" w:rsidRDefault="003B59AC" w:rsidP="003B59AC">
      <w:pPr>
        <w:pStyle w:val="BodyText1"/>
      </w:pPr>
      <w:r>
        <w:t>In 2009/2010: 0% of participants had a score of 0, 0% of participants had a score of 1-9, 3% of participants had a score of 10-19, 3% of participants had a score of 20-29, 7% of participants had a score of 30-39, 11% of participants had a score of 40-49, 11% of participants had a score of 50-59, 20% of participants had a score of 60-69, 19% of participants had a score of 70-79, 18% of participants had a score of 80-89, and 5% of participants had a score of 90+.</w:t>
      </w:r>
    </w:p>
    <w:p w:rsidR="003B59AC" w:rsidRDefault="003B59AC" w:rsidP="003B59AC">
      <w:pPr>
        <w:pStyle w:val="BodyText1"/>
      </w:pPr>
      <w:r>
        <w:t>In 2010/2011: 0% of participants had a score of 0, 0% of participants had a score of 1-9, 1% of participants had a score of 10-19, 3% of participants had a score of 20-29, 5% of participants had a score of 30-39, 8% of participants had a score of 40-49, 16% of participants had a score of 50-59, 13% of participants had a score of 60-69, 16% of participants had a score of 70-79, 26% of participants had a score of 80-89, and 12% of participants had a score of 90+.</w:t>
      </w:r>
    </w:p>
    <w:p w:rsidR="003B59AC" w:rsidRDefault="003B59AC" w:rsidP="003B59AC">
      <w:pPr>
        <w:pStyle w:val="BodyText1"/>
      </w:pPr>
      <w:r>
        <w:t>In 2011/2012: 0% of participants had a score of 0, 1% of participants had a score of 1-9, 2% of participants had a score of 10-19, 3% of participants had a score of 20-29, 4% of participants had a score of 30-39, 7% of participants had a score of 40-49, 15% of participants had a score of 50-59, 11% of participants had a score of 60-69, 16% of participants had a score of 70-79, 24% of participants had a score of 80-89, and 16% of participants had a score of 90+.</w:t>
      </w:r>
    </w:p>
    <w:p w:rsidR="003B59AC" w:rsidRDefault="003B59AC" w:rsidP="003B59AC">
      <w:pPr>
        <w:pStyle w:val="BodyText1"/>
      </w:pPr>
      <w:r>
        <w:t>In 2012/2013: 0% of participants had a score of 0, 0% of participants had a score of 1-9, 2% of participants had a score of 10-19, 3% of participants had a score of 20-29, 9% of participants had a score of 30-39, 10% of participants had a score of 40-49, 15% of participants had a score of 50-59, 20% of participants had a score of 60-69, 15% of participants had a score of 70-79, 19% of participants had a score of 80-89, and 8% of participants had a score of 90+.</w:t>
      </w:r>
    </w:p>
    <w:p w:rsidR="003B59AC" w:rsidRDefault="003B59AC" w:rsidP="003B59AC">
      <w:pPr>
        <w:pStyle w:val="BodyText1"/>
      </w:pPr>
      <w:r>
        <w:t>In 2013/2014: 0% of participants had a score of 0, 0% of participants had a score of 1-9, 2% of participants had a score of 10-19, 3% of participants had a score of 20-29, 6% of participants had a score of 30-39, 11% of participants had a score of 40-49, 13% of participants had a score of 50-59, 19% of participants had a score of 60-69, 18% of participants had a score of 70-79, 21% of participants had a score of 80-89, and 8% of participants had a score of 90+.</w:t>
      </w:r>
    </w:p>
    <w:p w:rsidR="003B59AC" w:rsidRDefault="003B59AC" w:rsidP="003B59AC">
      <w:pPr>
        <w:pStyle w:val="BodyText1"/>
      </w:pPr>
      <w:r>
        <w:t>In 2014/2015: 0% of participants had a score of 0, 1% of participants had a score of 1-9, 1% of participants had a score of 10-19, 5% of participants had a score of 20-29, 5% of participants had a score of 30-39, 9% of participants had a score of 40-49, 13% of participants had a score of 50-59, 14% of participants had a score of 60-69, 15% of participants had a score of 70-79, 25% of participants had a score of 80-89, and 12% of participants had a score of 90+.</w:t>
      </w:r>
    </w:p>
    <w:p w:rsidR="003B59AC" w:rsidRDefault="003B59AC" w:rsidP="003B59AC">
      <w:pPr>
        <w:pStyle w:val="BodyText1"/>
      </w:pPr>
      <w:r>
        <w:t>In 2015/2016: 0% of participants had a score of 0, 2% of participants had a score of 1-9, 4% of participants had a score of 10-19, 3% of participants had a score of 20-29, 5% of participants had a score of 30-39, 11% of participants had a score of 40-49, 13% of participants had a score of 50-59, 14% of participants had a score of 60-69, 17% of participants had a score of 70-79, 22% of participants had a score of 80-89, and 11% of participants had a score of 90+.</w:t>
      </w:r>
    </w:p>
    <w:p w:rsidR="003B59AC" w:rsidRDefault="003B59AC" w:rsidP="003B59AC">
      <w:pPr>
        <w:pStyle w:val="BodyText1"/>
      </w:pPr>
      <w:r>
        <w:t>In 2016/2017: 0% of participants had a score of 0, 2% of participants had a score of 1-9, 2% of participants had a score of 10-19, 4% of participants had a score of 20-29, 5% of participants had a score of 30-39, 10% of participants had a score of 40-49, 11% of participants had a score of 50-59, 14% of participants had a score of 60-69, 15% of participants had a score of 70-79, 23% of participants had a score of 80-89, and 13% of participants had a score of 90+.</w:t>
      </w:r>
    </w:p>
    <w:p w:rsidR="007A471F" w:rsidRDefault="003B59AC" w:rsidP="003B59AC">
      <w:pPr>
        <w:pStyle w:val="BodyText1"/>
      </w:pPr>
      <w:r>
        <w:t>In 2017/2018: 0% of participants had a score of 0, 0% of participants had a score of 1-9, 2% of participants had a score of 10-19, 4% of participants had a score of 20-29, 9% of participants had a score of 30-39, 13% of participants had a score of 40-49, 13% of participants had a score of 50-59, 14% of participants had a score of 60-69, 16% of participants had a score of 70-79, 18% of participants had a score of 80-89, and 11% of participants had a score of 90+.</w:t>
      </w:r>
    </w:p>
    <w:p w:rsidR="002E0AAE" w:rsidRPr="003B59AC" w:rsidRDefault="002E0AAE" w:rsidP="003B59AC">
      <w:pPr>
        <w:pStyle w:val="BodyText1"/>
        <w:rPr>
          <w:b/>
        </w:rPr>
      </w:pPr>
      <w:r w:rsidRPr="003B59AC">
        <w:rPr>
          <w:b/>
        </w:rPr>
        <w:t>MBI exit scores from 2006/07 to 2017/18 for TAS</w:t>
      </w:r>
    </w:p>
    <w:p w:rsidR="003B59AC" w:rsidRDefault="003B59AC" w:rsidP="003B59AC">
      <w:pPr>
        <w:pStyle w:val="BodyText1"/>
      </w:pPr>
      <w:r>
        <w:t>In 2006/2007: 3% of participants had a score of 0, 1% of participants had a score of 1-9, 1% of participants had a score of 10-19, 0% of participants had a score of 20-29, 3% of participants had a score of 30-39, 3% of participants had a score of 40-49, 5% of participants had a score of 50-59, 7% of participants had a score of 60-69, 7% of participants had a score of 70-79, 21% of participants had a score of 80-89, and 51% of participants had a score of 90+.</w:t>
      </w:r>
    </w:p>
    <w:p w:rsidR="003B59AC" w:rsidRDefault="003B59AC" w:rsidP="003B59AC">
      <w:pPr>
        <w:pStyle w:val="BodyText1"/>
      </w:pPr>
      <w:r>
        <w:t>In 2007/2008: 4% of participants had a score of 0, 1% of participants had a score of 1-9, 3% of participants had a score of 10-19, 1% of participants had a score of 20-29, 3% of participants had a score of 30-39, 4% of participants had a score of 40-49, 4% of participants had a score of 50-59, 9% of participants had a score of 60-69, 12% of participants had a score of 70-79, 18% of participants had a score of 80-89, and 43% of participants had a score of 90+.</w:t>
      </w:r>
    </w:p>
    <w:p w:rsidR="003B59AC" w:rsidRDefault="003B59AC" w:rsidP="003B59AC">
      <w:pPr>
        <w:pStyle w:val="BodyText1"/>
      </w:pPr>
      <w:r>
        <w:t>In 2008/2009: 3% of participants had a score of 0, 1% of participants had a score of 1-9, 0% of participants had a score of 10-19, 2% of participants had a score of 20-29, 2% of participants had a score of 30-39, 3% of participants had a score of 40-49, 5% of participants had a score of 50-59, 8% of participants had a score of 60-69, 16% of participants had a score of 70-79, 17% of participants had a score of 80-89, and 42% of participants had a score of 90+.</w:t>
      </w:r>
    </w:p>
    <w:p w:rsidR="003B59AC" w:rsidRDefault="003B59AC" w:rsidP="003B59AC">
      <w:pPr>
        <w:pStyle w:val="BodyText1"/>
      </w:pPr>
      <w:r>
        <w:t>In 2009/2010: 2% of participants had a score of 0, 1% of participants had a score of 1-9, 1% of participants had a score of 10-19, 3% of participants had a score of 20-29, 3% of participants had a score of 30-39, 4% of participants had a score of 40-49, 5% of participants had a score of 50-59, 10% of participants had a score of 60-69, 9% of participants had a score of 70-79, 22% of participants had a score of 80-89, and 40% of participants had a score of 90+.</w:t>
      </w:r>
    </w:p>
    <w:p w:rsidR="003B59AC" w:rsidRDefault="003B59AC" w:rsidP="003B59AC">
      <w:pPr>
        <w:pStyle w:val="BodyText1"/>
      </w:pPr>
      <w:r>
        <w:t>In 2010/2011: 2% of participants had a score of 0, 0% of participants had a score of 1-9, 2% of participants had a score of 10-19, 2% of participants had a score of 20-29, 2% of participants had a score of 30-39, 3% of participants had a score of 40-49, 5% of participants had a score of 50-59, 7% of participants had a score of 60-69, 9% of participants had a score of 70-79, 23% of participants had a score of 80-89, and 45% of participants had a score of 90+.</w:t>
      </w:r>
    </w:p>
    <w:p w:rsidR="003B59AC" w:rsidRDefault="003B59AC" w:rsidP="003B59AC">
      <w:pPr>
        <w:pStyle w:val="BodyText1"/>
      </w:pPr>
      <w:r>
        <w:t>In 2011/2012: 10% of participants had a score of 0, 1% of participants had a score of 1-9, 1% of participants had a score of 10-19, 1% of participants had a score of 20-29, 1% of participants had a score of 30-39, 2% of participants had a score of 40-49, 4% of participants had a score of 50-59, 7% of participants had a score of 60-69, 8% of participants had a score of 70-79, 14% of participants had a score of 80-89, and 50% of participants had a score of 90+.</w:t>
      </w:r>
    </w:p>
    <w:p w:rsidR="003B59AC" w:rsidRDefault="003B59AC" w:rsidP="003B59AC">
      <w:pPr>
        <w:pStyle w:val="BodyText1"/>
      </w:pPr>
      <w:r>
        <w:t>In 2012/2013: 13% of participants had a score of 0, 0% of participants had a score of 1-9, 2% of participants had a score of 10-19, 1% of participants had a score of 20-29, 2% of participants had a score of 30-39, 3% of participants had a score of 40-49, 6% of participants had a score of 50-59, 6% of participants had a score of 60-69, 8% of participants had a score of 70-79, 14% of participants had a score of 80-89, and 44% of participants had a score of 90+.</w:t>
      </w:r>
    </w:p>
    <w:p w:rsidR="003B59AC" w:rsidRDefault="003B59AC" w:rsidP="003B59AC">
      <w:pPr>
        <w:pStyle w:val="BodyText1"/>
      </w:pPr>
      <w:r>
        <w:t>In 2013/2014: 14% of participants had a score of 0, 0% of participants had a score of 1-9, 1% of participants had a score of 10-19, 2% of participants had a score of 20-29, 3% of participants had a score of 30-39, 2% of participants had a score of 40-49, 5% of participants had a score of 50-59, 6% of participants had a score of 60-69, 9% of participants had a score of 70-79, 13% of participants had a score of 80-89, and 46% of participants had a score of 90+.</w:t>
      </w:r>
    </w:p>
    <w:p w:rsidR="003B59AC" w:rsidRDefault="003B59AC" w:rsidP="003B59AC">
      <w:pPr>
        <w:pStyle w:val="BodyText1"/>
      </w:pPr>
      <w:r>
        <w:t>In 2014/2015: 11% of participants had a score of 0, 0% of participants had a score of 1-9, 2% of participants had a score of 10-19, 2% of participants had a score of 20-29, 2% of participants had a score of 30-39, 2% of participants had a score of 40-49, 5% of participants had a score of 50-59, 7% of participants had a score of 60-69, 10% of participants had a score of 70-79, 18% of participants had a score of 80-89, and 42% of participants had a score of 90+.</w:t>
      </w:r>
    </w:p>
    <w:p w:rsidR="003B59AC" w:rsidRDefault="003B59AC" w:rsidP="003B59AC">
      <w:pPr>
        <w:pStyle w:val="BodyText1"/>
      </w:pPr>
      <w:r>
        <w:t>In 2015/2016: 1% of participants had a score of 0, 1% of participants had a score of 1-9, 3% of participants had a score of 10-19, 1% of participants had a score of 20-29, 3% of participants had a score of 30-39, 4% of participants had a score of 40-49, 4% of participants had a score of 50-59, 8% of participants had a score of 60-69, 10% of participants had a score of 70-79, 20% of participants had a score of 80-89, and 46% of participants had a score of 90+.</w:t>
      </w:r>
    </w:p>
    <w:p w:rsidR="003B59AC" w:rsidRDefault="003B59AC" w:rsidP="003B59AC">
      <w:pPr>
        <w:pStyle w:val="BodyText1"/>
      </w:pPr>
      <w:r>
        <w:t>In 2016/2017: 11% of participants had a score of 0, 1% of participants had a score of 1-9, 2% of participants had a score of 10-19, 1% of participants had a score of 20-29, 2% of participants had a score of 30-39, 4% of participants had a score of 40-49, 5% of participants had a score of 50-59, 5% of participants had a score of 60-69, 10% of participants had a score of 70-79, 17% of participants had a score of 80-89, and 42% of participants had a score of 90+.</w:t>
      </w:r>
    </w:p>
    <w:p w:rsidR="0071482A" w:rsidRDefault="003B59AC" w:rsidP="003B59AC">
      <w:pPr>
        <w:pStyle w:val="BodyText1"/>
      </w:pPr>
      <w:r>
        <w:t>In 2017/2018, 15% of participants had a score of 0, 1% of participants had a score of 1-9, 2% of participants had a score of 10-19, 2% of participants had a score of 20-29, 2% of participants had a score of 30-39, 3% of participants had a score of 40-49, 6% of participants had a score of 50-59, 6% of participants had a score of 60-69, 9% of participants had a score of 70-79, 16% of participants had a score of 80-89, and 38% of participants had a score of 90+.</w:t>
      </w:r>
    </w:p>
    <w:p w:rsidR="002E0AAE" w:rsidRPr="003B59AC" w:rsidRDefault="002E0AAE" w:rsidP="003B59AC">
      <w:pPr>
        <w:pStyle w:val="BodyText1"/>
        <w:rPr>
          <w:b/>
        </w:rPr>
      </w:pPr>
      <w:r w:rsidRPr="003B59AC">
        <w:rPr>
          <w:b/>
        </w:rPr>
        <w:t>MBI admission scores from 2006/07 to 2017/18 for ACT</w:t>
      </w:r>
    </w:p>
    <w:p w:rsidR="003B59AC" w:rsidRDefault="003B59AC" w:rsidP="003B59AC">
      <w:pPr>
        <w:pStyle w:val="BodyText1"/>
      </w:pPr>
      <w:r>
        <w:t>In 2006/2007: 0% of participants had a score of 0, 0% of participants had a score of 1-9, 0% of participants had a score of 10-19, 1% of participants had a score of 20-29, 2% of participants had a score of 30-39, 2% of participants had a score of 40-49, 4% of participants had a score of 50-59, 22% of participants had a score of 60-69, 38% of participants had a score of 70-79, 26% of participants had a score of 80-89, and 5% of participants had a score of 90+.</w:t>
      </w:r>
    </w:p>
    <w:p w:rsidR="003B59AC" w:rsidRDefault="003B59AC" w:rsidP="003B59AC">
      <w:pPr>
        <w:pStyle w:val="BodyText1"/>
      </w:pPr>
      <w:r>
        <w:t>In 2007/2008: 0% of participants had a score of 0, 0% of participants had a score of 1-9, 0% of participants had a score of 10-19, 0% of participants had a score of 20-29, 0% of participants had a score of 30-39, 0% of participants had a score of 40-49, 5% of participants had a score of 50-59, 12% of participants had a score of 60-69, 31% of participants had a score of 70-79, 42% of participants had a score of 80-89, and 11% of participants had a score of 90+.</w:t>
      </w:r>
    </w:p>
    <w:p w:rsidR="003B59AC" w:rsidRDefault="003B59AC" w:rsidP="003B59AC">
      <w:pPr>
        <w:pStyle w:val="BodyText1"/>
      </w:pPr>
      <w:r>
        <w:t>In 2008/2009: 0% of participants had a score of 0, 0% of participants had a score of 1-9, 0% of participants had a score of 10-19, 0% of participants had a score of 20-29, 0% of participants had a score of 30-39, 0% of participants had a score of 40-49, 4% of participants had a score of 50-59, 14% of participants had a score of 60-69, 25% of participants had a score of 70-79, 35% of participants had a score of 80-89, and 22% of participants had a score of 90+.</w:t>
      </w:r>
    </w:p>
    <w:p w:rsidR="003B59AC" w:rsidRDefault="003B59AC" w:rsidP="003B59AC">
      <w:pPr>
        <w:pStyle w:val="BodyText1"/>
      </w:pPr>
      <w:r>
        <w:t>In 2009/2010: 0% of participants had a score of 0, 0% of participants had a score of 1-9, 0% of participants had a score of 10-19, 0% of participants had a score of 20-29, 0% of participants had a score of 30-39, 0% of participants had a score of 40-49, 7% of participants had a score of 50-59, 18% of participants had a score of 60-69, 26% of participants had a score of 70-79, 30% of participants had a score of 80-89, and 18% of participants had a score of 90+.</w:t>
      </w:r>
    </w:p>
    <w:p w:rsidR="003B59AC" w:rsidRDefault="003B59AC" w:rsidP="003B59AC">
      <w:pPr>
        <w:pStyle w:val="BodyText1"/>
      </w:pPr>
      <w:r>
        <w:t>In 2010/2011: 0% of participants had a score of 0, 0% of participants had a score of 1-9, 0% of participants had a score of 10-19, 0% of participants had a score of 20-29, 0% of participants had a score of 30-39, 0% of participants had a score of 40-49, 5% of participants had a score of 50-59, 19% of participants had a score of 60-69, 37% of participants had a score of 70-79, 27% of participants had a score of 80-89, and 12% of participants had a score of 90+.</w:t>
      </w:r>
    </w:p>
    <w:p w:rsidR="00D65379" w:rsidRDefault="003B59AC" w:rsidP="003B59AC">
      <w:pPr>
        <w:pStyle w:val="BodyText1"/>
      </w:pPr>
      <w:r>
        <w:t xml:space="preserve">In 2011/2012: 0% of participants had a score of 0, 0% of participants had a score of 1-9, 0% of participants had a score of 10-19, 0% of participants had a score of 20-29, 1% of participants had a score of 30-39, 1% of participants had a score of 40-49, 2% of participants had a score of 50-59, 14% of participants had a score of 60-69, 34% of participants had a score of 70-79, 31% of participants had a score of 80-89, </w:t>
      </w:r>
      <w:r w:rsidR="00D65379">
        <w:t xml:space="preserve">and </w:t>
      </w:r>
      <w:r>
        <w:t>17% of p</w:t>
      </w:r>
      <w:r w:rsidR="00D65379">
        <w:t>articipants had a score of 90+.</w:t>
      </w:r>
    </w:p>
    <w:p w:rsidR="003B59AC" w:rsidRDefault="00D65379" w:rsidP="003B59AC">
      <w:pPr>
        <w:pStyle w:val="BodyText1"/>
      </w:pPr>
      <w:r>
        <w:t xml:space="preserve">In 2012/2013: </w:t>
      </w:r>
      <w:r w:rsidR="003B59AC">
        <w:t>4% of participants had a score of 0</w:t>
      </w:r>
      <w:r>
        <w:t xml:space="preserve">, </w:t>
      </w:r>
      <w:r w:rsidR="003B59AC">
        <w:t>0% of participants had a score of 1-9</w:t>
      </w:r>
      <w:r>
        <w:t xml:space="preserve">, </w:t>
      </w:r>
      <w:r w:rsidR="003B59AC">
        <w:t>0% of participants had a score of 10-19</w:t>
      </w:r>
      <w:r>
        <w:t xml:space="preserve">, </w:t>
      </w:r>
      <w:r w:rsidR="003B59AC">
        <w:t>0% of participants had a score of 20-29</w:t>
      </w:r>
      <w:r>
        <w:t xml:space="preserve">, </w:t>
      </w:r>
      <w:r w:rsidR="003B59AC">
        <w:t>0% of participants had a score of 30-39</w:t>
      </w:r>
      <w:r>
        <w:t xml:space="preserve">, </w:t>
      </w:r>
      <w:r w:rsidR="003B59AC">
        <w:t>0% of participants had a score of 40-49</w:t>
      </w:r>
      <w:r>
        <w:t xml:space="preserve">, </w:t>
      </w:r>
      <w:r w:rsidR="003B59AC">
        <w:t>1% of participants had a score of 50-59</w:t>
      </w:r>
      <w:r>
        <w:t xml:space="preserve">, </w:t>
      </w:r>
      <w:r w:rsidR="003B59AC">
        <w:t>10% of participants had a score of 60-69</w:t>
      </w:r>
      <w:r>
        <w:t xml:space="preserve">, </w:t>
      </w:r>
      <w:r w:rsidR="003B59AC">
        <w:t>19% of participants had a score of 70-79</w:t>
      </w:r>
      <w:r>
        <w:t xml:space="preserve">, </w:t>
      </w:r>
      <w:r w:rsidR="003B59AC">
        <w:t>40% of participants had a score of 80-89</w:t>
      </w:r>
      <w:r>
        <w:t xml:space="preserve">, and </w:t>
      </w:r>
      <w:r w:rsidR="003B59AC">
        <w:t>26% of participants had a score of 90+</w:t>
      </w:r>
      <w:r>
        <w:t>.</w:t>
      </w:r>
    </w:p>
    <w:p w:rsidR="003B59AC" w:rsidRDefault="00D65379" w:rsidP="003B59AC">
      <w:pPr>
        <w:pStyle w:val="BodyText1"/>
      </w:pPr>
      <w:r>
        <w:t xml:space="preserve">In 2013/2014: </w:t>
      </w:r>
      <w:r w:rsidR="003B59AC">
        <w:t>1% of participants had a score of 0</w:t>
      </w:r>
      <w:r>
        <w:t xml:space="preserve">, </w:t>
      </w:r>
      <w:r w:rsidR="003B59AC">
        <w:t>0% of participants had a score of 1-9</w:t>
      </w:r>
      <w:r>
        <w:t xml:space="preserve">, </w:t>
      </w:r>
      <w:r w:rsidR="003B59AC">
        <w:t>0% of participants had a score of 10-19</w:t>
      </w:r>
      <w:r>
        <w:t xml:space="preserve">, </w:t>
      </w:r>
      <w:r w:rsidR="003B59AC">
        <w:t>0% of participants had a score of 20-29</w:t>
      </w:r>
      <w:r>
        <w:t xml:space="preserve">, </w:t>
      </w:r>
      <w:r w:rsidR="003B59AC">
        <w:t>0% of participants had a score of 30-39</w:t>
      </w:r>
      <w:r>
        <w:t xml:space="preserve">, </w:t>
      </w:r>
      <w:r w:rsidR="003B59AC">
        <w:t>0% of participants had a score of 40-49</w:t>
      </w:r>
      <w:r>
        <w:t xml:space="preserve">, </w:t>
      </w:r>
      <w:r w:rsidR="003B59AC">
        <w:t>0% of participants had a score of 50-59</w:t>
      </w:r>
      <w:r>
        <w:t xml:space="preserve">, </w:t>
      </w:r>
      <w:r w:rsidR="003B59AC">
        <w:t>4% of participants had a score of 60-69</w:t>
      </w:r>
      <w:r>
        <w:t xml:space="preserve">, </w:t>
      </w:r>
      <w:r w:rsidR="003B59AC">
        <w:t>9% of participants had a score of 70-79</w:t>
      </w:r>
      <w:r>
        <w:t xml:space="preserve">, </w:t>
      </w:r>
      <w:r w:rsidR="003B59AC">
        <w:t>30% of participants had a score of 80-89</w:t>
      </w:r>
      <w:r>
        <w:t xml:space="preserve">, and </w:t>
      </w:r>
      <w:r w:rsidR="003B59AC">
        <w:t>55% of participants had a score of 90+</w:t>
      </w:r>
      <w:r>
        <w:t>.</w:t>
      </w:r>
    </w:p>
    <w:p w:rsidR="003B59AC" w:rsidRDefault="00D65379" w:rsidP="003B59AC">
      <w:pPr>
        <w:pStyle w:val="BodyText1"/>
      </w:pPr>
      <w:r>
        <w:t xml:space="preserve">In 2014/2015: </w:t>
      </w:r>
      <w:r w:rsidR="003B59AC">
        <w:t>2% of participants had a score of 0</w:t>
      </w:r>
      <w:r>
        <w:t xml:space="preserve">, </w:t>
      </w:r>
      <w:r w:rsidR="003B59AC">
        <w:t>0% of participants had a score of 1-9</w:t>
      </w:r>
      <w:r>
        <w:t xml:space="preserve">, </w:t>
      </w:r>
      <w:r w:rsidR="003B59AC">
        <w:t>0% of participants had a score of 10-19</w:t>
      </w:r>
      <w:r>
        <w:t xml:space="preserve">, </w:t>
      </w:r>
      <w:r w:rsidR="003B59AC">
        <w:t>0% of participants had a score of 20-29</w:t>
      </w:r>
      <w:r>
        <w:t xml:space="preserve">, </w:t>
      </w:r>
      <w:r w:rsidR="003B59AC">
        <w:t>1% of participants had a score of 30-39</w:t>
      </w:r>
      <w:r>
        <w:t xml:space="preserve">, </w:t>
      </w:r>
      <w:r w:rsidR="003B59AC">
        <w:t>1% of participants had a score of 40-49</w:t>
      </w:r>
      <w:r>
        <w:t xml:space="preserve">, </w:t>
      </w:r>
      <w:r w:rsidR="003B59AC">
        <w:t>1% of participants had a score of 50-59</w:t>
      </w:r>
      <w:r>
        <w:t xml:space="preserve">, </w:t>
      </w:r>
      <w:r w:rsidR="003B59AC">
        <w:t>3% of participants had a score of 60-69</w:t>
      </w:r>
      <w:r>
        <w:t xml:space="preserve">, </w:t>
      </w:r>
      <w:r w:rsidR="003B59AC">
        <w:t>16% of participants had a score of 70-79</w:t>
      </w:r>
      <w:r>
        <w:t xml:space="preserve">, </w:t>
      </w:r>
      <w:r w:rsidR="003B59AC">
        <w:t>45% of participants had a score of 80-89</w:t>
      </w:r>
      <w:r>
        <w:t xml:space="preserve">, and </w:t>
      </w:r>
      <w:r w:rsidR="003B59AC">
        <w:t>31% of participants had a score of 90+</w:t>
      </w:r>
      <w:r>
        <w:t>.</w:t>
      </w:r>
    </w:p>
    <w:p w:rsidR="003B59AC" w:rsidRDefault="00D65379" w:rsidP="003B59AC">
      <w:pPr>
        <w:pStyle w:val="BodyText1"/>
      </w:pPr>
      <w:r>
        <w:t xml:space="preserve">In 2015/2016: </w:t>
      </w:r>
      <w:r w:rsidR="003B59AC">
        <w:t>0% of participants had a score of 0</w:t>
      </w:r>
      <w:r>
        <w:t xml:space="preserve">, </w:t>
      </w:r>
      <w:r w:rsidR="003B59AC">
        <w:t>0% of participants had a score of 1-9</w:t>
      </w:r>
      <w:r>
        <w:t xml:space="preserve">, </w:t>
      </w:r>
      <w:r w:rsidR="003B59AC">
        <w:t>0% of participants had a score of 10-19</w:t>
      </w:r>
      <w:r>
        <w:t xml:space="preserve">, </w:t>
      </w:r>
      <w:r w:rsidR="003B59AC">
        <w:t>0% of participants had a score of 20-29</w:t>
      </w:r>
      <w:r>
        <w:t xml:space="preserve">, </w:t>
      </w:r>
      <w:r w:rsidR="003B59AC">
        <w:t>0% of participants had a score of 30-39</w:t>
      </w:r>
      <w:r>
        <w:t xml:space="preserve">, </w:t>
      </w:r>
      <w:r w:rsidR="003B59AC">
        <w:t>0% of participants had a score of 40-49</w:t>
      </w:r>
      <w:r>
        <w:t xml:space="preserve">, </w:t>
      </w:r>
      <w:r w:rsidR="003B59AC">
        <w:t>2% of participants had a score of 50-59</w:t>
      </w:r>
      <w:r>
        <w:t xml:space="preserve">, </w:t>
      </w:r>
      <w:r w:rsidR="003B59AC">
        <w:t>3% of participants had a score of 60-69</w:t>
      </w:r>
      <w:r>
        <w:t xml:space="preserve">, </w:t>
      </w:r>
      <w:r w:rsidR="003B59AC">
        <w:t>17% of participants had a score of 70-79</w:t>
      </w:r>
      <w:r>
        <w:t xml:space="preserve">, </w:t>
      </w:r>
      <w:r w:rsidR="003B59AC">
        <w:t>46% of participants had a score of 80-89</w:t>
      </w:r>
      <w:r>
        <w:t xml:space="preserve">, and </w:t>
      </w:r>
      <w:r w:rsidR="003B59AC">
        <w:t>31% of participants had a score of 90+</w:t>
      </w:r>
      <w:r>
        <w:t>.</w:t>
      </w:r>
    </w:p>
    <w:p w:rsidR="003B59AC" w:rsidRDefault="00D65379" w:rsidP="003B59AC">
      <w:pPr>
        <w:pStyle w:val="BodyText1"/>
      </w:pPr>
      <w:r>
        <w:t xml:space="preserve">In 2016/2017, </w:t>
      </w:r>
      <w:r w:rsidR="003B59AC">
        <w:t>2% of participants had a score of 0</w:t>
      </w:r>
      <w:r>
        <w:t xml:space="preserve">, </w:t>
      </w:r>
      <w:r w:rsidR="003B59AC">
        <w:t>0% of participants had a score of 1-9</w:t>
      </w:r>
      <w:r>
        <w:t xml:space="preserve">, </w:t>
      </w:r>
      <w:r w:rsidR="003B59AC">
        <w:t>0% of participants had a score of 10-19</w:t>
      </w:r>
      <w:r>
        <w:t xml:space="preserve">, </w:t>
      </w:r>
      <w:r w:rsidR="003B59AC">
        <w:t>0% of participants had a score of 20-29</w:t>
      </w:r>
      <w:r>
        <w:t xml:space="preserve">, </w:t>
      </w:r>
      <w:r w:rsidR="003B59AC">
        <w:t>0% of participants had a score of 30-39</w:t>
      </w:r>
      <w:r>
        <w:t xml:space="preserve">, </w:t>
      </w:r>
      <w:r w:rsidR="003B59AC">
        <w:t>0% of participants had a score of 40-49</w:t>
      </w:r>
      <w:r>
        <w:t xml:space="preserve">, </w:t>
      </w:r>
      <w:r w:rsidR="003B59AC">
        <w:t>0% of participants had a score of 50-59</w:t>
      </w:r>
      <w:r>
        <w:t xml:space="preserve">, </w:t>
      </w:r>
      <w:r w:rsidR="003B59AC">
        <w:t>4% of participants had a score of 60-69</w:t>
      </w:r>
      <w:r>
        <w:t xml:space="preserve">, </w:t>
      </w:r>
      <w:r w:rsidR="003B59AC">
        <w:t>19% of participants had a score of 70-79</w:t>
      </w:r>
      <w:r>
        <w:t xml:space="preserve">, </w:t>
      </w:r>
      <w:r w:rsidR="003B59AC">
        <w:t>42% of participants had a score of 80-89</w:t>
      </w:r>
      <w:r>
        <w:t xml:space="preserve">, and </w:t>
      </w:r>
      <w:r w:rsidR="003B59AC">
        <w:t>31% of participants had a score of 90+</w:t>
      </w:r>
      <w:r>
        <w:t>.</w:t>
      </w:r>
    </w:p>
    <w:p w:rsidR="007A471F" w:rsidRPr="003B59AC" w:rsidRDefault="00D65379" w:rsidP="003B59AC">
      <w:pPr>
        <w:pStyle w:val="BodyText1"/>
      </w:pPr>
      <w:r>
        <w:t xml:space="preserve">In </w:t>
      </w:r>
      <w:r w:rsidR="003B59AC">
        <w:t>2017/2018</w:t>
      </w:r>
      <w:r>
        <w:t xml:space="preserve">: </w:t>
      </w:r>
      <w:r w:rsidR="003B59AC">
        <w:t>0% of participants had a score of 0</w:t>
      </w:r>
      <w:r>
        <w:t xml:space="preserve">, </w:t>
      </w:r>
      <w:r w:rsidR="003B59AC">
        <w:t>0% of participants had a score of 1-9</w:t>
      </w:r>
      <w:r>
        <w:t xml:space="preserve">, </w:t>
      </w:r>
      <w:r w:rsidR="003B59AC">
        <w:t>0% of participants had a score of 10-19</w:t>
      </w:r>
      <w:r>
        <w:t xml:space="preserve">, </w:t>
      </w:r>
      <w:r w:rsidR="003B59AC">
        <w:t>0% of participants had a score of 20-29</w:t>
      </w:r>
      <w:r>
        <w:t xml:space="preserve">, </w:t>
      </w:r>
      <w:r w:rsidR="003B59AC">
        <w:t>0% of participants had a score of 30-39</w:t>
      </w:r>
      <w:r>
        <w:t xml:space="preserve">, </w:t>
      </w:r>
      <w:r w:rsidR="003B59AC">
        <w:t>0% of participants had a score of 40-49</w:t>
      </w:r>
      <w:r>
        <w:t xml:space="preserve">, </w:t>
      </w:r>
      <w:r w:rsidR="003B59AC">
        <w:t>0% of participants had a score of 50-59</w:t>
      </w:r>
      <w:r>
        <w:t xml:space="preserve">, </w:t>
      </w:r>
      <w:r w:rsidR="003B59AC">
        <w:t>7% of participants had a score of 60-69</w:t>
      </w:r>
      <w:r>
        <w:t xml:space="preserve">, </w:t>
      </w:r>
      <w:r w:rsidR="003B59AC">
        <w:t>14% of participants had a score of 70-79</w:t>
      </w:r>
      <w:r>
        <w:t xml:space="preserve">, </w:t>
      </w:r>
      <w:r w:rsidR="003B59AC">
        <w:t>34% of participants had a score of 80-89</w:t>
      </w:r>
      <w:r>
        <w:t xml:space="preserve">, and </w:t>
      </w:r>
      <w:r w:rsidR="003B59AC">
        <w:t>44% of participants had a score of 90+</w:t>
      </w:r>
      <w:r>
        <w:t>.</w:t>
      </w:r>
    </w:p>
    <w:p w:rsidR="002E0AAE" w:rsidRPr="003B59AC" w:rsidRDefault="002E0AAE" w:rsidP="003B59AC">
      <w:pPr>
        <w:pStyle w:val="BodyText1"/>
        <w:rPr>
          <w:b/>
        </w:rPr>
      </w:pPr>
      <w:r w:rsidRPr="003B59AC">
        <w:rPr>
          <w:b/>
        </w:rPr>
        <w:t>MBI exit scores from 2006/07 to 2017/18 for ACT</w:t>
      </w:r>
    </w:p>
    <w:p w:rsidR="00D65379" w:rsidRDefault="00D65379" w:rsidP="00D65379">
      <w:pPr>
        <w:pStyle w:val="BodyText1"/>
      </w:pPr>
      <w:r>
        <w:t>In 2006/2007: 14% of participants had a score of 0, 0% of participants had a score of 1-9, 0% of participants had a score of 10-19, 0% of participants had a score of 20-29, 1% of participants had a score of 30-39, 1% of participants had a score of 40-49, 1% of participants had a score of 50-59, 3% of participants had a score of 60-69, 10% of participants had a score of 70-79, 18% of participants had a score of 80-89, and 53% of participants had a score of 90+.</w:t>
      </w:r>
    </w:p>
    <w:p w:rsidR="00D65379" w:rsidRDefault="00D65379" w:rsidP="00D65379">
      <w:pPr>
        <w:pStyle w:val="BodyText1"/>
      </w:pPr>
      <w:r>
        <w:t>In 2007/2008: 3% of participants had a score of 0, 0% of participants had a score of 1-9, 0% of participants had a score of 10-19, 0% of participants had a score of 20-29, 0% of participants had a score of 30-39, 0% of participants had a score of 40-49, 2% of participants had a score of 50-59, 5% of participants had a score of 60-69, 6% of participants had a score of 70-79, 19% of participants had a score of 80-89, and 65% of participants had a score of 90+.</w:t>
      </w:r>
    </w:p>
    <w:p w:rsidR="00D65379" w:rsidRDefault="00D65379" w:rsidP="00D65379">
      <w:pPr>
        <w:pStyle w:val="BodyText1"/>
      </w:pPr>
      <w:r>
        <w:t>In 2008/2009: 1% of participants had a score of 0, 0% of participants had a score of 1-9, 0% of participants had a score of 10-19, 0% of participants had a score of 20-29, 0% of participants had a score of 30-39, 0% of participants had a score of 40-49, 1% of participants had a score of 50-59, 3% of participants had a score of 60-69, 5% of participants had a score of 70-79, 18% of participants had a score of 80-89, and 72% of participants had a score of 90+.</w:t>
      </w:r>
    </w:p>
    <w:p w:rsidR="00D65379" w:rsidRDefault="00D65379" w:rsidP="00D65379">
      <w:pPr>
        <w:pStyle w:val="BodyText1"/>
      </w:pPr>
      <w:r>
        <w:t>In 2009/2010: 1% of participants had a score of 0, 0% of participants had a score of 1-9, 0% of participants had a score of 10-19, 0% of participants had a score of 20-29, 0% of participants had a score of 30-39, 0% of participants had a score of 40-49, 1% of participants had a score of 50-59, 3% of participants had a score of 60-69, 5% of participants had a score of 70-79, 18% of participants had a score of 80-89, and 72% of participants had a score of 90+.</w:t>
      </w:r>
    </w:p>
    <w:p w:rsidR="00D65379" w:rsidRDefault="00D65379" w:rsidP="00D65379">
      <w:pPr>
        <w:pStyle w:val="BodyText1"/>
      </w:pPr>
      <w:r>
        <w:t>In 2010/2011: 0% of participants had a score of 0, 0% of participants had a score of 1-9, 0% of participants had a score of 10-19, 0% of participants had a score of 20-29, 0% of participants had a score of 30-39, 0% of participants had a score of 40-49, 1% of participants had a score of 50-59, 4% of participants had a score of 60-69, 9% of participants had a score of 70-79, 15% of participants had a score of 80-89, and 70% of participants had a score of 90+.</w:t>
      </w:r>
    </w:p>
    <w:p w:rsidR="00D65379" w:rsidRDefault="00D65379" w:rsidP="00D65379">
      <w:pPr>
        <w:pStyle w:val="BodyText1"/>
      </w:pPr>
      <w:r>
        <w:t>In 2011/2012: 1% of participants had a score of 0, 0% of participants had a score of 1-9, 0% of participants had a score of 10-19, 1% of participants had a score of 20-29, 1% of participants had a score of 30-39, 0% of participants had a score of 40-49, 1% of participants had a score of 50-59, 3% of participants had a score of 60-69, 7% of participants had a score of 70-79, 21% of participants had a score of 80-89, and 65% of participants had a score of 90+.</w:t>
      </w:r>
    </w:p>
    <w:p w:rsidR="00D65379" w:rsidRDefault="00D65379" w:rsidP="00D65379">
      <w:pPr>
        <w:pStyle w:val="BodyText1"/>
      </w:pPr>
      <w:r>
        <w:t>In 2012/2013: 4% of participants had a score of 0, 0% of participants had a score of 1-9, 0% of participants had a score of 10-19, 0% of participants had a score of 20-29, 0% of participants had a score of 30-39, 1% of participants had a score of 40-49, 1% of participants had a score of 50-59, 4% of participants had a score of 60-69, 4% of participants had a score of 70-79, 15% of participants had a score of 80-89, and 71% of participants had a score of 90+.</w:t>
      </w:r>
    </w:p>
    <w:p w:rsidR="00D65379" w:rsidRDefault="00D65379" w:rsidP="00D65379">
      <w:pPr>
        <w:pStyle w:val="BodyText1"/>
      </w:pPr>
      <w:r>
        <w:t>In 2013/2014: 1% of participants had a score of 0, 0% of participants had a score of 1-9, 0% of participants had a score of 10-19, 1% of participants had a score of 20-29, 0% of participants had a score of 30-39, 0% of participants had a score of 40-49, 0% of participants had a score of 50-59, 1% of participants had a score of 60-69, 2% of participants had a score of 70-79, 11% of participants had a score of 80-89, and 83% of participants had a score of 90+.</w:t>
      </w:r>
    </w:p>
    <w:p w:rsidR="00D65379" w:rsidRDefault="00D65379" w:rsidP="00D65379">
      <w:pPr>
        <w:pStyle w:val="BodyText1"/>
      </w:pPr>
      <w:r>
        <w:t>In 2014/2015: 2% of participants had a score of 0, 0% of participants had a score of 1-9, 1% of participants had a score of 10-19, 0% of participants had a score of 20-29, 0% of participants had a score of 30-39, 0% of participants had a score of 40-49, 0% of participants had a score of 50-59, 2% of participants had a score of 60-69, 7% of participants had a score of 70-79, 22% of participants had a score of 80-89, and 66% of participants had a score of 90+.</w:t>
      </w:r>
    </w:p>
    <w:p w:rsidR="00D65379" w:rsidRDefault="00D65379" w:rsidP="00D65379">
      <w:pPr>
        <w:pStyle w:val="BodyText1"/>
      </w:pPr>
      <w:r>
        <w:t>In 2015/2016: 1% of participants had a score of 0, 0% of participants had a score of 1-9, 0% of participants had a score of 10-19, 0% of participants had a score of 20-29, 0% of participants had a score of 30-39, 0% of participants had a score of 40-49, 2% of participants had a score of 50-59, 2% of participants had a score of 60-69, 7% of participants had a score of 70-79, 23% of participants had a score of 80-89, and 64% of participants had a score of 90+.</w:t>
      </w:r>
    </w:p>
    <w:p w:rsidR="00D65379" w:rsidRDefault="00D65379" w:rsidP="00D65379">
      <w:pPr>
        <w:pStyle w:val="BodyText1"/>
      </w:pPr>
      <w:r>
        <w:t>In 2016/2017: 15% of participants had a score of 0, 0% of participants had a score of 1-9, 0% of participants had a score of 10-19, 0% of participants had a score of 20-29, 0% of participants had a score of 30-39, 0% of participants had a score of 40-49, 0% of participants had a score of 50-59, 1% of participants had a score of 60-69, 6% of participants had a score of 70-79, 11% of participants had a score of 80-89, and 66% of participants had a score of 90+.</w:t>
      </w:r>
    </w:p>
    <w:p w:rsidR="0071482A" w:rsidRPr="003B59AC" w:rsidRDefault="00D65379" w:rsidP="00D65379">
      <w:pPr>
        <w:pStyle w:val="BodyText1"/>
      </w:pPr>
      <w:r>
        <w:t>In 2017/2018: 25% of participants had a score of 0, 0% of participants had a score of 1-9, 0% of participants had a score of 10-19, 0% of participants had a score of 20-29, 0% of participants had a score of 30-39, 1% of participants had a score of 40-49, 0% of participants had a score of 50-59, 2% of participants had a score of 60-69, 4% of participants had a score of 70-79, 5% of participants had a score of 80-89, and 63% of participants had a score of 90+.</w:t>
      </w:r>
    </w:p>
    <w:p w:rsidR="002E0AAE" w:rsidRPr="00D65379" w:rsidRDefault="002E0AAE" w:rsidP="00D65379">
      <w:pPr>
        <w:pStyle w:val="BodyText1"/>
        <w:rPr>
          <w:b/>
        </w:rPr>
      </w:pPr>
      <w:r w:rsidRPr="00D65379">
        <w:rPr>
          <w:b/>
        </w:rPr>
        <w:t>MBI admission scores from 2006/07 to 2017/18 for NT</w:t>
      </w:r>
    </w:p>
    <w:p w:rsidR="00D65379" w:rsidRDefault="001D3F09" w:rsidP="00D65379">
      <w:pPr>
        <w:pStyle w:val="BodyText1"/>
      </w:pPr>
      <w:r>
        <w:t xml:space="preserve">In 2006/2007: </w:t>
      </w:r>
      <w:r w:rsidR="00D65379">
        <w:t>0% of participants had a score of 0</w:t>
      </w:r>
      <w:r>
        <w:t xml:space="preserve">, </w:t>
      </w:r>
      <w:r w:rsidR="00D65379">
        <w:t>4% of participants had a score of 1-9</w:t>
      </w:r>
      <w:r>
        <w:t xml:space="preserve">, </w:t>
      </w:r>
      <w:r w:rsidR="00D65379">
        <w:t>4% of participants had a score of 10-19</w:t>
      </w:r>
      <w:r>
        <w:t xml:space="preserve">, </w:t>
      </w:r>
      <w:r w:rsidR="00D65379">
        <w:t>11% of participants had a score of 20-29</w:t>
      </w:r>
      <w:r>
        <w:t xml:space="preserve">, </w:t>
      </w:r>
      <w:r w:rsidR="00D65379">
        <w:t>14% of participants had a score of 30-39</w:t>
      </w:r>
      <w:r>
        <w:t xml:space="preserve">, </w:t>
      </w:r>
      <w:r w:rsidR="00D65379">
        <w:t>18% of participants had a score of 40-49</w:t>
      </w:r>
      <w:r>
        <w:t xml:space="preserve">, </w:t>
      </w:r>
      <w:r w:rsidR="00D65379">
        <w:t>18% of participants had a score of 50-59</w:t>
      </w:r>
      <w:r>
        <w:t xml:space="preserve">, </w:t>
      </w:r>
      <w:r w:rsidR="00D65379">
        <w:t>14% of participants had a score of 60-69</w:t>
      </w:r>
      <w:r>
        <w:t xml:space="preserve">, </w:t>
      </w:r>
      <w:r w:rsidR="00D65379">
        <w:t>18% of participants had a score of 70-79</w:t>
      </w:r>
      <w:r>
        <w:t xml:space="preserve">, </w:t>
      </w:r>
      <w:r w:rsidR="00D65379">
        <w:t>0% of participants had a score of 80-89</w:t>
      </w:r>
      <w:r>
        <w:t xml:space="preserve">, and </w:t>
      </w:r>
      <w:r w:rsidR="00D65379">
        <w:t>0% of participants had a score of 90+</w:t>
      </w:r>
      <w:r>
        <w:t>.</w:t>
      </w:r>
    </w:p>
    <w:p w:rsidR="00D65379" w:rsidRDefault="001D3F09" w:rsidP="00D65379">
      <w:pPr>
        <w:pStyle w:val="BodyText1"/>
      </w:pPr>
      <w:r>
        <w:t xml:space="preserve">In 2007/2008: </w:t>
      </w:r>
      <w:r w:rsidR="00D65379">
        <w:t>0% of participants had a score of 0</w:t>
      </w:r>
      <w:r>
        <w:t xml:space="preserve">, </w:t>
      </w:r>
      <w:r w:rsidR="00D65379">
        <w:t>2% of participants had a score of 1-9</w:t>
      </w:r>
      <w:r>
        <w:t xml:space="preserve">, </w:t>
      </w:r>
      <w:r w:rsidR="00D65379">
        <w:t>8% of participants had a score of 10-19</w:t>
      </w:r>
      <w:r>
        <w:t xml:space="preserve">, </w:t>
      </w:r>
      <w:r w:rsidR="00D65379">
        <w:t>9% of participants had a score of 20-29</w:t>
      </w:r>
      <w:r>
        <w:t xml:space="preserve">, </w:t>
      </w:r>
      <w:r w:rsidR="00D65379">
        <w:t>11% of participants had a score of 30-39</w:t>
      </w:r>
      <w:r>
        <w:t xml:space="preserve">, </w:t>
      </w:r>
      <w:r w:rsidR="00D65379">
        <w:t>8% of participants had a score of 40-49</w:t>
      </w:r>
      <w:r>
        <w:t xml:space="preserve">, </w:t>
      </w:r>
      <w:r w:rsidR="00D65379">
        <w:t>11% of participants had a score of 50-59</w:t>
      </w:r>
      <w:r>
        <w:t xml:space="preserve">, </w:t>
      </w:r>
      <w:r w:rsidR="00D65379">
        <w:t>21% of participants had a score of 60-69</w:t>
      </w:r>
      <w:r>
        <w:t xml:space="preserve">, </w:t>
      </w:r>
      <w:r w:rsidR="00D65379">
        <w:t>11% of participants had a score of 70-79</w:t>
      </w:r>
      <w:r>
        <w:t xml:space="preserve">, </w:t>
      </w:r>
      <w:r w:rsidR="00D65379">
        <w:t>9% of participants had a score of 80-89</w:t>
      </w:r>
      <w:r>
        <w:t xml:space="preserve">, and </w:t>
      </w:r>
      <w:r w:rsidR="00D65379">
        <w:t>9% of participants had a score of 90+</w:t>
      </w:r>
      <w:r>
        <w:t>.</w:t>
      </w:r>
    </w:p>
    <w:p w:rsidR="00D65379" w:rsidRDefault="001D3F09" w:rsidP="00D65379">
      <w:pPr>
        <w:pStyle w:val="BodyText1"/>
      </w:pPr>
      <w:r>
        <w:t xml:space="preserve">In 2008/2009: </w:t>
      </w:r>
      <w:r w:rsidR="00D65379">
        <w:t>1% of participants had a score of 0</w:t>
      </w:r>
      <w:r>
        <w:t xml:space="preserve">, </w:t>
      </w:r>
      <w:r w:rsidR="00D65379">
        <w:t>0% of participants had a score of 1-9</w:t>
      </w:r>
      <w:r>
        <w:t xml:space="preserve">, </w:t>
      </w:r>
      <w:r w:rsidR="00D65379">
        <w:t>3% of participants had a score of 10-19</w:t>
      </w:r>
      <w:r>
        <w:t xml:space="preserve">, </w:t>
      </w:r>
      <w:r w:rsidR="00D65379">
        <w:t>0% of participants had a score of 20-29</w:t>
      </w:r>
      <w:r>
        <w:t xml:space="preserve">, </w:t>
      </w:r>
      <w:r w:rsidR="00D65379">
        <w:t>0% of participants had a score of 30-39</w:t>
      </w:r>
      <w:r>
        <w:t xml:space="preserve">, </w:t>
      </w:r>
      <w:r w:rsidR="00D65379">
        <w:t>6% of participants had a score of 40-49</w:t>
      </w:r>
      <w:r>
        <w:t xml:space="preserve">, </w:t>
      </w:r>
      <w:r w:rsidR="00D65379">
        <w:t>17% of participants had a score of 50-59</w:t>
      </w:r>
      <w:r>
        <w:t xml:space="preserve">, </w:t>
      </w:r>
      <w:r w:rsidR="00D65379">
        <w:t>24% of participants had a score of 60-69</w:t>
      </w:r>
      <w:r>
        <w:t xml:space="preserve">, </w:t>
      </w:r>
      <w:r w:rsidR="00D65379">
        <w:t>12% of participants had a score of 70-79</w:t>
      </w:r>
      <w:r>
        <w:t xml:space="preserve">, </w:t>
      </w:r>
      <w:r w:rsidR="00D65379">
        <w:t>22% of participants had a score of 80-89</w:t>
      </w:r>
      <w:r>
        <w:t xml:space="preserve">, and </w:t>
      </w:r>
      <w:r w:rsidR="00D65379">
        <w:t>14% of participants had a score of 90+</w:t>
      </w:r>
      <w:r>
        <w:t>.</w:t>
      </w:r>
    </w:p>
    <w:p w:rsidR="00D65379" w:rsidRDefault="001D3F09" w:rsidP="00D65379">
      <w:pPr>
        <w:pStyle w:val="BodyText1"/>
      </w:pPr>
      <w:r>
        <w:t xml:space="preserve">In 2009/2010: </w:t>
      </w:r>
      <w:r w:rsidR="00D65379">
        <w:t>2% of participants had a score of 0</w:t>
      </w:r>
      <w:r>
        <w:t xml:space="preserve">, </w:t>
      </w:r>
      <w:r w:rsidR="00D65379">
        <w:t>1% of participants had a score of 1-9</w:t>
      </w:r>
      <w:r>
        <w:t xml:space="preserve">, </w:t>
      </w:r>
      <w:r w:rsidR="00D65379">
        <w:t>0% of participants had a score of 10-19</w:t>
      </w:r>
      <w:r>
        <w:t xml:space="preserve">, </w:t>
      </w:r>
      <w:r w:rsidR="00D65379">
        <w:t>1% of participants had a score of 20-29</w:t>
      </w:r>
      <w:r>
        <w:t xml:space="preserve">, </w:t>
      </w:r>
      <w:r w:rsidR="00D65379">
        <w:t>1% of participants had a score of 30-39</w:t>
      </w:r>
      <w:r>
        <w:t xml:space="preserve">, </w:t>
      </w:r>
      <w:r w:rsidR="00D65379">
        <w:t>7% of participants had a score of 40-49</w:t>
      </w:r>
      <w:r>
        <w:t xml:space="preserve">, </w:t>
      </w:r>
      <w:r w:rsidR="00D65379">
        <w:t>12% of participants had a score of 50-59</w:t>
      </w:r>
      <w:r>
        <w:t xml:space="preserve">, </w:t>
      </w:r>
      <w:r w:rsidR="00D65379">
        <w:t>14% of participants had a score of 60-69</w:t>
      </w:r>
      <w:r>
        <w:t xml:space="preserve">, </w:t>
      </w:r>
      <w:r w:rsidR="00D65379">
        <w:t>22% of participants had a score of 70-79</w:t>
      </w:r>
      <w:r>
        <w:t xml:space="preserve">, </w:t>
      </w:r>
      <w:r w:rsidR="00D65379">
        <w:t>16% of participants had a score of 80-89</w:t>
      </w:r>
      <w:r>
        <w:t xml:space="preserve">, and </w:t>
      </w:r>
      <w:r w:rsidR="00D65379">
        <w:t>24% of participants had a score of 90+</w:t>
      </w:r>
      <w:r>
        <w:t>.</w:t>
      </w:r>
    </w:p>
    <w:p w:rsidR="00D65379" w:rsidRDefault="001D3F09" w:rsidP="00D65379">
      <w:pPr>
        <w:pStyle w:val="BodyText1"/>
      </w:pPr>
      <w:r>
        <w:t xml:space="preserve">In 2010/2011: </w:t>
      </w:r>
      <w:r w:rsidR="00D65379">
        <w:t>0% of participants had a score of 0</w:t>
      </w:r>
      <w:r>
        <w:t xml:space="preserve">, </w:t>
      </w:r>
      <w:r w:rsidR="00D65379">
        <w:t>1% of participants had a score of 1-9</w:t>
      </w:r>
      <w:r>
        <w:t xml:space="preserve">, </w:t>
      </w:r>
      <w:r w:rsidR="00D65379">
        <w:t>4% of participants had a score of 10-19</w:t>
      </w:r>
      <w:r>
        <w:t xml:space="preserve">, </w:t>
      </w:r>
      <w:r w:rsidR="00D65379">
        <w:t>0% of participants had a score of 20-29</w:t>
      </w:r>
      <w:r>
        <w:t xml:space="preserve">, </w:t>
      </w:r>
      <w:r w:rsidR="00D65379">
        <w:t>2% of participants had a score of 30-39</w:t>
      </w:r>
      <w:r>
        <w:t xml:space="preserve">, </w:t>
      </w:r>
      <w:r w:rsidR="00D65379">
        <w:t>4% of participants had a score of 40-49</w:t>
      </w:r>
      <w:r>
        <w:t xml:space="preserve">, </w:t>
      </w:r>
      <w:r w:rsidR="00D65379">
        <w:t>8% of participants had a score of 50-59</w:t>
      </w:r>
      <w:r>
        <w:t xml:space="preserve">, </w:t>
      </w:r>
      <w:r w:rsidR="00D65379">
        <w:t>11% of participants had a score of 60-69</w:t>
      </w:r>
      <w:r>
        <w:t xml:space="preserve">, </w:t>
      </w:r>
      <w:r w:rsidR="00D65379">
        <w:t>17% of participants had a score of 70-79</w:t>
      </w:r>
      <w:r>
        <w:t xml:space="preserve">, </w:t>
      </w:r>
      <w:r w:rsidR="00D65379">
        <w:t>44% of participants had a score of 80-89</w:t>
      </w:r>
      <w:r>
        <w:t xml:space="preserve">, and </w:t>
      </w:r>
      <w:r w:rsidR="00D65379">
        <w:t>11% of participants had a score of 90+</w:t>
      </w:r>
      <w:r>
        <w:t>.</w:t>
      </w:r>
    </w:p>
    <w:p w:rsidR="00D65379" w:rsidRDefault="001D3F09" w:rsidP="00D65379">
      <w:pPr>
        <w:pStyle w:val="BodyText1"/>
      </w:pPr>
      <w:r>
        <w:t xml:space="preserve">In 2011/2012: </w:t>
      </w:r>
      <w:r w:rsidR="00D65379">
        <w:t>0% of participants had a score of 0</w:t>
      </w:r>
      <w:r>
        <w:t xml:space="preserve">, </w:t>
      </w:r>
      <w:r w:rsidR="00D65379">
        <w:t>1% of participants had a score of 1-9</w:t>
      </w:r>
      <w:r>
        <w:t xml:space="preserve">, </w:t>
      </w:r>
      <w:r w:rsidR="00D65379">
        <w:t>1% of participants had a score of 10-19</w:t>
      </w:r>
      <w:r>
        <w:t xml:space="preserve">, </w:t>
      </w:r>
      <w:r w:rsidR="00D65379">
        <w:t>0% of participants had a score of 20-29</w:t>
      </w:r>
      <w:r>
        <w:t xml:space="preserve">, </w:t>
      </w:r>
      <w:r w:rsidR="00D65379">
        <w:t>1% of participants had a score of 30-39</w:t>
      </w:r>
      <w:r>
        <w:t xml:space="preserve">, </w:t>
      </w:r>
      <w:r w:rsidR="00D65379">
        <w:t>2% of participants had a score of 40-49</w:t>
      </w:r>
      <w:r>
        <w:t xml:space="preserve">, </w:t>
      </w:r>
      <w:r w:rsidR="00D65379">
        <w:t>11% of participants had a score of 50-59</w:t>
      </w:r>
      <w:r>
        <w:t xml:space="preserve">, </w:t>
      </w:r>
      <w:r w:rsidR="00D65379">
        <w:t>17% of participants had a score of 60-69</w:t>
      </w:r>
      <w:r>
        <w:t xml:space="preserve">, </w:t>
      </w:r>
      <w:r w:rsidR="00D65379">
        <w:t>22% of participants had a score of 70-79</w:t>
      </w:r>
      <w:r>
        <w:t xml:space="preserve">, </w:t>
      </w:r>
      <w:r w:rsidR="00D65379">
        <w:t>32% of participants had a score of 80-89</w:t>
      </w:r>
      <w:r>
        <w:t xml:space="preserve">, and </w:t>
      </w:r>
      <w:r w:rsidR="00D65379">
        <w:t>14% of participants had a score of 90+</w:t>
      </w:r>
      <w:r>
        <w:t>.</w:t>
      </w:r>
    </w:p>
    <w:p w:rsidR="00D65379" w:rsidRDefault="001D3F09" w:rsidP="00D65379">
      <w:pPr>
        <w:pStyle w:val="BodyText1"/>
      </w:pPr>
      <w:r>
        <w:t xml:space="preserve">In 2012/2013: </w:t>
      </w:r>
      <w:r w:rsidR="00D65379">
        <w:t>0% of participants had a score of 0</w:t>
      </w:r>
      <w:r>
        <w:t xml:space="preserve">, </w:t>
      </w:r>
      <w:r w:rsidR="00D65379">
        <w:t>0% of participants had a score of 1-9</w:t>
      </w:r>
      <w:r>
        <w:t xml:space="preserve">, </w:t>
      </w:r>
      <w:r w:rsidR="00D65379">
        <w:t>1% of participants had a score of 10-19</w:t>
      </w:r>
      <w:r>
        <w:t xml:space="preserve">, </w:t>
      </w:r>
      <w:r w:rsidR="00D65379">
        <w:t>1% of participants had a score of 20-29</w:t>
      </w:r>
      <w:r>
        <w:t xml:space="preserve">, </w:t>
      </w:r>
      <w:r w:rsidR="00D65379">
        <w:t>1% of participants had a score of 30-39</w:t>
      </w:r>
      <w:r>
        <w:t xml:space="preserve">, </w:t>
      </w:r>
      <w:r w:rsidR="00D65379">
        <w:t>3% of participants had a score of 40-49</w:t>
      </w:r>
      <w:r>
        <w:t xml:space="preserve">, </w:t>
      </w:r>
      <w:r w:rsidR="00D65379">
        <w:t>4% of participants had a score of 50-59</w:t>
      </w:r>
      <w:r>
        <w:t xml:space="preserve">, </w:t>
      </w:r>
      <w:r w:rsidR="00D65379">
        <w:t>14% of participants had a score of 60-69</w:t>
      </w:r>
      <w:r>
        <w:t xml:space="preserve">, </w:t>
      </w:r>
      <w:r w:rsidR="00D65379">
        <w:t>17% of participants had a score of 70-79</w:t>
      </w:r>
      <w:r>
        <w:t xml:space="preserve">, </w:t>
      </w:r>
      <w:r w:rsidR="00D65379">
        <w:t>37% of participants had a score of 80-89</w:t>
      </w:r>
      <w:r>
        <w:t xml:space="preserve">, and </w:t>
      </w:r>
      <w:r w:rsidR="00D65379">
        <w:t>23% of participants had a score of 90+</w:t>
      </w:r>
      <w:r>
        <w:t>.</w:t>
      </w:r>
    </w:p>
    <w:p w:rsidR="00D65379" w:rsidRDefault="001D3F09" w:rsidP="00D65379">
      <w:pPr>
        <w:pStyle w:val="BodyText1"/>
      </w:pPr>
      <w:r>
        <w:t xml:space="preserve">In 2013/2014: </w:t>
      </w:r>
      <w:r w:rsidR="00D65379">
        <w:t>1% of participants had a score of 0</w:t>
      </w:r>
      <w:r>
        <w:t xml:space="preserve">, </w:t>
      </w:r>
      <w:r w:rsidR="00D65379">
        <w:t>0% of participants had a score of 1-9</w:t>
      </w:r>
      <w:r>
        <w:t xml:space="preserve">, </w:t>
      </w:r>
      <w:r w:rsidR="00D65379">
        <w:t>0% of participants had a score of 10-19</w:t>
      </w:r>
      <w:r>
        <w:t xml:space="preserve">, </w:t>
      </w:r>
      <w:r w:rsidR="00D65379">
        <w:t>2% of participants had a score of 20-29</w:t>
      </w:r>
      <w:r>
        <w:t xml:space="preserve">, </w:t>
      </w:r>
      <w:r w:rsidR="00D65379">
        <w:t>1% of participants had a score of 30-39</w:t>
      </w:r>
      <w:r>
        <w:t xml:space="preserve">, </w:t>
      </w:r>
      <w:r w:rsidR="00D65379">
        <w:t>2% of participants had a score of 40-49</w:t>
      </w:r>
      <w:r>
        <w:t xml:space="preserve">, </w:t>
      </w:r>
      <w:r w:rsidR="00D65379">
        <w:t>2% of participants had a score of 50-59</w:t>
      </w:r>
      <w:r>
        <w:t xml:space="preserve">, </w:t>
      </w:r>
      <w:r w:rsidR="00D65379">
        <w:t>7% of participants had a score of 60-69</w:t>
      </w:r>
      <w:r>
        <w:t xml:space="preserve">, </w:t>
      </w:r>
      <w:r w:rsidR="00D65379">
        <w:t>16% of participants had a score of 70-79</w:t>
      </w:r>
      <w:r>
        <w:t xml:space="preserve">, </w:t>
      </w:r>
      <w:r w:rsidR="00D65379">
        <w:t>39% of participants had a score of 80-89</w:t>
      </w:r>
      <w:r>
        <w:t xml:space="preserve">, and </w:t>
      </w:r>
      <w:r w:rsidR="00D65379">
        <w:t>31% of participants had a score of 90+</w:t>
      </w:r>
      <w:r>
        <w:t>.</w:t>
      </w:r>
    </w:p>
    <w:p w:rsidR="00D65379" w:rsidRDefault="001D3F09" w:rsidP="00D65379">
      <w:pPr>
        <w:pStyle w:val="BodyText1"/>
      </w:pPr>
      <w:r>
        <w:t xml:space="preserve">In 2014/2015: </w:t>
      </w:r>
      <w:r w:rsidR="00D65379">
        <w:t>0% of participants had a score of 0</w:t>
      </w:r>
      <w:r>
        <w:t xml:space="preserve">, </w:t>
      </w:r>
      <w:r w:rsidR="00D65379">
        <w:t>0% of participants had a score of 1-9</w:t>
      </w:r>
      <w:r>
        <w:t xml:space="preserve">, </w:t>
      </w:r>
      <w:r w:rsidR="00D65379">
        <w:t>2% of participants had a score of 10-19</w:t>
      </w:r>
      <w:r>
        <w:t xml:space="preserve">, </w:t>
      </w:r>
      <w:r w:rsidR="00D65379">
        <w:t>0% of participants had a score of 20-29</w:t>
      </w:r>
      <w:r>
        <w:t xml:space="preserve">, </w:t>
      </w:r>
      <w:r w:rsidR="00D65379">
        <w:t>0% of participants had a score of 30-39</w:t>
      </w:r>
      <w:r>
        <w:t xml:space="preserve">, </w:t>
      </w:r>
      <w:r w:rsidR="00D65379">
        <w:t>1% of participants had a score of 40-49</w:t>
      </w:r>
      <w:r>
        <w:t xml:space="preserve">, </w:t>
      </w:r>
      <w:r w:rsidR="00D65379">
        <w:t>5% of participants had a score of 50-59</w:t>
      </w:r>
      <w:r>
        <w:t xml:space="preserve">, </w:t>
      </w:r>
      <w:r w:rsidR="00D65379">
        <w:t>4% of participants had a score of 60-69</w:t>
      </w:r>
      <w:r>
        <w:t xml:space="preserve">, </w:t>
      </w:r>
      <w:r w:rsidR="00D65379">
        <w:t>17% of participants had a score of 70-79</w:t>
      </w:r>
      <w:r>
        <w:t xml:space="preserve">, </w:t>
      </w:r>
      <w:r w:rsidR="00D65379">
        <w:t>44% of participants had a score of 80-89</w:t>
      </w:r>
      <w:r>
        <w:t xml:space="preserve">, and </w:t>
      </w:r>
      <w:r w:rsidR="00D65379">
        <w:t>28% of participants had a score of 90+</w:t>
      </w:r>
      <w:r>
        <w:t>.</w:t>
      </w:r>
    </w:p>
    <w:p w:rsidR="00D65379" w:rsidRDefault="001D3F09" w:rsidP="00D65379">
      <w:pPr>
        <w:pStyle w:val="BodyText1"/>
      </w:pPr>
      <w:r>
        <w:t xml:space="preserve">In 2015/2016: </w:t>
      </w:r>
      <w:r w:rsidR="00D65379">
        <w:t>0% of participants had a score of 0</w:t>
      </w:r>
      <w:r>
        <w:t xml:space="preserve">, </w:t>
      </w:r>
      <w:r w:rsidR="00D65379">
        <w:t>0% of participants had a score of 1-9</w:t>
      </w:r>
      <w:r>
        <w:t xml:space="preserve">, </w:t>
      </w:r>
      <w:r w:rsidR="00D65379">
        <w:t>0% of participants had a score of 10-19</w:t>
      </w:r>
      <w:r>
        <w:t xml:space="preserve">, </w:t>
      </w:r>
      <w:r w:rsidR="00D65379">
        <w:t>1% of participants had a score of 20-29</w:t>
      </w:r>
      <w:r>
        <w:t xml:space="preserve">, </w:t>
      </w:r>
      <w:r w:rsidR="00D65379">
        <w:t>0% of participants had a score of 30-39</w:t>
      </w:r>
      <w:r>
        <w:t xml:space="preserve">, </w:t>
      </w:r>
      <w:r w:rsidR="00D65379">
        <w:t>5% of participants had a score of 40-49</w:t>
      </w:r>
      <w:r>
        <w:t xml:space="preserve">, </w:t>
      </w:r>
      <w:r w:rsidR="00D65379">
        <w:t>1% of participants had a score of 50-59</w:t>
      </w:r>
      <w:r>
        <w:t xml:space="preserve">, </w:t>
      </w:r>
      <w:r w:rsidR="00D65379">
        <w:t>9% of participants had a score of 60-69</w:t>
      </w:r>
      <w:r>
        <w:t xml:space="preserve">, </w:t>
      </w:r>
      <w:r w:rsidR="00D65379">
        <w:t>9% of participants had a score of 70-79</w:t>
      </w:r>
      <w:r>
        <w:t xml:space="preserve">, </w:t>
      </w:r>
      <w:r w:rsidR="00D65379">
        <w:t>33% of participants had a score of 80-89</w:t>
      </w:r>
      <w:r>
        <w:t xml:space="preserve">, and </w:t>
      </w:r>
      <w:r w:rsidR="00D65379">
        <w:t>42% of participants had a score of 90+</w:t>
      </w:r>
      <w:r>
        <w:t>.</w:t>
      </w:r>
    </w:p>
    <w:p w:rsidR="00D65379" w:rsidRDefault="001D3F09" w:rsidP="00D65379">
      <w:pPr>
        <w:pStyle w:val="BodyText1"/>
      </w:pPr>
      <w:r>
        <w:t xml:space="preserve">In 2016/2017: </w:t>
      </w:r>
      <w:r w:rsidR="00D65379">
        <w:t>0% of participants had a score of 0</w:t>
      </w:r>
      <w:r w:rsidR="002D4AF4">
        <w:t xml:space="preserve">, </w:t>
      </w:r>
      <w:r w:rsidR="00D65379">
        <w:t>0% of participants had a score of 1-9</w:t>
      </w:r>
      <w:r w:rsidR="002D4AF4">
        <w:t xml:space="preserve">, </w:t>
      </w:r>
      <w:r w:rsidR="00D65379">
        <w:t>0% of participants had a score of 10-19</w:t>
      </w:r>
      <w:r w:rsidR="002D4AF4">
        <w:t xml:space="preserve">, </w:t>
      </w:r>
      <w:r w:rsidR="00D65379">
        <w:t>0% of participants had a score of 20-29</w:t>
      </w:r>
      <w:r w:rsidR="002D4AF4">
        <w:t xml:space="preserve">, </w:t>
      </w:r>
      <w:r w:rsidR="00D65379">
        <w:t>3% of participants had a score of 30-39</w:t>
      </w:r>
      <w:r w:rsidR="002D4AF4">
        <w:t xml:space="preserve">, </w:t>
      </w:r>
      <w:r w:rsidR="00D65379">
        <w:t>1% of participants had a score of 40-49</w:t>
      </w:r>
      <w:r w:rsidR="002D4AF4">
        <w:t xml:space="preserve">, </w:t>
      </w:r>
      <w:r w:rsidR="00D65379">
        <w:t>3% of participants had a score of 50-59</w:t>
      </w:r>
      <w:r w:rsidR="002D4AF4">
        <w:t xml:space="preserve">, </w:t>
      </w:r>
      <w:r w:rsidR="00D65379">
        <w:t>5% of participants had a score of 60-69</w:t>
      </w:r>
      <w:r w:rsidR="002D4AF4">
        <w:t xml:space="preserve">, </w:t>
      </w:r>
      <w:r w:rsidR="00D65379">
        <w:t>18% of participants had a score of 70-79</w:t>
      </w:r>
      <w:r w:rsidR="002D4AF4">
        <w:t xml:space="preserve">, </w:t>
      </w:r>
      <w:r w:rsidR="00D65379">
        <w:t>34% of participants had a score of 80-89</w:t>
      </w:r>
      <w:r w:rsidR="002D4AF4">
        <w:t xml:space="preserve">, and </w:t>
      </w:r>
      <w:r w:rsidR="00D65379">
        <w:t>36% of participants had a score of 90+</w:t>
      </w:r>
      <w:r w:rsidR="002D4AF4">
        <w:t>.</w:t>
      </w:r>
    </w:p>
    <w:p w:rsidR="00D65379" w:rsidRPr="00D65379" w:rsidRDefault="002D4AF4" w:rsidP="00D65379">
      <w:pPr>
        <w:pStyle w:val="BodyText1"/>
      </w:pPr>
      <w:r>
        <w:t xml:space="preserve">In </w:t>
      </w:r>
      <w:r w:rsidR="00D65379">
        <w:t>2017/2018</w:t>
      </w:r>
      <w:r>
        <w:t xml:space="preserve">: </w:t>
      </w:r>
      <w:r w:rsidR="00D65379">
        <w:t>0% of participants had a score of 0</w:t>
      </w:r>
      <w:r>
        <w:t xml:space="preserve">, </w:t>
      </w:r>
      <w:r w:rsidR="00D65379">
        <w:t>0% of participants had a score of 1-9</w:t>
      </w:r>
      <w:r>
        <w:t xml:space="preserve">, </w:t>
      </w:r>
      <w:r w:rsidR="00D65379">
        <w:t>0% of participants had a score of 10-19</w:t>
      </w:r>
      <w:r>
        <w:t xml:space="preserve">, </w:t>
      </w:r>
      <w:r w:rsidR="00D65379">
        <w:t>1% of participants had a score of 20-29</w:t>
      </w:r>
      <w:r>
        <w:t xml:space="preserve">, </w:t>
      </w:r>
      <w:r w:rsidR="00D65379">
        <w:t>2% of participants had a score of 30-39</w:t>
      </w:r>
      <w:r>
        <w:t xml:space="preserve">, </w:t>
      </w:r>
      <w:r w:rsidR="00D65379">
        <w:t>0% of participants had a score of 40-49</w:t>
      </w:r>
      <w:r>
        <w:t xml:space="preserve">, </w:t>
      </w:r>
      <w:r w:rsidR="00D65379">
        <w:t>2% of participants had a score of 50-59</w:t>
      </w:r>
      <w:r>
        <w:t xml:space="preserve">, </w:t>
      </w:r>
      <w:r w:rsidR="00D65379">
        <w:t>5% of participants had a score of 60-69</w:t>
      </w:r>
      <w:r>
        <w:t xml:space="preserve">, </w:t>
      </w:r>
      <w:r w:rsidR="00D65379">
        <w:t>17% of participants had a score of 70-79</w:t>
      </w:r>
      <w:r>
        <w:t xml:space="preserve">, </w:t>
      </w:r>
      <w:r w:rsidR="00D65379">
        <w:t>31% of participants had a score of 80-89</w:t>
      </w:r>
      <w:r>
        <w:t xml:space="preserve">, and </w:t>
      </w:r>
      <w:r w:rsidR="00D65379">
        <w:t>43% of participants had a score of 90+</w:t>
      </w:r>
      <w:r>
        <w:t>.</w:t>
      </w:r>
    </w:p>
    <w:p w:rsidR="002E0AAE" w:rsidRPr="00D65379" w:rsidRDefault="002E0AAE" w:rsidP="00D65379">
      <w:pPr>
        <w:pStyle w:val="BodyText1"/>
        <w:rPr>
          <w:b/>
        </w:rPr>
      </w:pPr>
      <w:r w:rsidRPr="00D65379">
        <w:rPr>
          <w:b/>
        </w:rPr>
        <w:t>MBI exit scores from 2006/07 to 2017/18 for NT</w:t>
      </w:r>
    </w:p>
    <w:p w:rsidR="002D4AF4" w:rsidRDefault="000067DE" w:rsidP="002D4AF4">
      <w:pPr>
        <w:pStyle w:val="BodyText1"/>
      </w:pPr>
      <w:r>
        <w:t xml:space="preserve">In 2006/2007: </w:t>
      </w:r>
      <w:r w:rsidR="002D4AF4">
        <w:t>9% of participants had a score of 0</w:t>
      </w:r>
      <w:r>
        <w:t xml:space="preserve">, </w:t>
      </w:r>
      <w:r w:rsidR="002D4AF4">
        <w:t>5% of participants had a score of 1-9</w:t>
      </w:r>
      <w:r>
        <w:t xml:space="preserve">, </w:t>
      </w:r>
      <w:r w:rsidR="002D4AF4">
        <w:t>0% of participants had a score of 10-19</w:t>
      </w:r>
      <w:r>
        <w:t xml:space="preserve">, </w:t>
      </w:r>
      <w:r w:rsidR="002D4AF4">
        <w:t>5% of participants had a score of 20-29</w:t>
      </w:r>
      <w:r>
        <w:t xml:space="preserve">, </w:t>
      </w:r>
      <w:r w:rsidR="002D4AF4">
        <w:t>5% of participants had a score of 30-39</w:t>
      </w:r>
      <w:r>
        <w:t xml:space="preserve">, </w:t>
      </w:r>
      <w:r w:rsidR="002D4AF4">
        <w:t>9% of participants had a score of 40-49</w:t>
      </w:r>
      <w:r>
        <w:t xml:space="preserve">, </w:t>
      </w:r>
      <w:r w:rsidR="002D4AF4">
        <w:t>23% of participants had a score of 50-59</w:t>
      </w:r>
      <w:r>
        <w:t xml:space="preserve">, </w:t>
      </w:r>
      <w:r w:rsidR="002D4AF4">
        <w:t>5% of participants had a score of 60-69</w:t>
      </w:r>
      <w:r>
        <w:t xml:space="preserve">, </w:t>
      </w:r>
      <w:r w:rsidR="002D4AF4">
        <w:t>27% of participants had a score of 70-79</w:t>
      </w:r>
      <w:r>
        <w:t xml:space="preserve">, </w:t>
      </w:r>
      <w:r w:rsidR="002D4AF4">
        <w:t>9% of participants had a score of 80-89</w:t>
      </w:r>
      <w:r>
        <w:t xml:space="preserve">, and </w:t>
      </w:r>
      <w:r w:rsidR="002D4AF4">
        <w:t>5% of participants had a score of 90+</w:t>
      </w:r>
      <w:r>
        <w:t>.</w:t>
      </w:r>
    </w:p>
    <w:p w:rsidR="002D4AF4" w:rsidRDefault="000067DE" w:rsidP="002D4AF4">
      <w:pPr>
        <w:pStyle w:val="BodyText1"/>
      </w:pPr>
      <w:r>
        <w:t xml:space="preserve">In 2007/2008: </w:t>
      </w:r>
      <w:r w:rsidR="002D4AF4">
        <w:t>6% of participants had a score of 0</w:t>
      </w:r>
      <w:r>
        <w:t xml:space="preserve">, </w:t>
      </w:r>
      <w:r w:rsidR="002D4AF4">
        <w:t>4% of participants had a score of 1-9</w:t>
      </w:r>
      <w:r>
        <w:t xml:space="preserve">, </w:t>
      </w:r>
      <w:r w:rsidR="002D4AF4">
        <w:t>4% of participants had a score of 10-19</w:t>
      </w:r>
      <w:r>
        <w:t xml:space="preserve">, </w:t>
      </w:r>
      <w:r w:rsidR="002D4AF4">
        <w:t>8% of participants had a score of 20-29</w:t>
      </w:r>
      <w:r>
        <w:t xml:space="preserve">, </w:t>
      </w:r>
      <w:r w:rsidR="002D4AF4">
        <w:t>10% of participants had a score of 30-39</w:t>
      </w:r>
      <w:r>
        <w:t xml:space="preserve">, </w:t>
      </w:r>
      <w:r w:rsidR="002D4AF4">
        <w:t>4% of participants had a score of 40-49</w:t>
      </w:r>
      <w:r>
        <w:t xml:space="preserve">, </w:t>
      </w:r>
      <w:r w:rsidR="002D4AF4">
        <w:t>10% of participants had a score of 50-59</w:t>
      </w:r>
      <w:r>
        <w:t xml:space="preserve">, </w:t>
      </w:r>
      <w:r w:rsidR="002D4AF4">
        <w:t>13% of participants had a score of 60-69</w:t>
      </w:r>
      <w:r>
        <w:t xml:space="preserve">, </w:t>
      </w:r>
      <w:r w:rsidR="002D4AF4">
        <w:t>19% of participants had a score of 70-79</w:t>
      </w:r>
      <w:r>
        <w:t xml:space="preserve">, </w:t>
      </w:r>
      <w:r w:rsidR="002D4AF4">
        <w:t>10% of participants had a score of 80-89</w:t>
      </w:r>
      <w:r>
        <w:t xml:space="preserve">, and </w:t>
      </w:r>
      <w:r w:rsidR="002D4AF4">
        <w:t>13% of participants had a score of 90+</w:t>
      </w:r>
      <w:r>
        <w:t>.</w:t>
      </w:r>
    </w:p>
    <w:p w:rsidR="002D4AF4" w:rsidRDefault="000067DE" w:rsidP="002D4AF4">
      <w:pPr>
        <w:pStyle w:val="BodyText1"/>
      </w:pPr>
      <w:r>
        <w:t xml:space="preserve">In 2008/2009: </w:t>
      </w:r>
      <w:r w:rsidR="002D4AF4">
        <w:t>4% of participants had a score of 0</w:t>
      </w:r>
      <w:r>
        <w:t xml:space="preserve">, </w:t>
      </w:r>
      <w:r w:rsidR="002D4AF4">
        <w:t>0% of participants had a score of 1-9</w:t>
      </w:r>
      <w:r>
        <w:t xml:space="preserve">, </w:t>
      </w:r>
      <w:r w:rsidR="002D4AF4">
        <w:t>5% of participants had a score of 10-19</w:t>
      </w:r>
      <w:r>
        <w:t xml:space="preserve">, </w:t>
      </w:r>
      <w:r w:rsidR="002D4AF4">
        <w:t>0% of participants had a score of 20-29</w:t>
      </w:r>
      <w:r>
        <w:t xml:space="preserve">, </w:t>
      </w:r>
      <w:r w:rsidR="002D4AF4">
        <w:t>2% of participants had a score of 30-39</w:t>
      </w:r>
      <w:r>
        <w:t xml:space="preserve">, </w:t>
      </w:r>
      <w:r w:rsidR="002D4AF4">
        <w:t>6% of participants had a score of 40-49</w:t>
      </w:r>
      <w:r>
        <w:t xml:space="preserve">, </w:t>
      </w:r>
      <w:r w:rsidR="002D4AF4">
        <w:t>11% of participants had a score of 50-59</w:t>
      </w:r>
      <w:r>
        <w:t xml:space="preserve">, </w:t>
      </w:r>
      <w:r w:rsidR="002D4AF4">
        <w:t>12% of participants had a score of 60-69</w:t>
      </w:r>
      <w:r>
        <w:t xml:space="preserve">, </w:t>
      </w:r>
      <w:r w:rsidR="002D4AF4">
        <w:t>5% of participants had a score of 70-79</w:t>
      </w:r>
      <w:r>
        <w:t xml:space="preserve">, </w:t>
      </w:r>
      <w:r w:rsidR="002D4AF4">
        <w:t>25% of participants had a score of 80-89</w:t>
      </w:r>
      <w:r>
        <w:t xml:space="preserve">, and </w:t>
      </w:r>
      <w:r w:rsidR="002D4AF4">
        <w:t>30% of participants had a score of 90+</w:t>
      </w:r>
      <w:r>
        <w:t>.</w:t>
      </w:r>
    </w:p>
    <w:p w:rsidR="002D4AF4" w:rsidRDefault="000067DE" w:rsidP="002D4AF4">
      <w:pPr>
        <w:pStyle w:val="BodyText1"/>
      </w:pPr>
      <w:r>
        <w:t xml:space="preserve">In 2009/2010: </w:t>
      </w:r>
      <w:r w:rsidR="002D4AF4">
        <w:t>6% of participants had a score of 0</w:t>
      </w:r>
      <w:r>
        <w:t xml:space="preserve">, </w:t>
      </w:r>
      <w:r w:rsidR="002D4AF4">
        <w:t>0% of participants had a score of 1-9</w:t>
      </w:r>
      <w:r>
        <w:t xml:space="preserve">, </w:t>
      </w:r>
      <w:r w:rsidR="002D4AF4">
        <w:t>0% of participants had a score of 10-19</w:t>
      </w:r>
      <w:r>
        <w:t xml:space="preserve">, </w:t>
      </w:r>
      <w:r w:rsidR="002D4AF4">
        <w:t>1% of participants had a score of 20-29</w:t>
      </w:r>
      <w:r>
        <w:t xml:space="preserve">, </w:t>
      </w:r>
      <w:r w:rsidR="002D4AF4">
        <w:t>1% of participants had a score of 30-39</w:t>
      </w:r>
      <w:r>
        <w:t xml:space="preserve">, </w:t>
      </w:r>
      <w:r w:rsidR="002D4AF4">
        <w:t>1% of participants had a score of 40-49</w:t>
      </w:r>
      <w:r>
        <w:t xml:space="preserve">, </w:t>
      </w:r>
      <w:r w:rsidR="002D4AF4">
        <w:t>4% of participants had a score of 50-59</w:t>
      </w:r>
      <w:r>
        <w:t xml:space="preserve">, </w:t>
      </w:r>
      <w:r w:rsidR="002D4AF4">
        <w:t>5% of participants had a score of 60-69</w:t>
      </w:r>
      <w:r>
        <w:t xml:space="preserve">, </w:t>
      </w:r>
      <w:r w:rsidR="002D4AF4">
        <w:t>12% of participants had a score of 70-79</w:t>
      </w:r>
      <w:r>
        <w:t xml:space="preserve">, </w:t>
      </w:r>
      <w:r w:rsidR="002D4AF4">
        <w:t>28% of participants had a score of 80-89</w:t>
      </w:r>
      <w:r>
        <w:t xml:space="preserve">, and </w:t>
      </w:r>
      <w:r w:rsidR="002D4AF4">
        <w:t>42% of participants had a score of 90+</w:t>
      </w:r>
      <w:r>
        <w:t>.</w:t>
      </w:r>
    </w:p>
    <w:p w:rsidR="002D4AF4" w:rsidRDefault="000067DE" w:rsidP="002D4AF4">
      <w:pPr>
        <w:pStyle w:val="BodyText1"/>
      </w:pPr>
      <w:r>
        <w:t xml:space="preserve">In 2010/2011: </w:t>
      </w:r>
      <w:r w:rsidR="002D4AF4">
        <w:t>1% of participants had a score of 0</w:t>
      </w:r>
      <w:r>
        <w:t xml:space="preserve">, </w:t>
      </w:r>
      <w:r w:rsidR="002D4AF4">
        <w:t>1% of participants had a score of 1-9</w:t>
      </w:r>
      <w:r>
        <w:t xml:space="preserve">, </w:t>
      </w:r>
      <w:r w:rsidR="002D4AF4">
        <w:t>2% of participants had a score of 10-19</w:t>
      </w:r>
      <w:r>
        <w:t xml:space="preserve">, </w:t>
      </w:r>
      <w:r w:rsidR="002D4AF4">
        <w:t>1% of participants had a score of 20-29</w:t>
      </w:r>
      <w:r>
        <w:t xml:space="preserve">, </w:t>
      </w:r>
      <w:r w:rsidR="002D4AF4">
        <w:t>1% of participants had a score of 30-39</w:t>
      </w:r>
      <w:r>
        <w:t xml:space="preserve">, </w:t>
      </w:r>
      <w:r w:rsidR="002D4AF4">
        <w:t>2% of participants had a score of 40-49</w:t>
      </w:r>
      <w:r>
        <w:t xml:space="preserve">, </w:t>
      </w:r>
      <w:r w:rsidR="002D4AF4">
        <w:t>3% of participants had a score of 50-59</w:t>
      </w:r>
      <w:r>
        <w:t xml:space="preserve">, </w:t>
      </w:r>
      <w:r w:rsidR="002D4AF4">
        <w:t>9% of participants had a score of 60-69</w:t>
      </w:r>
      <w:r>
        <w:t xml:space="preserve">, </w:t>
      </w:r>
      <w:r w:rsidR="002D4AF4">
        <w:t>12% of participants had a score of 70-79</w:t>
      </w:r>
      <w:r>
        <w:t xml:space="preserve">, </w:t>
      </w:r>
      <w:r w:rsidR="002D4AF4">
        <w:t>22% of participants had a score of 80-89</w:t>
      </w:r>
      <w:r>
        <w:t xml:space="preserve">, and </w:t>
      </w:r>
      <w:r w:rsidR="002D4AF4">
        <w:t>47% of participants had a score of 90+</w:t>
      </w:r>
      <w:r>
        <w:t>.</w:t>
      </w:r>
    </w:p>
    <w:p w:rsidR="002D4AF4" w:rsidRDefault="000067DE" w:rsidP="002D4AF4">
      <w:pPr>
        <w:pStyle w:val="BodyText1"/>
      </w:pPr>
      <w:r>
        <w:t xml:space="preserve">In 2011/2012: </w:t>
      </w:r>
      <w:r w:rsidR="002D4AF4">
        <w:t>0% of participants had a score of 0</w:t>
      </w:r>
      <w:r>
        <w:t xml:space="preserve">, </w:t>
      </w:r>
      <w:r w:rsidR="002D4AF4">
        <w:t>1% of participants had a score of 1-9</w:t>
      </w:r>
      <w:r>
        <w:t xml:space="preserve">, </w:t>
      </w:r>
      <w:r w:rsidR="002D4AF4">
        <w:t>0% of participants had a score of 10-19</w:t>
      </w:r>
      <w:r>
        <w:t xml:space="preserve">, </w:t>
      </w:r>
      <w:r w:rsidR="002D4AF4">
        <w:t>1% of participants had a score of 20-29</w:t>
      </w:r>
      <w:r>
        <w:t xml:space="preserve">, </w:t>
      </w:r>
      <w:r w:rsidR="002D4AF4">
        <w:t>0% of participants had a score of 30-39</w:t>
      </w:r>
      <w:r>
        <w:t xml:space="preserve">, </w:t>
      </w:r>
      <w:r w:rsidR="002D4AF4">
        <w:t>3% of participants had a score of 40-49</w:t>
      </w:r>
      <w:r>
        <w:t xml:space="preserve">, </w:t>
      </w:r>
      <w:r w:rsidR="002D4AF4">
        <w:t>5% of participants had a score of 50-59</w:t>
      </w:r>
      <w:r>
        <w:t xml:space="preserve">, </w:t>
      </w:r>
      <w:r w:rsidR="002D4AF4">
        <w:t>4% of participants had a score of 60-69</w:t>
      </w:r>
      <w:r>
        <w:t xml:space="preserve">, </w:t>
      </w:r>
      <w:r w:rsidR="002D4AF4">
        <w:t>8% of participants had a score of 70-79</w:t>
      </w:r>
      <w:r>
        <w:t xml:space="preserve">, </w:t>
      </w:r>
      <w:r w:rsidR="002D4AF4">
        <w:t>26% of participants had a score of 80-89</w:t>
      </w:r>
      <w:r>
        <w:t xml:space="preserve">, and </w:t>
      </w:r>
      <w:r w:rsidR="002D4AF4">
        <w:t>53% of participants had a score of 90+</w:t>
      </w:r>
      <w:r>
        <w:t>.</w:t>
      </w:r>
    </w:p>
    <w:p w:rsidR="002D4AF4" w:rsidRDefault="000067DE" w:rsidP="002D4AF4">
      <w:pPr>
        <w:pStyle w:val="BodyText1"/>
      </w:pPr>
      <w:r>
        <w:t xml:space="preserve">In 2012/2013: </w:t>
      </w:r>
      <w:r w:rsidR="002D4AF4">
        <w:t>0% of participants had a score of 0</w:t>
      </w:r>
      <w:r>
        <w:t xml:space="preserve">, </w:t>
      </w:r>
      <w:r w:rsidR="002D4AF4">
        <w:t>0% of participants had a score of 1-9</w:t>
      </w:r>
      <w:r>
        <w:t xml:space="preserve">, </w:t>
      </w:r>
      <w:r w:rsidR="002D4AF4">
        <w:t>2% of participants had a score of 10-19</w:t>
      </w:r>
      <w:r>
        <w:t xml:space="preserve">, </w:t>
      </w:r>
      <w:r w:rsidR="002D4AF4">
        <w:t>0% of participants had a score of 20-29</w:t>
      </w:r>
      <w:r>
        <w:t xml:space="preserve">, </w:t>
      </w:r>
      <w:r w:rsidR="002D4AF4">
        <w:t>0% of participants had a score of 30-39</w:t>
      </w:r>
      <w:r>
        <w:t xml:space="preserve">, </w:t>
      </w:r>
      <w:r w:rsidR="002D4AF4">
        <w:t>2% of participants had a score of 40-49</w:t>
      </w:r>
      <w:r>
        <w:t xml:space="preserve">, </w:t>
      </w:r>
      <w:r w:rsidR="002D4AF4">
        <w:t>1% of participants had a score of 50-59</w:t>
      </w:r>
      <w:r>
        <w:t xml:space="preserve">, </w:t>
      </w:r>
      <w:r w:rsidR="002D4AF4">
        <w:t>6% of participants had a score of 60-69</w:t>
      </w:r>
      <w:r>
        <w:t xml:space="preserve">, </w:t>
      </w:r>
      <w:r w:rsidR="002D4AF4">
        <w:t>6% of participants had a score of 70-79</w:t>
      </w:r>
      <w:r>
        <w:t xml:space="preserve">, </w:t>
      </w:r>
      <w:r w:rsidR="002D4AF4">
        <w:t>27% of participants had a score of 80-89</w:t>
      </w:r>
      <w:r>
        <w:t xml:space="preserve">, and </w:t>
      </w:r>
      <w:r w:rsidR="002D4AF4">
        <w:t>56% of participants had a score of 90+</w:t>
      </w:r>
      <w:r>
        <w:t>.</w:t>
      </w:r>
    </w:p>
    <w:p w:rsidR="002D4AF4" w:rsidRDefault="000067DE" w:rsidP="002D4AF4">
      <w:pPr>
        <w:pStyle w:val="BodyText1"/>
      </w:pPr>
      <w:r>
        <w:t xml:space="preserve">In 2013/2014: </w:t>
      </w:r>
      <w:r w:rsidR="002D4AF4">
        <w:t>1% of participants had a score of 0</w:t>
      </w:r>
      <w:r>
        <w:t xml:space="preserve">, </w:t>
      </w:r>
      <w:r w:rsidR="002D4AF4">
        <w:t>0% of participants had a score of 1-9</w:t>
      </w:r>
      <w:r>
        <w:t xml:space="preserve">, </w:t>
      </w:r>
      <w:r w:rsidR="002D4AF4">
        <w:t>0% of participants had a score of 10-19</w:t>
      </w:r>
      <w:r>
        <w:t xml:space="preserve">, </w:t>
      </w:r>
      <w:r w:rsidR="002D4AF4">
        <w:t>3% of participants had a score of 20-29</w:t>
      </w:r>
      <w:r>
        <w:t xml:space="preserve">, </w:t>
      </w:r>
      <w:r w:rsidR="002D4AF4">
        <w:t>0% of participants had a score of 30-39</w:t>
      </w:r>
      <w:r>
        <w:t xml:space="preserve">, </w:t>
      </w:r>
      <w:r w:rsidR="002D4AF4">
        <w:t>1% of participants had a score of 40-49</w:t>
      </w:r>
      <w:r>
        <w:t xml:space="preserve">, </w:t>
      </w:r>
      <w:r w:rsidR="002D4AF4">
        <w:t>2% of participants had a score of 50-59</w:t>
      </w:r>
      <w:r>
        <w:t xml:space="preserve">, </w:t>
      </w:r>
      <w:r w:rsidR="002D4AF4">
        <w:t>2% of participants had a score of 60-69</w:t>
      </w:r>
      <w:r>
        <w:t xml:space="preserve">, </w:t>
      </w:r>
      <w:r w:rsidR="002D4AF4">
        <w:t>9% of participants had a score of 70-79</w:t>
      </w:r>
      <w:r>
        <w:t xml:space="preserve">, </w:t>
      </w:r>
      <w:r w:rsidR="002D4AF4">
        <w:t>23% of participants had a score of 80-89</w:t>
      </w:r>
      <w:r>
        <w:t xml:space="preserve">, and </w:t>
      </w:r>
      <w:r w:rsidR="002D4AF4">
        <w:t>60% of participants had a score of 90+</w:t>
      </w:r>
      <w:r>
        <w:t>.</w:t>
      </w:r>
    </w:p>
    <w:p w:rsidR="002D4AF4" w:rsidRDefault="000067DE" w:rsidP="002D4AF4">
      <w:pPr>
        <w:pStyle w:val="BodyText1"/>
      </w:pPr>
      <w:r>
        <w:t xml:space="preserve">In 2014/2015: </w:t>
      </w:r>
      <w:r w:rsidR="002D4AF4">
        <w:t>1% of participants had a score of 0</w:t>
      </w:r>
      <w:r>
        <w:t xml:space="preserve">, </w:t>
      </w:r>
      <w:r w:rsidR="002D4AF4">
        <w:t>0% of participants had a score of 1-9</w:t>
      </w:r>
      <w:r>
        <w:t xml:space="preserve">, </w:t>
      </w:r>
      <w:r w:rsidR="002D4AF4">
        <w:t>1% of participants had a score of 10-19</w:t>
      </w:r>
      <w:r>
        <w:t xml:space="preserve">, </w:t>
      </w:r>
      <w:r w:rsidR="002D4AF4">
        <w:t>1% of participants had a score of 20-29</w:t>
      </w:r>
      <w:r>
        <w:t xml:space="preserve">, </w:t>
      </w:r>
      <w:r w:rsidR="002D4AF4">
        <w:t>0% of participants had a score of 30-39</w:t>
      </w:r>
      <w:r>
        <w:t xml:space="preserve">, </w:t>
      </w:r>
      <w:r w:rsidR="002D4AF4">
        <w:t>2% of participants had a score of 40-49</w:t>
      </w:r>
      <w:r>
        <w:t xml:space="preserve">, </w:t>
      </w:r>
      <w:r w:rsidR="002D4AF4">
        <w:t>2% of participants had a score of 50-59</w:t>
      </w:r>
      <w:r>
        <w:t xml:space="preserve">, </w:t>
      </w:r>
      <w:r w:rsidR="002D4AF4">
        <w:t>2% of participants had a score of 60-69</w:t>
      </w:r>
      <w:r>
        <w:t xml:space="preserve">, </w:t>
      </w:r>
      <w:r w:rsidR="002D4AF4">
        <w:t>9% of participants had a score of 70-79</w:t>
      </w:r>
      <w:r>
        <w:t xml:space="preserve">, </w:t>
      </w:r>
      <w:r w:rsidR="002D4AF4">
        <w:t>14% of participants had a score of 80-89</w:t>
      </w:r>
      <w:r>
        <w:t xml:space="preserve">, and </w:t>
      </w:r>
      <w:r w:rsidR="002D4AF4">
        <w:t>70% of participants had a score of 90+</w:t>
      </w:r>
      <w:r>
        <w:t>.</w:t>
      </w:r>
    </w:p>
    <w:p w:rsidR="002D4AF4" w:rsidRDefault="000067DE" w:rsidP="002D4AF4">
      <w:pPr>
        <w:pStyle w:val="BodyText1"/>
      </w:pPr>
      <w:r>
        <w:t xml:space="preserve">In 2015/2016: </w:t>
      </w:r>
      <w:r w:rsidR="002D4AF4">
        <w:t>1% of participants had a score of 0</w:t>
      </w:r>
      <w:r>
        <w:t xml:space="preserve">, </w:t>
      </w:r>
      <w:r w:rsidR="002D4AF4">
        <w:t>0% of participants had a score of 1-9</w:t>
      </w:r>
      <w:r>
        <w:t xml:space="preserve">, </w:t>
      </w:r>
      <w:r w:rsidR="002D4AF4">
        <w:t>2% of participants had a score of 10-19</w:t>
      </w:r>
      <w:r>
        <w:t xml:space="preserve">, </w:t>
      </w:r>
      <w:r w:rsidR="002D4AF4">
        <w:t>0% of participants had a score of 20-29</w:t>
      </w:r>
      <w:r>
        <w:t xml:space="preserve">, </w:t>
      </w:r>
      <w:r w:rsidR="002D4AF4">
        <w:t>2% of participants had a score of 30-39</w:t>
      </w:r>
      <w:r>
        <w:t xml:space="preserve">, </w:t>
      </w:r>
      <w:r w:rsidR="002D4AF4">
        <w:t>2% of participants had a score of 40-49</w:t>
      </w:r>
      <w:r>
        <w:t xml:space="preserve">, </w:t>
      </w:r>
      <w:r w:rsidR="002D4AF4">
        <w:t>2% of participants had a score of 50-59</w:t>
      </w:r>
      <w:r>
        <w:t xml:space="preserve">, </w:t>
      </w:r>
      <w:r w:rsidR="002D4AF4">
        <w:t>5% of participants had a score of 60-69</w:t>
      </w:r>
      <w:r>
        <w:t xml:space="preserve">, </w:t>
      </w:r>
      <w:r w:rsidR="002D4AF4">
        <w:t>4% of participants had a score of 70-79</w:t>
      </w:r>
      <w:r>
        <w:t xml:space="preserve">, </w:t>
      </w:r>
      <w:r w:rsidR="002D4AF4">
        <w:t>13% of participants had a score of 80-89</w:t>
      </w:r>
      <w:r>
        <w:t xml:space="preserve">, and </w:t>
      </w:r>
      <w:r w:rsidR="002D4AF4">
        <w:t>70% of participants had a score of 90+</w:t>
      </w:r>
      <w:r>
        <w:t>.</w:t>
      </w:r>
    </w:p>
    <w:p w:rsidR="002D4AF4" w:rsidRDefault="000067DE" w:rsidP="002D4AF4">
      <w:pPr>
        <w:pStyle w:val="BodyText1"/>
      </w:pPr>
      <w:r>
        <w:t xml:space="preserve">In 2016/2017: </w:t>
      </w:r>
      <w:r w:rsidR="002D4AF4">
        <w:t>5% of participants had a score of 0</w:t>
      </w:r>
      <w:r>
        <w:t xml:space="preserve">, </w:t>
      </w:r>
      <w:r w:rsidR="002D4AF4">
        <w:t>0% of participants had a score of 1-9</w:t>
      </w:r>
      <w:r>
        <w:t xml:space="preserve">, </w:t>
      </w:r>
      <w:r w:rsidR="002D4AF4">
        <w:t>0% of participants had a score of 10-19</w:t>
      </w:r>
      <w:r>
        <w:t xml:space="preserve">, </w:t>
      </w:r>
      <w:r w:rsidR="002D4AF4">
        <w:t>0% of participants had a score of 20-29</w:t>
      </w:r>
      <w:r>
        <w:t xml:space="preserve">, </w:t>
      </w:r>
      <w:r w:rsidR="002D4AF4">
        <w:t>0% of participants had a score of 30-39</w:t>
      </w:r>
      <w:r>
        <w:t xml:space="preserve">, </w:t>
      </w:r>
      <w:r w:rsidR="002D4AF4">
        <w:t>2% of participants had a score of 40-49</w:t>
      </w:r>
      <w:r>
        <w:t xml:space="preserve">, </w:t>
      </w:r>
      <w:r w:rsidR="002D4AF4">
        <w:t>3% of participants had a score of 50-59</w:t>
      </w:r>
      <w:r>
        <w:t xml:space="preserve">, </w:t>
      </w:r>
      <w:r w:rsidR="002D4AF4">
        <w:t>2% of participants had a score of 60-69</w:t>
      </w:r>
      <w:r>
        <w:t xml:space="preserve">, </w:t>
      </w:r>
      <w:r w:rsidR="002D4AF4">
        <w:t>6% of participants had a score of 70-79</w:t>
      </w:r>
      <w:r>
        <w:t xml:space="preserve">, </w:t>
      </w:r>
      <w:r w:rsidR="002D4AF4">
        <w:t>20% of participants had a score of 80-89</w:t>
      </w:r>
      <w:r>
        <w:t xml:space="preserve">, and </w:t>
      </w:r>
      <w:r w:rsidR="002D4AF4">
        <w:t>62% of participants had a score of 90+</w:t>
      </w:r>
      <w:r>
        <w:t>.</w:t>
      </w:r>
    </w:p>
    <w:p w:rsidR="00D65379" w:rsidRPr="00D65379" w:rsidRDefault="000067DE" w:rsidP="00D65379">
      <w:pPr>
        <w:pStyle w:val="BodyText1"/>
        <w:sectPr w:rsidR="00D65379" w:rsidRPr="00D65379" w:rsidSect="006D476F">
          <w:headerReference w:type="even" r:id="rId44"/>
          <w:headerReference w:type="default" r:id="rId45"/>
          <w:headerReference w:type="first" r:id="rId46"/>
          <w:pgSz w:w="11906" w:h="16838"/>
          <w:pgMar w:top="1418" w:right="1418" w:bottom="1418" w:left="1418" w:header="709" w:footer="709" w:gutter="0"/>
          <w:cols w:space="708"/>
          <w:docGrid w:linePitch="360"/>
        </w:sectPr>
      </w:pPr>
      <w:r>
        <w:t xml:space="preserve">In </w:t>
      </w:r>
      <w:r w:rsidR="002D4AF4">
        <w:t>2017/2018</w:t>
      </w:r>
      <w:r>
        <w:t xml:space="preserve">: </w:t>
      </w:r>
      <w:r w:rsidR="002D4AF4">
        <w:t>5% of participants had a score of 0</w:t>
      </w:r>
      <w:r>
        <w:t xml:space="preserve">, </w:t>
      </w:r>
      <w:r w:rsidR="002D4AF4">
        <w:t>0% of participants had a score of 1-9</w:t>
      </w:r>
      <w:r>
        <w:t xml:space="preserve">, </w:t>
      </w:r>
      <w:r w:rsidR="002D4AF4">
        <w:t>0% of participants had a score of 10-19</w:t>
      </w:r>
      <w:r>
        <w:t xml:space="preserve">, </w:t>
      </w:r>
      <w:r w:rsidR="002D4AF4">
        <w:t>1% of participants had a score of 20-29</w:t>
      </w:r>
      <w:r>
        <w:t xml:space="preserve">, </w:t>
      </w:r>
      <w:r w:rsidR="002D4AF4">
        <w:t>3% of participants had a score of 30-39</w:t>
      </w:r>
      <w:r>
        <w:t xml:space="preserve">, </w:t>
      </w:r>
      <w:r w:rsidR="002D4AF4">
        <w:t>1% of participants had a score of 40-49</w:t>
      </w:r>
      <w:r>
        <w:t xml:space="preserve">, </w:t>
      </w:r>
      <w:r w:rsidR="002D4AF4">
        <w:t>0% of participants had a score of 50-59</w:t>
      </w:r>
      <w:r>
        <w:t xml:space="preserve">, </w:t>
      </w:r>
      <w:r w:rsidR="002D4AF4">
        <w:t>5% of participants had a score of 60-69</w:t>
      </w:r>
      <w:r>
        <w:t xml:space="preserve">, </w:t>
      </w:r>
      <w:r w:rsidR="002D4AF4">
        <w:t>5% of participants had a score of 70-79</w:t>
      </w:r>
      <w:r>
        <w:t xml:space="preserve">, </w:t>
      </w:r>
      <w:r w:rsidR="002D4AF4">
        <w:t>17% of participants had a score of 80-89</w:t>
      </w:r>
      <w:r>
        <w:t xml:space="preserve">, and </w:t>
      </w:r>
      <w:r w:rsidR="002D4AF4">
        <w:t>64% of participants had a score of 90+</w:t>
      </w:r>
      <w:r>
        <w:t>.</w:t>
      </w:r>
    </w:p>
    <w:p w:rsidR="00C70BF6" w:rsidRDefault="009E0E25" w:rsidP="009E0E25">
      <w:pPr>
        <w:pStyle w:val="AppendixHeading3"/>
        <w:rPr>
          <w:lang w:val="en-GB"/>
        </w:rPr>
      </w:pPr>
      <w:r>
        <w:rPr>
          <w:lang w:val="en-GB"/>
        </w:rPr>
        <w:t>Changes to the proportion of MBI scores</w:t>
      </w:r>
    </w:p>
    <w:p w:rsidR="009E0E25" w:rsidRPr="009E0E25" w:rsidRDefault="009E0E25" w:rsidP="009E0E25">
      <w:pPr>
        <w:pStyle w:val="BodyText1"/>
        <w:rPr>
          <w:lang w:val="en-GB"/>
        </w:rPr>
      </w:pPr>
      <w:r w:rsidRPr="009E0E25">
        <w:rPr>
          <w:lang w:val="en-GB"/>
        </w:rPr>
        <w:t xml:space="preserve">The graphs below illustrate the </w:t>
      </w:r>
      <w:r>
        <w:rPr>
          <w:lang w:val="en-GB"/>
        </w:rPr>
        <w:t xml:space="preserve">change in </w:t>
      </w:r>
      <w:r w:rsidRPr="009E0E25">
        <w:rPr>
          <w:lang w:val="en-GB"/>
        </w:rPr>
        <w:t>proportion of individuals in any given category</w:t>
      </w:r>
      <w:r>
        <w:rPr>
          <w:lang w:val="en-GB"/>
        </w:rPr>
        <w:t xml:space="preserve"> of the MBI</w:t>
      </w:r>
      <w:r w:rsidRPr="009E0E25">
        <w:rPr>
          <w:lang w:val="en-GB"/>
        </w:rPr>
        <w:t xml:space="preserve">. Specifically, the change in the proportion of care recipients in a particular functional </w:t>
      </w:r>
      <w:r>
        <w:rPr>
          <w:szCs w:val="20"/>
        </w:rPr>
        <w:t>category</w:t>
      </w:r>
      <w:r>
        <w:rPr>
          <w:rStyle w:val="FootnoteReference"/>
          <w:szCs w:val="20"/>
        </w:rPr>
        <w:footnoteReference w:id="100"/>
      </w:r>
      <w:r>
        <w:rPr>
          <w:szCs w:val="20"/>
        </w:rPr>
        <w:t xml:space="preserve"> at </w:t>
      </w:r>
      <w:r w:rsidRPr="009E0E25">
        <w:rPr>
          <w:lang w:val="en-GB"/>
        </w:rPr>
        <w:t>discharge. For example, the national graph shows consistently positive values for ‘slight dependency’ meaning that the proportion o</w:t>
      </w:r>
      <w:r>
        <w:rPr>
          <w:lang w:val="en-GB"/>
        </w:rPr>
        <w:t>f</w:t>
      </w:r>
      <w:r w:rsidRPr="009E0E25">
        <w:rPr>
          <w:lang w:val="en-GB"/>
        </w:rPr>
        <w:t xml:space="preserve"> individuals in this category has increased from admission to discharge. The same trend can be seen across jurisdictions suggesting that </w:t>
      </w:r>
      <w:r>
        <w:rPr>
          <w:lang w:val="en-GB"/>
        </w:rPr>
        <w:t xml:space="preserve">in each State or </w:t>
      </w:r>
      <w:r w:rsidRPr="009E0E25">
        <w:rPr>
          <w:lang w:val="en-GB"/>
        </w:rPr>
        <w:t xml:space="preserve">Territory care recipients </w:t>
      </w:r>
      <w:r>
        <w:rPr>
          <w:lang w:val="en-GB"/>
        </w:rPr>
        <w:t xml:space="preserve">are </w:t>
      </w:r>
      <w:r w:rsidRPr="009E0E25">
        <w:rPr>
          <w:lang w:val="en-GB"/>
        </w:rPr>
        <w:t xml:space="preserve">moving into higher functioning categories. This is correlated by the fact that ‘moderate’ and ‘severe’ dependency consistently show negative values suggesting care recipients are moving out of these categories over the course of care. </w:t>
      </w:r>
    </w:p>
    <w:p w:rsidR="00485E03" w:rsidRDefault="009E0E25" w:rsidP="009E0E25">
      <w:pPr>
        <w:pStyle w:val="BodyText1"/>
        <w:rPr>
          <w:lang w:val="en-GB"/>
        </w:rPr>
      </w:pPr>
      <w:r>
        <w:rPr>
          <w:lang w:val="en-GB"/>
        </w:rPr>
        <w:t>Both q</w:t>
      </w:r>
      <w:r w:rsidRPr="009E0E25">
        <w:rPr>
          <w:lang w:val="en-GB"/>
        </w:rPr>
        <w:t xml:space="preserve">ualitative </w:t>
      </w:r>
      <w:r>
        <w:rPr>
          <w:lang w:val="en-GB"/>
        </w:rPr>
        <w:t xml:space="preserve">and quantitative </w:t>
      </w:r>
      <w:r w:rsidRPr="009E0E25">
        <w:rPr>
          <w:lang w:val="en-GB"/>
        </w:rPr>
        <w:t>evidence suggests that the increases in ‘total dependency’ over the course of t</w:t>
      </w:r>
      <w:r w:rsidR="00931CA8">
        <w:rPr>
          <w:lang w:val="en-GB"/>
        </w:rPr>
        <w:t>he P</w:t>
      </w:r>
      <w:r w:rsidRPr="009E0E25">
        <w:rPr>
          <w:lang w:val="en-GB"/>
        </w:rPr>
        <w:t>rogram</w:t>
      </w:r>
      <w:r w:rsidR="00931CA8">
        <w:rPr>
          <w:lang w:val="en-GB"/>
        </w:rPr>
        <w:t>me</w:t>
      </w:r>
      <w:r w:rsidRPr="009E0E25">
        <w:rPr>
          <w:lang w:val="en-GB"/>
        </w:rPr>
        <w:t xml:space="preserve"> are due to care recipients leaving the </w:t>
      </w:r>
      <w:r w:rsidR="00931CA8">
        <w:rPr>
          <w:lang w:val="en-GB"/>
        </w:rPr>
        <w:t>P</w:t>
      </w:r>
      <w:r w:rsidRPr="009E0E25">
        <w:rPr>
          <w:lang w:val="en-GB"/>
        </w:rPr>
        <w:t>rogram</w:t>
      </w:r>
      <w:r w:rsidR="00931CA8">
        <w:rPr>
          <w:lang w:val="en-GB"/>
        </w:rPr>
        <w:t>me</w:t>
      </w:r>
      <w:r w:rsidRPr="009E0E25">
        <w:rPr>
          <w:lang w:val="en-GB"/>
        </w:rPr>
        <w:t xml:space="preserve"> </w:t>
      </w:r>
      <w:r>
        <w:rPr>
          <w:lang w:val="en-GB"/>
        </w:rPr>
        <w:t xml:space="preserve">– largely to attend hospital or through death – </w:t>
      </w:r>
      <w:r w:rsidRPr="009E0E25">
        <w:rPr>
          <w:lang w:val="en-GB"/>
        </w:rPr>
        <w:t>being</w:t>
      </w:r>
      <w:r>
        <w:rPr>
          <w:lang w:val="en-GB"/>
        </w:rPr>
        <w:t xml:space="preserve"> given zero scores.</w:t>
      </w:r>
      <w:r w:rsidR="00485E03">
        <w:rPr>
          <w:lang w:val="en-GB"/>
        </w:rPr>
        <w:br w:type="page"/>
      </w:r>
    </w:p>
    <w:p w:rsidR="00485E03" w:rsidRPr="00485E03" w:rsidRDefault="00485E03" w:rsidP="005D2C05">
      <w:pPr>
        <w:pStyle w:val="Caption"/>
      </w:pPr>
      <w:r>
        <w:t xml:space="preserve">Figure </w:t>
      </w:r>
      <w:r w:rsidR="006C6B66">
        <w:rPr>
          <w:noProof/>
        </w:rPr>
        <w:fldChar w:fldCharType="begin"/>
      </w:r>
      <w:r w:rsidR="006C6B66">
        <w:rPr>
          <w:noProof/>
        </w:rPr>
        <w:instrText xml:space="preserve"> SEQ Figure \* ARABIC </w:instrText>
      </w:r>
      <w:r w:rsidR="006C6B66">
        <w:rPr>
          <w:noProof/>
        </w:rPr>
        <w:fldChar w:fldCharType="separate"/>
      </w:r>
      <w:r w:rsidR="00DD20F5">
        <w:rPr>
          <w:noProof/>
        </w:rPr>
        <w:t>16</w:t>
      </w:r>
      <w:r w:rsidR="006C6B66">
        <w:rPr>
          <w:noProof/>
        </w:rPr>
        <w:fldChar w:fldCharType="end"/>
      </w:r>
      <w:r w:rsidRPr="00485E03">
        <w:t xml:space="preserve">: Change in the proportion of MBI scores nationally </w:t>
      </w:r>
    </w:p>
    <w:p w:rsidR="00BD78BF" w:rsidRDefault="00BD78BF" w:rsidP="00485E03">
      <w:pPr>
        <w:spacing w:before="0" w:after="160" w:line="259" w:lineRule="auto"/>
        <w:rPr>
          <w:rFonts w:eastAsia="Calibri" w:cs="Times New Roman"/>
          <w:szCs w:val="20"/>
        </w:rPr>
      </w:pPr>
      <w:r>
        <w:rPr>
          <w:rFonts w:eastAsia="Calibri" w:cs="Times New Roman"/>
          <w:noProof/>
          <w:szCs w:val="20"/>
          <w:lang w:val="en-GB" w:eastAsia="en-GB"/>
        </w:rPr>
        <w:drawing>
          <wp:inline distT="0" distB="0" distL="0" distR="0" wp14:anchorId="1DA07DE8">
            <wp:extent cx="9010650" cy="5414010"/>
            <wp:effectExtent l="0" t="0" r="0" b="0"/>
            <wp:docPr id="13" name="Picture 13" descr="In 2006/2007, from admission to discharge, the proportion of participants with an MBI score of: &#10;0-19 increased by 13%&#10;20-59 decreased by 12%&#10;60-89 decreased by 21%&#10;90+ increased by 20%&#10;&#10;In 2007/2008, from admission to discharge, the proportion of participants with an MBI score of: &#10;0-19 increased by 12%&#10;20-59 decreased by 10%&#10;60-89 decreased by 24%&#10;90+ increased by 22%&#10;&#10;In 2008/2009, from admission to discharge, the proportion of participants with an MBI score of: &#10;0-19 increased by 13%&#10;20-59 decreased by 11%&#10;60-89 decreased by 25%&#10;90+ increased by 23%&#10;&#10;In 2009/2010, from admission to discharge, the proportion of participants with an MBI score of: &#10;0-19 increased by 12%&#10;20-59 decreased by 10%&#10;60-89 decreased by 26%&#10;90+ increased by 24%&#10;&#10;In 2010/2011, from admission to discharge, the proportion of participants with an MBI score of: &#10;0-19 increased by 15%&#10;20-59 decreased by 10%&#10;60-89 decreased by 28%&#10;90+ increased by 23%&#10;&#10;In 2011/2012, from admission to discharge, the proportion of participants with an MBI score of: &#10;0-19 increased by 16%&#10;20-59 decreased by 10%&#10;60-89 decreased by 29%&#10;90+ increased by 23%&#10;&#10;In 2012/2013;&#10;From admission to discharge, the proportion of participants with an MBI score of: &#10;0-19 increased by 17%&#10;20-59 decreased by 11%&#10;60-89 decreased by 29%&#10;90+ increased by 23%&#10;&#10;In 2013/2014, from admission to discharge, the proportion of participants with an MBI score of: &#10;0-19 increased by 16%&#10;20-59 decreased by 11%&#10;60-89 decreased by 28%&#10;90+ increased by 23%&#10;&#10;In 2014/2015, from admission to discharge, the proportion of participants with an MBI score of:&#10;0-19 increased by 16%&#10;20-59 decreased by 12%&#10;60-89 decreased by 27%&#10;90+ increased by 23%&#10;&#10;In 2015/2016, from admission to discharge, the proportion of participants with an MBI score of:&#10;0-19 increased by 15%&#10;20-59 decreased by 11%&#10;60-89 decreased by 26%&#10;90+ increased by 23%&#10;&#10;In 2016/2017, from admission to discharge, the proportion of participants with an MBI score of:&#10;0-19 increased by 17%&#10;20-59 decreased by 12%&#10;60-89 decreased by 27%&#10;90+ increased by 22%&#10;&#10;In 2017/2018, from admission to discharge, the proportion of participants with an MBI score of:&#10;0-19 increased by 17%&#10;20-59 decreased by 13%&#10;60-89 decreased by 26%&#10;90+ increased by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10650" cy="5414010"/>
                    </a:xfrm>
                    <a:prstGeom prst="rect">
                      <a:avLst/>
                    </a:prstGeom>
                    <a:noFill/>
                  </pic:spPr>
                </pic:pic>
              </a:graphicData>
            </a:graphic>
          </wp:inline>
        </w:drawing>
      </w:r>
    </w:p>
    <w:p w:rsidR="008343A8" w:rsidRDefault="008343A8" w:rsidP="00485E03">
      <w:pPr>
        <w:spacing w:before="0" w:after="160" w:line="259" w:lineRule="auto"/>
        <w:rPr>
          <w:rFonts w:eastAsia="Calibri" w:cs="Times New Roman"/>
          <w:szCs w:val="20"/>
        </w:rPr>
      </w:pPr>
    </w:p>
    <w:p w:rsidR="00485E03" w:rsidRPr="00485E03" w:rsidRDefault="00485E03" w:rsidP="005D2C05">
      <w:pPr>
        <w:pStyle w:val="Caption"/>
      </w:pPr>
      <w:r>
        <w:t xml:space="preserve">Figure </w:t>
      </w:r>
      <w:r w:rsidR="00522748">
        <w:rPr>
          <w:noProof/>
        </w:rPr>
        <w:fldChar w:fldCharType="begin"/>
      </w:r>
      <w:r w:rsidR="00522748">
        <w:rPr>
          <w:noProof/>
        </w:rPr>
        <w:instrText xml:space="preserve"> SEQ Figure \* ARABIC </w:instrText>
      </w:r>
      <w:r w:rsidR="00522748">
        <w:rPr>
          <w:noProof/>
        </w:rPr>
        <w:fldChar w:fldCharType="separate"/>
      </w:r>
      <w:r w:rsidR="00DD20F5">
        <w:rPr>
          <w:noProof/>
        </w:rPr>
        <w:t>17</w:t>
      </w:r>
      <w:r w:rsidR="00522748">
        <w:rPr>
          <w:noProof/>
        </w:rPr>
        <w:fldChar w:fldCharType="end"/>
      </w:r>
      <w:r w:rsidRPr="00485E03">
        <w:t xml:space="preserve">: Change in the proportion of MBI scores </w:t>
      </w:r>
      <w:r w:rsidR="00D53617">
        <w:t>in NSW</w:t>
      </w:r>
    </w:p>
    <w:p w:rsidR="00D53617" w:rsidRDefault="00D53617" w:rsidP="005D2C05">
      <w:pPr>
        <w:spacing w:before="0" w:after="160" w:line="259" w:lineRule="auto"/>
        <w:rPr>
          <w:rFonts w:ascii="Calibri" w:eastAsia="Calibri" w:hAnsi="Calibri" w:cs="Times New Roman"/>
          <w:noProof/>
          <w:sz w:val="22"/>
          <w:lang w:eastAsia="en-AU"/>
        </w:rPr>
      </w:pPr>
      <w:r>
        <w:rPr>
          <w:rFonts w:ascii="Calibri" w:eastAsia="Calibri" w:hAnsi="Calibri" w:cs="Times New Roman"/>
          <w:noProof/>
          <w:sz w:val="22"/>
          <w:lang w:val="en-GB" w:eastAsia="en-GB"/>
        </w:rPr>
        <w:drawing>
          <wp:inline distT="0" distB="0" distL="0" distR="0" wp14:anchorId="69577EA6">
            <wp:extent cx="8651240" cy="2529840"/>
            <wp:effectExtent l="0" t="0" r="0" b="3810"/>
            <wp:docPr id="14" name="Picture 14" descr="In 2006/2007, from admission to discharge, the proportion of participants with an MBI score of: &#10;0-19 increased by 20%&#10;20-59 decreased by 61%&#10;60-89 decreased by 32%&#10;90+ increased by 25%&#10;&#10;In 2007/2008, from admission to discharge, the proportion of participants with an MBI score of: &#10;0-19 increased by 15%&#10;20-59 decreased by 8%&#10;60-89 decreased by 36%&#10;90+ increased by 29%&#10;&#10;In 2008/2009, from admission to discharge, the proportion of participants with an MBI score of: &#10;0-19 increased by 16%&#10;20-59 decreased by 8%&#10;60-89 decreased by 35%&#10;90+ increased by 27%&#10;&#10;In 2009/2010, from admission to discharge, the proportion of participants with an MBI score of: &#10;0-19 increased by 16%&#10;20-59 decreased by 6%&#10;60-89 decreased by 39%&#10;90+ increased by 29%&#10;&#10;In 2010/2011, from admission to discharge, the proportion of participants with an MBI score of: &#10;0-19 increased by 17%&#10;20-59 decreased by 6%&#10;60-89 decreased by 40%&#10;90+ increased by 29%&#10;&#10;In 2011/2012, from admission to discharge, the proportion of participants with an MBI score of: &#10;0-19 increased by 18%&#10;20-59 decreased by 6%&#10;60-89 decreased by 40%&#10;90+ increased by 28%&#10;&#10;In 2012/2013;&#10;From admission to discharge, the proportion of participants with an MBI score of: &#10;0-19 increased by 19%&#10;20-59 decreased by 7%&#10;60-89 decreased by 41%&#10;90+ increased by 29%&#10;&#10;In 2013/2014, from admission to discharge, the proportion of participants with an MBI score of: &#10;0-19 increased by 19%&#10;20-59 decreased by 7%&#10;60-89 decreased by 41%&#10;90+ increased by 29%&#10;&#10;In 2014/2015, from admission to discharge, the proportion of participants with an MBI score of:&#10;0-19 increased by 18%&#10;20-59 decreased by 7%&#10;60-89 decreased by 41%&#10;90+ increased by 30%&#10;&#10;In 2015/2016, from admission to discharge, the proportion of participants with an MBI score of:&#10;0-19 increased by 18%&#10;20-59 decreased by 7%&#10;60-89 decreased by 39%&#10;90+ increased by 28%&#10;&#10;In 2016/2017, from admission to discharge, the proportion of participants with an MBI score of:&#10;0-19 increased by 19%&#10;20-59 decreased by 7%&#10;60-89 decreased by 41%&#10;90+ increased by 29%&#10;&#10;In 2017/2018, from admission to discharge, the proportion of participants with an MBI score of:&#10;0-19 increased by 20%&#10;20-59 decreased by 7%&#10;60-89 decreased by 42%&#10;90+ increased by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51240" cy="2529840"/>
                    </a:xfrm>
                    <a:prstGeom prst="rect">
                      <a:avLst/>
                    </a:prstGeom>
                    <a:noFill/>
                  </pic:spPr>
                </pic:pic>
              </a:graphicData>
            </a:graphic>
          </wp:inline>
        </w:drawing>
      </w:r>
    </w:p>
    <w:p w:rsidR="00485E03" w:rsidRDefault="00485E03" w:rsidP="005D2C05">
      <w:pPr>
        <w:spacing w:before="0" w:after="160" w:line="259" w:lineRule="auto"/>
        <w:rPr>
          <w:i/>
          <w:iCs/>
          <w:color w:val="44546A" w:themeColor="text2"/>
          <w:sz w:val="18"/>
          <w:szCs w:val="18"/>
        </w:rPr>
      </w:pPr>
      <w:r w:rsidRPr="005D2C05">
        <w:rPr>
          <w:i/>
          <w:iCs/>
          <w:color w:val="44546A" w:themeColor="text2"/>
          <w:sz w:val="18"/>
          <w:szCs w:val="18"/>
        </w:rPr>
        <w:t xml:space="preserve">Figure </w:t>
      </w:r>
      <w:r w:rsidR="00522748" w:rsidRPr="005D2C05">
        <w:rPr>
          <w:i/>
          <w:iCs/>
          <w:color w:val="44546A" w:themeColor="text2"/>
          <w:sz w:val="18"/>
          <w:szCs w:val="18"/>
        </w:rPr>
        <w:fldChar w:fldCharType="begin"/>
      </w:r>
      <w:r w:rsidR="00522748" w:rsidRPr="005D2C05">
        <w:rPr>
          <w:i/>
          <w:iCs/>
          <w:color w:val="44546A" w:themeColor="text2"/>
          <w:sz w:val="18"/>
          <w:szCs w:val="18"/>
        </w:rPr>
        <w:instrText xml:space="preserve"> SEQ Figure \* ARABIC </w:instrText>
      </w:r>
      <w:r w:rsidR="00522748" w:rsidRPr="005D2C05">
        <w:rPr>
          <w:i/>
          <w:iCs/>
          <w:color w:val="44546A" w:themeColor="text2"/>
          <w:sz w:val="18"/>
          <w:szCs w:val="18"/>
        </w:rPr>
        <w:fldChar w:fldCharType="separate"/>
      </w:r>
      <w:r w:rsidR="00DD20F5">
        <w:rPr>
          <w:i/>
          <w:iCs/>
          <w:noProof/>
          <w:color w:val="44546A" w:themeColor="text2"/>
          <w:sz w:val="18"/>
          <w:szCs w:val="18"/>
        </w:rPr>
        <w:t>18</w:t>
      </w:r>
      <w:r w:rsidR="00522748" w:rsidRPr="005D2C05">
        <w:rPr>
          <w:i/>
          <w:iCs/>
          <w:color w:val="44546A" w:themeColor="text2"/>
          <w:sz w:val="18"/>
          <w:szCs w:val="18"/>
        </w:rPr>
        <w:fldChar w:fldCharType="end"/>
      </w:r>
      <w:r w:rsidRPr="005D2C05">
        <w:rPr>
          <w:i/>
          <w:iCs/>
          <w:color w:val="44546A" w:themeColor="text2"/>
          <w:sz w:val="18"/>
          <w:szCs w:val="18"/>
        </w:rPr>
        <w:t xml:space="preserve">: Change in the proportion of MBI scores </w:t>
      </w:r>
      <w:r w:rsidR="00D53617">
        <w:rPr>
          <w:i/>
          <w:iCs/>
          <w:color w:val="44546A" w:themeColor="text2"/>
          <w:sz w:val="18"/>
          <w:szCs w:val="18"/>
        </w:rPr>
        <w:t>in VIC</w:t>
      </w:r>
    </w:p>
    <w:p w:rsidR="00D53617" w:rsidRDefault="00D53617" w:rsidP="005D2C05">
      <w:pPr>
        <w:spacing w:before="0" w:after="160" w:line="259" w:lineRule="auto"/>
        <w:rPr>
          <w:rFonts w:ascii="Calibri" w:hAnsi="Calibri"/>
          <w:noProof/>
          <w:sz w:val="22"/>
          <w:lang w:eastAsia="en-AU"/>
        </w:rPr>
      </w:pPr>
      <w:r>
        <w:rPr>
          <w:rFonts w:ascii="Calibri" w:hAnsi="Calibri"/>
          <w:noProof/>
          <w:sz w:val="22"/>
          <w:lang w:val="en-GB" w:eastAsia="en-GB"/>
        </w:rPr>
        <w:drawing>
          <wp:inline distT="0" distB="0" distL="0" distR="0" wp14:anchorId="03BD5CAB">
            <wp:extent cx="8651240" cy="2529840"/>
            <wp:effectExtent l="0" t="0" r="0" b="3810"/>
            <wp:docPr id="15" name="Picture 15" descr="In 2006/2007, from admission to discharge, the proportion of participants with an MBI score of: &#10;0-19 increased by 8%&#10;20-59 decreased by 8%&#10;60-89 decreased by 6%&#10;90+ increased by 6%&#10;&#10;In 2007/2008, from admission to discharge, the proportion of participants with an MBI score of: &#10;0-19 increased by 8%&#10;20-59 decreased by 10%&#10;60-89 decreased by 6%&#10;90+ increased by 8%&#10;&#10;In 2008/2009, from admission to discharge, the proportion of participants with an MBI score of: &#10;0-19 increased by 10%&#10;20-59 decreased by 9%&#10;60-89 decreased by 11%&#10;90+ increased by 10%&#10;&#10;In 2009/2010, from admission to discharge, the proportion of participants with an MBI score of: &#10;0-19 increased by 10%&#10;20-59 decreased by 9%&#10;60-89 decreased by 11%&#10;90+ increased by 10%&#10;&#10;In 2010/2011, from admission to discharge, the proportion of participants with an MBI score of: &#10;0-19 increased by 19%&#10;20-59 decreased by 11%&#10;60-89 decreased by 17%&#10;90+ increased by 9%&#10;&#10;In 2011/2012, from admission to discharge, the proportion of participants with an MBI score of: &#10;0-19 increased by 21%&#10;20-59 decreased by 13%&#10;60-89 decreased by 19%&#10;90+ increased by 11%&#10;&#10;In 2012/2013;&#10;From admission to discharge, the proportion of participants with an MBI score of: &#10;0-19 increased by 20%&#10;20-59 decreased by 13%&#10;60-89 decreased by 19%&#10;90+ increased by 12%&#10;&#10;In 2013/2014, from admission to discharge, the proportion of participants with an MBI score of: &#10;0-19 increased by 20%&#10;20-59 decreased by 13%&#10;60-89 decreased by 17%&#10;90+ increased by 11%&#10;&#10;In 2014/2015, from admission to discharge, the proportion of participants with an MBI score of:&#10;0-19 increased by 21%&#10;20-59 decreased by 14%&#10;60-89 decreased by 17%&#10;90+ increased by 10%&#10;&#10;In 2015/2016, from admission to discharge, the proportion of participants with an MBI score of:&#10;0-19 increased by 19%&#10;20-59 decreased by 14%&#10;60-89 decreased by 16%&#10;90+ increased by 11%&#10;&#10;In 2016/2017, from admission to discharge, the proportion of participants with an MBI score of:&#10;0-19 increased by 19%&#10;20-59 decreased by 14%&#10;60-89 decreased by 16%&#10;90+ increased by 10%&#10;&#10;In 2017/2018, from admission to discharge, the proportion of participants with an MBI score of:&#10;0-19 increased by 20%&#10;20-59 decreased by 15%&#10;60-89 decreased by 16%&#10;90+ increased 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51240" cy="2529840"/>
                    </a:xfrm>
                    <a:prstGeom prst="rect">
                      <a:avLst/>
                    </a:prstGeom>
                    <a:noFill/>
                  </pic:spPr>
                </pic:pic>
              </a:graphicData>
            </a:graphic>
          </wp:inline>
        </w:drawing>
      </w:r>
    </w:p>
    <w:p w:rsidR="00485E03" w:rsidRPr="00485E03" w:rsidRDefault="00485E03" w:rsidP="005D2C05">
      <w:pPr>
        <w:pStyle w:val="Caption"/>
      </w:pPr>
      <w:r>
        <w:t xml:space="preserve">Figure </w:t>
      </w:r>
      <w:r w:rsidR="00522748">
        <w:rPr>
          <w:noProof/>
        </w:rPr>
        <w:fldChar w:fldCharType="begin"/>
      </w:r>
      <w:r w:rsidR="00522748">
        <w:rPr>
          <w:noProof/>
        </w:rPr>
        <w:instrText xml:space="preserve"> SEQ Figure \* ARABIC </w:instrText>
      </w:r>
      <w:r w:rsidR="00522748">
        <w:rPr>
          <w:noProof/>
        </w:rPr>
        <w:fldChar w:fldCharType="separate"/>
      </w:r>
      <w:r w:rsidR="00DD20F5">
        <w:rPr>
          <w:noProof/>
        </w:rPr>
        <w:t>19</w:t>
      </w:r>
      <w:r w:rsidR="00522748">
        <w:rPr>
          <w:noProof/>
        </w:rPr>
        <w:fldChar w:fldCharType="end"/>
      </w:r>
      <w:r w:rsidRPr="00485E03">
        <w:t xml:space="preserve">: Change in the proportion of MBI scores </w:t>
      </w:r>
      <w:r w:rsidR="00D53617">
        <w:t>in QLD</w:t>
      </w:r>
    </w:p>
    <w:p w:rsidR="00D53617" w:rsidRDefault="00D53617" w:rsidP="005D2C05">
      <w:pPr>
        <w:spacing w:before="0" w:after="160" w:line="259" w:lineRule="auto"/>
        <w:rPr>
          <w:rFonts w:ascii="Calibri" w:eastAsia="Calibri" w:hAnsi="Calibri" w:cs="Times New Roman"/>
          <w:noProof/>
          <w:sz w:val="22"/>
          <w:lang w:eastAsia="en-AU"/>
        </w:rPr>
      </w:pPr>
      <w:r>
        <w:rPr>
          <w:rFonts w:ascii="Calibri" w:eastAsia="Calibri" w:hAnsi="Calibri" w:cs="Times New Roman"/>
          <w:noProof/>
          <w:sz w:val="22"/>
          <w:lang w:val="en-GB" w:eastAsia="en-GB"/>
        </w:rPr>
        <w:drawing>
          <wp:inline distT="0" distB="0" distL="0" distR="0" wp14:anchorId="3F109B9B">
            <wp:extent cx="8651240" cy="2639695"/>
            <wp:effectExtent l="0" t="0" r="0" b="8255"/>
            <wp:docPr id="16" name="Picture 16" descr="In 2006/2007, from admission to discharge, the proportion of participants with an MBI score of: &#10;0-19 increased by 16%&#10;20-59 decreased by 6%&#10;60-89 decreased by 43%&#10;90+ increased by 32%&#10;&#10;In 2007/2008, from admission to discharge, the proportion of participants with an MBI score of: &#10;0-19 increased by 18%&#10;20-59 decreased by 6%&#10;60-89 decreased by 45%&#10;90+ increased by 34%&#10;&#10;In 2008/2009, from admission to discharge, the proportion of participants with an MBI score of: &#10;0-19 increased by 17%&#10;20-59 decreased by 10%&#10;60-89 decreased by 42%&#10;90+ increased by 35%&#10;&#10;In 2009/2010, from admission to discharge, the proportion of participants with an MBI score of: &#10;0-19 increased by 15%&#10;20-59 decreased by 9%&#10;60-89 decreased by 40%&#10;90+ increased by 34%&#10;&#10;In 2010/2011, from admission to discharge, the proportion of participants with an MBI score of: &#10;0-19 increased by 16%&#10;20-59 decreased by 10%&#10;60-89 decreased by 39%&#10;90+ increased by 33%&#10;&#10;In 2011/2012, from admission to discharge, the proportion of participants with an MBI score of: &#10;0-19 increased by 15%&#10;20-59 decreased by 8%&#10;60-89 decreased by 42%&#10;90+ increased by 35%&#10;&#10;In 2012/2013;&#10;From admission to discharge, the proportion of participants with an MBI score of: &#10;0-19 increased by 17%&#10;20-59 decreased by 8%&#10;60-89 decreased by 40%&#10;90+ increased by 31%&#10;&#10;In 2013/2014, from admission to discharge, the proportion of participants with an MBI score of: &#10;0-19 increased by 17%&#10;20-59 decreased by 10%&#10;60-89 decreased by 36%&#10;90+ increased by 29%&#10;&#10;In 2014/2015, from admission to discharge, the proportion of participants with an MBI score of:&#10;0-19 increased by 16%&#10;20-59 decreased by 10%&#10;60-89 decreased by 36%&#10;90+ increased by 30%&#10;&#10;In 2015/2016, from admission to discharge, the proportion of participants with an MBI score of:&#10;0-19 increased by 16%&#10;20-59 decreased by 10%&#10;60-89 decreased by 34%&#10;90+ increased by 28%&#10;&#10;In 2016/2017, from admission to discharge, the proportion of participants with an MBI score of:&#10;0-19 increased by 17%&#10;20-59 decreased by 11%&#10;60-89 decreased by 34%&#10;90+ increased by 27%&#10;&#10;In 2017/2018, from admission to discharge, the proportion of participants with an MBI score of:&#10;0-19 increased by 19%&#10;20-59 decreased by 13%&#10;60-89 decreased by 34%&#10;90+ increased by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51240" cy="2639695"/>
                    </a:xfrm>
                    <a:prstGeom prst="rect">
                      <a:avLst/>
                    </a:prstGeom>
                    <a:noFill/>
                  </pic:spPr>
                </pic:pic>
              </a:graphicData>
            </a:graphic>
          </wp:inline>
        </w:drawing>
      </w:r>
    </w:p>
    <w:p w:rsidR="00485E03" w:rsidRDefault="00485E03" w:rsidP="005D2C05">
      <w:pPr>
        <w:spacing w:before="0" w:after="160" w:line="259" w:lineRule="auto"/>
        <w:rPr>
          <w:rFonts w:ascii="Calibri" w:hAnsi="Calibri"/>
          <w:noProof/>
          <w:sz w:val="22"/>
          <w:lang w:eastAsia="en-AU"/>
        </w:rPr>
      </w:pPr>
      <w:r w:rsidRPr="005D2C05">
        <w:rPr>
          <w:i/>
          <w:iCs/>
          <w:color w:val="44546A" w:themeColor="text2"/>
          <w:sz w:val="18"/>
          <w:szCs w:val="18"/>
        </w:rPr>
        <w:t xml:space="preserve">Figure </w:t>
      </w:r>
      <w:r w:rsidR="00522748" w:rsidRPr="005D2C05">
        <w:rPr>
          <w:i/>
          <w:iCs/>
          <w:color w:val="44546A" w:themeColor="text2"/>
          <w:sz w:val="18"/>
          <w:szCs w:val="18"/>
        </w:rPr>
        <w:fldChar w:fldCharType="begin"/>
      </w:r>
      <w:r w:rsidR="00522748" w:rsidRPr="005D2C05">
        <w:rPr>
          <w:i/>
          <w:iCs/>
          <w:color w:val="44546A" w:themeColor="text2"/>
          <w:sz w:val="18"/>
          <w:szCs w:val="18"/>
        </w:rPr>
        <w:instrText xml:space="preserve"> SEQ Figure \* ARABIC </w:instrText>
      </w:r>
      <w:r w:rsidR="00522748" w:rsidRPr="005D2C05">
        <w:rPr>
          <w:i/>
          <w:iCs/>
          <w:color w:val="44546A" w:themeColor="text2"/>
          <w:sz w:val="18"/>
          <w:szCs w:val="18"/>
        </w:rPr>
        <w:fldChar w:fldCharType="separate"/>
      </w:r>
      <w:r w:rsidR="00DD20F5">
        <w:rPr>
          <w:i/>
          <w:iCs/>
          <w:noProof/>
          <w:color w:val="44546A" w:themeColor="text2"/>
          <w:sz w:val="18"/>
          <w:szCs w:val="18"/>
        </w:rPr>
        <w:t>20</w:t>
      </w:r>
      <w:r w:rsidR="00522748" w:rsidRPr="005D2C05">
        <w:rPr>
          <w:i/>
          <w:iCs/>
          <w:color w:val="44546A" w:themeColor="text2"/>
          <w:sz w:val="18"/>
          <w:szCs w:val="18"/>
        </w:rPr>
        <w:fldChar w:fldCharType="end"/>
      </w:r>
      <w:r w:rsidRPr="005D2C05">
        <w:rPr>
          <w:i/>
          <w:iCs/>
          <w:color w:val="44546A" w:themeColor="text2"/>
          <w:sz w:val="18"/>
          <w:szCs w:val="18"/>
        </w:rPr>
        <w:t xml:space="preserve">: Change in the proportion of MBI scores </w:t>
      </w:r>
      <w:r w:rsidR="00D53617">
        <w:rPr>
          <w:i/>
          <w:iCs/>
          <w:color w:val="44546A" w:themeColor="text2"/>
          <w:sz w:val="18"/>
          <w:szCs w:val="18"/>
        </w:rPr>
        <w:t>in WA</w:t>
      </w:r>
      <w:r w:rsidRPr="00485E03">
        <w:rPr>
          <w:rFonts w:ascii="Calibri" w:hAnsi="Calibri"/>
          <w:noProof/>
          <w:sz w:val="22"/>
          <w:lang w:eastAsia="en-AU"/>
        </w:rPr>
        <w:t xml:space="preserve"> </w:t>
      </w:r>
    </w:p>
    <w:p w:rsidR="00D53617" w:rsidRDefault="00D53617" w:rsidP="005D2C05">
      <w:pPr>
        <w:spacing w:before="0" w:after="160" w:line="259" w:lineRule="auto"/>
        <w:rPr>
          <w:rFonts w:ascii="Calibri" w:hAnsi="Calibri"/>
          <w:noProof/>
          <w:sz w:val="22"/>
          <w:lang w:eastAsia="en-AU"/>
        </w:rPr>
      </w:pPr>
      <w:r>
        <w:rPr>
          <w:rFonts w:ascii="Calibri" w:hAnsi="Calibri"/>
          <w:noProof/>
          <w:sz w:val="22"/>
          <w:lang w:val="en-GB" w:eastAsia="en-GB"/>
        </w:rPr>
        <w:drawing>
          <wp:inline distT="0" distB="0" distL="0" distR="0" wp14:anchorId="1BF2AE35">
            <wp:extent cx="8651240" cy="2639695"/>
            <wp:effectExtent l="0" t="0" r="0" b="8255"/>
            <wp:docPr id="17" name="Picture 17" descr="In 2006/2007, from admission to discharge, the proportion of participants with an MBI score of: &#10;0-19 increased by 20%&#10;20-59 decreased by 18%&#10;60-89 decreased by 24%&#10;90+ increased by 21%&#10;&#10;In 2007/2008, from admission to discharge, the proportion of participants with an MBI score of: &#10;0-19 increased by 24%&#10;20-59 decreased by 19%&#10;60-89 decreased by 27%&#10;90+ increased by 22%&#10;&#10;In 2008/2009, from admission to discharge, the proportion of participants with an MBI score of: &#10;0-19 increased by 21%&#10;20-59 decreased by 24%&#10;60-89 decreased by 16%&#10;90+ increased by 19%&#10;&#10;In 2009/2010, from admission to discharge, the proportion of participants with an MBI score of: &#10;0-19 increased by 15%&#10;20-59 decreased by 15%&#10;60-89 decreased by 16%&#10;90+ increased by 17%&#10;&#10;In 2010/2011, from admission to discharge, the proportion of participants with an MBI score of: &#10;0-19 increased by 14%&#10;20-59 decreased by 12%&#10;60-89 decreased by 13%&#10;90+ increased by 10%&#10;&#10;In 2011/2012, from admission to discharge, the proportion of participants with an MBI score of: &#10;0-19 increased by 16%&#10;20-59 decreased by 15%&#10;60-89 decreased by 8%&#10;90+ increased by 7%&#10;&#10;In 2012/2013;&#10;From admission to discharge, the proportion of participants with an MBI score of: &#10;0-19 increased by 18%&#10;20-59 decreased by 16%&#10;60-89 decreased by 7%&#10;90+ increased by 6%&#10;&#10;In 2013/2014, from admission to discharge, the proportion of participants with an MBI score of: &#10;0-19 increased by 14%&#10;20-59 decreased by 13%&#10;60-89 decreased by 10%&#10;90+ increased by 8%&#10;&#10;In 2014/2015, from admission to discharge, the proportion of participants with an MBI score of:&#10;0-19 increased by 12%&#10;20-59 decreased by 16%&#10;60-89 decreased by 6%&#10;90+ increased by 10%&#10;&#10;In 2015/2016, from admission to discharge, the proportion of participants with an MBI score of:&#10;0-19 increased by 12%&#10;20-59 decreased by 15%&#10;60-89 decreased by 6%&#10;90+ increased by 9%&#10;&#10;In 2016/2017, from admission to discharge, the proportion of participants with an MBI score of:&#10;0-19 increased by 14%&#10;20-59 decreased by 17%&#10;60-89 decreased by 4%&#10;90+ increased by 6%&#10;&#10;In 2017/2018, from admission to discharge, the proportion of participants with an MBI score of:&#10;0-19 increased by 13%&#10;20-59 decreased by 22%&#10;60-89 increased by 1%&#10;90+ increased b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51240" cy="2639695"/>
                    </a:xfrm>
                    <a:prstGeom prst="rect">
                      <a:avLst/>
                    </a:prstGeom>
                    <a:noFill/>
                  </pic:spPr>
                </pic:pic>
              </a:graphicData>
            </a:graphic>
          </wp:inline>
        </w:drawing>
      </w:r>
    </w:p>
    <w:p w:rsidR="00485E03" w:rsidRPr="00485E03" w:rsidRDefault="00485E03" w:rsidP="005D2C05">
      <w:pPr>
        <w:pStyle w:val="Caption"/>
        <w:rPr>
          <w:rFonts w:asciiTheme="minorHAnsi" w:hAnsiTheme="minorHAnsi"/>
        </w:rPr>
      </w:pPr>
      <w:r>
        <w:t xml:space="preserve">Figure </w:t>
      </w:r>
      <w:r w:rsidR="00522748">
        <w:rPr>
          <w:noProof/>
        </w:rPr>
        <w:fldChar w:fldCharType="begin"/>
      </w:r>
      <w:r w:rsidR="00522748">
        <w:rPr>
          <w:noProof/>
        </w:rPr>
        <w:instrText xml:space="preserve"> SEQ Figure \* ARABIC </w:instrText>
      </w:r>
      <w:r w:rsidR="00522748">
        <w:rPr>
          <w:noProof/>
        </w:rPr>
        <w:fldChar w:fldCharType="separate"/>
      </w:r>
      <w:r w:rsidR="00DD20F5">
        <w:rPr>
          <w:noProof/>
        </w:rPr>
        <w:t>21</w:t>
      </w:r>
      <w:r w:rsidR="00522748">
        <w:rPr>
          <w:noProof/>
        </w:rPr>
        <w:fldChar w:fldCharType="end"/>
      </w:r>
      <w:r w:rsidRPr="00485E03">
        <w:t xml:space="preserve">: Change in the proportion of MBI scores </w:t>
      </w:r>
      <w:r w:rsidR="00D53617">
        <w:t>in SA</w:t>
      </w:r>
    </w:p>
    <w:p w:rsidR="00D53617" w:rsidRDefault="00D53617" w:rsidP="005D2C05">
      <w:pPr>
        <w:spacing w:before="0" w:after="160" w:line="259" w:lineRule="auto"/>
        <w:rPr>
          <w:rFonts w:ascii="Calibri" w:eastAsia="Calibri" w:hAnsi="Calibri" w:cs="Times New Roman"/>
          <w:noProof/>
          <w:sz w:val="22"/>
          <w:lang w:eastAsia="en-AU"/>
        </w:rPr>
      </w:pPr>
      <w:r>
        <w:rPr>
          <w:rFonts w:ascii="Calibri" w:eastAsia="Calibri" w:hAnsi="Calibri" w:cs="Times New Roman"/>
          <w:noProof/>
          <w:sz w:val="22"/>
          <w:lang w:val="en-GB" w:eastAsia="en-GB"/>
        </w:rPr>
        <w:drawing>
          <wp:inline distT="0" distB="0" distL="0" distR="0" wp14:anchorId="75493651">
            <wp:extent cx="8651240" cy="2603500"/>
            <wp:effectExtent l="0" t="0" r="0" b="6350"/>
            <wp:docPr id="18" name="Picture 18" descr="In 2006/2007, from admission to discharge, the proportion of participants with an MBI score of: &#10;0-19 decreased by 2%&#10;20-59 decreased by 15%&#10;60-89 decreased by 1%&#10;90+ increased by 18%&#10;&#10;In 2007/2008, from admission to discharge, the proportion of participants with an MBI score of: &#10;0-19 increased by 1%&#10;20-59 decreased by 15%&#10;60-89 decreased by 6%&#10;90+ increased by 20%&#10;&#10;In 2008/2009, from admission to discharge, the proportion of participants with an MBI score of: &#10;0-19 increased by 11%&#10;20-59 decreased by 22%&#10;60-89 decreased by 13%&#10;90+ increased by 23%&#10;&#10;In 2009/2010, from admission to discharge, the proportion of participants with an MBI score of: &#10;0-19 increased by 1%&#10;20-59 decreased by 20%&#10;60-89 decreased by 10%&#10;90+ increased by 29%&#10;&#10;In 2010/2011, from admission to discharge, the proportion of participants with an MBI score of: &#10;0-19 remained the same&#10;20-59 decreased by 20%&#10;60-89 decreased by 13%&#10;90+ increased by 32%&#10;&#10;In 2011/2012, from admission to discharge, the proportion of participants with an MBI score of: &#10;0-19 increased by 1%&#10;20-59 decreased by 18%&#10;60-89 decreased by 15%&#10;90+ increased by 32%&#10;&#10;In 2012/2013;&#10;From admission to discharge, the proportion of participants with an MBI score of: &#10;0-19 remained the same&#10;20-59 decreased by 18%&#10;60-89 decreased by 14%&#10;90+ increased by 31%&#10;&#10;In 2013/2014, from admission to discharge, the proportion of participants with an MBI score of: &#10;0-19 increased by 1%&#10;20-59 decreased by 15%&#10;60-89 decreased by 18%&#10;90+ increased by 32%&#10;&#10;In 2014/2015, from admission to discharge, the proportion of participants with an MBI score of:&#10;0-19 increased by 1%&#10;20-59 decreased by 20%&#10;60-89 decreased by 15%&#10;90+ increased by 34%&#10;&#10;In 2015/2016, from admission to discharge, the proportion of participants with an MBI score of:&#10;0-19 increased by 1%&#10;20-59 decreased by 16%&#10;60-89 decreased by 20%&#10;90+ increased by 35%&#10;&#10;In 2016/2017, from admission to discharge, the proportion of participants with an MBI score of:&#10;0-19 increased by 10%&#10;20-59 decreased by 20%&#10;60-89 decreased by 24%&#10;90+ increased by 34%&#10;&#10;In 2017/2018, from admission to discharge, the proportion of participants with an MBI score of:&#10;0-19 increased by 3%&#10;20-59 decreased by 18%&#10;60-89 decreased by 23%&#10;90+ increased by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51240" cy="2603500"/>
                    </a:xfrm>
                    <a:prstGeom prst="rect">
                      <a:avLst/>
                    </a:prstGeom>
                    <a:noFill/>
                  </pic:spPr>
                </pic:pic>
              </a:graphicData>
            </a:graphic>
          </wp:inline>
        </w:drawing>
      </w:r>
    </w:p>
    <w:p w:rsidR="00485E03" w:rsidRDefault="00485E03" w:rsidP="005D2C05">
      <w:pPr>
        <w:spacing w:before="0" w:after="160" w:line="259" w:lineRule="auto"/>
        <w:rPr>
          <w:i/>
          <w:iCs/>
          <w:color w:val="44546A" w:themeColor="text2"/>
          <w:sz w:val="18"/>
          <w:szCs w:val="18"/>
        </w:rPr>
      </w:pPr>
      <w:r w:rsidRPr="005D2C05">
        <w:rPr>
          <w:i/>
          <w:iCs/>
          <w:color w:val="44546A" w:themeColor="text2"/>
          <w:sz w:val="18"/>
          <w:szCs w:val="18"/>
        </w:rPr>
        <w:t xml:space="preserve">Figure </w:t>
      </w:r>
      <w:r w:rsidR="00522748" w:rsidRPr="005D2C05">
        <w:rPr>
          <w:i/>
          <w:iCs/>
          <w:color w:val="44546A" w:themeColor="text2"/>
          <w:sz w:val="18"/>
          <w:szCs w:val="18"/>
        </w:rPr>
        <w:fldChar w:fldCharType="begin"/>
      </w:r>
      <w:r w:rsidR="00522748" w:rsidRPr="005D2C05">
        <w:rPr>
          <w:i/>
          <w:iCs/>
          <w:color w:val="44546A" w:themeColor="text2"/>
          <w:sz w:val="18"/>
          <w:szCs w:val="18"/>
        </w:rPr>
        <w:instrText xml:space="preserve"> SEQ Figure \* ARABIC </w:instrText>
      </w:r>
      <w:r w:rsidR="00522748" w:rsidRPr="005D2C05">
        <w:rPr>
          <w:i/>
          <w:iCs/>
          <w:color w:val="44546A" w:themeColor="text2"/>
          <w:sz w:val="18"/>
          <w:szCs w:val="18"/>
        </w:rPr>
        <w:fldChar w:fldCharType="separate"/>
      </w:r>
      <w:r w:rsidR="00DD20F5">
        <w:rPr>
          <w:i/>
          <w:iCs/>
          <w:noProof/>
          <w:color w:val="44546A" w:themeColor="text2"/>
          <w:sz w:val="18"/>
          <w:szCs w:val="18"/>
        </w:rPr>
        <w:t>22</w:t>
      </w:r>
      <w:r w:rsidR="00522748" w:rsidRPr="005D2C05">
        <w:rPr>
          <w:i/>
          <w:iCs/>
          <w:color w:val="44546A" w:themeColor="text2"/>
          <w:sz w:val="18"/>
          <w:szCs w:val="18"/>
        </w:rPr>
        <w:fldChar w:fldCharType="end"/>
      </w:r>
      <w:r w:rsidRPr="005D2C05">
        <w:rPr>
          <w:i/>
          <w:iCs/>
          <w:color w:val="44546A" w:themeColor="text2"/>
          <w:sz w:val="18"/>
          <w:szCs w:val="18"/>
        </w:rPr>
        <w:t xml:space="preserve">: Change in the proportion of MBI scores </w:t>
      </w:r>
      <w:r w:rsidR="00D53617">
        <w:rPr>
          <w:i/>
          <w:iCs/>
          <w:color w:val="44546A" w:themeColor="text2"/>
          <w:sz w:val="18"/>
          <w:szCs w:val="18"/>
        </w:rPr>
        <w:t>in TAS</w:t>
      </w:r>
    </w:p>
    <w:p w:rsidR="00D53617" w:rsidRDefault="00D53617" w:rsidP="005D2C05">
      <w:pPr>
        <w:spacing w:before="0" w:after="160" w:line="259" w:lineRule="auto"/>
        <w:rPr>
          <w:rFonts w:ascii="Calibri" w:hAnsi="Calibri"/>
          <w:noProof/>
          <w:sz w:val="22"/>
          <w:lang w:eastAsia="en-AU"/>
        </w:rPr>
      </w:pPr>
      <w:r>
        <w:rPr>
          <w:rFonts w:ascii="Calibri" w:hAnsi="Calibri"/>
          <w:noProof/>
          <w:sz w:val="22"/>
          <w:lang w:val="en-GB" w:eastAsia="en-GB"/>
        </w:rPr>
        <w:drawing>
          <wp:inline distT="0" distB="0" distL="0" distR="0" wp14:anchorId="75A4EF60">
            <wp:extent cx="8651240" cy="2603500"/>
            <wp:effectExtent l="0" t="0" r="0" b="6350"/>
            <wp:docPr id="19" name="Picture 19" descr="In 2006/2007, from admission to discharge, the proportion of participants with an MBI score of: &#10;0-19 increased by 3%&#10;20-59 decreased by 20%&#10;60-89 decreased by 28%&#10;90+ increased by 45%&#10;&#10;In 2007/2008, from admission to discharge, the proportion of participants with an MBI score of: &#10;0-19 increased by 2%&#10;20-59 decreased by 18%&#10;60-89 decreased by 20%&#10;90+ increased by 36%&#10;&#10;In 2008/2009, from admission to discharge, the proportion of participants with an MBI score of: &#10;0-19 remained the same&#10;20-59 decreased by 20%&#10;60-89 decreased by 16%&#10;90+ increased by 36%&#10;&#10;In 2009/2010, from admission to discharge, the proportion of participants with an MBI score of: &#10;0-19 remained the same&#10;20-59 decreased by 18%&#10;60-89 decreased by 17%&#10;90+ increased by 35%&#10;&#10;In 2010/2011, from admission to discharge, the proportion of participants with an MBI score of: &#10;0-19 increased by 2%&#10;20-59 decreased by 20%&#10;60-89 decreased by 15%&#10;90+ increased by 33%&#10;&#10;In 2011/2012, from admission to discharge, the proportion of participants with an MBI score of: &#10;0-19 increased by 8%&#10;20-59 decreased by 20%&#10;60-89 decreased by 22%&#10;90+ increased by 34%&#10;&#10;In 2012/2013;&#10;From admission to discharge, the proportion of participants with an MBI score of: &#10;0-19 increased by 13%&#10;20-59 decreased by 24%&#10;60-89 decreased by 25%&#10;90+ increased by 36%&#10;&#10;In 2013/2014, from admission to discharge, the proportion of participants with an MBI score of: &#10;0-19 increased by 13%&#10;20-59 decreased by 20%&#10;60-89 decreased by 31%&#10;90+ increased by 37%&#10;&#10;In 2014/2015, from admission to discharge, the proportion of participants with an MBI score of:&#10;0-19 increased by 11%&#10;20-59 decreased by 22%&#10;60-89 decreased by 19%&#10;90+ increased by 30%&#10;&#10;In 2015/2016, from admission to discharge, the proportion of participants with an MBI score of:&#10;0-19 decreased by 1%&#10;20-59 decreased by 20%&#10;60-89 decreased by 14%&#10;90+ increased by 36%&#10;&#10;In 2016/2017, from admission to discharge, the proportion of participants with an MBI score of:&#10;0-19 increased by 9%&#10;20-59 decreased by 18%&#10;60-89 decreased by 20%&#10;90+ increased by 29%&#10;&#10;In 2017/2018, from admission to discharge, the proportion of participants with an MBI score of:&#10;0-19 increased by 15%&#10;20-59 decreased by 25%&#10;60-89 decreased by 17%&#10;90+ increased by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1240" cy="2603500"/>
                    </a:xfrm>
                    <a:prstGeom prst="rect">
                      <a:avLst/>
                    </a:prstGeom>
                    <a:noFill/>
                  </pic:spPr>
                </pic:pic>
              </a:graphicData>
            </a:graphic>
          </wp:inline>
        </w:drawing>
      </w:r>
    </w:p>
    <w:p w:rsidR="00485E03" w:rsidRPr="00485E03" w:rsidRDefault="00485E03" w:rsidP="005D2C05">
      <w:pPr>
        <w:pStyle w:val="Caption"/>
      </w:pPr>
      <w:r>
        <w:t xml:space="preserve">Figure </w:t>
      </w:r>
      <w:r w:rsidR="00522748">
        <w:rPr>
          <w:noProof/>
        </w:rPr>
        <w:fldChar w:fldCharType="begin"/>
      </w:r>
      <w:r w:rsidR="00522748">
        <w:rPr>
          <w:noProof/>
        </w:rPr>
        <w:instrText xml:space="preserve"> SEQ Figure \* ARABIC </w:instrText>
      </w:r>
      <w:r w:rsidR="00522748">
        <w:rPr>
          <w:noProof/>
        </w:rPr>
        <w:fldChar w:fldCharType="separate"/>
      </w:r>
      <w:r w:rsidR="00DD20F5">
        <w:rPr>
          <w:noProof/>
        </w:rPr>
        <w:t>23</w:t>
      </w:r>
      <w:r w:rsidR="00522748">
        <w:rPr>
          <w:noProof/>
        </w:rPr>
        <w:fldChar w:fldCharType="end"/>
      </w:r>
      <w:r w:rsidRPr="00485E03">
        <w:t xml:space="preserve">: Change in the proportion of MBI scores </w:t>
      </w:r>
      <w:r w:rsidR="00D53617">
        <w:t>in NT</w:t>
      </w:r>
    </w:p>
    <w:p w:rsidR="00D53617" w:rsidRDefault="00D53617" w:rsidP="00485E03">
      <w:pPr>
        <w:spacing w:before="0" w:after="160" w:line="259" w:lineRule="auto"/>
        <w:rPr>
          <w:rFonts w:ascii="Calibri" w:eastAsia="Calibri" w:hAnsi="Calibri" w:cs="Times New Roman"/>
          <w:noProof/>
          <w:sz w:val="22"/>
          <w:lang w:eastAsia="en-AU"/>
        </w:rPr>
      </w:pPr>
      <w:r>
        <w:rPr>
          <w:rFonts w:ascii="Calibri" w:eastAsia="Calibri" w:hAnsi="Calibri" w:cs="Times New Roman"/>
          <w:noProof/>
          <w:sz w:val="22"/>
          <w:lang w:val="en-GB" w:eastAsia="en-GB"/>
        </w:rPr>
        <w:drawing>
          <wp:inline distT="0" distB="0" distL="0" distR="0" wp14:anchorId="671A9299">
            <wp:extent cx="8651240" cy="2566670"/>
            <wp:effectExtent l="0" t="0" r="0" b="5080"/>
            <wp:docPr id="23" name="Picture 23" descr="In 2006/2007, from admission to discharge, the proportion of participants with an MBI score of: &#10;0-19 increased by 6%&#10;20-59 decreased by 20%&#10;60-89 increased by 9%&#10;90+ increased by 5%&#10;&#10;In 2007/2008, from admission to discharge, the proportion of participants with an MBI score of: &#10;0-19 increased by 4%&#10;20-59 decreased by 9%&#10;60-89 increased by 1%&#10;90+ increased by 4%&#10;&#10;In 2008/2009, from admission to discharge, the proportion of participants with an MBI score of: &#10;0-19 increased by 3%&#10;20-59 decreased by 14%&#10;60-89 decreased by 7%&#10;90+ increased by 18%&#10;&#10;In 2009/2010, from admission to discharge, the proportion of participants with an MBI score of: &#10;0-19 increased by 3%&#10;20-59 decreased by 14%&#10;60-89 decreased by 7%&#10;90+ increased by 18%&#10;&#10;In 2010/2011, from admission to discharge, the proportion of participants with an MBI score of: &#10;0-19 increased by 1%&#10;20-59 decreased by 6%&#10;60-89 decreased by 29%&#10;90+ increased by 36%&#10;&#10;In 2011/2012, from admission to discharge, the proportion of participants with an MBI score of: &#10;0-19 decreased by 1%&#10;20-59 decreased by 5%&#10;60-89 decreased by 33%&#10;90+ increased by 39%&#10;&#10;In 2012/2013;&#10;From admission to discharge, the proportion of participants with an MBI score of: &#10;0-19 increased by 1%&#10;20-59 decreased by 5%&#10;60-89 decreased by 29%&#10;90+ increased by 34%&#10;&#10;In 2013/2014, from admission to discharge, the proportion of participants with an MBI score of: &#10;0-19 remained the same&#10;20-59 decreased by 1%&#10;60-89 decreased by 28%&#10;90+ increased by 29%&#10;&#10;In 2014/2015, from admission to discharge, the proportion of participants with an MBI score of:&#10;0-19 remained the same&#10;20-59 decreased by 2%&#10;60-89 decreased by 40%&#10;90+ increased by 42%&#10;&#10;In 2015/2016, from admission to discharge, the proportion of participants with an MBI score of:&#10;0-19 increased by 2%&#10;20-59 decreased by 2%&#10;60-89 decreased by 29%&#10;90+ increased by 28%&#10;&#10;In 2016/2017, from admission to discharge, the proportion of participants with an MBI score of:&#10;0-19 increased by 5%&#10;20-59 decreased by 1%&#10;60-89 decreased by 29%&#10;90+ increased by 25%&#10;&#10;In 2017/2018, from admission to discharge, the proportion of participants with an MBI score of:&#10;0-19 increased by 5%&#10;20-59 remained the same&#10;60-89 decreased by 25%&#10;90+ increased by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51240" cy="2566670"/>
                    </a:xfrm>
                    <a:prstGeom prst="rect">
                      <a:avLst/>
                    </a:prstGeom>
                    <a:noFill/>
                  </pic:spPr>
                </pic:pic>
              </a:graphicData>
            </a:graphic>
          </wp:inline>
        </w:drawing>
      </w:r>
    </w:p>
    <w:p w:rsidR="00D53617" w:rsidRDefault="00485E03" w:rsidP="005F4136">
      <w:pPr>
        <w:pStyle w:val="Caption"/>
      </w:pPr>
      <w:r>
        <w:t xml:space="preserve">Figure </w:t>
      </w:r>
      <w:r w:rsidR="00522748">
        <w:rPr>
          <w:noProof/>
        </w:rPr>
        <w:fldChar w:fldCharType="begin"/>
      </w:r>
      <w:r w:rsidR="00522748">
        <w:rPr>
          <w:noProof/>
        </w:rPr>
        <w:instrText xml:space="preserve"> SEQ Figure \* ARABIC </w:instrText>
      </w:r>
      <w:r w:rsidR="00522748">
        <w:rPr>
          <w:noProof/>
        </w:rPr>
        <w:fldChar w:fldCharType="separate"/>
      </w:r>
      <w:r w:rsidR="00DD20F5">
        <w:rPr>
          <w:noProof/>
        </w:rPr>
        <w:t>24</w:t>
      </w:r>
      <w:r w:rsidR="00522748">
        <w:rPr>
          <w:noProof/>
        </w:rPr>
        <w:fldChar w:fldCharType="end"/>
      </w:r>
      <w:r w:rsidRPr="00485E03">
        <w:t xml:space="preserve">: Change in the proportion of MBI scores </w:t>
      </w:r>
      <w:r w:rsidR="00D53617">
        <w:t>in ACT</w:t>
      </w:r>
    </w:p>
    <w:p w:rsidR="000B1D40" w:rsidRPr="007F1A00" w:rsidRDefault="00D53617" w:rsidP="005F4136">
      <w:pPr>
        <w:pStyle w:val="Caption"/>
        <w:rPr>
          <w:lang w:val="en-GB"/>
        </w:rPr>
      </w:pPr>
      <w:r>
        <w:rPr>
          <w:noProof/>
          <w:lang w:val="en-GB" w:eastAsia="en-GB"/>
        </w:rPr>
        <w:drawing>
          <wp:inline distT="0" distB="0" distL="0" distR="0" wp14:anchorId="1C0BC026">
            <wp:extent cx="8651240" cy="2603500"/>
            <wp:effectExtent l="0" t="0" r="0" b="6350"/>
            <wp:docPr id="24" name="Picture 24" descr="In 2006/2007, from admission to discharge, the proportion of participants with an MBI score of: &#10;0-19 increased by 14%&#10;20-59 decreased by 6%&#10;60-89 decreased by 55%&#10;90+ increased by 47%&#10;&#10;In 2007/2008, from admission to discharge, the proportion of participants with an MBI score of: &#10;0-19 increased by 3%&#10;20-59 decreased by 2%&#10;60-89 decreased by 54%&#10;90+ increased by 53%&#10;&#10;In 2008/2009, from admission to discharge, the proportion of participants with an MBI score of: &#10;0-19 increased by 1%&#10;20-59 decreased by 2%&#10;60-89 decreased by 49%&#10;90+ increased by 49%&#10;&#10;In 2009/2010, from admission to discharge, the proportion of participants with an MBI score of: &#10;0-19 increased by 1%&#10;20-59 decreased by 6%&#10;60-89 decreased by 51%&#10;90+ increased by 56%&#10;&#10;In 2010/2011, from admission to discharge, the proportion of participants with an MBI score of: &#10;0-19 remained the same&#10;20-59 decreased by 4%&#10;60-89 decreased by 55%&#10;90+ increased by 59%&#10;&#10;In 2011/2012, from admission to discharge, the proportion of participants with an MBI score of: &#10;0-19 increased by 1%&#10;20-59 remained the same&#10;60-89 decreased by 49%&#10;90+ increased by 48%&#10;&#10;In 2012/2013;&#10;From admission to discharge, the proportion of participants with an MBI score of: &#10;0-19 increased by 1%&#10;20-59 increased by 1%&#10;60-89 decreased by 47%&#10;90+ increased by 45%&#10;&#10;In 2013/2014, from admission to discharge, the proportion of participants with an MBI score of: &#10;0-19 remained the same&#10;20-59 increased by 1%&#10;60-89 decreased by 29%&#10;90+ increased by 28%&#10;&#10;In 2014/2015, from admission to discharge, the proportion of participants with an MBI score of:&#10;0-19 increased by 1%&#10;20-59 decreased by 2%&#10;60-89 decreased by 34%&#10;90+ increased by 34%&#10;&#10;In 2015/2016, from admission to discharge, the proportion of participants with an MBI score of:&#10;0-19 remained the same&#10;20-59 remained the same&#10;60-89 decreased by 33%&#10;90+ increased by 33%&#10;&#10;In 2016/2017, from admission to discharge, the proportion of participants with an MBI score of:&#10;0-19 increased by 13%&#10;20-59 remained the same&#10;60-89 decreased by 48%&#10;90+ increased by 35%&#10;&#10;In 2017/2018, from admission to discharge, the proportion of participants with an MBI score of:&#10;0-19 increased by 24%&#10;20-59 remained the same&#10;60-89 decreased by 43%&#10;90+ increased by 18%&#10;In 2006/2007, from admission to discharge, the proportion of participants with an MBI score of: &#10;0-19 increased by 14%&#10;20-59 decreased by 6%&#10;60-89 decreased by 55%&#10;90+ increased by 47%&#10;&#10;In 2007/2008, from admission to discharge, the proportion of participants with an MBI score of: &#10;0-19 increased by 3%&#10;20-59 decreased by 2%&#10;60-89 decreased by 54%&#10;90+ increased by 53%&#10;&#10;In 2008/2009, from admission to discharge, the proportion of participants with an MBI score of: &#10;0-19 increased by 1%&#10;20-59 decreased by 2%&#10;60-89 decreased by 49%&#10;90+ increased by 49%&#10;&#10;In 2009/2010, from admission to discharge, the proportion of participants with an MBI score of: &#10;0-19 increased by 1%&#10;20-59 decreased by 6%&#10;60-89 decreased by 51%&#10;90+ increased by 56%&#10;&#10;In 2010/2011, from admission to discharge, the proportion of participants with an MBI score of: &#10;0-19 remained the same&#10;20-59 decreased by 4%&#10;60-89 decreased by 55%&#10;90+ increased by 59%&#10;&#10;In 2011/2012, from admission to discharge, the proportion of participants with an MBI score of: &#10;0-19 increased by 1%&#10;20-59 remained the same&#10;60-89 decreased by 49%&#10;90+ increased by 48%&#10;&#10;In 2012/2013;&#10;From admission to discharge, the proportion of participants with an MBI score of: &#10;0-19 increased by 1%&#10;20-59 increased by 1%&#10;60-89 decreased by 47%&#10;90+ increased by 45%&#10;&#10;In 2013/2014, from admission to discharge, the proportion of participants with an MBI score of: &#10;0-19 remained the same&#10;20-59 increased by 1%&#10;60-89 decreased by 29%&#10;90+ increased by 28%&#10;&#10;In 2014/2015, from admission to discharge, the proportion of participants with an MBI score of:&#10;0-19 increased by 1%&#10;20-59 decreased by 2%&#10;60-89 decreased by 34%&#10;90+ increased by 34%&#10;&#10;In 2015/2016, from admission to discharge, the proportion of participants with an MBI score of:&#10;0-19 remained the same&#10;20-59 remained the same&#10;60-89 decreased by 33%&#10;90+ increased by 33%&#10;&#10;In 2016/2017, from admission to discharge, the proportion of participants with an MBI score of:&#10;0-19 increased by 13%&#10;20-59 remained the same&#10;60-89 decreased by 48%&#10;90+ increased by 35%&#10;&#10;In 2017/2018, from admission to discharge, the proportion of participants with an MBI score of:&#10;0-19 increased by 24%&#10;20-59 remained the same&#10;60-89 decreased by 43%&#10;90+ increased by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51240" cy="2603500"/>
                    </a:xfrm>
                    <a:prstGeom prst="rect">
                      <a:avLst/>
                    </a:prstGeom>
                    <a:noFill/>
                  </pic:spPr>
                </pic:pic>
              </a:graphicData>
            </a:graphic>
          </wp:inline>
        </w:drawing>
      </w:r>
      <w:r w:rsidR="006C271F">
        <w:rPr>
          <w:rFonts w:ascii="Calibri" w:hAnsi="Calibri"/>
          <w:noProof/>
          <w:sz w:val="22"/>
          <w:lang w:eastAsia="en-AU"/>
        </w:rPr>
        <w:br/>
      </w:r>
      <w:r w:rsidR="00485E03" w:rsidRPr="00485E03">
        <w:t>Source: Department of Health</w:t>
      </w:r>
      <w:r w:rsidR="005F4136">
        <w:rPr>
          <w:lang w:val="en-GB"/>
        </w:rPr>
        <w:tab/>
      </w:r>
    </w:p>
    <w:p w:rsidR="009633A2" w:rsidRPr="007F1A00" w:rsidRDefault="00CC7A82" w:rsidP="00357FF0">
      <w:pPr>
        <w:pStyle w:val="backcoverdetails"/>
        <w:ind w:left="0" w:firstLine="425"/>
        <w:rPr>
          <w:b/>
          <w:lang w:val="en-GB"/>
        </w:rPr>
      </w:pPr>
      <w:r w:rsidRPr="007F1A00">
        <w:rPr>
          <w:b/>
          <w:lang w:val="en-GB"/>
        </w:rPr>
        <w:t>kpmg.com.au</w:t>
      </w:r>
    </w:p>
    <w:sectPr w:rsidR="009633A2" w:rsidRPr="007F1A00" w:rsidSect="005F4136">
      <w:pgSz w:w="16838" w:h="11906" w:orient="landscape"/>
      <w:pgMar w:top="567" w:right="907" w:bottom="680"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C0C" w:rsidRDefault="002F7C0C" w:rsidP="004A3F32">
      <w:pPr>
        <w:spacing w:after="0"/>
      </w:pPr>
      <w:r>
        <w:separator/>
      </w:r>
    </w:p>
  </w:endnote>
  <w:endnote w:type="continuationSeparator" w:id="0">
    <w:p w:rsidR="002F7C0C" w:rsidRDefault="002F7C0C" w:rsidP="004A3F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Univers 45 Light">
    <w:panose1 w:val="00000000000000000000"/>
    <w:charset w:val="00"/>
    <w:family w:val="auto"/>
    <w:pitch w:val="variable"/>
    <w:sig w:usb0="8000002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KPMG Light">
    <w:panose1 w:val="020B0403030202040204"/>
    <w:charset w:val="00"/>
    <w:family w:val="swiss"/>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176028"/>
      <w:docPartObj>
        <w:docPartGallery w:val="Page Numbers (Bottom of Page)"/>
        <w:docPartUnique/>
      </w:docPartObj>
    </w:sdtPr>
    <w:sdtEndPr>
      <w:rPr>
        <w:rFonts w:cs="Arial"/>
      </w:rPr>
    </w:sdtEndPr>
    <w:sdtContent>
      <w:p w:rsidR="002F7C0C" w:rsidRDefault="002F7C0C" w:rsidP="000B3A1E">
        <w:pPr>
          <w:pStyle w:val="Footer"/>
          <w:rPr>
            <w:noProof/>
          </w:rPr>
        </w:pPr>
        <w:r w:rsidRPr="002F7C0C">
          <w:rPr>
            <w:rFonts w:cs="Arial"/>
          </w:rPr>
          <w:t xml:space="preserve">KPMG | </w:t>
        </w:r>
        <w:r w:rsidRPr="002F7C0C">
          <w:rPr>
            <w:rFonts w:cs="Arial"/>
          </w:rPr>
          <w:fldChar w:fldCharType="begin"/>
        </w:r>
        <w:r w:rsidRPr="002F7C0C">
          <w:rPr>
            <w:rFonts w:cs="Arial"/>
          </w:rPr>
          <w:instrText xml:space="preserve"> PAGE   \* MERGEFORMAT </w:instrText>
        </w:r>
        <w:r w:rsidRPr="002F7C0C">
          <w:rPr>
            <w:rFonts w:cs="Arial"/>
          </w:rPr>
          <w:fldChar w:fldCharType="separate"/>
        </w:r>
        <w:r w:rsidR="007B3980">
          <w:rPr>
            <w:rFonts w:cs="Arial"/>
            <w:noProof/>
          </w:rPr>
          <w:t>v</w:t>
        </w:r>
        <w:r w:rsidRPr="002F7C0C">
          <w:rPr>
            <w:rFonts w:cs="Arial"/>
            <w:noProof/>
          </w:rPr>
          <w:fldChar w:fldCharType="end"/>
        </w:r>
      </w:p>
      <w:p w:rsidR="002F7C0C" w:rsidRPr="002F7C0C" w:rsidRDefault="002F7C0C" w:rsidP="00013847">
        <w:pPr>
          <w:pStyle w:val="Footer"/>
          <w:rPr>
            <w:rFonts w:cs="Arial"/>
          </w:rPr>
        </w:pPr>
        <w:r w:rsidRPr="002F7C0C">
          <w:rPr>
            <w:rFonts w:cs="Arial"/>
          </w:rPr>
          <w:t xml:space="preserve">© 2019 KPMG, an Australian partnership and a member firm of the KPMG network of independent member firms affiliated with KPMG International Cooperative </w:t>
        </w:r>
        <w:r w:rsidRPr="002F7C0C">
          <w:rPr>
            <w:rFonts w:cs="Arial"/>
          </w:rPr>
          <w:br/>
          <w:t xml:space="preserve">(“KPMG International”), a Swiss entity. All rights reserved. The KPMG name and logo are registered trademarks or trademarks of KPMG International. </w:t>
        </w:r>
        <w:r w:rsidRPr="002F7C0C">
          <w:rPr>
            <w:rFonts w:cs="Arial"/>
          </w:rPr>
          <w:br/>
          <w:t>Liability limited by a scheme approved under Professional Standards Legislation.</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744143"/>
      <w:docPartObj>
        <w:docPartGallery w:val="Page Numbers (Bottom of Page)"/>
        <w:docPartUnique/>
      </w:docPartObj>
    </w:sdtPr>
    <w:sdtEndPr/>
    <w:sdtContent>
      <w:p w:rsidR="002F7C0C" w:rsidRDefault="002F7C0C" w:rsidP="000B3A1E">
        <w:pPr>
          <w:pStyle w:val="Footer"/>
          <w:rPr>
            <w:noProof/>
          </w:rPr>
        </w:pPr>
        <w:r>
          <w:t xml:space="preserve">KPMG | </w:t>
        </w:r>
        <w:r>
          <w:fldChar w:fldCharType="begin"/>
        </w:r>
        <w:r>
          <w:instrText xml:space="preserve"> PAGE   \* MERGEFORMAT </w:instrText>
        </w:r>
        <w:r>
          <w:fldChar w:fldCharType="separate"/>
        </w:r>
        <w:r w:rsidR="002C1618">
          <w:rPr>
            <w:noProof/>
          </w:rPr>
          <w:t>52</w:t>
        </w:r>
        <w:r>
          <w:rPr>
            <w:noProof/>
          </w:rPr>
          <w:fldChar w:fldCharType="end"/>
        </w:r>
      </w:p>
      <w:p w:rsidR="002F7C0C" w:rsidRPr="007E23D9" w:rsidRDefault="002F7C0C" w:rsidP="007E23D9">
        <w:pPr>
          <w:pStyle w:val="Footer"/>
        </w:pPr>
        <w:r w:rsidRPr="007E23D9">
          <w:t xml:space="preserve">© </w:t>
        </w:r>
        <w:r>
          <w:t>2019</w:t>
        </w:r>
        <w:r w:rsidRPr="007E23D9">
          <w:t xml:space="preserve"> KPMG, an Australian partnership and a member firm of the KPMG network of independent member firms affiliated with KPMG International Cooperative </w:t>
        </w:r>
        <w:r>
          <w:br/>
        </w:r>
        <w:r w:rsidRPr="007E23D9">
          <w:t xml:space="preserve">(“KPMG International”), a Swiss entity. All rights reserved. The KPMG name and logo are registered trademarks or trademarks of KPMG International. </w:t>
        </w:r>
        <w:r>
          <w:br/>
        </w:r>
        <w:r w:rsidRPr="007E23D9">
          <w:t>Liability limited by a scheme approved under Professional Standards Legislation.</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C0C" w:rsidRDefault="002F7C0C" w:rsidP="004A3F32">
      <w:pPr>
        <w:spacing w:after="0"/>
      </w:pPr>
      <w:r>
        <w:separator/>
      </w:r>
    </w:p>
  </w:footnote>
  <w:footnote w:type="continuationSeparator" w:id="0">
    <w:p w:rsidR="002F7C0C" w:rsidRDefault="002F7C0C" w:rsidP="004A3F32">
      <w:pPr>
        <w:spacing w:after="0"/>
      </w:pPr>
      <w:r>
        <w:continuationSeparator/>
      </w:r>
    </w:p>
  </w:footnote>
  <w:footnote w:id="1">
    <w:p w:rsidR="002F7C0C" w:rsidRPr="002F7C0C" w:rsidRDefault="002F7C0C" w:rsidP="00432F14">
      <w:pPr>
        <w:pStyle w:val="FootnoteText"/>
        <w:rPr>
          <w:rFonts w:cs="Arial"/>
          <w:szCs w:val="18"/>
          <w:lang w:val="en-AU"/>
        </w:rPr>
      </w:pPr>
      <w:r w:rsidRPr="002F7C0C">
        <w:rPr>
          <w:rStyle w:val="FootnoteReference"/>
          <w:rFonts w:cs="Arial"/>
          <w:szCs w:val="18"/>
        </w:rPr>
        <w:footnoteRef/>
      </w:r>
      <w:r w:rsidRPr="002F7C0C">
        <w:rPr>
          <w:rFonts w:cs="Arial"/>
          <w:szCs w:val="18"/>
        </w:rPr>
        <w:t xml:space="preserve"> Transition Care Programme Guidelines, 2015. </w:t>
      </w:r>
    </w:p>
  </w:footnote>
  <w:footnote w:id="2">
    <w:p w:rsidR="002F7C0C" w:rsidRPr="003A2412" w:rsidRDefault="002F7C0C" w:rsidP="00D500D2">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Stakeholder Meeting Report Transition Care Program: Informing the development of a review brief for the Transition Care program, 2018</w:t>
      </w:r>
    </w:p>
  </w:footnote>
  <w:footnote w:id="3">
    <w:p w:rsidR="002F7C0C" w:rsidRPr="003A2412" w:rsidRDefault="002F7C0C" w:rsidP="00E440C1">
      <w:pPr>
        <w:pStyle w:val="FootnoteText"/>
        <w:rPr>
          <w:szCs w:val="18"/>
          <w:lang w:val="en-AU"/>
        </w:rPr>
      </w:pPr>
      <w:r w:rsidRPr="003A2412">
        <w:rPr>
          <w:rStyle w:val="FootnoteReference"/>
          <w:szCs w:val="18"/>
        </w:rPr>
        <w:footnoteRef/>
      </w:r>
      <w:r w:rsidRPr="003A2412">
        <w:rPr>
          <w:szCs w:val="18"/>
        </w:rPr>
        <w:t xml:space="preserve"> AIHW, 2012. </w:t>
      </w:r>
      <w:hyperlink r:id="rId1" w:history="1">
        <w:r w:rsidRPr="00B9507F">
          <w:rPr>
            <w:rStyle w:val="Hyperlink"/>
            <w:szCs w:val="18"/>
          </w:rPr>
          <w:t>Older people leaving hospital: a statistical overview of the Transition Care Program 2009-10 and 2010-11</w:t>
        </w:r>
      </w:hyperlink>
      <w:r w:rsidRPr="003A2412">
        <w:rPr>
          <w:szCs w:val="18"/>
        </w:rPr>
        <w:t xml:space="preserve">. </w:t>
      </w:r>
    </w:p>
  </w:footnote>
  <w:footnote w:id="4">
    <w:p w:rsidR="002F7C0C" w:rsidRPr="003A2412" w:rsidRDefault="002F7C0C" w:rsidP="00E440C1">
      <w:pPr>
        <w:pStyle w:val="FootnoteText"/>
        <w:rPr>
          <w:szCs w:val="18"/>
          <w:lang w:val="en-AU"/>
        </w:rPr>
      </w:pPr>
      <w:r w:rsidRPr="003A2412">
        <w:rPr>
          <w:rStyle w:val="FootnoteReference"/>
          <w:szCs w:val="18"/>
        </w:rPr>
        <w:footnoteRef/>
      </w:r>
      <w:r w:rsidRPr="003A2412">
        <w:rPr>
          <w:szCs w:val="18"/>
        </w:rPr>
        <w:t xml:space="preserve"> C</w:t>
      </w:r>
      <w:r w:rsidRPr="003A2412">
        <w:rPr>
          <w:szCs w:val="18"/>
          <w:lang w:val="en-AU"/>
        </w:rPr>
        <w:t xml:space="preserve">ommonwealth of Australia, 2018. </w:t>
      </w:r>
      <w:hyperlink r:id="rId2" w:history="1">
        <w:r w:rsidRPr="00B9507F">
          <w:rPr>
            <w:rStyle w:val="Hyperlink"/>
            <w:szCs w:val="18"/>
            <w:lang w:val="en"/>
          </w:rPr>
          <w:t>Transition care (care after a hospital stay)</w:t>
        </w:r>
      </w:hyperlink>
      <w:r w:rsidRPr="003A2412">
        <w:rPr>
          <w:szCs w:val="18"/>
          <w:lang w:val="en"/>
        </w:rPr>
        <w:t>. [Accessed 23 August 2018]</w:t>
      </w:r>
    </w:p>
  </w:footnote>
  <w:footnote w:id="5">
    <w:p w:rsidR="002F7C0C" w:rsidRPr="003A2412" w:rsidRDefault="002F7C0C">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Data sourced from Department of Health</w:t>
      </w:r>
    </w:p>
  </w:footnote>
  <w:footnote w:id="6">
    <w:p w:rsidR="002F7C0C" w:rsidRPr="003A2412" w:rsidRDefault="002F7C0C" w:rsidP="008A0B24">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Gray, L.C., Peel, N.M., Crotty, M., Kurrle, S.E., Giles, L.C. and Cameron, I.D., 2012. How effective are programs at managing transition from hospital to home? A case study of the Australian transition care program.</w:t>
      </w:r>
      <w:r w:rsidRPr="003A2412">
        <w:rPr>
          <w:i/>
          <w:color w:val="222222"/>
          <w:szCs w:val="18"/>
        </w:rPr>
        <w:t xml:space="preserve"> </w:t>
      </w:r>
      <w:r w:rsidRPr="003A2412">
        <w:rPr>
          <w:i/>
          <w:iCs/>
          <w:color w:val="222222"/>
          <w:szCs w:val="18"/>
        </w:rPr>
        <w:t>BMC geriatrics</w:t>
      </w:r>
      <w:r w:rsidRPr="003A2412">
        <w:rPr>
          <w:color w:val="222222"/>
          <w:szCs w:val="18"/>
        </w:rPr>
        <w:t xml:space="preserve">, </w:t>
      </w:r>
      <w:r w:rsidRPr="003A2412">
        <w:rPr>
          <w:i/>
          <w:iCs/>
          <w:color w:val="222222"/>
          <w:szCs w:val="18"/>
        </w:rPr>
        <w:t>12</w:t>
      </w:r>
      <w:r w:rsidRPr="003A2412">
        <w:rPr>
          <w:color w:val="222222"/>
          <w:szCs w:val="18"/>
        </w:rPr>
        <w:t>(1), p.6.</w:t>
      </w:r>
    </w:p>
  </w:footnote>
  <w:footnote w:id="7">
    <w:p w:rsidR="002F7C0C" w:rsidRPr="003A2412" w:rsidRDefault="002F7C0C" w:rsidP="008A0B24">
      <w:pPr>
        <w:pStyle w:val="FootnoteText"/>
        <w:rPr>
          <w:i/>
          <w:szCs w:val="18"/>
          <w:lang w:val="en-AU"/>
        </w:rPr>
      </w:pPr>
      <w:r w:rsidRPr="003A2412">
        <w:rPr>
          <w:rStyle w:val="FootnoteReference"/>
          <w:szCs w:val="18"/>
        </w:rPr>
        <w:footnoteRef/>
      </w:r>
      <w:r w:rsidRPr="003A2412">
        <w:rPr>
          <w:szCs w:val="18"/>
        </w:rPr>
        <w:t xml:space="preserve"> Australian Institute of Health and Welfare (AIHW), 2014. </w:t>
      </w:r>
      <w:r w:rsidRPr="003A2412">
        <w:rPr>
          <w:i/>
          <w:szCs w:val="18"/>
        </w:rPr>
        <w:t>Transition care for older people leaving hospital.</w:t>
      </w:r>
    </w:p>
  </w:footnote>
  <w:footnote w:id="8">
    <w:p w:rsidR="002F7C0C" w:rsidRPr="003A2412" w:rsidRDefault="002F7C0C">
      <w:pPr>
        <w:pStyle w:val="FootnoteText"/>
        <w:rPr>
          <w:szCs w:val="18"/>
          <w:lang w:val="en-AU"/>
        </w:rPr>
      </w:pPr>
      <w:r w:rsidRPr="003A2412">
        <w:rPr>
          <w:rStyle w:val="FootnoteReference"/>
          <w:szCs w:val="18"/>
        </w:rPr>
        <w:footnoteRef/>
      </w:r>
      <w:r w:rsidRPr="003A2412">
        <w:rPr>
          <w:szCs w:val="18"/>
        </w:rPr>
        <w:t xml:space="preserve"> </w:t>
      </w:r>
      <w:hyperlink r:id="rId3" w:history="1">
        <w:r w:rsidRPr="00B9507F">
          <w:rPr>
            <w:rStyle w:val="Hyperlink"/>
            <w:szCs w:val="18"/>
            <w:lang w:val="en-AU"/>
          </w:rPr>
          <w:t>AROC inpatient and ambulatory data sets</w:t>
        </w:r>
      </w:hyperlink>
      <w:r w:rsidRPr="003A2412">
        <w:rPr>
          <w:szCs w:val="18"/>
          <w:lang w:val="en-AU"/>
        </w:rPr>
        <w:t>. Length of stay for ambulatory care recipients has been adapted from Length of Program data</w:t>
      </w:r>
    </w:p>
  </w:footnote>
  <w:footnote w:id="9">
    <w:p w:rsidR="002F7C0C" w:rsidRPr="003A2412" w:rsidRDefault="002F7C0C" w:rsidP="00CC4799">
      <w:pPr>
        <w:pStyle w:val="FootnoteText"/>
        <w:rPr>
          <w:szCs w:val="18"/>
          <w:lang w:val="en-AU"/>
        </w:rPr>
      </w:pPr>
      <w:r w:rsidRPr="003A2412">
        <w:rPr>
          <w:rStyle w:val="FootnoteReference"/>
          <w:szCs w:val="18"/>
        </w:rPr>
        <w:footnoteRef/>
      </w:r>
      <w:r w:rsidRPr="003A2412">
        <w:rPr>
          <w:szCs w:val="18"/>
        </w:rPr>
        <w:t xml:space="preserve"> Department of Health. 2015. Transition Care Programme Guidelines, p</w:t>
      </w:r>
      <w:r w:rsidRPr="003A2412">
        <w:rPr>
          <w:szCs w:val="18"/>
          <w:lang w:val="en-AU"/>
        </w:rPr>
        <w:t>.35.</w:t>
      </w:r>
    </w:p>
  </w:footnote>
  <w:footnote w:id="10">
    <w:p w:rsidR="002F7C0C" w:rsidRPr="003A2412" w:rsidRDefault="002F7C0C">
      <w:pPr>
        <w:pStyle w:val="FootnoteText"/>
        <w:rPr>
          <w:szCs w:val="18"/>
          <w:lang w:val="en-AU"/>
        </w:rPr>
      </w:pPr>
      <w:r w:rsidRPr="003A2412">
        <w:rPr>
          <w:rStyle w:val="FootnoteReference"/>
          <w:szCs w:val="18"/>
        </w:rPr>
        <w:footnoteRef/>
      </w:r>
      <w:r w:rsidRPr="003A2412">
        <w:rPr>
          <w:szCs w:val="18"/>
        </w:rPr>
        <w:t xml:space="preserve"> Department of Health. 2015. Transition Care Programme Guidelines, p</w:t>
      </w:r>
      <w:r w:rsidRPr="003A2412">
        <w:rPr>
          <w:szCs w:val="18"/>
          <w:lang w:val="en-AU"/>
        </w:rPr>
        <w:t>.13.</w:t>
      </w:r>
    </w:p>
  </w:footnote>
  <w:footnote w:id="11">
    <w:p w:rsidR="002F7C0C" w:rsidRPr="003A2412" w:rsidRDefault="002F7C0C">
      <w:pPr>
        <w:pStyle w:val="FootnoteText"/>
        <w:rPr>
          <w:szCs w:val="18"/>
          <w:lang w:val="en-AU"/>
        </w:rPr>
      </w:pPr>
      <w:r w:rsidRPr="003A2412">
        <w:rPr>
          <w:rStyle w:val="FootnoteReference"/>
          <w:szCs w:val="18"/>
        </w:rPr>
        <w:footnoteRef/>
      </w:r>
      <w:r w:rsidRPr="003A2412">
        <w:rPr>
          <w:szCs w:val="18"/>
        </w:rPr>
        <w:t xml:space="preserve"> Department of Health. 2015. Transition Care Programme Guidelines, p</w:t>
      </w:r>
      <w:r w:rsidRPr="003A2412">
        <w:rPr>
          <w:szCs w:val="18"/>
          <w:lang w:val="en-AU"/>
        </w:rPr>
        <w:t>.19.</w:t>
      </w:r>
    </w:p>
  </w:footnote>
  <w:footnote w:id="12">
    <w:p w:rsidR="002F7C0C" w:rsidRPr="003A2412" w:rsidRDefault="002F7C0C">
      <w:pPr>
        <w:pStyle w:val="FootnoteText"/>
        <w:rPr>
          <w:szCs w:val="18"/>
          <w:lang w:val="en-AU"/>
        </w:rPr>
      </w:pPr>
      <w:r w:rsidRPr="003A2412">
        <w:rPr>
          <w:rStyle w:val="FootnoteReference"/>
          <w:szCs w:val="18"/>
        </w:rPr>
        <w:footnoteRef/>
      </w:r>
      <w:r w:rsidRPr="003A2412">
        <w:rPr>
          <w:szCs w:val="18"/>
        </w:rPr>
        <w:t xml:space="preserve"> Department of Health. 2015. Transition Care Programme Guidelines, p</w:t>
      </w:r>
      <w:r w:rsidRPr="003A2412">
        <w:rPr>
          <w:szCs w:val="18"/>
          <w:lang w:val="en-AU"/>
        </w:rPr>
        <w:t>.16.</w:t>
      </w:r>
    </w:p>
  </w:footnote>
  <w:footnote w:id="13">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Sainsbury, A., Seebass, G., Bansal, A. and Young, J.B., 2005. Reliability of the Barthel Index when used with older people. </w:t>
      </w:r>
      <w:r w:rsidRPr="003A2412">
        <w:rPr>
          <w:i/>
          <w:iCs/>
          <w:color w:val="222222"/>
          <w:szCs w:val="18"/>
        </w:rPr>
        <w:t>Age and Ageing</w:t>
      </w:r>
      <w:r w:rsidRPr="003A2412">
        <w:rPr>
          <w:color w:val="222222"/>
          <w:szCs w:val="18"/>
        </w:rPr>
        <w:t xml:space="preserve">, </w:t>
      </w:r>
      <w:r w:rsidRPr="003A2412">
        <w:rPr>
          <w:i/>
          <w:iCs/>
          <w:color w:val="222222"/>
          <w:szCs w:val="18"/>
        </w:rPr>
        <w:t>34</w:t>
      </w:r>
      <w:r w:rsidRPr="003A2412">
        <w:rPr>
          <w:color w:val="222222"/>
          <w:szCs w:val="18"/>
        </w:rPr>
        <w:t>(3), pp.228-232.</w:t>
      </w:r>
    </w:p>
  </w:footnote>
  <w:footnote w:id="14">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 xml:space="preserve">Western University, 2018. </w:t>
      </w:r>
      <w:hyperlink r:id="rId4" w:history="1">
        <w:r w:rsidRPr="00B9507F">
          <w:rPr>
            <w:rStyle w:val="Hyperlink"/>
            <w:szCs w:val="18"/>
            <w:lang w:val="en-AU"/>
          </w:rPr>
          <w:t>BioPsychoSocial Assessment Tools for the Elderly - Assessment Summary Sheet: Modified Barthel Index</w:t>
        </w:r>
      </w:hyperlink>
      <w:r w:rsidRPr="003A2412">
        <w:rPr>
          <w:szCs w:val="18"/>
          <w:lang w:val="en-AU"/>
        </w:rPr>
        <w:t>. [Accessed 17 January 2018]</w:t>
      </w:r>
    </w:p>
  </w:footnote>
  <w:footnote w:id="15">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Nicholl, C.R., Lincoln, N.B. and Playford, E.D., 2002. The reliability and validity of the Nottingham Extended Activities of Daily Living Scale in patients with multiple sclerosis. </w:t>
      </w:r>
      <w:r w:rsidRPr="003A2412">
        <w:rPr>
          <w:i/>
          <w:iCs/>
          <w:color w:val="222222"/>
          <w:szCs w:val="18"/>
        </w:rPr>
        <w:t>Multiple Sclerosis Journal</w:t>
      </w:r>
      <w:r w:rsidRPr="003A2412">
        <w:rPr>
          <w:color w:val="222222"/>
          <w:szCs w:val="18"/>
        </w:rPr>
        <w:t xml:space="preserve">, </w:t>
      </w:r>
      <w:r w:rsidRPr="003A2412">
        <w:rPr>
          <w:i/>
          <w:iCs/>
          <w:color w:val="222222"/>
          <w:szCs w:val="18"/>
        </w:rPr>
        <w:t>8</w:t>
      </w:r>
      <w:r w:rsidRPr="003A2412">
        <w:rPr>
          <w:color w:val="222222"/>
          <w:szCs w:val="18"/>
        </w:rPr>
        <w:t>(5), pp.372-376.</w:t>
      </w:r>
    </w:p>
  </w:footnote>
  <w:footnote w:id="16">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Lincoln, N.B. and Gladman, J.R., 1992. The extended activities of daily living scale: a further validation. </w:t>
      </w:r>
      <w:r w:rsidRPr="003A2412">
        <w:rPr>
          <w:i/>
          <w:iCs/>
          <w:color w:val="222222"/>
          <w:szCs w:val="18"/>
        </w:rPr>
        <w:t>Disability and rehabilitation</w:t>
      </w:r>
      <w:r w:rsidRPr="003A2412">
        <w:rPr>
          <w:color w:val="222222"/>
          <w:szCs w:val="18"/>
        </w:rPr>
        <w:t xml:space="preserve">, </w:t>
      </w:r>
      <w:r w:rsidRPr="003A2412">
        <w:rPr>
          <w:i/>
          <w:iCs/>
          <w:color w:val="222222"/>
          <w:szCs w:val="18"/>
        </w:rPr>
        <w:t>14</w:t>
      </w:r>
      <w:r w:rsidRPr="003A2412">
        <w:rPr>
          <w:color w:val="222222"/>
          <w:szCs w:val="18"/>
        </w:rPr>
        <w:t>(1), pp.41-43.</w:t>
      </w:r>
    </w:p>
  </w:footnote>
  <w:footnote w:id="17">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The Centre for Outcome Measurement in Brain Injury, 2012. CB&amp;M Properties. Available online: http://www.tbims.org/combi/cbm/cbmprop.html [Accessed 17 January 2019]</w:t>
      </w:r>
    </w:p>
  </w:footnote>
  <w:footnote w:id="18">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Howe, J.A., Inness, E.L., Venturini, A., Williams, J.I. and Verrier, M.C., 2006. The Community Balance and Mobility Scale-a balance measure for individuals with traumatic brain injury. </w:t>
      </w:r>
      <w:r w:rsidRPr="003A2412">
        <w:rPr>
          <w:i/>
          <w:iCs/>
          <w:color w:val="222222"/>
          <w:szCs w:val="18"/>
        </w:rPr>
        <w:t>Clinical Rehabilitation</w:t>
      </w:r>
      <w:r w:rsidRPr="003A2412">
        <w:rPr>
          <w:color w:val="222222"/>
          <w:szCs w:val="18"/>
        </w:rPr>
        <w:t xml:space="preserve">, </w:t>
      </w:r>
      <w:r w:rsidRPr="003A2412">
        <w:rPr>
          <w:i/>
          <w:iCs/>
          <w:color w:val="222222"/>
          <w:szCs w:val="18"/>
        </w:rPr>
        <w:t>20</w:t>
      </w:r>
      <w:r w:rsidRPr="003A2412">
        <w:rPr>
          <w:color w:val="222222"/>
          <w:szCs w:val="18"/>
        </w:rPr>
        <w:t>(10), pp.885-895.</w:t>
      </w:r>
    </w:p>
  </w:footnote>
  <w:footnote w:id="19">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The Centre for Outcome Measurement in Brain Injury, 2012. CB&amp;M Properties. Available online: http://www.tbims.org/combi/cbm/cbmprop.html [Accessed 17 January 2019]</w:t>
      </w:r>
    </w:p>
  </w:footnote>
  <w:footnote w:id="20">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Howe, J.A., Inness, E.L., Venturini, A., Williams, J.I. and Verrier, M.C., 2006. The Community Balance and Mobility Scale-a balance measure for individuals with traumatic brain injury. </w:t>
      </w:r>
      <w:r w:rsidRPr="003A2412">
        <w:rPr>
          <w:i/>
          <w:iCs/>
          <w:color w:val="222222"/>
          <w:szCs w:val="18"/>
        </w:rPr>
        <w:t>Clinical Rehabilitation</w:t>
      </w:r>
      <w:r w:rsidRPr="003A2412">
        <w:rPr>
          <w:color w:val="222222"/>
          <w:szCs w:val="18"/>
        </w:rPr>
        <w:t xml:space="preserve">, </w:t>
      </w:r>
      <w:r w:rsidRPr="003A2412">
        <w:rPr>
          <w:i/>
          <w:iCs/>
          <w:color w:val="222222"/>
          <w:szCs w:val="18"/>
        </w:rPr>
        <w:t>20</w:t>
      </w:r>
      <w:r w:rsidRPr="003A2412">
        <w:rPr>
          <w:color w:val="222222"/>
          <w:szCs w:val="18"/>
        </w:rPr>
        <w:t>(10), pp.885-895.</w:t>
      </w:r>
    </w:p>
  </w:footnote>
  <w:footnote w:id="21">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Hershkovitz, A., Kalandariov, Z., Hermush, V., Weiss, R. and Brill, S., 2007. Factors affecting short-term rehabilitation outcomes of disabled elderly patients with proximal hip fracture. </w:t>
      </w:r>
      <w:r w:rsidRPr="003A2412">
        <w:rPr>
          <w:i/>
          <w:iCs/>
          <w:color w:val="222222"/>
          <w:szCs w:val="18"/>
        </w:rPr>
        <w:t>Archives of physical medicine and rehabilitation</w:t>
      </w:r>
      <w:r w:rsidRPr="003A2412">
        <w:rPr>
          <w:color w:val="222222"/>
          <w:szCs w:val="18"/>
        </w:rPr>
        <w:t xml:space="preserve">, </w:t>
      </w:r>
      <w:r w:rsidRPr="003A2412">
        <w:rPr>
          <w:i/>
          <w:iCs/>
          <w:color w:val="222222"/>
          <w:szCs w:val="18"/>
        </w:rPr>
        <w:t>88</w:t>
      </w:r>
      <w:r w:rsidRPr="003A2412">
        <w:rPr>
          <w:color w:val="222222"/>
          <w:szCs w:val="18"/>
        </w:rPr>
        <w:t>(7), pp.916-921.</w:t>
      </w:r>
    </w:p>
  </w:footnote>
  <w:footnote w:id="22">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Nayar, M., Vanderstay, R., Siegert, R.J. and Turner-Stokes, L., 2016. The uk functional assessment measure (uk fim+ fam): Psychometric evaluation in patients undergoing specialist rehabilitation following a stroke from the national uk clinical dataset. </w:t>
      </w:r>
      <w:r w:rsidRPr="003A2412">
        <w:rPr>
          <w:i/>
          <w:iCs/>
          <w:color w:val="222222"/>
          <w:szCs w:val="18"/>
        </w:rPr>
        <w:t>PloS one</w:t>
      </w:r>
      <w:r w:rsidRPr="003A2412">
        <w:rPr>
          <w:color w:val="222222"/>
          <w:szCs w:val="18"/>
        </w:rPr>
        <w:t xml:space="preserve">, </w:t>
      </w:r>
      <w:r w:rsidRPr="003A2412">
        <w:rPr>
          <w:i/>
          <w:iCs/>
          <w:color w:val="222222"/>
          <w:szCs w:val="18"/>
        </w:rPr>
        <w:t>11</w:t>
      </w:r>
      <w:r w:rsidRPr="003A2412">
        <w:rPr>
          <w:color w:val="222222"/>
          <w:szCs w:val="18"/>
        </w:rPr>
        <w:t>(1), p.e0147288.</w:t>
      </w:r>
    </w:p>
  </w:footnote>
  <w:footnote w:id="23">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Willemse-van Son, A.H., Ribbers, G.M., Hop, W.C. and Stam, H.J., 2009. Community integration following moderate to severe traumatic brain injury: a longitudinal investigation. </w:t>
      </w:r>
      <w:r w:rsidRPr="003A2412">
        <w:rPr>
          <w:i/>
          <w:iCs/>
          <w:color w:val="222222"/>
          <w:szCs w:val="18"/>
        </w:rPr>
        <w:t>Journal of Rehabilitation Medicine</w:t>
      </w:r>
      <w:r w:rsidRPr="003A2412">
        <w:rPr>
          <w:color w:val="222222"/>
          <w:szCs w:val="18"/>
        </w:rPr>
        <w:t xml:space="preserve">, </w:t>
      </w:r>
      <w:r w:rsidRPr="003A2412">
        <w:rPr>
          <w:i/>
          <w:iCs/>
          <w:color w:val="222222"/>
          <w:szCs w:val="18"/>
        </w:rPr>
        <w:t>41</w:t>
      </w:r>
      <w:r w:rsidRPr="003A2412">
        <w:rPr>
          <w:color w:val="222222"/>
          <w:szCs w:val="18"/>
        </w:rPr>
        <w:t>(7), pp.521-527.</w:t>
      </w:r>
    </w:p>
  </w:footnote>
  <w:footnote w:id="24">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Law, J., Fielding, B., Jackson, D. and Turner-Stokes, L., 2009. The UK FIM+ FAM Extended Activities of Daily Living module: evaluation of scoring accuracy and reliability. </w:t>
      </w:r>
      <w:r w:rsidRPr="003A2412">
        <w:rPr>
          <w:i/>
          <w:iCs/>
          <w:color w:val="222222"/>
          <w:szCs w:val="18"/>
        </w:rPr>
        <w:t>Disability and rehabilitation</w:t>
      </w:r>
      <w:r w:rsidRPr="003A2412">
        <w:rPr>
          <w:color w:val="222222"/>
          <w:szCs w:val="18"/>
        </w:rPr>
        <w:t xml:space="preserve">, </w:t>
      </w:r>
      <w:r w:rsidRPr="003A2412">
        <w:rPr>
          <w:i/>
          <w:iCs/>
          <w:color w:val="222222"/>
          <w:szCs w:val="18"/>
        </w:rPr>
        <w:t>31</w:t>
      </w:r>
      <w:r w:rsidRPr="003A2412">
        <w:rPr>
          <w:color w:val="222222"/>
          <w:szCs w:val="18"/>
        </w:rPr>
        <w:t>(10), pp.825-830.</w:t>
      </w:r>
    </w:p>
  </w:footnote>
  <w:footnote w:id="25">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 xml:space="preserve">The Centre for Outcome Measurement in Brain Injury, 2012. </w:t>
      </w:r>
      <w:hyperlink r:id="rId5" w:history="1">
        <w:r w:rsidRPr="00B9507F">
          <w:rPr>
            <w:rStyle w:val="Hyperlink"/>
            <w:szCs w:val="18"/>
            <w:lang w:val="en-AU"/>
          </w:rPr>
          <w:t>Introduction to the Functional Assessment Measure</w:t>
        </w:r>
      </w:hyperlink>
      <w:r w:rsidRPr="003A2412">
        <w:rPr>
          <w:szCs w:val="18"/>
          <w:lang w:val="en-AU"/>
        </w:rPr>
        <w:t>. [Accessed 17 January 2019]</w:t>
      </w:r>
    </w:p>
  </w:footnote>
  <w:footnote w:id="26">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T</w:t>
      </w:r>
      <w:r w:rsidRPr="003A2412">
        <w:rPr>
          <w:szCs w:val="18"/>
          <w:lang w:val="en-AU"/>
        </w:rPr>
        <w:t xml:space="preserve">he University of Wollongong, 2018. </w:t>
      </w:r>
      <w:hyperlink r:id="rId6" w:history="1">
        <w:r w:rsidRPr="00B9507F">
          <w:rPr>
            <w:rStyle w:val="Hyperlink"/>
            <w:szCs w:val="18"/>
            <w:lang w:val="en-AU"/>
          </w:rPr>
          <w:t>Training and Credentialing for FIM / WeeFIM</w:t>
        </w:r>
      </w:hyperlink>
      <w:r w:rsidRPr="003A2412">
        <w:rPr>
          <w:szCs w:val="18"/>
          <w:lang w:val="en-AU"/>
        </w:rPr>
        <w:t>. [Accessed 17 January 2019]</w:t>
      </w:r>
    </w:p>
  </w:footnote>
  <w:footnote w:id="27">
    <w:p w:rsidR="002F7C0C" w:rsidRPr="003A2412" w:rsidRDefault="002F7C0C" w:rsidP="00D710D0">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 xml:space="preserve">King’s College London, 2019. </w:t>
      </w:r>
      <w:hyperlink r:id="rId7" w:history="1">
        <w:r w:rsidRPr="00B9507F">
          <w:rPr>
            <w:rStyle w:val="Hyperlink"/>
            <w:szCs w:val="18"/>
            <w:lang w:val="en-AU"/>
          </w:rPr>
          <w:t>FIM+FAM - The Functional Independence Measure and Functional Assessment Measure</w:t>
        </w:r>
      </w:hyperlink>
      <w:r w:rsidRPr="003A2412">
        <w:rPr>
          <w:szCs w:val="18"/>
          <w:lang w:val="en-AU"/>
        </w:rPr>
        <w:t>. [Accessed 17 January 2019]</w:t>
      </w:r>
    </w:p>
  </w:footnote>
  <w:footnote w:id="28">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O’Brien, K., Welsh, D., Barnable, A., Wiseman, G. and Colbourne, A., 2017. The impact of introducing restorative care on client outcomes and health system effectiveness in an integrated health authority. </w:t>
      </w:r>
      <w:r w:rsidRPr="003A2412">
        <w:rPr>
          <w:i/>
          <w:iCs/>
          <w:color w:val="222222"/>
          <w:szCs w:val="18"/>
        </w:rPr>
        <w:t>Home Health Care Management &amp; Practice</w:t>
      </w:r>
      <w:r w:rsidRPr="003A2412">
        <w:rPr>
          <w:color w:val="222222"/>
          <w:szCs w:val="18"/>
        </w:rPr>
        <w:t xml:space="preserve">, </w:t>
      </w:r>
      <w:r w:rsidRPr="003A2412">
        <w:rPr>
          <w:i/>
          <w:iCs/>
          <w:color w:val="222222"/>
          <w:szCs w:val="18"/>
        </w:rPr>
        <w:t>29</w:t>
      </w:r>
      <w:r w:rsidRPr="003A2412">
        <w:rPr>
          <w:color w:val="222222"/>
          <w:szCs w:val="18"/>
        </w:rPr>
        <w:t>(1), pp.13-19</w:t>
      </w:r>
    </w:p>
  </w:footnote>
  <w:footnote w:id="29">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Panella, L., La, F.P., Caselli, S., Marchisio, S. and Tennant, A., 2012. Predicting the need for institutional care shortly after admission to rehabilitation: Rasch analysis and predictive validity of the BRASS Index. </w:t>
      </w:r>
      <w:r w:rsidRPr="003A2412">
        <w:rPr>
          <w:i/>
          <w:iCs/>
          <w:color w:val="222222"/>
          <w:szCs w:val="18"/>
        </w:rPr>
        <w:t>European journal of physical and rehabilitation medicine</w:t>
      </w:r>
      <w:r w:rsidRPr="003A2412">
        <w:rPr>
          <w:color w:val="222222"/>
          <w:szCs w:val="18"/>
        </w:rPr>
        <w:t xml:space="preserve">, </w:t>
      </w:r>
      <w:r w:rsidRPr="003A2412">
        <w:rPr>
          <w:i/>
          <w:iCs/>
          <w:color w:val="222222"/>
          <w:szCs w:val="18"/>
        </w:rPr>
        <w:t>48</w:t>
      </w:r>
      <w:r w:rsidRPr="003A2412">
        <w:rPr>
          <w:color w:val="222222"/>
          <w:szCs w:val="18"/>
        </w:rPr>
        <w:t>(3), pp.443-454.</w:t>
      </w:r>
    </w:p>
  </w:footnote>
  <w:footnote w:id="30">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Mistiaen, P., Duijnhouwer, E., Prins</w:t>
      </w:r>
      <w:r w:rsidRPr="003A2412">
        <w:rPr>
          <w:rFonts w:ascii="Times New Roman" w:hAnsi="Times New Roman" w:cs="Times New Roman"/>
          <w:color w:val="222222"/>
          <w:szCs w:val="18"/>
        </w:rPr>
        <w:t>‐</w:t>
      </w:r>
      <w:r w:rsidRPr="003A2412">
        <w:rPr>
          <w:color w:val="222222"/>
          <w:szCs w:val="18"/>
        </w:rPr>
        <w:t>Hoekstra, A., Ros, W. and Blaylock, A., 1999. Predictive validity of the BRASS index in screening patients with post</w:t>
      </w:r>
      <w:r w:rsidRPr="003A2412">
        <w:rPr>
          <w:rFonts w:ascii="Times New Roman" w:hAnsi="Times New Roman" w:cs="Times New Roman"/>
          <w:color w:val="222222"/>
          <w:szCs w:val="18"/>
        </w:rPr>
        <w:t>‐</w:t>
      </w:r>
      <w:r w:rsidRPr="003A2412">
        <w:rPr>
          <w:color w:val="222222"/>
          <w:szCs w:val="18"/>
        </w:rPr>
        <w:t xml:space="preserve">discharge problems. </w:t>
      </w:r>
      <w:r w:rsidRPr="003A2412">
        <w:rPr>
          <w:i/>
          <w:iCs/>
          <w:color w:val="222222"/>
          <w:szCs w:val="18"/>
        </w:rPr>
        <w:t>Journal of advanced nursing</w:t>
      </w:r>
      <w:r w:rsidRPr="003A2412">
        <w:rPr>
          <w:color w:val="222222"/>
          <w:szCs w:val="18"/>
        </w:rPr>
        <w:t xml:space="preserve">, </w:t>
      </w:r>
      <w:r w:rsidRPr="003A2412">
        <w:rPr>
          <w:i/>
          <w:iCs/>
          <w:color w:val="222222"/>
          <w:szCs w:val="18"/>
        </w:rPr>
        <w:t>30</w:t>
      </w:r>
      <w:r w:rsidRPr="003A2412">
        <w:rPr>
          <w:color w:val="222222"/>
          <w:szCs w:val="18"/>
        </w:rPr>
        <w:t>(5), pp.1050-1056.</w:t>
      </w:r>
    </w:p>
  </w:footnote>
  <w:footnote w:id="31">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Barry, E., Galvin, R., Keogh, C., Horgan, F. and Fahey, T., 2014. Is the Timed Up and Go test a useful predictor of risk of falls in community dwelling older adults: a systematic review and meta-analysis. </w:t>
      </w:r>
      <w:r w:rsidRPr="003A2412">
        <w:rPr>
          <w:i/>
          <w:iCs/>
          <w:color w:val="222222"/>
          <w:szCs w:val="18"/>
        </w:rPr>
        <w:t>BMC geriatrics</w:t>
      </w:r>
      <w:r w:rsidRPr="003A2412">
        <w:rPr>
          <w:color w:val="222222"/>
          <w:szCs w:val="18"/>
        </w:rPr>
        <w:t xml:space="preserve">, </w:t>
      </w:r>
      <w:r w:rsidRPr="003A2412">
        <w:rPr>
          <w:i/>
          <w:iCs/>
          <w:color w:val="222222"/>
          <w:szCs w:val="18"/>
        </w:rPr>
        <w:t>14</w:t>
      </w:r>
      <w:r w:rsidRPr="003A2412">
        <w:rPr>
          <w:color w:val="222222"/>
          <w:szCs w:val="18"/>
        </w:rPr>
        <w:t>(1), p.14.</w:t>
      </w:r>
    </w:p>
  </w:footnote>
  <w:footnote w:id="32">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Langley, F.A. and Mackintosh, S.F., 2007. Functional balance assessment of older community dwelling adults: a systematic review of the literature. </w:t>
      </w:r>
      <w:r w:rsidRPr="003A2412">
        <w:rPr>
          <w:i/>
          <w:iCs/>
          <w:color w:val="222222"/>
          <w:szCs w:val="18"/>
        </w:rPr>
        <w:t>Internet Journal of Allied Health Sciences and Practice</w:t>
      </w:r>
      <w:r w:rsidRPr="003A2412">
        <w:rPr>
          <w:color w:val="222222"/>
          <w:szCs w:val="18"/>
        </w:rPr>
        <w:t xml:space="preserve">, </w:t>
      </w:r>
      <w:r w:rsidRPr="003A2412">
        <w:rPr>
          <w:i/>
          <w:iCs/>
          <w:color w:val="222222"/>
          <w:szCs w:val="18"/>
        </w:rPr>
        <w:t>5</w:t>
      </w:r>
      <w:r w:rsidRPr="003A2412">
        <w:rPr>
          <w:color w:val="222222"/>
          <w:szCs w:val="18"/>
        </w:rPr>
        <w:t>(4), p.13.</w:t>
      </w:r>
    </w:p>
  </w:footnote>
  <w:footnote w:id="33">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Barry, E., Galvin, R., Keogh, C., Horgan, F. and Fahey, T., 2014. Is the Timed Up and Go test a useful predictor of risk of falls in community dwelling older adults: a systematic review and meta-analysis. </w:t>
      </w:r>
      <w:r w:rsidRPr="003A2412">
        <w:rPr>
          <w:i/>
          <w:iCs/>
          <w:color w:val="222222"/>
          <w:szCs w:val="18"/>
        </w:rPr>
        <w:t>BMC geriatrics</w:t>
      </w:r>
      <w:r w:rsidRPr="003A2412">
        <w:rPr>
          <w:color w:val="222222"/>
          <w:szCs w:val="18"/>
        </w:rPr>
        <w:t xml:space="preserve">, </w:t>
      </w:r>
      <w:r w:rsidRPr="003A2412">
        <w:rPr>
          <w:i/>
          <w:iCs/>
          <w:color w:val="222222"/>
          <w:szCs w:val="18"/>
        </w:rPr>
        <w:t>14</w:t>
      </w:r>
      <w:r w:rsidRPr="003A2412">
        <w:rPr>
          <w:color w:val="222222"/>
          <w:szCs w:val="18"/>
        </w:rPr>
        <w:t>(1), p.14.</w:t>
      </w:r>
    </w:p>
  </w:footnote>
  <w:footnote w:id="34">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Marc, L.G., Raue, P.J. and Bruce, M.L., Screening performance of the geriatric depression scale (GDS-15) in a diverse elderly home care population (2008). </w:t>
      </w:r>
      <w:r w:rsidRPr="003A2412">
        <w:rPr>
          <w:i/>
          <w:iCs/>
          <w:color w:val="222222"/>
          <w:szCs w:val="18"/>
        </w:rPr>
        <w:t>Am J Geriatr Psychiatry</w:t>
      </w:r>
      <w:r w:rsidRPr="003A2412">
        <w:rPr>
          <w:color w:val="222222"/>
          <w:szCs w:val="18"/>
        </w:rPr>
        <w:t xml:space="preserve">, </w:t>
      </w:r>
      <w:r w:rsidRPr="003A2412">
        <w:rPr>
          <w:i/>
          <w:iCs/>
          <w:color w:val="222222"/>
          <w:szCs w:val="18"/>
        </w:rPr>
        <w:t>16</w:t>
      </w:r>
      <w:r w:rsidRPr="003A2412">
        <w:rPr>
          <w:color w:val="222222"/>
          <w:szCs w:val="18"/>
        </w:rPr>
        <w:t>(11), pp.914-921.</w:t>
      </w:r>
    </w:p>
  </w:footnote>
  <w:footnote w:id="35">
    <w:p w:rsidR="002F7C0C" w:rsidRPr="003A2412" w:rsidRDefault="002F7C0C" w:rsidP="003D4619">
      <w:pPr>
        <w:pStyle w:val="FootnoteText"/>
        <w:rPr>
          <w:szCs w:val="18"/>
          <w:lang w:val="en-AU"/>
        </w:rPr>
      </w:pPr>
      <w:r w:rsidRPr="003A2412">
        <w:rPr>
          <w:rStyle w:val="FootnoteReference"/>
          <w:szCs w:val="18"/>
        </w:rPr>
        <w:footnoteRef/>
      </w:r>
      <w:r w:rsidRPr="003A2412">
        <w:rPr>
          <w:color w:val="222222"/>
          <w:szCs w:val="18"/>
        </w:rPr>
        <w:t xml:space="preserve">Van Marwijk, H.W., Wallace, P., de Bock, G.H., Hermans, J.O., Kaptein, A.A. and Mulder, J.D., 1995. Evaluation of the feasibility, reliability and diagnostic value of shortened versions of the geriatric depression scale. </w:t>
      </w:r>
      <w:r w:rsidRPr="003A2412">
        <w:rPr>
          <w:i/>
          <w:iCs/>
          <w:color w:val="222222"/>
          <w:szCs w:val="18"/>
        </w:rPr>
        <w:t>Br J Gen Pract</w:t>
      </w:r>
      <w:r w:rsidRPr="003A2412">
        <w:rPr>
          <w:color w:val="222222"/>
          <w:szCs w:val="18"/>
        </w:rPr>
        <w:t xml:space="preserve">, </w:t>
      </w:r>
      <w:r w:rsidRPr="003A2412">
        <w:rPr>
          <w:i/>
          <w:iCs/>
          <w:color w:val="222222"/>
          <w:szCs w:val="18"/>
        </w:rPr>
        <w:t>45</w:t>
      </w:r>
      <w:r w:rsidRPr="003A2412">
        <w:rPr>
          <w:color w:val="222222"/>
          <w:szCs w:val="18"/>
        </w:rPr>
        <w:t>(393), pp.195-199.</w:t>
      </w:r>
      <w:r w:rsidRPr="003A2412">
        <w:rPr>
          <w:szCs w:val="18"/>
        </w:rPr>
        <w:t xml:space="preserve"> </w:t>
      </w:r>
    </w:p>
  </w:footnote>
  <w:footnote w:id="36">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Hoops, S., Nazem, S., Siderowf, A.D., Duda, J.E., Xie, S.X., Stern, M.B. and Weintraub, D., 2009. Validity of the MoCA and MMSE in the detection of MCI and dementia in Parkinson disease. </w:t>
      </w:r>
      <w:r w:rsidRPr="003A2412">
        <w:rPr>
          <w:i/>
          <w:iCs/>
          <w:color w:val="222222"/>
          <w:szCs w:val="18"/>
        </w:rPr>
        <w:t>Neurology</w:t>
      </w:r>
      <w:r w:rsidRPr="003A2412">
        <w:rPr>
          <w:color w:val="222222"/>
          <w:szCs w:val="18"/>
        </w:rPr>
        <w:t xml:space="preserve">, </w:t>
      </w:r>
      <w:r w:rsidRPr="003A2412">
        <w:rPr>
          <w:i/>
          <w:iCs/>
          <w:color w:val="222222"/>
          <w:szCs w:val="18"/>
        </w:rPr>
        <w:t>73</w:t>
      </w:r>
      <w:r w:rsidRPr="003A2412">
        <w:rPr>
          <w:color w:val="222222"/>
          <w:szCs w:val="18"/>
        </w:rPr>
        <w:t>(21), pp.1738-1745.</w:t>
      </w:r>
    </w:p>
  </w:footnote>
  <w:footnote w:id="37">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Thornton, M. and Travis, S.S., 2003. Analysis of the reliability of the modified caregiver strain index. </w:t>
      </w:r>
      <w:r w:rsidRPr="003A2412">
        <w:rPr>
          <w:i/>
          <w:iCs/>
          <w:color w:val="222222"/>
          <w:szCs w:val="18"/>
        </w:rPr>
        <w:t>The Journals of Gerontology Series B: Psychological Sciences and Social Sciences</w:t>
      </w:r>
      <w:r w:rsidRPr="003A2412">
        <w:rPr>
          <w:color w:val="222222"/>
          <w:szCs w:val="18"/>
        </w:rPr>
        <w:t xml:space="preserve">, </w:t>
      </w:r>
      <w:r w:rsidRPr="003A2412">
        <w:rPr>
          <w:i/>
          <w:iCs/>
          <w:color w:val="222222"/>
          <w:szCs w:val="18"/>
        </w:rPr>
        <w:t>58</w:t>
      </w:r>
      <w:r w:rsidRPr="003A2412">
        <w:rPr>
          <w:color w:val="222222"/>
          <w:szCs w:val="18"/>
        </w:rPr>
        <w:t>(2), pp.S127-S132.</w:t>
      </w:r>
    </w:p>
  </w:footnote>
  <w:footnote w:id="38">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Ware Jr, J.E., 2000. SF-36 health survey update. </w:t>
      </w:r>
      <w:r w:rsidRPr="003A2412">
        <w:rPr>
          <w:i/>
          <w:iCs/>
          <w:color w:val="222222"/>
          <w:szCs w:val="18"/>
        </w:rPr>
        <w:t>Spine</w:t>
      </w:r>
      <w:r w:rsidRPr="003A2412">
        <w:rPr>
          <w:color w:val="222222"/>
          <w:szCs w:val="18"/>
        </w:rPr>
        <w:t xml:space="preserve">, </w:t>
      </w:r>
      <w:r w:rsidRPr="003A2412">
        <w:rPr>
          <w:i/>
          <w:iCs/>
          <w:color w:val="222222"/>
          <w:szCs w:val="18"/>
        </w:rPr>
        <w:t>25</w:t>
      </w:r>
      <w:r w:rsidRPr="003A2412">
        <w:rPr>
          <w:color w:val="222222"/>
          <w:szCs w:val="18"/>
        </w:rPr>
        <w:t>(24), pp.3130-3139.</w:t>
      </w:r>
    </w:p>
  </w:footnote>
  <w:footnote w:id="39">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Busija, L., Pausenberger, E., Haines, T.P., Haymes, S., Buchbinder, R. and Osborne, R.H., 2011. Adult measures of general health and health</w:t>
      </w:r>
      <w:r w:rsidRPr="003A2412">
        <w:rPr>
          <w:rFonts w:ascii="Times New Roman" w:hAnsi="Times New Roman" w:cs="Times New Roman"/>
          <w:color w:val="222222"/>
          <w:szCs w:val="18"/>
        </w:rPr>
        <w:t>‐</w:t>
      </w:r>
      <w:r w:rsidRPr="003A2412">
        <w:rPr>
          <w:color w:val="222222"/>
          <w:szCs w:val="18"/>
        </w:rPr>
        <w:t>related quality of life: Medical Outcomes Study Short Form 36</w:t>
      </w:r>
      <w:r w:rsidRPr="003A2412">
        <w:rPr>
          <w:rFonts w:ascii="Times New Roman" w:hAnsi="Times New Roman" w:cs="Times New Roman"/>
          <w:color w:val="222222"/>
          <w:szCs w:val="18"/>
        </w:rPr>
        <w:t>‐</w:t>
      </w:r>
      <w:r w:rsidRPr="003A2412">
        <w:rPr>
          <w:color w:val="222222"/>
          <w:szCs w:val="18"/>
        </w:rPr>
        <w:t>Item (SF</w:t>
      </w:r>
      <w:r w:rsidRPr="003A2412">
        <w:rPr>
          <w:rFonts w:ascii="Times New Roman" w:hAnsi="Times New Roman" w:cs="Times New Roman"/>
          <w:color w:val="222222"/>
          <w:szCs w:val="18"/>
        </w:rPr>
        <w:t>‐</w:t>
      </w:r>
      <w:r w:rsidRPr="003A2412">
        <w:rPr>
          <w:color w:val="222222"/>
          <w:szCs w:val="18"/>
        </w:rPr>
        <w:t>36) and Short Form 12</w:t>
      </w:r>
      <w:r w:rsidRPr="003A2412">
        <w:rPr>
          <w:rFonts w:ascii="Times New Roman" w:hAnsi="Times New Roman" w:cs="Times New Roman"/>
          <w:color w:val="222222"/>
          <w:szCs w:val="18"/>
        </w:rPr>
        <w:t>‐</w:t>
      </w:r>
      <w:r w:rsidRPr="003A2412">
        <w:rPr>
          <w:color w:val="222222"/>
          <w:szCs w:val="18"/>
        </w:rPr>
        <w:t>Item (SF</w:t>
      </w:r>
      <w:r w:rsidRPr="003A2412">
        <w:rPr>
          <w:rFonts w:ascii="Times New Roman" w:hAnsi="Times New Roman" w:cs="Times New Roman"/>
          <w:color w:val="222222"/>
          <w:szCs w:val="18"/>
        </w:rPr>
        <w:t>‐</w:t>
      </w:r>
      <w:r w:rsidRPr="003A2412">
        <w:rPr>
          <w:color w:val="222222"/>
          <w:szCs w:val="18"/>
        </w:rPr>
        <w:t>12) Health Surveys, Nottingham Health Profile (NHP), Sickness Impact Profile (SIP), Medical Outcomes Study Short Form 6D (SF</w:t>
      </w:r>
      <w:r w:rsidRPr="003A2412">
        <w:rPr>
          <w:rFonts w:ascii="Times New Roman" w:hAnsi="Times New Roman" w:cs="Times New Roman"/>
          <w:color w:val="222222"/>
          <w:szCs w:val="18"/>
        </w:rPr>
        <w:t>‐</w:t>
      </w:r>
      <w:r w:rsidRPr="003A2412">
        <w:rPr>
          <w:color w:val="222222"/>
          <w:szCs w:val="18"/>
        </w:rPr>
        <w:t>6D), Health Utilities Index Mark 3 (HUI3), Quality of Well</w:t>
      </w:r>
      <w:r w:rsidRPr="003A2412">
        <w:rPr>
          <w:rFonts w:ascii="Times New Roman" w:hAnsi="Times New Roman" w:cs="Times New Roman"/>
          <w:color w:val="222222"/>
          <w:szCs w:val="18"/>
        </w:rPr>
        <w:t>‐</w:t>
      </w:r>
      <w:r w:rsidRPr="003A2412">
        <w:rPr>
          <w:color w:val="222222"/>
          <w:szCs w:val="18"/>
        </w:rPr>
        <w:t xml:space="preserve">Being Scale (QWB), and Assessment of Quality of Life (AQOL). </w:t>
      </w:r>
      <w:r w:rsidRPr="003A2412">
        <w:rPr>
          <w:i/>
          <w:iCs/>
          <w:color w:val="222222"/>
          <w:szCs w:val="18"/>
        </w:rPr>
        <w:t>Arthritis care &amp; research</w:t>
      </w:r>
      <w:r w:rsidRPr="003A2412">
        <w:rPr>
          <w:color w:val="222222"/>
          <w:szCs w:val="18"/>
        </w:rPr>
        <w:t xml:space="preserve">, </w:t>
      </w:r>
      <w:r w:rsidRPr="003A2412">
        <w:rPr>
          <w:i/>
          <w:iCs/>
          <w:color w:val="222222"/>
          <w:szCs w:val="18"/>
        </w:rPr>
        <w:t>63</w:t>
      </w:r>
      <w:r w:rsidRPr="003A2412">
        <w:rPr>
          <w:color w:val="222222"/>
          <w:szCs w:val="18"/>
        </w:rPr>
        <w:t>(S11), pp.S383-S412.</w:t>
      </w:r>
    </w:p>
  </w:footnote>
  <w:footnote w:id="40">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Jenkinson, C., Fitzpatrick, R. and Argyle, M., 1988. The Nottingham Health Profile: an analysis of its sensitivity in differentiating illness groups. </w:t>
      </w:r>
      <w:r w:rsidRPr="003A2412">
        <w:rPr>
          <w:i/>
          <w:iCs/>
          <w:color w:val="222222"/>
          <w:szCs w:val="18"/>
        </w:rPr>
        <w:t>Social Science &amp; Medicine</w:t>
      </w:r>
      <w:r w:rsidRPr="003A2412">
        <w:rPr>
          <w:color w:val="222222"/>
          <w:szCs w:val="18"/>
        </w:rPr>
        <w:t xml:space="preserve">, </w:t>
      </w:r>
      <w:r w:rsidRPr="003A2412">
        <w:rPr>
          <w:i/>
          <w:iCs/>
          <w:color w:val="222222"/>
          <w:szCs w:val="18"/>
        </w:rPr>
        <w:t>27</w:t>
      </w:r>
      <w:r w:rsidRPr="003A2412">
        <w:rPr>
          <w:color w:val="222222"/>
          <w:szCs w:val="18"/>
        </w:rPr>
        <w:t>(12), pp.1411-1414.</w:t>
      </w:r>
    </w:p>
  </w:footnote>
  <w:footnote w:id="41">
    <w:p w:rsidR="002F7C0C" w:rsidRPr="003A2412" w:rsidRDefault="002F7C0C" w:rsidP="003D4619">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Ware Jr, J.E., Kosinski, M. and Keller, S.D., 1996. A 12-Item Short-Form Health Survey: construction of scales and preliminary tests of reliability and validity. </w:t>
      </w:r>
      <w:r w:rsidRPr="003A2412">
        <w:rPr>
          <w:i/>
          <w:iCs/>
          <w:color w:val="222222"/>
          <w:szCs w:val="18"/>
        </w:rPr>
        <w:t>Medical care</w:t>
      </w:r>
      <w:r w:rsidRPr="003A2412">
        <w:rPr>
          <w:color w:val="222222"/>
          <w:szCs w:val="18"/>
        </w:rPr>
        <w:t xml:space="preserve">, </w:t>
      </w:r>
      <w:r w:rsidRPr="003A2412">
        <w:rPr>
          <w:i/>
          <w:iCs/>
          <w:color w:val="222222"/>
          <w:szCs w:val="18"/>
        </w:rPr>
        <w:t>34</w:t>
      </w:r>
      <w:r w:rsidRPr="003A2412">
        <w:rPr>
          <w:color w:val="222222"/>
          <w:szCs w:val="18"/>
        </w:rPr>
        <w:t>(3), pp.220-233.</w:t>
      </w:r>
    </w:p>
  </w:footnote>
  <w:footnote w:id="42">
    <w:p w:rsidR="002F7C0C" w:rsidRPr="003A2412" w:rsidRDefault="002F7C0C">
      <w:pPr>
        <w:pStyle w:val="FootnoteText"/>
        <w:rPr>
          <w:szCs w:val="18"/>
          <w:lang w:val="en-AU"/>
        </w:rPr>
      </w:pPr>
      <w:r w:rsidRPr="003A2412">
        <w:rPr>
          <w:rStyle w:val="FootnoteReference"/>
          <w:szCs w:val="18"/>
        </w:rPr>
        <w:footnoteRef/>
      </w:r>
      <w:r w:rsidRPr="003A2412">
        <w:rPr>
          <w:szCs w:val="18"/>
        </w:rPr>
        <w:t xml:space="preserve"> McBain-Rigg KE, Veitch C. 20110. Cultural barriers to health care for Aboriginal and Torres Strait Islanders in Mt. Australian Journal of Rural Health, 19:20–7.</w:t>
      </w:r>
    </w:p>
  </w:footnote>
  <w:footnote w:id="43">
    <w:p w:rsidR="002F7C0C" w:rsidRPr="003A2412" w:rsidRDefault="002F7C0C" w:rsidP="004C0DE3">
      <w:pPr>
        <w:pStyle w:val="FootnoteText"/>
        <w:rPr>
          <w:szCs w:val="18"/>
          <w:lang w:val="en-AU"/>
        </w:rPr>
      </w:pPr>
      <w:r w:rsidRPr="003A2412">
        <w:rPr>
          <w:rStyle w:val="FootnoteReference"/>
          <w:szCs w:val="18"/>
        </w:rPr>
        <w:footnoteRef/>
      </w:r>
      <w:r w:rsidRPr="003A2412">
        <w:rPr>
          <w:szCs w:val="18"/>
        </w:rPr>
        <w:t xml:space="preserve"> Fredericks B. 2010. What health services within rural communities tell us about Aboriginal people and Aboriginal health. Rural Society, 20:10–20.</w:t>
      </w:r>
    </w:p>
  </w:footnote>
  <w:footnote w:id="44">
    <w:p w:rsidR="002F7C0C" w:rsidRPr="003A2412" w:rsidRDefault="002F7C0C">
      <w:pPr>
        <w:pStyle w:val="FootnoteText"/>
        <w:rPr>
          <w:szCs w:val="18"/>
          <w:lang w:val="en-AU"/>
        </w:rPr>
      </w:pPr>
      <w:r w:rsidRPr="003A2412">
        <w:rPr>
          <w:rStyle w:val="FootnoteReference"/>
          <w:szCs w:val="18"/>
        </w:rPr>
        <w:footnoteRef/>
      </w:r>
      <w:r w:rsidRPr="003A2412">
        <w:rPr>
          <w:szCs w:val="18"/>
        </w:rPr>
        <w:t xml:space="preserve"> O'Donoghue L. 1999. Towards a culture of improving Aboriginal and Torres Strait Islander health in Australia. Australian Journal of Rural Health, 7:64–9.</w:t>
      </w:r>
    </w:p>
  </w:footnote>
  <w:footnote w:id="45">
    <w:p w:rsidR="002F7C0C" w:rsidRPr="003A2412" w:rsidRDefault="002F7C0C" w:rsidP="008323BA">
      <w:pPr>
        <w:pStyle w:val="FootnoteText"/>
        <w:rPr>
          <w:szCs w:val="18"/>
        </w:rPr>
      </w:pPr>
      <w:r w:rsidRPr="003A2412">
        <w:rPr>
          <w:rStyle w:val="FootnoteReference"/>
          <w:szCs w:val="18"/>
        </w:rPr>
        <w:footnoteRef/>
      </w:r>
      <w:r w:rsidRPr="003A2412">
        <w:rPr>
          <w:szCs w:val="18"/>
        </w:rPr>
        <w:t xml:space="preserve"> Australian Government Department of Health and Ageing. 2008. Report on the audit of the health workforce in rural and regional Australia. Commonwealth of Australia: Canberra.</w:t>
      </w:r>
    </w:p>
  </w:footnote>
  <w:footnote w:id="46">
    <w:p w:rsidR="002F7C0C" w:rsidRPr="003A2412" w:rsidRDefault="002F7C0C" w:rsidP="008323BA">
      <w:pPr>
        <w:pStyle w:val="FootnoteText"/>
        <w:rPr>
          <w:szCs w:val="18"/>
          <w:lang w:val="en-AU"/>
        </w:rPr>
      </w:pPr>
      <w:r w:rsidRPr="003A2412">
        <w:rPr>
          <w:rStyle w:val="FootnoteReference"/>
          <w:szCs w:val="18"/>
        </w:rPr>
        <w:footnoteRef/>
      </w:r>
      <w:r w:rsidRPr="003A2412">
        <w:rPr>
          <w:szCs w:val="18"/>
        </w:rPr>
        <w:t xml:space="preserve"> Alford, K. 2005. Comparing Australian with Canadian and New Zealand primary care health systems in relation to Aboriginal and Torres Strait Islander populations: Literature review and analysis, Onemda VicHealth Koori Health Unit, Editor. University of Melbourne: Melbourne, Victoria.</w:t>
      </w:r>
    </w:p>
  </w:footnote>
  <w:footnote w:id="47">
    <w:p w:rsidR="002F7C0C" w:rsidRPr="003A2412" w:rsidRDefault="002F7C0C">
      <w:pPr>
        <w:pStyle w:val="FootnoteText"/>
        <w:rPr>
          <w:szCs w:val="18"/>
          <w:lang w:val="en-AU"/>
        </w:rPr>
      </w:pPr>
      <w:r w:rsidRPr="003A2412">
        <w:rPr>
          <w:rStyle w:val="FootnoteReference"/>
          <w:szCs w:val="18"/>
        </w:rPr>
        <w:footnoteRef/>
      </w:r>
      <w:r w:rsidRPr="003A2412">
        <w:rPr>
          <w:szCs w:val="18"/>
        </w:rPr>
        <w:t xml:space="preserve"> Department of Health. 2015. Transition Care Programme Guidelines, p</w:t>
      </w:r>
      <w:r w:rsidRPr="003A2412">
        <w:rPr>
          <w:szCs w:val="18"/>
          <w:lang w:val="en-AU"/>
        </w:rPr>
        <w:t>.23.</w:t>
      </w:r>
    </w:p>
  </w:footnote>
  <w:footnote w:id="48">
    <w:p w:rsidR="002F7C0C" w:rsidRPr="003A2412" w:rsidRDefault="002F7C0C" w:rsidP="00DA0D95">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Zlatinov, A., 2015. Transitional Care Models for the Elderly</w:t>
      </w:r>
    </w:p>
  </w:footnote>
  <w:footnote w:id="49">
    <w:p w:rsidR="002F7C0C" w:rsidRPr="003A2412" w:rsidRDefault="002F7C0C" w:rsidP="00DA0D95">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Zlatinov, A., 2015. Transitional Care Models for the Elderly.</w:t>
      </w:r>
    </w:p>
  </w:footnote>
  <w:footnote w:id="50">
    <w:p w:rsidR="002F7C0C" w:rsidRPr="003A2412" w:rsidRDefault="002F7C0C" w:rsidP="00DA0D95">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Voss, R., Gardner, R., Baier, R., Butterfield, K., Lehrman, S. and Gravenstein, S., 2011. The care transitions intervention: translating from efficacy to effectiveness. </w:t>
      </w:r>
      <w:r w:rsidRPr="003A2412">
        <w:rPr>
          <w:i/>
          <w:iCs/>
          <w:color w:val="222222"/>
          <w:szCs w:val="18"/>
        </w:rPr>
        <w:t>Archives of internal medicine</w:t>
      </w:r>
      <w:r w:rsidRPr="003A2412">
        <w:rPr>
          <w:color w:val="222222"/>
          <w:szCs w:val="18"/>
        </w:rPr>
        <w:t xml:space="preserve">, </w:t>
      </w:r>
      <w:r w:rsidRPr="003A2412">
        <w:rPr>
          <w:i/>
          <w:iCs/>
          <w:color w:val="222222"/>
          <w:szCs w:val="18"/>
        </w:rPr>
        <w:t>171</w:t>
      </w:r>
      <w:r w:rsidRPr="003A2412">
        <w:rPr>
          <w:color w:val="222222"/>
          <w:szCs w:val="18"/>
        </w:rPr>
        <w:t>(14), pp.1232-1237.</w:t>
      </w:r>
    </w:p>
  </w:footnote>
  <w:footnote w:id="51">
    <w:p w:rsidR="002F7C0C" w:rsidRPr="003A2412" w:rsidRDefault="002F7C0C" w:rsidP="00DA0D95">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Coleman, E.A., Parry, C., Chalmers, S. and Min, S.J., 2006. The care transitions intervention: results of a randomized controlled trial. </w:t>
      </w:r>
      <w:r w:rsidRPr="003A2412">
        <w:rPr>
          <w:i/>
          <w:iCs/>
          <w:color w:val="222222"/>
          <w:szCs w:val="18"/>
        </w:rPr>
        <w:t>Archives of internal medicine</w:t>
      </w:r>
      <w:r w:rsidRPr="003A2412">
        <w:rPr>
          <w:color w:val="222222"/>
          <w:szCs w:val="18"/>
        </w:rPr>
        <w:t xml:space="preserve">, </w:t>
      </w:r>
      <w:r w:rsidRPr="003A2412">
        <w:rPr>
          <w:i/>
          <w:iCs/>
          <w:color w:val="222222"/>
          <w:szCs w:val="18"/>
        </w:rPr>
        <w:t>166</w:t>
      </w:r>
      <w:r w:rsidRPr="003A2412">
        <w:rPr>
          <w:color w:val="222222"/>
          <w:szCs w:val="18"/>
        </w:rPr>
        <w:t>(17), pp.1822-1828.</w:t>
      </w:r>
    </w:p>
  </w:footnote>
  <w:footnote w:id="52">
    <w:p w:rsidR="002F7C0C" w:rsidRPr="003A2412" w:rsidRDefault="002F7C0C" w:rsidP="00DA0D95">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Gage, B., 1999. Impact of the BBA on post-acute utilization. </w:t>
      </w:r>
      <w:r w:rsidRPr="003A2412">
        <w:rPr>
          <w:i/>
          <w:iCs/>
          <w:color w:val="222222"/>
          <w:szCs w:val="18"/>
        </w:rPr>
        <w:t>Health Care Financing Review</w:t>
      </w:r>
      <w:r w:rsidRPr="003A2412">
        <w:rPr>
          <w:color w:val="222222"/>
          <w:szCs w:val="18"/>
        </w:rPr>
        <w:t xml:space="preserve">, </w:t>
      </w:r>
      <w:r w:rsidRPr="003A2412">
        <w:rPr>
          <w:i/>
          <w:iCs/>
          <w:color w:val="222222"/>
          <w:szCs w:val="18"/>
        </w:rPr>
        <w:t>20</w:t>
      </w:r>
      <w:r w:rsidRPr="003A2412">
        <w:rPr>
          <w:color w:val="222222"/>
          <w:szCs w:val="18"/>
        </w:rPr>
        <w:t>(4), p.103.</w:t>
      </w:r>
    </w:p>
  </w:footnote>
  <w:footnote w:id="53">
    <w:p w:rsidR="002F7C0C" w:rsidRPr="003A2412" w:rsidRDefault="002F7C0C" w:rsidP="00DA0D95">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Gardner, R., Li, Q., Baier, R.R., Butterfield, K., Coleman, E.A. and Gravenstein, S., 2014. Is implementation of the care transitions intervention associated with cost avoidance after hospital discharge?. </w:t>
      </w:r>
      <w:r w:rsidRPr="003A2412">
        <w:rPr>
          <w:i/>
          <w:iCs/>
          <w:color w:val="222222"/>
          <w:szCs w:val="18"/>
        </w:rPr>
        <w:t>Journal of general internal medicine</w:t>
      </w:r>
      <w:r w:rsidRPr="003A2412">
        <w:rPr>
          <w:color w:val="222222"/>
          <w:szCs w:val="18"/>
        </w:rPr>
        <w:t xml:space="preserve">, </w:t>
      </w:r>
      <w:r w:rsidRPr="003A2412">
        <w:rPr>
          <w:i/>
          <w:iCs/>
          <w:color w:val="222222"/>
          <w:szCs w:val="18"/>
        </w:rPr>
        <w:t>29</w:t>
      </w:r>
      <w:r w:rsidRPr="003A2412">
        <w:rPr>
          <w:color w:val="222222"/>
          <w:szCs w:val="18"/>
        </w:rPr>
        <w:t>(6), pp.878-884.</w:t>
      </w:r>
    </w:p>
  </w:footnote>
  <w:footnote w:id="54">
    <w:p w:rsidR="002F7C0C" w:rsidRPr="003A2412" w:rsidRDefault="002F7C0C" w:rsidP="00DA0D95">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 xml:space="preserve">Age UK, 2018. </w:t>
      </w:r>
      <w:hyperlink r:id="rId8" w:history="1">
        <w:r w:rsidRPr="00B9507F">
          <w:rPr>
            <w:rStyle w:val="Hyperlink"/>
            <w:szCs w:val="18"/>
            <w:lang w:val="en-AU"/>
          </w:rPr>
          <w:t>Intermediate care and reablement</w:t>
        </w:r>
      </w:hyperlink>
      <w:r w:rsidRPr="003A2412">
        <w:rPr>
          <w:szCs w:val="18"/>
          <w:lang w:val="en-AU"/>
        </w:rPr>
        <w:t>. [Accessed 17 January 2019]</w:t>
      </w:r>
    </w:p>
  </w:footnote>
  <w:footnote w:id="55">
    <w:p w:rsidR="002F7C0C" w:rsidRPr="003A2412" w:rsidRDefault="002F7C0C" w:rsidP="00DA0D95">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Pearson, M., Hunt, H., Cooper, C., Shepperd, S., Pawson, R. and Anderson, R., 2013. Intermediate care: a realist review and conceptual framework. </w:t>
      </w:r>
      <w:r w:rsidRPr="003A2412">
        <w:rPr>
          <w:i/>
          <w:iCs/>
          <w:color w:val="222222"/>
          <w:szCs w:val="18"/>
        </w:rPr>
        <w:t>Final Report. Southampton: NIHR Service Delivery and Organisation programme</w:t>
      </w:r>
      <w:r w:rsidRPr="003A2412">
        <w:rPr>
          <w:color w:val="222222"/>
          <w:szCs w:val="18"/>
        </w:rPr>
        <w:t>.</w:t>
      </w:r>
    </w:p>
  </w:footnote>
  <w:footnote w:id="56">
    <w:p w:rsidR="002F7C0C" w:rsidRPr="003A2412" w:rsidRDefault="002F7C0C" w:rsidP="00DA0D95">
      <w:pPr>
        <w:pStyle w:val="FootnoteText"/>
        <w:rPr>
          <w:szCs w:val="18"/>
          <w:lang w:val="en-AU"/>
        </w:rPr>
      </w:pPr>
      <w:r w:rsidRPr="003A2412">
        <w:rPr>
          <w:rStyle w:val="FootnoteReference"/>
          <w:szCs w:val="18"/>
        </w:rPr>
        <w:footnoteRef/>
      </w:r>
      <w:r w:rsidRPr="003A2412">
        <w:rPr>
          <w:szCs w:val="18"/>
        </w:rPr>
        <w:t xml:space="preserve"> Waikato District Health Board, 2018. START (Supported Transfer Accelerated Rehabilitation Team). Available online: https://www.waikatodhb.health.nz/about-us/a-z-of-services/older-persons-rehabilitation-and-allied-health/start/ [Accessed 17 January 2019]</w:t>
      </w:r>
    </w:p>
  </w:footnote>
  <w:footnote w:id="57">
    <w:p w:rsidR="002F7C0C" w:rsidRPr="003A2412" w:rsidRDefault="002F7C0C" w:rsidP="00DA0D95">
      <w:pPr>
        <w:pStyle w:val="FootnoteText"/>
        <w:rPr>
          <w:szCs w:val="18"/>
          <w:lang w:val="en-AU"/>
        </w:rPr>
      </w:pPr>
      <w:r w:rsidRPr="003A2412">
        <w:rPr>
          <w:rStyle w:val="FootnoteReference"/>
          <w:szCs w:val="18"/>
        </w:rPr>
        <w:footnoteRef/>
      </w:r>
      <w:r w:rsidRPr="003A2412">
        <w:rPr>
          <w:szCs w:val="18"/>
        </w:rPr>
        <w:t xml:space="preserve"> Canterbury District Health Board, 2018. CREST Available online: http://www.cdhbcareers.co.nz/All-About-Us/How-We-Do-What-We-Do/CREST/ [Accessed 17 January 2019]</w:t>
      </w:r>
    </w:p>
  </w:footnote>
  <w:footnote w:id="58">
    <w:p w:rsidR="002F7C0C" w:rsidRPr="003A2412" w:rsidRDefault="002F7C0C" w:rsidP="00DA0D95">
      <w:pPr>
        <w:pStyle w:val="FootnoteText"/>
        <w:rPr>
          <w:i/>
          <w:szCs w:val="18"/>
          <w:lang w:val="en-AU"/>
        </w:rPr>
      </w:pPr>
      <w:r w:rsidRPr="003A2412">
        <w:rPr>
          <w:rStyle w:val="FootnoteReference"/>
          <w:szCs w:val="18"/>
        </w:rPr>
        <w:footnoteRef/>
      </w:r>
      <w:r w:rsidRPr="003A2412">
        <w:rPr>
          <w:szCs w:val="18"/>
        </w:rPr>
        <w:t xml:space="preserve"> </w:t>
      </w:r>
      <w:r w:rsidRPr="003A2412">
        <w:rPr>
          <w:szCs w:val="18"/>
          <w:lang w:val="en-AU"/>
        </w:rPr>
        <w:t xml:space="preserve">Ministry of Health New Zealand, 2016. </w:t>
      </w:r>
      <w:r w:rsidRPr="003A2412">
        <w:rPr>
          <w:i/>
          <w:szCs w:val="18"/>
          <w:lang w:val="en-AU"/>
        </w:rPr>
        <w:t>Healthy Ageing Strategy</w:t>
      </w:r>
    </w:p>
  </w:footnote>
  <w:footnote w:id="59">
    <w:p w:rsidR="002F7C0C" w:rsidRPr="003A2412" w:rsidRDefault="002F7C0C" w:rsidP="00DA0D95">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O’Brien, K., Welsh, D., Barnable, A., Wiseman, G. and Colbourne, A., 2017. The impact of introducing restorative care on client outcomes and health system effectiveness in an integrated health authority. </w:t>
      </w:r>
      <w:r w:rsidRPr="003A2412">
        <w:rPr>
          <w:i/>
          <w:iCs/>
          <w:color w:val="222222"/>
          <w:szCs w:val="18"/>
        </w:rPr>
        <w:t>Home Health Care Management &amp; Practice</w:t>
      </w:r>
      <w:r w:rsidRPr="003A2412">
        <w:rPr>
          <w:color w:val="222222"/>
          <w:szCs w:val="18"/>
        </w:rPr>
        <w:t xml:space="preserve">, </w:t>
      </w:r>
      <w:r w:rsidRPr="003A2412">
        <w:rPr>
          <w:i/>
          <w:iCs/>
          <w:color w:val="222222"/>
          <w:szCs w:val="18"/>
        </w:rPr>
        <w:t>29</w:t>
      </w:r>
      <w:r w:rsidRPr="003A2412">
        <w:rPr>
          <w:color w:val="222222"/>
          <w:szCs w:val="18"/>
        </w:rPr>
        <w:t>(1), pp.13-19.</w:t>
      </w:r>
    </w:p>
  </w:footnote>
  <w:footnote w:id="60">
    <w:p w:rsidR="002F7C0C" w:rsidRPr="003A2412" w:rsidRDefault="002F7C0C">
      <w:pPr>
        <w:rPr>
          <w:sz w:val="18"/>
          <w:szCs w:val="18"/>
        </w:rPr>
      </w:pPr>
    </w:p>
    <w:p w:rsidR="002F7C0C" w:rsidRPr="003A2412" w:rsidRDefault="002F7C0C" w:rsidP="00DA0D95">
      <w:pPr>
        <w:pStyle w:val="FootnoteText"/>
        <w:rPr>
          <w:szCs w:val="18"/>
          <w:lang w:val="en-AU"/>
        </w:rPr>
      </w:pPr>
    </w:p>
  </w:footnote>
  <w:footnote w:id="61">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Liu, W., Unick, J., Galik, E. and Resnick, B., 2015. Barthel index of activities of daily living: item response theory analysis of ratings for long-term care residents. </w:t>
      </w:r>
      <w:r w:rsidRPr="003A2412">
        <w:rPr>
          <w:i/>
          <w:iCs/>
          <w:color w:val="222222"/>
          <w:szCs w:val="18"/>
        </w:rPr>
        <w:t>Nursing research</w:t>
      </w:r>
      <w:r w:rsidRPr="003A2412">
        <w:rPr>
          <w:color w:val="222222"/>
          <w:szCs w:val="18"/>
        </w:rPr>
        <w:t xml:space="preserve">, </w:t>
      </w:r>
      <w:r w:rsidRPr="003A2412">
        <w:rPr>
          <w:i/>
          <w:iCs/>
          <w:color w:val="222222"/>
          <w:szCs w:val="18"/>
        </w:rPr>
        <w:t>64</w:t>
      </w:r>
      <w:r w:rsidRPr="003A2412">
        <w:rPr>
          <w:color w:val="222222"/>
          <w:szCs w:val="18"/>
        </w:rPr>
        <w:t>(2), pp.88-99..</w:t>
      </w:r>
    </w:p>
  </w:footnote>
  <w:footnote w:id="62">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 xml:space="preserve">Western University, 2018. </w:t>
      </w:r>
      <w:hyperlink r:id="rId9" w:history="1">
        <w:r w:rsidRPr="00B9507F">
          <w:rPr>
            <w:rStyle w:val="Hyperlink"/>
            <w:szCs w:val="18"/>
            <w:lang w:val="en-AU"/>
          </w:rPr>
          <w:t>BioPsychoSocial Assessment Tools for the Elderly - Assessment Summary Sheet: Modified Barthel Index</w:t>
        </w:r>
      </w:hyperlink>
      <w:r w:rsidRPr="003A2412">
        <w:rPr>
          <w:szCs w:val="18"/>
          <w:lang w:val="en-AU"/>
        </w:rPr>
        <w:t>. [Accessed 17 January 2018]</w:t>
      </w:r>
    </w:p>
  </w:footnote>
  <w:footnote w:id="63">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Sainsbury, A., Seebass, G., Bansal, A. and Young, J.B., 2005. Reliability of the Barthel Index when used with older people. </w:t>
      </w:r>
      <w:r w:rsidRPr="003A2412">
        <w:rPr>
          <w:i/>
          <w:iCs/>
          <w:color w:val="222222"/>
          <w:szCs w:val="18"/>
        </w:rPr>
        <w:t>Age and Ageing</w:t>
      </w:r>
      <w:r w:rsidRPr="003A2412">
        <w:rPr>
          <w:color w:val="222222"/>
          <w:szCs w:val="18"/>
        </w:rPr>
        <w:t xml:space="preserve">, </w:t>
      </w:r>
      <w:r w:rsidRPr="003A2412">
        <w:rPr>
          <w:i/>
          <w:iCs/>
          <w:color w:val="222222"/>
          <w:szCs w:val="18"/>
        </w:rPr>
        <w:t>34</w:t>
      </w:r>
      <w:r w:rsidRPr="003A2412">
        <w:rPr>
          <w:color w:val="222222"/>
          <w:szCs w:val="18"/>
        </w:rPr>
        <w:t>(3), pp.228-232.</w:t>
      </w:r>
    </w:p>
  </w:footnote>
  <w:footnote w:id="64">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 xml:space="preserve">Western University, 2018. </w:t>
      </w:r>
      <w:hyperlink r:id="rId10" w:history="1">
        <w:r w:rsidRPr="00B9507F">
          <w:rPr>
            <w:rStyle w:val="Hyperlink"/>
            <w:szCs w:val="18"/>
            <w:lang w:val="en-AU"/>
          </w:rPr>
          <w:t>BioPsychoSocial Assessment Tools for the Elderly - Assessment Summary Sheet: Modified Barthel Index</w:t>
        </w:r>
      </w:hyperlink>
      <w:r w:rsidRPr="003A2412">
        <w:rPr>
          <w:szCs w:val="18"/>
          <w:lang w:val="en-AU"/>
        </w:rPr>
        <w:t>. [Accessed 17 January 2018]</w:t>
      </w:r>
    </w:p>
  </w:footnote>
  <w:footnote w:id="65">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Nicholl, C.R., Lincoln, N.B. and Playford, E.D., 2002. The reliability and validity of the Nottingham Extended Activities of Daily Living Scale in patients with multiple sclerosis. </w:t>
      </w:r>
      <w:r w:rsidRPr="003A2412">
        <w:rPr>
          <w:i/>
          <w:iCs/>
          <w:color w:val="222222"/>
          <w:szCs w:val="18"/>
        </w:rPr>
        <w:t>Multiple Sclerosis Journal</w:t>
      </w:r>
      <w:r w:rsidRPr="003A2412">
        <w:rPr>
          <w:color w:val="222222"/>
          <w:szCs w:val="18"/>
        </w:rPr>
        <w:t xml:space="preserve">, </w:t>
      </w:r>
      <w:r w:rsidRPr="003A2412">
        <w:rPr>
          <w:i/>
          <w:iCs/>
          <w:color w:val="222222"/>
          <w:szCs w:val="18"/>
        </w:rPr>
        <w:t>8</w:t>
      </w:r>
      <w:r w:rsidRPr="003A2412">
        <w:rPr>
          <w:color w:val="222222"/>
          <w:szCs w:val="18"/>
        </w:rPr>
        <w:t>(5), pp.372-376.</w:t>
      </w:r>
    </w:p>
  </w:footnote>
  <w:footnote w:id="66">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Lincoln, N.B. and Gladman, J.R., 1992. The extended activities of daily living scale: a further validation. </w:t>
      </w:r>
      <w:r w:rsidRPr="003A2412">
        <w:rPr>
          <w:i/>
          <w:iCs/>
          <w:color w:val="222222"/>
          <w:szCs w:val="18"/>
        </w:rPr>
        <w:t>Disability and rehabilitation</w:t>
      </w:r>
      <w:r w:rsidRPr="003A2412">
        <w:rPr>
          <w:color w:val="222222"/>
          <w:szCs w:val="18"/>
        </w:rPr>
        <w:t xml:space="preserve">, </w:t>
      </w:r>
      <w:r w:rsidRPr="003A2412">
        <w:rPr>
          <w:i/>
          <w:iCs/>
          <w:color w:val="222222"/>
          <w:szCs w:val="18"/>
        </w:rPr>
        <w:t>14</w:t>
      </w:r>
      <w:r w:rsidRPr="003A2412">
        <w:rPr>
          <w:color w:val="222222"/>
          <w:szCs w:val="18"/>
        </w:rPr>
        <w:t>(1), pp.41-43.</w:t>
      </w:r>
    </w:p>
  </w:footnote>
  <w:footnote w:id="67">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Howe, J.A., Inness, E.L., Venturini, A., Williams, J.I. and Verrier, M.C., 2006. The Community Balance and Mobility Scale-a balance measure for individuals with traumatic brain injury. </w:t>
      </w:r>
      <w:r w:rsidRPr="003A2412">
        <w:rPr>
          <w:i/>
          <w:iCs/>
          <w:color w:val="222222"/>
          <w:szCs w:val="18"/>
        </w:rPr>
        <w:t>Clinical Rehabilitation</w:t>
      </w:r>
      <w:r w:rsidRPr="003A2412">
        <w:rPr>
          <w:color w:val="222222"/>
          <w:szCs w:val="18"/>
        </w:rPr>
        <w:t xml:space="preserve">, </w:t>
      </w:r>
      <w:r w:rsidRPr="003A2412">
        <w:rPr>
          <w:i/>
          <w:iCs/>
          <w:color w:val="222222"/>
          <w:szCs w:val="18"/>
        </w:rPr>
        <w:t>20</w:t>
      </w:r>
      <w:r w:rsidRPr="003A2412">
        <w:rPr>
          <w:color w:val="222222"/>
          <w:szCs w:val="18"/>
        </w:rPr>
        <w:t>(10), pp.885-895.</w:t>
      </w:r>
    </w:p>
  </w:footnote>
  <w:footnote w:id="68">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The Centre for Outcome Measurement in Brain Injury, 2012. CB&amp;M Properties. Available online: http://www.tbims.org/combi/cbm/cbmprop.html [Accessed 17 January 2019]</w:t>
      </w:r>
    </w:p>
  </w:footnote>
  <w:footnote w:id="69">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 xml:space="preserve">The Centre for Outcome Measurement in Brain Injury, 2012. </w:t>
      </w:r>
      <w:hyperlink r:id="rId11" w:history="1">
        <w:r w:rsidRPr="00B9507F">
          <w:rPr>
            <w:rStyle w:val="Hyperlink"/>
            <w:szCs w:val="18"/>
            <w:lang w:val="en-AU"/>
          </w:rPr>
          <w:t>Introduction to the Functional Assessment Measure</w:t>
        </w:r>
      </w:hyperlink>
      <w:r w:rsidRPr="003A2412">
        <w:rPr>
          <w:szCs w:val="18"/>
          <w:lang w:val="en-AU"/>
        </w:rPr>
        <w:t>. [Accessed 17 January 2019]</w:t>
      </w:r>
    </w:p>
  </w:footnote>
  <w:footnote w:id="70">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Hershkovitz, A., Kalandariov, Z., Hermush, V., Weiss, R. and Brill, S., 2007. Factors affecting short-term rehabilitation outcomes of disabled elderly patients with proximal hip fracture. </w:t>
      </w:r>
      <w:r w:rsidRPr="003A2412">
        <w:rPr>
          <w:i/>
          <w:iCs/>
          <w:color w:val="222222"/>
          <w:szCs w:val="18"/>
        </w:rPr>
        <w:t>Archives of physical medicine and rehabilitation</w:t>
      </w:r>
      <w:r w:rsidRPr="003A2412">
        <w:rPr>
          <w:color w:val="222222"/>
          <w:szCs w:val="18"/>
        </w:rPr>
        <w:t xml:space="preserve">, </w:t>
      </w:r>
      <w:r w:rsidRPr="003A2412">
        <w:rPr>
          <w:i/>
          <w:iCs/>
          <w:color w:val="222222"/>
          <w:szCs w:val="18"/>
        </w:rPr>
        <w:t>88</w:t>
      </w:r>
      <w:r w:rsidRPr="003A2412">
        <w:rPr>
          <w:color w:val="222222"/>
          <w:szCs w:val="18"/>
        </w:rPr>
        <w:t>(7), pp.916-921.</w:t>
      </w:r>
    </w:p>
  </w:footnote>
  <w:footnote w:id="71">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Nayar, M., Vanderstay, R., Siegert, R.J. and Turner-Stokes, L., 2016. The uk functional assessment measure (uk fim+ fam): Psychometric evaluation in patients undergoing specialist rehabilitation following a stroke from the national uk clinical dataset. </w:t>
      </w:r>
      <w:r w:rsidRPr="003A2412">
        <w:rPr>
          <w:i/>
          <w:iCs/>
          <w:color w:val="222222"/>
          <w:szCs w:val="18"/>
        </w:rPr>
        <w:t>PloS one</w:t>
      </w:r>
      <w:r w:rsidRPr="003A2412">
        <w:rPr>
          <w:color w:val="222222"/>
          <w:szCs w:val="18"/>
        </w:rPr>
        <w:t xml:space="preserve">, </w:t>
      </w:r>
      <w:r w:rsidRPr="003A2412">
        <w:rPr>
          <w:i/>
          <w:iCs/>
          <w:color w:val="222222"/>
          <w:szCs w:val="18"/>
        </w:rPr>
        <w:t>11</w:t>
      </w:r>
      <w:r w:rsidRPr="003A2412">
        <w:rPr>
          <w:color w:val="222222"/>
          <w:szCs w:val="18"/>
        </w:rPr>
        <w:t>(1), p.e0147288.</w:t>
      </w:r>
    </w:p>
  </w:footnote>
  <w:footnote w:id="72">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Willemse-van Son, A.H., Ribbers, G.M., Hop, W.C. and Stam, H.J., 2009. Community integration following moderate to severe traumatic brain injury: a longitudinal investigation. </w:t>
      </w:r>
      <w:r w:rsidRPr="003A2412">
        <w:rPr>
          <w:i/>
          <w:iCs/>
          <w:color w:val="222222"/>
          <w:szCs w:val="18"/>
        </w:rPr>
        <w:t>Journal of Rehabilitation Medicine</w:t>
      </w:r>
      <w:r w:rsidRPr="003A2412">
        <w:rPr>
          <w:color w:val="222222"/>
          <w:szCs w:val="18"/>
        </w:rPr>
        <w:t xml:space="preserve">, </w:t>
      </w:r>
      <w:r w:rsidRPr="003A2412">
        <w:rPr>
          <w:i/>
          <w:iCs/>
          <w:color w:val="222222"/>
          <w:szCs w:val="18"/>
        </w:rPr>
        <w:t>41</w:t>
      </w:r>
      <w:r w:rsidRPr="003A2412">
        <w:rPr>
          <w:color w:val="222222"/>
          <w:szCs w:val="18"/>
        </w:rPr>
        <w:t>(7), pp.521-527.</w:t>
      </w:r>
    </w:p>
  </w:footnote>
  <w:footnote w:id="73">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 xml:space="preserve">The University of Wollongong, 2018. </w:t>
      </w:r>
      <w:hyperlink r:id="rId12" w:history="1">
        <w:r w:rsidRPr="00B9507F">
          <w:rPr>
            <w:rStyle w:val="Hyperlink"/>
            <w:szCs w:val="18"/>
            <w:lang w:val="en-AU"/>
          </w:rPr>
          <w:t>Training and Credentialing for FIM / WeeFIM</w:t>
        </w:r>
      </w:hyperlink>
      <w:r w:rsidRPr="003A2412">
        <w:rPr>
          <w:szCs w:val="18"/>
          <w:lang w:val="en-AU"/>
        </w:rPr>
        <w:t>. [Accessed 17 January 2019]</w:t>
      </w:r>
    </w:p>
  </w:footnote>
  <w:footnote w:id="74">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 xml:space="preserve">King’s College London, 2019. </w:t>
      </w:r>
      <w:hyperlink r:id="rId13" w:history="1">
        <w:r w:rsidRPr="00B9507F">
          <w:rPr>
            <w:rStyle w:val="Hyperlink"/>
            <w:szCs w:val="18"/>
            <w:lang w:val="en-AU"/>
          </w:rPr>
          <w:t>FIM+FAM - The Functional Independence Measure and Functional Assessment Measure</w:t>
        </w:r>
      </w:hyperlink>
      <w:r w:rsidRPr="003A2412">
        <w:rPr>
          <w:szCs w:val="18"/>
          <w:lang w:val="en-AU"/>
        </w:rPr>
        <w:t>. [Accessed 17 January 2019]</w:t>
      </w:r>
    </w:p>
  </w:footnote>
  <w:footnote w:id="75">
    <w:p w:rsidR="002F7C0C" w:rsidRPr="003A2412" w:rsidRDefault="002F7C0C" w:rsidP="00103537">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Law, J., Fielding, B., Jackson, D. and Turner-Stokes, L., 2009. The UK FIM+ FAM Extended Activities of Daily Living module: evaluation of scoring accuracy and reliability. </w:t>
      </w:r>
      <w:r w:rsidRPr="003A2412">
        <w:rPr>
          <w:i/>
          <w:iCs/>
          <w:color w:val="222222"/>
          <w:szCs w:val="18"/>
        </w:rPr>
        <w:t>Disability and rehabilitation</w:t>
      </w:r>
      <w:r w:rsidRPr="003A2412">
        <w:rPr>
          <w:color w:val="222222"/>
          <w:szCs w:val="18"/>
        </w:rPr>
        <w:t xml:space="preserve">, </w:t>
      </w:r>
      <w:r w:rsidRPr="003A2412">
        <w:rPr>
          <w:i/>
          <w:iCs/>
          <w:color w:val="222222"/>
          <w:szCs w:val="18"/>
        </w:rPr>
        <w:t>31</w:t>
      </w:r>
      <w:r w:rsidRPr="003A2412">
        <w:rPr>
          <w:color w:val="222222"/>
          <w:szCs w:val="18"/>
        </w:rPr>
        <w:t>(10), pp.825-830.</w:t>
      </w:r>
    </w:p>
  </w:footnote>
  <w:footnote w:id="76">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O’Brien, K., Welsh, D., Barnable, A., Wiseman, G. and Colbourne, A., 2017. The impact of introducing restorative care on client outcomes and health system effectiveness in an integrated health authority. </w:t>
      </w:r>
      <w:r w:rsidRPr="003A2412">
        <w:rPr>
          <w:i/>
          <w:iCs/>
          <w:color w:val="222222"/>
          <w:szCs w:val="18"/>
        </w:rPr>
        <w:t>Home Health Care Management &amp; Practice</w:t>
      </w:r>
      <w:r w:rsidRPr="003A2412">
        <w:rPr>
          <w:color w:val="222222"/>
          <w:szCs w:val="18"/>
        </w:rPr>
        <w:t xml:space="preserve">, </w:t>
      </w:r>
      <w:r w:rsidRPr="003A2412">
        <w:rPr>
          <w:i/>
          <w:iCs/>
          <w:color w:val="222222"/>
          <w:szCs w:val="18"/>
        </w:rPr>
        <w:t>29</w:t>
      </w:r>
      <w:r w:rsidRPr="003A2412">
        <w:rPr>
          <w:color w:val="222222"/>
          <w:szCs w:val="18"/>
        </w:rPr>
        <w:t>(1), pp.13-19.</w:t>
      </w:r>
    </w:p>
  </w:footnote>
  <w:footnote w:id="77">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Mistiaen, P., Duijnhouwer, E., Prins</w:t>
      </w:r>
      <w:r w:rsidRPr="003A2412">
        <w:rPr>
          <w:rFonts w:ascii="Times New Roman" w:hAnsi="Times New Roman" w:cs="Times New Roman"/>
          <w:color w:val="222222"/>
          <w:szCs w:val="18"/>
        </w:rPr>
        <w:t>‐</w:t>
      </w:r>
      <w:r w:rsidRPr="003A2412">
        <w:rPr>
          <w:color w:val="222222"/>
          <w:szCs w:val="18"/>
        </w:rPr>
        <w:t>Hoekstra, A., Ros, W. and Blaylock, A., 1999. Predictive validity of the BRASS index in screening patients with post</w:t>
      </w:r>
      <w:r w:rsidRPr="003A2412">
        <w:rPr>
          <w:rFonts w:ascii="Times New Roman" w:hAnsi="Times New Roman" w:cs="Times New Roman"/>
          <w:color w:val="222222"/>
          <w:szCs w:val="18"/>
        </w:rPr>
        <w:t>‐</w:t>
      </w:r>
      <w:r w:rsidRPr="003A2412">
        <w:rPr>
          <w:color w:val="222222"/>
          <w:szCs w:val="18"/>
        </w:rPr>
        <w:t xml:space="preserve">discharge problems. </w:t>
      </w:r>
      <w:r w:rsidRPr="003A2412">
        <w:rPr>
          <w:i/>
          <w:iCs/>
          <w:color w:val="222222"/>
          <w:szCs w:val="18"/>
        </w:rPr>
        <w:t>Journal of advanced nursing</w:t>
      </w:r>
      <w:r w:rsidRPr="003A2412">
        <w:rPr>
          <w:color w:val="222222"/>
          <w:szCs w:val="18"/>
        </w:rPr>
        <w:t xml:space="preserve">, </w:t>
      </w:r>
      <w:r w:rsidRPr="003A2412">
        <w:rPr>
          <w:i/>
          <w:iCs/>
          <w:color w:val="222222"/>
          <w:szCs w:val="18"/>
        </w:rPr>
        <w:t>30</w:t>
      </w:r>
      <w:r w:rsidRPr="003A2412">
        <w:rPr>
          <w:color w:val="222222"/>
          <w:szCs w:val="18"/>
        </w:rPr>
        <w:t>(5), pp.1050-1056.</w:t>
      </w:r>
    </w:p>
  </w:footnote>
  <w:footnote w:id="78">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Panella, L., La, F.P., Caselli, S., Marchisio, S. and Tennant, A., 2012. Predicting the need for institutional care shortly after admission to rehabilitation: Rasch analysis and predictive validity of the BRASS Index. </w:t>
      </w:r>
      <w:r w:rsidRPr="003A2412">
        <w:rPr>
          <w:i/>
          <w:iCs/>
          <w:color w:val="222222"/>
          <w:szCs w:val="18"/>
        </w:rPr>
        <w:t>European journal of physical and rehabilitation medicine</w:t>
      </w:r>
      <w:r w:rsidRPr="003A2412">
        <w:rPr>
          <w:color w:val="222222"/>
          <w:szCs w:val="18"/>
        </w:rPr>
        <w:t xml:space="preserve">, </w:t>
      </w:r>
      <w:r w:rsidRPr="003A2412">
        <w:rPr>
          <w:i/>
          <w:iCs/>
          <w:color w:val="222222"/>
          <w:szCs w:val="18"/>
        </w:rPr>
        <w:t>48</w:t>
      </w:r>
      <w:r w:rsidRPr="003A2412">
        <w:rPr>
          <w:color w:val="222222"/>
          <w:szCs w:val="18"/>
        </w:rPr>
        <w:t>(3), pp.443-454.</w:t>
      </w:r>
    </w:p>
  </w:footnote>
  <w:footnote w:id="79">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Barry, E., Galvin, R., Keogh, C., Horgan, F. and Fahey, T., 2014. Is the Timed Up and Go test a useful predictor of risk of falls in community dwelling older adults: a systematic review and meta-analysis. </w:t>
      </w:r>
      <w:r w:rsidRPr="003A2412">
        <w:rPr>
          <w:i/>
          <w:iCs/>
          <w:color w:val="222222"/>
          <w:szCs w:val="18"/>
        </w:rPr>
        <w:t>BMC geriatrics</w:t>
      </w:r>
      <w:r w:rsidRPr="003A2412">
        <w:rPr>
          <w:color w:val="222222"/>
          <w:szCs w:val="18"/>
        </w:rPr>
        <w:t xml:space="preserve">, </w:t>
      </w:r>
      <w:r w:rsidRPr="003A2412">
        <w:rPr>
          <w:i/>
          <w:iCs/>
          <w:color w:val="222222"/>
          <w:szCs w:val="18"/>
        </w:rPr>
        <w:t>14</w:t>
      </w:r>
      <w:r w:rsidRPr="003A2412">
        <w:rPr>
          <w:color w:val="222222"/>
          <w:szCs w:val="18"/>
        </w:rPr>
        <w:t>(1), p.14.</w:t>
      </w:r>
    </w:p>
  </w:footnote>
  <w:footnote w:id="80">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Langley, F.A. and Mackintosh, S.F., 2007. Functional balance assessment of older community dwelling adults: a systematic review of the literature. </w:t>
      </w:r>
      <w:r w:rsidRPr="003A2412">
        <w:rPr>
          <w:i/>
          <w:iCs/>
          <w:color w:val="222222"/>
          <w:szCs w:val="18"/>
        </w:rPr>
        <w:t>Internet Journal of Allied Health Sciences and Practice</w:t>
      </w:r>
      <w:r w:rsidRPr="003A2412">
        <w:rPr>
          <w:color w:val="222222"/>
          <w:szCs w:val="18"/>
        </w:rPr>
        <w:t xml:space="preserve">, </w:t>
      </w:r>
      <w:r w:rsidRPr="003A2412">
        <w:rPr>
          <w:i/>
          <w:iCs/>
          <w:color w:val="222222"/>
          <w:szCs w:val="18"/>
        </w:rPr>
        <w:t>5</w:t>
      </w:r>
      <w:r w:rsidRPr="003A2412">
        <w:rPr>
          <w:color w:val="222222"/>
          <w:szCs w:val="18"/>
        </w:rPr>
        <w:t>(4), p.13.</w:t>
      </w:r>
    </w:p>
  </w:footnote>
  <w:footnote w:id="81">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Marc, L.G., Raue, P.J. and Bruce, M.L., Screening performance of the geriatric depression scale (GDS-15) in a diverse elderly home care population (2008). </w:t>
      </w:r>
      <w:r w:rsidRPr="003A2412">
        <w:rPr>
          <w:i/>
          <w:iCs/>
          <w:color w:val="222222"/>
          <w:szCs w:val="18"/>
        </w:rPr>
        <w:t>Am J Geriatr Psychiatry</w:t>
      </w:r>
      <w:r w:rsidRPr="003A2412">
        <w:rPr>
          <w:color w:val="222222"/>
          <w:szCs w:val="18"/>
        </w:rPr>
        <w:t xml:space="preserve">, </w:t>
      </w:r>
      <w:r w:rsidRPr="003A2412">
        <w:rPr>
          <w:i/>
          <w:iCs/>
          <w:color w:val="222222"/>
          <w:szCs w:val="18"/>
        </w:rPr>
        <w:t>16</w:t>
      </w:r>
      <w:r w:rsidRPr="003A2412">
        <w:rPr>
          <w:color w:val="222222"/>
          <w:szCs w:val="18"/>
        </w:rPr>
        <w:t>(11), pp.914-921.</w:t>
      </w:r>
    </w:p>
  </w:footnote>
  <w:footnote w:id="82">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Shirley Ryan Ability Lab, 2019. Geriatric Depression Scale. Available online:</w:t>
      </w:r>
      <w:r w:rsidRPr="003A2412">
        <w:rPr>
          <w:szCs w:val="18"/>
        </w:rPr>
        <w:t xml:space="preserve"> </w:t>
      </w:r>
      <w:r w:rsidRPr="003A2412">
        <w:rPr>
          <w:szCs w:val="18"/>
          <w:lang w:val="en-AU"/>
        </w:rPr>
        <w:t>https://www.sralab.org/rehabilitation-measures/geriatric-depression-scale[Accessed 17 January 2019]</w:t>
      </w:r>
    </w:p>
  </w:footnote>
  <w:footnote w:id="83">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Van Marwijk, H.W., Wallace, P., de Bock, G.H., Hermans, J.O., Kaptein, A.A. and Mulder, J.D., 1995. Evaluation of the feasibility, reliability and diagnostic value of shortened versions of the geriatric depression scale. </w:t>
      </w:r>
      <w:r w:rsidRPr="003A2412">
        <w:rPr>
          <w:i/>
          <w:iCs/>
          <w:color w:val="222222"/>
          <w:szCs w:val="18"/>
        </w:rPr>
        <w:t>Br J Gen Pract</w:t>
      </w:r>
      <w:r w:rsidRPr="003A2412">
        <w:rPr>
          <w:color w:val="222222"/>
          <w:szCs w:val="18"/>
        </w:rPr>
        <w:t xml:space="preserve">, </w:t>
      </w:r>
      <w:r w:rsidRPr="003A2412">
        <w:rPr>
          <w:i/>
          <w:iCs/>
          <w:color w:val="222222"/>
          <w:szCs w:val="18"/>
        </w:rPr>
        <w:t>45</w:t>
      </w:r>
      <w:r w:rsidRPr="003A2412">
        <w:rPr>
          <w:color w:val="222222"/>
          <w:szCs w:val="18"/>
        </w:rPr>
        <w:t>(393), pp.195-199.</w:t>
      </w:r>
    </w:p>
  </w:footnote>
  <w:footnote w:id="84">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Marc, L.G., Raue, P.J. and Bruce, M.L., Screening performance of the geriatric depression scale (GDS-15) in a diverse elderly home care population (2008). </w:t>
      </w:r>
      <w:r w:rsidRPr="003A2412">
        <w:rPr>
          <w:i/>
          <w:iCs/>
          <w:color w:val="222222"/>
          <w:szCs w:val="18"/>
        </w:rPr>
        <w:t>Am J Geriatr Psychiatry</w:t>
      </w:r>
      <w:r w:rsidRPr="003A2412">
        <w:rPr>
          <w:color w:val="222222"/>
          <w:szCs w:val="18"/>
        </w:rPr>
        <w:t xml:space="preserve">, </w:t>
      </w:r>
      <w:r w:rsidRPr="003A2412">
        <w:rPr>
          <w:i/>
          <w:iCs/>
          <w:color w:val="222222"/>
          <w:szCs w:val="18"/>
        </w:rPr>
        <w:t>16</w:t>
      </w:r>
      <w:r w:rsidRPr="003A2412">
        <w:rPr>
          <w:color w:val="222222"/>
          <w:szCs w:val="18"/>
        </w:rPr>
        <w:t>(11), pp.914-921.</w:t>
      </w:r>
    </w:p>
  </w:footnote>
  <w:footnote w:id="85">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Hoops, S., Nazem, S., Siderowf, A.D., Duda, J.E., Xie, S.X., Stern, M.B. and Weintraub, D., 2009. Validity of the MoCA and MMSE in the detection of MCI and dementia in Parkinson disease. </w:t>
      </w:r>
      <w:r w:rsidRPr="003A2412">
        <w:rPr>
          <w:i/>
          <w:iCs/>
          <w:color w:val="222222"/>
          <w:szCs w:val="18"/>
        </w:rPr>
        <w:t>Neurology</w:t>
      </w:r>
      <w:r w:rsidRPr="003A2412">
        <w:rPr>
          <w:color w:val="222222"/>
          <w:szCs w:val="18"/>
        </w:rPr>
        <w:t xml:space="preserve">, </w:t>
      </w:r>
      <w:r w:rsidRPr="003A2412">
        <w:rPr>
          <w:i/>
          <w:iCs/>
          <w:color w:val="222222"/>
          <w:szCs w:val="18"/>
        </w:rPr>
        <w:t>73</w:t>
      </w:r>
      <w:r w:rsidRPr="003A2412">
        <w:rPr>
          <w:color w:val="222222"/>
          <w:szCs w:val="18"/>
        </w:rPr>
        <w:t>(21), pp.1738-1745.</w:t>
      </w:r>
    </w:p>
  </w:footnote>
  <w:footnote w:id="86">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Hoops, S., Nazem, S., Siderowf, A.D., Duda, J.E., Xie, S.X., Stern, M.B. and Weintraub, D., 2009. Validity of the MoCA and MMSE in the detection of MCI and dementia in Parkinson disease. </w:t>
      </w:r>
      <w:r w:rsidRPr="003A2412">
        <w:rPr>
          <w:i/>
          <w:iCs/>
          <w:color w:val="222222"/>
          <w:szCs w:val="18"/>
        </w:rPr>
        <w:t>Neurology</w:t>
      </w:r>
      <w:r w:rsidRPr="003A2412">
        <w:rPr>
          <w:color w:val="222222"/>
          <w:szCs w:val="18"/>
        </w:rPr>
        <w:t xml:space="preserve">, </w:t>
      </w:r>
      <w:r w:rsidRPr="003A2412">
        <w:rPr>
          <w:i/>
          <w:iCs/>
          <w:color w:val="222222"/>
          <w:szCs w:val="18"/>
        </w:rPr>
        <w:t>73</w:t>
      </w:r>
      <w:r w:rsidRPr="003A2412">
        <w:rPr>
          <w:color w:val="222222"/>
          <w:szCs w:val="18"/>
        </w:rPr>
        <w:t>(21), pp.1738-1745.</w:t>
      </w:r>
    </w:p>
  </w:footnote>
  <w:footnote w:id="87">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Thornton, M. and Travis, S.S., 2003. Analysis of the reliability of the modified caregiver strain index. </w:t>
      </w:r>
      <w:r w:rsidRPr="003A2412">
        <w:rPr>
          <w:i/>
          <w:iCs/>
          <w:color w:val="222222"/>
          <w:szCs w:val="18"/>
        </w:rPr>
        <w:t>The Journals of Gerontology Series B: Psychological Sciences and Social Sciences</w:t>
      </w:r>
      <w:r w:rsidRPr="003A2412">
        <w:rPr>
          <w:color w:val="222222"/>
          <w:szCs w:val="18"/>
        </w:rPr>
        <w:t xml:space="preserve">, </w:t>
      </w:r>
      <w:r w:rsidRPr="003A2412">
        <w:rPr>
          <w:i/>
          <w:iCs/>
          <w:color w:val="222222"/>
          <w:szCs w:val="18"/>
        </w:rPr>
        <w:t>58</w:t>
      </w:r>
      <w:r w:rsidRPr="003A2412">
        <w:rPr>
          <w:color w:val="222222"/>
          <w:szCs w:val="18"/>
        </w:rPr>
        <w:t>(2), pp.S127-S132.</w:t>
      </w:r>
    </w:p>
  </w:footnote>
  <w:footnote w:id="88">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Ware Jr, J.E., 2000. SF-36 health survey update. </w:t>
      </w:r>
      <w:r w:rsidRPr="003A2412">
        <w:rPr>
          <w:i/>
          <w:iCs/>
          <w:color w:val="222222"/>
          <w:szCs w:val="18"/>
        </w:rPr>
        <w:t>Spine</w:t>
      </w:r>
      <w:r w:rsidRPr="003A2412">
        <w:rPr>
          <w:color w:val="222222"/>
          <w:szCs w:val="18"/>
        </w:rPr>
        <w:t xml:space="preserve">, </w:t>
      </w:r>
      <w:r w:rsidRPr="003A2412">
        <w:rPr>
          <w:i/>
          <w:iCs/>
          <w:color w:val="222222"/>
          <w:szCs w:val="18"/>
        </w:rPr>
        <w:t>25</w:t>
      </w:r>
      <w:r w:rsidRPr="003A2412">
        <w:rPr>
          <w:color w:val="222222"/>
          <w:szCs w:val="18"/>
        </w:rPr>
        <w:t>(24), pp.3130-3139.</w:t>
      </w:r>
    </w:p>
  </w:footnote>
  <w:footnote w:id="89">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Ware Jr, J.E. and Sherbourne, C.D., 1992. The MOS 36-item short-form health survey (SF-36): I. Conceptual framework and item selection. </w:t>
      </w:r>
      <w:r w:rsidRPr="003A2412">
        <w:rPr>
          <w:i/>
          <w:iCs/>
          <w:color w:val="222222"/>
          <w:szCs w:val="18"/>
        </w:rPr>
        <w:t>Medical care</w:t>
      </w:r>
      <w:r w:rsidRPr="003A2412">
        <w:rPr>
          <w:color w:val="222222"/>
          <w:szCs w:val="18"/>
        </w:rPr>
        <w:t>, pp.473-483.</w:t>
      </w:r>
    </w:p>
  </w:footnote>
  <w:footnote w:id="90">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Busija, L., Pausenberger, E., Haines, T.P., Haymes, S., Buchbinder, R. and Osborne, R.H., 2011. Adult measures of general health and health</w:t>
      </w:r>
      <w:r w:rsidRPr="003A2412">
        <w:rPr>
          <w:rFonts w:ascii="Times New Roman" w:hAnsi="Times New Roman" w:cs="Times New Roman"/>
          <w:color w:val="222222"/>
          <w:szCs w:val="18"/>
        </w:rPr>
        <w:t>‐</w:t>
      </w:r>
      <w:r w:rsidRPr="003A2412">
        <w:rPr>
          <w:color w:val="222222"/>
          <w:szCs w:val="18"/>
        </w:rPr>
        <w:t>related quality of life: Medical Outcomes Study Short Form 36</w:t>
      </w:r>
      <w:r w:rsidRPr="003A2412">
        <w:rPr>
          <w:rFonts w:ascii="Times New Roman" w:hAnsi="Times New Roman" w:cs="Times New Roman"/>
          <w:color w:val="222222"/>
          <w:szCs w:val="18"/>
        </w:rPr>
        <w:t>‐</w:t>
      </w:r>
      <w:r w:rsidRPr="003A2412">
        <w:rPr>
          <w:color w:val="222222"/>
          <w:szCs w:val="18"/>
        </w:rPr>
        <w:t>Item (SF</w:t>
      </w:r>
      <w:r w:rsidRPr="003A2412">
        <w:rPr>
          <w:rFonts w:ascii="Times New Roman" w:hAnsi="Times New Roman" w:cs="Times New Roman"/>
          <w:color w:val="222222"/>
          <w:szCs w:val="18"/>
        </w:rPr>
        <w:t>‐</w:t>
      </w:r>
      <w:r w:rsidRPr="003A2412">
        <w:rPr>
          <w:color w:val="222222"/>
          <w:szCs w:val="18"/>
        </w:rPr>
        <w:t>36) and Short Form 12</w:t>
      </w:r>
      <w:r w:rsidRPr="003A2412">
        <w:rPr>
          <w:rFonts w:ascii="Times New Roman" w:hAnsi="Times New Roman" w:cs="Times New Roman"/>
          <w:color w:val="222222"/>
          <w:szCs w:val="18"/>
        </w:rPr>
        <w:t>‐</w:t>
      </w:r>
      <w:r w:rsidRPr="003A2412">
        <w:rPr>
          <w:color w:val="222222"/>
          <w:szCs w:val="18"/>
        </w:rPr>
        <w:t>Item (SF</w:t>
      </w:r>
      <w:r w:rsidRPr="003A2412">
        <w:rPr>
          <w:rFonts w:ascii="Times New Roman" w:hAnsi="Times New Roman" w:cs="Times New Roman"/>
          <w:color w:val="222222"/>
          <w:szCs w:val="18"/>
        </w:rPr>
        <w:t>‐</w:t>
      </w:r>
      <w:r w:rsidRPr="003A2412">
        <w:rPr>
          <w:color w:val="222222"/>
          <w:szCs w:val="18"/>
        </w:rPr>
        <w:t>12) Health Surveys, Nottingham Health Profile (NHP), Sickness Impact Profile (SIP), Medical Outcomes Study Short Form 6D (SF</w:t>
      </w:r>
      <w:r w:rsidRPr="003A2412">
        <w:rPr>
          <w:rFonts w:ascii="Times New Roman" w:hAnsi="Times New Roman" w:cs="Times New Roman"/>
          <w:color w:val="222222"/>
          <w:szCs w:val="18"/>
        </w:rPr>
        <w:t>‐</w:t>
      </w:r>
      <w:r w:rsidRPr="003A2412">
        <w:rPr>
          <w:color w:val="222222"/>
          <w:szCs w:val="18"/>
        </w:rPr>
        <w:t>6D), Health Utilities Index Mark 3 (HUI3), Quality of Well</w:t>
      </w:r>
      <w:r w:rsidRPr="003A2412">
        <w:rPr>
          <w:rFonts w:ascii="Times New Roman" w:hAnsi="Times New Roman" w:cs="Times New Roman"/>
          <w:color w:val="222222"/>
          <w:szCs w:val="18"/>
        </w:rPr>
        <w:t>‐</w:t>
      </w:r>
      <w:r w:rsidRPr="003A2412">
        <w:rPr>
          <w:color w:val="222222"/>
          <w:szCs w:val="18"/>
        </w:rPr>
        <w:t xml:space="preserve">Being Scale (QWB), and Assessment of Quality of Life (AQOL). </w:t>
      </w:r>
      <w:r w:rsidRPr="003A2412">
        <w:rPr>
          <w:i/>
          <w:iCs/>
          <w:color w:val="222222"/>
          <w:szCs w:val="18"/>
        </w:rPr>
        <w:t>Arthritis care &amp; research</w:t>
      </w:r>
      <w:r w:rsidRPr="003A2412">
        <w:rPr>
          <w:color w:val="222222"/>
          <w:szCs w:val="18"/>
        </w:rPr>
        <w:t xml:space="preserve">, </w:t>
      </w:r>
      <w:r w:rsidRPr="003A2412">
        <w:rPr>
          <w:i/>
          <w:iCs/>
          <w:color w:val="222222"/>
          <w:szCs w:val="18"/>
        </w:rPr>
        <w:t>63</w:t>
      </w:r>
      <w:r w:rsidRPr="003A2412">
        <w:rPr>
          <w:color w:val="222222"/>
          <w:szCs w:val="18"/>
        </w:rPr>
        <w:t>(S11), pp.S383-S412.</w:t>
      </w:r>
    </w:p>
  </w:footnote>
  <w:footnote w:id="91">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Busija, L., Pausenberger, E., Haines, T.P., Haymes, S., Buchbinder, R. and Osborne, R.H., 2011. Adult measures of general health and health</w:t>
      </w:r>
      <w:r w:rsidRPr="003A2412">
        <w:rPr>
          <w:rFonts w:ascii="Times New Roman" w:hAnsi="Times New Roman" w:cs="Times New Roman"/>
          <w:color w:val="222222"/>
          <w:szCs w:val="18"/>
        </w:rPr>
        <w:t>‐</w:t>
      </w:r>
      <w:r w:rsidRPr="003A2412">
        <w:rPr>
          <w:color w:val="222222"/>
          <w:szCs w:val="18"/>
        </w:rPr>
        <w:t>related quality of life: Medical Outcomes Study Short Form 36</w:t>
      </w:r>
      <w:r w:rsidRPr="003A2412">
        <w:rPr>
          <w:rFonts w:ascii="Times New Roman" w:hAnsi="Times New Roman" w:cs="Times New Roman"/>
          <w:color w:val="222222"/>
          <w:szCs w:val="18"/>
        </w:rPr>
        <w:t>‐</w:t>
      </w:r>
      <w:r w:rsidRPr="003A2412">
        <w:rPr>
          <w:color w:val="222222"/>
          <w:szCs w:val="18"/>
        </w:rPr>
        <w:t>Item (SF</w:t>
      </w:r>
      <w:r w:rsidRPr="003A2412">
        <w:rPr>
          <w:rFonts w:ascii="Times New Roman" w:hAnsi="Times New Roman" w:cs="Times New Roman"/>
          <w:color w:val="222222"/>
          <w:szCs w:val="18"/>
        </w:rPr>
        <w:t>‐</w:t>
      </w:r>
      <w:r w:rsidRPr="003A2412">
        <w:rPr>
          <w:color w:val="222222"/>
          <w:szCs w:val="18"/>
        </w:rPr>
        <w:t>36) and Short Form 12</w:t>
      </w:r>
      <w:r w:rsidRPr="003A2412">
        <w:rPr>
          <w:rFonts w:ascii="Times New Roman" w:hAnsi="Times New Roman" w:cs="Times New Roman"/>
          <w:color w:val="222222"/>
          <w:szCs w:val="18"/>
        </w:rPr>
        <w:t>‐</w:t>
      </w:r>
      <w:r w:rsidRPr="003A2412">
        <w:rPr>
          <w:color w:val="222222"/>
          <w:szCs w:val="18"/>
        </w:rPr>
        <w:t>Item (SF</w:t>
      </w:r>
      <w:r w:rsidRPr="003A2412">
        <w:rPr>
          <w:rFonts w:ascii="Times New Roman" w:hAnsi="Times New Roman" w:cs="Times New Roman"/>
          <w:color w:val="222222"/>
          <w:szCs w:val="18"/>
        </w:rPr>
        <w:t>‐</w:t>
      </w:r>
      <w:r w:rsidRPr="003A2412">
        <w:rPr>
          <w:color w:val="222222"/>
          <w:szCs w:val="18"/>
        </w:rPr>
        <w:t>12) Health Surveys, Nottingham Health Profile (NHP), Sickness Impact Profile (SIP), Medical Outcomes Study Short Form 6D (SF</w:t>
      </w:r>
      <w:r w:rsidRPr="003A2412">
        <w:rPr>
          <w:rFonts w:ascii="Times New Roman" w:hAnsi="Times New Roman" w:cs="Times New Roman"/>
          <w:color w:val="222222"/>
          <w:szCs w:val="18"/>
        </w:rPr>
        <w:t>‐</w:t>
      </w:r>
      <w:r w:rsidRPr="003A2412">
        <w:rPr>
          <w:color w:val="222222"/>
          <w:szCs w:val="18"/>
        </w:rPr>
        <w:t>6D), Health Utilities Index Mark 3 (HUI3), Quality of Well</w:t>
      </w:r>
      <w:r w:rsidRPr="003A2412">
        <w:rPr>
          <w:rFonts w:ascii="Times New Roman" w:hAnsi="Times New Roman" w:cs="Times New Roman"/>
          <w:color w:val="222222"/>
          <w:szCs w:val="18"/>
        </w:rPr>
        <w:t>‐</w:t>
      </w:r>
      <w:r w:rsidRPr="003A2412">
        <w:rPr>
          <w:color w:val="222222"/>
          <w:szCs w:val="18"/>
        </w:rPr>
        <w:t xml:space="preserve">Being Scale (QWB), and Assessment of Quality of Life (AQOL). </w:t>
      </w:r>
      <w:r w:rsidRPr="003A2412">
        <w:rPr>
          <w:i/>
          <w:iCs/>
          <w:color w:val="222222"/>
          <w:szCs w:val="18"/>
        </w:rPr>
        <w:t>Arthritis care &amp; research</w:t>
      </w:r>
      <w:r w:rsidRPr="003A2412">
        <w:rPr>
          <w:color w:val="222222"/>
          <w:szCs w:val="18"/>
        </w:rPr>
        <w:t xml:space="preserve">, </w:t>
      </w:r>
      <w:r w:rsidRPr="003A2412">
        <w:rPr>
          <w:i/>
          <w:iCs/>
          <w:color w:val="222222"/>
          <w:szCs w:val="18"/>
        </w:rPr>
        <w:t>63</w:t>
      </w:r>
      <w:r w:rsidRPr="003A2412">
        <w:rPr>
          <w:color w:val="222222"/>
          <w:szCs w:val="18"/>
        </w:rPr>
        <w:t>(S11), pp.S383-S412.</w:t>
      </w:r>
    </w:p>
  </w:footnote>
  <w:footnote w:id="92">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Ware Jr, J.E., Kosinski, M. and Keller, S.D., 1996. A 12-Item Short-Form Health Survey: construction of scales and preliminary tests of reliability and validity. </w:t>
      </w:r>
      <w:r w:rsidRPr="003A2412">
        <w:rPr>
          <w:i/>
          <w:iCs/>
          <w:color w:val="222222"/>
          <w:szCs w:val="18"/>
        </w:rPr>
        <w:t>Medical care</w:t>
      </w:r>
      <w:r w:rsidRPr="003A2412">
        <w:rPr>
          <w:color w:val="222222"/>
          <w:szCs w:val="18"/>
        </w:rPr>
        <w:t xml:space="preserve">, </w:t>
      </w:r>
      <w:r w:rsidRPr="003A2412">
        <w:rPr>
          <w:i/>
          <w:iCs/>
          <w:color w:val="222222"/>
          <w:szCs w:val="18"/>
        </w:rPr>
        <w:t>34</w:t>
      </w:r>
      <w:r w:rsidRPr="003A2412">
        <w:rPr>
          <w:color w:val="222222"/>
          <w:szCs w:val="18"/>
        </w:rPr>
        <w:t>(3), pp.220-233.</w:t>
      </w:r>
    </w:p>
  </w:footnote>
  <w:footnote w:id="93">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Busija, L., Pausenberger, E., Haines, T.P., Haymes, S., Buchbinder, R. and Osborne, R.H., 2011. Adult measures of general health and health</w:t>
      </w:r>
      <w:r w:rsidRPr="003A2412">
        <w:rPr>
          <w:rFonts w:ascii="Times New Roman" w:hAnsi="Times New Roman" w:cs="Times New Roman"/>
          <w:color w:val="222222"/>
          <w:szCs w:val="18"/>
        </w:rPr>
        <w:t>‐</w:t>
      </w:r>
      <w:r w:rsidRPr="003A2412">
        <w:rPr>
          <w:color w:val="222222"/>
          <w:szCs w:val="18"/>
        </w:rPr>
        <w:t>related quality of life: Medical Outcomes Study Short Form 36</w:t>
      </w:r>
      <w:r w:rsidRPr="003A2412">
        <w:rPr>
          <w:rFonts w:ascii="Times New Roman" w:hAnsi="Times New Roman" w:cs="Times New Roman"/>
          <w:color w:val="222222"/>
          <w:szCs w:val="18"/>
        </w:rPr>
        <w:t>‐</w:t>
      </w:r>
      <w:r w:rsidRPr="003A2412">
        <w:rPr>
          <w:color w:val="222222"/>
          <w:szCs w:val="18"/>
        </w:rPr>
        <w:t>Item (SF</w:t>
      </w:r>
      <w:r w:rsidRPr="003A2412">
        <w:rPr>
          <w:rFonts w:ascii="Times New Roman" w:hAnsi="Times New Roman" w:cs="Times New Roman"/>
          <w:color w:val="222222"/>
          <w:szCs w:val="18"/>
        </w:rPr>
        <w:t>‐</w:t>
      </w:r>
      <w:r w:rsidRPr="003A2412">
        <w:rPr>
          <w:color w:val="222222"/>
          <w:szCs w:val="18"/>
        </w:rPr>
        <w:t>36) and Short Form 12</w:t>
      </w:r>
      <w:r w:rsidRPr="003A2412">
        <w:rPr>
          <w:rFonts w:ascii="Times New Roman" w:hAnsi="Times New Roman" w:cs="Times New Roman"/>
          <w:color w:val="222222"/>
          <w:szCs w:val="18"/>
        </w:rPr>
        <w:t>‐</w:t>
      </w:r>
      <w:r w:rsidRPr="003A2412">
        <w:rPr>
          <w:color w:val="222222"/>
          <w:szCs w:val="18"/>
        </w:rPr>
        <w:t>Item (SF</w:t>
      </w:r>
      <w:r w:rsidRPr="003A2412">
        <w:rPr>
          <w:rFonts w:ascii="Times New Roman" w:hAnsi="Times New Roman" w:cs="Times New Roman"/>
          <w:color w:val="222222"/>
          <w:szCs w:val="18"/>
        </w:rPr>
        <w:t>‐</w:t>
      </w:r>
      <w:r w:rsidRPr="003A2412">
        <w:rPr>
          <w:color w:val="222222"/>
          <w:szCs w:val="18"/>
        </w:rPr>
        <w:t>12) Health Surveys, Nottingham Health Profile (NHP), Sickness Impact Profile (SIP), Medical Outcomes Study Short Form 6D (SF</w:t>
      </w:r>
      <w:r w:rsidRPr="003A2412">
        <w:rPr>
          <w:rFonts w:ascii="Times New Roman" w:hAnsi="Times New Roman" w:cs="Times New Roman"/>
          <w:color w:val="222222"/>
          <w:szCs w:val="18"/>
        </w:rPr>
        <w:t>‐</w:t>
      </w:r>
      <w:r w:rsidRPr="003A2412">
        <w:rPr>
          <w:color w:val="222222"/>
          <w:szCs w:val="18"/>
        </w:rPr>
        <w:t>6D), Health Utilities Index Mark 3 (HUI3), Quality of Well</w:t>
      </w:r>
      <w:r w:rsidRPr="003A2412">
        <w:rPr>
          <w:rFonts w:ascii="Times New Roman" w:hAnsi="Times New Roman" w:cs="Times New Roman"/>
          <w:color w:val="222222"/>
          <w:szCs w:val="18"/>
        </w:rPr>
        <w:t>‐</w:t>
      </w:r>
      <w:r w:rsidRPr="003A2412">
        <w:rPr>
          <w:color w:val="222222"/>
          <w:szCs w:val="18"/>
        </w:rPr>
        <w:t xml:space="preserve">Being Scale (QWB), and Assessment of Quality of Life (AQOL). </w:t>
      </w:r>
      <w:r w:rsidRPr="003A2412">
        <w:rPr>
          <w:i/>
          <w:iCs/>
          <w:color w:val="222222"/>
          <w:szCs w:val="18"/>
        </w:rPr>
        <w:t>Arthritis care &amp; research</w:t>
      </w:r>
      <w:r w:rsidRPr="003A2412">
        <w:rPr>
          <w:color w:val="222222"/>
          <w:szCs w:val="18"/>
        </w:rPr>
        <w:t xml:space="preserve">, </w:t>
      </w:r>
      <w:r w:rsidRPr="003A2412">
        <w:rPr>
          <w:i/>
          <w:iCs/>
          <w:color w:val="222222"/>
          <w:szCs w:val="18"/>
        </w:rPr>
        <w:t>63</w:t>
      </w:r>
      <w:r w:rsidRPr="003A2412">
        <w:rPr>
          <w:color w:val="222222"/>
          <w:szCs w:val="18"/>
        </w:rPr>
        <w:t>(S11), pp.S383-S412.</w:t>
      </w:r>
    </w:p>
  </w:footnote>
  <w:footnote w:id="94">
    <w:p w:rsidR="002F7C0C" w:rsidRPr="003A2412" w:rsidRDefault="002F7C0C" w:rsidP="00EA1BE6">
      <w:pPr>
        <w:pStyle w:val="FootnoteText"/>
        <w:rPr>
          <w:szCs w:val="18"/>
          <w:lang w:val="en-AU"/>
        </w:rPr>
      </w:pPr>
      <w:r w:rsidRPr="003A2412">
        <w:rPr>
          <w:rStyle w:val="FootnoteReference"/>
          <w:szCs w:val="18"/>
        </w:rPr>
        <w:footnoteRef/>
      </w:r>
      <w:r w:rsidRPr="003A2412">
        <w:rPr>
          <w:szCs w:val="18"/>
        </w:rPr>
        <w:t xml:space="preserve"> </w:t>
      </w:r>
      <w:r w:rsidRPr="003A2412">
        <w:rPr>
          <w:color w:val="222222"/>
          <w:szCs w:val="18"/>
        </w:rPr>
        <w:t xml:space="preserve">Jenkinson, C., Fitzpatrick, R. and Argyle, M., 1988. The Nottingham Health Profile: an analysis of its sensitivity in differentiating illness groups. </w:t>
      </w:r>
      <w:r w:rsidRPr="003A2412">
        <w:rPr>
          <w:i/>
          <w:iCs/>
          <w:color w:val="222222"/>
          <w:szCs w:val="18"/>
        </w:rPr>
        <w:t>Social Science &amp; Medicine</w:t>
      </w:r>
      <w:r w:rsidRPr="003A2412">
        <w:rPr>
          <w:color w:val="222222"/>
          <w:szCs w:val="18"/>
        </w:rPr>
        <w:t xml:space="preserve">, </w:t>
      </w:r>
      <w:r w:rsidRPr="003A2412">
        <w:rPr>
          <w:i/>
          <w:iCs/>
          <w:color w:val="222222"/>
          <w:szCs w:val="18"/>
        </w:rPr>
        <w:t>27</w:t>
      </w:r>
      <w:r w:rsidRPr="003A2412">
        <w:rPr>
          <w:color w:val="222222"/>
          <w:szCs w:val="18"/>
        </w:rPr>
        <w:t>(12), pp.1411-1414.</w:t>
      </w:r>
    </w:p>
  </w:footnote>
  <w:footnote w:id="95">
    <w:p w:rsidR="002F7C0C" w:rsidRPr="003A2412" w:rsidRDefault="002F7C0C" w:rsidP="007A471F">
      <w:pPr>
        <w:pStyle w:val="FootnoteText"/>
        <w:rPr>
          <w:szCs w:val="18"/>
          <w:lang w:val="en-AU"/>
        </w:rPr>
      </w:pPr>
      <w:r w:rsidRPr="003A2412">
        <w:rPr>
          <w:rStyle w:val="FootnoteReference"/>
          <w:szCs w:val="18"/>
        </w:rPr>
        <w:footnoteRef/>
      </w:r>
      <w:r w:rsidRPr="003A2412">
        <w:rPr>
          <w:szCs w:val="18"/>
        </w:rPr>
        <w:t xml:space="preserve"> There are some client postcodes in the supplied data that are “spatially invalid” i.e. they don’t map to a geography as they are PO boxes or special postcodes. This occurs, for example, for 7 clients in 2017/18 (minimum) and 77 clients in 2014/15 (maximum). This cohort of clients accounted for less than 0.2 per cent of clients in in each financial year (e.g. total of 30,817 clients in 2014/15). They have been excluded from the maps.</w:t>
      </w:r>
    </w:p>
  </w:footnote>
  <w:footnote w:id="96">
    <w:p w:rsidR="002F7C0C" w:rsidRPr="003A2412" w:rsidRDefault="002F7C0C" w:rsidP="007A471F">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 xml:space="preserve">Australian Bureau of Statistics (ABS) 2018. Postcode 2018 to Remoteness Area 2016. ABS, Canberra. </w:t>
      </w:r>
    </w:p>
  </w:footnote>
  <w:footnote w:id="97">
    <w:p w:rsidR="002F7C0C" w:rsidRPr="003A2412" w:rsidRDefault="002F7C0C" w:rsidP="007A471F">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 xml:space="preserve">Australian Bureau of Statistics (ABS) 2018. Postcode 2018 to Greater Capital City Statistical Area 2016. ABS, Canberra. </w:t>
      </w:r>
    </w:p>
  </w:footnote>
  <w:footnote w:id="98">
    <w:p w:rsidR="002F7C0C" w:rsidRPr="003A2412" w:rsidRDefault="002F7C0C" w:rsidP="007A471F">
      <w:pPr>
        <w:pStyle w:val="FootnoteText"/>
        <w:rPr>
          <w:szCs w:val="18"/>
          <w:lang w:val="en-AU"/>
        </w:rPr>
      </w:pPr>
      <w:r w:rsidRPr="003A2412">
        <w:rPr>
          <w:rStyle w:val="FootnoteReference"/>
          <w:szCs w:val="18"/>
        </w:rPr>
        <w:footnoteRef/>
      </w:r>
      <w:r w:rsidRPr="003A2412">
        <w:rPr>
          <w:szCs w:val="18"/>
        </w:rPr>
        <w:t xml:space="preserve"> </w:t>
      </w:r>
      <w:r w:rsidRPr="003A2412">
        <w:rPr>
          <w:szCs w:val="18"/>
          <w:lang w:val="en-AU"/>
        </w:rPr>
        <w:t>Australian Bureau of Statistics (ABS) 2018.</w:t>
      </w:r>
      <w:r w:rsidRPr="003A2412">
        <w:rPr>
          <w:szCs w:val="18"/>
        </w:rPr>
        <w:t xml:space="preserve">  Regional Population Growth, Australia. Table 1. Estimated Resident Population, Remoteness Areas, Australia. Cat. No. 3218. </w:t>
      </w:r>
    </w:p>
  </w:footnote>
  <w:footnote w:id="99">
    <w:p w:rsidR="002F7C0C" w:rsidRPr="003A2412" w:rsidRDefault="002F7C0C" w:rsidP="007A471F">
      <w:pPr>
        <w:pStyle w:val="FootnoteText"/>
        <w:rPr>
          <w:szCs w:val="18"/>
          <w:lang w:val="en-AU"/>
        </w:rPr>
      </w:pPr>
      <w:r w:rsidRPr="003A2412">
        <w:rPr>
          <w:rStyle w:val="FootnoteReference"/>
          <w:szCs w:val="18"/>
        </w:rPr>
        <w:footnoteRef/>
      </w:r>
      <w:r w:rsidRPr="003A2412">
        <w:rPr>
          <w:szCs w:val="18"/>
        </w:rPr>
        <w:t xml:space="preserve"> Note that some postcodes, particularly in the NT, can cover large areas. In fact postcode 0822 covers multiple remoteness areas (Outer regional, remote and very remote Australia) and is also classified as part of Greater Darwin and the rest of NT. For postcodes such as this they have been mapped to the remoteness area with which they have the largest overlap.</w:t>
      </w:r>
    </w:p>
  </w:footnote>
  <w:footnote w:id="100">
    <w:p w:rsidR="002F7C0C" w:rsidRPr="003A2412" w:rsidRDefault="002F7C0C" w:rsidP="009E0E25">
      <w:pPr>
        <w:pStyle w:val="FootnoteText"/>
        <w:rPr>
          <w:szCs w:val="18"/>
        </w:rPr>
      </w:pPr>
      <w:r w:rsidRPr="003A2412">
        <w:rPr>
          <w:rStyle w:val="FootnoteReference"/>
          <w:szCs w:val="18"/>
        </w:rPr>
        <w:footnoteRef/>
      </w:r>
      <w:r w:rsidRPr="003A2412">
        <w:rPr>
          <w:szCs w:val="18"/>
        </w:rPr>
        <w:t xml:space="preserve"> </w:t>
      </w:r>
      <w:r w:rsidRPr="003A2412">
        <w:rPr>
          <w:color w:val="222222"/>
          <w:szCs w:val="18"/>
        </w:rPr>
        <w:t xml:space="preserve">Shah, S., Vanclay, F. and Cooper, B., 1989. Improving the sensitivity of the Barthel Index for stroke rehabilitation. </w:t>
      </w:r>
      <w:r w:rsidRPr="003A2412">
        <w:rPr>
          <w:i/>
          <w:iCs/>
          <w:color w:val="222222"/>
          <w:szCs w:val="18"/>
        </w:rPr>
        <w:t>Journal of clinical epidemiology</w:t>
      </w:r>
      <w:r w:rsidRPr="003A2412">
        <w:rPr>
          <w:color w:val="222222"/>
          <w:szCs w:val="18"/>
        </w:rPr>
        <w:t xml:space="preserve">, </w:t>
      </w:r>
      <w:r w:rsidRPr="003A2412">
        <w:rPr>
          <w:i/>
          <w:iCs/>
          <w:color w:val="222222"/>
          <w:szCs w:val="18"/>
        </w:rPr>
        <w:t>42</w:t>
      </w:r>
      <w:r w:rsidRPr="003A2412">
        <w:rPr>
          <w:color w:val="222222"/>
          <w:szCs w:val="18"/>
        </w:rPr>
        <w:t>(8), pp.703-709.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0C" w:rsidRDefault="002F7C0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0C" w:rsidRDefault="002F7C0C">
    <w:pPr>
      <w:pStyle w:val="Header"/>
    </w:pPr>
    <w:r>
      <w:rPr>
        <w:noProof/>
        <w:lang w:val="en-GB" w:eastAsia="en-GB"/>
      </w:rPr>
      <mc:AlternateContent>
        <mc:Choice Requires="wps">
          <w:drawing>
            <wp:anchor distT="0" distB="0" distL="114300" distR="114300" simplePos="0" relativeHeight="251741184" behindDoc="1" locked="0" layoutInCell="1" allowOverlap="1" wp14:anchorId="23E91A58" wp14:editId="40A4682D">
              <wp:simplePos x="0" y="0"/>
              <wp:positionH relativeFrom="page">
                <wp:align>center</wp:align>
              </wp:positionH>
              <wp:positionV relativeFrom="page">
                <wp:align>center</wp:align>
              </wp:positionV>
              <wp:extent cx="4964430" cy="1724025"/>
              <wp:effectExtent l="0" t="1517015" r="0" b="1521460"/>
              <wp:wrapNone/>
              <wp:docPr id="67603" name="Text Box 67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2F7C0C" w:rsidRDefault="002F7C0C" w:rsidP="00DE796E">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E91A58" id="_x0000_t202" coordsize="21600,21600" o:spt="202" path="m,l,21600r21600,l21600,xe">
              <v:stroke joinstyle="miter"/>
              <v:path gradientshapeok="t" o:connecttype="rect"/>
            </v:shapetype>
            <v:shape id="Text Box 67603" o:spid="_x0000_s1036" type="#_x0000_t202" style="position:absolute;left:0;text-align:left;margin-left:0;margin-top:0;width:390.9pt;height:135.75pt;rotation:-45;z-index:-2515752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" filled="f" stroked="f">
              <o:lock v:ext="edit" shapetype="t"/>
              <v:textbox style="mso-fit-shape-to-text:t">
                <w:txbxContent>
                  <w:p w:rsidR="002F7C0C" w:rsidRDefault="002F7C0C" w:rsidP="00DE796E">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0C" w:rsidRDefault="002F7C0C" w:rsidP="007E78A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0C" w:rsidRDefault="002F7C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0C" w:rsidRDefault="002F7C0C" w:rsidP="007E78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0C" w:rsidRDefault="002F7C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0C" w:rsidRDefault="002F7C0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0C" w:rsidRDefault="002F7C0C" w:rsidP="007E78A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0C" w:rsidRDefault="002F7C0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0C" w:rsidRDefault="002F7C0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0C" w:rsidRDefault="002F7C0C" w:rsidP="007E78AD">
    <w:pPr>
      <w:pStyle w:val="Header"/>
    </w:pPr>
  </w:p>
  <w:p w:rsidR="002F7C0C" w:rsidRDefault="002F7C0C" w:rsidP="007E78AD">
    <w:pPr>
      <w:pStyle w:val="Header"/>
    </w:pPr>
  </w:p>
  <w:p w:rsidR="002F7C0C" w:rsidRPr="007E78AD" w:rsidRDefault="002F7C0C" w:rsidP="007E78A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0C" w:rsidRDefault="002F7C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329AC82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6569B0C"/>
    <w:lvl w:ilvl="0">
      <w:start w:val="1"/>
      <w:numFmt w:val="bullet"/>
      <w:pStyle w:val="ListBullet2"/>
      <w:lvlText w:val="-"/>
      <w:lvlJc w:val="left"/>
      <w:pPr>
        <w:tabs>
          <w:tab w:val="num" w:pos="697"/>
        </w:tabs>
        <w:ind w:left="697" w:hanging="340"/>
      </w:pPr>
      <w:rPr>
        <w:rFonts w:ascii="9999999" w:hAnsi="9999999" w:cs="Courier New" w:hint="default"/>
      </w:rPr>
    </w:lvl>
  </w:abstractNum>
  <w:abstractNum w:abstractNumId="2" w15:restartNumberingAfterBreak="0">
    <w:nsid w:val="FFFFFF89"/>
    <w:multiLevelType w:val="singleLevel"/>
    <w:tmpl w:val="88FEE3B6"/>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3" w15:restartNumberingAfterBreak="0">
    <w:nsid w:val="07707D3C"/>
    <w:multiLevelType w:val="singleLevel"/>
    <w:tmpl w:val="221CDBE2"/>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0A4D6793"/>
    <w:multiLevelType w:val="singleLevel"/>
    <w:tmpl w:val="99CCCBB6"/>
    <w:lvl w:ilvl="0">
      <w:start w:val="1"/>
      <w:numFmt w:val="bullet"/>
      <w:pStyle w:val="Bullet1stlevel"/>
      <w:lvlText w:val="–"/>
      <w:lvlJc w:val="left"/>
      <w:pPr>
        <w:tabs>
          <w:tab w:val="num" w:pos="340"/>
        </w:tabs>
        <w:ind w:left="340" w:hanging="340"/>
      </w:pPr>
      <w:rPr>
        <w:rFonts w:ascii="Univers 45 Light" w:hAnsi="Univers 45 Light" w:hint="default"/>
        <w:color w:val="auto"/>
        <w:sz w:val="22"/>
      </w:rPr>
    </w:lvl>
  </w:abstractNum>
  <w:abstractNum w:abstractNumId="5" w15:restartNumberingAfterBreak="0">
    <w:nsid w:val="103030BE"/>
    <w:multiLevelType w:val="singleLevel"/>
    <w:tmpl w:val="5D501E98"/>
    <w:lvl w:ilvl="0">
      <w:start w:val="1"/>
      <w:numFmt w:val="bullet"/>
      <w:lvlText w:val=""/>
      <w:lvlJc w:val="left"/>
      <w:pPr>
        <w:tabs>
          <w:tab w:val="num" w:pos="340"/>
        </w:tabs>
        <w:ind w:left="340" w:hanging="340"/>
      </w:pPr>
      <w:rPr>
        <w:rFonts w:ascii="Symbol" w:hAnsi="Symbol" w:hint="default"/>
        <w:color w:val="auto"/>
        <w:sz w:val="22"/>
      </w:rPr>
    </w:lvl>
  </w:abstractNum>
  <w:abstractNum w:abstractNumId="6" w15:restartNumberingAfterBreak="0">
    <w:nsid w:val="10C80211"/>
    <w:multiLevelType w:val="singleLevel"/>
    <w:tmpl w:val="45FADBA0"/>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11AF2C2D"/>
    <w:multiLevelType w:val="singleLevel"/>
    <w:tmpl w:val="5B1475F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8" w15:restartNumberingAfterBreak="0">
    <w:nsid w:val="1547065A"/>
    <w:multiLevelType w:val="multilevel"/>
    <w:tmpl w:val="8682896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16FE4073"/>
    <w:multiLevelType w:val="singleLevel"/>
    <w:tmpl w:val="18EC764E"/>
    <w:lvl w:ilvl="0">
      <w:start w:val="1"/>
      <w:numFmt w:val="bullet"/>
      <w:lvlText w:val=""/>
      <w:lvlJc w:val="left"/>
      <w:pPr>
        <w:tabs>
          <w:tab w:val="num" w:pos="340"/>
        </w:tabs>
        <w:ind w:left="340" w:hanging="340"/>
      </w:pPr>
      <w:rPr>
        <w:rFonts w:ascii="Symbol" w:hAnsi="Symbol" w:hint="default"/>
        <w:color w:val="auto"/>
        <w:sz w:val="22"/>
      </w:rPr>
    </w:lvl>
  </w:abstractNum>
  <w:abstractNum w:abstractNumId="10" w15:restartNumberingAfterBreak="0">
    <w:nsid w:val="1C20333D"/>
    <w:multiLevelType w:val="hybridMultilevel"/>
    <w:tmpl w:val="E782E626"/>
    <w:lvl w:ilvl="0" w:tplc="7352AB9A">
      <w:start w:val="6"/>
      <w:numFmt w:val="bullet"/>
      <w:lvlText w:val="-"/>
      <w:lvlJc w:val="left"/>
      <w:pPr>
        <w:ind w:left="720" w:hanging="360"/>
      </w:pPr>
      <w:rPr>
        <w:rFonts w:ascii="Univers 45 Light" w:eastAsiaTheme="minorHAnsi" w:hAnsi="Univers 45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D03DA2"/>
    <w:multiLevelType w:val="multilevel"/>
    <w:tmpl w:val="E5DA9592"/>
    <w:lvl w:ilvl="0">
      <w:start w:val="1"/>
      <w:numFmt w:val="decimal"/>
      <w:pStyle w:val="Numberbullet1stleve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2" w15:restartNumberingAfterBreak="0">
    <w:nsid w:val="32A21E7C"/>
    <w:multiLevelType w:val="multilevel"/>
    <w:tmpl w:val="8A462530"/>
    <w:lvl w:ilvl="0">
      <w:start w:val="1"/>
      <w:numFmt w:val="decimal"/>
      <w:lvlText w:val="%1"/>
      <w:lvlJc w:val="left"/>
      <w:pPr>
        <w:tabs>
          <w:tab w:val="num" w:pos="340"/>
        </w:tabs>
        <w:ind w:left="340" w:hanging="340"/>
      </w:pPr>
      <w:rPr>
        <w:rFonts w:ascii="Univers 45 Light" w:hAnsi="Univers 45 Light" w:hint="default"/>
        <w:sz w:val="20"/>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3" w15:restartNumberingAfterBreak="0">
    <w:nsid w:val="33F61997"/>
    <w:multiLevelType w:val="multilevel"/>
    <w:tmpl w:val="4EE29128"/>
    <w:lvl w:ilvl="0">
      <w:start w:val="1"/>
      <w:numFmt w:val="decimal"/>
      <w:pStyle w:val="Heading1"/>
      <w:lvlText w:val="%1"/>
      <w:lvlJc w:val="left"/>
      <w:pPr>
        <w:tabs>
          <w:tab w:val="num" w:pos="964"/>
        </w:tabs>
        <w:ind w:left="964" w:hanging="964"/>
      </w:pPr>
      <w:rPr>
        <w:rFonts w:hint="default"/>
      </w:rPr>
    </w:lvl>
    <w:lvl w:ilvl="1">
      <w:start w:val="1"/>
      <w:numFmt w:val="decimal"/>
      <w:pStyle w:val="Heading2"/>
      <w:lvlText w:val="%1.%2"/>
      <w:lvlJc w:val="left"/>
      <w:pPr>
        <w:tabs>
          <w:tab w:val="num" w:pos="964"/>
        </w:tabs>
        <w:ind w:left="964" w:hanging="964"/>
      </w:pPr>
      <w:rPr>
        <w:rFonts w:hint="default"/>
      </w:rPr>
    </w:lvl>
    <w:lvl w:ilvl="2">
      <w:start w:val="1"/>
      <w:numFmt w:val="decimal"/>
      <w:pStyle w:val="Heading3"/>
      <w:lvlText w:val="%1.%2.%3"/>
      <w:lvlJc w:val="left"/>
      <w:pPr>
        <w:tabs>
          <w:tab w:val="num" w:pos="964"/>
        </w:tabs>
        <w:ind w:left="964" w:hanging="964"/>
      </w:pPr>
      <w:rPr>
        <w:rFonts w:hint="default"/>
      </w:rPr>
    </w:lvl>
    <w:lvl w:ilvl="3">
      <w:start w:val="1"/>
      <w:numFmt w:val="decimal"/>
      <w:pStyle w:val="Heading4"/>
      <w:lvlText w:val="%1.%2.%3.%4"/>
      <w:lvlJc w:val="left"/>
      <w:pPr>
        <w:tabs>
          <w:tab w:val="num" w:pos="964"/>
        </w:tabs>
        <w:ind w:left="964" w:hanging="9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4" w15:restartNumberingAfterBreak="0">
    <w:nsid w:val="357F166A"/>
    <w:multiLevelType w:val="multilevel"/>
    <w:tmpl w:val="768EC260"/>
    <w:lvl w:ilvl="0">
      <w:start w:val="1"/>
      <w:numFmt w:val="upperLetter"/>
      <w:pStyle w:val="Appendixheading"/>
      <w:suff w:val="nothing"/>
      <w:lvlText w:val="Appendix %1"/>
      <w:lvlJc w:val="left"/>
      <w:pPr>
        <w:ind w:left="284" w:firstLine="0"/>
      </w:pPr>
      <w:rPr>
        <w:rFonts w:hint="default"/>
      </w:rPr>
    </w:lvl>
    <w:lvl w:ilvl="1">
      <w:start w:val="1"/>
      <w:numFmt w:val="decimal"/>
      <w:pStyle w:val="AppendixHeading2"/>
      <w:lvlText w:val="%1.%2"/>
      <w:lvlJc w:val="left"/>
      <w:pPr>
        <w:tabs>
          <w:tab w:val="num" w:pos="720"/>
        </w:tabs>
        <w:ind w:left="720" w:hanging="720"/>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6370A42"/>
    <w:multiLevelType w:val="singleLevel"/>
    <w:tmpl w:val="2B84D192"/>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3B4B7B24"/>
    <w:multiLevelType w:val="multilevel"/>
    <w:tmpl w:val="0A92BDEE"/>
    <w:lvl w:ilvl="0">
      <w:start w:val="1"/>
      <w:numFmt w:val="decimal"/>
      <w:lvlText w:val="%1"/>
      <w:lvlJc w:val="left"/>
      <w:pPr>
        <w:tabs>
          <w:tab w:val="num" w:pos="340"/>
        </w:tabs>
        <w:ind w:left="340" w:hanging="340"/>
      </w:pPr>
      <w:rPr>
        <w:rFonts w:ascii="Univers 45 Light" w:hAnsi="Univers 45 Light"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7" w15:restartNumberingAfterBreak="0">
    <w:nsid w:val="3BD34954"/>
    <w:multiLevelType w:val="hybridMultilevel"/>
    <w:tmpl w:val="FFFAAB60"/>
    <w:lvl w:ilvl="0" w:tplc="196A4DD4">
      <w:start w:val="1"/>
      <w:numFmt w:val="bullet"/>
      <w:pStyle w:val="CVbullet2"/>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427403A"/>
    <w:multiLevelType w:val="hybridMultilevel"/>
    <w:tmpl w:val="4F60763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C830B73"/>
    <w:multiLevelType w:val="hybridMultilevel"/>
    <w:tmpl w:val="B5224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467D20"/>
    <w:multiLevelType w:val="singleLevel"/>
    <w:tmpl w:val="963AC8B6"/>
    <w:lvl w:ilvl="0">
      <w:start w:val="1"/>
      <w:numFmt w:val="bullet"/>
      <w:lvlText w:val=""/>
      <w:lvlJc w:val="left"/>
      <w:pPr>
        <w:tabs>
          <w:tab w:val="num" w:pos="340"/>
        </w:tabs>
        <w:ind w:left="340" w:hanging="340"/>
      </w:pPr>
      <w:rPr>
        <w:rFonts w:ascii="Symbol" w:hAnsi="Symbol" w:hint="default"/>
        <w:color w:val="auto"/>
        <w:sz w:val="22"/>
      </w:rPr>
    </w:lvl>
  </w:abstractNum>
  <w:abstractNum w:abstractNumId="21" w15:restartNumberingAfterBreak="0">
    <w:nsid w:val="5A042708"/>
    <w:multiLevelType w:val="hybridMultilevel"/>
    <w:tmpl w:val="ECA2B3FE"/>
    <w:lvl w:ilvl="0" w:tplc="884A086A">
      <w:start w:val="1"/>
      <w:numFmt w:val="bullet"/>
      <w:pStyle w:val="CVbullet1"/>
      <w:lvlText w:val=""/>
      <w:lvlJc w:val="left"/>
      <w:pPr>
        <w:tabs>
          <w:tab w:val="num" w:pos="340"/>
        </w:tabs>
        <w:ind w:left="340" w:hanging="340"/>
      </w:pPr>
      <w:rPr>
        <w:rFonts w:ascii="Symbol" w:hAnsi="Symbol" w:hint="default"/>
        <w:color w:val="0091DA" w:themeColor="accen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310401"/>
    <w:multiLevelType w:val="hybridMultilevel"/>
    <w:tmpl w:val="868289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DA2681A"/>
    <w:multiLevelType w:val="singleLevel"/>
    <w:tmpl w:val="7638B63C"/>
    <w:lvl w:ilvl="0">
      <w:start w:val="1"/>
      <w:numFmt w:val="bullet"/>
      <w:lvlText w:val=""/>
      <w:lvlJc w:val="left"/>
      <w:pPr>
        <w:tabs>
          <w:tab w:val="num" w:pos="340"/>
        </w:tabs>
        <w:ind w:left="340" w:hanging="340"/>
      </w:pPr>
      <w:rPr>
        <w:rFonts w:ascii="Symbol" w:hAnsi="Symbol" w:hint="default"/>
        <w:color w:val="auto"/>
        <w:sz w:val="22"/>
      </w:rPr>
    </w:lvl>
  </w:abstractNum>
  <w:abstractNum w:abstractNumId="24" w15:restartNumberingAfterBreak="0">
    <w:nsid w:val="5EA365BA"/>
    <w:multiLevelType w:val="hybridMultilevel"/>
    <w:tmpl w:val="61567BE2"/>
    <w:lvl w:ilvl="0" w:tplc="40BCDD4A">
      <w:start w:val="1"/>
      <w:numFmt w:val="bullet"/>
      <w:pStyle w:val="Bullet3rdlevel"/>
      <w:lvlText w:val="■"/>
      <w:lvlJc w:val="left"/>
      <w:pPr>
        <w:tabs>
          <w:tab w:val="num" w:pos="340"/>
        </w:tabs>
        <w:ind w:left="340" w:hanging="340"/>
      </w:pPr>
      <w:rPr>
        <w:rFonts w:ascii="Arial" w:hAnsi="Arial"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E62658"/>
    <w:multiLevelType w:val="singleLevel"/>
    <w:tmpl w:val="EBFA9F24"/>
    <w:lvl w:ilvl="0">
      <w:start w:val="1"/>
      <w:numFmt w:val="bullet"/>
      <w:lvlText w:val=""/>
      <w:lvlJc w:val="left"/>
      <w:pPr>
        <w:tabs>
          <w:tab w:val="num" w:pos="340"/>
        </w:tabs>
        <w:ind w:left="340" w:hanging="340"/>
      </w:pPr>
      <w:rPr>
        <w:rFonts w:ascii="Symbol" w:hAnsi="Symbol" w:hint="default"/>
        <w:color w:val="auto"/>
        <w:sz w:val="22"/>
      </w:rPr>
    </w:lvl>
  </w:abstractNum>
  <w:abstractNum w:abstractNumId="26" w15:restartNumberingAfterBreak="0">
    <w:nsid w:val="652E68EA"/>
    <w:multiLevelType w:val="singleLevel"/>
    <w:tmpl w:val="FF7497A2"/>
    <w:lvl w:ilvl="0">
      <w:start w:val="1"/>
      <w:numFmt w:val="bullet"/>
      <w:lvlText w:val=""/>
      <w:lvlJc w:val="left"/>
      <w:pPr>
        <w:tabs>
          <w:tab w:val="num" w:pos="340"/>
        </w:tabs>
        <w:ind w:left="340" w:hanging="340"/>
      </w:pPr>
      <w:rPr>
        <w:rFonts w:ascii="Symbol" w:hAnsi="Symbol" w:hint="default"/>
        <w:color w:val="auto"/>
        <w:sz w:val="22"/>
      </w:rPr>
    </w:lvl>
  </w:abstractNum>
  <w:abstractNum w:abstractNumId="27" w15:restartNumberingAfterBreak="0">
    <w:nsid w:val="6D0E06BB"/>
    <w:multiLevelType w:val="singleLevel"/>
    <w:tmpl w:val="F622133A"/>
    <w:lvl w:ilvl="0">
      <w:start w:val="1"/>
      <w:numFmt w:val="bullet"/>
      <w:lvlText w:val=""/>
      <w:lvlJc w:val="left"/>
      <w:pPr>
        <w:tabs>
          <w:tab w:val="num" w:pos="340"/>
        </w:tabs>
        <w:ind w:left="340" w:hanging="340"/>
      </w:pPr>
      <w:rPr>
        <w:rFonts w:ascii="Symbol" w:hAnsi="Symbol" w:hint="default"/>
        <w:color w:val="auto"/>
        <w:sz w:val="22"/>
      </w:rPr>
    </w:lvl>
  </w:abstractNum>
  <w:abstractNum w:abstractNumId="28" w15:restartNumberingAfterBreak="0">
    <w:nsid w:val="707D303F"/>
    <w:multiLevelType w:val="hybridMultilevel"/>
    <w:tmpl w:val="17FA4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1400603"/>
    <w:multiLevelType w:val="singleLevel"/>
    <w:tmpl w:val="4ED2671A"/>
    <w:lvl w:ilvl="0">
      <w:start w:val="1"/>
      <w:numFmt w:val="bullet"/>
      <w:lvlText w:val=""/>
      <w:lvlJc w:val="left"/>
      <w:pPr>
        <w:tabs>
          <w:tab w:val="num" w:pos="340"/>
        </w:tabs>
        <w:ind w:left="340" w:hanging="340"/>
      </w:pPr>
      <w:rPr>
        <w:rFonts w:ascii="Symbol" w:hAnsi="Symbol" w:hint="default"/>
        <w:color w:val="auto"/>
        <w:sz w:val="22"/>
      </w:rPr>
    </w:lvl>
  </w:abstractNum>
  <w:abstractNum w:abstractNumId="30" w15:restartNumberingAfterBreak="0">
    <w:nsid w:val="7A1B356E"/>
    <w:multiLevelType w:val="singleLevel"/>
    <w:tmpl w:val="53321398"/>
    <w:lvl w:ilvl="0">
      <w:start w:val="1"/>
      <w:numFmt w:val="bullet"/>
      <w:lvlText w:val=""/>
      <w:lvlJc w:val="left"/>
      <w:pPr>
        <w:tabs>
          <w:tab w:val="num" w:pos="340"/>
        </w:tabs>
        <w:ind w:left="340" w:hanging="340"/>
      </w:pPr>
      <w:rPr>
        <w:rFonts w:ascii="Symbol" w:hAnsi="Symbol" w:hint="default"/>
        <w:color w:val="auto"/>
        <w:sz w:val="22"/>
      </w:rPr>
    </w:lvl>
  </w:abstractNum>
  <w:abstractNum w:abstractNumId="31" w15:restartNumberingAfterBreak="0">
    <w:nsid w:val="7B1D6656"/>
    <w:multiLevelType w:val="singleLevel"/>
    <w:tmpl w:val="DD8A9E28"/>
    <w:lvl w:ilvl="0">
      <w:start w:val="1"/>
      <w:numFmt w:val="bullet"/>
      <w:lvlText w:val=""/>
      <w:lvlJc w:val="left"/>
      <w:pPr>
        <w:tabs>
          <w:tab w:val="num" w:pos="340"/>
        </w:tabs>
        <w:ind w:left="340" w:hanging="340"/>
      </w:pPr>
      <w:rPr>
        <w:rFonts w:ascii="Symbol" w:hAnsi="Symbol" w:hint="default"/>
        <w:color w:val="auto"/>
        <w:sz w:val="22"/>
      </w:rPr>
    </w:lvl>
  </w:abstractNum>
  <w:abstractNum w:abstractNumId="32" w15:restartNumberingAfterBreak="0">
    <w:nsid w:val="7E5D1252"/>
    <w:multiLevelType w:val="hybridMultilevel"/>
    <w:tmpl w:val="ED2C67E6"/>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24"/>
  </w:num>
  <w:num w:numId="4">
    <w:abstractNumId w:val="11"/>
  </w:num>
  <w:num w:numId="5">
    <w:abstractNumId w:val="19"/>
  </w:num>
  <w:num w:numId="6">
    <w:abstractNumId w:val="21"/>
  </w:num>
  <w:num w:numId="7">
    <w:abstractNumId w:val="17"/>
  </w:num>
  <w:num w:numId="8">
    <w:abstractNumId w:val="2"/>
  </w:num>
  <w:num w:numId="9">
    <w:abstractNumId w:val="1"/>
  </w:num>
  <w:num w:numId="10">
    <w:abstractNumId w:val="0"/>
  </w:num>
  <w:num w:numId="11">
    <w:abstractNumId w:val="13"/>
  </w:num>
  <w:num w:numId="12">
    <w:abstractNumId w:val="14"/>
  </w:num>
  <w:num w:numId="13">
    <w:abstractNumId w:val="22"/>
  </w:num>
  <w:num w:numId="14">
    <w:abstractNumId w:val="20"/>
  </w:num>
  <w:num w:numId="15">
    <w:abstractNumId w:val="30"/>
  </w:num>
  <w:num w:numId="16">
    <w:abstractNumId w:val="27"/>
  </w:num>
  <w:num w:numId="17">
    <w:abstractNumId w:val="6"/>
  </w:num>
  <w:num w:numId="18">
    <w:abstractNumId w:val="3"/>
  </w:num>
  <w:num w:numId="19">
    <w:abstractNumId w:val="8"/>
  </w:num>
  <w:num w:numId="20">
    <w:abstractNumId w:val="31"/>
  </w:num>
  <w:num w:numId="21">
    <w:abstractNumId w:val="29"/>
  </w:num>
  <w:num w:numId="22">
    <w:abstractNumId w:val="16"/>
  </w:num>
  <w:num w:numId="23">
    <w:abstractNumId w:val="5"/>
  </w:num>
  <w:num w:numId="24">
    <w:abstractNumId w:val="26"/>
  </w:num>
  <w:num w:numId="25">
    <w:abstractNumId w:val="25"/>
  </w:num>
  <w:num w:numId="26">
    <w:abstractNumId w:val="4"/>
    <w:lvlOverride w:ilvl="0">
      <w:startOverride w:val="1"/>
    </w:lvlOverride>
  </w:num>
  <w:num w:numId="27">
    <w:abstractNumId w:val="18"/>
  </w:num>
  <w:num w:numId="28">
    <w:abstractNumId w:val="32"/>
  </w:num>
  <w:num w:numId="29">
    <w:abstractNumId w:val="4"/>
  </w:num>
  <w:num w:numId="30">
    <w:abstractNumId w:val="28"/>
  </w:num>
  <w:num w:numId="31">
    <w:abstractNumId w:val="12"/>
  </w:num>
  <w:num w:numId="32">
    <w:abstractNumId w:val="14"/>
  </w:num>
  <w:num w:numId="33">
    <w:abstractNumId w:val="14"/>
  </w:num>
  <w:num w:numId="34">
    <w:abstractNumId w:val="23"/>
  </w:num>
  <w:num w:numId="35">
    <w:abstractNumId w:val="10"/>
  </w:num>
  <w:num w:numId="36">
    <w:abstractNumId w:val="14"/>
  </w:num>
  <w:num w:numId="37">
    <w:abstractNumId w:val="15"/>
  </w:num>
  <w:num w:numId="38">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raftWatermark" w:val="0"/>
  </w:docVars>
  <w:rsids>
    <w:rsidRoot w:val="002C0678"/>
    <w:rsid w:val="00002B9B"/>
    <w:rsid w:val="00004988"/>
    <w:rsid w:val="000067DE"/>
    <w:rsid w:val="000075CE"/>
    <w:rsid w:val="00012A20"/>
    <w:rsid w:val="00013847"/>
    <w:rsid w:val="00023D14"/>
    <w:rsid w:val="0002618C"/>
    <w:rsid w:val="00031DB0"/>
    <w:rsid w:val="00033329"/>
    <w:rsid w:val="00034C22"/>
    <w:rsid w:val="00035AEE"/>
    <w:rsid w:val="00036832"/>
    <w:rsid w:val="00042BC2"/>
    <w:rsid w:val="00043AE6"/>
    <w:rsid w:val="00046D5F"/>
    <w:rsid w:val="0005241B"/>
    <w:rsid w:val="00052676"/>
    <w:rsid w:val="00053A68"/>
    <w:rsid w:val="0005505F"/>
    <w:rsid w:val="000577B1"/>
    <w:rsid w:val="00061529"/>
    <w:rsid w:val="00066BDD"/>
    <w:rsid w:val="00070EE9"/>
    <w:rsid w:val="000722DD"/>
    <w:rsid w:val="00075762"/>
    <w:rsid w:val="00081224"/>
    <w:rsid w:val="00081A2E"/>
    <w:rsid w:val="00084CAD"/>
    <w:rsid w:val="00084D10"/>
    <w:rsid w:val="00085480"/>
    <w:rsid w:val="00085659"/>
    <w:rsid w:val="000938E2"/>
    <w:rsid w:val="0009567D"/>
    <w:rsid w:val="000A319B"/>
    <w:rsid w:val="000A3920"/>
    <w:rsid w:val="000A5E9B"/>
    <w:rsid w:val="000B0145"/>
    <w:rsid w:val="000B1D40"/>
    <w:rsid w:val="000B2F80"/>
    <w:rsid w:val="000B3A1E"/>
    <w:rsid w:val="000B54DC"/>
    <w:rsid w:val="000B5645"/>
    <w:rsid w:val="000B5D29"/>
    <w:rsid w:val="000C0731"/>
    <w:rsid w:val="000C1465"/>
    <w:rsid w:val="000C2B56"/>
    <w:rsid w:val="000C3870"/>
    <w:rsid w:val="000C684F"/>
    <w:rsid w:val="000D180F"/>
    <w:rsid w:val="000D27CD"/>
    <w:rsid w:val="000D28B4"/>
    <w:rsid w:val="000D3A24"/>
    <w:rsid w:val="000D7A93"/>
    <w:rsid w:val="000E10B2"/>
    <w:rsid w:val="000E4DB7"/>
    <w:rsid w:val="000F0435"/>
    <w:rsid w:val="000F0B3D"/>
    <w:rsid w:val="000F5A9F"/>
    <w:rsid w:val="000F5AC7"/>
    <w:rsid w:val="000F698A"/>
    <w:rsid w:val="000F7420"/>
    <w:rsid w:val="00103537"/>
    <w:rsid w:val="00105B01"/>
    <w:rsid w:val="001106AF"/>
    <w:rsid w:val="00116986"/>
    <w:rsid w:val="001226D2"/>
    <w:rsid w:val="00134076"/>
    <w:rsid w:val="00134545"/>
    <w:rsid w:val="00142AFB"/>
    <w:rsid w:val="001439F9"/>
    <w:rsid w:val="001451CB"/>
    <w:rsid w:val="00146D3C"/>
    <w:rsid w:val="00156279"/>
    <w:rsid w:val="0015763A"/>
    <w:rsid w:val="0015763D"/>
    <w:rsid w:val="001577D4"/>
    <w:rsid w:val="001610C5"/>
    <w:rsid w:val="0016135B"/>
    <w:rsid w:val="001620CB"/>
    <w:rsid w:val="00162914"/>
    <w:rsid w:val="001632D6"/>
    <w:rsid w:val="00164BFF"/>
    <w:rsid w:val="00164FE5"/>
    <w:rsid w:val="00167A6A"/>
    <w:rsid w:val="00176D21"/>
    <w:rsid w:val="0017702B"/>
    <w:rsid w:val="001773EE"/>
    <w:rsid w:val="00181551"/>
    <w:rsid w:val="0018225F"/>
    <w:rsid w:val="00184DE6"/>
    <w:rsid w:val="001905B1"/>
    <w:rsid w:val="001969D0"/>
    <w:rsid w:val="001A1E34"/>
    <w:rsid w:val="001B41A0"/>
    <w:rsid w:val="001B4A9F"/>
    <w:rsid w:val="001B7AFF"/>
    <w:rsid w:val="001C1318"/>
    <w:rsid w:val="001C3D8A"/>
    <w:rsid w:val="001C566B"/>
    <w:rsid w:val="001D3F09"/>
    <w:rsid w:val="001D58E7"/>
    <w:rsid w:val="001E0303"/>
    <w:rsid w:val="001E400E"/>
    <w:rsid w:val="001F1C3F"/>
    <w:rsid w:val="001F2154"/>
    <w:rsid w:val="001F3F5B"/>
    <w:rsid w:val="0020349A"/>
    <w:rsid w:val="002042E0"/>
    <w:rsid w:val="002051FA"/>
    <w:rsid w:val="00212781"/>
    <w:rsid w:val="002130A1"/>
    <w:rsid w:val="00220563"/>
    <w:rsid w:val="0022187F"/>
    <w:rsid w:val="002227F1"/>
    <w:rsid w:val="00224BA2"/>
    <w:rsid w:val="0022590C"/>
    <w:rsid w:val="00230145"/>
    <w:rsid w:val="002360FF"/>
    <w:rsid w:val="00236470"/>
    <w:rsid w:val="00236B58"/>
    <w:rsid w:val="00246474"/>
    <w:rsid w:val="0024699F"/>
    <w:rsid w:val="00247854"/>
    <w:rsid w:val="00250F17"/>
    <w:rsid w:val="0025716B"/>
    <w:rsid w:val="002670A5"/>
    <w:rsid w:val="002728FA"/>
    <w:rsid w:val="002768AB"/>
    <w:rsid w:val="002812BA"/>
    <w:rsid w:val="00281F83"/>
    <w:rsid w:val="00283FAF"/>
    <w:rsid w:val="0028765F"/>
    <w:rsid w:val="00287BB0"/>
    <w:rsid w:val="00287CE1"/>
    <w:rsid w:val="00294B46"/>
    <w:rsid w:val="00294ED4"/>
    <w:rsid w:val="002A1542"/>
    <w:rsid w:val="002A2AA2"/>
    <w:rsid w:val="002A7C06"/>
    <w:rsid w:val="002A7CC3"/>
    <w:rsid w:val="002B0D7E"/>
    <w:rsid w:val="002C0678"/>
    <w:rsid w:val="002C1618"/>
    <w:rsid w:val="002C7161"/>
    <w:rsid w:val="002D014E"/>
    <w:rsid w:val="002D3E32"/>
    <w:rsid w:val="002D4AF4"/>
    <w:rsid w:val="002D559B"/>
    <w:rsid w:val="002E0AAE"/>
    <w:rsid w:val="002E2268"/>
    <w:rsid w:val="002E743B"/>
    <w:rsid w:val="002F24C1"/>
    <w:rsid w:val="002F40D6"/>
    <w:rsid w:val="002F6AFF"/>
    <w:rsid w:val="002F7C0C"/>
    <w:rsid w:val="00307B19"/>
    <w:rsid w:val="00310487"/>
    <w:rsid w:val="00312C88"/>
    <w:rsid w:val="00312F95"/>
    <w:rsid w:val="003167A6"/>
    <w:rsid w:val="003208CD"/>
    <w:rsid w:val="00325AE0"/>
    <w:rsid w:val="00327FAB"/>
    <w:rsid w:val="00332292"/>
    <w:rsid w:val="00333767"/>
    <w:rsid w:val="00334860"/>
    <w:rsid w:val="003353EA"/>
    <w:rsid w:val="00341F78"/>
    <w:rsid w:val="0034404E"/>
    <w:rsid w:val="003451F4"/>
    <w:rsid w:val="003464FF"/>
    <w:rsid w:val="00346A72"/>
    <w:rsid w:val="00347B60"/>
    <w:rsid w:val="00353995"/>
    <w:rsid w:val="003543DF"/>
    <w:rsid w:val="00355E14"/>
    <w:rsid w:val="003560D6"/>
    <w:rsid w:val="00357FF0"/>
    <w:rsid w:val="00360EDB"/>
    <w:rsid w:val="00362323"/>
    <w:rsid w:val="00367667"/>
    <w:rsid w:val="00373217"/>
    <w:rsid w:val="00375AE5"/>
    <w:rsid w:val="00385D52"/>
    <w:rsid w:val="0039556F"/>
    <w:rsid w:val="003959B4"/>
    <w:rsid w:val="00397E55"/>
    <w:rsid w:val="003A2412"/>
    <w:rsid w:val="003A4007"/>
    <w:rsid w:val="003B1227"/>
    <w:rsid w:val="003B4265"/>
    <w:rsid w:val="003B59AC"/>
    <w:rsid w:val="003B5C30"/>
    <w:rsid w:val="003C2C83"/>
    <w:rsid w:val="003C2CC8"/>
    <w:rsid w:val="003C3436"/>
    <w:rsid w:val="003D4619"/>
    <w:rsid w:val="003E1179"/>
    <w:rsid w:val="003F00A3"/>
    <w:rsid w:val="003F11AB"/>
    <w:rsid w:val="003F30BD"/>
    <w:rsid w:val="003F67BF"/>
    <w:rsid w:val="003F7254"/>
    <w:rsid w:val="00400329"/>
    <w:rsid w:val="0040128E"/>
    <w:rsid w:val="00410551"/>
    <w:rsid w:val="00410856"/>
    <w:rsid w:val="0041121D"/>
    <w:rsid w:val="0041283E"/>
    <w:rsid w:val="00413248"/>
    <w:rsid w:val="00425BCC"/>
    <w:rsid w:val="00427EA1"/>
    <w:rsid w:val="00431224"/>
    <w:rsid w:val="00431F2A"/>
    <w:rsid w:val="00432F14"/>
    <w:rsid w:val="00440AAD"/>
    <w:rsid w:val="0044595F"/>
    <w:rsid w:val="00451B7C"/>
    <w:rsid w:val="0045537A"/>
    <w:rsid w:val="00457D37"/>
    <w:rsid w:val="00457EDD"/>
    <w:rsid w:val="00460D62"/>
    <w:rsid w:val="00462D3F"/>
    <w:rsid w:val="00467CDA"/>
    <w:rsid w:val="00467F47"/>
    <w:rsid w:val="00472799"/>
    <w:rsid w:val="00472EE9"/>
    <w:rsid w:val="004740CA"/>
    <w:rsid w:val="00474776"/>
    <w:rsid w:val="00476106"/>
    <w:rsid w:val="00476C58"/>
    <w:rsid w:val="00476CD9"/>
    <w:rsid w:val="00480A51"/>
    <w:rsid w:val="00485E03"/>
    <w:rsid w:val="00491442"/>
    <w:rsid w:val="00492903"/>
    <w:rsid w:val="00496CD3"/>
    <w:rsid w:val="004A3F32"/>
    <w:rsid w:val="004A5035"/>
    <w:rsid w:val="004A5145"/>
    <w:rsid w:val="004A7000"/>
    <w:rsid w:val="004B1B12"/>
    <w:rsid w:val="004C0DD5"/>
    <w:rsid w:val="004C0DE3"/>
    <w:rsid w:val="004C30A3"/>
    <w:rsid w:val="004C53DA"/>
    <w:rsid w:val="004C76D5"/>
    <w:rsid w:val="004D0067"/>
    <w:rsid w:val="004D022A"/>
    <w:rsid w:val="004D0328"/>
    <w:rsid w:val="004D0BB7"/>
    <w:rsid w:val="004D24DE"/>
    <w:rsid w:val="004D4FC0"/>
    <w:rsid w:val="004E4A31"/>
    <w:rsid w:val="004E7B52"/>
    <w:rsid w:val="004F0094"/>
    <w:rsid w:val="004F4643"/>
    <w:rsid w:val="00510909"/>
    <w:rsid w:val="00516DB6"/>
    <w:rsid w:val="0051735E"/>
    <w:rsid w:val="005175D1"/>
    <w:rsid w:val="00517AD8"/>
    <w:rsid w:val="00522748"/>
    <w:rsid w:val="00526D3E"/>
    <w:rsid w:val="005304E2"/>
    <w:rsid w:val="005309F6"/>
    <w:rsid w:val="00530FD3"/>
    <w:rsid w:val="00531FB7"/>
    <w:rsid w:val="00534879"/>
    <w:rsid w:val="00534C48"/>
    <w:rsid w:val="00542D56"/>
    <w:rsid w:val="00543099"/>
    <w:rsid w:val="005436B1"/>
    <w:rsid w:val="00545E05"/>
    <w:rsid w:val="00546577"/>
    <w:rsid w:val="005545E2"/>
    <w:rsid w:val="00556703"/>
    <w:rsid w:val="005578C9"/>
    <w:rsid w:val="00562109"/>
    <w:rsid w:val="005637F7"/>
    <w:rsid w:val="005708C3"/>
    <w:rsid w:val="0057396C"/>
    <w:rsid w:val="005846FC"/>
    <w:rsid w:val="00586ADD"/>
    <w:rsid w:val="0058765F"/>
    <w:rsid w:val="00592915"/>
    <w:rsid w:val="005A47D7"/>
    <w:rsid w:val="005A6945"/>
    <w:rsid w:val="005B1513"/>
    <w:rsid w:val="005B60CD"/>
    <w:rsid w:val="005B653D"/>
    <w:rsid w:val="005C4AE6"/>
    <w:rsid w:val="005C5DE0"/>
    <w:rsid w:val="005D100B"/>
    <w:rsid w:val="005D1140"/>
    <w:rsid w:val="005D2C05"/>
    <w:rsid w:val="005D4FAC"/>
    <w:rsid w:val="005D698F"/>
    <w:rsid w:val="005E0565"/>
    <w:rsid w:val="005F1181"/>
    <w:rsid w:val="005F355A"/>
    <w:rsid w:val="005F4136"/>
    <w:rsid w:val="005F4AEE"/>
    <w:rsid w:val="005F4EF7"/>
    <w:rsid w:val="00605CDE"/>
    <w:rsid w:val="006062D2"/>
    <w:rsid w:val="00610019"/>
    <w:rsid w:val="0061154F"/>
    <w:rsid w:val="006132A4"/>
    <w:rsid w:val="00615F1B"/>
    <w:rsid w:val="00616356"/>
    <w:rsid w:val="0061657C"/>
    <w:rsid w:val="006165F2"/>
    <w:rsid w:val="00616F39"/>
    <w:rsid w:val="00621A64"/>
    <w:rsid w:val="00622791"/>
    <w:rsid w:val="00622E6D"/>
    <w:rsid w:val="006332CD"/>
    <w:rsid w:val="00633BB4"/>
    <w:rsid w:val="0063564F"/>
    <w:rsid w:val="006407D7"/>
    <w:rsid w:val="0064097B"/>
    <w:rsid w:val="00641057"/>
    <w:rsid w:val="00641FCB"/>
    <w:rsid w:val="006428E1"/>
    <w:rsid w:val="00643C59"/>
    <w:rsid w:val="006454D1"/>
    <w:rsid w:val="006470B6"/>
    <w:rsid w:val="00656407"/>
    <w:rsid w:val="00660EB0"/>
    <w:rsid w:val="006628DA"/>
    <w:rsid w:val="006669BF"/>
    <w:rsid w:val="0066725E"/>
    <w:rsid w:val="00680D87"/>
    <w:rsid w:val="0068228B"/>
    <w:rsid w:val="00684AEE"/>
    <w:rsid w:val="00694F36"/>
    <w:rsid w:val="00697078"/>
    <w:rsid w:val="006A6BFB"/>
    <w:rsid w:val="006B0BBA"/>
    <w:rsid w:val="006B254C"/>
    <w:rsid w:val="006B3042"/>
    <w:rsid w:val="006C0C84"/>
    <w:rsid w:val="006C10D4"/>
    <w:rsid w:val="006C271F"/>
    <w:rsid w:val="006C6B66"/>
    <w:rsid w:val="006C73E2"/>
    <w:rsid w:val="006D0B5B"/>
    <w:rsid w:val="006D1028"/>
    <w:rsid w:val="006D1BA9"/>
    <w:rsid w:val="006D476F"/>
    <w:rsid w:val="006D663A"/>
    <w:rsid w:val="006D705E"/>
    <w:rsid w:val="006D7E1C"/>
    <w:rsid w:val="006E556D"/>
    <w:rsid w:val="006F12C7"/>
    <w:rsid w:val="006F261D"/>
    <w:rsid w:val="006F3CB4"/>
    <w:rsid w:val="00702E7D"/>
    <w:rsid w:val="00711E03"/>
    <w:rsid w:val="0071220F"/>
    <w:rsid w:val="007126ED"/>
    <w:rsid w:val="0071410D"/>
    <w:rsid w:val="0071482A"/>
    <w:rsid w:val="007163DF"/>
    <w:rsid w:val="00720EA5"/>
    <w:rsid w:val="007211BF"/>
    <w:rsid w:val="007212F8"/>
    <w:rsid w:val="00723D3C"/>
    <w:rsid w:val="007240AF"/>
    <w:rsid w:val="007316D0"/>
    <w:rsid w:val="0073270D"/>
    <w:rsid w:val="007362E1"/>
    <w:rsid w:val="00740AFE"/>
    <w:rsid w:val="00740D8B"/>
    <w:rsid w:val="00750B46"/>
    <w:rsid w:val="0075139B"/>
    <w:rsid w:val="00756E34"/>
    <w:rsid w:val="00760CBC"/>
    <w:rsid w:val="00761D47"/>
    <w:rsid w:val="007634C5"/>
    <w:rsid w:val="00764EA1"/>
    <w:rsid w:val="0077569C"/>
    <w:rsid w:val="0077577D"/>
    <w:rsid w:val="00776AB2"/>
    <w:rsid w:val="007774F1"/>
    <w:rsid w:val="00782F22"/>
    <w:rsid w:val="0078472C"/>
    <w:rsid w:val="007864F2"/>
    <w:rsid w:val="00786E76"/>
    <w:rsid w:val="007A1166"/>
    <w:rsid w:val="007A13BD"/>
    <w:rsid w:val="007A471F"/>
    <w:rsid w:val="007A5988"/>
    <w:rsid w:val="007A64C4"/>
    <w:rsid w:val="007B3980"/>
    <w:rsid w:val="007B4777"/>
    <w:rsid w:val="007B5107"/>
    <w:rsid w:val="007B5801"/>
    <w:rsid w:val="007B72C3"/>
    <w:rsid w:val="007C2370"/>
    <w:rsid w:val="007C3456"/>
    <w:rsid w:val="007C6C58"/>
    <w:rsid w:val="007C7DBB"/>
    <w:rsid w:val="007D0646"/>
    <w:rsid w:val="007D3036"/>
    <w:rsid w:val="007E0C8C"/>
    <w:rsid w:val="007E23D9"/>
    <w:rsid w:val="007E6B15"/>
    <w:rsid w:val="007E73BB"/>
    <w:rsid w:val="007E78AD"/>
    <w:rsid w:val="007E7CE3"/>
    <w:rsid w:val="007F1A00"/>
    <w:rsid w:val="007F2B34"/>
    <w:rsid w:val="007F45C4"/>
    <w:rsid w:val="00803652"/>
    <w:rsid w:val="00803D63"/>
    <w:rsid w:val="008041DA"/>
    <w:rsid w:val="00805F7E"/>
    <w:rsid w:val="00807B1B"/>
    <w:rsid w:val="00810072"/>
    <w:rsid w:val="0081036C"/>
    <w:rsid w:val="00811DA7"/>
    <w:rsid w:val="008133A7"/>
    <w:rsid w:val="00814381"/>
    <w:rsid w:val="00814DB3"/>
    <w:rsid w:val="00815431"/>
    <w:rsid w:val="00815C2C"/>
    <w:rsid w:val="0081723D"/>
    <w:rsid w:val="008202A6"/>
    <w:rsid w:val="00821FAB"/>
    <w:rsid w:val="00822BF4"/>
    <w:rsid w:val="00824DAA"/>
    <w:rsid w:val="00826506"/>
    <w:rsid w:val="0082673A"/>
    <w:rsid w:val="008323BA"/>
    <w:rsid w:val="008343A8"/>
    <w:rsid w:val="00835608"/>
    <w:rsid w:val="008379D9"/>
    <w:rsid w:val="0084595B"/>
    <w:rsid w:val="00846C5F"/>
    <w:rsid w:val="00846C65"/>
    <w:rsid w:val="0085014A"/>
    <w:rsid w:val="0085340C"/>
    <w:rsid w:val="00854187"/>
    <w:rsid w:val="00855CFF"/>
    <w:rsid w:val="00860A83"/>
    <w:rsid w:val="00863D64"/>
    <w:rsid w:val="00864EAA"/>
    <w:rsid w:val="0088028E"/>
    <w:rsid w:val="00882A95"/>
    <w:rsid w:val="00883755"/>
    <w:rsid w:val="0088573B"/>
    <w:rsid w:val="00885865"/>
    <w:rsid w:val="00886A7E"/>
    <w:rsid w:val="008A031E"/>
    <w:rsid w:val="008A0B24"/>
    <w:rsid w:val="008A241A"/>
    <w:rsid w:val="008A2748"/>
    <w:rsid w:val="008B1B1E"/>
    <w:rsid w:val="008B2BEF"/>
    <w:rsid w:val="008C041C"/>
    <w:rsid w:val="008C04FD"/>
    <w:rsid w:val="008C14AE"/>
    <w:rsid w:val="008D04CC"/>
    <w:rsid w:val="008D3D93"/>
    <w:rsid w:val="008E711B"/>
    <w:rsid w:val="008F0E5F"/>
    <w:rsid w:val="008F26B9"/>
    <w:rsid w:val="008F36B4"/>
    <w:rsid w:val="008F6638"/>
    <w:rsid w:val="00903423"/>
    <w:rsid w:val="00906FDF"/>
    <w:rsid w:val="00910633"/>
    <w:rsid w:val="00920B4B"/>
    <w:rsid w:val="00926C88"/>
    <w:rsid w:val="00931CA8"/>
    <w:rsid w:val="00932FD5"/>
    <w:rsid w:val="009338DF"/>
    <w:rsid w:val="00934D4C"/>
    <w:rsid w:val="00937B74"/>
    <w:rsid w:val="00941089"/>
    <w:rsid w:val="00942918"/>
    <w:rsid w:val="00943BB4"/>
    <w:rsid w:val="00943D20"/>
    <w:rsid w:val="00957F7C"/>
    <w:rsid w:val="00960DFA"/>
    <w:rsid w:val="0096127B"/>
    <w:rsid w:val="009633A2"/>
    <w:rsid w:val="009816E4"/>
    <w:rsid w:val="00984586"/>
    <w:rsid w:val="00991168"/>
    <w:rsid w:val="00992381"/>
    <w:rsid w:val="00993B83"/>
    <w:rsid w:val="009A56AA"/>
    <w:rsid w:val="009B1865"/>
    <w:rsid w:val="009B49F3"/>
    <w:rsid w:val="009B5EE7"/>
    <w:rsid w:val="009C0879"/>
    <w:rsid w:val="009C3E4A"/>
    <w:rsid w:val="009C60F7"/>
    <w:rsid w:val="009D03FB"/>
    <w:rsid w:val="009D1F2D"/>
    <w:rsid w:val="009D286B"/>
    <w:rsid w:val="009D54E1"/>
    <w:rsid w:val="009E0E25"/>
    <w:rsid w:val="009E796E"/>
    <w:rsid w:val="009F3659"/>
    <w:rsid w:val="009F6653"/>
    <w:rsid w:val="009F7134"/>
    <w:rsid w:val="00A0281B"/>
    <w:rsid w:val="00A07E29"/>
    <w:rsid w:val="00A1242A"/>
    <w:rsid w:val="00A12B5A"/>
    <w:rsid w:val="00A16AEA"/>
    <w:rsid w:val="00A2258E"/>
    <w:rsid w:val="00A22E68"/>
    <w:rsid w:val="00A25257"/>
    <w:rsid w:val="00A26F1E"/>
    <w:rsid w:val="00A31899"/>
    <w:rsid w:val="00A328CF"/>
    <w:rsid w:val="00A346E8"/>
    <w:rsid w:val="00A42606"/>
    <w:rsid w:val="00A46973"/>
    <w:rsid w:val="00A526C5"/>
    <w:rsid w:val="00A52C03"/>
    <w:rsid w:val="00A6006B"/>
    <w:rsid w:val="00A600B2"/>
    <w:rsid w:val="00A60617"/>
    <w:rsid w:val="00A64847"/>
    <w:rsid w:val="00A70C50"/>
    <w:rsid w:val="00A75584"/>
    <w:rsid w:val="00A80D44"/>
    <w:rsid w:val="00A80E1D"/>
    <w:rsid w:val="00A82C03"/>
    <w:rsid w:val="00A9002E"/>
    <w:rsid w:val="00A946C5"/>
    <w:rsid w:val="00AB2AF2"/>
    <w:rsid w:val="00AB66EC"/>
    <w:rsid w:val="00AC5A65"/>
    <w:rsid w:val="00AC65A6"/>
    <w:rsid w:val="00AC7C44"/>
    <w:rsid w:val="00AD2517"/>
    <w:rsid w:val="00AD5D25"/>
    <w:rsid w:val="00AD7BC8"/>
    <w:rsid w:val="00AE4BF4"/>
    <w:rsid w:val="00AE5C4A"/>
    <w:rsid w:val="00AF18DB"/>
    <w:rsid w:val="00AF2C66"/>
    <w:rsid w:val="00AF5CDF"/>
    <w:rsid w:val="00AF67F3"/>
    <w:rsid w:val="00B11312"/>
    <w:rsid w:val="00B139C8"/>
    <w:rsid w:val="00B174A5"/>
    <w:rsid w:val="00B223B4"/>
    <w:rsid w:val="00B25B46"/>
    <w:rsid w:val="00B32CD4"/>
    <w:rsid w:val="00B3486E"/>
    <w:rsid w:val="00B46CAF"/>
    <w:rsid w:val="00B52AB1"/>
    <w:rsid w:val="00B54FEC"/>
    <w:rsid w:val="00B5732B"/>
    <w:rsid w:val="00B61188"/>
    <w:rsid w:val="00B6124F"/>
    <w:rsid w:val="00B66966"/>
    <w:rsid w:val="00B717C8"/>
    <w:rsid w:val="00B72A69"/>
    <w:rsid w:val="00B82A32"/>
    <w:rsid w:val="00B85D7D"/>
    <w:rsid w:val="00B93B13"/>
    <w:rsid w:val="00B9507F"/>
    <w:rsid w:val="00B97526"/>
    <w:rsid w:val="00BA1D66"/>
    <w:rsid w:val="00BA376B"/>
    <w:rsid w:val="00BA4108"/>
    <w:rsid w:val="00BA4FE7"/>
    <w:rsid w:val="00BA71CD"/>
    <w:rsid w:val="00BB0664"/>
    <w:rsid w:val="00BB1E3F"/>
    <w:rsid w:val="00BB1F25"/>
    <w:rsid w:val="00BB2A27"/>
    <w:rsid w:val="00BB3FCF"/>
    <w:rsid w:val="00BB62D7"/>
    <w:rsid w:val="00BB6615"/>
    <w:rsid w:val="00BC29C9"/>
    <w:rsid w:val="00BC3682"/>
    <w:rsid w:val="00BC5653"/>
    <w:rsid w:val="00BC7309"/>
    <w:rsid w:val="00BD29BC"/>
    <w:rsid w:val="00BD61D2"/>
    <w:rsid w:val="00BD78BF"/>
    <w:rsid w:val="00BE0797"/>
    <w:rsid w:val="00BE1370"/>
    <w:rsid w:val="00BE2EB9"/>
    <w:rsid w:val="00BE3E2D"/>
    <w:rsid w:val="00BE4916"/>
    <w:rsid w:val="00BF1B08"/>
    <w:rsid w:val="00C073CB"/>
    <w:rsid w:val="00C15594"/>
    <w:rsid w:val="00C1642C"/>
    <w:rsid w:val="00C26F3A"/>
    <w:rsid w:val="00C31B66"/>
    <w:rsid w:val="00C41AFD"/>
    <w:rsid w:val="00C47D77"/>
    <w:rsid w:val="00C56FBA"/>
    <w:rsid w:val="00C62284"/>
    <w:rsid w:val="00C6717B"/>
    <w:rsid w:val="00C70AFA"/>
    <w:rsid w:val="00C70BF6"/>
    <w:rsid w:val="00C71723"/>
    <w:rsid w:val="00C75352"/>
    <w:rsid w:val="00C82525"/>
    <w:rsid w:val="00C96B5E"/>
    <w:rsid w:val="00CA15CA"/>
    <w:rsid w:val="00CA1755"/>
    <w:rsid w:val="00CA1775"/>
    <w:rsid w:val="00CA3E62"/>
    <w:rsid w:val="00CA7A42"/>
    <w:rsid w:val="00CB2B5E"/>
    <w:rsid w:val="00CB686F"/>
    <w:rsid w:val="00CB71DD"/>
    <w:rsid w:val="00CC4799"/>
    <w:rsid w:val="00CC7A82"/>
    <w:rsid w:val="00CD109C"/>
    <w:rsid w:val="00CE4F22"/>
    <w:rsid w:val="00CF311C"/>
    <w:rsid w:val="00CF3D3A"/>
    <w:rsid w:val="00CF761B"/>
    <w:rsid w:val="00D00E1D"/>
    <w:rsid w:val="00D0115B"/>
    <w:rsid w:val="00D02CD3"/>
    <w:rsid w:val="00D05FEF"/>
    <w:rsid w:val="00D125DA"/>
    <w:rsid w:val="00D218DD"/>
    <w:rsid w:val="00D22B39"/>
    <w:rsid w:val="00D26726"/>
    <w:rsid w:val="00D2756A"/>
    <w:rsid w:val="00D33434"/>
    <w:rsid w:val="00D37C3A"/>
    <w:rsid w:val="00D44E40"/>
    <w:rsid w:val="00D500D2"/>
    <w:rsid w:val="00D53617"/>
    <w:rsid w:val="00D536B6"/>
    <w:rsid w:val="00D54BAC"/>
    <w:rsid w:val="00D57504"/>
    <w:rsid w:val="00D57D90"/>
    <w:rsid w:val="00D62F8F"/>
    <w:rsid w:val="00D62FCE"/>
    <w:rsid w:val="00D63B4E"/>
    <w:rsid w:val="00D65379"/>
    <w:rsid w:val="00D65A2D"/>
    <w:rsid w:val="00D67CB5"/>
    <w:rsid w:val="00D710D0"/>
    <w:rsid w:val="00D7372C"/>
    <w:rsid w:val="00D7532B"/>
    <w:rsid w:val="00D755DF"/>
    <w:rsid w:val="00D75BC5"/>
    <w:rsid w:val="00D80D23"/>
    <w:rsid w:val="00D81048"/>
    <w:rsid w:val="00D81698"/>
    <w:rsid w:val="00D915C5"/>
    <w:rsid w:val="00D92A00"/>
    <w:rsid w:val="00D945C4"/>
    <w:rsid w:val="00D96811"/>
    <w:rsid w:val="00DA0D95"/>
    <w:rsid w:val="00DB0EE5"/>
    <w:rsid w:val="00DB0F66"/>
    <w:rsid w:val="00DB3B6B"/>
    <w:rsid w:val="00DB6F26"/>
    <w:rsid w:val="00DC3329"/>
    <w:rsid w:val="00DC4DFB"/>
    <w:rsid w:val="00DC4E1C"/>
    <w:rsid w:val="00DC6838"/>
    <w:rsid w:val="00DC7377"/>
    <w:rsid w:val="00DD20F5"/>
    <w:rsid w:val="00DD2797"/>
    <w:rsid w:val="00DD3905"/>
    <w:rsid w:val="00DD430E"/>
    <w:rsid w:val="00DE3BD7"/>
    <w:rsid w:val="00DE5795"/>
    <w:rsid w:val="00DE796E"/>
    <w:rsid w:val="00DF1FD0"/>
    <w:rsid w:val="00DF39AC"/>
    <w:rsid w:val="00DF3F78"/>
    <w:rsid w:val="00E02C03"/>
    <w:rsid w:val="00E03047"/>
    <w:rsid w:val="00E046FD"/>
    <w:rsid w:val="00E05263"/>
    <w:rsid w:val="00E0615A"/>
    <w:rsid w:val="00E068DD"/>
    <w:rsid w:val="00E07CEF"/>
    <w:rsid w:val="00E108A5"/>
    <w:rsid w:val="00E14B74"/>
    <w:rsid w:val="00E21B53"/>
    <w:rsid w:val="00E2476C"/>
    <w:rsid w:val="00E34F0D"/>
    <w:rsid w:val="00E35451"/>
    <w:rsid w:val="00E406E9"/>
    <w:rsid w:val="00E41CCF"/>
    <w:rsid w:val="00E440C1"/>
    <w:rsid w:val="00E45F31"/>
    <w:rsid w:val="00E50CFC"/>
    <w:rsid w:val="00E52607"/>
    <w:rsid w:val="00E56E52"/>
    <w:rsid w:val="00E612D7"/>
    <w:rsid w:val="00E61559"/>
    <w:rsid w:val="00E62158"/>
    <w:rsid w:val="00E71CBA"/>
    <w:rsid w:val="00E733BB"/>
    <w:rsid w:val="00E747E0"/>
    <w:rsid w:val="00E77763"/>
    <w:rsid w:val="00E80F2A"/>
    <w:rsid w:val="00E80FCB"/>
    <w:rsid w:val="00E81D78"/>
    <w:rsid w:val="00E951CC"/>
    <w:rsid w:val="00EA1BE6"/>
    <w:rsid w:val="00EA21F6"/>
    <w:rsid w:val="00EA2D2D"/>
    <w:rsid w:val="00EA42EA"/>
    <w:rsid w:val="00EA524C"/>
    <w:rsid w:val="00EA59CD"/>
    <w:rsid w:val="00EA77A6"/>
    <w:rsid w:val="00EB49BA"/>
    <w:rsid w:val="00EB5492"/>
    <w:rsid w:val="00EB61E6"/>
    <w:rsid w:val="00EB70D0"/>
    <w:rsid w:val="00EC5E74"/>
    <w:rsid w:val="00EC7545"/>
    <w:rsid w:val="00EC7EFC"/>
    <w:rsid w:val="00ED07D2"/>
    <w:rsid w:val="00ED3A6B"/>
    <w:rsid w:val="00EE0CF0"/>
    <w:rsid w:val="00EF7F5D"/>
    <w:rsid w:val="00F013AC"/>
    <w:rsid w:val="00F034BA"/>
    <w:rsid w:val="00F04626"/>
    <w:rsid w:val="00F050D3"/>
    <w:rsid w:val="00F07F41"/>
    <w:rsid w:val="00F13D12"/>
    <w:rsid w:val="00F15C47"/>
    <w:rsid w:val="00F16FBE"/>
    <w:rsid w:val="00F21153"/>
    <w:rsid w:val="00F27A71"/>
    <w:rsid w:val="00F334B5"/>
    <w:rsid w:val="00F455AD"/>
    <w:rsid w:val="00F46539"/>
    <w:rsid w:val="00F513ED"/>
    <w:rsid w:val="00F527F6"/>
    <w:rsid w:val="00F55021"/>
    <w:rsid w:val="00F5697F"/>
    <w:rsid w:val="00F56F2F"/>
    <w:rsid w:val="00F60970"/>
    <w:rsid w:val="00F62CF5"/>
    <w:rsid w:val="00F630BB"/>
    <w:rsid w:val="00F64EF2"/>
    <w:rsid w:val="00F6580E"/>
    <w:rsid w:val="00F65A9D"/>
    <w:rsid w:val="00F72D16"/>
    <w:rsid w:val="00F72E9D"/>
    <w:rsid w:val="00F750D1"/>
    <w:rsid w:val="00F857BA"/>
    <w:rsid w:val="00F86986"/>
    <w:rsid w:val="00F93FCD"/>
    <w:rsid w:val="00FA4822"/>
    <w:rsid w:val="00FA539F"/>
    <w:rsid w:val="00FB089D"/>
    <w:rsid w:val="00FB2AAF"/>
    <w:rsid w:val="00FC1858"/>
    <w:rsid w:val="00FC41AF"/>
    <w:rsid w:val="00FC63E3"/>
    <w:rsid w:val="00FD15A6"/>
    <w:rsid w:val="00FD49DB"/>
    <w:rsid w:val="00FD5DFD"/>
    <w:rsid w:val="00FD6A0C"/>
    <w:rsid w:val="00FE38A4"/>
    <w:rsid w:val="00FE4CB9"/>
    <w:rsid w:val="00FE62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59A0222B-5EBE-4566-B984-B67CB9091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795"/>
    <w:pPr>
      <w:spacing w:before="120" w:after="120" w:line="240" w:lineRule="auto"/>
    </w:pPr>
    <w:rPr>
      <w:rFonts w:ascii="Arial" w:hAnsi="Arial"/>
      <w:sz w:val="20"/>
    </w:rPr>
  </w:style>
  <w:style w:type="paragraph" w:styleId="Heading1">
    <w:name w:val="heading 1"/>
    <w:next w:val="BodyText"/>
    <w:link w:val="Heading1Char"/>
    <w:uiPriority w:val="9"/>
    <w:qFormat/>
    <w:rsid w:val="002F7C0C"/>
    <w:pPr>
      <w:keepNext/>
      <w:keepLines/>
      <w:pageBreakBefore/>
      <w:numPr>
        <w:numId w:val="11"/>
      </w:numPr>
      <w:spacing w:before="240" w:after="240" w:line="240" w:lineRule="auto"/>
      <w:outlineLvl w:val="0"/>
    </w:pPr>
    <w:rPr>
      <w:rFonts w:ascii="Arial" w:eastAsiaTheme="majorEastAsia" w:hAnsi="Arial" w:cstheme="majorBidi"/>
      <w:color w:val="00338D"/>
      <w:sz w:val="72"/>
      <w:szCs w:val="96"/>
    </w:rPr>
  </w:style>
  <w:style w:type="paragraph" w:styleId="Heading2">
    <w:name w:val="heading 2"/>
    <w:basedOn w:val="Normal"/>
    <w:next w:val="Normal"/>
    <w:link w:val="Heading2Char"/>
    <w:uiPriority w:val="9"/>
    <w:unhideWhenUsed/>
    <w:qFormat/>
    <w:rsid w:val="002F7C0C"/>
    <w:pPr>
      <w:keepNext/>
      <w:keepLines/>
      <w:numPr>
        <w:ilvl w:val="1"/>
        <w:numId w:val="11"/>
      </w:numPr>
      <w:spacing w:before="240" w:after="240"/>
      <w:outlineLvl w:val="1"/>
    </w:pPr>
    <w:rPr>
      <w:rFonts w:eastAsiaTheme="majorEastAsia" w:cstheme="majorBidi"/>
      <w:color w:val="00338D"/>
      <w:sz w:val="56"/>
      <w:szCs w:val="26"/>
    </w:rPr>
  </w:style>
  <w:style w:type="paragraph" w:styleId="Heading3">
    <w:name w:val="heading 3"/>
    <w:basedOn w:val="Normal"/>
    <w:next w:val="Normal"/>
    <w:link w:val="Heading3Char"/>
    <w:uiPriority w:val="9"/>
    <w:unhideWhenUsed/>
    <w:qFormat/>
    <w:rsid w:val="00DE5795"/>
    <w:pPr>
      <w:keepNext/>
      <w:keepLines/>
      <w:numPr>
        <w:ilvl w:val="2"/>
        <w:numId w:val="11"/>
      </w:numPr>
      <w:spacing w:before="40" w:after="0"/>
      <w:outlineLvl w:val="2"/>
    </w:pPr>
    <w:rPr>
      <w:rFonts w:eastAsiaTheme="majorEastAsia" w:cstheme="majorBidi"/>
      <w:color w:val="0091DA" w:themeColor="accent2"/>
      <w:sz w:val="32"/>
      <w:szCs w:val="24"/>
    </w:rPr>
  </w:style>
  <w:style w:type="paragraph" w:styleId="Heading4">
    <w:name w:val="heading 4"/>
    <w:basedOn w:val="Normal"/>
    <w:next w:val="Normal"/>
    <w:link w:val="Heading4Char"/>
    <w:uiPriority w:val="9"/>
    <w:unhideWhenUsed/>
    <w:qFormat/>
    <w:rsid w:val="00BA4108"/>
    <w:pPr>
      <w:keepNext/>
      <w:keepLines/>
      <w:numPr>
        <w:ilvl w:val="3"/>
        <w:numId w:val="11"/>
      </w:numPr>
      <w:spacing w:after="0"/>
      <w:outlineLvl w:val="3"/>
    </w:pPr>
    <w:rPr>
      <w:rFonts w:eastAsiaTheme="majorEastAsia" w:cstheme="majorBidi"/>
      <w:b/>
      <w:iCs/>
      <w:color w:val="00338D" w:themeColor="background2"/>
      <w:sz w:val="24"/>
    </w:rPr>
  </w:style>
  <w:style w:type="paragraph" w:styleId="Heading5">
    <w:name w:val="heading 5"/>
    <w:basedOn w:val="BodyText1"/>
    <w:next w:val="BodyText"/>
    <w:link w:val="Heading5Char"/>
    <w:uiPriority w:val="9"/>
    <w:unhideWhenUsed/>
    <w:qFormat/>
    <w:rsid w:val="00D65A2D"/>
    <w:pPr>
      <w:keepNext/>
      <w:numPr>
        <w:ilvl w:val="4"/>
        <w:numId w:val="11"/>
      </w:numPr>
      <w:outlineLvl w:val="4"/>
    </w:pPr>
    <w:rPr>
      <w:b/>
      <w:sz w:val="22"/>
    </w:rPr>
  </w:style>
  <w:style w:type="paragraph" w:styleId="Heading6">
    <w:name w:val="heading 6"/>
    <w:basedOn w:val="BodyText1"/>
    <w:next w:val="Normal"/>
    <w:link w:val="Heading6Char"/>
    <w:uiPriority w:val="9"/>
    <w:unhideWhenUsed/>
    <w:qFormat/>
    <w:rsid w:val="00B93B13"/>
    <w:pPr>
      <w:numPr>
        <w:ilvl w:val="5"/>
        <w:numId w:val="11"/>
      </w:numPr>
      <w:outlineLvl w:val="5"/>
    </w:pPr>
    <w:rPr>
      <w:i/>
      <w:color w:val="0091DA" w:themeColor="accent2"/>
    </w:rPr>
  </w:style>
  <w:style w:type="paragraph" w:styleId="Heading7">
    <w:name w:val="heading 7"/>
    <w:basedOn w:val="Normal"/>
    <w:next w:val="Normal"/>
    <w:link w:val="Heading7Char"/>
    <w:uiPriority w:val="9"/>
    <w:semiHidden/>
    <w:unhideWhenUsed/>
    <w:qFormat/>
    <w:rsid w:val="00AE5C4A"/>
    <w:pPr>
      <w:keepNext/>
      <w:keepLines/>
      <w:numPr>
        <w:ilvl w:val="6"/>
        <w:numId w:val="11"/>
      </w:numPr>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semiHidden/>
    <w:unhideWhenUsed/>
    <w:qFormat/>
    <w:rsid w:val="00AE5C4A"/>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5C4A"/>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08pt">
    <w:name w:val="Cover title 1_108pt"/>
    <w:qFormat/>
    <w:rsid w:val="00FE623C"/>
    <w:pPr>
      <w:spacing w:after="0" w:line="240" w:lineRule="auto"/>
    </w:pPr>
    <w:rPr>
      <w:rFonts w:ascii="Arial" w:hAnsi="Arial"/>
      <w:noProof/>
      <w:color w:val="FFFFFF" w:themeColor="background1"/>
      <w:sz w:val="96"/>
      <w:lang w:eastAsia="en-AU"/>
    </w:rPr>
  </w:style>
  <w:style w:type="paragraph" w:customStyle="1" w:styleId="Covertitle216ptB">
    <w:name w:val="Cover title 2_16pt_B"/>
    <w:qFormat/>
    <w:rsid w:val="009B5EE7"/>
    <w:pPr>
      <w:spacing w:after="0" w:line="240" w:lineRule="auto"/>
    </w:pPr>
    <w:rPr>
      <w:rFonts w:ascii="Univers 45 Light" w:hAnsi="Univers 45 Light"/>
      <w:b/>
      <w:color w:val="FFFFFF" w:themeColor="background1"/>
      <w:sz w:val="32"/>
    </w:rPr>
  </w:style>
  <w:style w:type="paragraph" w:customStyle="1" w:styleId="Covertitle316ptNB">
    <w:name w:val="Cover title 3_16pt_NB"/>
    <w:qFormat/>
    <w:rsid w:val="001B41A0"/>
    <w:pPr>
      <w:spacing w:after="0" w:line="240" w:lineRule="auto"/>
    </w:pPr>
    <w:rPr>
      <w:rFonts w:ascii="Univers 45 Light" w:hAnsi="Univers 45 Light"/>
      <w:color w:val="FFFFFF" w:themeColor="background1"/>
      <w:sz w:val="32"/>
    </w:rPr>
  </w:style>
  <w:style w:type="paragraph" w:customStyle="1" w:styleId="Covertitle412pt">
    <w:name w:val="Cover title 4_12pt"/>
    <w:qFormat/>
    <w:rsid w:val="009B5EE7"/>
    <w:pPr>
      <w:spacing w:before="3000" w:after="120" w:line="240" w:lineRule="auto"/>
    </w:pPr>
    <w:rPr>
      <w:rFonts w:ascii="Univers 45 Light" w:hAnsi="Univers 45 Light"/>
      <w:color w:val="FFFFFF" w:themeColor="background1"/>
      <w:sz w:val="24"/>
    </w:rPr>
  </w:style>
  <w:style w:type="table" w:styleId="TableGrid">
    <w:name w:val="Table Grid"/>
    <w:basedOn w:val="TableNormal"/>
    <w:uiPriority w:val="59"/>
    <w:rsid w:val="0088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ivers45Light">
    <w:name w:val="Univers 45 Light"/>
    <w:qFormat/>
    <w:rsid w:val="00D500D2"/>
    <w:pPr>
      <w:spacing w:before="120" w:after="120" w:line="240" w:lineRule="auto"/>
    </w:pPr>
    <w:rPr>
      <w:rFonts w:ascii="KPMG Light" w:hAnsi="KPMG Light"/>
      <w:b/>
      <w:color w:val="00338D"/>
      <w:sz w:val="20"/>
    </w:rPr>
  </w:style>
  <w:style w:type="paragraph" w:customStyle="1" w:styleId="Tabletext">
    <w:name w:val="Table text"/>
    <w:qFormat/>
    <w:rsid w:val="00D65A2D"/>
    <w:pPr>
      <w:spacing w:before="40" w:after="40" w:line="240" w:lineRule="auto"/>
    </w:pPr>
    <w:rPr>
      <w:rFonts w:ascii="Univers 45 Light" w:hAnsi="Univers 45 Light"/>
      <w:sz w:val="20"/>
    </w:rPr>
  </w:style>
  <w:style w:type="character" w:customStyle="1" w:styleId="Heading1Char">
    <w:name w:val="Heading 1 Char"/>
    <w:basedOn w:val="DefaultParagraphFont"/>
    <w:link w:val="Heading1"/>
    <w:uiPriority w:val="9"/>
    <w:rsid w:val="002F7C0C"/>
    <w:rPr>
      <w:rFonts w:ascii="Arial" w:eastAsiaTheme="majorEastAsia" w:hAnsi="Arial" w:cstheme="majorBidi"/>
      <w:color w:val="00338D"/>
      <w:sz w:val="72"/>
      <w:szCs w:val="96"/>
    </w:rPr>
  </w:style>
  <w:style w:type="paragraph" w:customStyle="1" w:styleId="BodyText1">
    <w:name w:val="Body Text1"/>
    <w:qFormat/>
    <w:rsid w:val="003353EA"/>
    <w:pPr>
      <w:spacing w:before="120" w:after="120" w:line="240" w:lineRule="auto"/>
    </w:pPr>
    <w:rPr>
      <w:rFonts w:ascii="Arial" w:hAnsi="Arial"/>
      <w:sz w:val="20"/>
    </w:rPr>
  </w:style>
  <w:style w:type="paragraph" w:styleId="BodyText">
    <w:name w:val="Body Text"/>
    <w:basedOn w:val="Normal"/>
    <w:link w:val="BodyTextChar"/>
    <w:uiPriority w:val="99"/>
    <w:unhideWhenUsed/>
    <w:rsid w:val="00287CE1"/>
  </w:style>
  <w:style w:type="character" w:customStyle="1" w:styleId="BodyTextChar">
    <w:name w:val="Body Text Char"/>
    <w:basedOn w:val="DefaultParagraphFont"/>
    <w:link w:val="BodyText"/>
    <w:uiPriority w:val="99"/>
    <w:rsid w:val="00287CE1"/>
  </w:style>
  <w:style w:type="paragraph" w:customStyle="1" w:styleId="Heading1Noshow">
    <w:name w:val="Heading 1_No show"/>
    <w:qFormat/>
    <w:rsid w:val="002F7C0C"/>
    <w:pPr>
      <w:spacing w:before="240" w:after="240" w:line="240" w:lineRule="auto"/>
    </w:pPr>
    <w:rPr>
      <w:rFonts w:ascii="Arial" w:eastAsiaTheme="majorEastAsia" w:hAnsi="Arial" w:cstheme="majorBidi"/>
      <w:color w:val="00338D"/>
      <w:sz w:val="72"/>
      <w:szCs w:val="32"/>
    </w:rPr>
  </w:style>
  <w:style w:type="character" w:customStyle="1" w:styleId="Heading2Char">
    <w:name w:val="Heading 2 Char"/>
    <w:basedOn w:val="DefaultParagraphFont"/>
    <w:link w:val="Heading2"/>
    <w:uiPriority w:val="9"/>
    <w:rsid w:val="002F7C0C"/>
    <w:rPr>
      <w:rFonts w:ascii="Arial" w:eastAsiaTheme="majorEastAsia" w:hAnsi="Arial" w:cstheme="majorBidi"/>
      <w:color w:val="00338D"/>
      <w:sz w:val="56"/>
      <w:szCs w:val="26"/>
    </w:rPr>
  </w:style>
  <w:style w:type="paragraph" w:styleId="TOC1">
    <w:name w:val="toc 1"/>
    <w:basedOn w:val="Normal"/>
    <w:next w:val="Normal"/>
    <w:autoRedefine/>
    <w:uiPriority w:val="39"/>
    <w:unhideWhenUsed/>
    <w:rsid w:val="000F0B3D"/>
    <w:pPr>
      <w:tabs>
        <w:tab w:val="left" w:pos="567"/>
        <w:tab w:val="right" w:pos="8505"/>
      </w:tabs>
      <w:ind w:left="567" w:hanging="425"/>
    </w:pPr>
    <w:rPr>
      <w:rFonts w:eastAsiaTheme="majorEastAsia"/>
      <w:noProof/>
      <w:sz w:val="22"/>
    </w:rPr>
  </w:style>
  <w:style w:type="character" w:customStyle="1" w:styleId="Heading3Char">
    <w:name w:val="Heading 3 Char"/>
    <w:basedOn w:val="DefaultParagraphFont"/>
    <w:link w:val="Heading3"/>
    <w:uiPriority w:val="9"/>
    <w:rsid w:val="00DE5795"/>
    <w:rPr>
      <w:rFonts w:ascii="Arial" w:eastAsiaTheme="majorEastAsia" w:hAnsi="Arial" w:cstheme="majorBidi"/>
      <w:color w:val="0091DA" w:themeColor="accent2"/>
      <w:sz w:val="32"/>
      <w:szCs w:val="24"/>
    </w:rPr>
  </w:style>
  <w:style w:type="character" w:styleId="Hyperlink">
    <w:name w:val="Hyperlink"/>
    <w:basedOn w:val="DefaultParagraphFont"/>
    <w:uiPriority w:val="99"/>
    <w:unhideWhenUsed/>
    <w:rsid w:val="000D3A24"/>
    <w:rPr>
      <w:color w:val="auto"/>
      <w:u w:val="single"/>
    </w:rPr>
  </w:style>
  <w:style w:type="paragraph" w:styleId="Header">
    <w:name w:val="header"/>
    <w:basedOn w:val="Normal"/>
    <w:link w:val="HeaderChar"/>
    <w:uiPriority w:val="99"/>
    <w:unhideWhenUsed/>
    <w:rsid w:val="007E78AD"/>
    <w:pPr>
      <w:tabs>
        <w:tab w:val="center" w:pos="4513"/>
        <w:tab w:val="right" w:pos="9026"/>
      </w:tabs>
      <w:spacing w:before="0" w:after="0"/>
      <w:jc w:val="right"/>
    </w:pPr>
    <w:rPr>
      <w:i/>
    </w:rPr>
  </w:style>
  <w:style w:type="character" w:customStyle="1" w:styleId="HeaderChar">
    <w:name w:val="Header Char"/>
    <w:basedOn w:val="DefaultParagraphFont"/>
    <w:link w:val="Header"/>
    <w:uiPriority w:val="99"/>
    <w:rsid w:val="007E78AD"/>
    <w:rPr>
      <w:rFonts w:ascii="Univers 45 Light" w:hAnsi="Univers 45 Light"/>
      <w:i/>
      <w:sz w:val="20"/>
    </w:rPr>
  </w:style>
  <w:style w:type="paragraph" w:styleId="Footer">
    <w:name w:val="footer"/>
    <w:basedOn w:val="Normal"/>
    <w:link w:val="FooterChar"/>
    <w:uiPriority w:val="99"/>
    <w:unhideWhenUsed/>
    <w:rsid w:val="007E23D9"/>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uiPriority w:val="99"/>
    <w:rsid w:val="007E23D9"/>
    <w:rPr>
      <w:rFonts w:ascii="Univers 45 Light" w:hAnsi="Univers 45 Light"/>
      <w:color w:val="808080" w:themeColor="background1" w:themeShade="80"/>
      <w:sz w:val="12"/>
    </w:rPr>
  </w:style>
  <w:style w:type="paragraph" w:customStyle="1" w:styleId="CVname">
    <w:name w:val="CV name"/>
    <w:qFormat/>
    <w:rsid w:val="008B1B1E"/>
    <w:pPr>
      <w:spacing w:after="80" w:line="240" w:lineRule="auto"/>
    </w:pPr>
    <w:rPr>
      <w:rFonts w:ascii="Univers 45 Light" w:hAnsi="Univers 45 Light"/>
      <w:color w:val="00338D"/>
      <w:sz w:val="28"/>
    </w:rPr>
  </w:style>
  <w:style w:type="paragraph" w:customStyle="1" w:styleId="CVtitle">
    <w:name w:val="CV title"/>
    <w:qFormat/>
    <w:rsid w:val="0024699F"/>
    <w:pPr>
      <w:spacing w:line="240" w:lineRule="auto"/>
    </w:pPr>
    <w:rPr>
      <w:rFonts w:ascii="Univers 45 Light" w:hAnsi="Univers 45 Light"/>
      <w:color w:val="0091DA" w:themeColor="accent2"/>
      <w:sz w:val="24"/>
    </w:rPr>
  </w:style>
  <w:style w:type="paragraph" w:customStyle="1" w:styleId="CVdetail">
    <w:name w:val="CV detail"/>
    <w:qFormat/>
    <w:rsid w:val="008B1B1E"/>
    <w:pPr>
      <w:spacing w:before="120" w:after="0" w:line="240" w:lineRule="auto"/>
    </w:pPr>
    <w:rPr>
      <w:rFonts w:ascii="Univers 45 Light" w:hAnsi="Univers 45 Light"/>
      <w:color w:val="00338D"/>
      <w:sz w:val="20"/>
    </w:rPr>
  </w:style>
  <w:style w:type="paragraph" w:customStyle="1" w:styleId="CVheader">
    <w:name w:val="CV header"/>
    <w:qFormat/>
    <w:rsid w:val="004D0067"/>
    <w:pPr>
      <w:spacing w:before="240" w:after="120" w:line="240" w:lineRule="auto"/>
    </w:pPr>
    <w:rPr>
      <w:rFonts w:ascii="Univers 45 Light" w:hAnsi="Univers 45 Light"/>
      <w:b/>
      <w:color w:val="00338D"/>
      <w:sz w:val="20"/>
    </w:rPr>
  </w:style>
  <w:style w:type="paragraph" w:customStyle="1" w:styleId="CVtext">
    <w:name w:val="CV text"/>
    <w:qFormat/>
    <w:rsid w:val="0024699F"/>
    <w:pPr>
      <w:spacing w:before="120" w:after="120" w:line="280" w:lineRule="exact"/>
    </w:pPr>
    <w:rPr>
      <w:rFonts w:ascii="Univers 45 Light" w:hAnsi="Univers 45 Light"/>
      <w:sz w:val="20"/>
    </w:rPr>
  </w:style>
  <w:style w:type="character" w:customStyle="1" w:styleId="Heading4Char">
    <w:name w:val="Heading 4 Char"/>
    <w:basedOn w:val="DefaultParagraphFont"/>
    <w:link w:val="Heading4"/>
    <w:uiPriority w:val="9"/>
    <w:rsid w:val="00BA4108"/>
    <w:rPr>
      <w:rFonts w:ascii="Univers 45 Light" w:eastAsiaTheme="majorEastAsia" w:hAnsi="Univers 45 Light" w:cstheme="majorBidi"/>
      <w:b/>
      <w:iCs/>
      <w:color w:val="00338D" w:themeColor="background2"/>
      <w:sz w:val="24"/>
    </w:rPr>
  </w:style>
  <w:style w:type="character" w:customStyle="1" w:styleId="Heading5Char">
    <w:name w:val="Heading 5 Char"/>
    <w:basedOn w:val="DefaultParagraphFont"/>
    <w:link w:val="Heading5"/>
    <w:uiPriority w:val="9"/>
    <w:rsid w:val="00D65A2D"/>
    <w:rPr>
      <w:rFonts w:ascii="Univers 45 Light" w:hAnsi="Univers 45 Light"/>
      <w:b/>
    </w:rPr>
  </w:style>
  <w:style w:type="character" w:customStyle="1" w:styleId="Heading6Char">
    <w:name w:val="Heading 6 Char"/>
    <w:basedOn w:val="DefaultParagraphFont"/>
    <w:link w:val="Heading6"/>
    <w:uiPriority w:val="9"/>
    <w:rsid w:val="00B93B13"/>
    <w:rPr>
      <w:rFonts w:ascii="Univers 45 Light" w:hAnsi="Univers 45 Light"/>
      <w:i/>
      <w:color w:val="0091DA" w:themeColor="accent2"/>
      <w:sz w:val="20"/>
    </w:rPr>
  </w:style>
  <w:style w:type="paragraph" w:customStyle="1" w:styleId="Bullet1stlevel">
    <w:name w:val="Bullet 1st level"/>
    <w:basedOn w:val="BodyText1"/>
    <w:qFormat/>
    <w:rsid w:val="007316D0"/>
    <w:pPr>
      <w:numPr>
        <w:numId w:val="1"/>
      </w:numPr>
    </w:pPr>
  </w:style>
  <w:style w:type="paragraph" w:customStyle="1" w:styleId="Bullet2ndlevel">
    <w:name w:val="Bullet 2nd level"/>
    <w:basedOn w:val="BodyText1"/>
    <w:qFormat/>
    <w:rsid w:val="007316D0"/>
    <w:pPr>
      <w:numPr>
        <w:numId w:val="2"/>
      </w:numPr>
      <w:tabs>
        <w:tab w:val="clear" w:pos="340"/>
      </w:tabs>
      <w:spacing w:after="60"/>
      <w:ind w:left="709" w:hanging="284"/>
    </w:pPr>
  </w:style>
  <w:style w:type="paragraph" w:customStyle="1" w:styleId="Bullet3rdlevel">
    <w:name w:val="Bullet 3rd level"/>
    <w:basedOn w:val="BodyText1"/>
    <w:qFormat/>
    <w:rsid w:val="007316D0"/>
    <w:pPr>
      <w:numPr>
        <w:numId w:val="3"/>
      </w:numPr>
      <w:spacing w:before="40"/>
    </w:pPr>
  </w:style>
  <w:style w:type="paragraph" w:customStyle="1" w:styleId="Numberbullet1stlevel">
    <w:name w:val="Number bullet 1st level"/>
    <w:basedOn w:val="BodyText1"/>
    <w:qFormat/>
    <w:rsid w:val="00D65A2D"/>
    <w:pPr>
      <w:numPr>
        <w:numId w:val="4"/>
      </w:numPr>
      <w:ind w:left="357" w:hanging="357"/>
    </w:pPr>
  </w:style>
  <w:style w:type="paragraph" w:customStyle="1" w:styleId="Numberbullet2ndlevel">
    <w:name w:val="Number bullet 2nd level"/>
    <w:basedOn w:val="BodyText1"/>
    <w:qFormat/>
    <w:rsid w:val="00D65A2D"/>
    <w:pPr>
      <w:numPr>
        <w:numId w:val="5"/>
      </w:numPr>
      <w:tabs>
        <w:tab w:val="left" w:pos="714"/>
      </w:tabs>
      <w:ind w:left="714" w:hanging="357"/>
    </w:pPr>
  </w:style>
  <w:style w:type="paragraph" w:customStyle="1" w:styleId="CVbullet1">
    <w:name w:val="CV bullet 1"/>
    <w:basedOn w:val="BodyText1"/>
    <w:qFormat/>
    <w:rsid w:val="0024699F"/>
    <w:pPr>
      <w:numPr>
        <w:numId w:val="6"/>
      </w:numPr>
    </w:pPr>
  </w:style>
  <w:style w:type="paragraph" w:customStyle="1" w:styleId="CVbullet2">
    <w:name w:val="CV bullet 2"/>
    <w:basedOn w:val="BodyText1"/>
    <w:qFormat/>
    <w:rsid w:val="002360FF"/>
    <w:pPr>
      <w:numPr>
        <w:numId w:val="7"/>
      </w:numPr>
      <w:spacing w:before="40"/>
      <w:ind w:left="714" w:hanging="357"/>
    </w:pPr>
  </w:style>
  <w:style w:type="paragraph" w:customStyle="1" w:styleId="Heading2option2">
    <w:name w:val="Heading 2_option 2"/>
    <w:basedOn w:val="Heading2"/>
    <w:qFormat/>
    <w:rsid w:val="0024699F"/>
    <w:pPr>
      <w:spacing w:before="0" w:after="360"/>
    </w:pPr>
  </w:style>
  <w:style w:type="paragraph" w:customStyle="1" w:styleId="Heading1Option2">
    <w:name w:val="Heading 1_Option 2"/>
    <w:basedOn w:val="Heading1"/>
    <w:qFormat/>
    <w:rsid w:val="0024699F"/>
    <w:pPr>
      <w:spacing w:after="360"/>
    </w:pPr>
  </w:style>
  <w:style w:type="character" w:customStyle="1" w:styleId="White">
    <w:name w:val="White"/>
    <w:basedOn w:val="DefaultParagraphFont"/>
    <w:uiPriority w:val="1"/>
    <w:qFormat/>
    <w:rsid w:val="002D014E"/>
    <w:rPr>
      <w:color w:val="FFFFFF" w:themeColor="background1"/>
    </w:rPr>
  </w:style>
  <w:style w:type="paragraph" w:styleId="Quote">
    <w:name w:val="Quote"/>
    <w:basedOn w:val="Normal"/>
    <w:next w:val="Normal"/>
    <w:link w:val="QuoteChar"/>
    <w:uiPriority w:val="29"/>
    <w:qFormat/>
    <w:rsid w:val="00821FAB"/>
    <w:pPr>
      <w:spacing w:after="360" w:line="520" w:lineRule="exact"/>
    </w:pPr>
    <w:rPr>
      <w:rFonts w:ascii="KPMG Light" w:hAnsi="KPMG Light"/>
      <w:iCs/>
      <w:color w:val="005EB8" w:themeColor="accent1"/>
      <w:sz w:val="44"/>
    </w:rPr>
  </w:style>
  <w:style w:type="character" w:customStyle="1" w:styleId="QuoteChar">
    <w:name w:val="Quote Char"/>
    <w:basedOn w:val="DefaultParagraphFont"/>
    <w:link w:val="Quote"/>
    <w:uiPriority w:val="29"/>
    <w:rsid w:val="00821FAB"/>
    <w:rPr>
      <w:rFonts w:ascii="KPMG Light" w:hAnsi="KPMG Light"/>
      <w:iCs/>
      <w:color w:val="005EB8" w:themeColor="accent1"/>
      <w:sz w:val="44"/>
    </w:rPr>
  </w:style>
  <w:style w:type="paragraph" w:customStyle="1" w:styleId="Introduction">
    <w:name w:val="Introduction"/>
    <w:basedOn w:val="Quote"/>
    <w:qFormat/>
    <w:rsid w:val="00F455AD"/>
  </w:style>
  <w:style w:type="paragraph" w:customStyle="1" w:styleId="Letterhead">
    <w:name w:val="Letterhead"/>
    <w:rsid w:val="00826506"/>
    <w:pPr>
      <w:spacing w:after="0" w:line="160" w:lineRule="atLeast"/>
    </w:pPr>
    <w:rPr>
      <w:rFonts w:eastAsia="Batang" w:cs="Arial"/>
      <w:sz w:val="12"/>
      <w:szCs w:val="12"/>
      <w:lang w:val="en-GB" w:eastAsia="ko-KR"/>
    </w:rPr>
  </w:style>
  <w:style w:type="paragraph" w:customStyle="1" w:styleId="Letterheadaddress">
    <w:name w:val="Letterhead address"/>
    <w:basedOn w:val="BodyText1"/>
    <w:qFormat/>
    <w:rsid w:val="00903423"/>
    <w:pPr>
      <w:spacing w:before="20" w:after="20"/>
      <w:ind w:left="142"/>
    </w:pPr>
  </w:style>
  <w:style w:type="paragraph" w:customStyle="1" w:styleId="Contactus">
    <w:name w:val="Contact us"/>
    <w:basedOn w:val="BodyText1"/>
    <w:qFormat/>
    <w:rsid w:val="00CC7A82"/>
    <w:pPr>
      <w:ind w:left="426"/>
    </w:pPr>
    <w:rPr>
      <w:b/>
      <w:color w:val="FFFFFF" w:themeColor="background1"/>
      <w:sz w:val="24"/>
    </w:rPr>
  </w:style>
  <w:style w:type="paragraph" w:customStyle="1" w:styleId="backcoverdetails">
    <w:name w:val="back cover details"/>
    <w:basedOn w:val="BodyText1"/>
    <w:qFormat/>
    <w:rsid w:val="00CC7A82"/>
    <w:pPr>
      <w:spacing w:before="40" w:after="40"/>
      <w:ind w:left="425"/>
    </w:pPr>
    <w:rPr>
      <w:color w:val="FFFFFF" w:themeColor="background1"/>
    </w:rPr>
  </w:style>
  <w:style w:type="paragraph" w:styleId="IntenseQuote">
    <w:name w:val="Intense Quote"/>
    <w:basedOn w:val="Normal"/>
    <w:next w:val="Normal"/>
    <w:link w:val="IntenseQuoteChar"/>
    <w:uiPriority w:val="30"/>
    <w:qFormat/>
    <w:rsid w:val="00BA4108"/>
    <w:pPr>
      <w:pBdr>
        <w:top w:val="single" w:sz="4" w:space="10" w:color="005EB8" w:themeColor="accent1"/>
        <w:bottom w:val="single" w:sz="4" w:space="10" w:color="005EB8" w:themeColor="accent1"/>
      </w:pBdr>
      <w:spacing w:before="360" w:after="360"/>
    </w:pPr>
    <w:rPr>
      <w:i/>
      <w:iCs/>
      <w:color w:val="005EB8" w:themeColor="accent1"/>
    </w:rPr>
  </w:style>
  <w:style w:type="character" w:customStyle="1" w:styleId="IntenseQuoteChar">
    <w:name w:val="Intense Quote Char"/>
    <w:basedOn w:val="DefaultParagraphFont"/>
    <w:link w:val="IntenseQuote"/>
    <w:uiPriority w:val="30"/>
    <w:rsid w:val="00BA4108"/>
    <w:rPr>
      <w:rFonts w:ascii="Univers 45 Light" w:hAnsi="Univers 45 Light"/>
      <w:i/>
      <w:iCs/>
      <w:color w:val="005EB8" w:themeColor="accent1"/>
    </w:rPr>
  </w:style>
  <w:style w:type="character" w:styleId="SubtleReference">
    <w:name w:val="Subtle Reference"/>
    <w:basedOn w:val="DefaultParagraphFont"/>
    <w:uiPriority w:val="31"/>
    <w:qFormat/>
    <w:rsid w:val="00BA4108"/>
    <w:rPr>
      <w:rFonts w:ascii="KPMG Light" w:hAnsi="KPMG Light"/>
      <w:smallCaps/>
      <w:color w:val="5A5A5A" w:themeColor="text1" w:themeTint="A5"/>
      <w:sz w:val="44"/>
    </w:rPr>
  </w:style>
  <w:style w:type="character" w:styleId="IntenseReference">
    <w:name w:val="Intense Reference"/>
    <w:basedOn w:val="DefaultParagraphFont"/>
    <w:uiPriority w:val="32"/>
    <w:qFormat/>
    <w:rsid w:val="00BA4108"/>
    <w:rPr>
      <w:rFonts w:ascii="KPMG Light" w:hAnsi="KPMG Light"/>
      <w:b/>
      <w:bCs/>
      <w:smallCaps/>
      <w:color w:val="005EB8" w:themeColor="accent1"/>
      <w:spacing w:val="5"/>
      <w:sz w:val="44"/>
    </w:rPr>
  </w:style>
  <w:style w:type="paragraph" w:customStyle="1" w:styleId="Default">
    <w:name w:val="Default"/>
    <w:rsid w:val="0041324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IntroPara">
    <w:name w:val="IntroPara"/>
    <w:basedOn w:val="Heading2"/>
    <w:qFormat/>
    <w:rsid w:val="00AE5C4A"/>
    <w:pPr>
      <w:numPr>
        <w:ilvl w:val="0"/>
        <w:numId w:val="0"/>
      </w:numPr>
    </w:pPr>
    <w:rPr>
      <w:rFonts w:eastAsiaTheme="minorHAnsi"/>
    </w:rPr>
  </w:style>
  <w:style w:type="character" w:customStyle="1" w:styleId="Heading7Char">
    <w:name w:val="Heading 7 Char"/>
    <w:basedOn w:val="DefaultParagraphFont"/>
    <w:link w:val="Heading7"/>
    <w:uiPriority w:val="9"/>
    <w:semiHidden/>
    <w:rsid w:val="00AE5C4A"/>
    <w:rPr>
      <w:rFonts w:asciiTheme="majorHAnsi" w:eastAsiaTheme="majorEastAsia" w:hAnsiTheme="majorHAnsi" w:cstheme="majorBidi"/>
      <w:i/>
      <w:iCs/>
      <w:color w:val="002E5B" w:themeColor="accent1" w:themeShade="7F"/>
      <w:sz w:val="20"/>
    </w:rPr>
  </w:style>
  <w:style w:type="character" w:customStyle="1" w:styleId="Heading9Char">
    <w:name w:val="Heading 9 Char"/>
    <w:basedOn w:val="DefaultParagraphFont"/>
    <w:link w:val="Heading9"/>
    <w:uiPriority w:val="9"/>
    <w:semiHidden/>
    <w:rsid w:val="00AE5C4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AE5C4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AE5C4A"/>
    <w:rPr>
      <w:sz w:val="16"/>
      <w:szCs w:val="16"/>
    </w:rPr>
  </w:style>
  <w:style w:type="paragraph" w:styleId="CommentText">
    <w:name w:val="annotation text"/>
    <w:basedOn w:val="Normal"/>
    <w:link w:val="CommentTextChar"/>
    <w:uiPriority w:val="99"/>
    <w:unhideWhenUsed/>
    <w:rsid w:val="00AE5C4A"/>
    <w:rPr>
      <w:szCs w:val="20"/>
    </w:rPr>
  </w:style>
  <w:style w:type="character" w:customStyle="1" w:styleId="CommentTextChar">
    <w:name w:val="Comment Text Char"/>
    <w:basedOn w:val="DefaultParagraphFont"/>
    <w:link w:val="CommentText"/>
    <w:uiPriority w:val="99"/>
    <w:rsid w:val="00AE5C4A"/>
    <w:rPr>
      <w:sz w:val="20"/>
      <w:szCs w:val="20"/>
    </w:rPr>
  </w:style>
  <w:style w:type="paragraph" w:styleId="CommentSubject">
    <w:name w:val="annotation subject"/>
    <w:basedOn w:val="CommentText"/>
    <w:next w:val="CommentText"/>
    <w:link w:val="CommentSubjectChar"/>
    <w:uiPriority w:val="99"/>
    <w:semiHidden/>
    <w:unhideWhenUsed/>
    <w:rsid w:val="00AE5C4A"/>
    <w:rPr>
      <w:b/>
      <w:bCs/>
    </w:rPr>
  </w:style>
  <w:style w:type="character" w:customStyle="1" w:styleId="CommentSubjectChar">
    <w:name w:val="Comment Subject Char"/>
    <w:basedOn w:val="CommentTextChar"/>
    <w:link w:val="CommentSubject"/>
    <w:uiPriority w:val="99"/>
    <w:semiHidden/>
    <w:rsid w:val="00AE5C4A"/>
    <w:rPr>
      <w:b/>
      <w:bCs/>
      <w:sz w:val="20"/>
      <w:szCs w:val="20"/>
    </w:rPr>
  </w:style>
  <w:style w:type="paragraph" w:styleId="BalloonText">
    <w:name w:val="Balloon Text"/>
    <w:basedOn w:val="Normal"/>
    <w:link w:val="BalloonTextChar"/>
    <w:uiPriority w:val="99"/>
    <w:semiHidden/>
    <w:unhideWhenUsed/>
    <w:rsid w:val="00AE5C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C4A"/>
    <w:rPr>
      <w:rFonts w:ascii="Segoe UI" w:hAnsi="Segoe UI" w:cs="Segoe UI"/>
      <w:sz w:val="18"/>
      <w:szCs w:val="18"/>
    </w:rPr>
  </w:style>
  <w:style w:type="paragraph" w:customStyle="1" w:styleId="HeadingLevel1NoNumber">
    <w:name w:val="HeadingLevel1NoNumber"/>
    <w:basedOn w:val="Heading1"/>
    <w:next w:val="BodyText"/>
    <w:qFormat/>
    <w:rsid w:val="002F7C0C"/>
    <w:pPr>
      <w:numPr>
        <w:numId w:val="0"/>
      </w:numPr>
    </w:pPr>
  </w:style>
  <w:style w:type="paragraph" w:customStyle="1" w:styleId="HeadingLevel2NoNumber">
    <w:name w:val="HeadingLevel2NoNumber"/>
    <w:basedOn w:val="Heading2"/>
    <w:next w:val="BodyText"/>
    <w:qFormat/>
    <w:rsid w:val="002F7C0C"/>
    <w:pPr>
      <w:numPr>
        <w:ilvl w:val="0"/>
        <w:numId w:val="0"/>
      </w:numPr>
    </w:pPr>
  </w:style>
  <w:style w:type="paragraph" w:customStyle="1" w:styleId="HeadingLevel3NoNumber">
    <w:name w:val="HeadingLevel3NoNumber"/>
    <w:basedOn w:val="Heading3"/>
    <w:next w:val="BodyText"/>
    <w:qFormat/>
    <w:rsid w:val="002F7C0C"/>
    <w:pPr>
      <w:numPr>
        <w:ilvl w:val="0"/>
        <w:numId w:val="0"/>
      </w:numPr>
    </w:pPr>
    <w:rPr>
      <w:sz w:val="28"/>
    </w:rPr>
  </w:style>
  <w:style w:type="paragraph" w:customStyle="1" w:styleId="HeadingLevel4NoNumber">
    <w:name w:val="HeadingLevel4NoNumber"/>
    <w:basedOn w:val="Heading4"/>
    <w:next w:val="BodyText"/>
    <w:qFormat/>
    <w:rsid w:val="00DE5795"/>
    <w:pPr>
      <w:numPr>
        <w:ilvl w:val="0"/>
        <w:numId w:val="0"/>
      </w:numPr>
    </w:pPr>
  </w:style>
  <w:style w:type="paragraph" w:styleId="ListBullet">
    <w:name w:val="List Bullet"/>
    <w:basedOn w:val="Normal"/>
    <w:uiPriority w:val="99"/>
    <w:unhideWhenUsed/>
    <w:rsid w:val="00AE5C4A"/>
    <w:pPr>
      <w:numPr>
        <w:numId w:val="8"/>
      </w:numPr>
      <w:tabs>
        <w:tab w:val="clear" w:pos="340"/>
        <w:tab w:val="left" w:pos="357"/>
      </w:tabs>
      <w:ind w:left="357" w:hanging="357"/>
      <w:contextualSpacing/>
    </w:pPr>
  </w:style>
  <w:style w:type="paragraph" w:styleId="ListBullet2">
    <w:name w:val="List Bullet 2"/>
    <w:basedOn w:val="Normal"/>
    <w:uiPriority w:val="99"/>
    <w:unhideWhenUsed/>
    <w:rsid w:val="00D65A2D"/>
    <w:pPr>
      <w:numPr>
        <w:numId w:val="9"/>
      </w:numPr>
      <w:tabs>
        <w:tab w:val="clear" w:pos="697"/>
        <w:tab w:val="left" w:pos="714"/>
      </w:tabs>
      <w:contextualSpacing/>
    </w:pPr>
  </w:style>
  <w:style w:type="paragraph" w:styleId="ListBullet3">
    <w:name w:val="List Bullet 3"/>
    <w:basedOn w:val="Normal"/>
    <w:uiPriority w:val="99"/>
    <w:unhideWhenUsed/>
    <w:rsid w:val="00D65A2D"/>
    <w:pPr>
      <w:numPr>
        <w:numId w:val="10"/>
      </w:numPr>
      <w:tabs>
        <w:tab w:val="clear" w:pos="926"/>
        <w:tab w:val="num" w:pos="1072"/>
      </w:tabs>
      <w:ind w:left="1071" w:hanging="357"/>
      <w:contextualSpacing/>
    </w:pPr>
  </w:style>
  <w:style w:type="paragraph" w:customStyle="1" w:styleId="TableBullet1">
    <w:name w:val="TableBullet1"/>
    <w:basedOn w:val="ListBullet"/>
    <w:qFormat/>
    <w:rsid w:val="00D65A2D"/>
    <w:pPr>
      <w:spacing w:before="40" w:after="40"/>
    </w:pPr>
  </w:style>
  <w:style w:type="paragraph" w:customStyle="1" w:styleId="Tablebullet2">
    <w:name w:val="Tablebullet2"/>
    <w:basedOn w:val="ListBullet2"/>
    <w:qFormat/>
    <w:rsid w:val="00D65A2D"/>
    <w:pPr>
      <w:spacing w:before="40" w:after="40"/>
    </w:pPr>
  </w:style>
  <w:style w:type="paragraph" w:customStyle="1" w:styleId="Appendixheading">
    <w:name w:val="Appendix heading"/>
    <w:next w:val="BodyText0"/>
    <w:uiPriority w:val="2"/>
    <w:qFormat/>
    <w:rsid w:val="00DE5795"/>
    <w:pPr>
      <w:keepNext/>
      <w:keepLines/>
      <w:pageBreakBefore/>
      <w:numPr>
        <w:numId w:val="12"/>
      </w:numPr>
      <w:spacing w:before="240" w:after="240" w:line="240" w:lineRule="auto"/>
      <w:ind w:left="0"/>
      <w:outlineLvl w:val="0"/>
    </w:pPr>
    <w:rPr>
      <w:rFonts w:ascii="Arial" w:eastAsia="Times New Roman" w:hAnsi="Arial" w:cs="Times New Roman"/>
      <w:color w:val="00338D"/>
      <w:sz w:val="72"/>
      <w:szCs w:val="18"/>
    </w:rPr>
  </w:style>
  <w:style w:type="paragraph" w:customStyle="1" w:styleId="AppendixHeading2">
    <w:name w:val="Appendix Heading 2"/>
    <w:basedOn w:val="Heading2"/>
    <w:next w:val="BodyText"/>
    <w:rsid w:val="00181551"/>
    <w:pPr>
      <w:keepLines w:val="0"/>
      <w:numPr>
        <w:numId w:val="12"/>
      </w:numPr>
      <w:tabs>
        <w:tab w:val="left" w:pos="964"/>
      </w:tabs>
      <w:spacing w:after="120"/>
      <w:jc w:val="both"/>
    </w:pPr>
    <w:rPr>
      <w:rFonts w:ascii="Univers 45 Light" w:eastAsia="Times New Roman" w:hAnsi="Univers 45 Light" w:cs="Times New Roman"/>
      <w:b/>
      <w:sz w:val="28"/>
      <w:szCs w:val="20"/>
    </w:rPr>
  </w:style>
  <w:style w:type="paragraph" w:customStyle="1" w:styleId="AppendixHeading3">
    <w:name w:val="Appendix Heading 3"/>
    <w:basedOn w:val="Heading3"/>
    <w:next w:val="BodyText"/>
    <w:rsid w:val="00181551"/>
    <w:pPr>
      <w:keepLines w:val="0"/>
      <w:numPr>
        <w:numId w:val="12"/>
      </w:numPr>
      <w:tabs>
        <w:tab w:val="left" w:pos="357"/>
      </w:tabs>
      <w:spacing w:before="240" w:after="120"/>
      <w:jc w:val="both"/>
    </w:pPr>
    <w:rPr>
      <w:rFonts w:eastAsia="Times New Roman" w:cs="Times New Roman"/>
      <w:b/>
      <w:color w:val="00338D"/>
      <w:sz w:val="24"/>
      <w:szCs w:val="20"/>
    </w:rPr>
  </w:style>
  <w:style w:type="paragraph" w:customStyle="1" w:styleId="AppendixHeading4">
    <w:name w:val="Appendix Heading 4"/>
    <w:basedOn w:val="Heading4"/>
    <w:next w:val="BodyText"/>
    <w:rsid w:val="00181551"/>
    <w:pPr>
      <w:keepLines w:val="0"/>
      <w:numPr>
        <w:numId w:val="12"/>
      </w:numPr>
      <w:tabs>
        <w:tab w:val="left" w:pos="964"/>
      </w:tabs>
      <w:spacing w:before="240" w:after="120"/>
      <w:jc w:val="both"/>
    </w:pPr>
    <w:rPr>
      <w:rFonts w:eastAsia="Times New Roman" w:cs="Times New Roman"/>
      <w:iCs w:val="0"/>
      <w:color w:val="00338D"/>
      <w:sz w:val="22"/>
      <w:szCs w:val="20"/>
    </w:rPr>
  </w:style>
  <w:style w:type="paragraph" w:styleId="TOC2">
    <w:name w:val="toc 2"/>
    <w:basedOn w:val="Normal"/>
    <w:next w:val="Normal"/>
    <w:autoRedefine/>
    <w:uiPriority w:val="39"/>
    <w:unhideWhenUsed/>
    <w:rsid w:val="00E02C03"/>
    <w:pPr>
      <w:tabs>
        <w:tab w:val="left" w:pos="993"/>
        <w:tab w:val="right" w:pos="8505"/>
      </w:tabs>
      <w:spacing w:after="100"/>
      <w:ind w:left="993" w:hanging="426"/>
    </w:pPr>
    <w:rPr>
      <w:noProof/>
    </w:rPr>
  </w:style>
  <w:style w:type="paragraph" w:customStyle="1" w:styleId="BodyText0">
    <w:name w:val="BodyText"/>
    <w:basedOn w:val="Normal"/>
    <w:link w:val="BodyTextChar0"/>
    <w:rsid w:val="00860A83"/>
    <w:pPr>
      <w:spacing w:before="0" w:after="130"/>
    </w:pPr>
    <w:rPr>
      <w:rFonts w:eastAsia="Times New Roman" w:cs="Times New Roman"/>
      <w:sz w:val="22"/>
      <w:szCs w:val="20"/>
    </w:rPr>
  </w:style>
  <w:style w:type="character" w:customStyle="1" w:styleId="BodyTextChar0">
    <w:name w:val="BodyText Char"/>
    <w:basedOn w:val="DefaultParagraphFont"/>
    <w:link w:val="BodyText0"/>
    <w:rsid w:val="00860A83"/>
    <w:rPr>
      <w:rFonts w:ascii="Univers 45 Light" w:eastAsia="Times New Roman" w:hAnsi="Univers 45 Light" w:cs="Times New Roman"/>
      <w:szCs w:val="20"/>
    </w:rPr>
  </w:style>
  <w:style w:type="paragraph" w:styleId="Caption">
    <w:name w:val="caption"/>
    <w:basedOn w:val="Normal"/>
    <w:next w:val="Normal"/>
    <w:autoRedefine/>
    <w:uiPriority w:val="35"/>
    <w:unhideWhenUsed/>
    <w:qFormat/>
    <w:rsid w:val="002F7C0C"/>
    <w:pPr>
      <w:keepNext/>
      <w:spacing w:before="0" w:after="60"/>
    </w:pPr>
    <w:rPr>
      <w:i/>
      <w:iCs/>
      <w:color w:val="44546A" w:themeColor="text2"/>
      <w:sz w:val="18"/>
      <w:szCs w:val="18"/>
    </w:rPr>
  </w:style>
  <w:style w:type="paragraph" w:styleId="FootnoteText">
    <w:name w:val="footnote text"/>
    <w:basedOn w:val="Normal"/>
    <w:link w:val="FootnoteTextChar"/>
    <w:uiPriority w:val="49"/>
    <w:unhideWhenUsed/>
    <w:rsid w:val="00DE5795"/>
    <w:pPr>
      <w:spacing w:before="0" w:after="0"/>
    </w:pPr>
    <w:rPr>
      <w:sz w:val="18"/>
      <w:szCs w:val="20"/>
      <w:lang w:val="en-GB"/>
    </w:rPr>
  </w:style>
  <w:style w:type="character" w:customStyle="1" w:styleId="FootnoteTextChar">
    <w:name w:val="Footnote Text Char"/>
    <w:basedOn w:val="DefaultParagraphFont"/>
    <w:link w:val="FootnoteText"/>
    <w:uiPriority w:val="49"/>
    <w:rsid w:val="00DE5795"/>
    <w:rPr>
      <w:rFonts w:ascii="Arial" w:hAnsi="Arial"/>
      <w:sz w:val="18"/>
      <w:szCs w:val="20"/>
      <w:lang w:val="en-GB"/>
    </w:rPr>
  </w:style>
  <w:style w:type="character" w:styleId="FootnoteReference">
    <w:name w:val="footnote reference"/>
    <w:basedOn w:val="DefaultParagraphFont"/>
    <w:uiPriority w:val="99"/>
    <w:unhideWhenUsed/>
    <w:rsid w:val="00E440C1"/>
    <w:rPr>
      <w:vertAlign w:val="superscript"/>
    </w:rPr>
  </w:style>
  <w:style w:type="paragraph" w:styleId="ListParagraph">
    <w:name w:val="List Paragraph"/>
    <w:basedOn w:val="Normal"/>
    <w:uiPriority w:val="34"/>
    <w:qFormat/>
    <w:rsid w:val="00A12B5A"/>
    <w:pPr>
      <w:spacing w:before="0" w:after="0"/>
      <w:ind w:left="720"/>
      <w:contextualSpacing/>
    </w:pPr>
    <w:rPr>
      <w:rFonts w:ascii="Times New Roman" w:eastAsia="Times New Roman" w:hAnsi="Times New Roman" w:cs="Times New Roman"/>
      <w:sz w:val="24"/>
      <w:szCs w:val="24"/>
      <w:lang w:eastAsia="en-AU"/>
    </w:rPr>
  </w:style>
  <w:style w:type="table" w:customStyle="1" w:styleId="GridTable1Light-Accent11">
    <w:name w:val="Grid Table 1 Light - Accent 11"/>
    <w:basedOn w:val="TableNormal"/>
    <w:next w:val="GridTable1Light-Accent1"/>
    <w:uiPriority w:val="46"/>
    <w:rsid w:val="00A12B5A"/>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12B5A"/>
    <w:pPr>
      <w:spacing w:after="0" w:line="240" w:lineRule="auto"/>
    </w:pPr>
    <w:tblPr>
      <w:tblStyleRowBandSize w:val="1"/>
      <w:tblStyleColBandSize w:val="1"/>
      <w:tblBorders>
        <w:top w:val="single" w:sz="4" w:space="0" w:color="7CBEFF" w:themeColor="accent1" w:themeTint="66"/>
        <w:left w:val="single" w:sz="4" w:space="0" w:color="7CBEFF" w:themeColor="accent1" w:themeTint="66"/>
        <w:bottom w:val="single" w:sz="4" w:space="0" w:color="7CBEFF" w:themeColor="accent1" w:themeTint="66"/>
        <w:right w:val="single" w:sz="4" w:space="0" w:color="7CBEFF" w:themeColor="accent1" w:themeTint="66"/>
        <w:insideH w:val="single" w:sz="4" w:space="0" w:color="7CBEFF" w:themeColor="accent1" w:themeTint="66"/>
        <w:insideV w:val="single" w:sz="4" w:space="0" w:color="7CBEFF" w:themeColor="accent1" w:themeTint="66"/>
      </w:tblBorders>
    </w:tblPr>
    <w:tblStylePr w:type="firstRow">
      <w:rPr>
        <w:b/>
        <w:bCs/>
      </w:rPr>
      <w:tblPr/>
      <w:tcPr>
        <w:tcBorders>
          <w:bottom w:val="single" w:sz="12" w:space="0" w:color="3B9FFF" w:themeColor="accent1" w:themeTint="99"/>
        </w:tcBorders>
      </w:tcPr>
    </w:tblStylePr>
    <w:tblStylePr w:type="lastRow">
      <w:rPr>
        <w:b/>
        <w:bCs/>
      </w:rPr>
      <w:tblPr/>
      <w:tcPr>
        <w:tcBorders>
          <w:top w:val="double" w:sz="2" w:space="0" w:color="3B9FFF"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12B5A"/>
    <w:pPr>
      <w:spacing w:before="100" w:beforeAutospacing="1" w:after="100" w:afterAutospacing="1"/>
    </w:pPr>
    <w:rPr>
      <w:rFonts w:ascii="Times New Roman" w:eastAsiaTheme="minorEastAsia" w:hAnsi="Times New Roman" w:cs="Times New Roman"/>
      <w:sz w:val="24"/>
      <w:szCs w:val="24"/>
      <w:lang w:eastAsia="en-AU"/>
    </w:rPr>
  </w:style>
  <w:style w:type="table" w:customStyle="1" w:styleId="McLLTableGeneralText2">
    <w:name w:val="McLL Table General Text2"/>
    <w:basedOn w:val="TableNormal"/>
    <w:next w:val="TableGrid"/>
    <w:uiPriority w:val="39"/>
    <w:rsid w:val="00FC1858"/>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0AAE"/>
  </w:style>
  <w:style w:type="paragraph" w:styleId="Revision">
    <w:name w:val="Revision"/>
    <w:hidden/>
    <w:uiPriority w:val="99"/>
    <w:semiHidden/>
    <w:rsid w:val="00BC5653"/>
    <w:pPr>
      <w:spacing w:after="0" w:line="240" w:lineRule="auto"/>
    </w:pPr>
    <w:rPr>
      <w:rFonts w:ascii="Univers 45 Light" w:hAnsi="Univers 45 Light"/>
      <w:sz w:val="20"/>
    </w:rPr>
  </w:style>
  <w:style w:type="paragraph" w:customStyle="1" w:styleId="Tableheading">
    <w:name w:val="Table heading"/>
    <w:qFormat/>
    <w:rsid w:val="000F0B3D"/>
    <w:pPr>
      <w:spacing w:before="120" w:after="120" w:line="240" w:lineRule="auto"/>
    </w:pPr>
    <w:rPr>
      <w:rFonts w:ascii="Univers 45 Light" w:hAnsi="Univers 45 Light"/>
      <w:b/>
      <w:color w:val="00338D"/>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49447">
      <w:bodyDiv w:val="1"/>
      <w:marLeft w:val="0"/>
      <w:marRight w:val="0"/>
      <w:marTop w:val="0"/>
      <w:marBottom w:val="0"/>
      <w:divBdr>
        <w:top w:val="none" w:sz="0" w:space="0" w:color="auto"/>
        <w:left w:val="none" w:sz="0" w:space="0" w:color="auto"/>
        <w:bottom w:val="none" w:sz="0" w:space="0" w:color="auto"/>
        <w:right w:val="none" w:sz="0" w:space="0" w:color="auto"/>
      </w:divBdr>
    </w:div>
    <w:div w:id="1059553227">
      <w:bodyDiv w:val="1"/>
      <w:marLeft w:val="0"/>
      <w:marRight w:val="0"/>
      <w:marTop w:val="0"/>
      <w:marBottom w:val="0"/>
      <w:divBdr>
        <w:top w:val="none" w:sz="0" w:space="0" w:color="auto"/>
        <w:left w:val="none" w:sz="0" w:space="0" w:color="auto"/>
        <w:bottom w:val="none" w:sz="0" w:space="0" w:color="auto"/>
        <w:right w:val="none" w:sz="0" w:space="0" w:color="auto"/>
      </w:divBdr>
    </w:div>
    <w:div w:id="1117260601">
      <w:bodyDiv w:val="1"/>
      <w:marLeft w:val="0"/>
      <w:marRight w:val="0"/>
      <w:marTop w:val="0"/>
      <w:marBottom w:val="0"/>
      <w:divBdr>
        <w:top w:val="none" w:sz="0" w:space="0" w:color="auto"/>
        <w:left w:val="none" w:sz="0" w:space="0" w:color="auto"/>
        <w:bottom w:val="none" w:sz="0" w:space="0" w:color="auto"/>
        <w:right w:val="none" w:sz="0" w:space="0" w:color="auto"/>
      </w:divBdr>
    </w:div>
    <w:div w:id="1366977024">
      <w:bodyDiv w:val="1"/>
      <w:marLeft w:val="0"/>
      <w:marRight w:val="0"/>
      <w:marTop w:val="0"/>
      <w:marBottom w:val="0"/>
      <w:divBdr>
        <w:top w:val="none" w:sz="0" w:space="0" w:color="auto"/>
        <w:left w:val="none" w:sz="0" w:space="0" w:color="auto"/>
        <w:bottom w:val="none" w:sz="0" w:space="0" w:color="auto"/>
        <w:right w:val="none" w:sz="0" w:space="0" w:color="auto"/>
      </w:divBdr>
    </w:div>
    <w:div w:id="195397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6.png"/><Relationship Id="rId21" Type="http://schemas.openxmlformats.org/officeDocument/2006/relationships/chart" Target="charts/chart1.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11.xml"/><Relationship Id="rId53"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header" Target="header10.xml"/><Relationship Id="rId52"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5.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ageuk.org.uk/globalassets/age-uk/documents/factsheets/fs76_intermediate_care_and_reablement_fcs.pdf" TargetMode="External"/><Relationship Id="rId13" Type="http://schemas.openxmlformats.org/officeDocument/2006/relationships/hyperlink" Target="https://www.kcl.ac.uk/nursing/departments/cicelysaunders/resources/tools/fimfam.aspx" TargetMode="External"/><Relationship Id="rId3" Type="http://schemas.openxmlformats.org/officeDocument/2006/relationships/hyperlink" Target="https://ahsri.uow.edu.au/aroc/dataset/index.html" TargetMode="External"/><Relationship Id="rId7" Type="http://schemas.openxmlformats.org/officeDocument/2006/relationships/hyperlink" Target="https://www.kcl.ac.uk/nursing/departments/cicelysaunders/resources/tools/fimfam.aspx" TargetMode="External"/><Relationship Id="rId12" Type="http://schemas.openxmlformats.org/officeDocument/2006/relationships/hyperlink" Target="https://ahsri.uow.edu.au/aroc/training/index.html" TargetMode="External"/><Relationship Id="rId2" Type="http://schemas.openxmlformats.org/officeDocument/2006/relationships/hyperlink" Target="https://www.myagedcare.gov.au/after-hospital-care-transition-care" TargetMode="External"/><Relationship Id="rId1" Type="http://schemas.openxmlformats.org/officeDocument/2006/relationships/hyperlink" Target="https://www.aihw.gov.au/reports/aged-care/older-people-leaving-hospital-2009-10-2010-11/contents/summary" TargetMode="External"/><Relationship Id="rId6" Type="http://schemas.openxmlformats.org/officeDocument/2006/relationships/hyperlink" Target="https://ahsri.uow.edu.au/aroc/training/index.html" TargetMode="External"/><Relationship Id="rId11" Type="http://schemas.openxmlformats.org/officeDocument/2006/relationships/hyperlink" Target="http://www.tbims.org/FAM/index.html" TargetMode="External"/><Relationship Id="rId5" Type="http://schemas.openxmlformats.org/officeDocument/2006/relationships/hyperlink" Target="http://www.tbims.org/FAM/index.html" TargetMode="External"/><Relationship Id="rId10" Type="http://schemas.openxmlformats.org/officeDocument/2006/relationships/hyperlink" Target="https://instruct.uwo.ca/kinesiology/9641/Assessments/Biological/Mod_Barthel.html" TargetMode="External"/><Relationship Id="rId4" Type="http://schemas.openxmlformats.org/officeDocument/2006/relationships/hyperlink" Target="https://instruct.uwo.ca/kinesiology/9641/Assessments/Biological/Mod_Barthel.html" TargetMode="External"/><Relationship Id="rId9" Type="http://schemas.openxmlformats.org/officeDocument/2006/relationships/hyperlink" Target="https://instruct.uwo.ca/kinesiology/9641/Assessments/Biological/Mod_Barthel.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ds\6\slesh\Desktop\Projects\TCP\Data\5610%20-%20I%20-%20Average%20length%20of%20stay%20in%20TCP--LS%20edits--v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050" b="0" i="1" u="none" strike="noStrike" kern="1200" spc="0" baseline="0">
                <a:solidFill>
                  <a:srgbClr val="000000"/>
                </a:solidFill>
                <a:latin typeface="Univers 45 Light" pitchFamily="2" charset="0"/>
                <a:ea typeface="Arial"/>
                <a:cs typeface="Arial"/>
              </a:defRPr>
            </a:pPr>
            <a:r>
              <a:rPr lang="en-GB" sz="1050" i="1"/>
              <a:t>Average length of stay (care days)</a:t>
            </a:r>
          </a:p>
        </c:rich>
      </c:tx>
      <c:layout>
        <c:manualLayout>
          <c:xMode val="edge"/>
          <c:yMode val="edge"/>
          <c:x val="0.32157537373045764"/>
          <c:y val="4.1399198656749896E-2"/>
        </c:manualLayout>
      </c:layout>
      <c:overlay val="0"/>
      <c:spPr>
        <a:noFill/>
        <a:ln>
          <a:noFill/>
        </a:ln>
        <a:effectLst/>
      </c:spPr>
      <c:txPr>
        <a:bodyPr rot="0" spcFirstLastPara="1" vertOverflow="ellipsis" vert="horz" wrap="square" anchor="ctr" anchorCtr="1"/>
        <a:lstStyle/>
        <a:p>
          <a:pPr algn="l">
            <a:defRPr sz="1050" b="0" i="1" u="none" strike="noStrike" kern="1200" spc="0" baseline="0">
              <a:solidFill>
                <a:srgbClr val="000000"/>
              </a:solidFill>
              <a:latin typeface="Univers 45 Light" pitchFamily="2" charset="0"/>
              <a:ea typeface="Arial"/>
              <a:cs typeface="Arial"/>
            </a:defRPr>
          </a:pPr>
          <a:endParaRPr lang="en-US"/>
        </a:p>
      </c:txPr>
    </c:title>
    <c:autoTitleDeleted val="0"/>
    <c:plotArea>
      <c:layout>
        <c:manualLayout>
          <c:layoutTarget val="inner"/>
          <c:xMode val="edge"/>
          <c:yMode val="edge"/>
          <c:x val="0.10432587468176301"/>
          <c:y val="0.13101480425183074"/>
          <c:w val="0.85800489127126522"/>
          <c:h val="0.73934535356993414"/>
        </c:manualLayout>
      </c:layout>
      <c:barChart>
        <c:barDir val="col"/>
        <c:grouping val="clustered"/>
        <c:varyColors val="0"/>
        <c:ser>
          <c:idx val="0"/>
          <c:order val="0"/>
          <c:tx>
            <c:strRef>
              <c:f>'Average Length of Stay by Age'!$F$185</c:f>
              <c:strCache>
                <c:ptCount val="1"/>
                <c:pt idx="0">
                  <c:v>Average</c:v>
                </c:pt>
              </c:strCache>
            </c:strRef>
          </c:tx>
          <c:spPr>
            <a:solidFill>
              <a:srgbClr val="00338D"/>
            </a:solidFill>
            <a:ln w="3175">
              <a:solidFill>
                <a:srgbClr val="FFFFFF"/>
              </a:solidFill>
              <a:prstDash val="solid"/>
            </a:ln>
            <a:effectLst/>
          </c:spPr>
          <c:invertIfNegative val="0"/>
          <c:cat>
            <c:strRef>
              <c:f>'Average Length of Stay by Age'!$E$186:$E$198</c:f>
              <c:strCache>
                <c:ptCount val="13"/>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strCache>
            </c:strRef>
          </c:cat>
          <c:val>
            <c:numRef>
              <c:f>'Average Length of Stay by Age'!$F$186:$F$198</c:f>
              <c:numCache>
                <c:formatCode>#,##0</c:formatCode>
                <c:ptCount val="13"/>
                <c:pt idx="0">
                  <c:v>43.447916666666003</c:v>
                </c:pt>
                <c:pt idx="1">
                  <c:v>48.872990777338003</c:v>
                </c:pt>
                <c:pt idx="2">
                  <c:v>51.065341372005001</c:v>
                </c:pt>
                <c:pt idx="3">
                  <c:v>52.451774691357997</c:v>
                </c:pt>
                <c:pt idx="4">
                  <c:v>53.890176600441002</c:v>
                </c:pt>
                <c:pt idx="5">
                  <c:v>54.106693055054997</c:v>
                </c:pt>
                <c:pt idx="6">
                  <c:v>54.512338775814001</c:v>
                </c:pt>
                <c:pt idx="7">
                  <c:v>53.961569579288003</c:v>
                </c:pt>
                <c:pt idx="8">
                  <c:v>53.381716906945996</c:v>
                </c:pt>
                <c:pt idx="9">
                  <c:v>53.061443433028998</c:v>
                </c:pt>
                <c:pt idx="10">
                  <c:v>53.646317764523999</c:v>
                </c:pt>
                <c:pt idx="11">
                  <c:v>52.929852320675003</c:v>
                </c:pt>
                <c:pt idx="12">
                  <c:v>53.316779431664003</c:v>
                </c:pt>
              </c:numCache>
            </c:numRef>
          </c:val>
        </c:ser>
        <c:dLbls>
          <c:showLegendKey val="0"/>
          <c:showVal val="0"/>
          <c:showCatName val="0"/>
          <c:showSerName val="0"/>
          <c:showPercent val="0"/>
          <c:showBubbleSize val="0"/>
        </c:dLbls>
        <c:gapWidth val="40"/>
        <c:axId val="979037232"/>
        <c:axId val="979032920"/>
      </c:barChart>
      <c:catAx>
        <c:axId val="979037232"/>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30" b="0" i="0" u="none" strike="noStrike" kern="1200" baseline="0">
                <a:solidFill>
                  <a:srgbClr val="000000"/>
                </a:solidFill>
                <a:latin typeface="Univers 45 Light" pitchFamily="2" charset="0"/>
                <a:ea typeface="Arial"/>
                <a:cs typeface="Arial"/>
              </a:defRPr>
            </a:pPr>
            <a:endParaRPr lang="en-US"/>
          </a:p>
        </c:txPr>
        <c:crossAx val="979032920"/>
        <c:crosses val="autoZero"/>
        <c:auto val="1"/>
        <c:lblAlgn val="ctr"/>
        <c:lblOffset val="100"/>
        <c:noMultiLvlLbl val="0"/>
      </c:catAx>
      <c:valAx>
        <c:axId val="979032920"/>
        <c:scaling>
          <c:orientation val="minMax"/>
          <c:max val="60"/>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r>
                  <a:rPr lang="en-AU"/>
                  <a:t>Days</a:t>
                </a:r>
              </a:p>
            </c:rich>
          </c:tx>
          <c:layout>
            <c:manualLayout>
              <c:xMode val="edge"/>
              <c:yMode val="edge"/>
              <c:x val="1.8838734858006325E-2"/>
              <c:y val="0.3698803953853594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title>
        <c:numFmt formatCode="#,##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crossAx val="979037232"/>
        <c:crosses val="autoZero"/>
        <c:crossBetween val="between"/>
      </c:valAx>
      <c:spPr>
        <a:noFill/>
        <a:ln w="25400">
          <a:noFill/>
        </a:ln>
        <a:effectLst/>
      </c:spPr>
    </c:plotArea>
    <c:plotVisOnly val="1"/>
    <c:dispBlanksAs val="gap"/>
    <c:showDLblsOverMax val="0"/>
  </c:chart>
  <c:spPr>
    <a:noFill/>
    <a:ln w="25400" cap="flat" cmpd="sng" algn="ctr">
      <a:noFill/>
      <a:round/>
    </a:ln>
    <a:effectLst/>
  </c:spPr>
  <c:txPr>
    <a:bodyPr/>
    <a:lstStyle/>
    <a:p>
      <a:pPr>
        <a:defRPr sz="800" b="0" i="0">
          <a:solidFill>
            <a:srgbClr val="000000"/>
          </a:solidFill>
          <a:latin typeface="Univers 45 Light" pitchFamily="2" charset="0"/>
          <a:ea typeface="Arial"/>
          <a:cs typeface="Aria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PMG Microweb 3 Document" ma:contentTypeID="0x01010D000E458D123657A74D9D11D2886CB37A8B" ma:contentTypeVersion="47" ma:contentTypeDescription="KPMG Microweb 3 Document" ma:contentTypeScope="" ma:versionID="eed7fd7c186d5923c904465c7fcd6b2e">
  <xsd:schema xmlns:xsd="http://www.w3.org/2001/XMLSchema" xmlns:p="http://schemas.microsoft.com/office/2006/metadata/properties" xmlns:ns1="http://schemas.microsoft.com/sharepoint/v3" xmlns:ns2="http://schemas.microsoft.com/sharepoint/v3/fields" xmlns:ns3="a1d7f779-96df-4eeb-9a29-8a6430dabac8" xmlns:ns4="3d90914e-7310-46c4-983f-766c5f1d36ac" targetNamespace="http://schemas.microsoft.com/office/2006/metadata/properties" ma:root="true" ma:fieldsID="16eee0ef725e04d6f7c45f5d7a6f6bd0" ns1:_="" ns2:_="" ns3:_="" ns4:_="">
    <xsd:import namespace="http://schemas.microsoft.com/sharepoint/v3"/>
    <xsd:import namespace="http://schemas.microsoft.com/sharepoint/v3/fields"/>
    <xsd:import namespace="a1d7f779-96df-4eeb-9a29-8a6430dabac8"/>
    <xsd:import namespace="3d90914e-7310-46c4-983f-766c5f1d36ac"/>
    <xsd:element name="properties">
      <xsd:complexType>
        <xsd:sequence>
          <xsd:element name="documentManagement">
            <xsd:complexType>
              <xsd:all>
                <xsd:element ref="ns2:KPMGGlobalAbstract" minOccurs="0"/>
                <xsd:element ref="ns2:KPMGGlobalDocumentTypeSelection" minOccurs="0"/>
                <xsd:element ref="ns2:KPMGGlobalDocumentCategory" minOccurs="0"/>
                <xsd:element ref="ns2:KPMGGlobalDocumentType" minOccurs="0"/>
                <xsd:element ref="ns2:KPMGMW3DocumentType" minOccurs="0"/>
                <xsd:element ref="ns2:KPMGGlobalMediaType" minOccurs="0"/>
                <xsd:element ref="ns1:KPMGMW3Language"/>
                <xsd:element ref="ns2:KPMGGlobalCoverage" minOccurs="0"/>
                <xsd:element ref="ns2:KPMGGlobalRegion" minOccurs="0"/>
                <xsd:element ref="ns2:KPMGGlobalCountry"/>
                <xsd:element ref="ns1:KPMGMW3Geography" minOccurs="0"/>
                <xsd:element ref="ns2:KPMGMW3FunctionSelection" minOccurs="0"/>
                <xsd:element ref="ns2:KPMGMW3IndustrySectorSubSectorSelection" minOccurs="0"/>
                <xsd:element ref="ns2:KPMGGlobalAudienceLevel" minOccurs="0"/>
                <xsd:element ref="ns2:KPMGGlobalContentUse" minOccurs="0"/>
                <xsd:element ref="ns2:KPMGGlobalBusinessStrategy" minOccurs="0"/>
                <xsd:element ref="ns2:KPMGGlobalBusinessProcess" minOccurs="0"/>
                <xsd:element ref="ns2:KPMGGlobalTechnology" minOccurs="0"/>
                <xsd:element ref="ns2:KPMGGlobalActiveStatus"/>
                <xsd:element ref="ns2:KPMGGlobalPrimaryOwner"/>
                <xsd:element ref="ns2:KPMGGlobalPublicationDate"/>
                <xsd:element ref="ns2:KPMGGlobalRiskReviewEntity" minOccurs="0"/>
                <xsd:element ref="ns1:Expires"/>
                <xsd:element ref="ns2:KPMGGlobalRiskReviewDate" minOccurs="0"/>
                <xsd:element ref="ns2:KPMGGlobalRiskReviewer" minOccurs="0"/>
                <xsd:element ref="ns2:KPMGMW3SubService" minOccurs="0"/>
                <xsd:element ref="ns2:KPMGMW3Sector" minOccurs="0"/>
                <xsd:element ref="ns3:Specific_x0020_location" minOccurs="0"/>
                <xsd:element ref="ns2:KPMGMW3SubSector" minOccurs="0"/>
                <xsd:element ref="ns2:KPMGMW3Service" minOccurs="0"/>
                <xsd:element ref="ns2:KPMGMW3Function" minOccurs="0"/>
                <xsd:element ref="ns4:Page_x0020_surfaced"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10" ma:displayName="Language" ma:description="The Primary Language in which the content is written or spoken" ma:internalName="KPMGMW3Language" ma:readOnly="false">
      <xsd:simpleType>
        <xsd:restriction base="dms:Unknown"/>
      </xsd:simpleType>
    </xsd:element>
    <xsd:element name="KPMGMW3Geography" ma:index="14" nillable="true" ma:displayName="Geographic coverage" ma:description="NOTE: old field being replaced by 'Region' and 'Country'" ma:internalName="KPMGMW3Geography">
      <xsd:simpleType>
        <xsd:restriction base="dms:Unknown"/>
      </xsd:simpleType>
    </xsd:element>
    <xsd:element name="Expires" ma:index="26" ma:displayName="Expiry Date" ma:description="Identifies the date the content is targeted for review or removal" ma:format="DateOnly" ma:internalName="Expires" ma:readOnly="false">
      <xsd:simpleType>
        <xsd:restriction base="dms:DateTime"/>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GlobalAbstract" ma:index="3" nillable="true" ma:displayName="Abstract" ma:description="A brief description of the content introducing it to users prior to opening; helps users judge relevance (recommend 25-35 words)" ma:internalName="KPMGGlobalAbstract" ma:readOnly="false">
      <xsd:simpleType>
        <xsd:restriction base="dms:Unknown"/>
      </xsd:simpleType>
    </xsd:element>
    <xsd:element name="KPMGGlobalDocumentTypeSelection" ma:index="5" nillable="true" ma:displayName="Document Category / Document Type V2" ma:description="Two-level classifier of the content based on its role in a business process" ma:internalName="KPMGGlobalDocumentTypeSelection" ma:readOnly="false">
      <xsd:simpleType>
        <xsd:restriction base="dms:Unknown"/>
      </xsd:simpleType>
    </xsd:element>
    <xsd:element name="KPMGGlobalDocumentCategory" ma:index="6" nillable="true" ma:displayName="Document Category" ma:description="Identifies and classifies the resource at a high level based on its role in a business process." ma:internalName="KPMGGlobalDocumentCategory" ma:readOnly="false">
      <xsd:simpleType>
        <xsd:restriction base="dms:Unknown"/>
      </xsd:simpleType>
    </xsd:element>
    <xsd:element name="KPMGGlobalDocumentType" ma:index="7" nillable="true" ma:displayName="Document Type V2" ma:description="A child of document Category, it further describes and classifies document in more detail." ma:internalName="KPMGGlobalDocumentType" ma:readOnly="false">
      <xsd:simpleType>
        <xsd:restriction base="dms:Unknown"/>
      </xsd:simpleType>
    </xsd:element>
    <xsd:element name="KPMGMW3DocumentType" ma:index="8" nillable="true" ma:displayName="Document Type" ma:description="NOTE: old field being replaced by 'Document Category / Document Type'" ma:internalName="KPMGMW3DocumentType" ma:readOnly="false">
      <xsd:simpleType>
        <xsd:restriction base="dms:Unknown"/>
      </xsd:simpleType>
    </xsd:element>
    <xsd:element name="KPMGGlobalMediaType" ma:index="9" nillable="true" ma:displayName="Media Type" ma:description="Format of the content" ma:internalName="KPMGGlobalMediaType" ma:readOnly="false">
      <xsd:simpleType>
        <xsd:restriction base="dms:Unknown"/>
      </xsd:simpleType>
    </xsd:element>
    <xsd:element name="KPMGGlobalCoverage" ma:index="11" nillable="true" ma:displayName="Global Coverage" ma:description="Click ‘yes’ if content has global applicability or use in more than one country" ma:internalName="KPMGGlobalCoverage" ma:readOnly="false">
      <xsd:simpleType>
        <xsd:restriction base="dms:Unknown"/>
      </xsd:simpleType>
    </xsd:element>
    <xsd:element name="KPMGGlobalRegion" ma:index="12" nillable="true" ma:displayName="Region" ma:description="Identifies the Global Region(s) for which the content is applicable" ma:internalName="KPMGGlobalRegion" ma:readOnly="false">
      <xsd:simpleType>
        <xsd:restriction base="dms:Unknown"/>
      </xsd:simpleType>
    </xsd:element>
    <xsd:element name="KPMGGlobalCountry" ma:index="13" ma:displayName="Global Country" ma:description="Identifies the Country who owns the content and where it was created" ma:internalName="KPMGGlobalCountry" ma:readOnly="false">
      <xsd:simpleType>
        <xsd:restriction base="dms:Unknown"/>
      </xsd:simpleType>
    </xsd:element>
    <xsd:element name="KPMGMW3FunctionSelection" ma:index="15" nillable="true" ma:displayName="Function/Service/SubService Selection" ma:description="Identifies the KPMG Function/Service/Subservice for which the content is applicable" ma:internalName="KPMGMW3FunctionSelection">
      <xsd:simpleType>
        <xsd:restriction base="dms:Unknown"/>
      </xsd:simpleType>
    </xsd:element>
    <xsd:element name="KPMGMW3IndustrySectorSubSectorSelection" ma:index="16" nillable="true" ma:displayName="Industry Sector/SubSector Selection" ma:description="Classifies the Markets Industry/Sector for which the content is applicable" ma:internalName="KPMGMW3IndustrySectorSubSectorSelection">
      <xsd:simpleType>
        <xsd:restriction base="dms:Unknown"/>
      </xsd:simpleType>
    </xsd:element>
    <xsd:element name="KPMGGlobalAudienceLevel" ma:index="17" nillable="true" ma:displayName="Audience Level" ma:description="All, Partner, Sr. Mgr., Mgr., Associate" ma:internalName="KPMGGlobalAudienceLevel" ma:readOnly="false">
      <xsd:simpleType>
        <xsd:restriction base="dms:Unknown"/>
      </xsd:simpleType>
    </xsd:element>
    <xsd:element name="KPMGGlobalContentUse" ma:index="18" nillable="true" ma:displayName="Content Use" ma:description="Select 'Internal' for internal use only or 'Internal/External' for public use" ma:internalName="KPMGGlobalContentUse" ma:readOnly="false">
      <xsd:simpleType>
        <xsd:restriction base="dms:Unknown"/>
      </xsd:simpleType>
    </xsd:element>
    <xsd:element name="KPMGGlobalBusinessStrategy" ma:index="19" nillable="true" ma:displayName="Business Strategy" ma:description="The plans, approaches or policies the business has designed to meet their aims and objectives" ma:internalName="KPMGGlobalBusinessStrategy" ma:readOnly="false">
      <xsd:simpleType>
        <xsd:restriction base="dms:Unknown"/>
      </xsd:simpleType>
    </xsd:element>
    <xsd:element name="KPMGGlobalBusinessProcess" ma:index="20" nillable="true" ma:displayName="Business Process" ma:description="Standard activities performed by a client to achieve their business objectives" ma:internalName="KPMGGlobalBusinessProcess" ma:readOnly="false">
      <xsd:simpleType>
        <xsd:restriction base="dms:Unknown"/>
      </xsd:simpleType>
    </xsd:element>
    <xsd:element name="KPMGGlobalTechnology" ma:index="21" nillable="true" ma:displayName="Technology" ma:description="System, application, platform or other technology component which is relevant to the content" ma:internalName="KPMGGlobalTechnology" ma:readOnly="false">
      <xsd:simpleType>
        <xsd:restriction base="dms:Unknown"/>
      </xsd:simpleType>
    </xsd:element>
    <xsd:element name="KPMGGlobalActiveStatus" ma:index="22" ma:displayName="Active Status" ma:default="1" ma:description="Check to make content viewable and searchable; useful for maintaining freshness of site" ma:internalName="KPMGGlobalActiveStatus" ma:readOnly="false">
      <xsd:simpleType>
        <xsd:restriction base="dms:Unknown"/>
      </xsd:simpleType>
    </xsd:element>
    <xsd:element name="KPMGGlobalPrimaryOwner" ma:index="23" ma:displayName="Primary Owner" ma:description="Identifies the function, industry, business group which owns the content" ma:internalName="KPMGGlobalPrimaryOwner" ma:readOnly="false">
      <xsd:simpleType>
        <xsd:restriction base="dms:Unknown"/>
      </xsd:simpleType>
    </xsd:element>
    <xsd:element name="KPMGGlobalPublicationDate" ma:index="24" ma:displayName="Publication Date" ma:description="Date the content was published" ma:format="DateOnly" ma:internalName="KPMGGlobalPublicationDate" ma:readOnly="false">
      <xsd:simpleType>
        <xsd:restriction base="dms:Unknown"/>
      </xsd:simpleType>
    </xsd:element>
    <xsd:element name="KPMGGlobalRiskReviewEntity" ma:index="25" nillable="true" ma:displayName="Risk Review Entity" ma:description="If the content requires a Risk Review, this element shows the entity that reviewed the content for risk exposure" ma:internalName="KPMGGlobalRiskReviewEntity" ma:readOnly="false">
      <xsd:simpleType>
        <xsd:restriction base="dms:Unknown"/>
      </xsd:simpleType>
    </xsd:element>
    <xsd:element name="KPMGGlobalRiskReviewDate" ma:index="27" nillable="true" ma:displayName="Risk Review Date" ma:description="Date the content was reviewed for risk exposure" ma:format="DateOnly" ma:internalName="KPMGGlobalRiskReviewDate" ma:readOnly="false">
      <xsd:simpleType>
        <xsd:restriction base="dms:Unknown"/>
      </xsd:simpleType>
    </xsd:element>
    <xsd:element name="KPMGGlobalRiskReviewer" ma:index="28" nillable="true" ma:displayName="Risk Reviewer" ma:description="Name of the person who reviewed the content for risk exposure" ma:list="UserInfo" ma:internalName="KPMGGlobalRiskReviewer" ma:readOnly="false" ma:showField="ImnName">
      <xsd:simpleType>
        <xsd:restriction base="dms:Unknown"/>
      </xsd:simpleType>
    </xsd:element>
    <xsd:element name="KPMGMW3SubService" ma:index="30" nillable="true" ma:displayName="Sub Service" ma:description="Identifies the KPMG sub service which is discussed or targeted in this folder" ma:internalName="KPMGMW3SubService" ma:readOnly="true">
      <xsd:simpleType>
        <xsd:restriction base="dms:Text"/>
      </xsd:simpleType>
    </xsd:element>
    <xsd:element name="KPMGMW3Sector" ma:index="32" nillable="true" ma:displayName="Sector" ma:description="Sector" ma:internalName="KPMGMW3Sector" ma:readOnly="true">
      <xsd:simpleType>
        <xsd:restriction base="dms:Text"/>
      </xsd:simpleType>
    </xsd:element>
    <xsd:element name="KPMGMW3SubSector" ma:index="38" nillable="true" ma:displayName="Sub Sector" ma:description="Sub Sector" ma:internalName="KPMGMW3SubSector" ma:readOnly="true">
      <xsd:simpleType>
        <xsd:restriction base="dms:Text"/>
      </xsd:simpleType>
    </xsd:element>
    <xsd:element name="KPMGMW3Service" ma:index="40" nillable="true" ma:displayName="Service" ma:description="Identifies the KPMG service which is discussed or targeted in this folder" ma:internalName="KPMGMW3Service" ma:readOnly="true">
      <xsd:simpleType>
        <xsd:restriction base="dms:Text"/>
      </xsd:simpleType>
    </xsd:element>
    <xsd:element name="KPMGMW3Function" ma:index="41" nillable="true" ma:displayName="Function" ma:description="Function" ma:internalName="KPMGMW3Function" ma:readOnly="true">
      <xsd:simpleType>
        <xsd:restriction base="dms:Text"/>
      </xsd:simpleType>
    </xsd:element>
  </xsd:schema>
  <xsd:schema xmlns:xsd="http://www.w3.org/2001/XMLSchema" xmlns:dms="http://schemas.microsoft.com/office/2006/documentManagement/types" targetNamespace="a1d7f779-96df-4eeb-9a29-8a6430dabac8" elementFormDefault="qualified">
    <xsd:import namespace="http://schemas.microsoft.com/office/2006/documentManagement/types"/>
    <xsd:element name="Specific_x0020_location" ma:index="37" nillable="true" ma:displayName="Specific location" ma:format="RadioButtons" ma:internalName="Specific_x0020_location">
      <xsd:simpleType>
        <xsd:restriction base="dms:Choice">
          <xsd:enumeration value="Adelaide"/>
          <xsd:enumeration value="Brisbane"/>
          <xsd:enumeration value="Canberra"/>
          <xsd:enumeration value="Gold Coast"/>
          <xsd:enumeration value="Melbourne"/>
          <xsd:enumeration value="Perth"/>
          <xsd:enumeration value="Sydney"/>
        </xsd:restriction>
      </xsd:simpleType>
    </xsd:element>
  </xsd:schema>
  <xsd:schema xmlns:xsd="http://www.w3.org/2001/XMLSchema" xmlns:dms="http://schemas.microsoft.com/office/2006/documentManagement/types" targetNamespace="3d90914e-7310-46c4-983f-766c5f1d36ac" elementFormDefault="qualified">
    <xsd:import namespace="http://schemas.microsoft.com/office/2006/documentManagement/types"/>
    <xsd:element name="Page_x0020_surfaced" ma:index="42" nillable="true" ma:displayName="Page surfaced" ma:default="Other" ma:format="Dropdown" ma:internalName="Page_x0020_surfaced">
      <xsd:simpleType>
        <xsd:restriction base="dms:Choice">
          <xsd:enumeration value="Other"/>
          <xsd:enumeration value="Program divisional lea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31" ma:displayName="Content Type"/>
        <xsd:element ref="dc:title" minOccurs="0" maxOccurs="1" ma:index="0" ma:displayName="Title"/>
        <xsd:element ref="dc:subject" minOccurs="0" maxOccurs="1"/>
        <xsd:element ref="dc:description" maxOccurs="1" ma:index="29" ma:displayName="Comments"/>
        <xsd:element name="keywords" maxOccurs="1" ma:index="4" ma:displayName="Keywords">
          <xsd:simpleType>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KPMGGlobalActiveStatus xmlns="http://schemas.microsoft.com/sharepoint/v3/fields">true</KPMGGlobalActiveStatus>
    <Expires xmlns="http://schemas.microsoft.com/sharepoint/v3">2017-03-21T13:00:00+00:00</Expires>
    <KPMGGlobalPrimaryOwner xmlns="http://schemas.microsoft.com/sharepoint/v3/fields">Knowledge Management</KPMGGlobalPrimaryOwner>
    <KPMGGlobalBusinessStrategy xmlns="http://schemas.microsoft.com/sharepoint/v3/fields" xsi:nil="true"/>
    <KPMGGlobalTechnology xmlns="http://schemas.microsoft.com/sharepoint/v3/fields" xsi:nil="true"/>
    <KPMGGlobalDocumentCategory xmlns="http://schemas.microsoft.com/sharepoint/v3/fields" xsi:nil="true"/>
    <Page_x0020_surfaced xmlns="3d90914e-7310-46c4-983f-766c5f1d36ac">Other</Page_x0020_surfaced>
    <KPMGMW3Language xmlns="http://schemas.microsoft.com/sharepoint/v3">English</KPMGMW3Language>
    <KPMGGlobalRegion xmlns="http://schemas.microsoft.com/sharepoint/v3/fields">;#Asia Pacific;#</KPMGGlobalRegion>
    <KPMGGlobalAbstract xmlns="http://schemas.microsoft.com/sharepoint/v3/fields" xsi:nil="true"/>
    <KPMGMW3IndustrySectorSubSectorSelection xmlns="http://schemas.microsoft.com/sharepoint/v3/fields" xsi:nil="true"/>
    <KPMGGlobalDocumentTypeSelection xmlns="http://schemas.microsoft.com/sharepoint/v3/fields">;#;# ;;;#</KPMGGlobalDocumentTypeSelection>
    <KPMGMW3FunctionSelection xmlns="http://schemas.microsoft.com/sharepoint/v3/fields" xsi:nil="true"/>
    <KPMGGlobalRiskReviewDate xmlns="http://schemas.microsoft.com/sharepoint/v3/fields">2017-03-21T13:00:00+00:00</KPMGGlobalRiskReviewDate>
    <KPMGGlobalCoverage xmlns="http://schemas.microsoft.com/sharepoint/v3/fields">false</KPMGGlobalCoverage>
    <KPMGGlobalAudienceLevel xmlns="http://schemas.microsoft.com/sharepoint/v3/fields" xsi:nil="true"/>
    <KPMGGlobalMediaType xmlns="http://schemas.microsoft.com/sharepoint/v3/fields" xsi:nil="true"/>
    <KPMGGlobalBusinessProcess xmlns="http://schemas.microsoft.com/sharepoint/v3/fields" xsi:nil="true"/>
    <KPMGMW3DocumentType xmlns="http://schemas.microsoft.com/sharepoint/v3/fields">None Selected</KPMGMW3DocumentType>
    <KPMGGlobalContentUse xmlns="http://schemas.microsoft.com/sharepoint/v3/fields" xsi:nil="true"/>
    <Specific_x0020_location xmlns="a1d7f779-96df-4eeb-9a29-8a6430dabac8" xsi:nil="true"/>
    <KPMGGlobalDocumentType xmlns="http://schemas.microsoft.com/sharepoint/v3/fields"> ;</KPMGGlobalDocumentType>
    <KPMGMW3Geography xmlns="http://schemas.microsoft.com/sharepoint/v3">;#Australia;#</KPMGMW3Geography>
    <KPMGGlobalPublicationDate xmlns="http://schemas.microsoft.com/sharepoint/v3/fields">2016-03-21T13:00:00+00:00</KPMGGlobalPublicationDate>
    <KPMGGlobalCountry xmlns="http://schemas.microsoft.com/sharepoint/v3/fields">Australia</KPMGGlobalCountry>
    <KPMGGlobalRiskReviewEntity xmlns="http://schemas.microsoft.com/sharepoint/v3/fields" xsi:nil="true"/>
    <KPMGGlobalRiskReviewer xmlns="http://schemas.microsoft.com/sharepoint/v3/fields" xsi:nil="true"/>
    <KPMGMW3SubService xmlns="http://schemas.microsoft.com/sharepoint/v3/fields" xsi:nil="true"/>
    <KPMGMW3Sector xmlns="http://schemas.microsoft.com/sharepoint/v3/fields" xsi:nil="true"/>
    <KPMGMW3Function xmlns="http://schemas.microsoft.com/sharepoint/v3/fields" xsi:nil="true"/>
    <KPMGMW3SubSector xmlns="http://schemas.microsoft.com/sharepoint/v3/fields" xsi:nil="true"/>
    <KPMGMW3Service xmlns="http://schemas.microsoft.com/sharepoint/v3/fields" xsi:nil="true"/>
  </documentManagement>
</p:properties>
</file>

<file path=customXml/item3.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4.xml><?xml version="1.0" encoding="utf-8"?>
<?mso-contentType ?>
<FormTemplates xmlns="http://schemas.microsoft.com/sharepoint/v3/contenttype/forms">
  <Display>GlobalDocumentLibraryForm</Display>
  <Edit>GlobalDocumentLibraryForm</Edit>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6A16A-A0D5-49A4-BC3C-3C2F43B9E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a1d7f779-96df-4eeb-9a29-8a6430dabac8"/>
    <ds:schemaRef ds:uri="3d90914e-7310-46c4-983f-766c5f1d36a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23C8F6A-D513-410D-8D21-A9AEA5240034}">
  <ds:schemaRefs>
    <ds:schemaRef ds:uri="http://schemas.openxmlformats.org/package/2006/metadata/core-properties"/>
    <ds:schemaRef ds:uri="http://schemas.microsoft.com/sharepoint/v3"/>
    <ds:schemaRef ds:uri="http://purl.org/dc/terms/"/>
    <ds:schemaRef ds:uri="3d90914e-7310-46c4-983f-766c5f1d36ac"/>
    <ds:schemaRef ds:uri="http://schemas.microsoft.com/office/2006/documentManagement/types"/>
    <ds:schemaRef ds:uri="http://purl.org/dc/elements/1.1/"/>
    <ds:schemaRef ds:uri="http://schemas.microsoft.com/office/2006/metadata/properties"/>
    <ds:schemaRef ds:uri="a1d7f779-96df-4eeb-9a29-8a6430dabac8"/>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B030CBB7-6B04-4E63-8444-C535D96E3D6A}">
  <ds:schemaRefs>
    <ds:schemaRef ds:uri="http://schemas.microsoft.com/sharepoint/events"/>
  </ds:schemaRefs>
</ds:datastoreItem>
</file>

<file path=customXml/itemProps4.xml><?xml version="1.0" encoding="utf-8"?>
<ds:datastoreItem xmlns:ds="http://schemas.openxmlformats.org/officeDocument/2006/customXml" ds:itemID="{E09BDE5F-1BF1-4273-B8CB-9EC538706428}">
  <ds:schemaRefs>
    <ds:schemaRef ds:uri="http://schemas.microsoft.com/sharepoint/v3/contenttype/forms"/>
  </ds:schemaRefs>
</ds:datastoreItem>
</file>

<file path=customXml/itemProps5.xml><?xml version="1.0" encoding="utf-8"?>
<ds:datastoreItem xmlns:ds="http://schemas.openxmlformats.org/officeDocument/2006/customXml" ds:itemID="{EF3B28FC-C58B-4F3F-89F5-BAB0D7CC7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35307</Words>
  <Characters>201255</Characters>
  <Application>Microsoft Office Word</Application>
  <DocSecurity>0</DocSecurity>
  <Lines>1677</Lines>
  <Paragraphs>472</Paragraphs>
  <ScaleCrop>false</ScaleCrop>
  <HeadingPairs>
    <vt:vector size="2" baseType="variant">
      <vt:variant>
        <vt:lpstr>Title</vt:lpstr>
      </vt:variant>
      <vt:variant>
        <vt:i4>1</vt:i4>
      </vt:variant>
    </vt:vector>
  </HeadingPairs>
  <TitlesOfParts>
    <vt:vector size="1" baseType="lpstr">
      <vt:lpstr>KPMG Portrait Report Word Template Option 2</vt:lpstr>
    </vt:vector>
  </TitlesOfParts>
  <Company>KPMG</Company>
  <LinksUpToDate>false</LinksUpToDate>
  <CharactersWithSpaces>236090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KPMG Portrait Report Word Template Option 2</dc:title>
  <dc:subject/>
  <dc:creator>Collins, Kathy</dc:creator>
  <cp:keywords>KPMG Portrait Report Word Template Option 2; New brand template; word template;</cp:keywords>
  <dc:description/>
  <cp:lastModifiedBy>Johnson, Murray</cp:lastModifiedBy>
  <cp:revision>3</cp:revision>
  <cp:lastPrinted>2019-01-24T06:25:00Z</cp:lastPrinted>
  <dcterms:created xsi:type="dcterms:W3CDTF">2019-05-30T02:08:00Z</dcterms:created>
  <dcterms:modified xsi:type="dcterms:W3CDTF">2019-05-31T05:51:00Z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0x01010D000E458D123657A74D9D11D2886CB37A8B</vt:lpwstr>
  </property>
</Properties>
</file>