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81" w:rsidRPr="000B42C6" w:rsidRDefault="00A47BD8" w:rsidP="00641A55">
      <w:pPr>
        <w:spacing w:before="2000"/>
      </w:pPr>
      <w:r w:rsidRPr="000B42C6">
        <w:rPr>
          <w:noProof/>
        </w:rPr>
        <w:drawing>
          <wp:inline distT="0" distB="0" distL="0" distR="0" wp14:anchorId="3F5BA36E" wp14:editId="3999969E">
            <wp:extent cx="3633275" cy="648000"/>
            <wp:effectExtent l="0" t="0" r="5715" b="0"/>
            <wp:docPr id="16" name="Picture 16" descr="Australian Health Services Research Institute (AHSRI) University of Wollongong logo" title="AHSRI and U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hsri-UowLonghandLandscapeColourPositive.png"/>
                    <pic:cNvPicPr/>
                  </pic:nvPicPr>
                  <pic:blipFill>
                    <a:blip r:embed="rId8">
                      <a:extLst>
                        <a:ext uri="{28A0092B-C50C-407E-A947-70E740481C1C}">
                          <a14:useLocalDpi xmlns:a14="http://schemas.microsoft.com/office/drawing/2010/main" val="0"/>
                        </a:ext>
                      </a:extLst>
                    </a:blip>
                    <a:stretch>
                      <a:fillRect/>
                    </a:stretch>
                  </pic:blipFill>
                  <pic:spPr>
                    <a:xfrm>
                      <a:off x="0" y="0"/>
                      <a:ext cx="3633275" cy="648000"/>
                    </a:xfrm>
                    <a:prstGeom prst="rect">
                      <a:avLst/>
                    </a:prstGeom>
                  </pic:spPr>
                </pic:pic>
              </a:graphicData>
            </a:graphic>
          </wp:inline>
        </w:drawing>
      </w:r>
    </w:p>
    <w:p w:rsidR="00AE096F" w:rsidRDefault="009478FA" w:rsidP="00641A55">
      <w:pPr>
        <w:pStyle w:val="Normal-nospacing"/>
        <w:spacing w:before="2000"/>
        <w:rPr>
          <w:b/>
          <w:sz w:val="52"/>
          <w:szCs w:val="52"/>
        </w:rPr>
      </w:pPr>
      <w:r w:rsidRPr="00AE096F">
        <w:rPr>
          <w:b/>
          <w:sz w:val="52"/>
          <w:szCs w:val="52"/>
        </w:rPr>
        <w:t>AN-ACC: A national classification and funding model for residential aged care: synthesis and consolidated recommendations</w:t>
      </w:r>
    </w:p>
    <w:p w:rsidR="00AE096F" w:rsidRPr="00641A55" w:rsidRDefault="00AE096F" w:rsidP="00641A55">
      <w:pPr>
        <w:pStyle w:val="Title"/>
        <w:pBdr>
          <w:bottom w:val="none" w:sz="0" w:space="0" w:color="auto"/>
        </w:pBdr>
        <w:tabs>
          <w:tab w:val="left" w:pos="1418"/>
        </w:tabs>
        <w:spacing w:before="2000" w:after="2000"/>
        <w:rPr>
          <w:sz w:val="44"/>
          <w:szCs w:val="44"/>
        </w:rPr>
      </w:pPr>
      <w:r w:rsidRPr="00641A55">
        <w:rPr>
          <w:sz w:val="44"/>
          <w:szCs w:val="44"/>
        </w:rPr>
        <w:t>The Resource Utilisation and Classification Study: Report 6</w:t>
      </w:r>
    </w:p>
    <w:p w:rsidR="00AE096F" w:rsidRDefault="005D1308" w:rsidP="00641A55">
      <w:pPr>
        <w:spacing w:before="840"/>
        <w:rPr>
          <w:b/>
          <w:sz w:val="32"/>
          <w:szCs w:val="32"/>
        </w:rPr>
      </w:pPr>
      <w:r>
        <w:rPr>
          <w:b/>
          <w:sz w:val="32"/>
          <w:szCs w:val="32"/>
        </w:rPr>
        <w:t>February</w:t>
      </w:r>
      <w:r w:rsidR="00CD452E">
        <w:rPr>
          <w:b/>
          <w:sz w:val="32"/>
          <w:szCs w:val="32"/>
        </w:rPr>
        <w:t xml:space="preserve"> </w:t>
      </w:r>
      <w:r w:rsidR="00003E81" w:rsidRPr="000B42C6">
        <w:rPr>
          <w:b/>
          <w:sz w:val="32"/>
          <w:szCs w:val="32"/>
        </w:rPr>
        <w:t>201</w:t>
      </w:r>
      <w:r w:rsidR="00CD452E">
        <w:rPr>
          <w:b/>
          <w:sz w:val="32"/>
          <w:szCs w:val="32"/>
        </w:rPr>
        <w:t>9</w:t>
      </w:r>
    </w:p>
    <w:p w:rsidR="00003E81" w:rsidRPr="000B42C6" w:rsidRDefault="00003E81" w:rsidP="00AE096F">
      <w:r w:rsidRPr="000B42C6">
        <w:br w:type="page"/>
      </w:r>
    </w:p>
    <w:p w:rsidR="00003E81" w:rsidRPr="000B42C6" w:rsidRDefault="00003E81" w:rsidP="00003E81">
      <w:pPr>
        <w:spacing w:after="600"/>
        <w:jc w:val="right"/>
        <w:rPr>
          <w:sz w:val="36"/>
          <w:szCs w:val="36"/>
        </w:rPr>
      </w:pPr>
      <w:r w:rsidRPr="000B42C6">
        <w:rPr>
          <w:sz w:val="36"/>
          <w:szCs w:val="36"/>
        </w:rPr>
        <w:lastRenderedPageBreak/>
        <w:t>Kathy Eagar</w:t>
      </w:r>
    </w:p>
    <w:p w:rsidR="00003E81" w:rsidRPr="000B42C6" w:rsidRDefault="00003E81" w:rsidP="00003E81">
      <w:pPr>
        <w:spacing w:after="600"/>
        <w:jc w:val="right"/>
        <w:rPr>
          <w:sz w:val="36"/>
          <w:szCs w:val="36"/>
        </w:rPr>
      </w:pPr>
      <w:r w:rsidRPr="000B42C6">
        <w:rPr>
          <w:sz w:val="36"/>
          <w:szCs w:val="36"/>
        </w:rPr>
        <w:t>Jenny McNamee</w:t>
      </w:r>
    </w:p>
    <w:p w:rsidR="00003E81" w:rsidRPr="000B42C6" w:rsidRDefault="00003E81" w:rsidP="00003E81">
      <w:pPr>
        <w:spacing w:after="600"/>
        <w:jc w:val="right"/>
        <w:rPr>
          <w:sz w:val="36"/>
          <w:szCs w:val="36"/>
        </w:rPr>
      </w:pPr>
      <w:r w:rsidRPr="000B42C6">
        <w:rPr>
          <w:sz w:val="36"/>
          <w:szCs w:val="36"/>
        </w:rPr>
        <w:t>Rob Gordon</w:t>
      </w:r>
    </w:p>
    <w:p w:rsidR="00003E81" w:rsidRPr="000B42C6" w:rsidRDefault="00003E81" w:rsidP="00003E81">
      <w:pPr>
        <w:spacing w:after="600"/>
        <w:jc w:val="right"/>
        <w:rPr>
          <w:sz w:val="36"/>
          <w:szCs w:val="36"/>
        </w:rPr>
      </w:pPr>
      <w:r w:rsidRPr="000B42C6">
        <w:rPr>
          <w:sz w:val="36"/>
          <w:szCs w:val="36"/>
        </w:rPr>
        <w:t>Milena Snoek</w:t>
      </w:r>
    </w:p>
    <w:p w:rsidR="00453281" w:rsidRPr="000B42C6" w:rsidRDefault="00453281" w:rsidP="00003E81">
      <w:pPr>
        <w:spacing w:after="600"/>
        <w:ind w:firstLine="720"/>
        <w:jc w:val="right"/>
        <w:rPr>
          <w:sz w:val="36"/>
          <w:szCs w:val="36"/>
        </w:rPr>
      </w:pPr>
      <w:r w:rsidRPr="000B42C6">
        <w:rPr>
          <w:sz w:val="36"/>
          <w:szCs w:val="36"/>
        </w:rPr>
        <w:t>Conrad Kobel</w:t>
      </w:r>
    </w:p>
    <w:p w:rsidR="0024633F" w:rsidRPr="000B42C6" w:rsidRDefault="0024633F" w:rsidP="0024633F">
      <w:pPr>
        <w:spacing w:after="600"/>
        <w:jc w:val="right"/>
        <w:rPr>
          <w:sz w:val="36"/>
          <w:szCs w:val="36"/>
        </w:rPr>
      </w:pPr>
      <w:r w:rsidRPr="000B42C6">
        <w:rPr>
          <w:sz w:val="36"/>
          <w:szCs w:val="36"/>
        </w:rPr>
        <w:t>Anita Westera</w:t>
      </w:r>
    </w:p>
    <w:p w:rsidR="00003E81" w:rsidRPr="000B42C6" w:rsidRDefault="00003E81" w:rsidP="00003E81">
      <w:pPr>
        <w:spacing w:after="600"/>
        <w:ind w:firstLine="720"/>
        <w:jc w:val="right"/>
        <w:rPr>
          <w:sz w:val="36"/>
          <w:szCs w:val="36"/>
        </w:rPr>
      </w:pPr>
      <w:r w:rsidRPr="000B42C6">
        <w:rPr>
          <w:sz w:val="36"/>
          <w:szCs w:val="36"/>
        </w:rPr>
        <w:t>Cathy Duncan</w:t>
      </w:r>
    </w:p>
    <w:p w:rsidR="00003E81" w:rsidRPr="000B42C6" w:rsidRDefault="00003E81" w:rsidP="00003E81">
      <w:pPr>
        <w:spacing w:after="600"/>
        <w:jc w:val="right"/>
        <w:rPr>
          <w:sz w:val="36"/>
          <w:szCs w:val="36"/>
        </w:rPr>
      </w:pPr>
      <w:r w:rsidRPr="000B42C6">
        <w:rPr>
          <w:sz w:val="36"/>
          <w:szCs w:val="36"/>
        </w:rPr>
        <w:t>Peter Samsa</w:t>
      </w:r>
    </w:p>
    <w:p w:rsidR="00003E81" w:rsidRPr="000B42C6" w:rsidRDefault="00003E81" w:rsidP="00003E81">
      <w:pPr>
        <w:spacing w:after="600"/>
        <w:jc w:val="right"/>
        <w:rPr>
          <w:sz w:val="36"/>
          <w:szCs w:val="36"/>
        </w:rPr>
      </w:pPr>
      <w:r w:rsidRPr="000B42C6">
        <w:rPr>
          <w:sz w:val="36"/>
          <w:szCs w:val="36"/>
        </w:rPr>
        <w:t>Carol Loggie</w:t>
      </w:r>
    </w:p>
    <w:p w:rsidR="00453281" w:rsidRPr="000B42C6" w:rsidRDefault="00453281" w:rsidP="00003E81">
      <w:pPr>
        <w:spacing w:after="600"/>
        <w:jc w:val="right"/>
        <w:rPr>
          <w:sz w:val="36"/>
          <w:szCs w:val="36"/>
        </w:rPr>
      </w:pPr>
      <w:r w:rsidRPr="000B42C6">
        <w:rPr>
          <w:sz w:val="36"/>
          <w:szCs w:val="36"/>
        </w:rPr>
        <w:t>Nicole Rankin</w:t>
      </w:r>
    </w:p>
    <w:p w:rsidR="00453281" w:rsidRPr="000B42C6" w:rsidRDefault="00453281" w:rsidP="00003E81">
      <w:pPr>
        <w:spacing w:after="600"/>
        <w:jc w:val="right"/>
        <w:rPr>
          <w:sz w:val="36"/>
          <w:szCs w:val="36"/>
        </w:rPr>
      </w:pPr>
      <w:r w:rsidRPr="000B42C6">
        <w:rPr>
          <w:sz w:val="36"/>
          <w:szCs w:val="36"/>
        </w:rPr>
        <w:t>Karen Quinsey</w:t>
      </w:r>
    </w:p>
    <w:p w:rsidR="00D473E8" w:rsidRDefault="00D473E8" w:rsidP="00003E81">
      <w:pPr>
        <w:spacing w:after="60"/>
        <w:rPr>
          <w:b/>
          <w:sz w:val="28"/>
          <w:szCs w:val="28"/>
        </w:rPr>
        <w:sectPr w:rsidR="00D473E8" w:rsidSect="00003E8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021" w:left="1418" w:header="709" w:footer="709" w:gutter="0"/>
          <w:pgNumType w:start="1"/>
          <w:cols w:space="708"/>
          <w:docGrid w:linePitch="360"/>
        </w:sectPr>
      </w:pPr>
    </w:p>
    <w:p w:rsidR="005F7371" w:rsidRDefault="00003E81" w:rsidP="00641A55">
      <w:pPr>
        <w:spacing w:after="240"/>
      </w:pPr>
      <w:r w:rsidRPr="000B42C6">
        <w:lastRenderedPageBreak/>
        <w:t xml:space="preserve">This series of papers reports on different aspects of a major national study into needs, costs and classification of residential aged care called </w:t>
      </w:r>
      <w:r w:rsidR="00182130">
        <w:t>t</w:t>
      </w:r>
      <w:r w:rsidRPr="000B42C6">
        <w:t xml:space="preserve">he Resource Utilisation </w:t>
      </w:r>
      <w:r w:rsidR="00997050">
        <w:t xml:space="preserve">and Classification </w:t>
      </w:r>
      <w:r w:rsidRPr="000B42C6">
        <w:t>Study</w:t>
      </w:r>
      <w:r w:rsidR="00997050">
        <w:t xml:space="preserve"> (RUCS)</w:t>
      </w:r>
      <w:r w:rsidR="00641A55">
        <w:t xml:space="preserve">. </w:t>
      </w:r>
      <w:r w:rsidRPr="000B42C6">
        <w:t>The RU</w:t>
      </w:r>
      <w:r w:rsidR="00641A55">
        <w:t>CS was undertaken during 2018.</w:t>
      </w:r>
    </w:p>
    <w:p w:rsidR="00003E81" w:rsidRPr="000B42C6" w:rsidRDefault="00003E81" w:rsidP="00641A55">
      <w:pPr>
        <w:spacing w:after="240"/>
      </w:pPr>
      <w:r w:rsidRPr="000B42C6">
        <w:t xml:space="preserve">This report (Report </w:t>
      </w:r>
      <w:r w:rsidR="00AB239C" w:rsidRPr="000B42C6">
        <w:t>6</w:t>
      </w:r>
      <w:r w:rsidRPr="000B42C6">
        <w:t xml:space="preserve">) </w:t>
      </w:r>
      <w:r w:rsidR="00453281" w:rsidRPr="000B42C6">
        <w:t xml:space="preserve">synthesises the whole study and </w:t>
      </w:r>
      <w:r w:rsidRPr="000B42C6">
        <w:t xml:space="preserve">presents </w:t>
      </w:r>
      <w:r w:rsidR="00453281" w:rsidRPr="000B42C6">
        <w:t>a consolidated set of recommendations</w:t>
      </w:r>
      <w:r w:rsidRPr="000B42C6">
        <w:t>.</w:t>
      </w:r>
    </w:p>
    <w:p w:rsidR="00AB239C" w:rsidRPr="000B42C6" w:rsidRDefault="00AB239C" w:rsidP="00641A55">
      <w:pPr>
        <w:pStyle w:val="ListParagraph"/>
        <w:numPr>
          <w:ilvl w:val="0"/>
          <w:numId w:val="7"/>
        </w:numPr>
        <w:spacing w:after="240"/>
        <w:ind w:left="1418" w:hanging="1418"/>
        <w:contextualSpacing w:val="0"/>
      </w:pPr>
      <w:r w:rsidRPr="000B42C6">
        <w:t>The Australian National Aged Care Classification (AN-ACC)</w:t>
      </w:r>
    </w:p>
    <w:p w:rsidR="00AB239C" w:rsidRPr="000B42C6" w:rsidRDefault="00641A55" w:rsidP="00641A55">
      <w:pPr>
        <w:pStyle w:val="ListParagraph"/>
        <w:numPr>
          <w:ilvl w:val="0"/>
          <w:numId w:val="7"/>
        </w:numPr>
        <w:spacing w:after="240"/>
        <w:ind w:left="1418" w:hanging="1418"/>
        <w:contextualSpacing w:val="0"/>
      </w:pPr>
      <w:r>
        <w:t>The AN-ACC assessment model</w:t>
      </w:r>
    </w:p>
    <w:p w:rsidR="00AB239C" w:rsidRPr="000B42C6" w:rsidRDefault="00AB239C" w:rsidP="00641A55">
      <w:pPr>
        <w:pStyle w:val="ListParagraph"/>
        <w:numPr>
          <w:ilvl w:val="0"/>
          <w:numId w:val="7"/>
        </w:numPr>
        <w:spacing w:after="240"/>
        <w:ind w:left="1418" w:hanging="1418"/>
        <w:contextualSpacing w:val="0"/>
      </w:pPr>
      <w:r w:rsidRPr="000B42C6">
        <w:t xml:space="preserve">Structural and individual costs of residential </w:t>
      </w:r>
      <w:r w:rsidR="00641A55">
        <w:t>aged care services in Australia</w:t>
      </w:r>
    </w:p>
    <w:p w:rsidR="00AB239C" w:rsidRPr="000B42C6" w:rsidRDefault="00AB239C" w:rsidP="00641A55">
      <w:pPr>
        <w:pStyle w:val="ListParagraph"/>
        <w:numPr>
          <w:ilvl w:val="0"/>
          <w:numId w:val="7"/>
        </w:numPr>
        <w:spacing w:after="240"/>
        <w:ind w:left="1418" w:hanging="1418"/>
        <w:contextualSpacing w:val="0"/>
      </w:pPr>
      <w:r w:rsidRPr="000B42C6">
        <w:t>Modelling the im</w:t>
      </w:r>
      <w:r w:rsidR="00641A55">
        <w:t>pact of the AN-ACC in Australia</w:t>
      </w:r>
    </w:p>
    <w:p w:rsidR="00AB239C" w:rsidRPr="000B42C6" w:rsidRDefault="00DB2703" w:rsidP="00641A55">
      <w:pPr>
        <w:pStyle w:val="ListParagraph"/>
        <w:numPr>
          <w:ilvl w:val="0"/>
          <w:numId w:val="7"/>
        </w:numPr>
        <w:spacing w:after="240"/>
        <w:ind w:left="1418" w:hanging="1418"/>
        <w:contextualSpacing w:val="0"/>
      </w:pPr>
      <w:r w:rsidRPr="000B42C6">
        <w:t>AN-ACC: A f</w:t>
      </w:r>
      <w:r w:rsidR="00AB239C" w:rsidRPr="000B42C6">
        <w:t>unding model for t</w:t>
      </w:r>
      <w:r w:rsidR="00641A55">
        <w:t>he residential aged care sector</w:t>
      </w:r>
    </w:p>
    <w:p w:rsidR="00AB239C" w:rsidRPr="000B42C6" w:rsidRDefault="00AB239C" w:rsidP="00641A55">
      <w:pPr>
        <w:pStyle w:val="ListParagraph"/>
        <w:numPr>
          <w:ilvl w:val="0"/>
          <w:numId w:val="7"/>
        </w:numPr>
        <w:spacing w:after="240"/>
        <w:ind w:left="1418" w:hanging="1418"/>
        <w:contextualSpacing w:val="0"/>
        <w:rPr>
          <w:b/>
        </w:rPr>
      </w:pPr>
      <w:r w:rsidRPr="000B42C6">
        <w:rPr>
          <w:b/>
        </w:rPr>
        <w:t>AN-ACC: A national classification and funding model for residential aged care: Synthesis and consolidated recommendations</w:t>
      </w:r>
      <w:r w:rsidR="00453281" w:rsidRPr="000B42C6">
        <w:rPr>
          <w:b/>
        </w:rPr>
        <w:t xml:space="preserve"> </w:t>
      </w:r>
      <w:r w:rsidR="00453281" w:rsidRPr="000B42C6">
        <w:t>(this report)</w:t>
      </w:r>
    </w:p>
    <w:p w:rsidR="00AB239C" w:rsidRPr="000B42C6" w:rsidRDefault="00AB239C" w:rsidP="00641A55">
      <w:pPr>
        <w:pStyle w:val="ListParagraph"/>
        <w:numPr>
          <w:ilvl w:val="0"/>
          <w:numId w:val="7"/>
        </w:numPr>
        <w:spacing w:after="240"/>
        <w:ind w:left="1418" w:hanging="1418"/>
        <w:contextualSpacing w:val="0"/>
      </w:pPr>
      <w:r w:rsidRPr="000B42C6">
        <w:t>AN-ACC Technical appendices</w:t>
      </w:r>
    </w:p>
    <w:p w:rsidR="00E911B7" w:rsidRDefault="00641A55" w:rsidP="00641A55">
      <w:pPr>
        <w:spacing w:before="3000" w:after="240"/>
      </w:pPr>
      <w:r w:rsidRPr="000B42C6">
        <w:rPr>
          <w:b/>
        </w:rPr>
        <w:t>Suggested citation:</w:t>
      </w:r>
    </w:p>
    <w:p w:rsidR="00E911B7" w:rsidRDefault="00641A55" w:rsidP="00641A55">
      <w:pPr>
        <w:spacing w:before="240"/>
      </w:pPr>
      <w:r w:rsidRPr="000B42C6">
        <w:t>Eagar K et al</w:t>
      </w:r>
      <w:r>
        <w:t>.</w:t>
      </w:r>
      <w:r w:rsidRPr="000B42C6">
        <w:t xml:space="preserve"> (201</w:t>
      </w:r>
      <w:r>
        <w:t>9</w:t>
      </w:r>
      <w:r w:rsidRPr="000B42C6">
        <w:t xml:space="preserve">) </w:t>
      </w:r>
      <w:r w:rsidRPr="000B42C6">
        <w:rPr>
          <w:i/>
        </w:rPr>
        <w:t>AN-ACC: A national classification and funding model for residential aged care: Synthesis and consolidated recommendations. The Resource Utilisation and Classification Study: Report 6</w:t>
      </w:r>
      <w:r w:rsidRPr="000B42C6">
        <w:t>. Australian Health Services Research Insti</w:t>
      </w:r>
      <w:r>
        <w:t>tute, University of Wollongong.</w:t>
      </w:r>
      <w:r w:rsidRPr="000B42C6">
        <w:t xml:space="preserve"> ISBN: 978-1-74128-300-6</w:t>
      </w:r>
      <w:r>
        <w:t>.</w:t>
      </w:r>
    </w:p>
    <w:p w:rsidR="00003E81" w:rsidRPr="000B42C6" w:rsidRDefault="00003E81" w:rsidP="00003E81"/>
    <w:p w:rsidR="00003E81" w:rsidRPr="000B42C6" w:rsidRDefault="00003E81" w:rsidP="00003E81">
      <w:pPr>
        <w:sectPr w:rsidR="00003E81" w:rsidRPr="000B42C6" w:rsidSect="00003E81">
          <w:headerReference w:type="default" r:id="rId15"/>
          <w:footerReference w:type="default" r:id="rId16"/>
          <w:pgSz w:w="11906" w:h="16838"/>
          <w:pgMar w:top="1134" w:right="1134" w:bottom="1021" w:left="1418" w:header="709" w:footer="709" w:gutter="0"/>
          <w:pgNumType w:start="1"/>
          <w:cols w:space="708"/>
          <w:docGrid w:linePitch="360"/>
        </w:sectPr>
      </w:pPr>
    </w:p>
    <w:bookmarkStart w:id="0" w:name="_Toc455046509" w:displacedByCustomXml="next"/>
    <w:bookmarkStart w:id="1" w:name="_Toc454984416" w:displacedByCustomXml="next"/>
    <w:bookmarkStart w:id="2" w:name="_Toc420883505" w:displacedByCustomXml="next"/>
    <w:bookmarkStart w:id="3" w:name="_Toc420884055" w:displacedByCustomXml="next"/>
    <w:bookmarkStart w:id="4" w:name="_Toc420921206" w:displacedByCustomXml="next"/>
    <w:bookmarkStart w:id="5" w:name="_Toc420928744" w:displacedByCustomXml="next"/>
    <w:bookmarkStart w:id="6" w:name="_Toc454355989" w:displacedByCustomXml="next"/>
    <w:sdt>
      <w:sdtPr>
        <w:rPr>
          <w:rFonts w:ascii="Times New Roman" w:hAnsi="Times New Roman"/>
          <w:b w:val="0"/>
          <w:bCs/>
          <w:noProof w:val="0"/>
          <w:sz w:val="24"/>
          <w:szCs w:val="24"/>
        </w:rPr>
        <w:id w:val="-1505884234"/>
        <w:docPartObj>
          <w:docPartGallery w:val="Table of Contents"/>
          <w:docPartUnique/>
        </w:docPartObj>
      </w:sdtPr>
      <w:sdtEndPr>
        <w:rPr>
          <w:rFonts w:asciiTheme="minorHAnsi" w:hAnsiTheme="minorHAnsi"/>
          <w:bCs w:val="0"/>
        </w:rPr>
      </w:sdtEndPr>
      <w:sdtContent>
        <w:p w:rsidR="00003E81" w:rsidRPr="00641A55" w:rsidRDefault="00003E81" w:rsidP="00FF1D4B">
          <w:pPr>
            <w:pStyle w:val="TOC1"/>
            <w:spacing w:after="0"/>
            <w:rPr>
              <w:sz w:val="40"/>
              <w:szCs w:val="40"/>
            </w:rPr>
          </w:pPr>
          <w:r w:rsidRPr="00641A55">
            <w:rPr>
              <w:sz w:val="40"/>
              <w:szCs w:val="40"/>
            </w:rPr>
            <w:t>Contents</w:t>
          </w:r>
          <w:bookmarkEnd w:id="6"/>
          <w:bookmarkEnd w:id="5"/>
          <w:bookmarkEnd w:id="4"/>
          <w:bookmarkEnd w:id="3"/>
          <w:bookmarkEnd w:id="2"/>
          <w:bookmarkEnd w:id="1"/>
          <w:bookmarkEnd w:id="0"/>
        </w:p>
        <w:p w:rsidR="00857C72" w:rsidRDefault="0014560C">
          <w:pPr>
            <w:pStyle w:val="TOC1"/>
            <w:rPr>
              <w:rFonts w:eastAsiaTheme="minorEastAsia" w:cstheme="minorBidi"/>
              <w:b w:val="0"/>
            </w:rPr>
          </w:pPr>
          <w:r w:rsidRPr="000B42C6">
            <w:rPr>
              <w:sz w:val="20"/>
              <w:szCs w:val="20"/>
            </w:rPr>
            <w:fldChar w:fldCharType="begin"/>
          </w:r>
          <w:r w:rsidRPr="000B42C6">
            <w:rPr>
              <w:sz w:val="20"/>
              <w:szCs w:val="20"/>
            </w:rPr>
            <w:instrText xml:space="preserve"> TOC \o "1-3" </w:instrText>
          </w:r>
          <w:r w:rsidRPr="000B42C6">
            <w:rPr>
              <w:sz w:val="20"/>
              <w:szCs w:val="20"/>
            </w:rPr>
            <w:fldChar w:fldCharType="separate"/>
          </w:r>
          <w:r w:rsidR="00857C72">
            <w:t>Acknowledgements</w:t>
          </w:r>
          <w:r w:rsidR="00857C72">
            <w:tab/>
          </w:r>
          <w:r w:rsidR="00857C72">
            <w:fldChar w:fldCharType="begin"/>
          </w:r>
          <w:r w:rsidR="00857C72">
            <w:instrText xml:space="preserve"> PAGEREF _Toc2005054 \h </w:instrText>
          </w:r>
          <w:r w:rsidR="00857C72">
            <w:fldChar w:fldCharType="separate"/>
          </w:r>
          <w:r w:rsidR="00157C3A">
            <w:t>i</w:t>
          </w:r>
          <w:r w:rsidR="00857C72">
            <w:fldChar w:fldCharType="end"/>
          </w:r>
        </w:p>
        <w:p w:rsidR="00857C72" w:rsidRDefault="00857C72">
          <w:pPr>
            <w:pStyle w:val="TOC1"/>
            <w:rPr>
              <w:rFonts w:eastAsiaTheme="minorEastAsia" w:cstheme="minorBidi"/>
              <w:b w:val="0"/>
            </w:rPr>
          </w:pPr>
          <w:r>
            <w:t>Abbreviations</w:t>
          </w:r>
          <w:r>
            <w:tab/>
          </w:r>
          <w:r>
            <w:fldChar w:fldCharType="begin"/>
          </w:r>
          <w:r>
            <w:instrText xml:space="preserve"> PAGEREF _Toc2005055 \h </w:instrText>
          </w:r>
          <w:r>
            <w:fldChar w:fldCharType="separate"/>
          </w:r>
          <w:r w:rsidR="00157C3A">
            <w:t>ii</w:t>
          </w:r>
          <w:r>
            <w:fldChar w:fldCharType="end"/>
          </w:r>
        </w:p>
        <w:p w:rsidR="00857C72" w:rsidRDefault="00857C72">
          <w:pPr>
            <w:pStyle w:val="TOC1"/>
            <w:rPr>
              <w:rFonts w:eastAsiaTheme="minorEastAsia" w:cstheme="minorBidi"/>
              <w:b w:val="0"/>
            </w:rPr>
          </w:pPr>
          <w:r>
            <w:t>Glossary of Terms</w:t>
          </w:r>
          <w:r>
            <w:tab/>
          </w:r>
          <w:r>
            <w:fldChar w:fldCharType="begin"/>
          </w:r>
          <w:r>
            <w:instrText xml:space="preserve"> PAGEREF _Toc2005056 \h </w:instrText>
          </w:r>
          <w:r>
            <w:fldChar w:fldCharType="separate"/>
          </w:r>
          <w:r w:rsidR="00157C3A">
            <w:t>iii</w:t>
          </w:r>
          <w:r>
            <w:fldChar w:fldCharType="end"/>
          </w:r>
        </w:p>
        <w:p w:rsidR="00857C72" w:rsidRDefault="00857C72">
          <w:pPr>
            <w:pStyle w:val="TOC1"/>
            <w:rPr>
              <w:rFonts w:eastAsiaTheme="minorEastAsia" w:cstheme="minorBidi"/>
              <w:b w:val="0"/>
            </w:rPr>
          </w:pPr>
          <w:r>
            <w:t>1</w:t>
          </w:r>
          <w:r>
            <w:rPr>
              <w:rFonts w:eastAsiaTheme="minorEastAsia" w:cstheme="minorBidi"/>
              <w:b w:val="0"/>
            </w:rPr>
            <w:tab/>
          </w:r>
          <w:r>
            <w:t>Introduction and background</w:t>
          </w:r>
          <w:r>
            <w:tab/>
          </w:r>
          <w:r>
            <w:fldChar w:fldCharType="begin"/>
          </w:r>
          <w:r>
            <w:instrText xml:space="preserve"> PAGEREF _Toc2005057 \h </w:instrText>
          </w:r>
          <w:r>
            <w:fldChar w:fldCharType="separate"/>
          </w:r>
          <w:r w:rsidR="00157C3A">
            <w:t>1</w:t>
          </w:r>
          <w:r>
            <w:fldChar w:fldCharType="end"/>
          </w:r>
        </w:p>
        <w:p w:rsidR="00857C72" w:rsidRDefault="00857C72">
          <w:pPr>
            <w:pStyle w:val="TOC2"/>
            <w:rPr>
              <w:rFonts w:eastAsiaTheme="minorEastAsia" w:cstheme="minorBidi"/>
              <w:sz w:val="22"/>
              <w:szCs w:val="22"/>
            </w:rPr>
          </w:pPr>
          <w:r>
            <w:t>1.1</w:t>
          </w:r>
          <w:r>
            <w:rPr>
              <w:rFonts w:eastAsiaTheme="minorEastAsia" w:cstheme="minorBidi"/>
              <w:sz w:val="22"/>
              <w:szCs w:val="22"/>
            </w:rPr>
            <w:tab/>
          </w:r>
          <w:r>
            <w:t>Key elements of the AN-ACC assessment and funding model</w:t>
          </w:r>
          <w:r>
            <w:tab/>
          </w:r>
          <w:r>
            <w:fldChar w:fldCharType="begin"/>
          </w:r>
          <w:r>
            <w:instrText xml:space="preserve"> PAGEREF _Toc2005058 \h </w:instrText>
          </w:r>
          <w:r>
            <w:fldChar w:fldCharType="separate"/>
          </w:r>
          <w:r w:rsidR="00157C3A">
            <w:t>1</w:t>
          </w:r>
          <w:r>
            <w:fldChar w:fldCharType="end"/>
          </w:r>
        </w:p>
        <w:p w:rsidR="00857C72" w:rsidRDefault="00857C72">
          <w:pPr>
            <w:pStyle w:val="TOC2"/>
            <w:rPr>
              <w:rFonts w:eastAsiaTheme="minorEastAsia" w:cstheme="minorBidi"/>
              <w:sz w:val="22"/>
              <w:szCs w:val="22"/>
            </w:rPr>
          </w:pPr>
          <w:r>
            <w:t>1.2</w:t>
          </w:r>
          <w:r>
            <w:rPr>
              <w:rFonts w:eastAsiaTheme="minorEastAsia" w:cstheme="minorBidi"/>
              <w:sz w:val="22"/>
              <w:szCs w:val="22"/>
            </w:rPr>
            <w:tab/>
          </w:r>
          <w:r>
            <w:t>The four RUCS studies</w:t>
          </w:r>
          <w:r>
            <w:tab/>
          </w:r>
          <w:r>
            <w:fldChar w:fldCharType="begin"/>
          </w:r>
          <w:r>
            <w:instrText xml:space="preserve"> PAGEREF _Toc2005059 \h </w:instrText>
          </w:r>
          <w:r>
            <w:fldChar w:fldCharType="separate"/>
          </w:r>
          <w:r w:rsidR="00157C3A">
            <w:t>2</w:t>
          </w:r>
          <w:r>
            <w:fldChar w:fldCharType="end"/>
          </w:r>
        </w:p>
        <w:p w:rsidR="00857C72" w:rsidRDefault="00857C72">
          <w:pPr>
            <w:pStyle w:val="TOC2"/>
            <w:rPr>
              <w:rFonts w:eastAsiaTheme="minorEastAsia" w:cstheme="minorBidi"/>
              <w:sz w:val="22"/>
              <w:szCs w:val="22"/>
            </w:rPr>
          </w:pPr>
          <w:r>
            <w:t>1.3</w:t>
          </w:r>
          <w:r>
            <w:rPr>
              <w:rFonts w:eastAsiaTheme="minorEastAsia" w:cstheme="minorBidi"/>
              <w:sz w:val="22"/>
              <w:szCs w:val="22"/>
            </w:rPr>
            <w:tab/>
          </w:r>
          <w:r>
            <w:t>The RUCS reports</w:t>
          </w:r>
          <w:r>
            <w:tab/>
          </w:r>
          <w:r>
            <w:fldChar w:fldCharType="begin"/>
          </w:r>
          <w:r>
            <w:instrText xml:space="preserve"> PAGEREF _Toc2005060 \h </w:instrText>
          </w:r>
          <w:r>
            <w:fldChar w:fldCharType="separate"/>
          </w:r>
          <w:r w:rsidR="00157C3A">
            <w:t>3</w:t>
          </w:r>
          <w:r>
            <w:fldChar w:fldCharType="end"/>
          </w:r>
        </w:p>
        <w:p w:rsidR="00857C72" w:rsidRDefault="00857C72">
          <w:pPr>
            <w:pStyle w:val="TOC3"/>
            <w:rPr>
              <w:rFonts w:eastAsiaTheme="minorEastAsia" w:cstheme="minorBidi"/>
              <w:sz w:val="22"/>
              <w:szCs w:val="22"/>
            </w:rPr>
          </w:pPr>
          <w:r>
            <w:t>1.3.1</w:t>
          </w:r>
          <w:r>
            <w:rPr>
              <w:rFonts w:eastAsiaTheme="minorEastAsia" w:cstheme="minorBidi"/>
              <w:sz w:val="22"/>
              <w:szCs w:val="22"/>
            </w:rPr>
            <w:tab/>
          </w:r>
          <w:r>
            <w:t>Report 1: The Australian National Aged Care Classification (AN-ACC)</w:t>
          </w:r>
          <w:r>
            <w:tab/>
          </w:r>
          <w:r>
            <w:fldChar w:fldCharType="begin"/>
          </w:r>
          <w:r>
            <w:instrText xml:space="preserve"> PAGEREF _Toc2005061 \h </w:instrText>
          </w:r>
          <w:r>
            <w:fldChar w:fldCharType="separate"/>
          </w:r>
          <w:r w:rsidR="00157C3A">
            <w:t>3</w:t>
          </w:r>
          <w:r>
            <w:fldChar w:fldCharType="end"/>
          </w:r>
        </w:p>
        <w:p w:rsidR="00857C72" w:rsidRDefault="00857C72">
          <w:pPr>
            <w:pStyle w:val="TOC3"/>
            <w:rPr>
              <w:rFonts w:eastAsiaTheme="minorEastAsia" w:cstheme="minorBidi"/>
              <w:sz w:val="22"/>
              <w:szCs w:val="22"/>
            </w:rPr>
          </w:pPr>
          <w:r>
            <w:t>1.3.2</w:t>
          </w:r>
          <w:r>
            <w:rPr>
              <w:rFonts w:eastAsiaTheme="minorEastAsia" w:cstheme="minorBidi"/>
              <w:sz w:val="22"/>
              <w:szCs w:val="22"/>
            </w:rPr>
            <w:tab/>
          </w:r>
          <w:r>
            <w:t>Report 2: The AN-ACC ass</w:t>
          </w:r>
          <w:bookmarkStart w:id="7" w:name="_GoBack"/>
          <w:bookmarkEnd w:id="7"/>
          <w:r>
            <w:t>essment model</w:t>
          </w:r>
          <w:r>
            <w:tab/>
          </w:r>
          <w:r>
            <w:fldChar w:fldCharType="begin"/>
          </w:r>
          <w:r>
            <w:instrText xml:space="preserve"> PAGEREF _Toc2005062 \h </w:instrText>
          </w:r>
          <w:r>
            <w:fldChar w:fldCharType="separate"/>
          </w:r>
          <w:r w:rsidR="00157C3A">
            <w:t>3</w:t>
          </w:r>
          <w:r>
            <w:fldChar w:fldCharType="end"/>
          </w:r>
        </w:p>
        <w:p w:rsidR="00857C72" w:rsidRDefault="00857C72">
          <w:pPr>
            <w:pStyle w:val="TOC3"/>
            <w:rPr>
              <w:rFonts w:eastAsiaTheme="minorEastAsia" w:cstheme="minorBidi"/>
              <w:sz w:val="22"/>
              <w:szCs w:val="22"/>
            </w:rPr>
          </w:pPr>
          <w:r>
            <w:t>1.3.3</w:t>
          </w:r>
          <w:r>
            <w:rPr>
              <w:rFonts w:eastAsiaTheme="minorEastAsia" w:cstheme="minorBidi"/>
              <w:sz w:val="22"/>
              <w:szCs w:val="22"/>
            </w:rPr>
            <w:tab/>
          </w:r>
          <w:r>
            <w:t>Report 3: Structural and individual costs of residential aged care services in Australia</w:t>
          </w:r>
          <w:r>
            <w:tab/>
          </w:r>
          <w:r>
            <w:fldChar w:fldCharType="begin"/>
          </w:r>
          <w:r>
            <w:instrText xml:space="preserve"> PAGEREF _Toc2005063 \h </w:instrText>
          </w:r>
          <w:r>
            <w:fldChar w:fldCharType="separate"/>
          </w:r>
          <w:r w:rsidR="00157C3A">
            <w:t>3</w:t>
          </w:r>
          <w:r>
            <w:fldChar w:fldCharType="end"/>
          </w:r>
        </w:p>
        <w:p w:rsidR="00857C72" w:rsidRDefault="00857C72">
          <w:pPr>
            <w:pStyle w:val="TOC3"/>
            <w:rPr>
              <w:rFonts w:eastAsiaTheme="minorEastAsia" w:cstheme="minorBidi"/>
              <w:sz w:val="22"/>
              <w:szCs w:val="22"/>
            </w:rPr>
          </w:pPr>
          <w:r>
            <w:t>1.3.4</w:t>
          </w:r>
          <w:r>
            <w:rPr>
              <w:rFonts w:eastAsiaTheme="minorEastAsia" w:cstheme="minorBidi"/>
              <w:sz w:val="22"/>
              <w:szCs w:val="22"/>
            </w:rPr>
            <w:tab/>
          </w:r>
          <w:r>
            <w:t>Report 4: Modelling the impact of the AN-ACC in Australia</w:t>
          </w:r>
          <w:r>
            <w:tab/>
          </w:r>
          <w:r>
            <w:fldChar w:fldCharType="begin"/>
          </w:r>
          <w:r>
            <w:instrText xml:space="preserve"> PAGEREF _Toc2005064 \h </w:instrText>
          </w:r>
          <w:r>
            <w:fldChar w:fldCharType="separate"/>
          </w:r>
          <w:r w:rsidR="00157C3A">
            <w:t>3</w:t>
          </w:r>
          <w:r>
            <w:fldChar w:fldCharType="end"/>
          </w:r>
        </w:p>
        <w:p w:rsidR="00857C72" w:rsidRDefault="00857C72">
          <w:pPr>
            <w:pStyle w:val="TOC3"/>
            <w:rPr>
              <w:rFonts w:eastAsiaTheme="minorEastAsia" w:cstheme="minorBidi"/>
              <w:sz w:val="22"/>
              <w:szCs w:val="22"/>
            </w:rPr>
          </w:pPr>
          <w:r>
            <w:t>1.3.5</w:t>
          </w:r>
          <w:r>
            <w:rPr>
              <w:rFonts w:eastAsiaTheme="minorEastAsia" w:cstheme="minorBidi"/>
              <w:sz w:val="22"/>
              <w:szCs w:val="22"/>
            </w:rPr>
            <w:tab/>
          </w:r>
          <w:r>
            <w:t>Report 5: AN-ACC: A funding model for the residential aged care sector</w:t>
          </w:r>
          <w:r>
            <w:tab/>
          </w:r>
          <w:r>
            <w:fldChar w:fldCharType="begin"/>
          </w:r>
          <w:r>
            <w:instrText xml:space="preserve"> PAGEREF _Toc2005065 \h </w:instrText>
          </w:r>
          <w:r>
            <w:fldChar w:fldCharType="separate"/>
          </w:r>
          <w:r w:rsidR="00157C3A">
            <w:t>4</w:t>
          </w:r>
          <w:r>
            <w:fldChar w:fldCharType="end"/>
          </w:r>
        </w:p>
        <w:p w:rsidR="00857C72" w:rsidRDefault="00857C72" w:rsidP="00857C72">
          <w:pPr>
            <w:pStyle w:val="TOC3"/>
            <w:ind w:left="1200" w:hanging="720"/>
            <w:rPr>
              <w:rFonts w:eastAsiaTheme="minorEastAsia" w:cstheme="minorBidi"/>
              <w:sz w:val="22"/>
              <w:szCs w:val="22"/>
            </w:rPr>
          </w:pPr>
          <w:r>
            <w:t>1.3.6</w:t>
          </w:r>
          <w:r>
            <w:rPr>
              <w:rFonts w:eastAsiaTheme="minorEastAsia" w:cstheme="minorBidi"/>
              <w:sz w:val="22"/>
              <w:szCs w:val="22"/>
            </w:rPr>
            <w:tab/>
          </w:r>
          <w:r>
            <w:t>Report 6: AN-ACC: A national classification and funding model for residential aged care: synthesis and consolidated recommendations</w:t>
          </w:r>
          <w:r>
            <w:tab/>
          </w:r>
          <w:r>
            <w:fldChar w:fldCharType="begin"/>
          </w:r>
          <w:r>
            <w:instrText xml:space="preserve"> PAGEREF _Toc2005066 \h </w:instrText>
          </w:r>
          <w:r>
            <w:fldChar w:fldCharType="separate"/>
          </w:r>
          <w:r w:rsidR="00157C3A">
            <w:t>4</w:t>
          </w:r>
          <w:r>
            <w:fldChar w:fldCharType="end"/>
          </w:r>
        </w:p>
        <w:p w:rsidR="00857C72" w:rsidRDefault="00857C72">
          <w:pPr>
            <w:pStyle w:val="TOC3"/>
            <w:rPr>
              <w:rFonts w:eastAsiaTheme="minorEastAsia" w:cstheme="minorBidi"/>
              <w:sz w:val="22"/>
              <w:szCs w:val="22"/>
            </w:rPr>
          </w:pPr>
          <w:r>
            <w:t>1.3.7</w:t>
          </w:r>
          <w:r>
            <w:rPr>
              <w:rFonts w:eastAsiaTheme="minorEastAsia" w:cstheme="minorBidi"/>
              <w:sz w:val="22"/>
              <w:szCs w:val="22"/>
            </w:rPr>
            <w:tab/>
          </w:r>
          <w:r>
            <w:t>Report 7: AN-ACC Technical appendices</w:t>
          </w:r>
          <w:r>
            <w:tab/>
          </w:r>
          <w:r>
            <w:fldChar w:fldCharType="begin"/>
          </w:r>
          <w:r>
            <w:instrText xml:space="preserve"> PAGEREF _Toc2005067 \h </w:instrText>
          </w:r>
          <w:r>
            <w:fldChar w:fldCharType="separate"/>
          </w:r>
          <w:r w:rsidR="00157C3A">
            <w:t>4</w:t>
          </w:r>
          <w:r>
            <w:fldChar w:fldCharType="end"/>
          </w:r>
        </w:p>
        <w:p w:rsidR="00857C72" w:rsidRDefault="00857C72">
          <w:pPr>
            <w:pStyle w:val="TOC1"/>
            <w:rPr>
              <w:rFonts w:eastAsiaTheme="minorEastAsia" w:cstheme="minorBidi"/>
              <w:b w:val="0"/>
            </w:rPr>
          </w:pPr>
          <w:r>
            <w:t>2</w:t>
          </w:r>
          <w:r>
            <w:rPr>
              <w:rFonts w:eastAsiaTheme="minorEastAsia" w:cstheme="minorBidi"/>
              <w:b w:val="0"/>
            </w:rPr>
            <w:tab/>
          </w:r>
          <w:r>
            <w:t>AN-ACC Version 1.0 classification system</w:t>
          </w:r>
          <w:r>
            <w:tab/>
          </w:r>
          <w:r>
            <w:fldChar w:fldCharType="begin"/>
          </w:r>
          <w:r>
            <w:instrText xml:space="preserve"> PAGEREF _Toc2005068 \h </w:instrText>
          </w:r>
          <w:r>
            <w:fldChar w:fldCharType="separate"/>
          </w:r>
          <w:r w:rsidR="00157C3A">
            <w:t>5</w:t>
          </w:r>
          <w:r>
            <w:fldChar w:fldCharType="end"/>
          </w:r>
        </w:p>
        <w:p w:rsidR="00857C72" w:rsidRDefault="00857C72">
          <w:pPr>
            <w:pStyle w:val="TOC2"/>
            <w:rPr>
              <w:rFonts w:eastAsiaTheme="minorEastAsia" w:cstheme="minorBidi"/>
              <w:sz w:val="22"/>
              <w:szCs w:val="22"/>
            </w:rPr>
          </w:pPr>
          <w:r>
            <w:t>2.1</w:t>
          </w:r>
          <w:r>
            <w:rPr>
              <w:rFonts w:eastAsiaTheme="minorEastAsia" w:cstheme="minorBidi"/>
              <w:sz w:val="22"/>
              <w:szCs w:val="22"/>
            </w:rPr>
            <w:tab/>
          </w:r>
          <w:r>
            <w:t>The AN-ACC as an information tool to inform input measures</w:t>
          </w:r>
          <w:r>
            <w:tab/>
          </w:r>
          <w:r>
            <w:fldChar w:fldCharType="begin"/>
          </w:r>
          <w:r>
            <w:instrText xml:space="preserve"> PAGEREF _Toc2005069 \h </w:instrText>
          </w:r>
          <w:r>
            <w:fldChar w:fldCharType="separate"/>
          </w:r>
          <w:r w:rsidR="00157C3A">
            <w:t>5</w:t>
          </w:r>
          <w:r>
            <w:fldChar w:fldCharType="end"/>
          </w:r>
        </w:p>
        <w:p w:rsidR="00857C72" w:rsidRDefault="00857C72">
          <w:pPr>
            <w:pStyle w:val="TOC2"/>
            <w:rPr>
              <w:rFonts w:eastAsiaTheme="minorEastAsia" w:cstheme="minorBidi"/>
              <w:sz w:val="22"/>
              <w:szCs w:val="22"/>
            </w:rPr>
          </w:pPr>
          <w:r>
            <w:t>2.2</w:t>
          </w:r>
          <w:r>
            <w:rPr>
              <w:rFonts w:eastAsiaTheme="minorEastAsia" w:cstheme="minorBidi"/>
              <w:sz w:val="22"/>
              <w:szCs w:val="22"/>
            </w:rPr>
            <w:tab/>
          </w:r>
          <w:r>
            <w:t>The AN-ACC as an information tool to measure and fund outputs</w:t>
          </w:r>
          <w:r>
            <w:tab/>
          </w:r>
          <w:r>
            <w:fldChar w:fldCharType="begin"/>
          </w:r>
          <w:r>
            <w:instrText xml:space="preserve"> PAGEREF _Toc2005070 \h </w:instrText>
          </w:r>
          <w:r>
            <w:fldChar w:fldCharType="separate"/>
          </w:r>
          <w:r w:rsidR="00157C3A">
            <w:t>7</w:t>
          </w:r>
          <w:r>
            <w:fldChar w:fldCharType="end"/>
          </w:r>
        </w:p>
        <w:p w:rsidR="00857C72" w:rsidRDefault="00857C72">
          <w:pPr>
            <w:pStyle w:val="TOC2"/>
            <w:rPr>
              <w:rFonts w:eastAsiaTheme="minorEastAsia" w:cstheme="minorBidi"/>
              <w:sz w:val="22"/>
              <w:szCs w:val="22"/>
            </w:rPr>
          </w:pPr>
          <w:r>
            <w:t>2.3</w:t>
          </w:r>
          <w:r>
            <w:rPr>
              <w:rFonts w:eastAsiaTheme="minorEastAsia" w:cstheme="minorBidi"/>
              <w:sz w:val="22"/>
              <w:szCs w:val="22"/>
            </w:rPr>
            <w:tab/>
          </w:r>
          <w:r>
            <w:t>The AN-ACC as an information tool to meaningfully measure resident outcomes</w:t>
          </w:r>
          <w:r>
            <w:tab/>
          </w:r>
          <w:r>
            <w:fldChar w:fldCharType="begin"/>
          </w:r>
          <w:r>
            <w:instrText xml:space="preserve"> PAGEREF _Toc2005071 \h </w:instrText>
          </w:r>
          <w:r>
            <w:fldChar w:fldCharType="separate"/>
          </w:r>
          <w:r w:rsidR="00157C3A">
            <w:t>7</w:t>
          </w:r>
          <w:r>
            <w:fldChar w:fldCharType="end"/>
          </w:r>
        </w:p>
        <w:p w:rsidR="00857C72" w:rsidRDefault="00857C72">
          <w:pPr>
            <w:pStyle w:val="TOC1"/>
            <w:rPr>
              <w:rFonts w:eastAsiaTheme="minorEastAsia" w:cstheme="minorBidi"/>
              <w:b w:val="0"/>
            </w:rPr>
          </w:pPr>
          <w:r>
            <w:t>3</w:t>
          </w:r>
          <w:r>
            <w:rPr>
              <w:rFonts w:eastAsiaTheme="minorEastAsia" w:cstheme="minorBidi"/>
              <w:b w:val="0"/>
            </w:rPr>
            <w:tab/>
          </w:r>
          <w:r>
            <w:t>AN-ACC Version 1.0 assessment system</w:t>
          </w:r>
          <w:r>
            <w:tab/>
          </w:r>
          <w:r>
            <w:fldChar w:fldCharType="begin"/>
          </w:r>
          <w:r>
            <w:instrText xml:space="preserve"> PAGEREF _Toc2005072 \h </w:instrText>
          </w:r>
          <w:r>
            <w:fldChar w:fldCharType="separate"/>
          </w:r>
          <w:r w:rsidR="00157C3A">
            <w:t>8</w:t>
          </w:r>
          <w:r>
            <w:fldChar w:fldCharType="end"/>
          </w:r>
        </w:p>
        <w:p w:rsidR="00857C72" w:rsidRDefault="00857C72">
          <w:pPr>
            <w:pStyle w:val="TOC2"/>
            <w:rPr>
              <w:rFonts w:eastAsiaTheme="minorEastAsia" w:cstheme="minorBidi"/>
              <w:sz w:val="22"/>
              <w:szCs w:val="22"/>
            </w:rPr>
          </w:pPr>
          <w:r>
            <w:t>3.1</w:t>
          </w:r>
          <w:r>
            <w:rPr>
              <w:rFonts w:eastAsiaTheme="minorEastAsia" w:cstheme="minorBidi"/>
              <w:sz w:val="22"/>
              <w:szCs w:val="22"/>
            </w:rPr>
            <w:tab/>
          </w:r>
          <w:r>
            <w:t>Resident assessment for funding is separate from resident assessment for care planning purposes</w:t>
          </w:r>
          <w:r>
            <w:tab/>
          </w:r>
          <w:r>
            <w:fldChar w:fldCharType="begin"/>
          </w:r>
          <w:r>
            <w:instrText xml:space="preserve"> PAGEREF _Toc2005073 \h </w:instrText>
          </w:r>
          <w:r>
            <w:fldChar w:fldCharType="separate"/>
          </w:r>
          <w:r w:rsidR="00157C3A">
            <w:t>8</w:t>
          </w:r>
          <w:r>
            <w:fldChar w:fldCharType="end"/>
          </w:r>
        </w:p>
        <w:p w:rsidR="00857C72" w:rsidRDefault="00857C72">
          <w:pPr>
            <w:pStyle w:val="TOC2"/>
            <w:rPr>
              <w:rFonts w:eastAsiaTheme="minorEastAsia" w:cstheme="minorBidi"/>
              <w:sz w:val="22"/>
              <w:szCs w:val="22"/>
            </w:rPr>
          </w:pPr>
          <w:r>
            <w:t>3.2</w:t>
          </w:r>
          <w:r>
            <w:rPr>
              <w:rFonts w:eastAsiaTheme="minorEastAsia" w:cstheme="minorBidi"/>
              <w:sz w:val="22"/>
              <w:szCs w:val="22"/>
            </w:rPr>
            <w:tab/>
          </w:r>
          <w:r>
            <w:t>The AN-ACC funding assessment</w:t>
          </w:r>
          <w:r>
            <w:tab/>
          </w:r>
          <w:r>
            <w:fldChar w:fldCharType="begin"/>
          </w:r>
          <w:r>
            <w:instrText xml:space="preserve"> PAGEREF _Toc2005074 \h </w:instrText>
          </w:r>
          <w:r>
            <w:fldChar w:fldCharType="separate"/>
          </w:r>
          <w:r w:rsidR="00157C3A">
            <w:t>8</w:t>
          </w:r>
          <w:r>
            <w:fldChar w:fldCharType="end"/>
          </w:r>
        </w:p>
        <w:p w:rsidR="00857C72" w:rsidRDefault="00857C72">
          <w:pPr>
            <w:pStyle w:val="TOC2"/>
            <w:rPr>
              <w:rFonts w:eastAsiaTheme="minorEastAsia" w:cstheme="minorBidi"/>
              <w:sz w:val="22"/>
              <w:szCs w:val="22"/>
            </w:rPr>
          </w:pPr>
          <w:r>
            <w:t>3.3</w:t>
          </w:r>
          <w:r>
            <w:rPr>
              <w:rFonts w:eastAsiaTheme="minorEastAsia" w:cstheme="minorBidi"/>
              <w:sz w:val="22"/>
              <w:szCs w:val="22"/>
            </w:rPr>
            <w:tab/>
          </w:r>
          <w:r>
            <w:t>Reassessment protocols</w:t>
          </w:r>
          <w:r>
            <w:tab/>
          </w:r>
          <w:r>
            <w:fldChar w:fldCharType="begin"/>
          </w:r>
          <w:r>
            <w:instrText xml:space="preserve"> PAGEREF _Toc2005075 \h </w:instrText>
          </w:r>
          <w:r>
            <w:fldChar w:fldCharType="separate"/>
          </w:r>
          <w:r w:rsidR="00157C3A">
            <w:t>9</w:t>
          </w:r>
          <w:r>
            <w:fldChar w:fldCharType="end"/>
          </w:r>
        </w:p>
        <w:p w:rsidR="00857C72" w:rsidRDefault="00857C72">
          <w:pPr>
            <w:pStyle w:val="TOC2"/>
            <w:rPr>
              <w:rFonts w:eastAsiaTheme="minorEastAsia" w:cstheme="minorBidi"/>
              <w:sz w:val="22"/>
              <w:szCs w:val="22"/>
            </w:rPr>
          </w:pPr>
          <w:r>
            <w:t>3.4</w:t>
          </w:r>
          <w:r>
            <w:rPr>
              <w:rFonts w:eastAsiaTheme="minorEastAsia" w:cstheme="minorBidi"/>
              <w:sz w:val="22"/>
              <w:szCs w:val="22"/>
            </w:rPr>
            <w:tab/>
          </w:r>
          <w:r>
            <w:t>Assessment for care planning purposes</w:t>
          </w:r>
          <w:r>
            <w:tab/>
          </w:r>
          <w:r>
            <w:fldChar w:fldCharType="begin"/>
          </w:r>
          <w:r>
            <w:instrText xml:space="preserve"> PAGEREF _Toc2005076 \h </w:instrText>
          </w:r>
          <w:r>
            <w:fldChar w:fldCharType="separate"/>
          </w:r>
          <w:r w:rsidR="00157C3A">
            <w:t>10</w:t>
          </w:r>
          <w:r>
            <w:fldChar w:fldCharType="end"/>
          </w:r>
        </w:p>
        <w:p w:rsidR="00857C72" w:rsidRDefault="00857C72">
          <w:pPr>
            <w:pStyle w:val="TOC1"/>
            <w:rPr>
              <w:rFonts w:eastAsiaTheme="minorEastAsia" w:cstheme="minorBidi"/>
              <w:b w:val="0"/>
            </w:rPr>
          </w:pPr>
          <w:r>
            <w:t>4</w:t>
          </w:r>
          <w:r>
            <w:rPr>
              <w:rFonts w:eastAsiaTheme="minorEastAsia" w:cstheme="minorBidi"/>
              <w:b w:val="0"/>
            </w:rPr>
            <w:tab/>
          </w:r>
          <w:r>
            <w:t>AN-ACC Version 1.0 funding model</w:t>
          </w:r>
          <w:r>
            <w:tab/>
          </w:r>
          <w:r>
            <w:fldChar w:fldCharType="begin"/>
          </w:r>
          <w:r>
            <w:instrText xml:space="preserve"> PAGEREF _Toc2005077 \h </w:instrText>
          </w:r>
          <w:r>
            <w:fldChar w:fldCharType="separate"/>
          </w:r>
          <w:r w:rsidR="00157C3A">
            <w:t>11</w:t>
          </w:r>
          <w:r>
            <w:fldChar w:fldCharType="end"/>
          </w:r>
        </w:p>
        <w:p w:rsidR="00857C72" w:rsidRDefault="00857C72">
          <w:pPr>
            <w:pStyle w:val="TOC2"/>
            <w:rPr>
              <w:rFonts w:eastAsiaTheme="minorEastAsia" w:cstheme="minorBidi"/>
              <w:sz w:val="22"/>
              <w:szCs w:val="22"/>
            </w:rPr>
          </w:pPr>
          <w:r>
            <w:t>4.1</w:t>
          </w:r>
          <w:r>
            <w:rPr>
              <w:rFonts w:eastAsiaTheme="minorEastAsia" w:cstheme="minorBidi"/>
              <w:sz w:val="22"/>
              <w:szCs w:val="22"/>
            </w:rPr>
            <w:tab/>
          </w:r>
          <w:r>
            <w:t>Per diem payment combines a base care tariff and an AN-ACC class payment</w:t>
          </w:r>
          <w:r>
            <w:tab/>
          </w:r>
          <w:r>
            <w:fldChar w:fldCharType="begin"/>
          </w:r>
          <w:r>
            <w:instrText xml:space="preserve"> PAGEREF _Toc2005078 \h </w:instrText>
          </w:r>
          <w:r>
            <w:fldChar w:fldCharType="separate"/>
          </w:r>
          <w:r w:rsidR="00157C3A">
            <w:t>11</w:t>
          </w:r>
          <w:r>
            <w:fldChar w:fldCharType="end"/>
          </w:r>
        </w:p>
        <w:p w:rsidR="00857C72" w:rsidRDefault="00857C72">
          <w:pPr>
            <w:pStyle w:val="TOC2"/>
            <w:rPr>
              <w:rFonts w:eastAsiaTheme="minorEastAsia" w:cstheme="minorBidi"/>
              <w:sz w:val="22"/>
              <w:szCs w:val="22"/>
            </w:rPr>
          </w:pPr>
          <w:r>
            <w:t>4.2</w:t>
          </w:r>
          <w:r>
            <w:rPr>
              <w:rFonts w:eastAsiaTheme="minorEastAsia" w:cstheme="minorBidi"/>
              <w:sz w:val="22"/>
              <w:szCs w:val="22"/>
            </w:rPr>
            <w:tab/>
          </w:r>
          <w:r>
            <w:t>Initial AN-ACC class assignment</w:t>
          </w:r>
          <w:r>
            <w:tab/>
          </w:r>
          <w:r>
            <w:fldChar w:fldCharType="begin"/>
          </w:r>
          <w:r>
            <w:instrText xml:space="preserve"> PAGEREF _Toc2005079 \h </w:instrText>
          </w:r>
          <w:r>
            <w:fldChar w:fldCharType="separate"/>
          </w:r>
          <w:r w:rsidR="00157C3A">
            <w:t>14</w:t>
          </w:r>
          <w:r>
            <w:fldChar w:fldCharType="end"/>
          </w:r>
        </w:p>
        <w:p w:rsidR="00857C72" w:rsidRDefault="00857C72">
          <w:pPr>
            <w:pStyle w:val="TOC2"/>
            <w:rPr>
              <w:rFonts w:eastAsiaTheme="minorEastAsia" w:cstheme="minorBidi"/>
              <w:sz w:val="22"/>
              <w:szCs w:val="22"/>
            </w:rPr>
          </w:pPr>
          <w:r>
            <w:t>4.3</w:t>
          </w:r>
          <w:r>
            <w:rPr>
              <w:rFonts w:eastAsiaTheme="minorEastAsia" w:cstheme="minorBidi"/>
              <w:sz w:val="22"/>
              <w:szCs w:val="22"/>
            </w:rPr>
            <w:tab/>
          </w:r>
          <w:r>
            <w:t>Adjustment payment on entry into residential aged care</w:t>
          </w:r>
          <w:r>
            <w:tab/>
          </w:r>
          <w:r>
            <w:fldChar w:fldCharType="begin"/>
          </w:r>
          <w:r>
            <w:instrText xml:space="preserve"> PAGEREF _Toc2005080 \h </w:instrText>
          </w:r>
          <w:r>
            <w:fldChar w:fldCharType="separate"/>
          </w:r>
          <w:r w:rsidR="00157C3A">
            <w:t>14</w:t>
          </w:r>
          <w:r>
            <w:fldChar w:fldCharType="end"/>
          </w:r>
        </w:p>
        <w:p w:rsidR="00857C72" w:rsidRDefault="00857C72">
          <w:pPr>
            <w:pStyle w:val="TOC2"/>
            <w:rPr>
              <w:rFonts w:eastAsiaTheme="minorEastAsia" w:cstheme="minorBidi"/>
              <w:sz w:val="22"/>
              <w:szCs w:val="22"/>
            </w:rPr>
          </w:pPr>
          <w:r>
            <w:t>4.4</w:t>
          </w:r>
          <w:r>
            <w:rPr>
              <w:rFonts w:eastAsiaTheme="minorEastAsia" w:cstheme="minorBidi"/>
              <w:sz w:val="22"/>
              <w:szCs w:val="22"/>
            </w:rPr>
            <w:tab/>
          </w:r>
          <w:r>
            <w:t>Commonwealth payments and supplements in the new AN-ACC funding model</w:t>
          </w:r>
          <w:r>
            <w:tab/>
          </w:r>
          <w:r>
            <w:fldChar w:fldCharType="begin"/>
          </w:r>
          <w:r>
            <w:instrText xml:space="preserve"> PAGEREF _Toc2005081 \h </w:instrText>
          </w:r>
          <w:r>
            <w:fldChar w:fldCharType="separate"/>
          </w:r>
          <w:r w:rsidR="00157C3A">
            <w:t>16</w:t>
          </w:r>
          <w:r>
            <w:fldChar w:fldCharType="end"/>
          </w:r>
        </w:p>
        <w:p w:rsidR="00857C72" w:rsidRDefault="00857C72">
          <w:pPr>
            <w:pStyle w:val="TOC3"/>
            <w:rPr>
              <w:rFonts w:eastAsiaTheme="minorEastAsia" w:cstheme="minorBidi"/>
              <w:sz w:val="22"/>
              <w:szCs w:val="22"/>
            </w:rPr>
          </w:pPr>
          <w:r>
            <w:t>4.4.1</w:t>
          </w:r>
          <w:r>
            <w:rPr>
              <w:rFonts w:eastAsiaTheme="minorEastAsia" w:cstheme="minorBidi"/>
              <w:sz w:val="22"/>
              <w:szCs w:val="22"/>
            </w:rPr>
            <w:tab/>
          </w:r>
          <w:r>
            <w:t>Subsidies that become redundant in the AN-ACC model</w:t>
          </w:r>
          <w:r>
            <w:tab/>
          </w:r>
          <w:r>
            <w:fldChar w:fldCharType="begin"/>
          </w:r>
          <w:r>
            <w:instrText xml:space="preserve"> PAGEREF _Toc2005082 \h </w:instrText>
          </w:r>
          <w:r>
            <w:fldChar w:fldCharType="separate"/>
          </w:r>
          <w:r w:rsidR="00157C3A">
            <w:t>16</w:t>
          </w:r>
          <w:r>
            <w:fldChar w:fldCharType="end"/>
          </w:r>
        </w:p>
        <w:p w:rsidR="00857C72" w:rsidRDefault="00857C72">
          <w:pPr>
            <w:pStyle w:val="TOC3"/>
            <w:rPr>
              <w:rFonts w:eastAsiaTheme="minorEastAsia" w:cstheme="minorBidi"/>
              <w:sz w:val="22"/>
              <w:szCs w:val="22"/>
            </w:rPr>
          </w:pPr>
          <w:r>
            <w:t>4.4.2</w:t>
          </w:r>
          <w:r>
            <w:rPr>
              <w:rFonts w:eastAsiaTheme="minorEastAsia" w:cstheme="minorBidi"/>
              <w:sz w:val="22"/>
              <w:szCs w:val="22"/>
            </w:rPr>
            <w:tab/>
          </w:r>
          <w:r>
            <w:t>Subsidies that should be progressively phased out</w:t>
          </w:r>
          <w:r>
            <w:tab/>
          </w:r>
          <w:r>
            <w:fldChar w:fldCharType="begin"/>
          </w:r>
          <w:r>
            <w:instrText xml:space="preserve"> PAGEREF _Toc2005083 \h </w:instrText>
          </w:r>
          <w:r>
            <w:fldChar w:fldCharType="separate"/>
          </w:r>
          <w:r w:rsidR="00157C3A">
            <w:t>16</w:t>
          </w:r>
          <w:r>
            <w:fldChar w:fldCharType="end"/>
          </w:r>
        </w:p>
        <w:p w:rsidR="00857C72" w:rsidRDefault="00857C72">
          <w:pPr>
            <w:pStyle w:val="TOC3"/>
            <w:rPr>
              <w:rFonts w:eastAsiaTheme="minorEastAsia" w:cstheme="minorBidi"/>
              <w:sz w:val="22"/>
              <w:szCs w:val="22"/>
            </w:rPr>
          </w:pPr>
          <w:r>
            <w:t>4.4.3</w:t>
          </w:r>
          <w:r>
            <w:rPr>
              <w:rFonts w:eastAsiaTheme="minorEastAsia" w:cstheme="minorBidi"/>
              <w:sz w:val="22"/>
              <w:szCs w:val="22"/>
            </w:rPr>
            <w:tab/>
          </w:r>
          <w:r>
            <w:t>Subsidies that should be the subject of a supplementary study</w:t>
          </w:r>
          <w:r>
            <w:tab/>
          </w:r>
          <w:r>
            <w:fldChar w:fldCharType="begin"/>
          </w:r>
          <w:r>
            <w:instrText xml:space="preserve"> PAGEREF _Toc2005084 \h </w:instrText>
          </w:r>
          <w:r>
            <w:fldChar w:fldCharType="separate"/>
          </w:r>
          <w:r w:rsidR="00157C3A">
            <w:t>17</w:t>
          </w:r>
          <w:r>
            <w:fldChar w:fldCharType="end"/>
          </w:r>
        </w:p>
        <w:p w:rsidR="00857C72" w:rsidRDefault="00857C72">
          <w:pPr>
            <w:pStyle w:val="TOC1"/>
            <w:rPr>
              <w:rFonts w:eastAsiaTheme="minorEastAsia" w:cstheme="minorBidi"/>
              <w:b w:val="0"/>
            </w:rPr>
          </w:pPr>
          <w:r>
            <w:t>5</w:t>
          </w:r>
          <w:r>
            <w:rPr>
              <w:rFonts w:eastAsiaTheme="minorEastAsia" w:cstheme="minorBidi"/>
              <w:b w:val="0"/>
            </w:rPr>
            <w:tab/>
          </w:r>
          <w:r>
            <w:t>AN-ACC implementation</w:t>
          </w:r>
          <w:r>
            <w:tab/>
          </w:r>
          <w:r>
            <w:fldChar w:fldCharType="begin"/>
          </w:r>
          <w:r>
            <w:instrText xml:space="preserve"> PAGEREF _Toc2005085 \h </w:instrText>
          </w:r>
          <w:r>
            <w:fldChar w:fldCharType="separate"/>
          </w:r>
          <w:r w:rsidR="00157C3A">
            <w:t>18</w:t>
          </w:r>
          <w:r>
            <w:fldChar w:fldCharType="end"/>
          </w:r>
        </w:p>
        <w:p w:rsidR="00857C72" w:rsidRDefault="00857C72">
          <w:pPr>
            <w:pStyle w:val="TOC2"/>
            <w:rPr>
              <w:rFonts w:eastAsiaTheme="minorEastAsia" w:cstheme="minorBidi"/>
              <w:sz w:val="22"/>
              <w:szCs w:val="22"/>
            </w:rPr>
          </w:pPr>
          <w:r>
            <w:t>5.1</w:t>
          </w:r>
          <w:r>
            <w:rPr>
              <w:rFonts w:eastAsiaTheme="minorEastAsia" w:cstheme="minorBidi"/>
              <w:sz w:val="22"/>
              <w:szCs w:val="22"/>
            </w:rPr>
            <w:tab/>
          </w:r>
          <w:r>
            <w:t>A planned transition strategy with progressive implementation</w:t>
          </w:r>
          <w:r>
            <w:tab/>
          </w:r>
          <w:r>
            <w:fldChar w:fldCharType="begin"/>
          </w:r>
          <w:r>
            <w:instrText xml:space="preserve"> PAGEREF _Toc2005086 \h </w:instrText>
          </w:r>
          <w:r>
            <w:fldChar w:fldCharType="separate"/>
          </w:r>
          <w:r w:rsidR="00157C3A">
            <w:t>18</w:t>
          </w:r>
          <w:r>
            <w:fldChar w:fldCharType="end"/>
          </w:r>
        </w:p>
        <w:p w:rsidR="00857C72" w:rsidRDefault="00857C72">
          <w:pPr>
            <w:pStyle w:val="TOC1"/>
            <w:rPr>
              <w:rFonts w:eastAsiaTheme="minorEastAsia" w:cstheme="minorBidi"/>
              <w:b w:val="0"/>
            </w:rPr>
          </w:pPr>
          <w:r>
            <w:t>6</w:t>
          </w:r>
          <w:r>
            <w:rPr>
              <w:rFonts w:eastAsiaTheme="minorEastAsia" w:cstheme="minorBidi"/>
              <w:b w:val="0"/>
            </w:rPr>
            <w:tab/>
          </w:r>
          <w:r>
            <w:t>Implementation of the AN-ACC system: implications for government</w:t>
          </w:r>
          <w:r>
            <w:tab/>
          </w:r>
          <w:r>
            <w:fldChar w:fldCharType="begin"/>
          </w:r>
          <w:r>
            <w:instrText xml:space="preserve"> PAGEREF _Toc2005087 \h </w:instrText>
          </w:r>
          <w:r>
            <w:fldChar w:fldCharType="separate"/>
          </w:r>
          <w:r w:rsidR="00157C3A">
            <w:t>20</w:t>
          </w:r>
          <w:r>
            <w:fldChar w:fldCharType="end"/>
          </w:r>
        </w:p>
        <w:p w:rsidR="00857C72" w:rsidRDefault="00857C72">
          <w:pPr>
            <w:pStyle w:val="TOC2"/>
            <w:rPr>
              <w:rFonts w:eastAsiaTheme="minorEastAsia" w:cstheme="minorBidi"/>
              <w:sz w:val="22"/>
              <w:szCs w:val="22"/>
            </w:rPr>
          </w:pPr>
          <w:r>
            <w:t>6.1</w:t>
          </w:r>
          <w:r>
            <w:rPr>
              <w:rFonts w:eastAsiaTheme="minorEastAsia" w:cstheme="minorBidi"/>
              <w:sz w:val="22"/>
              <w:szCs w:val="22"/>
            </w:rPr>
            <w:tab/>
          </w:r>
          <w:r>
            <w:t>Cost informs price: the need for an annual national costing study</w:t>
          </w:r>
          <w:r>
            <w:tab/>
          </w:r>
          <w:r>
            <w:fldChar w:fldCharType="begin"/>
          </w:r>
          <w:r>
            <w:instrText xml:space="preserve"> PAGEREF _Toc2005088 \h </w:instrText>
          </w:r>
          <w:r>
            <w:fldChar w:fldCharType="separate"/>
          </w:r>
          <w:r w:rsidR="00157C3A">
            <w:t>20</w:t>
          </w:r>
          <w:r>
            <w:fldChar w:fldCharType="end"/>
          </w:r>
        </w:p>
        <w:p w:rsidR="00857C72" w:rsidRDefault="00857C72">
          <w:pPr>
            <w:pStyle w:val="TOC1"/>
            <w:rPr>
              <w:rFonts w:eastAsiaTheme="minorEastAsia" w:cstheme="minorBidi"/>
              <w:b w:val="0"/>
            </w:rPr>
          </w:pPr>
          <w:r>
            <w:t>7</w:t>
          </w:r>
          <w:r>
            <w:rPr>
              <w:rFonts w:eastAsiaTheme="minorEastAsia" w:cstheme="minorBidi"/>
              <w:b w:val="0"/>
            </w:rPr>
            <w:tab/>
          </w:r>
          <w:r>
            <w:t>Implementation of the AN-ACC system: workforce, IT and other practical issues</w:t>
          </w:r>
          <w:r>
            <w:tab/>
          </w:r>
          <w:r>
            <w:fldChar w:fldCharType="begin"/>
          </w:r>
          <w:r>
            <w:instrText xml:space="preserve"> PAGEREF _Toc2005089 \h </w:instrText>
          </w:r>
          <w:r>
            <w:fldChar w:fldCharType="separate"/>
          </w:r>
          <w:r w:rsidR="00157C3A">
            <w:t>21</w:t>
          </w:r>
          <w:r>
            <w:fldChar w:fldCharType="end"/>
          </w:r>
        </w:p>
        <w:p w:rsidR="00857C72" w:rsidRDefault="00857C72">
          <w:pPr>
            <w:pStyle w:val="TOC1"/>
            <w:rPr>
              <w:rFonts w:eastAsiaTheme="minorEastAsia" w:cstheme="minorBidi"/>
              <w:b w:val="0"/>
            </w:rPr>
          </w:pPr>
          <w:r>
            <w:lastRenderedPageBreak/>
            <w:t>8</w:t>
          </w:r>
          <w:r>
            <w:rPr>
              <w:rFonts w:eastAsiaTheme="minorEastAsia" w:cstheme="minorBidi"/>
              <w:b w:val="0"/>
            </w:rPr>
            <w:tab/>
          </w:r>
          <w:r>
            <w:t>An ongoing research and development agenda</w:t>
          </w:r>
          <w:r>
            <w:tab/>
          </w:r>
          <w:r>
            <w:fldChar w:fldCharType="begin"/>
          </w:r>
          <w:r>
            <w:instrText xml:space="preserve"> PAGEREF _Toc2005090 \h </w:instrText>
          </w:r>
          <w:r>
            <w:fldChar w:fldCharType="separate"/>
          </w:r>
          <w:r w:rsidR="00157C3A">
            <w:t>23</w:t>
          </w:r>
          <w:r>
            <w:fldChar w:fldCharType="end"/>
          </w:r>
        </w:p>
        <w:p w:rsidR="00857C72" w:rsidRDefault="00857C72">
          <w:pPr>
            <w:pStyle w:val="TOC1"/>
            <w:rPr>
              <w:rFonts w:eastAsiaTheme="minorEastAsia" w:cstheme="minorBidi"/>
              <w:b w:val="0"/>
            </w:rPr>
          </w:pPr>
          <w:r>
            <w:t>9</w:t>
          </w:r>
          <w:r>
            <w:rPr>
              <w:rFonts w:eastAsiaTheme="minorEastAsia" w:cstheme="minorBidi"/>
              <w:b w:val="0"/>
            </w:rPr>
            <w:tab/>
          </w:r>
          <w:r>
            <w:t>Conclusion</w:t>
          </w:r>
          <w:r>
            <w:tab/>
          </w:r>
          <w:r>
            <w:fldChar w:fldCharType="begin"/>
          </w:r>
          <w:r>
            <w:instrText xml:space="preserve"> PAGEREF _Toc2005091 \h </w:instrText>
          </w:r>
          <w:r>
            <w:fldChar w:fldCharType="separate"/>
          </w:r>
          <w:r w:rsidR="00157C3A">
            <w:t>24</w:t>
          </w:r>
          <w:r>
            <w:fldChar w:fldCharType="end"/>
          </w:r>
        </w:p>
        <w:p w:rsidR="00857C72" w:rsidRDefault="00857C72">
          <w:pPr>
            <w:pStyle w:val="TOC1"/>
            <w:rPr>
              <w:rFonts w:eastAsiaTheme="minorEastAsia" w:cstheme="minorBidi"/>
              <w:b w:val="0"/>
            </w:rPr>
          </w:pPr>
          <w:r>
            <w:t>Appendix 1</w:t>
          </w:r>
          <w:r>
            <w:tab/>
          </w:r>
          <w:r>
            <w:fldChar w:fldCharType="begin"/>
          </w:r>
          <w:r>
            <w:instrText xml:space="preserve"> PAGEREF _Toc2005092 \h </w:instrText>
          </w:r>
          <w:r>
            <w:fldChar w:fldCharType="separate"/>
          </w:r>
          <w:r w:rsidR="00157C3A">
            <w:t>25</w:t>
          </w:r>
          <w:r>
            <w:fldChar w:fldCharType="end"/>
          </w:r>
        </w:p>
        <w:p w:rsidR="00857C72" w:rsidRDefault="00857C72">
          <w:pPr>
            <w:pStyle w:val="TOC2"/>
            <w:rPr>
              <w:rFonts w:eastAsiaTheme="minorEastAsia" w:cstheme="minorBidi"/>
              <w:sz w:val="22"/>
              <w:szCs w:val="22"/>
            </w:rPr>
          </w:pPr>
          <w:r>
            <w:t>The AN-ACC Version 1.0 classification</w:t>
          </w:r>
          <w:r>
            <w:tab/>
          </w:r>
          <w:r>
            <w:fldChar w:fldCharType="begin"/>
          </w:r>
          <w:r>
            <w:instrText xml:space="preserve"> PAGEREF _Toc2005093 \h </w:instrText>
          </w:r>
          <w:r>
            <w:fldChar w:fldCharType="separate"/>
          </w:r>
          <w:r w:rsidR="00157C3A">
            <w:t>25</w:t>
          </w:r>
          <w:r>
            <w:fldChar w:fldCharType="end"/>
          </w:r>
        </w:p>
        <w:p w:rsidR="00003E81" w:rsidRPr="000B42C6" w:rsidRDefault="0014560C" w:rsidP="00003E81">
          <w:r w:rsidRPr="000B42C6">
            <w:rPr>
              <w:noProof/>
              <w:sz w:val="20"/>
              <w:szCs w:val="20"/>
            </w:rPr>
            <w:fldChar w:fldCharType="end"/>
          </w:r>
        </w:p>
      </w:sdtContent>
    </w:sdt>
    <w:p w:rsidR="00857C72" w:rsidRDefault="00003E81" w:rsidP="00641A55">
      <w:pPr>
        <w:pStyle w:val="Caption"/>
        <w:spacing w:before="480"/>
        <w:rPr>
          <w:noProof/>
        </w:rPr>
      </w:pPr>
      <w:r w:rsidRPr="00641A55">
        <w:rPr>
          <w:sz w:val="36"/>
          <w:szCs w:val="36"/>
        </w:rPr>
        <w:t>List of tables</w:t>
      </w:r>
      <w:r w:rsidRPr="000B42C6">
        <w:rPr>
          <w:sz w:val="36"/>
          <w:szCs w:val="36"/>
        </w:rPr>
        <w:fldChar w:fldCharType="begin"/>
      </w:r>
      <w:r w:rsidRPr="000B42C6">
        <w:rPr>
          <w:sz w:val="36"/>
          <w:szCs w:val="36"/>
        </w:rPr>
        <w:instrText xml:space="preserve"> TOC \h \z \c "Table" </w:instrText>
      </w:r>
      <w:r w:rsidRPr="000B42C6">
        <w:rPr>
          <w:sz w:val="36"/>
          <w:szCs w:val="36"/>
        </w:rPr>
        <w:fldChar w:fldCharType="separate"/>
      </w:r>
    </w:p>
    <w:p w:rsidR="00857C72" w:rsidRDefault="00157C3A">
      <w:pPr>
        <w:pStyle w:val="TableofFigures"/>
        <w:tabs>
          <w:tab w:val="left" w:pos="960"/>
          <w:tab w:val="right" w:leader="dot" w:pos="9344"/>
        </w:tabs>
        <w:rPr>
          <w:rFonts w:eastAsiaTheme="minorEastAsia" w:cstheme="minorBidi"/>
          <w:noProof/>
          <w:sz w:val="22"/>
          <w:szCs w:val="22"/>
        </w:rPr>
      </w:pPr>
      <w:hyperlink w:anchor="_Toc2005094" w:history="1">
        <w:r w:rsidR="00857C72" w:rsidRPr="00C052E6">
          <w:rPr>
            <w:rStyle w:val="Hyperlink"/>
            <w:rFonts w:eastAsiaTheme="majorEastAsia"/>
            <w:noProof/>
          </w:rPr>
          <w:t>Table 1</w:t>
        </w:r>
        <w:r w:rsidR="00857C72">
          <w:rPr>
            <w:rFonts w:eastAsiaTheme="minorEastAsia" w:cstheme="minorBidi"/>
            <w:noProof/>
            <w:sz w:val="22"/>
            <w:szCs w:val="22"/>
          </w:rPr>
          <w:tab/>
        </w:r>
        <w:r w:rsidR="00857C72" w:rsidRPr="00C052E6">
          <w:rPr>
            <w:rStyle w:val="Hyperlink"/>
            <w:rFonts w:eastAsiaTheme="majorEastAsia"/>
            <w:noProof/>
          </w:rPr>
          <w:t>Base care tariff and AN-ACC Version 1.0 NWAUs</w:t>
        </w:r>
        <w:r w:rsidR="00857C72">
          <w:rPr>
            <w:noProof/>
            <w:webHidden/>
          </w:rPr>
          <w:tab/>
        </w:r>
        <w:r w:rsidR="00857C72">
          <w:rPr>
            <w:noProof/>
            <w:webHidden/>
          </w:rPr>
          <w:fldChar w:fldCharType="begin"/>
        </w:r>
        <w:r w:rsidR="00857C72">
          <w:rPr>
            <w:noProof/>
            <w:webHidden/>
          </w:rPr>
          <w:instrText xml:space="preserve"> PAGEREF _Toc2005094 \h </w:instrText>
        </w:r>
        <w:r w:rsidR="00857C72">
          <w:rPr>
            <w:noProof/>
            <w:webHidden/>
          </w:rPr>
        </w:r>
        <w:r w:rsidR="00857C72">
          <w:rPr>
            <w:noProof/>
            <w:webHidden/>
          </w:rPr>
          <w:fldChar w:fldCharType="separate"/>
        </w:r>
        <w:r w:rsidR="00EA181D">
          <w:rPr>
            <w:noProof/>
            <w:webHidden/>
          </w:rPr>
          <w:t>12</w:t>
        </w:r>
        <w:r w:rsidR="00857C72">
          <w:rPr>
            <w:noProof/>
            <w:webHidden/>
          </w:rPr>
          <w:fldChar w:fldCharType="end"/>
        </w:r>
      </w:hyperlink>
    </w:p>
    <w:p w:rsidR="00003E81" w:rsidRPr="00641A55" w:rsidRDefault="00003E81" w:rsidP="00641A55">
      <w:pPr>
        <w:pStyle w:val="Caption"/>
        <w:spacing w:before="360"/>
        <w:rPr>
          <w:sz w:val="36"/>
          <w:szCs w:val="36"/>
        </w:rPr>
      </w:pPr>
      <w:r w:rsidRPr="000B42C6">
        <w:rPr>
          <w:sz w:val="36"/>
          <w:szCs w:val="36"/>
        </w:rPr>
        <w:fldChar w:fldCharType="end"/>
      </w:r>
      <w:r w:rsidRPr="00641A55">
        <w:rPr>
          <w:sz w:val="36"/>
          <w:szCs w:val="36"/>
        </w:rPr>
        <w:t>List of figures</w:t>
      </w:r>
    </w:p>
    <w:p w:rsidR="00857C72" w:rsidRDefault="00003E81">
      <w:pPr>
        <w:pStyle w:val="TableofFigures"/>
        <w:tabs>
          <w:tab w:val="left" w:pos="1200"/>
          <w:tab w:val="right" w:leader="dot" w:pos="9344"/>
        </w:tabs>
        <w:rPr>
          <w:rFonts w:eastAsiaTheme="minorEastAsia" w:cstheme="minorBidi"/>
          <w:noProof/>
          <w:sz w:val="22"/>
          <w:szCs w:val="22"/>
        </w:rPr>
      </w:pPr>
      <w:r w:rsidRPr="000B42C6">
        <w:rPr>
          <w:rStyle w:val="Hyperlink"/>
          <w:rFonts w:eastAsiaTheme="majorEastAsia"/>
          <w:noProof/>
        </w:rPr>
        <w:fldChar w:fldCharType="begin"/>
      </w:r>
      <w:r w:rsidRPr="000B42C6">
        <w:rPr>
          <w:rStyle w:val="Hyperlink"/>
          <w:rFonts w:eastAsiaTheme="majorEastAsia"/>
          <w:noProof/>
        </w:rPr>
        <w:instrText xml:space="preserve"> TOC \h \z \c "Figure" </w:instrText>
      </w:r>
      <w:r w:rsidRPr="000B42C6">
        <w:rPr>
          <w:rStyle w:val="Hyperlink"/>
          <w:rFonts w:eastAsiaTheme="majorEastAsia"/>
          <w:noProof/>
        </w:rPr>
        <w:fldChar w:fldCharType="separate"/>
      </w:r>
      <w:hyperlink w:anchor="_Toc2005095" w:history="1">
        <w:r w:rsidR="00857C72" w:rsidRPr="00903985">
          <w:rPr>
            <w:rStyle w:val="Hyperlink"/>
            <w:rFonts w:eastAsiaTheme="majorEastAsia"/>
            <w:noProof/>
          </w:rPr>
          <w:t>Figure 1</w:t>
        </w:r>
        <w:r w:rsidR="00857C72">
          <w:rPr>
            <w:rFonts w:eastAsiaTheme="minorEastAsia" w:cstheme="minorBidi"/>
            <w:noProof/>
            <w:sz w:val="22"/>
            <w:szCs w:val="22"/>
          </w:rPr>
          <w:tab/>
        </w:r>
        <w:r w:rsidR="00857C72" w:rsidRPr="00903985">
          <w:rPr>
            <w:rStyle w:val="Hyperlink"/>
            <w:rFonts w:eastAsiaTheme="majorEastAsia"/>
            <w:noProof/>
          </w:rPr>
          <w:t>AN-ACC Version 1.0</w:t>
        </w:r>
        <w:r w:rsidR="00857C72">
          <w:rPr>
            <w:noProof/>
            <w:webHidden/>
          </w:rPr>
          <w:tab/>
        </w:r>
        <w:r w:rsidR="00857C72">
          <w:rPr>
            <w:noProof/>
            <w:webHidden/>
          </w:rPr>
          <w:fldChar w:fldCharType="begin"/>
        </w:r>
        <w:r w:rsidR="00857C72">
          <w:rPr>
            <w:noProof/>
            <w:webHidden/>
          </w:rPr>
          <w:instrText xml:space="preserve"> PAGEREF _Toc2005095 \h </w:instrText>
        </w:r>
        <w:r w:rsidR="00857C72">
          <w:rPr>
            <w:noProof/>
            <w:webHidden/>
          </w:rPr>
        </w:r>
        <w:r w:rsidR="00857C72">
          <w:rPr>
            <w:noProof/>
            <w:webHidden/>
          </w:rPr>
          <w:fldChar w:fldCharType="separate"/>
        </w:r>
        <w:r w:rsidR="00EA181D">
          <w:rPr>
            <w:noProof/>
            <w:webHidden/>
          </w:rPr>
          <w:t>25</w:t>
        </w:r>
        <w:r w:rsidR="00857C72">
          <w:rPr>
            <w:noProof/>
            <w:webHidden/>
          </w:rPr>
          <w:fldChar w:fldCharType="end"/>
        </w:r>
      </w:hyperlink>
    </w:p>
    <w:p w:rsidR="00A47BD8" w:rsidRPr="000B42C6" w:rsidRDefault="00003E81" w:rsidP="00641A55">
      <w:pPr>
        <w:sectPr w:rsidR="00A47BD8" w:rsidRPr="000B42C6" w:rsidSect="00142123">
          <w:headerReference w:type="default" r:id="rId17"/>
          <w:footerReference w:type="default" r:id="rId18"/>
          <w:pgSz w:w="11906" w:h="16838"/>
          <w:pgMar w:top="1134" w:right="1134" w:bottom="1021" w:left="1418" w:header="708" w:footer="708" w:gutter="0"/>
          <w:pgNumType w:fmt="lowerRoman" w:start="1"/>
          <w:cols w:space="708"/>
          <w:docGrid w:linePitch="360"/>
        </w:sectPr>
      </w:pPr>
      <w:r w:rsidRPr="000B42C6">
        <w:fldChar w:fldCharType="end"/>
      </w:r>
      <w:bookmarkStart w:id="8" w:name="_Ref467164317"/>
    </w:p>
    <w:p w:rsidR="00003E81" w:rsidRPr="000B42C6" w:rsidRDefault="00003E81" w:rsidP="00003E81">
      <w:pPr>
        <w:pStyle w:val="Heading1"/>
        <w:numPr>
          <w:ilvl w:val="0"/>
          <w:numId w:val="0"/>
        </w:numPr>
      </w:pPr>
      <w:bookmarkStart w:id="9" w:name="_Toc473044038"/>
      <w:bookmarkStart w:id="10" w:name="_Toc473102110"/>
      <w:bookmarkStart w:id="11" w:name="_Toc473621430"/>
      <w:bookmarkStart w:id="12" w:name="_Toc473621507"/>
      <w:bookmarkStart w:id="13" w:name="_Toc473645586"/>
      <w:bookmarkStart w:id="14" w:name="_Toc473645974"/>
      <w:bookmarkStart w:id="15" w:name="_Toc473646166"/>
      <w:bookmarkStart w:id="16" w:name="_Toc473646548"/>
      <w:bookmarkStart w:id="17" w:name="_Toc473708202"/>
      <w:bookmarkStart w:id="18" w:name="_Toc473708249"/>
      <w:bookmarkStart w:id="19" w:name="_Toc473726070"/>
      <w:bookmarkStart w:id="20" w:name="_Toc473726182"/>
      <w:bookmarkStart w:id="21" w:name="_Toc473726287"/>
      <w:bookmarkStart w:id="22" w:name="_Toc515031462"/>
      <w:bookmarkStart w:id="23" w:name="_Toc515031512"/>
      <w:bookmarkStart w:id="24" w:name="_Toc528932676"/>
      <w:bookmarkStart w:id="25" w:name="_Toc200505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B42C6">
        <w:lastRenderedPageBreak/>
        <w:t>Acknowledgements</w:t>
      </w:r>
      <w:bookmarkEnd w:id="24"/>
      <w:bookmarkEnd w:id="25"/>
    </w:p>
    <w:p w:rsidR="00003E81" w:rsidRPr="000B42C6" w:rsidRDefault="00003E81" w:rsidP="00187983">
      <w:pPr>
        <w:spacing w:after="240"/>
      </w:pPr>
      <w:r w:rsidRPr="000B42C6">
        <w:t>We would like to acknowledge the many stakeholders who contributed to this study. First, we extend our deep thanks to the residents who allowed us to conduct this study. We would also like to thank the 1,600 staff members who so willingly participated in this study - your efforts to make this study a s</w:t>
      </w:r>
      <w:r w:rsidR="00187983">
        <w:t>uccess are greatly appreciated.</w:t>
      </w:r>
    </w:p>
    <w:p w:rsidR="00003E81" w:rsidRPr="000B42C6" w:rsidRDefault="00003E81" w:rsidP="00003E81">
      <w:r w:rsidRPr="000B42C6">
        <w:t>We also acknowledge the members of the clinical advisory panels whose expert advice was critical to the study. Finally, our thanks go to Meliss</w:t>
      </w:r>
      <w:r w:rsidR="00976493">
        <w:t>a Crampton, Rob Montefiore-Gard</w:t>
      </w:r>
      <w:r w:rsidRPr="000B42C6">
        <w:t xml:space="preserve">ner and the team in the Funding Reform Section within the Residential and Flexible Aged Care Division of the </w:t>
      </w:r>
      <w:r w:rsidR="00997050">
        <w:t xml:space="preserve">Commonwealth </w:t>
      </w:r>
      <w:r w:rsidRPr="000B42C6">
        <w:t>Department of Health for their ongoi</w:t>
      </w:r>
      <w:r w:rsidR="00187983">
        <w:t>ng support during this study.</w:t>
      </w:r>
    </w:p>
    <w:p w:rsidR="00003E81" w:rsidRPr="000B42C6" w:rsidRDefault="00003E81" w:rsidP="00003E81">
      <w:pPr>
        <w:rPr>
          <w:rFonts w:ascii="Calibri" w:eastAsiaTheme="majorEastAsia" w:hAnsi="Calibri" w:cstheme="majorBidi"/>
          <w:b/>
          <w:bCs/>
          <w:sz w:val="28"/>
          <w:szCs w:val="28"/>
        </w:rPr>
      </w:pPr>
      <w:bookmarkStart w:id="26" w:name="_Toc528848520"/>
      <w:r w:rsidRPr="000B42C6">
        <w:br w:type="page"/>
      </w:r>
    </w:p>
    <w:p w:rsidR="00003E81" w:rsidRPr="000B42C6" w:rsidRDefault="00003E81" w:rsidP="00003E81">
      <w:pPr>
        <w:pStyle w:val="Heading1"/>
        <w:numPr>
          <w:ilvl w:val="0"/>
          <w:numId w:val="0"/>
        </w:numPr>
      </w:pPr>
      <w:bookmarkStart w:id="27" w:name="_Toc2005055"/>
      <w:r w:rsidRPr="000B42C6">
        <w:lastRenderedPageBreak/>
        <w:t>Abbreviations</w:t>
      </w:r>
      <w:bookmarkEnd w:id="26"/>
      <w:bookmarkEnd w:id="27"/>
    </w:p>
    <w:tbl>
      <w:tblPr>
        <w:tblW w:w="8732" w:type="dxa"/>
        <w:tblLook w:val="04A0" w:firstRow="1" w:lastRow="0" w:firstColumn="1" w:lastColumn="0" w:noHBand="0" w:noVBand="1"/>
        <w:tblCaption w:val="Abbreviations"/>
        <w:tblDescription w:val="This is a list of abbreviations used throughout the report. This table is to be read in rows from left to right, top to bottom (abbreviation followed by full term).&#10;"/>
      </w:tblPr>
      <w:tblGrid>
        <w:gridCol w:w="1668"/>
        <w:gridCol w:w="7064"/>
      </w:tblGrid>
      <w:tr w:rsidR="00596D93" w:rsidRPr="00187983" w:rsidTr="00187983">
        <w:trPr>
          <w:trHeight w:val="300"/>
          <w:tblHeader/>
        </w:trPr>
        <w:tc>
          <w:tcPr>
            <w:tcW w:w="1668" w:type="dxa"/>
            <w:tcBorders>
              <w:top w:val="nil"/>
              <w:left w:val="nil"/>
              <w:bottom w:val="nil"/>
              <w:right w:val="nil"/>
            </w:tcBorders>
            <w:shd w:val="clear" w:color="auto" w:fill="auto"/>
            <w:noWrap/>
          </w:tcPr>
          <w:p w:rsidR="00596D93" w:rsidRPr="00187983" w:rsidRDefault="00187983" w:rsidP="00142123">
            <w:pPr>
              <w:rPr>
                <w:rFonts w:ascii="Calibri" w:hAnsi="Calibri" w:cs="Calibri"/>
                <w:b/>
                <w:color w:val="000000"/>
                <w:sz w:val="20"/>
                <w:szCs w:val="20"/>
              </w:rPr>
            </w:pPr>
            <w:r w:rsidRPr="00187983">
              <w:rPr>
                <w:rFonts w:ascii="Calibri" w:hAnsi="Calibri" w:cs="Calibri"/>
                <w:b/>
                <w:color w:val="000000"/>
                <w:sz w:val="20"/>
                <w:szCs w:val="20"/>
              </w:rPr>
              <w:t>Abbreviation</w:t>
            </w:r>
          </w:p>
        </w:tc>
        <w:tc>
          <w:tcPr>
            <w:tcW w:w="7064" w:type="dxa"/>
            <w:tcBorders>
              <w:top w:val="nil"/>
              <w:left w:val="nil"/>
              <w:bottom w:val="nil"/>
              <w:right w:val="nil"/>
            </w:tcBorders>
            <w:shd w:val="clear" w:color="auto" w:fill="auto"/>
            <w:noWrap/>
          </w:tcPr>
          <w:p w:rsidR="00596D93" w:rsidRPr="00187983" w:rsidRDefault="00187983" w:rsidP="00142123">
            <w:pPr>
              <w:rPr>
                <w:rFonts w:ascii="Calibri" w:hAnsi="Calibri" w:cs="Calibri"/>
                <w:b/>
                <w:color w:val="000000"/>
                <w:sz w:val="20"/>
                <w:szCs w:val="20"/>
              </w:rPr>
            </w:pPr>
            <w:r w:rsidRPr="00187983">
              <w:rPr>
                <w:rFonts w:ascii="Calibri" w:hAnsi="Calibri" w:cs="Calibri"/>
                <w:b/>
                <w:color w:val="000000"/>
                <w:sz w:val="20"/>
                <w:szCs w:val="20"/>
              </w:rPr>
              <w:t>Full term</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ACAT</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Aged Care Assessment Team</w:t>
            </w:r>
          </w:p>
        </w:tc>
      </w:tr>
      <w:tr w:rsidR="00187983" w:rsidRPr="000B42C6" w:rsidTr="00976493">
        <w:trPr>
          <w:trHeight w:val="300"/>
        </w:trPr>
        <w:tc>
          <w:tcPr>
            <w:tcW w:w="1668"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ACFI</w:t>
            </w:r>
          </w:p>
        </w:tc>
        <w:tc>
          <w:tcPr>
            <w:tcW w:w="7064"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Aged Care Funding Instrument</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AN-ACC</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Australian National Aged Care Classification</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CDC</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Consumer directed care</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CV</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Coefficient of variation</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DEMMI</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De Morton Mobility Index</w:t>
            </w:r>
          </w:p>
        </w:tc>
      </w:tr>
      <w:tr w:rsidR="00187983" w:rsidRPr="000B42C6" w:rsidTr="00976493">
        <w:trPr>
          <w:trHeight w:val="300"/>
        </w:trPr>
        <w:tc>
          <w:tcPr>
            <w:tcW w:w="1668"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the Department</w:t>
            </w:r>
          </w:p>
        </w:tc>
        <w:tc>
          <w:tcPr>
            <w:tcW w:w="7064"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 xml:space="preserve">Commonwealth </w:t>
            </w:r>
            <w:r w:rsidRPr="000B42C6">
              <w:rPr>
                <w:rFonts w:ascii="Calibri" w:hAnsi="Calibri" w:cs="Calibri"/>
                <w:color w:val="000000"/>
                <w:sz w:val="20"/>
                <w:szCs w:val="20"/>
              </w:rPr>
              <w:t>Department of Health</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DHS</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Department of Human Services</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IHPA</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Independent Hospital Pricing Authority</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MMM</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Modified Monash Model</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NEP</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National Efficient Price</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NWAU</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National Weighted Activity Unit</w:t>
            </w:r>
          </w:p>
        </w:tc>
      </w:tr>
      <w:tr w:rsidR="00187983" w:rsidRPr="000B42C6" w:rsidTr="00976493">
        <w:trPr>
          <w:trHeight w:val="300"/>
        </w:trPr>
        <w:tc>
          <w:tcPr>
            <w:tcW w:w="1668"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RAC</w:t>
            </w:r>
          </w:p>
        </w:tc>
        <w:tc>
          <w:tcPr>
            <w:tcW w:w="7064"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Residential Aged Care</w:t>
            </w:r>
          </w:p>
        </w:tc>
      </w:tr>
      <w:tr w:rsidR="00187983" w:rsidRPr="000B42C6" w:rsidTr="00976493">
        <w:trPr>
          <w:trHeight w:val="300"/>
        </w:trPr>
        <w:tc>
          <w:tcPr>
            <w:tcW w:w="1668"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RACF</w:t>
            </w:r>
          </w:p>
        </w:tc>
        <w:tc>
          <w:tcPr>
            <w:tcW w:w="7064"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Residential Aged Care Facility</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RCS</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Pr>
                <w:rFonts w:ascii="Calibri" w:hAnsi="Calibri" w:cs="Calibri"/>
                <w:color w:val="000000"/>
                <w:sz w:val="20"/>
                <w:szCs w:val="20"/>
              </w:rPr>
              <w:t>Resident Classification System</w:t>
            </w:r>
          </w:p>
        </w:tc>
      </w:tr>
      <w:tr w:rsidR="00187983" w:rsidRPr="000B42C6" w:rsidTr="00976493">
        <w:trPr>
          <w:trHeight w:val="300"/>
        </w:trPr>
        <w:tc>
          <w:tcPr>
            <w:tcW w:w="1668"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RUCS</w:t>
            </w:r>
          </w:p>
        </w:tc>
        <w:tc>
          <w:tcPr>
            <w:tcW w:w="7064" w:type="dxa"/>
            <w:tcBorders>
              <w:top w:val="nil"/>
              <w:left w:val="nil"/>
              <w:bottom w:val="nil"/>
              <w:right w:val="nil"/>
            </w:tcBorders>
            <w:shd w:val="clear" w:color="auto" w:fill="auto"/>
            <w:noWrap/>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Resource Utilisation and Classification Study</w:t>
            </w:r>
          </w:p>
        </w:tc>
      </w:tr>
      <w:tr w:rsidR="00187983" w:rsidRPr="000B42C6" w:rsidTr="00976493">
        <w:trPr>
          <w:trHeight w:val="300"/>
        </w:trPr>
        <w:tc>
          <w:tcPr>
            <w:tcW w:w="1668"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RVU</w:t>
            </w:r>
          </w:p>
        </w:tc>
        <w:tc>
          <w:tcPr>
            <w:tcW w:w="7064" w:type="dxa"/>
            <w:tcBorders>
              <w:top w:val="nil"/>
              <w:left w:val="nil"/>
              <w:bottom w:val="nil"/>
              <w:right w:val="nil"/>
            </w:tcBorders>
            <w:shd w:val="clear" w:color="auto" w:fill="auto"/>
            <w:noWrap/>
            <w:hideMark/>
          </w:tcPr>
          <w:p w:rsidR="00187983" w:rsidRPr="000B42C6" w:rsidRDefault="00187983" w:rsidP="00187983">
            <w:pPr>
              <w:rPr>
                <w:rFonts w:ascii="Calibri" w:hAnsi="Calibri" w:cs="Calibri"/>
                <w:color w:val="000000"/>
                <w:sz w:val="20"/>
                <w:szCs w:val="20"/>
              </w:rPr>
            </w:pPr>
            <w:r w:rsidRPr="000B42C6">
              <w:rPr>
                <w:rFonts w:ascii="Calibri" w:hAnsi="Calibri" w:cs="Calibri"/>
                <w:color w:val="000000"/>
                <w:sz w:val="20"/>
                <w:szCs w:val="20"/>
              </w:rPr>
              <w:t>Relative Value Unit</w:t>
            </w:r>
          </w:p>
        </w:tc>
      </w:tr>
    </w:tbl>
    <w:p w:rsidR="00003E81" w:rsidRPr="000B42C6" w:rsidRDefault="00003E81" w:rsidP="00003E81">
      <w:pPr>
        <w:rPr>
          <w:b/>
        </w:rPr>
      </w:pPr>
      <w:r w:rsidRPr="000B42C6">
        <w:rPr>
          <w:b/>
        </w:rPr>
        <w:br w:type="page"/>
      </w:r>
    </w:p>
    <w:p w:rsidR="00003E81" w:rsidRPr="000B42C6" w:rsidRDefault="00003E81" w:rsidP="00003E81">
      <w:pPr>
        <w:pStyle w:val="Heading1"/>
        <w:numPr>
          <w:ilvl w:val="0"/>
          <w:numId w:val="0"/>
        </w:numPr>
      </w:pPr>
      <w:bookmarkStart w:id="28" w:name="_Toc528848521"/>
      <w:bookmarkStart w:id="29" w:name="_Toc2005056"/>
      <w:r w:rsidRPr="000B42C6">
        <w:lastRenderedPageBreak/>
        <w:t>Glossary of Terms</w:t>
      </w:r>
      <w:bookmarkEnd w:id="28"/>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of terms"/>
        <w:tblDescription w:val="This table provides glossary of terms used throughout the report. This table is to be read in rows from left to right, top to bottom (term followed by description)."/>
      </w:tblPr>
      <w:tblGrid>
        <w:gridCol w:w="2761"/>
        <w:gridCol w:w="6309"/>
      </w:tblGrid>
      <w:tr w:rsidR="00187983" w:rsidRPr="00567BBC" w:rsidTr="0051544B">
        <w:trPr>
          <w:tblHeader/>
        </w:trPr>
        <w:tc>
          <w:tcPr>
            <w:tcW w:w="2802" w:type="dxa"/>
          </w:tcPr>
          <w:p w:rsidR="00187983" w:rsidRPr="00A327D7" w:rsidRDefault="0051544B" w:rsidP="00187983">
            <w:pPr>
              <w:spacing w:beforeLines="40" w:before="96" w:afterLines="40" w:after="96" w:line="276" w:lineRule="auto"/>
              <w:rPr>
                <w:rFonts w:asciiTheme="minorHAnsi" w:hAnsiTheme="minorHAnsi" w:cstheme="minorHAnsi"/>
                <w:b/>
                <w:sz w:val="20"/>
                <w:szCs w:val="20"/>
              </w:rPr>
            </w:pPr>
            <w:r w:rsidRPr="00A327D7">
              <w:rPr>
                <w:rFonts w:asciiTheme="minorHAnsi" w:hAnsiTheme="minorHAnsi" w:cstheme="minorHAnsi"/>
                <w:b/>
                <w:sz w:val="20"/>
                <w:szCs w:val="20"/>
              </w:rPr>
              <w:t>Term</w:t>
            </w:r>
          </w:p>
        </w:tc>
        <w:tc>
          <w:tcPr>
            <w:tcW w:w="6440" w:type="dxa"/>
          </w:tcPr>
          <w:p w:rsidR="00187983" w:rsidRPr="00A327D7" w:rsidRDefault="0051544B" w:rsidP="00187983">
            <w:pPr>
              <w:spacing w:beforeLines="40" w:before="96" w:afterLines="40" w:after="96" w:line="276" w:lineRule="auto"/>
              <w:rPr>
                <w:rFonts w:asciiTheme="minorHAnsi" w:hAnsiTheme="minorHAnsi" w:cstheme="minorHAnsi"/>
                <w:b/>
                <w:sz w:val="20"/>
                <w:szCs w:val="20"/>
              </w:rPr>
            </w:pPr>
            <w:r w:rsidRPr="00A327D7">
              <w:rPr>
                <w:rFonts w:asciiTheme="minorHAnsi" w:hAnsiTheme="minorHAnsi" w:cstheme="minorHAnsi"/>
                <w:b/>
                <w:sz w:val="20"/>
                <w:szCs w:val="20"/>
              </w:rPr>
              <w:t>Description</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Aged Care Funding Instrument (ACFI)</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The existing resource allocation instrument used to determine care subsidies for Au</w:t>
            </w:r>
            <w:r>
              <w:rPr>
                <w:rFonts w:asciiTheme="minorHAnsi" w:hAnsiTheme="minorHAnsi" w:cs="Arial"/>
                <w:sz w:val="20"/>
                <w:szCs w:val="20"/>
              </w:rPr>
              <w:t>stralian residential aged care.</w:t>
            </w:r>
          </w:p>
        </w:tc>
      </w:tr>
      <w:tr w:rsidR="00187983" w:rsidRPr="00567BBC" w:rsidTr="00250FD6">
        <w:tc>
          <w:tcPr>
            <w:tcW w:w="2802" w:type="dxa"/>
          </w:tcPr>
          <w:p w:rsidR="00187983" w:rsidRPr="00997050" w:rsidRDefault="00187983" w:rsidP="00187983">
            <w:pPr>
              <w:spacing w:beforeLines="40" w:before="96" w:afterLines="40" w:after="96" w:line="276" w:lineRule="auto"/>
              <w:rPr>
                <w:rFonts w:asciiTheme="minorHAnsi" w:hAnsiTheme="minorHAnsi" w:cs="Arial"/>
                <w:sz w:val="20"/>
                <w:szCs w:val="20"/>
              </w:rPr>
            </w:pPr>
            <w:r w:rsidRPr="00997050">
              <w:rPr>
                <w:rFonts w:asciiTheme="minorHAnsi" w:hAnsiTheme="minorHAnsi" w:cs="Arial"/>
                <w:sz w:val="20"/>
                <w:szCs w:val="20"/>
              </w:rPr>
              <w:t>Australian National Aged Care Classification (AN-ACC) system</w:t>
            </w:r>
          </w:p>
        </w:tc>
        <w:tc>
          <w:tcPr>
            <w:tcW w:w="6440" w:type="dxa"/>
          </w:tcPr>
          <w:p w:rsidR="00187983" w:rsidRPr="00997050" w:rsidRDefault="00187983" w:rsidP="00187983">
            <w:pPr>
              <w:spacing w:beforeLines="40" w:before="96" w:afterLines="40" w:after="96" w:line="276" w:lineRule="auto"/>
              <w:rPr>
                <w:rFonts w:asciiTheme="minorHAnsi" w:hAnsiTheme="minorHAnsi" w:cs="Arial"/>
                <w:sz w:val="20"/>
                <w:szCs w:val="20"/>
              </w:rPr>
            </w:pPr>
            <w:r w:rsidRPr="00997050">
              <w:rPr>
                <w:rFonts w:asciiTheme="minorHAnsi" w:hAnsiTheme="minorHAnsi" w:cs="Arial"/>
                <w:sz w:val="20"/>
                <w:szCs w:val="20"/>
              </w:rPr>
              <w:t>Consists of the AN-ACC assessment, AN-ACC</w:t>
            </w:r>
            <w:r>
              <w:rPr>
                <w:rFonts w:asciiTheme="minorHAnsi" w:hAnsiTheme="minorHAnsi" w:cs="Arial"/>
                <w:sz w:val="20"/>
                <w:szCs w:val="20"/>
              </w:rPr>
              <w:t xml:space="preserve"> casemix classification and </w:t>
            </w:r>
            <w:r w:rsidRPr="00997050">
              <w:rPr>
                <w:rFonts w:asciiTheme="minorHAnsi" w:hAnsiTheme="minorHAnsi" w:cs="Arial"/>
                <w:sz w:val="20"/>
                <w:szCs w:val="20"/>
              </w:rPr>
              <w:t>AN-ACC funding model</w:t>
            </w:r>
            <w:r>
              <w:rPr>
                <w:rFonts w:asciiTheme="minorHAnsi" w:hAnsiTheme="minorHAnsi" w:cs="Arial"/>
                <w:sz w:val="20"/>
                <w:szCs w:val="20"/>
              </w:rPr>
              <w:t>.</w:t>
            </w:r>
          </w:p>
        </w:tc>
      </w:tr>
      <w:tr w:rsidR="00187983" w:rsidRPr="00567BBC" w:rsidTr="00250FD6">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Casemix</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An information system that assigns care recipients to a funding class.  Care recipients within a class will have similar care needs and their care will involve similar levels of resources.</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Individual care</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Care tailored to the needs of an individual resident. Differences in individual care time between residents are typically due to differences in assessed function, cognition, behaviour and health status.</w:t>
            </w:r>
          </w:p>
        </w:tc>
      </w:tr>
      <w:tr w:rsidR="00187983" w:rsidRPr="00567BBC" w:rsidTr="00C659C9">
        <w:tc>
          <w:tcPr>
            <w:tcW w:w="2802" w:type="dxa"/>
            <w:shd w:val="clear" w:color="auto" w:fill="auto"/>
          </w:tcPr>
          <w:p w:rsidR="00187983" w:rsidRPr="00567BBC" w:rsidRDefault="00187983" w:rsidP="00187983">
            <w:pPr>
              <w:spacing w:beforeLines="40" w:before="96" w:afterLines="40" w:after="96" w:line="276" w:lineRule="auto"/>
              <w:rPr>
                <w:rFonts w:asciiTheme="minorHAnsi" w:hAnsiTheme="minorHAnsi" w:cs="Arial"/>
                <w:sz w:val="20"/>
                <w:szCs w:val="20"/>
                <w:highlight w:val="yellow"/>
              </w:rPr>
            </w:pPr>
            <w:r w:rsidRPr="00567BBC">
              <w:rPr>
                <w:rFonts w:asciiTheme="minorHAnsi" w:hAnsiTheme="minorHAnsi" w:cs="Arial"/>
                <w:sz w:val="20"/>
                <w:szCs w:val="20"/>
              </w:rPr>
              <w:t>National Weighted Activity Unit (NWAU)</w:t>
            </w:r>
          </w:p>
        </w:tc>
        <w:tc>
          <w:tcPr>
            <w:tcW w:w="6440" w:type="dxa"/>
            <w:shd w:val="clear" w:color="auto" w:fill="auto"/>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In the context of this study, a measure of relative price. An NWAU of 1.2 means that the price of the activity is 20% above the national average. An NWAU of 0.5 means that the price is 50% below national average.</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Permanent resident</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A person who enters residential aged care as their ongoing place of residence.</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Residential aged care</w:t>
            </w:r>
            <w:r>
              <w:rPr>
                <w:rFonts w:asciiTheme="minorHAnsi" w:hAnsiTheme="minorHAnsi" w:cs="Arial"/>
                <w:sz w:val="20"/>
                <w:szCs w:val="20"/>
              </w:rPr>
              <w:t xml:space="preserve"> (RAC)</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Personal and/or nursing care that is provided to a person in a residential aged care facility.  In addition to care, the person is also provided with accommodation that includes meals, cleaning services, furniture and equipment. The residential aged care service must meet certain building standards and appropriate staffing in supplying the provision of that care and accommodation.</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Respite care</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Short term care for a person within a residential care facility for short periods of time on a once-off or regular basis. The main purpose of respite is to provide relief for the usual carer.</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Relative Value Unit (RVU)</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 xml:space="preserve">In the context of this study, a measure of relative resource consumption (staff time or dollars). An RVU of 1.2 means that the cost is 20% above the national average. An RVU </w:t>
            </w:r>
            <w:r>
              <w:rPr>
                <w:rFonts w:asciiTheme="minorHAnsi" w:hAnsiTheme="minorHAnsi" w:cs="Arial"/>
                <w:sz w:val="20"/>
                <w:szCs w:val="20"/>
              </w:rPr>
              <w:t xml:space="preserve">of </w:t>
            </w:r>
            <w:r w:rsidRPr="00567BBC">
              <w:rPr>
                <w:rFonts w:asciiTheme="minorHAnsi" w:hAnsiTheme="minorHAnsi" w:cs="Arial"/>
                <w:sz w:val="20"/>
                <w:szCs w:val="20"/>
              </w:rPr>
              <w:t>0.5 means that the cost is 50% below national average.</w:t>
            </w:r>
          </w:p>
        </w:tc>
      </w:tr>
      <w:tr w:rsidR="00187983" w:rsidRPr="00567BBC" w:rsidTr="00142123">
        <w:tc>
          <w:tcPr>
            <w:tcW w:w="2802"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Shared care</w:t>
            </w:r>
          </w:p>
        </w:tc>
        <w:tc>
          <w:tcPr>
            <w:tcW w:w="6440" w:type="dxa"/>
          </w:tcPr>
          <w:p w:rsidR="00187983" w:rsidRPr="00567BBC" w:rsidRDefault="00187983" w:rsidP="00187983">
            <w:pPr>
              <w:spacing w:beforeLines="40" w:before="96" w:afterLines="40" w:after="96" w:line="276" w:lineRule="auto"/>
              <w:rPr>
                <w:rFonts w:asciiTheme="minorHAnsi" w:hAnsiTheme="minorHAnsi" w:cs="Arial"/>
                <w:sz w:val="20"/>
                <w:szCs w:val="20"/>
              </w:rPr>
            </w:pPr>
            <w:r w:rsidRPr="00567BBC">
              <w:rPr>
                <w:rFonts w:asciiTheme="minorHAnsi" w:hAnsiTheme="minorHAnsi" w:cs="Arial"/>
                <w:sz w:val="20"/>
                <w:szCs w:val="20"/>
              </w:rPr>
              <w:t>Care that is not tailored to individual resident needs and that all residents generally benefit from equally. This includes activities such as general supervision in common areas, night supervision clinical care management and quality activities and incidental brief interactions with residents.</w:t>
            </w:r>
          </w:p>
        </w:tc>
      </w:tr>
    </w:tbl>
    <w:p w:rsidR="00A47BD8" w:rsidRPr="000B42C6" w:rsidRDefault="00003E81" w:rsidP="00003E81">
      <w:pPr>
        <w:rPr>
          <w:highlight w:val="yellow"/>
        </w:rPr>
        <w:sectPr w:rsidR="00A47BD8" w:rsidRPr="000B42C6" w:rsidSect="00A47BD8">
          <w:footerReference w:type="default" r:id="rId19"/>
          <w:pgSz w:w="11906" w:h="16838"/>
          <w:pgMar w:top="1134" w:right="1418" w:bottom="1134" w:left="1418" w:header="709" w:footer="709" w:gutter="0"/>
          <w:pgNumType w:fmt="lowerRoman" w:start="1"/>
          <w:cols w:space="708"/>
          <w:docGrid w:linePitch="360"/>
        </w:sectPr>
      </w:pPr>
      <w:r w:rsidRPr="000B42C6">
        <w:rPr>
          <w:highlight w:val="yellow"/>
        </w:rPr>
        <w:br w:type="page"/>
      </w:r>
    </w:p>
    <w:p w:rsidR="00003E81" w:rsidRPr="000B42C6" w:rsidRDefault="00003E81" w:rsidP="00DA0373">
      <w:pPr>
        <w:pStyle w:val="Heading1"/>
        <w:numPr>
          <w:ilvl w:val="0"/>
          <w:numId w:val="11"/>
        </w:numPr>
      </w:pPr>
      <w:bookmarkStart w:id="30" w:name="_Toc2005057"/>
      <w:r w:rsidRPr="000B42C6">
        <w:lastRenderedPageBreak/>
        <w:t>Introduction and background</w:t>
      </w:r>
      <w:bookmarkEnd w:id="30"/>
    </w:p>
    <w:p w:rsidR="00D83529" w:rsidRPr="000B42C6" w:rsidRDefault="00D83529" w:rsidP="00D83529">
      <w:pPr>
        <w:pStyle w:val="Normal-nospacing"/>
      </w:pPr>
      <w:r w:rsidRPr="000B42C6">
        <w:t>Th</w:t>
      </w:r>
      <w:r w:rsidR="00332B3D" w:rsidRPr="000B42C6">
        <w:t xml:space="preserve">is series of reports presents the results of </w:t>
      </w:r>
      <w:r w:rsidRPr="000B42C6">
        <w:t xml:space="preserve">an important national study commissioned by the </w:t>
      </w:r>
      <w:r w:rsidR="00997050">
        <w:t xml:space="preserve">Commonwealth </w:t>
      </w:r>
      <w:r w:rsidRPr="000B42C6">
        <w:t xml:space="preserve">Department </w:t>
      </w:r>
      <w:r w:rsidR="00583E07">
        <w:t xml:space="preserve">of Health (the Department) </w:t>
      </w:r>
      <w:r w:rsidRPr="000B42C6">
        <w:t xml:space="preserve">to inform the development of </w:t>
      </w:r>
      <w:r w:rsidR="00684B4E" w:rsidRPr="000B42C6">
        <w:t xml:space="preserve">a new </w:t>
      </w:r>
      <w:r w:rsidRPr="000B42C6">
        <w:t xml:space="preserve">funding model for residential aged care in Australia. The overall aim of the </w:t>
      </w:r>
      <w:r w:rsidR="00332B3D" w:rsidRPr="000B42C6">
        <w:t xml:space="preserve">Resource Utilisation and Classification Study (RUCS) </w:t>
      </w:r>
      <w:r w:rsidR="0051544B">
        <w:t>was to:</w:t>
      </w:r>
    </w:p>
    <w:p w:rsidR="00D83529" w:rsidRPr="000B42C6" w:rsidRDefault="00D83529" w:rsidP="00D83529">
      <w:pPr>
        <w:pStyle w:val="Bullets"/>
      </w:pPr>
      <w:r w:rsidRPr="000B42C6">
        <w:t>Identify the clinical and need characteristics of aged care residents that influence the cost of care (cost drivers)</w:t>
      </w:r>
      <w:r w:rsidR="00997050">
        <w:t>.</w:t>
      </w:r>
    </w:p>
    <w:p w:rsidR="00D83529" w:rsidRPr="000B42C6" w:rsidRDefault="00D83529" w:rsidP="00D83529">
      <w:pPr>
        <w:pStyle w:val="Bullets"/>
      </w:pPr>
      <w:r w:rsidRPr="000B42C6">
        <w:t xml:space="preserve">Identify the proportion of care costs that are shared across residents (shared costs) </w:t>
      </w:r>
      <w:r w:rsidR="00710F83" w:rsidRPr="000B42C6">
        <w:t xml:space="preserve">and the proportion that are </w:t>
      </w:r>
      <w:r w:rsidRPr="000B42C6">
        <w:t>related to individual needs (individual costs)</w:t>
      </w:r>
      <w:r w:rsidR="00997050">
        <w:t>.</w:t>
      </w:r>
    </w:p>
    <w:p w:rsidR="00D83529" w:rsidRPr="000B42C6" w:rsidRDefault="00D83529" w:rsidP="00D83529">
      <w:pPr>
        <w:pStyle w:val="Bullets"/>
      </w:pPr>
      <w:r w:rsidRPr="000B42C6">
        <w:t>Develop a casemix classification based on identified cost drivers that can underpin a funding model that recognises both shared and individual costs</w:t>
      </w:r>
      <w:r w:rsidR="00997050">
        <w:t>.</w:t>
      </w:r>
    </w:p>
    <w:p w:rsidR="00332B3D" w:rsidRPr="000B42C6" w:rsidRDefault="00332B3D" w:rsidP="00D83529">
      <w:pPr>
        <w:pStyle w:val="Bullets"/>
      </w:pPr>
      <w:r w:rsidRPr="000B42C6">
        <w:t>Develop a new funding assessment that efficiently allows for each resident to be assigned to a payment class based on their needs</w:t>
      </w:r>
      <w:r w:rsidR="00997050">
        <w:t>.</w:t>
      </w:r>
    </w:p>
    <w:p w:rsidR="00D83529" w:rsidRPr="000B42C6" w:rsidRDefault="00D83529" w:rsidP="00D83529">
      <w:pPr>
        <w:pStyle w:val="Bullets"/>
      </w:pPr>
      <w:r w:rsidRPr="000B42C6">
        <w:t>Test the feasibility of implementing the recommended classification and funding model across the Australian residential aged care sector.</w:t>
      </w:r>
    </w:p>
    <w:p w:rsidR="009E3279" w:rsidRPr="000B42C6" w:rsidRDefault="009E3279" w:rsidP="009E3279">
      <w:pPr>
        <w:pStyle w:val="Normal-nospacing"/>
      </w:pPr>
      <w:r w:rsidRPr="000B42C6">
        <w:t>In considering the results and recommendations included in this report, it is necessary to distinguish between three key ideas:</w:t>
      </w:r>
    </w:p>
    <w:p w:rsidR="009E3279" w:rsidRPr="000B42C6" w:rsidRDefault="0051544B" w:rsidP="009E3279">
      <w:pPr>
        <w:pStyle w:val="Heading4"/>
      </w:pPr>
      <w:r>
        <w:t>Cost</w:t>
      </w:r>
    </w:p>
    <w:p w:rsidR="009E3279" w:rsidRPr="000B42C6" w:rsidRDefault="009E3279" w:rsidP="009E3279">
      <w:pPr>
        <w:pStyle w:val="Normal-nospacing"/>
      </w:pPr>
      <w:r w:rsidRPr="000B42C6">
        <w:t>The cost of care for people living in residential aged care is in scope for RUCS. Capital accommodation and ‘hotel’ services are out of scope, as is respite care for non-permanent residents.</w:t>
      </w:r>
    </w:p>
    <w:p w:rsidR="009E3279" w:rsidRPr="000B42C6" w:rsidRDefault="009E3279" w:rsidP="009E3279">
      <w:pPr>
        <w:pStyle w:val="Heading4"/>
      </w:pPr>
      <w:r w:rsidRPr="000B42C6">
        <w:t>Funding (payment) model and policy</w:t>
      </w:r>
    </w:p>
    <w:p w:rsidR="009E3279" w:rsidRPr="000B42C6" w:rsidRDefault="009E3279" w:rsidP="009E3279">
      <w:pPr>
        <w:pStyle w:val="Normal-nospacing"/>
      </w:pPr>
      <w:r w:rsidRPr="000B42C6">
        <w:t>Funding and payment issues are in scope. The role of the RUCS research team is to develop the fun</w:t>
      </w:r>
      <w:r w:rsidR="00684B4E" w:rsidRPr="000B42C6">
        <w:t>d</w:t>
      </w:r>
      <w:r w:rsidRPr="000B42C6">
        <w:t>ing model and provide policy advice on its potential implementation.</w:t>
      </w:r>
    </w:p>
    <w:p w:rsidR="009E3279" w:rsidRPr="000B42C6" w:rsidRDefault="009E3279" w:rsidP="009E3279">
      <w:pPr>
        <w:pStyle w:val="Heading4"/>
      </w:pPr>
      <w:r w:rsidRPr="000B42C6">
        <w:t>Price</w:t>
      </w:r>
    </w:p>
    <w:p w:rsidR="009E3279" w:rsidRPr="000B42C6" w:rsidRDefault="009E3279" w:rsidP="009E3279">
      <w:pPr>
        <w:pStyle w:val="Normal-nospacing"/>
      </w:pPr>
      <w:r w:rsidRPr="000B42C6">
        <w:t>Price is out of scope for RUCS as price is ultimately a decision for payers (both government and consumers). But the RUCS has generated significant evidence that can aid decision-making about pricing.</w:t>
      </w:r>
    </w:p>
    <w:p w:rsidR="00D83529" w:rsidRPr="000B42C6" w:rsidRDefault="00D83529" w:rsidP="00D83529">
      <w:pPr>
        <w:pStyle w:val="Heading2"/>
      </w:pPr>
      <w:bookmarkStart w:id="31" w:name="_Toc2005058"/>
      <w:r w:rsidRPr="000B42C6">
        <w:t>Key elements of the AN-ACC assessment and funding model</w:t>
      </w:r>
      <w:bookmarkEnd w:id="31"/>
    </w:p>
    <w:p w:rsidR="00D83529" w:rsidRPr="000B42C6" w:rsidRDefault="00D83529" w:rsidP="00D83529">
      <w:pPr>
        <w:pStyle w:val="Normal-nospacing"/>
      </w:pPr>
      <w:r w:rsidRPr="000B42C6">
        <w:t xml:space="preserve">The </w:t>
      </w:r>
      <w:r w:rsidR="00332B3D" w:rsidRPr="000B42C6">
        <w:t xml:space="preserve">new assessment and funding model presented in this series of reports has been termed the Australian National Aged Care Classification (AN-ACC) system. The </w:t>
      </w:r>
      <w:r w:rsidRPr="000B42C6">
        <w:t>AN-ACC assessment and funding model is based on six key design elements:</w:t>
      </w:r>
    </w:p>
    <w:p w:rsidR="00D83529" w:rsidRPr="000B42C6" w:rsidRDefault="00D83529" w:rsidP="00DA0373">
      <w:pPr>
        <w:pStyle w:val="Bullets"/>
        <w:numPr>
          <w:ilvl w:val="0"/>
          <w:numId w:val="12"/>
        </w:numPr>
      </w:pPr>
      <w:r w:rsidRPr="000B42C6">
        <w:t>Resident assessment for funding to be separate from resident assess</w:t>
      </w:r>
      <w:r w:rsidR="00997050">
        <w:t>ment for care planning purposes.</w:t>
      </w:r>
    </w:p>
    <w:p w:rsidR="00D83529" w:rsidRPr="000B42C6" w:rsidRDefault="00D83529" w:rsidP="00DA0373">
      <w:pPr>
        <w:pStyle w:val="Bullets"/>
        <w:numPr>
          <w:ilvl w:val="0"/>
          <w:numId w:val="12"/>
        </w:numPr>
      </w:pPr>
      <w:r w:rsidRPr="000B42C6">
        <w:lastRenderedPageBreak/>
        <w:t>Assessment for funding purposes to be undertaken by external assessors capturing the information necessary to assig</w:t>
      </w:r>
      <w:r w:rsidR="00997050">
        <w:t>n a resident to a payment class.</w:t>
      </w:r>
    </w:p>
    <w:p w:rsidR="00D83529" w:rsidRPr="000B42C6" w:rsidRDefault="00D83529" w:rsidP="00DA0373">
      <w:pPr>
        <w:pStyle w:val="Bullets"/>
        <w:numPr>
          <w:ilvl w:val="0"/>
          <w:numId w:val="12"/>
        </w:numPr>
      </w:pPr>
      <w:r w:rsidRPr="000B42C6">
        <w:t xml:space="preserve">Assessment related to care planning to be undertaken by the residential aged care facility based on resident needs and underpinned by </w:t>
      </w:r>
      <w:r w:rsidR="00332B3D" w:rsidRPr="000B42C6">
        <w:t>consumer</w:t>
      </w:r>
      <w:r w:rsidR="00583E07">
        <w:t xml:space="preserve"> </w:t>
      </w:r>
      <w:r w:rsidR="00332B3D" w:rsidRPr="000B42C6">
        <w:t>directed care (</w:t>
      </w:r>
      <w:r w:rsidRPr="000B42C6">
        <w:t>CDC</w:t>
      </w:r>
      <w:r w:rsidR="00332B3D" w:rsidRPr="000B42C6">
        <w:t>)</w:t>
      </w:r>
      <w:r w:rsidR="00997050">
        <w:t xml:space="preserve"> principles.</w:t>
      </w:r>
    </w:p>
    <w:p w:rsidR="00D83529" w:rsidRPr="000B42C6" w:rsidRDefault="00332B3D" w:rsidP="00DA0373">
      <w:pPr>
        <w:pStyle w:val="Bullets"/>
        <w:numPr>
          <w:ilvl w:val="0"/>
          <w:numId w:val="12"/>
        </w:numPr>
      </w:pPr>
      <w:r w:rsidRPr="000B42C6">
        <w:t>Provision of a o</w:t>
      </w:r>
      <w:r w:rsidR="00D83529" w:rsidRPr="000B42C6">
        <w:t xml:space="preserve">ne-off adjustment payment for each new resident </w:t>
      </w:r>
      <w:r w:rsidRPr="000B42C6">
        <w:t xml:space="preserve">that </w:t>
      </w:r>
      <w:r w:rsidR="00D83529" w:rsidRPr="000B42C6">
        <w:t>recognis</w:t>
      </w:r>
      <w:r w:rsidRPr="000B42C6">
        <w:t>es</w:t>
      </w:r>
      <w:r w:rsidR="00D83529" w:rsidRPr="000B42C6">
        <w:t xml:space="preserve"> additional, but time-limited, resource requirements when someone in</w:t>
      </w:r>
      <w:r w:rsidR="00997050">
        <w:t>itially enters residential care.</w:t>
      </w:r>
    </w:p>
    <w:p w:rsidR="00D83529" w:rsidRPr="00567BBC" w:rsidRDefault="00332B3D" w:rsidP="00DA0373">
      <w:pPr>
        <w:pStyle w:val="Bullets"/>
        <w:numPr>
          <w:ilvl w:val="0"/>
          <w:numId w:val="12"/>
        </w:numPr>
      </w:pPr>
      <w:r w:rsidRPr="000B42C6">
        <w:t>A f</w:t>
      </w:r>
      <w:r w:rsidR="00D83529" w:rsidRPr="000B42C6">
        <w:t>i</w:t>
      </w:r>
      <w:r w:rsidR="00D83529" w:rsidRPr="00567BBC">
        <w:t xml:space="preserve">xed price </w:t>
      </w:r>
      <w:r w:rsidRPr="00567BBC">
        <w:t xml:space="preserve">per day </w:t>
      </w:r>
      <w:r w:rsidR="00D83529" w:rsidRPr="00567BBC">
        <w:t>for the costs of care that are shared equally by all residents</w:t>
      </w:r>
      <w:r w:rsidRPr="00567BBC">
        <w:t>. This m</w:t>
      </w:r>
      <w:r w:rsidR="00D83529" w:rsidRPr="00567BBC">
        <w:t>ay vary by location and other factors</w:t>
      </w:r>
      <w:r w:rsidR="00997050">
        <w:t>.</w:t>
      </w:r>
    </w:p>
    <w:p w:rsidR="00D83529" w:rsidRPr="000B42C6" w:rsidRDefault="00332B3D" w:rsidP="00DA0373">
      <w:pPr>
        <w:pStyle w:val="Bullets"/>
        <w:numPr>
          <w:ilvl w:val="0"/>
          <w:numId w:val="12"/>
        </w:numPr>
      </w:pPr>
      <w:r w:rsidRPr="00567BBC">
        <w:t xml:space="preserve">A </w:t>
      </w:r>
      <w:r w:rsidR="00D83529" w:rsidRPr="00567BBC">
        <w:t>variable price per</w:t>
      </w:r>
      <w:r w:rsidR="00D83529" w:rsidRPr="000B42C6">
        <w:t xml:space="preserve"> day for the costs of individualised care for each resident based on </w:t>
      </w:r>
      <w:r w:rsidR="00684B4E" w:rsidRPr="000B42C6">
        <w:t>their</w:t>
      </w:r>
      <w:r w:rsidR="00D83529" w:rsidRPr="000B42C6">
        <w:t xml:space="preserve"> </w:t>
      </w:r>
      <w:r w:rsidRPr="000B42C6">
        <w:t xml:space="preserve">AN-ACC </w:t>
      </w:r>
      <w:r w:rsidR="00D83529" w:rsidRPr="000B42C6">
        <w:t>casemix class</w:t>
      </w:r>
      <w:r w:rsidRPr="000B42C6">
        <w:t>.</w:t>
      </w:r>
    </w:p>
    <w:p w:rsidR="00D83529" w:rsidRPr="000B42C6" w:rsidRDefault="00D83529" w:rsidP="00D83529">
      <w:pPr>
        <w:pStyle w:val="Heading2"/>
      </w:pPr>
      <w:bookmarkStart w:id="32" w:name="_Toc2005059"/>
      <w:r w:rsidRPr="000B42C6">
        <w:t>The four RUCS studies</w:t>
      </w:r>
      <w:bookmarkEnd w:id="32"/>
    </w:p>
    <w:p w:rsidR="00003E81" w:rsidRPr="000B42C6" w:rsidRDefault="00003E81" w:rsidP="00003E81">
      <w:pPr>
        <w:pStyle w:val="Normal-nospacing"/>
      </w:pPr>
      <w:r w:rsidRPr="000B42C6">
        <w:t>In summary, RUCS comprised four separate but closely related studies. Each study included separate data collection and analysis elements that have been synthesised to produce a classification and associated funding model that is suitable for implementation across the Australia</w:t>
      </w:r>
      <w:r w:rsidR="0051544B">
        <w:t>n residential aged care sector.</w:t>
      </w:r>
    </w:p>
    <w:p w:rsidR="00003E81" w:rsidRPr="000B42C6" w:rsidRDefault="00003E81" w:rsidP="00B762A8">
      <w:pPr>
        <w:pStyle w:val="Heading4"/>
      </w:pPr>
      <w:r w:rsidRPr="000B42C6">
        <w:t>Study One - Service utilisation and classification devel</w:t>
      </w:r>
      <w:r w:rsidR="0051544B">
        <w:t>opment study</w:t>
      </w:r>
    </w:p>
    <w:p w:rsidR="00003E81" w:rsidRPr="000B42C6" w:rsidRDefault="00003E81" w:rsidP="00003E81">
      <w:pPr>
        <w:pStyle w:val="Normal-nospacing"/>
      </w:pPr>
      <w:r w:rsidRPr="000B42C6">
        <w:t>Study One involved a prospective and comprehensive collection of resident assessment, service utilisation and financial data which w</w:t>
      </w:r>
      <w:r w:rsidR="00684B4E" w:rsidRPr="000B42C6">
        <w:t>ere</w:t>
      </w:r>
      <w:r w:rsidRPr="000B42C6">
        <w:t xml:space="preserve"> analysed to develop a casemix classification. Study </w:t>
      </w:r>
      <w:r w:rsidR="00997050">
        <w:t>O</w:t>
      </w:r>
      <w:r w:rsidRPr="000B42C6">
        <w:t>ne involved 30 facilities clustered in three geographic regions in Queensland</w:t>
      </w:r>
      <w:r w:rsidR="0051544B">
        <w:t>, New South Wales and Victoria.</w:t>
      </w:r>
    </w:p>
    <w:p w:rsidR="00003E81" w:rsidRPr="000B42C6" w:rsidRDefault="00003E81" w:rsidP="00003E81">
      <w:pPr>
        <w:pStyle w:val="Normal-nospacing"/>
      </w:pPr>
      <w:r w:rsidRPr="000B42C6">
        <w:t>Study One was completed between October 2017 and October 2018.</w:t>
      </w:r>
    </w:p>
    <w:p w:rsidR="00003E81" w:rsidRPr="000B42C6" w:rsidRDefault="00003E81" w:rsidP="00B762A8">
      <w:pPr>
        <w:pStyle w:val="Heading4"/>
      </w:pPr>
      <w:r w:rsidRPr="000B42C6">
        <w:t>Study Two - Fixed and variable cost analysis study</w:t>
      </w:r>
    </w:p>
    <w:p w:rsidR="00003E81" w:rsidRPr="000B42C6" w:rsidRDefault="00003E81" w:rsidP="00003E81">
      <w:pPr>
        <w:pStyle w:val="Normal-nospacing"/>
      </w:pPr>
      <w:r w:rsidRPr="000B42C6">
        <w:t>Study Two involved a larger nationally representative sample of 110 facilities. The purpose of this study was to understand differences in cost drivers between different types of facilities (including facility size</w:t>
      </w:r>
      <w:r w:rsidR="00684B4E" w:rsidRPr="000B42C6">
        <w:t xml:space="preserve"> and</w:t>
      </w:r>
      <w:r w:rsidRPr="000B42C6">
        <w:t xml:space="preserve"> location) as well as differences that may result from seasonal effects. This analysis inform</w:t>
      </w:r>
      <w:r w:rsidR="00151D88" w:rsidRPr="000B42C6">
        <w:t>ed</w:t>
      </w:r>
      <w:r w:rsidRPr="000B42C6">
        <w:t xml:space="preserve"> the design of the funding model. Study Two examine</w:t>
      </w:r>
      <w:r w:rsidR="00151D88" w:rsidRPr="000B42C6">
        <w:t>d</w:t>
      </w:r>
      <w:r w:rsidRPr="000B42C6">
        <w:t xml:space="preserve"> facility, rather than resident</w:t>
      </w:r>
      <w:r w:rsidR="00151D88" w:rsidRPr="000B42C6">
        <w:t>,</w:t>
      </w:r>
      <w:r w:rsidRPr="000B42C6">
        <w:t xml:space="preserve"> level costs.</w:t>
      </w:r>
    </w:p>
    <w:p w:rsidR="00003E81" w:rsidRPr="000B42C6" w:rsidRDefault="00003E81" w:rsidP="00003E81">
      <w:pPr>
        <w:pStyle w:val="Normal-nospacing"/>
      </w:pPr>
      <w:r w:rsidRPr="000B42C6">
        <w:t>Study Two was completed between November 2017 and October 2018.</w:t>
      </w:r>
    </w:p>
    <w:p w:rsidR="00003E81" w:rsidRPr="000B42C6" w:rsidRDefault="00003E81" w:rsidP="00B762A8">
      <w:pPr>
        <w:pStyle w:val="Heading4"/>
      </w:pPr>
      <w:r w:rsidRPr="000B42C6">
        <w:t>Study Three - Casemix profiling study</w:t>
      </w:r>
    </w:p>
    <w:p w:rsidR="00003E81" w:rsidRPr="000B42C6" w:rsidRDefault="00003E81" w:rsidP="00003E81">
      <w:pPr>
        <w:pStyle w:val="Normal-nospacing"/>
      </w:pPr>
      <w:r w:rsidRPr="000B42C6">
        <w:t xml:space="preserve">Study Three involved the collection of variables included in the classification from an additional nationally representative sample of </w:t>
      </w:r>
      <w:r w:rsidR="00151D88" w:rsidRPr="000B42C6">
        <w:t>69</w:t>
      </w:r>
      <w:r w:rsidRPr="000B42C6">
        <w:t xml:space="preserve"> facilities. </w:t>
      </w:r>
      <w:r w:rsidR="00151D88" w:rsidRPr="000B42C6">
        <w:t>In combination with the data from Study One, t</w:t>
      </w:r>
      <w:r w:rsidRPr="000B42C6">
        <w:t>he primary purpose of Study Three was to develop a national casemix profile of resid</w:t>
      </w:r>
      <w:r w:rsidR="0051544B">
        <w:t>ents in aged care in Australia.</w:t>
      </w:r>
    </w:p>
    <w:p w:rsidR="00003E81" w:rsidRPr="000B42C6" w:rsidRDefault="00003E81" w:rsidP="00003E81">
      <w:pPr>
        <w:pStyle w:val="Normal-nospacing"/>
      </w:pPr>
      <w:r w:rsidRPr="000B42C6">
        <w:t>Study Three was completed between September 2018 and December 2018.</w:t>
      </w:r>
    </w:p>
    <w:p w:rsidR="00003E81" w:rsidRPr="000B42C6" w:rsidRDefault="00003E81" w:rsidP="00B762A8">
      <w:pPr>
        <w:pStyle w:val="Heading4"/>
      </w:pPr>
      <w:r w:rsidRPr="000B42C6">
        <w:lastRenderedPageBreak/>
        <w:t>Study Four – Reassessment study</w:t>
      </w:r>
    </w:p>
    <w:p w:rsidR="00003E81" w:rsidRPr="000B42C6" w:rsidRDefault="00003E81" w:rsidP="00003E81">
      <w:pPr>
        <w:spacing w:before="120" w:after="120"/>
        <w:rPr>
          <w:rFonts w:cstheme="minorHAnsi"/>
        </w:rPr>
      </w:pPr>
      <w:r w:rsidRPr="000B42C6">
        <w:rPr>
          <w:rFonts w:cstheme="minorHAnsi"/>
        </w:rPr>
        <w:t xml:space="preserve">Study Four was added to the RUCS work program in mid-2018 in recognition of value that could be added by collecting additional information about the rate and extent of change in residents’ care needs over time. Study Four involved conducting </w:t>
      </w:r>
      <w:r w:rsidR="00B262A0">
        <w:rPr>
          <w:rFonts w:cstheme="minorHAnsi"/>
        </w:rPr>
        <w:t>reassessment</w:t>
      </w:r>
      <w:r w:rsidRPr="000B42C6">
        <w:rPr>
          <w:rFonts w:cstheme="minorHAnsi"/>
        </w:rPr>
        <w:t xml:space="preserve">s of approximately </w:t>
      </w:r>
      <w:r w:rsidR="00684B4E" w:rsidRPr="000B42C6">
        <w:rPr>
          <w:rFonts w:cstheme="minorHAnsi"/>
        </w:rPr>
        <w:t>half of the</w:t>
      </w:r>
      <w:r w:rsidRPr="000B42C6">
        <w:rPr>
          <w:rFonts w:cstheme="minorHAnsi"/>
        </w:rPr>
        <w:t xml:space="preserve"> residents assessed as part of Study One four to six months </w:t>
      </w:r>
      <w:r w:rsidR="0051544B">
        <w:rPr>
          <w:rFonts w:cstheme="minorHAnsi"/>
        </w:rPr>
        <w:t>after their initial assessment.</w:t>
      </w:r>
    </w:p>
    <w:p w:rsidR="00003E81" w:rsidRPr="000B42C6" w:rsidRDefault="00003E81" w:rsidP="00003E81">
      <w:pPr>
        <w:spacing w:before="120" w:after="120"/>
      </w:pPr>
      <w:r w:rsidRPr="000B42C6">
        <w:t>Study Four was completed between August 2018 and December 2018</w:t>
      </w:r>
      <w:r w:rsidR="00151D88" w:rsidRPr="000B42C6">
        <w:t>.</w:t>
      </w:r>
    </w:p>
    <w:p w:rsidR="00B762A8" w:rsidRPr="000B42C6" w:rsidRDefault="00B762A8" w:rsidP="00D83529">
      <w:pPr>
        <w:pStyle w:val="Heading2"/>
      </w:pPr>
      <w:bookmarkStart w:id="33" w:name="_Toc2005060"/>
      <w:r w:rsidRPr="000B42C6">
        <w:t>The RUCS reports</w:t>
      </w:r>
      <w:bookmarkEnd w:id="33"/>
    </w:p>
    <w:p w:rsidR="00B762A8" w:rsidRPr="000B42C6" w:rsidRDefault="00B762A8" w:rsidP="00B762A8">
      <w:r w:rsidRPr="000B42C6">
        <w:t xml:space="preserve">Given the complexity of RUCS, it has been </w:t>
      </w:r>
      <w:r w:rsidR="00B14C79" w:rsidRPr="000B42C6">
        <w:t xml:space="preserve">written up </w:t>
      </w:r>
      <w:r w:rsidRPr="000B42C6">
        <w:t>in a series of reports as follows:</w:t>
      </w:r>
    </w:p>
    <w:p w:rsidR="00B762A8" w:rsidRPr="000B42C6" w:rsidRDefault="00B14C79" w:rsidP="00332B3D">
      <w:pPr>
        <w:pStyle w:val="Heading3"/>
      </w:pPr>
      <w:bookmarkStart w:id="34" w:name="_Toc2005061"/>
      <w:r w:rsidRPr="000B42C6">
        <w:t xml:space="preserve">Report </w:t>
      </w:r>
      <w:r w:rsidR="00997050">
        <w:t>1</w:t>
      </w:r>
      <w:r w:rsidRPr="000B42C6">
        <w:t xml:space="preserve">: </w:t>
      </w:r>
      <w:r w:rsidR="00B762A8" w:rsidRPr="000B42C6">
        <w:t>The Australian National Aged Care Classification (AN-ACC)</w:t>
      </w:r>
      <w:bookmarkEnd w:id="34"/>
    </w:p>
    <w:p w:rsidR="00B762A8" w:rsidRPr="000B42C6" w:rsidRDefault="00B14C79" w:rsidP="00B762A8">
      <w:r w:rsidRPr="000B42C6">
        <w:t xml:space="preserve">Report </w:t>
      </w:r>
      <w:r w:rsidR="00997050">
        <w:t>1</w:t>
      </w:r>
      <w:r w:rsidRPr="000B42C6">
        <w:t xml:space="preserve"> covers the</w:t>
      </w:r>
      <w:r w:rsidR="00B762A8" w:rsidRPr="000B42C6">
        <w:t xml:space="preserve"> design and conduct of the </w:t>
      </w:r>
      <w:r w:rsidRPr="000B42C6">
        <w:t>study undertaken to develop the AN-ACC Version 1</w:t>
      </w:r>
      <w:r w:rsidR="00B262A0">
        <w:t>.0</w:t>
      </w:r>
      <w:r w:rsidR="00997050">
        <w:t xml:space="preserve"> (</w:t>
      </w:r>
      <w:r w:rsidR="00D60117">
        <w:t>S</w:t>
      </w:r>
      <w:r w:rsidR="00997050">
        <w:t>tudy One)</w:t>
      </w:r>
      <w:r w:rsidRPr="000B42C6">
        <w:t>. It covers th</w:t>
      </w:r>
      <w:r w:rsidR="00B262A0">
        <w:t>e design and use of the AN-ACC Assessment T</w:t>
      </w:r>
      <w:r w:rsidRPr="000B42C6">
        <w:t xml:space="preserve">ool and the </w:t>
      </w:r>
      <w:r w:rsidR="00B762A8" w:rsidRPr="000B42C6">
        <w:t xml:space="preserve">resource utilisation </w:t>
      </w:r>
      <w:r w:rsidRPr="000B42C6">
        <w:t>study undertaken to develop AN-ACC Version 1</w:t>
      </w:r>
      <w:r w:rsidR="00B262A0">
        <w:t>.0</w:t>
      </w:r>
      <w:r w:rsidRPr="000B42C6">
        <w:t xml:space="preserve">, including the </w:t>
      </w:r>
      <w:r w:rsidR="00B762A8" w:rsidRPr="000B42C6">
        <w:t>preparation and analysis of the data collection</w:t>
      </w:r>
      <w:r w:rsidRPr="000B42C6">
        <w:t xml:space="preserve">. It </w:t>
      </w:r>
      <w:r w:rsidR="00B762A8" w:rsidRPr="000B42C6">
        <w:t>discuss</w:t>
      </w:r>
      <w:r w:rsidRPr="000B42C6">
        <w:t xml:space="preserve">es the </w:t>
      </w:r>
      <w:r w:rsidR="00B762A8" w:rsidRPr="000B42C6">
        <w:t>results</w:t>
      </w:r>
      <w:r w:rsidRPr="000B42C6">
        <w:t>, t</w:t>
      </w:r>
      <w:r w:rsidR="00B762A8" w:rsidRPr="000B42C6">
        <w:t xml:space="preserve">he classification development process and </w:t>
      </w:r>
      <w:r w:rsidRPr="000B42C6">
        <w:t xml:space="preserve">key </w:t>
      </w:r>
      <w:r w:rsidR="00B762A8" w:rsidRPr="000B42C6">
        <w:t>outcomes inc</w:t>
      </w:r>
      <w:r w:rsidRPr="000B42C6">
        <w:t>l</w:t>
      </w:r>
      <w:r w:rsidR="00B762A8" w:rsidRPr="000B42C6">
        <w:t xml:space="preserve">uding </w:t>
      </w:r>
      <w:r w:rsidRPr="000B42C6">
        <w:t xml:space="preserve">the </w:t>
      </w:r>
      <w:r w:rsidR="00B762A8" w:rsidRPr="000B42C6">
        <w:t>statistical an</w:t>
      </w:r>
      <w:r w:rsidR="0051544B">
        <w:t>alysis and clinical validation.</w:t>
      </w:r>
    </w:p>
    <w:p w:rsidR="00B762A8" w:rsidRPr="000B42C6" w:rsidRDefault="00B14C79" w:rsidP="00332B3D">
      <w:pPr>
        <w:pStyle w:val="Heading3"/>
      </w:pPr>
      <w:bookmarkStart w:id="35" w:name="_Toc2005062"/>
      <w:r w:rsidRPr="000B42C6">
        <w:t xml:space="preserve">Report </w:t>
      </w:r>
      <w:r w:rsidR="00997050">
        <w:t>2</w:t>
      </w:r>
      <w:r w:rsidRPr="000B42C6">
        <w:t xml:space="preserve">: </w:t>
      </w:r>
      <w:r w:rsidR="00B762A8" w:rsidRPr="000B42C6">
        <w:t>The AN-ACC assessment model</w:t>
      </w:r>
      <w:bookmarkEnd w:id="35"/>
    </w:p>
    <w:p w:rsidR="00B762A8" w:rsidRPr="000B42C6" w:rsidRDefault="00B14C79" w:rsidP="00B762A8">
      <w:r w:rsidRPr="000B42C6">
        <w:t xml:space="preserve">Report </w:t>
      </w:r>
      <w:r w:rsidR="00997050">
        <w:t>2</w:t>
      </w:r>
      <w:r w:rsidRPr="000B42C6">
        <w:t xml:space="preserve"> presents d</w:t>
      </w:r>
      <w:r w:rsidR="00B762A8" w:rsidRPr="000B42C6">
        <w:t>etailed findings relating to the external assessment tool and assessment process</w:t>
      </w:r>
      <w:r w:rsidR="00FF1D4B">
        <w:t xml:space="preserve"> (</w:t>
      </w:r>
      <w:r w:rsidR="00D60117">
        <w:t>informed by Stud</w:t>
      </w:r>
      <w:r w:rsidR="001A058A">
        <w:t>ies One, Three and</w:t>
      </w:r>
      <w:r w:rsidR="00D60117">
        <w:t xml:space="preserve"> Four</w:t>
      </w:r>
      <w:r w:rsidR="00FF1D4B">
        <w:t>)</w:t>
      </w:r>
      <w:r w:rsidR="00B762A8" w:rsidRPr="000B42C6">
        <w:t xml:space="preserve">. </w:t>
      </w:r>
      <w:r w:rsidRPr="000B42C6">
        <w:t xml:space="preserve">This includes the development of the </w:t>
      </w:r>
      <w:r w:rsidR="00B762A8" w:rsidRPr="000B42C6">
        <w:t>assessment tool</w:t>
      </w:r>
      <w:r w:rsidRPr="000B42C6">
        <w:t xml:space="preserve"> us</w:t>
      </w:r>
      <w:r w:rsidR="00B762A8" w:rsidRPr="000B42C6">
        <w:t>ing expert clinical panels</w:t>
      </w:r>
      <w:r w:rsidRPr="000B42C6">
        <w:t xml:space="preserve"> and a summary of </w:t>
      </w:r>
      <w:r w:rsidR="00B762A8" w:rsidRPr="000B42C6">
        <w:t>feedback from assessors regarding the use of the tool and the suitability of individual instruments. The skills and competencies required for the assessment workforce and other implications for implementation of the external assessment model</w:t>
      </w:r>
      <w:r w:rsidRPr="000B42C6">
        <w:t xml:space="preserve"> are considered</w:t>
      </w:r>
      <w:r w:rsidR="00534F26" w:rsidRPr="000B42C6">
        <w:t xml:space="preserve"> as well as </w:t>
      </w:r>
      <w:r w:rsidR="00B762A8" w:rsidRPr="000B42C6">
        <w:t>triggers and protocols for reassessment.</w:t>
      </w:r>
    </w:p>
    <w:p w:rsidR="00B762A8" w:rsidRPr="000B42C6" w:rsidRDefault="00B14C79" w:rsidP="00332B3D">
      <w:pPr>
        <w:pStyle w:val="Heading3"/>
      </w:pPr>
      <w:bookmarkStart w:id="36" w:name="_Toc2005063"/>
      <w:r w:rsidRPr="000B42C6">
        <w:t xml:space="preserve">Report </w:t>
      </w:r>
      <w:r w:rsidR="00997050">
        <w:t>3</w:t>
      </w:r>
      <w:r w:rsidRPr="000B42C6">
        <w:t xml:space="preserve">: </w:t>
      </w:r>
      <w:r w:rsidR="00B762A8" w:rsidRPr="000B42C6">
        <w:t>Structural and individual costs of residential aged care services in Australia</w:t>
      </w:r>
      <w:bookmarkEnd w:id="36"/>
    </w:p>
    <w:p w:rsidR="00B762A8" w:rsidRPr="000B42C6" w:rsidRDefault="00534F26" w:rsidP="00B762A8">
      <w:r w:rsidRPr="000B42C6">
        <w:t xml:space="preserve">Report </w:t>
      </w:r>
      <w:r w:rsidR="00997050">
        <w:t>3</w:t>
      </w:r>
      <w:r w:rsidRPr="000B42C6">
        <w:t xml:space="preserve"> presents the</w:t>
      </w:r>
      <w:r w:rsidR="00B762A8" w:rsidRPr="000B42C6">
        <w:t xml:space="preserve"> analysis and findings of Study</w:t>
      </w:r>
      <w:r w:rsidR="00997050">
        <w:t xml:space="preserve"> </w:t>
      </w:r>
      <w:r w:rsidR="00B762A8" w:rsidRPr="000B42C6">
        <w:t xml:space="preserve">Two which identified the proportions of total care costs that are fixed (including shared </w:t>
      </w:r>
      <w:r w:rsidR="00D60117" w:rsidRPr="000B42C6">
        <w:t>care)</w:t>
      </w:r>
      <w:r w:rsidR="00B762A8" w:rsidRPr="000B42C6">
        <w:t xml:space="preserve"> and variable (relating to individualised resident care). The analysis focused on the differences in fixed costs between different types of facilities, characterised by ownership, size, remoteness and service specialisation. </w:t>
      </w:r>
      <w:r w:rsidR="00B14C79" w:rsidRPr="000B42C6">
        <w:t xml:space="preserve"> It includes an a</w:t>
      </w:r>
      <w:r w:rsidR="00B762A8" w:rsidRPr="000B42C6">
        <w:t xml:space="preserve">nalysis of </w:t>
      </w:r>
      <w:r w:rsidRPr="000B42C6">
        <w:t xml:space="preserve">the </w:t>
      </w:r>
      <w:r w:rsidR="00B762A8" w:rsidRPr="000B42C6">
        <w:t>drivers of fixed care costs</w:t>
      </w:r>
      <w:r w:rsidRPr="000B42C6">
        <w:t>.</w:t>
      </w:r>
    </w:p>
    <w:p w:rsidR="00B762A8" w:rsidRPr="000B42C6" w:rsidRDefault="00B14C79" w:rsidP="00332B3D">
      <w:pPr>
        <w:pStyle w:val="Heading3"/>
      </w:pPr>
      <w:bookmarkStart w:id="37" w:name="_Toc2005064"/>
      <w:r w:rsidRPr="000B42C6">
        <w:t xml:space="preserve">Report </w:t>
      </w:r>
      <w:r w:rsidR="00997050">
        <w:t>4</w:t>
      </w:r>
      <w:r w:rsidRPr="000B42C6">
        <w:t xml:space="preserve">: </w:t>
      </w:r>
      <w:r w:rsidR="00B762A8" w:rsidRPr="000B42C6">
        <w:t>Modelling the impact of the AN-ACC in Australia</w:t>
      </w:r>
      <w:bookmarkEnd w:id="37"/>
    </w:p>
    <w:p w:rsidR="00B762A8" w:rsidRPr="000B42C6" w:rsidRDefault="00534F26" w:rsidP="00534F26">
      <w:r w:rsidRPr="000B42C6">
        <w:t xml:space="preserve">Report </w:t>
      </w:r>
      <w:r w:rsidR="00997050">
        <w:t>4</w:t>
      </w:r>
      <w:r w:rsidRPr="000B42C6">
        <w:t xml:space="preserve"> presents an a</w:t>
      </w:r>
      <w:r w:rsidR="00B762A8" w:rsidRPr="000B42C6">
        <w:t xml:space="preserve">nalysis of modelling the introduction of the AN-ACC across Australia. This </w:t>
      </w:r>
      <w:r w:rsidRPr="000B42C6">
        <w:t>is based on the fi</w:t>
      </w:r>
      <w:r w:rsidR="00B762A8" w:rsidRPr="000B42C6">
        <w:t>ndings of Study Three. The sampling and assessment data collection process and the casemix of residents in aged care across Australia</w:t>
      </w:r>
      <w:r w:rsidRPr="000B42C6">
        <w:t xml:space="preserve"> are described. </w:t>
      </w:r>
      <w:r w:rsidR="00B14C79" w:rsidRPr="000B42C6">
        <w:t xml:space="preserve">The focus of this report is on </w:t>
      </w:r>
      <w:r w:rsidR="00B762A8" w:rsidRPr="000B42C6">
        <w:t xml:space="preserve">modelling the introduction of the AN-ACC to replace the </w:t>
      </w:r>
      <w:r w:rsidR="00583E07">
        <w:t>Aged Care Funding Instrument (</w:t>
      </w:r>
      <w:r w:rsidR="00B762A8" w:rsidRPr="000B42C6">
        <w:t>ACFI</w:t>
      </w:r>
      <w:r w:rsidR="00583E07">
        <w:t>)</w:t>
      </w:r>
      <w:r w:rsidR="00B762A8" w:rsidRPr="000B42C6">
        <w:t>.</w:t>
      </w:r>
    </w:p>
    <w:p w:rsidR="00B762A8" w:rsidRPr="000B42C6" w:rsidRDefault="00B14C79" w:rsidP="00332B3D">
      <w:pPr>
        <w:pStyle w:val="Heading3"/>
      </w:pPr>
      <w:bookmarkStart w:id="38" w:name="_Toc2005065"/>
      <w:r w:rsidRPr="000B42C6">
        <w:lastRenderedPageBreak/>
        <w:t xml:space="preserve">Report </w:t>
      </w:r>
      <w:r w:rsidR="00997050">
        <w:t>5</w:t>
      </w:r>
      <w:r w:rsidRPr="000B42C6">
        <w:t xml:space="preserve">: </w:t>
      </w:r>
      <w:r w:rsidR="00B762A8" w:rsidRPr="000B42C6">
        <w:t>AN-ACC: A funding model for the residential aged care sector</w:t>
      </w:r>
      <w:bookmarkEnd w:id="38"/>
    </w:p>
    <w:p w:rsidR="00B762A8" w:rsidRPr="000B42C6" w:rsidRDefault="00534F26" w:rsidP="00B762A8">
      <w:r w:rsidRPr="000B42C6">
        <w:t xml:space="preserve">Report </w:t>
      </w:r>
      <w:r w:rsidR="00997050">
        <w:t>5</w:t>
      </w:r>
      <w:r w:rsidRPr="000B42C6">
        <w:t xml:space="preserve"> presents the design of a new </w:t>
      </w:r>
      <w:r w:rsidR="00B762A8" w:rsidRPr="000B42C6">
        <w:t xml:space="preserve">funding model based on the AN-ACC. </w:t>
      </w:r>
      <w:r w:rsidRPr="000B42C6">
        <w:t xml:space="preserve">It includes a consideration of other payment issues such as existing payment </w:t>
      </w:r>
      <w:r w:rsidR="00B762A8" w:rsidRPr="000B42C6">
        <w:t>supplements</w:t>
      </w:r>
      <w:r w:rsidRPr="000B42C6">
        <w:t xml:space="preserve">, a discussion of </w:t>
      </w:r>
      <w:r w:rsidR="00B762A8" w:rsidRPr="000B42C6">
        <w:t>incentive</w:t>
      </w:r>
      <w:r w:rsidRPr="000B42C6">
        <w:t>s</w:t>
      </w:r>
      <w:r w:rsidR="00B762A8" w:rsidRPr="000B42C6">
        <w:t xml:space="preserve"> in funding model design and </w:t>
      </w:r>
      <w:r w:rsidRPr="000B42C6">
        <w:t xml:space="preserve">key issues in </w:t>
      </w:r>
      <w:r w:rsidR="00B762A8" w:rsidRPr="000B42C6">
        <w:t>implement</w:t>
      </w:r>
      <w:r w:rsidRPr="000B42C6">
        <w:t>ing the new model</w:t>
      </w:r>
      <w:r w:rsidR="0051544B">
        <w:t>.</w:t>
      </w:r>
    </w:p>
    <w:p w:rsidR="00B762A8" w:rsidRPr="000B42C6" w:rsidRDefault="00534F26" w:rsidP="00332B3D">
      <w:pPr>
        <w:pStyle w:val="Heading3"/>
      </w:pPr>
      <w:bookmarkStart w:id="39" w:name="_Toc2005066"/>
      <w:r w:rsidRPr="000B42C6">
        <w:t xml:space="preserve">Report </w:t>
      </w:r>
      <w:r w:rsidR="00997050">
        <w:t>6</w:t>
      </w:r>
      <w:r w:rsidRPr="000B42C6">
        <w:t>: AN-</w:t>
      </w:r>
      <w:r w:rsidR="00B762A8" w:rsidRPr="000B42C6">
        <w:t>ACC: A national classification and funding model for residential aged care: synthesis and consolidated recommendations</w:t>
      </w:r>
      <w:bookmarkEnd w:id="39"/>
    </w:p>
    <w:p w:rsidR="00B762A8" w:rsidRPr="000B42C6" w:rsidRDefault="00534F26" w:rsidP="00B762A8">
      <w:r w:rsidRPr="000B42C6">
        <w:t>This report s</w:t>
      </w:r>
      <w:r w:rsidR="00B762A8" w:rsidRPr="000B42C6">
        <w:t>ynthes</w:t>
      </w:r>
      <w:r w:rsidRPr="000B42C6">
        <w:t>es</w:t>
      </w:r>
      <w:r w:rsidR="00B762A8" w:rsidRPr="000B42C6">
        <w:t xml:space="preserve"> and consolidat</w:t>
      </w:r>
      <w:r w:rsidRPr="000B42C6">
        <w:t>es</w:t>
      </w:r>
      <w:r w:rsidR="00B762A8" w:rsidRPr="000B42C6">
        <w:t xml:space="preserve"> </w:t>
      </w:r>
      <w:r w:rsidRPr="000B42C6">
        <w:t xml:space="preserve">the </w:t>
      </w:r>
      <w:r w:rsidR="00B762A8" w:rsidRPr="000B42C6">
        <w:t xml:space="preserve">findings </w:t>
      </w:r>
      <w:r w:rsidRPr="000B42C6">
        <w:t xml:space="preserve">presented in other reports and provides a consolidated set of </w:t>
      </w:r>
      <w:r w:rsidR="00B762A8" w:rsidRPr="000B42C6">
        <w:t>recommendations</w:t>
      </w:r>
      <w:r w:rsidRPr="000B42C6">
        <w:t>.</w:t>
      </w:r>
    </w:p>
    <w:p w:rsidR="00B762A8" w:rsidRPr="000B42C6" w:rsidRDefault="00534F26" w:rsidP="00332B3D">
      <w:pPr>
        <w:pStyle w:val="Heading3"/>
      </w:pPr>
      <w:bookmarkStart w:id="40" w:name="_Toc2005067"/>
      <w:r w:rsidRPr="000B42C6">
        <w:t xml:space="preserve">Report </w:t>
      </w:r>
      <w:r w:rsidR="00997050">
        <w:t>7</w:t>
      </w:r>
      <w:r w:rsidRPr="000B42C6">
        <w:t xml:space="preserve">: </w:t>
      </w:r>
      <w:r w:rsidR="00B762A8" w:rsidRPr="000B42C6">
        <w:t>AN-ACC Technical appendices</w:t>
      </w:r>
      <w:bookmarkEnd w:id="40"/>
    </w:p>
    <w:p w:rsidR="00684B4E" w:rsidRPr="000B42C6" w:rsidRDefault="00534F26">
      <w:r w:rsidRPr="000B42C6">
        <w:t>This report is a series of technical appendices that contain detailed data for reference purposes</w:t>
      </w:r>
      <w:r w:rsidR="00F852AC" w:rsidRPr="000B42C6">
        <w:t>.</w:t>
      </w:r>
    </w:p>
    <w:p w:rsidR="00D92D15" w:rsidRPr="000B42C6" w:rsidRDefault="00D92D15">
      <w:r w:rsidRPr="000B42C6">
        <w:br w:type="page"/>
      </w:r>
    </w:p>
    <w:p w:rsidR="00F852AC" w:rsidRPr="000B42C6" w:rsidRDefault="00F852AC">
      <w:pPr>
        <w:rPr>
          <w:sz w:val="4"/>
          <w:szCs w:val="4"/>
        </w:rPr>
      </w:pPr>
    </w:p>
    <w:p w:rsidR="007E50FE" w:rsidRPr="000B42C6" w:rsidRDefault="007E50FE" w:rsidP="007E50FE">
      <w:pPr>
        <w:pStyle w:val="Heading1"/>
      </w:pPr>
      <w:bookmarkStart w:id="41" w:name="_Toc2005068"/>
      <w:r w:rsidRPr="000B42C6">
        <w:t>AN-ACC Version 1</w:t>
      </w:r>
      <w:r w:rsidR="00B262A0">
        <w:t>.0</w:t>
      </w:r>
      <w:r w:rsidRPr="000B42C6">
        <w:t xml:space="preserve"> classification system</w:t>
      </w:r>
      <w:bookmarkEnd w:id="41"/>
    </w:p>
    <w:p w:rsidR="00151D88" w:rsidRPr="000B42C6" w:rsidRDefault="00151D88" w:rsidP="00151D88">
      <w:pPr>
        <w:pStyle w:val="Normal-nospacing"/>
      </w:pPr>
      <w:r w:rsidRPr="000B42C6">
        <w:t>The primary aim of this project was to develop a new, fit-for-purpose casemix classification for the Australian</w:t>
      </w:r>
      <w:r w:rsidR="0051544B">
        <w:t xml:space="preserve"> residential aged care sector. </w:t>
      </w:r>
      <w:r w:rsidR="00710F83" w:rsidRPr="000B42C6">
        <w:t xml:space="preserve">Study One involved </w:t>
      </w:r>
      <w:r w:rsidRPr="000B42C6">
        <w:t>30 facilities in three regions</w:t>
      </w:r>
      <w:r w:rsidR="00684B4E" w:rsidRPr="000B42C6">
        <w:t>. They</w:t>
      </w:r>
      <w:r w:rsidRPr="000B42C6">
        <w:t xml:space="preserve"> participated in a </w:t>
      </w:r>
      <w:r w:rsidR="00710F83" w:rsidRPr="000B42C6">
        <w:t xml:space="preserve">detailed resource utilisation and costing </w:t>
      </w:r>
      <w:r w:rsidRPr="000B42C6">
        <w:t xml:space="preserve">study that involved 1,877 resident assessments and 315,029 staff time activity records collected by </w:t>
      </w:r>
      <w:r w:rsidR="0051544B">
        <w:t>1,600 staff.</w:t>
      </w:r>
    </w:p>
    <w:p w:rsidR="00151D88" w:rsidRPr="000B42C6" w:rsidRDefault="00151D88" w:rsidP="00151D88">
      <w:pPr>
        <w:pStyle w:val="Normal-nospacing"/>
      </w:pPr>
      <w:r w:rsidRPr="000B42C6">
        <w:t xml:space="preserve">A key finding of this </w:t>
      </w:r>
      <w:r w:rsidR="00710F83" w:rsidRPr="000B42C6">
        <w:t xml:space="preserve">first </w:t>
      </w:r>
      <w:r w:rsidRPr="000B42C6">
        <w:t>study is that residential aged care costs are driven by care burden associated with end of life needs, frailty, functional decline, cognition, behavio</w:t>
      </w:r>
      <w:r w:rsidR="0051544B">
        <w:t>ur and technical nursing needs.</w:t>
      </w:r>
    </w:p>
    <w:p w:rsidR="002F05C6" w:rsidRPr="000B42C6" w:rsidRDefault="00151D88" w:rsidP="002F05C6">
      <w:pPr>
        <w:pStyle w:val="Normal-nospacing"/>
      </w:pPr>
      <w:r w:rsidRPr="000B42C6">
        <w:t>Based on a new funding assessment tool purposefully developed as part of this study, a casemix classification termed the Australian National Aged Care Classification (AN-ACC) has been developed. AN-ACC Version 1.0 comprises 13 classes and explains 50% of the variance in the cost of individual resident care. There is a fivefold variation in cost between the least and most expensive AN-ACC class.</w:t>
      </w:r>
      <w:r w:rsidR="002F05C6" w:rsidRPr="000B42C6">
        <w:t xml:space="preserve"> The statistical and clinical performance of AN-ACC is considered more than sufficient for it to be adopted in a funding context.</w:t>
      </w:r>
    </w:p>
    <w:p w:rsidR="00151D88" w:rsidRPr="000B42C6" w:rsidRDefault="00151D88" w:rsidP="00151D88">
      <w:pPr>
        <w:pStyle w:val="Normal-nospacing"/>
      </w:pPr>
      <w:r w:rsidRPr="000B42C6">
        <w:t xml:space="preserve">AN-ACC is underpinned by a clinical assessment instrument that can be completed by </w:t>
      </w:r>
      <w:r w:rsidR="0051544B">
        <w:t xml:space="preserve">an external clinical assessor. </w:t>
      </w:r>
      <w:r w:rsidRPr="000B42C6">
        <w:t xml:space="preserve">Issues related to assessment are further considered in Report </w:t>
      </w:r>
      <w:r w:rsidR="00997050">
        <w:t>2</w:t>
      </w:r>
      <w:r w:rsidRPr="000B42C6">
        <w:t>.</w:t>
      </w:r>
    </w:p>
    <w:p w:rsidR="00151D88" w:rsidRPr="000B42C6" w:rsidRDefault="00151D88" w:rsidP="00151D88">
      <w:pPr>
        <w:pStyle w:val="Normal-nospacing"/>
      </w:pPr>
      <w:r w:rsidRPr="000B42C6">
        <w:t>The staff time data collected in this study indicated that close to 50% of staff time was spent delivering care tailored to the specific needs of the resident, while the remaining 50% was spent delivering shared care across all residents.</w:t>
      </w:r>
      <w:r w:rsidR="002F05C6" w:rsidRPr="000B42C6">
        <w:t xml:space="preserve"> This </w:t>
      </w:r>
      <w:r w:rsidRPr="000B42C6">
        <w:t>supports a payment model that includes a fixed per diem price for the costs of shared care and a variable price per day for the costs of individual resident care.</w:t>
      </w:r>
      <w:r w:rsidR="0051544B">
        <w:t xml:space="preserve"> </w:t>
      </w:r>
      <w:r w:rsidR="002F05C6" w:rsidRPr="000B42C6">
        <w:t>This is discussed further in Report 5.</w:t>
      </w:r>
    </w:p>
    <w:p w:rsidR="007E50FE" w:rsidRPr="000B42C6" w:rsidRDefault="002F05C6" w:rsidP="00B84D95">
      <w:pPr>
        <w:pStyle w:val="Normal-nospacing"/>
      </w:pPr>
      <w:r w:rsidRPr="000B42C6">
        <w:rPr>
          <w:rFonts w:eastAsia="Times New Roman" w:cs="Times New Roman"/>
        </w:rPr>
        <w:t>The AN-ACC classification developed in this study should be regarded as AN-ACC Version 1</w:t>
      </w:r>
      <w:r w:rsidR="00B262A0">
        <w:rPr>
          <w:rFonts w:eastAsia="Times New Roman" w:cs="Times New Roman"/>
        </w:rPr>
        <w:t>.0</w:t>
      </w:r>
      <w:r w:rsidR="0051544B">
        <w:rPr>
          <w:rFonts w:eastAsia="Times New Roman" w:cs="Times New Roman"/>
        </w:rPr>
        <w:t xml:space="preserve">. </w:t>
      </w:r>
      <w:r w:rsidRPr="000B42C6">
        <w:rPr>
          <w:rFonts w:eastAsia="Times New Roman" w:cs="Times New Roman"/>
        </w:rPr>
        <w:t xml:space="preserve">It will require periodic revision </w:t>
      </w:r>
      <w:r w:rsidR="00151D88" w:rsidRPr="000B42C6">
        <w:rPr>
          <w:rFonts w:eastAsia="Times New Roman" w:cs="Times New Roman"/>
        </w:rPr>
        <w:t xml:space="preserve">to ensure </w:t>
      </w:r>
      <w:r w:rsidRPr="000B42C6">
        <w:rPr>
          <w:rFonts w:eastAsia="Times New Roman" w:cs="Times New Roman"/>
        </w:rPr>
        <w:t xml:space="preserve">that it continues to </w:t>
      </w:r>
      <w:r w:rsidR="00151D88" w:rsidRPr="000B42C6">
        <w:rPr>
          <w:rFonts w:eastAsia="Times New Roman" w:cs="Times New Roman"/>
        </w:rPr>
        <w:t xml:space="preserve">reflect </w:t>
      </w:r>
      <w:r w:rsidRPr="000B42C6">
        <w:rPr>
          <w:rFonts w:eastAsia="Times New Roman" w:cs="Times New Roman"/>
        </w:rPr>
        <w:t xml:space="preserve">contemporary </w:t>
      </w:r>
      <w:r w:rsidR="00151D88" w:rsidRPr="000B42C6">
        <w:rPr>
          <w:rFonts w:eastAsia="Times New Roman" w:cs="Times New Roman"/>
        </w:rPr>
        <w:t>practices and cost structures.</w:t>
      </w:r>
    </w:p>
    <w:p w:rsidR="00B84D95" w:rsidRDefault="00B84D95" w:rsidP="00B84D95">
      <w:pPr>
        <w:pStyle w:val="Normal-nospacing"/>
      </w:pPr>
      <w:r>
        <w:rPr>
          <w:rFonts w:eastAsia="Times New Roman" w:cs="Times New Roman"/>
        </w:rPr>
        <w:t>The AN-ACC classification is a core building block to better measure, resource and report on the inputs, outputs and out</w:t>
      </w:r>
      <w:r w:rsidR="0051544B">
        <w:rPr>
          <w:rFonts w:eastAsia="Times New Roman" w:cs="Times New Roman"/>
        </w:rPr>
        <w:t xml:space="preserve">comes of the aged care system. </w:t>
      </w:r>
      <w:r>
        <w:t>Better data based on objective measures of the needs of residents is essential to describe and to predict the changing needs and costs of the aged care sector into the future.</w:t>
      </w:r>
    </w:p>
    <w:p w:rsidR="00B84D95" w:rsidRPr="000B42C6" w:rsidRDefault="00B84D95" w:rsidP="00B84D95">
      <w:pPr>
        <w:pStyle w:val="Normal-nospacing"/>
        <w:rPr>
          <w:rFonts w:eastAsia="Times New Roman" w:cs="Times New Roman"/>
        </w:rPr>
      </w:pPr>
      <w:r w:rsidRPr="000B42C6">
        <w:t>AN-ACC Version 1</w:t>
      </w:r>
      <w:r>
        <w:t>.0</w:t>
      </w:r>
      <w:r w:rsidRPr="000B42C6">
        <w:t xml:space="preserve"> is included as </w:t>
      </w:r>
      <w:r w:rsidRPr="000B42C6">
        <w:fldChar w:fldCharType="begin"/>
      </w:r>
      <w:r w:rsidRPr="000B42C6">
        <w:instrText xml:space="preserve"> REF _Ref532486478 \h </w:instrText>
      </w:r>
      <w:r>
        <w:instrText xml:space="preserve"> \* MERGEFORMAT </w:instrText>
      </w:r>
      <w:r w:rsidRPr="000B42C6">
        <w:fldChar w:fldCharType="separate"/>
      </w:r>
      <w:r w:rsidR="004737ED" w:rsidRPr="000B42C6">
        <w:t>Appendix 1</w:t>
      </w:r>
      <w:r w:rsidRPr="000B42C6">
        <w:fldChar w:fldCharType="end"/>
      </w:r>
      <w:r w:rsidRPr="000B42C6">
        <w:t xml:space="preserve"> with more detailed technical information included in Report </w:t>
      </w:r>
      <w:r>
        <w:t>1.</w:t>
      </w:r>
    </w:p>
    <w:p w:rsidR="00EE5457" w:rsidRDefault="00B84D95" w:rsidP="00B84D95">
      <w:pPr>
        <w:pStyle w:val="Heading2"/>
      </w:pPr>
      <w:bookmarkStart w:id="42" w:name="_Toc2005069"/>
      <w:r>
        <w:t>The AN-ACC as an information tool to inform input measures</w:t>
      </w:r>
      <w:bookmarkEnd w:id="42"/>
    </w:p>
    <w:p w:rsidR="00B51D45" w:rsidRDefault="00BB4E70" w:rsidP="00BB4E70">
      <w:pPr>
        <w:pStyle w:val="Normal-nospacing"/>
      </w:pPr>
      <w:r w:rsidRPr="00BB4E70">
        <w:t xml:space="preserve">There is a growing </w:t>
      </w:r>
      <w:r>
        <w:t xml:space="preserve">professional and public </w:t>
      </w:r>
      <w:r w:rsidRPr="00BB4E70">
        <w:t>debate about the staff and skill mix required in the aged care sector</w:t>
      </w:r>
      <w:r w:rsidR="00B51D45">
        <w:t xml:space="preserve">. This </w:t>
      </w:r>
      <w:r w:rsidRPr="00BB4E70">
        <w:t>includ</w:t>
      </w:r>
      <w:r w:rsidR="00B51D45">
        <w:t>es</w:t>
      </w:r>
      <w:r w:rsidRPr="00BB4E70">
        <w:t xml:space="preserve"> calls for standardised measures such as nursing </w:t>
      </w:r>
      <w:r w:rsidR="0051544B">
        <w:t>ratios.</w:t>
      </w:r>
    </w:p>
    <w:p w:rsidR="00BB4E70" w:rsidRDefault="00BB4E70" w:rsidP="00BB4E70">
      <w:pPr>
        <w:pStyle w:val="Normal-nospacing"/>
      </w:pPr>
      <w:r>
        <w:t>Supporters of staff ratios argue that minimum staffing levels need to be mandated in order to ensure that staffing levels are adequate t</w:t>
      </w:r>
      <w:r w:rsidR="0051544B">
        <w:t xml:space="preserve">o meet the needs of residents. </w:t>
      </w:r>
      <w:r>
        <w:t>Opponents argue that staffing ratios are a crude tool that does not take account the differ</w:t>
      </w:r>
      <w:r w:rsidR="0089656B">
        <w:t>ing</w:t>
      </w:r>
      <w:r>
        <w:t xml:space="preserve"> level</w:t>
      </w:r>
      <w:r w:rsidR="0089656B">
        <w:t>s</w:t>
      </w:r>
      <w:r>
        <w:t xml:space="preserve"> of support that </w:t>
      </w:r>
      <w:r w:rsidR="0089656B">
        <w:t xml:space="preserve">different </w:t>
      </w:r>
      <w:r>
        <w:t>individual</w:t>
      </w:r>
      <w:r w:rsidR="0089656B">
        <w:t>s</w:t>
      </w:r>
      <w:r w:rsidR="0051544B">
        <w:t xml:space="preserve"> need. </w:t>
      </w:r>
    </w:p>
    <w:p w:rsidR="00BB4E70" w:rsidRPr="0089656B" w:rsidRDefault="00B51D45" w:rsidP="00BB4E70">
      <w:pPr>
        <w:pStyle w:val="Normal-nospacing"/>
      </w:pPr>
      <w:r>
        <w:lastRenderedPageBreak/>
        <w:t>In a similar vein</w:t>
      </w:r>
      <w:r w:rsidR="00BB4E70" w:rsidRPr="00BB4E70">
        <w:t>, concern was frequently expressed during the RUCS study that the study was capturing current average practice rather than b</w:t>
      </w:r>
      <w:r w:rsidR="00B84D95" w:rsidRPr="00BB4E70">
        <w:t xml:space="preserve">est </w:t>
      </w:r>
      <w:r w:rsidR="00BB4E70" w:rsidRPr="00BB4E70">
        <w:t xml:space="preserve">or </w:t>
      </w:r>
      <w:r w:rsidR="00B84D95" w:rsidRPr="00BB4E70">
        <w:t>acceptable practice</w:t>
      </w:r>
      <w:r w:rsidR="00BB4E70" w:rsidRPr="00BB4E70">
        <w:t>.</w:t>
      </w:r>
      <w:r>
        <w:t xml:space="preserve"> The i</w:t>
      </w:r>
      <w:r w:rsidRPr="0089656B">
        <w:t xml:space="preserve">mplication was that </w:t>
      </w:r>
      <w:r w:rsidR="0089656B" w:rsidRPr="0089656B">
        <w:t xml:space="preserve">the evidence currently exists to </w:t>
      </w:r>
      <w:r w:rsidRPr="0089656B">
        <w:t>define and cost</w:t>
      </w:r>
      <w:r w:rsidR="0089656B" w:rsidRPr="0089656B">
        <w:t xml:space="preserve"> best practice</w:t>
      </w:r>
      <w:r w:rsidRPr="0089656B">
        <w:t>.</w:t>
      </w:r>
    </w:p>
    <w:p w:rsidR="0089656B" w:rsidRPr="0089656B" w:rsidRDefault="00B51D45" w:rsidP="00BB4E70">
      <w:pPr>
        <w:pStyle w:val="Normal-nospacing"/>
      </w:pPr>
      <w:r w:rsidRPr="0089656B">
        <w:t xml:space="preserve">What has been missing in both of these debates is a way to </w:t>
      </w:r>
      <w:r w:rsidR="0089656B" w:rsidRPr="0089656B">
        <w:t>link inputs to the needs of residents</w:t>
      </w:r>
      <w:r w:rsidRPr="0089656B">
        <w:t>. Some residents need a lot of nursing care. Others need very little</w:t>
      </w:r>
      <w:r w:rsidR="0089656B">
        <w:t xml:space="preserve"> nursing care but would benefit from allied health care</w:t>
      </w:r>
      <w:r w:rsidRPr="0089656B">
        <w:t xml:space="preserve">. </w:t>
      </w:r>
      <w:r w:rsidR="0089656B" w:rsidRPr="0089656B">
        <w:t xml:space="preserve">Some residents would benefit from </w:t>
      </w:r>
      <w:r w:rsidR="00BD6307">
        <w:t xml:space="preserve">reablement programs or </w:t>
      </w:r>
      <w:r w:rsidR="0089656B" w:rsidRPr="0089656B">
        <w:t xml:space="preserve">restorative care. Others need palliative care.  In reality, a crude staff ratio model </w:t>
      </w:r>
      <w:r w:rsidR="0089656B">
        <w:t>is</w:t>
      </w:r>
      <w:r w:rsidR="0089656B" w:rsidRPr="0089656B">
        <w:t xml:space="preserve"> not helpful and there is no such thing as </w:t>
      </w:r>
      <w:r w:rsidR="0089656B">
        <w:t>one</w:t>
      </w:r>
      <w:r w:rsidR="0089656B" w:rsidRPr="0089656B">
        <w:t xml:space="preserve"> care model that is best pra</w:t>
      </w:r>
      <w:r w:rsidR="0051544B">
        <w:t>ctice for every resident.</w:t>
      </w:r>
    </w:p>
    <w:p w:rsidR="00BD6307" w:rsidRDefault="0089656B" w:rsidP="00BB4E70">
      <w:pPr>
        <w:pStyle w:val="Normal-nospacing"/>
      </w:pPr>
      <w:r>
        <w:t xml:space="preserve">The AN-ACC </w:t>
      </w:r>
      <w:r w:rsidR="00BD6307">
        <w:t>is a critical information tool that allows for these issues to be addressed in a more sophisticated way.  Rather than a debate about one staffing ratio or one best practice care model, the AN-ACC provides a mechanism to consider the care required by different types of residents.</w:t>
      </w:r>
    </w:p>
    <w:p w:rsidR="0089656B" w:rsidRDefault="00BD6307" w:rsidP="00BB4E70">
      <w:pPr>
        <w:pStyle w:val="Normal-nospacing"/>
      </w:pPr>
      <w:r>
        <w:t xml:space="preserve">It </w:t>
      </w:r>
      <w:r w:rsidR="0089656B">
        <w:t xml:space="preserve">consists of 13 classes with classes defined based on </w:t>
      </w:r>
      <w:r w:rsidR="0089656B" w:rsidRPr="000B42C6">
        <w:t xml:space="preserve">end of life needs, frailty, functional </w:t>
      </w:r>
      <w:r>
        <w:t>status</w:t>
      </w:r>
      <w:r w:rsidR="0089656B" w:rsidRPr="000B42C6">
        <w:t>, cognition, behaviour and technical nursing needs.</w:t>
      </w:r>
      <w:r w:rsidR="0089656B">
        <w:t xml:space="preserve"> Each class is relatively homogenous and consists of residents with similar needs.  The 13 classes are:</w:t>
      </w:r>
    </w:p>
    <w:p w:rsidR="00BD6307" w:rsidRDefault="00BD6307" w:rsidP="00BD6307">
      <w:pPr>
        <w:pStyle w:val="Normal-nospacing"/>
      </w:pPr>
      <w:r>
        <w:t>Class 1</w:t>
      </w:r>
      <w:r>
        <w:tab/>
      </w:r>
      <w:r>
        <w:tab/>
        <w:t>Admit for palliative care</w:t>
      </w:r>
    </w:p>
    <w:p w:rsidR="00BD6307" w:rsidRDefault="00BD6307" w:rsidP="00BD6307">
      <w:pPr>
        <w:pStyle w:val="Normal-nospacing"/>
      </w:pPr>
      <w:r>
        <w:t>Class 2</w:t>
      </w:r>
      <w:r>
        <w:tab/>
      </w:r>
      <w:r>
        <w:tab/>
        <w:t>Independent without compounding factors (CF)</w:t>
      </w:r>
    </w:p>
    <w:p w:rsidR="00BD6307" w:rsidRDefault="00BD6307" w:rsidP="00BD6307">
      <w:pPr>
        <w:pStyle w:val="Normal-nospacing"/>
      </w:pPr>
      <w:r>
        <w:t>Class 3</w:t>
      </w:r>
      <w:r>
        <w:tab/>
      </w:r>
      <w:r>
        <w:tab/>
        <w:t>Independent with CF</w:t>
      </w:r>
    </w:p>
    <w:p w:rsidR="00BD6307" w:rsidRDefault="00BD6307" w:rsidP="00BD6307">
      <w:pPr>
        <w:pStyle w:val="Normal-nospacing"/>
      </w:pPr>
      <w:r>
        <w:t>Class 4</w:t>
      </w:r>
      <w:r>
        <w:tab/>
      </w:r>
      <w:r>
        <w:tab/>
        <w:t>Assisted mobility, high cognition, without CF</w:t>
      </w:r>
    </w:p>
    <w:p w:rsidR="00BD6307" w:rsidRDefault="00BD6307" w:rsidP="00BD6307">
      <w:pPr>
        <w:pStyle w:val="Normal-nospacing"/>
      </w:pPr>
      <w:r>
        <w:t>Class 5</w:t>
      </w:r>
      <w:r>
        <w:tab/>
      </w:r>
      <w:r>
        <w:tab/>
        <w:t>Assisted mobility, high cognition, with CF</w:t>
      </w:r>
    </w:p>
    <w:p w:rsidR="00BD6307" w:rsidRDefault="00BD6307" w:rsidP="00BD6307">
      <w:pPr>
        <w:pStyle w:val="Normal-nospacing"/>
      </w:pPr>
      <w:r>
        <w:t>Class 6</w:t>
      </w:r>
      <w:r>
        <w:tab/>
      </w:r>
      <w:r>
        <w:tab/>
        <w:t>Assisted mobility, medium cognition, without CF</w:t>
      </w:r>
    </w:p>
    <w:p w:rsidR="00BD6307" w:rsidRDefault="00BD6307" w:rsidP="00BD6307">
      <w:pPr>
        <w:pStyle w:val="Normal-nospacing"/>
      </w:pPr>
      <w:r>
        <w:t>Class 7</w:t>
      </w:r>
      <w:r>
        <w:tab/>
      </w:r>
      <w:r>
        <w:tab/>
        <w:t>Assisted mobility, medium cognition, with CF</w:t>
      </w:r>
    </w:p>
    <w:p w:rsidR="00BD6307" w:rsidRDefault="00BD6307" w:rsidP="00BD6307">
      <w:pPr>
        <w:pStyle w:val="Normal-nospacing"/>
      </w:pPr>
      <w:r>
        <w:t>Class 8</w:t>
      </w:r>
      <w:r>
        <w:tab/>
      </w:r>
      <w:r>
        <w:tab/>
        <w:t>Assisted mobility, low cognition</w:t>
      </w:r>
    </w:p>
    <w:p w:rsidR="00BD6307" w:rsidRDefault="00BD6307" w:rsidP="00BD6307">
      <w:pPr>
        <w:pStyle w:val="Normal-nospacing"/>
      </w:pPr>
      <w:r>
        <w:t>Class 9</w:t>
      </w:r>
      <w:r>
        <w:tab/>
      </w:r>
      <w:r>
        <w:tab/>
        <w:t>Not mobile, higher function, without CF</w:t>
      </w:r>
    </w:p>
    <w:p w:rsidR="00BD6307" w:rsidRDefault="00BD6307" w:rsidP="00BD6307">
      <w:pPr>
        <w:pStyle w:val="Normal-nospacing"/>
      </w:pPr>
      <w:r>
        <w:t>Class 10</w:t>
      </w:r>
      <w:r>
        <w:tab/>
        <w:t>Not mobile, higher function, with CF</w:t>
      </w:r>
    </w:p>
    <w:p w:rsidR="00BD6307" w:rsidRDefault="00BD6307" w:rsidP="00BD6307">
      <w:pPr>
        <w:pStyle w:val="Normal-nospacing"/>
      </w:pPr>
      <w:r>
        <w:t>Class 11</w:t>
      </w:r>
      <w:r>
        <w:tab/>
        <w:t>Not mobile, lower function, lower pressure sore risk</w:t>
      </w:r>
    </w:p>
    <w:p w:rsidR="00BD6307" w:rsidRDefault="00BD6307" w:rsidP="00BD6307">
      <w:pPr>
        <w:pStyle w:val="Normal-nospacing"/>
      </w:pPr>
      <w:r>
        <w:t>Class 12</w:t>
      </w:r>
      <w:r>
        <w:tab/>
        <w:t>Not mobile, lower function, higher pressure sore risk, without CF</w:t>
      </w:r>
    </w:p>
    <w:p w:rsidR="00BD6307" w:rsidRDefault="00BD6307" w:rsidP="00BD6307">
      <w:pPr>
        <w:pStyle w:val="Normal-nospacing"/>
      </w:pPr>
      <w:r>
        <w:t>Class 13</w:t>
      </w:r>
      <w:r>
        <w:tab/>
        <w:t>Not mobile, lower function, higher pressure sore risk, with CF</w:t>
      </w:r>
    </w:p>
    <w:p w:rsidR="00B84D95" w:rsidRDefault="00BD6307" w:rsidP="00BB4E70">
      <w:pPr>
        <w:pStyle w:val="Normal-nospacing"/>
      </w:pPr>
      <w:r>
        <w:t xml:space="preserve">Once the AN-ACC classification is in routine use, it will be possible to define staffing requirements by AN-ACC class (eg, residents in Class 2 need fundamentally different </w:t>
      </w:r>
      <w:r w:rsidR="00487807">
        <w:t xml:space="preserve">types and levels of </w:t>
      </w:r>
      <w:r>
        <w:t>care to residents in Class 13)</w:t>
      </w:r>
      <w:r w:rsidR="00487807">
        <w:t xml:space="preserve">. It will also be possible </w:t>
      </w:r>
      <w:r>
        <w:t xml:space="preserve">to develop best practice models of care for each class. </w:t>
      </w:r>
      <w:r w:rsidR="00707998">
        <w:t xml:space="preserve">This is an essential first step to </w:t>
      </w:r>
      <w:r w:rsidR="00A254C5">
        <w:t xml:space="preserve">articulating </w:t>
      </w:r>
      <w:r w:rsidR="00707998">
        <w:t>input requirements in a more useful way.</w:t>
      </w:r>
    </w:p>
    <w:p w:rsidR="00B84D95" w:rsidRDefault="00B84D95" w:rsidP="00B84D95">
      <w:pPr>
        <w:pStyle w:val="Heading2"/>
      </w:pPr>
      <w:bookmarkStart w:id="43" w:name="_Toc2005070"/>
      <w:r>
        <w:lastRenderedPageBreak/>
        <w:t>The AN-ACC as an information tool to measure and fund outputs</w:t>
      </w:r>
      <w:bookmarkEnd w:id="43"/>
    </w:p>
    <w:p w:rsidR="002E3E71" w:rsidRDefault="002E3E71" w:rsidP="002E3E71">
      <w:pPr>
        <w:pStyle w:val="Normal-nospacing"/>
      </w:pPr>
      <w:r>
        <w:t>The second key role of the AN-ACC is as an information tool to measure and fund the outputs of the aged care sector. In the context of the residential aged care sector, the key output is a day of resident care adjusted for the needs of different types of residents.  This adjustment occurs by classifying each resident to one of the 13 AN-ACC classes, with the funds paid for each class based on the relative care ne</w:t>
      </w:r>
      <w:r w:rsidR="0051544B">
        <w:t>eds of residents in that class.</w:t>
      </w:r>
    </w:p>
    <w:p w:rsidR="00B84D95" w:rsidRDefault="002E3E71" w:rsidP="002E3E71">
      <w:pPr>
        <w:pStyle w:val="Normal-nospacing"/>
      </w:pPr>
      <w:r w:rsidRPr="0045299B">
        <w:t xml:space="preserve">Each of the components of the AN-ACC funding model is </w:t>
      </w:r>
      <w:r w:rsidR="00487807">
        <w:t xml:space="preserve">discussed in more </w:t>
      </w:r>
      <w:r>
        <w:t>detailed</w:t>
      </w:r>
      <w:r w:rsidRPr="0045299B">
        <w:t xml:space="preserve"> below.</w:t>
      </w:r>
    </w:p>
    <w:p w:rsidR="00B84D95" w:rsidRDefault="00B84D95" w:rsidP="00B84D95">
      <w:pPr>
        <w:pStyle w:val="Heading2"/>
      </w:pPr>
      <w:bookmarkStart w:id="44" w:name="_Toc2005071"/>
      <w:r>
        <w:t>The AN-ACC as an information tool to meaningfully measure resident outcomes</w:t>
      </w:r>
      <w:bookmarkEnd w:id="44"/>
    </w:p>
    <w:p w:rsidR="00B84D95" w:rsidRPr="004737ED" w:rsidRDefault="002E3E71" w:rsidP="002E3E71">
      <w:pPr>
        <w:pStyle w:val="Normal-nospacing"/>
      </w:pPr>
      <w:r w:rsidRPr="004737ED">
        <w:t xml:space="preserve">The third key role of the AN-ACC classification is as an information tool that can be used to </w:t>
      </w:r>
      <w:r w:rsidR="004737ED" w:rsidRPr="004737ED">
        <w:t xml:space="preserve">turn </w:t>
      </w:r>
      <w:r w:rsidR="00B84D95" w:rsidRPr="004737ED">
        <w:t>crude outcome measures into meaningful comparisons for benchmarking and other purposes</w:t>
      </w:r>
      <w:r w:rsidRPr="004737ED">
        <w:t xml:space="preserve">. This is sometimes termed </w:t>
      </w:r>
      <w:r w:rsidR="004737ED" w:rsidRPr="004737ED">
        <w:t>‘</w:t>
      </w:r>
      <w:r w:rsidRPr="004737ED">
        <w:t>risk adjustment</w:t>
      </w:r>
      <w:r w:rsidR="004737ED" w:rsidRPr="004737ED">
        <w:t>’</w:t>
      </w:r>
      <w:r w:rsidRPr="004737ED">
        <w:t xml:space="preserve"> or </w:t>
      </w:r>
      <w:r w:rsidR="004737ED" w:rsidRPr="004737ED">
        <w:t>‘</w:t>
      </w:r>
      <w:r w:rsidR="00B84D95" w:rsidRPr="004737ED">
        <w:t>casemix adjustment</w:t>
      </w:r>
      <w:r w:rsidR="004737ED" w:rsidRPr="004737ED">
        <w:t>’</w:t>
      </w:r>
      <w:r w:rsidRPr="004737ED">
        <w:t>.</w:t>
      </w:r>
    </w:p>
    <w:p w:rsidR="00B84D95" w:rsidRPr="004737ED" w:rsidRDefault="002E3E71" w:rsidP="002E3E71">
      <w:pPr>
        <w:pStyle w:val="Normal-nospacing"/>
      </w:pPr>
      <w:r w:rsidRPr="004737ED">
        <w:t xml:space="preserve">Because each of the 13 AN-ACC </w:t>
      </w:r>
      <w:r w:rsidR="00B84D95" w:rsidRPr="004737ED">
        <w:t>classes contain residents with similar needs, they can be used to measure quality and outcomes in meaningful ways</w:t>
      </w:r>
      <w:r w:rsidRPr="004737ED">
        <w:t>:</w:t>
      </w:r>
    </w:p>
    <w:p w:rsidR="00B84D95" w:rsidRPr="004737ED" w:rsidRDefault="00B84D95" w:rsidP="002E3E71">
      <w:pPr>
        <w:pStyle w:val="Normal-nospacing"/>
        <w:numPr>
          <w:ilvl w:val="0"/>
          <w:numId w:val="27"/>
        </w:numPr>
      </w:pPr>
      <w:r w:rsidRPr="004737ED">
        <w:t xml:space="preserve">eg, hospital transfer rates adjusted for </w:t>
      </w:r>
      <w:r w:rsidR="002E3E71" w:rsidRPr="004737ED">
        <w:t xml:space="preserve">the </w:t>
      </w:r>
      <w:r w:rsidRPr="004737ED">
        <w:t>mix</w:t>
      </w:r>
      <w:r w:rsidR="002E3E71" w:rsidRPr="004737ED">
        <w:t xml:space="preserve"> of residents in each home</w:t>
      </w:r>
      <w:r w:rsidR="004737ED" w:rsidRPr="004737ED">
        <w:t xml:space="preserve"> as measured by the AN-ACC profile of each home</w:t>
      </w:r>
    </w:p>
    <w:p w:rsidR="00B84D95" w:rsidRPr="004737ED" w:rsidRDefault="00B84D95" w:rsidP="002E3E71">
      <w:pPr>
        <w:pStyle w:val="Normal-nospacing"/>
        <w:numPr>
          <w:ilvl w:val="0"/>
          <w:numId w:val="27"/>
        </w:numPr>
      </w:pPr>
      <w:r w:rsidRPr="004737ED">
        <w:t xml:space="preserve">eg, rates of functional decline adjusted for </w:t>
      </w:r>
      <w:r w:rsidR="004737ED" w:rsidRPr="004737ED">
        <w:t xml:space="preserve">the AN-ACC </w:t>
      </w:r>
      <w:r w:rsidRPr="004737ED">
        <w:t>class at entry</w:t>
      </w:r>
      <w:r w:rsidR="004737ED" w:rsidRPr="004737ED">
        <w:t xml:space="preserve"> to residential care</w:t>
      </w:r>
    </w:p>
    <w:p w:rsidR="00B84D95" w:rsidRPr="004737ED" w:rsidRDefault="00B84D95" w:rsidP="002E3E71">
      <w:pPr>
        <w:pStyle w:val="Normal-nospacing"/>
        <w:numPr>
          <w:ilvl w:val="0"/>
          <w:numId w:val="27"/>
        </w:numPr>
      </w:pPr>
      <w:r w:rsidRPr="004737ED">
        <w:t xml:space="preserve">eg, rates of adverse events – </w:t>
      </w:r>
      <w:r w:rsidR="004737ED" w:rsidRPr="004737ED">
        <w:t xml:space="preserve">such as </w:t>
      </w:r>
      <w:r w:rsidRPr="004737ED">
        <w:t>falls, medication errors</w:t>
      </w:r>
      <w:r w:rsidR="004737ED" w:rsidRPr="004737ED">
        <w:t xml:space="preserve"> and</w:t>
      </w:r>
      <w:r w:rsidRPr="004737ED">
        <w:t xml:space="preserve"> injuries – </w:t>
      </w:r>
      <w:r w:rsidR="004737ED" w:rsidRPr="004737ED">
        <w:t xml:space="preserve">using the AN-ACC classes to </w:t>
      </w:r>
      <w:r w:rsidRPr="004737ED">
        <w:t xml:space="preserve">adjust for </w:t>
      </w:r>
      <w:r w:rsidR="004737ED" w:rsidRPr="004737ED">
        <w:t>the risk of each adverse event.</w:t>
      </w:r>
    </w:p>
    <w:p w:rsidR="00B84D95" w:rsidRPr="00487807" w:rsidRDefault="004737ED" w:rsidP="0051544B">
      <w:pPr>
        <w:pStyle w:val="Normal-nospacing"/>
        <w:spacing w:after="480"/>
      </w:pPr>
      <w:r w:rsidRPr="00487807">
        <w:t xml:space="preserve">The recently announced </w:t>
      </w:r>
      <w:r w:rsidR="002E3E71" w:rsidRPr="00487807">
        <w:t>national quality indicator program</w:t>
      </w:r>
      <w:r w:rsidRPr="00487807">
        <w:t xml:space="preserve"> is an example of </w:t>
      </w:r>
      <w:r w:rsidR="00487807">
        <w:t xml:space="preserve">a </w:t>
      </w:r>
      <w:r w:rsidRPr="00487807">
        <w:t>current approach to measur</w:t>
      </w:r>
      <w:r w:rsidR="00487807">
        <w:t>ing</w:t>
      </w:r>
      <w:r w:rsidRPr="00487807">
        <w:t xml:space="preserve"> resident outcomes.</w:t>
      </w:r>
      <w:r w:rsidRPr="00487807">
        <w:rPr>
          <w:rStyle w:val="FootnoteReference"/>
        </w:rPr>
        <w:footnoteReference w:id="1"/>
      </w:r>
      <w:r w:rsidRPr="00487807">
        <w:rPr>
          <w:vertAlign w:val="superscript"/>
        </w:rPr>
        <w:t xml:space="preserve"> </w:t>
      </w:r>
      <w:r w:rsidRPr="00487807">
        <w:t xml:space="preserve"> Three national indicators - </w:t>
      </w:r>
      <w:r w:rsidR="002E3E71" w:rsidRPr="00487807">
        <w:t>pressure sores, physical restraint</w:t>
      </w:r>
      <w:r w:rsidRPr="00487807">
        <w:t xml:space="preserve"> and </w:t>
      </w:r>
      <w:r w:rsidR="002E3E71" w:rsidRPr="00487807">
        <w:t xml:space="preserve">weight loss </w:t>
      </w:r>
      <w:r w:rsidRPr="00487807">
        <w:t>– have been announced for nation</w:t>
      </w:r>
      <w:r w:rsidR="0051544B">
        <w:t xml:space="preserve">al implementation from 2019. </w:t>
      </w:r>
      <w:r w:rsidR="00487807">
        <w:t>A</w:t>
      </w:r>
      <w:r w:rsidRPr="00487807">
        <w:t xml:space="preserve">t this stage the intention is to report them without </w:t>
      </w:r>
      <w:r w:rsidR="002E3E71" w:rsidRPr="00487807">
        <w:t>adjust</w:t>
      </w:r>
      <w:r w:rsidRPr="00487807">
        <w:t xml:space="preserve">ing </w:t>
      </w:r>
      <w:r w:rsidR="002E3E71" w:rsidRPr="00487807">
        <w:t>for the mix of residents</w:t>
      </w:r>
      <w:r w:rsidR="0051544B">
        <w:t xml:space="preserve"> in each home. </w:t>
      </w:r>
      <w:r w:rsidRPr="00487807">
        <w:t>Measures such as these can be risk</w:t>
      </w:r>
      <w:r w:rsidR="00487807">
        <w:t>-adjusted (</w:t>
      </w:r>
      <w:r w:rsidRPr="00487807">
        <w:t>casemix adjusted</w:t>
      </w:r>
      <w:r w:rsidR="00487807">
        <w:t>)</w:t>
      </w:r>
      <w:r w:rsidRPr="00487807">
        <w:t xml:space="preserve"> once the AN-ACC is in place.</w:t>
      </w:r>
    </w:p>
    <w:p w:rsidR="00B84D95" w:rsidRPr="000B42C6" w:rsidRDefault="00B84D95" w:rsidP="0051544B">
      <w:pPr>
        <w:pStyle w:val="Recommendations"/>
        <w:pBdr>
          <w:top w:val="none" w:sz="0" w:space="0" w:color="auto"/>
          <w:left w:val="none" w:sz="0" w:space="0" w:color="auto"/>
          <w:bottom w:val="none" w:sz="0" w:space="0" w:color="auto"/>
          <w:right w:val="none" w:sz="0" w:space="0" w:color="auto"/>
        </w:pBdr>
      </w:pPr>
    </w:p>
    <w:p w:rsidR="00B84D95" w:rsidRPr="000B42C6" w:rsidRDefault="00B84D95" w:rsidP="0051544B">
      <w:pPr>
        <w:spacing w:after="720"/>
      </w:pPr>
      <w:r w:rsidRPr="000B42C6">
        <w:t>That the Australian National Aged Care Classification (AN-ACC) Version 1</w:t>
      </w:r>
      <w:r>
        <w:t>.0</w:t>
      </w:r>
      <w:r w:rsidRPr="000B42C6">
        <w:t xml:space="preserve"> be adopted as the national standard classification for residential aged care.</w:t>
      </w:r>
    </w:p>
    <w:p w:rsidR="00732B83" w:rsidRDefault="00732B83" w:rsidP="007E50FE">
      <w:r>
        <w:br w:type="page"/>
      </w:r>
    </w:p>
    <w:p w:rsidR="007E50FE" w:rsidRPr="007121D2" w:rsidRDefault="007E50FE" w:rsidP="007E50FE">
      <w:pPr>
        <w:rPr>
          <w:sz w:val="4"/>
          <w:szCs w:val="4"/>
        </w:rPr>
      </w:pPr>
    </w:p>
    <w:p w:rsidR="00F852AC" w:rsidRPr="000B42C6" w:rsidRDefault="00F852AC" w:rsidP="00F852AC">
      <w:pPr>
        <w:pStyle w:val="Heading1"/>
      </w:pPr>
      <w:bookmarkStart w:id="45" w:name="_Toc2005072"/>
      <w:r w:rsidRPr="000B42C6">
        <w:t>AN-ACC Version 1</w:t>
      </w:r>
      <w:r w:rsidR="00B262A0">
        <w:t>.0</w:t>
      </w:r>
      <w:r w:rsidRPr="000B42C6">
        <w:t xml:space="preserve"> assessment system</w:t>
      </w:r>
      <w:bookmarkEnd w:id="45"/>
    </w:p>
    <w:p w:rsidR="00F852AC" w:rsidRPr="000B42C6" w:rsidRDefault="00F852AC" w:rsidP="00F852AC">
      <w:r w:rsidRPr="000B42C6">
        <w:t>As noted above, three key elements of the design of the new AN-ACC funding model focus on assessment. Each is discussed in turn.</w:t>
      </w:r>
    </w:p>
    <w:p w:rsidR="00F852AC" w:rsidRPr="000B42C6" w:rsidRDefault="00F852AC" w:rsidP="00F852AC">
      <w:pPr>
        <w:pStyle w:val="Heading2"/>
      </w:pPr>
      <w:bookmarkStart w:id="46" w:name="_Toc2005073"/>
      <w:r w:rsidRPr="000B42C6">
        <w:t>Resident assessment for funding is separate from resident assessment for care planning purposes</w:t>
      </w:r>
      <w:bookmarkEnd w:id="46"/>
    </w:p>
    <w:p w:rsidR="00F852AC" w:rsidRPr="000B42C6" w:rsidRDefault="00F852AC" w:rsidP="00D83529">
      <w:pPr>
        <w:spacing w:before="120" w:after="120"/>
      </w:pPr>
      <w:r w:rsidRPr="000B42C6">
        <w:t xml:space="preserve">The current ACFI model involves residential aged care facilities assessing each resident (‘internal’ assessment) using the Aged Care Funding Instrument. The results of that assessment </w:t>
      </w:r>
      <w:r w:rsidR="00D83529" w:rsidRPr="000B42C6">
        <w:t>(</w:t>
      </w:r>
      <w:r w:rsidRPr="000B42C6">
        <w:t>undertaken internally within the home</w:t>
      </w:r>
      <w:r w:rsidR="00D83529" w:rsidRPr="000B42C6">
        <w:t>)</w:t>
      </w:r>
      <w:r w:rsidRPr="000B42C6">
        <w:t xml:space="preserve"> a</w:t>
      </w:r>
      <w:r w:rsidR="00D83529" w:rsidRPr="000B42C6">
        <w:t>re</w:t>
      </w:r>
      <w:r w:rsidRPr="000B42C6">
        <w:t xml:space="preserve"> then </w:t>
      </w:r>
      <w:r w:rsidR="00D83529" w:rsidRPr="000B42C6">
        <w:t>submitted to the Commonwealth to determine the funding allocation for each resident. In parallel, the assumption is that the home uses that same information for needs identificat</w:t>
      </w:r>
      <w:r w:rsidR="00726D13">
        <w:t>ion and care planning purposes.</w:t>
      </w:r>
    </w:p>
    <w:p w:rsidR="00D83529" w:rsidRPr="000B42C6" w:rsidRDefault="00D83529" w:rsidP="00F852AC">
      <w:r w:rsidRPr="000B42C6">
        <w:t>The AN-ACC assessment system separates assessment for funding from assessment for care planning.</w:t>
      </w:r>
    </w:p>
    <w:p w:rsidR="00D83529" w:rsidRPr="000B42C6" w:rsidRDefault="00D83529" w:rsidP="00D83529">
      <w:pPr>
        <w:pStyle w:val="Heading2"/>
      </w:pPr>
      <w:bookmarkStart w:id="47" w:name="_Toc2005074"/>
      <w:r w:rsidRPr="000B42C6">
        <w:t>The AN-ACC funding assessment</w:t>
      </w:r>
      <w:bookmarkEnd w:id="47"/>
    </w:p>
    <w:p w:rsidR="00D83529" w:rsidRPr="000B42C6" w:rsidRDefault="00B262A0" w:rsidP="00D83529">
      <w:pPr>
        <w:pStyle w:val="Normal-nospacing"/>
      </w:pPr>
      <w:r>
        <w:t>A new AN-ACC Assessment T</w:t>
      </w:r>
      <w:r w:rsidR="00D83529" w:rsidRPr="000B42C6">
        <w:t xml:space="preserve">ool has been developed. It is </w:t>
      </w:r>
      <w:r w:rsidR="008E22E0" w:rsidRPr="000B42C6">
        <w:t xml:space="preserve">described </w:t>
      </w:r>
      <w:r w:rsidR="00D83529" w:rsidRPr="000B42C6">
        <w:t xml:space="preserve">in Report </w:t>
      </w:r>
      <w:r w:rsidR="00997050">
        <w:t>2</w:t>
      </w:r>
      <w:r w:rsidR="00710F83" w:rsidRPr="000B42C6">
        <w:t xml:space="preserve"> and </w:t>
      </w:r>
      <w:r w:rsidR="00684B4E" w:rsidRPr="000B42C6">
        <w:t xml:space="preserve">the final version of the assessment tool is included as an </w:t>
      </w:r>
      <w:r w:rsidR="00710F83" w:rsidRPr="000B42C6">
        <w:t>a</w:t>
      </w:r>
      <w:r w:rsidR="00684B4E" w:rsidRPr="000B42C6">
        <w:t xml:space="preserve">ppendix in Report </w:t>
      </w:r>
      <w:r w:rsidR="00997050">
        <w:t>2</w:t>
      </w:r>
      <w:r w:rsidR="00D83529" w:rsidRPr="000B42C6">
        <w:t>. It is an a</w:t>
      </w:r>
      <w:r w:rsidR="00F852AC" w:rsidRPr="000B42C6">
        <w:t xml:space="preserve">ssessment </w:t>
      </w:r>
      <w:r w:rsidR="00D83529" w:rsidRPr="000B42C6">
        <w:t xml:space="preserve">that has been designed </w:t>
      </w:r>
      <w:r w:rsidR="00F852AC" w:rsidRPr="000B42C6">
        <w:t xml:space="preserve">for funding purposes </w:t>
      </w:r>
      <w:r w:rsidR="00726D13">
        <w:t>only.</w:t>
      </w:r>
    </w:p>
    <w:p w:rsidR="00F852AC" w:rsidRDefault="008E22E0" w:rsidP="00726D13">
      <w:pPr>
        <w:pStyle w:val="Normal-nospacing"/>
        <w:spacing w:after="360"/>
      </w:pPr>
      <w:r w:rsidRPr="000B42C6">
        <w:t xml:space="preserve">The AN-ACC </w:t>
      </w:r>
      <w:r w:rsidR="00B262A0">
        <w:t>A</w:t>
      </w:r>
      <w:r w:rsidRPr="000B42C6">
        <w:t xml:space="preserve">ssessment </w:t>
      </w:r>
      <w:r w:rsidR="00B262A0">
        <w:t>T</w:t>
      </w:r>
      <w:r w:rsidRPr="000B42C6">
        <w:t xml:space="preserve">ool has been </w:t>
      </w:r>
      <w:r w:rsidR="00CC2483" w:rsidRPr="000B42C6">
        <w:t>designed for use by</w:t>
      </w:r>
      <w:r w:rsidR="00F852AC" w:rsidRPr="000B42C6">
        <w:t xml:space="preserve"> external assessors</w:t>
      </w:r>
      <w:r w:rsidR="00CC2483" w:rsidRPr="000B42C6">
        <w:t xml:space="preserve"> both when a resident initially enters residential aged care and at reassessment.</w:t>
      </w:r>
    </w:p>
    <w:p w:rsidR="007E50FE" w:rsidRPr="000B42C6" w:rsidRDefault="007E50FE" w:rsidP="00726D13">
      <w:pPr>
        <w:pStyle w:val="Recommendations"/>
        <w:pBdr>
          <w:top w:val="none" w:sz="0" w:space="0" w:color="auto"/>
          <w:left w:val="none" w:sz="0" w:space="0" w:color="auto"/>
          <w:bottom w:val="none" w:sz="0" w:space="0" w:color="auto"/>
          <w:right w:val="none" w:sz="0" w:space="0" w:color="auto"/>
        </w:pBdr>
      </w:pPr>
    </w:p>
    <w:p w:rsidR="007E50FE" w:rsidRPr="000B42C6" w:rsidRDefault="007E50FE" w:rsidP="00726D13">
      <w:pPr>
        <w:spacing w:after="360"/>
      </w:pPr>
      <w:r w:rsidRPr="000B42C6">
        <w:t>That the Australian National Aged Care Classification (AN-ACC) Version 1</w:t>
      </w:r>
      <w:r w:rsidR="00B262A0">
        <w:t>.0 Assessment T</w:t>
      </w:r>
      <w:r w:rsidRPr="000B42C6">
        <w:t xml:space="preserve">ool be adopted as the national standard funding </w:t>
      </w:r>
      <w:r w:rsidR="00710F83" w:rsidRPr="000B42C6">
        <w:t xml:space="preserve">assessment </w:t>
      </w:r>
      <w:r w:rsidRPr="000B42C6">
        <w:t>for residential aged care.</w:t>
      </w:r>
    </w:p>
    <w:p w:rsidR="007E50FE" w:rsidRPr="000B42C6" w:rsidRDefault="007E50FE" w:rsidP="00726D13">
      <w:pPr>
        <w:pStyle w:val="Recommendations"/>
        <w:pBdr>
          <w:top w:val="none" w:sz="0" w:space="0" w:color="auto"/>
          <w:left w:val="none" w:sz="0" w:space="0" w:color="auto"/>
          <w:bottom w:val="none" w:sz="0" w:space="0" w:color="auto"/>
          <w:right w:val="none" w:sz="0" w:space="0" w:color="auto"/>
        </w:pBdr>
      </w:pPr>
    </w:p>
    <w:p w:rsidR="007E50FE" w:rsidRPr="000B42C6" w:rsidRDefault="007E50FE" w:rsidP="00726D13">
      <w:pPr>
        <w:spacing w:after="240"/>
      </w:pPr>
      <w:r w:rsidRPr="000B42C6">
        <w:t xml:space="preserve">That all new residents be assessed by an independent assessor using the AN-ACC </w:t>
      </w:r>
      <w:r w:rsidR="00B262A0">
        <w:t>A</w:t>
      </w:r>
      <w:r w:rsidRPr="000B42C6">
        <w:t xml:space="preserve">ssessment </w:t>
      </w:r>
      <w:r w:rsidR="00B262A0">
        <w:t>T</w:t>
      </w:r>
      <w:r w:rsidRPr="000B42C6">
        <w:t>ool within four weeks of entering residential aged care.</w:t>
      </w:r>
    </w:p>
    <w:p w:rsidR="00732B83" w:rsidRDefault="00732B83" w:rsidP="00057291">
      <w:r>
        <w:br w:type="page"/>
      </w:r>
    </w:p>
    <w:p w:rsidR="00057291" w:rsidRPr="000B42C6" w:rsidRDefault="00057291" w:rsidP="00F937A0">
      <w:pPr>
        <w:pStyle w:val="Recommendations"/>
        <w:pBdr>
          <w:top w:val="none" w:sz="0" w:space="0" w:color="auto"/>
          <w:left w:val="none" w:sz="0" w:space="0" w:color="auto"/>
          <w:bottom w:val="none" w:sz="0" w:space="0" w:color="auto"/>
          <w:right w:val="none" w:sz="0" w:space="0" w:color="auto"/>
        </w:pBdr>
      </w:pPr>
    </w:p>
    <w:p w:rsidR="007E50FE" w:rsidRPr="000B42C6" w:rsidRDefault="007E50FE" w:rsidP="00D50AD1">
      <w:pPr>
        <w:spacing w:after="360"/>
      </w:pPr>
      <w:r w:rsidRPr="000B42C6">
        <w:t>That residents requiring reassessment be assessed by an indepen</w:t>
      </w:r>
      <w:r w:rsidR="00FC584D">
        <w:t>dent assessor using the AN-ACC Assessment T</w:t>
      </w:r>
      <w:r w:rsidRPr="000B42C6">
        <w:t>ool.</w:t>
      </w:r>
    </w:p>
    <w:p w:rsidR="007E50FE" w:rsidRPr="000B42C6" w:rsidRDefault="007E50FE" w:rsidP="00D50AD1">
      <w:pPr>
        <w:spacing w:after="240"/>
      </w:pPr>
      <w:r w:rsidRPr="000B42C6">
        <w:t>Reasons for reassessment are dealt with below.</w:t>
      </w:r>
    </w:p>
    <w:p w:rsidR="007E50FE" w:rsidRPr="000B42C6" w:rsidRDefault="007E50FE" w:rsidP="00F937A0">
      <w:pPr>
        <w:pStyle w:val="Recommendations"/>
        <w:pBdr>
          <w:top w:val="none" w:sz="0" w:space="0" w:color="auto"/>
          <w:left w:val="none" w:sz="0" w:space="0" w:color="auto"/>
          <w:bottom w:val="none" w:sz="0" w:space="0" w:color="auto"/>
          <w:right w:val="none" w:sz="0" w:space="0" w:color="auto"/>
        </w:pBdr>
      </w:pPr>
    </w:p>
    <w:p w:rsidR="007E50FE" w:rsidRPr="000B42C6" w:rsidRDefault="007E50FE" w:rsidP="00D50AD1">
      <w:pPr>
        <w:spacing w:after="480"/>
      </w:pPr>
      <w:r w:rsidRPr="000B42C6">
        <w:t>That aggregate de-identified data captured in the AN-ACC assessment be released in the form of an annual public report on the needs of residents in the residential aged care sector.</w:t>
      </w:r>
    </w:p>
    <w:p w:rsidR="008E22E0" w:rsidRPr="000B42C6" w:rsidRDefault="008E22E0" w:rsidP="00F937A0">
      <w:pPr>
        <w:pStyle w:val="Heading2"/>
      </w:pPr>
      <w:bookmarkStart w:id="48" w:name="_Toc2005075"/>
      <w:r w:rsidRPr="000B42C6">
        <w:t>Reassessment</w:t>
      </w:r>
      <w:r w:rsidR="0014560C" w:rsidRPr="000B42C6">
        <w:t xml:space="preserve"> protocols</w:t>
      </w:r>
      <w:bookmarkEnd w:id="48"/>
    </w:p>
    <w:p w:rsidR="0082075F" w:rsidRPr="000B42C6" w:rsidRDefault="0082075F" w:rsidP="0082075F">
      <w:pPr>
        <w:pStyle w:val="Normal-nospacing"/>
      </w:pPr>
      <w:r w:rsidRPr="000B42C6">
        <w:t xml:space="preserve">The core of the AN-ACC funding model is that a resident is assessed at entry to residential aged care with capacity for the resident to be reassessed (and potentially </w:t>
      </w:r>
      <w:r w:rsidR="0014560C" w:rsidRPr="000B42C6">
        <w:t>assigned to a higher paying class</w:t>
      </w:r>
      <w:r w:rsidRPr="000B42C6">
        <w:t>)</w:t>
      </w:r>
      <w:r w:rsidR="0014560C" w:rsidRPr="000B42C6">
        <w:t xml:space="preserve"> if th</w:t>
      </w:r>
      <w:r w:rsidR="00D50AD1">
        <w:t>eir needs change significantly.</w:t>
      </w:r>
    </w:p>
    <w:p w:rsidR="0014560C" w:rsidRPr="000B42C6" w:rsidRDefault="0014560C" w:rsidP="0082075F">
      <w:pPr>
        <w:pStyle w:val="Normal-nospacing"/>
      </w:pPr>
      <w:r w:rsidRPr="000B42C6">
        <w:t xml:space="preserve">At the same time, the model should not create incentives for frequent unnecessary reassessments. This </w:t>
      </w:r>
      <w:r w:rsidR="0082075F" w:rsidRPr="000B42C6">
        <w:t xml:space="preserve">is </w:t>
      </w:r>
      <w:r w:rsidRPr="000B42C6">
        <w:t xml:space="preserve">easier to achieve with the new funding model as the individualised payment represents, on average, only half the daily payment. The </w:t>
      </w:r>
      <w:r w:rsidR="0082075F" w:rsidRPr="000B42C6">
        <w:t>base care tariff (</w:t>
      </w:r>
      <w:r w:rsidR="00567BBC">
        <w:t>fixed</w:t>
      </w:r>
      <w:r w:rsidRPr="000B42C6">
        <w:t xml:space="preserve"> care payment</w:t>
      </w:r>
      <w:r w:rsidR="0082075F" w:rsidRPr="000B42C6">
        <w:t xml:space="preserve">) does </w:t>
      </w:r>
      <w:r w:rsidRPr="000B42C6">
        <w:t>not change as the result of a reassessment.</w:t>
      </w:r>
    </w:p>
    <w:p w:rsidR="0082075F" w:rsidRPr="000B42C6" w:rsidRDefault="0082075F" w:rsidP="0082075F">
      <w:r w:rsidRPr="000B42C6">
        <w:t xml:space="preserve">Based on the reassessment study, we have identified three grounds for reassessment. The threshold is that the home anticipates that the person’s individualised payment would increase by more than 20% </w:t>
      </w:r>
      <w:r w:rsidR="00F85F06">
        <w:t xml:space="preserve">of the national average </w:t>
      </w:r>
      <w:r w:rsidRPr="000B42C6">
        <w:t xml:space="preserve">per day </w:t>
      </w:r>
      <w:r w:rsidR="000B42C6" w:rsidRPr="000B42C6">
        <w:t>i.e.</w:t>
      </w:r>
      <w:r w:rsidRPr="000B42C6">
        <w:t>, a total payme</w:t>
      </w:r>
      <w:r w:rsidR="00D50AD1">
        <w:t xml:space="preserve">nt increase of 10% on average. </w:t>
      </w:r>
      <w:r w:rsidRPr="000B42C6">
        <w:t xml:space="preserve">The </w:t>
      </w:r>
      <w:r w:rsidR="00583E07">
        <w:t>Department</w:t>
      </w:r>
      <w:r w:rsidRPr="000B42C6">
        <w:t xml:space="preserve"> may introduce reassessment charges for any home that routinely triggers unnecessary reassessments.</w:t>
      </w:r>
    </w:p>
    <w:p w:rsidR="0082075F" w:rsidRPr="000B42C6" w:rsidRDefault="00D50AD1" w:rsidP="0082075F">
      <w:pPr>
        <w:pStyle w:val="Heading4"/>
      </w:pPr>
      <w:r>
        <w:t>Significant hospitalisation</w:t>
      </w:r>
    </w:p>
    <w:p w:rsidR="0082075F" w:rsidRPr="000B42C6" w:rsidRDefault="0082075F" w:rsidP="0082075F">
      <w:r w:rsidRPr="000B42C6">
        <w:t>A home may request a reassessment if the resident has been hospitalised for five days or more or, in the event of a patient who has a general anaesthetic, two days or more. As reported in Report 2, other significant events captured in the national reassessment study did not significantly result in a change of class.</w:t>
      </w:r>
    </w:p>
    <w:p w:rsidR="0082075F" w:rsidRPr="000B42C6" w:rsidRDefault="0082075F" w:rsidP="0082075F">
      <w:pPr>
        <w:pStyle w:val="Heading4"/>
      </w:pPr>
      <w:r w:rsidRPr="000B42C6">
        <w:t>Significant change in mobility</w:t>
      </w:r>
    </w:p>
    <w:p w:rsidR="0082075F" w:rsidRPr="000B42C6" w:rsidRDefault="0082075F" w:rsidP="0082075F">
      <w:r w:rsidRPr="000B42C6">
        <w:t>A home may request a reassessment if the resident’s mobility capacity has changed such that they move between the three mobility branches in the AN-ACC (</w:t>
      </w:r>
      <w:r w:rsidR="000B42C6" w:rsidRPr="000B42C6">
        <w:t>i.e.</w:t>
      </w:r>
      <w:r w:rsidRPr="000B42C6">
        <w:t xml:space="preserve">, from independent/assisted to assisted/non-mobile as measured by the </w:t>
      </w:r>
      <w:r w:rsidR="00583E07">
        <w:t>De Morton Mobility Index (</w:t>
      </w:r>
      <w:r w:rsidRPr="000B42C6">
        <w:t>DEMMI).</w:t>
      </w:r>
    </w:p>
    <w:p w:rsidR="0082075F" w:rsidRPr="000B42C6" w:rsidRDefault="0082075F" w:rsidP="0082075F">
      <w:pPr>
        <w:pStyle w:val="Heading4"/>
      </w:pPr>
      <w:r w:rsidRPr="000B42C6">
        <w:t>A standard time period for reassessment</w:t>
      </w:r>
    </w:p>
    <w:p w:rsidR="0082075F" w:rsidRPr="000B42C6" w:rsidRDefault="0082075F" w:rsidP="00D50AD1">
      <w:pPr>
        <w:spacing w:after="240"/>
      </w:pPr>
      <w:r w:rsidRPr="000B42C6">
        <w:t>A home may request a reassessment after a specified period for any resident who is becoming progressively more frail and/or whose health status is d</w:t>
      </w:r>
      <w:r w:rsidR="007366E0">
        <w:t xml:space="preserve">eteriorating. </w:t>
      </w:r>
      <w:r w:rsidRPr="000B42C6">
        <w:t>This s</w:t>
      </w:r>
      <w:r w:rsidR="00FF1D4B">
        <w:t>tandard</w:t>
      </w:r>
      <w:r w:rsidRPr="000B42C6">
        <w:t xml:space="preserve"> peri</w:t>
      </w:r>
      <w:r w:rsidR="00301F1C">
        <w:t>od should be twelve months for C</w:t>
      </w:r>
      <w:r w:rsidR="00D60117">
        <w:t xml:space="preserve">lasses 2 to 8 </w:t>
      </w:r>
      <w:r w:rsidR="00301F1C">
        <w:t xml:space="preserve">(those classes with lower mortality rate) </w:t>
      </w:r>
      <w:r w:rsidR="00301F1C" w:rsidRPr="000B42C6">
        <w:lastRenderedPageBreak/>
        <w:t xml:space="preserve">and six months for </w:t>
      </w:r>
      <w:r w:rsidR="00301F1C">
        <w:t>C</w:t>
      </w:r>
      <w:r w:rsidR="00301F1C" w:rsidRPr="000B42C6">
        <w:t>lasses 9 to 1</w:t>
      </w:r>
      <w:r w:rsidR="00301F1C">
        <w:t>2 (</w:t>
      </w:r>
      <w:r w:rsidR="00301F1C" w:rsidRPr="00607C04">
        <w:t xml:space="preserve">classes for people who are not mobile and </w:t>
      </w:r>
      <w:r w:rsidR="00D60117">
        <w:t xml:space="preserve">are </w:t>
      </w:r>
      <w:r w:rsidR="00301F1C" w:rsidRPr="00607C04">
        <w:t>expected to deteriorate at a higher rate)</w:t>
      </w:r>
      <w:r w:rsidR="00D50AD1">
        <w:t>.</w:t>
      </w:r>
    </w:p>
    <w:p w:rsidR="0082075F" w:rsidRDefault="0082075F" w:rsidP="00D50AD1">
      <w:pPr>
        <w:spacing w:after="240"/>
      </w:pPr>
      <w:r w:rsidRPr="000B42C6">
        <w:t xml:space="preserve">In doing so, the onus will be on homes to only select residents for reassessment whose individualised payment would be expected to increase by more than </w:t>
      </w:r>
      <w:r w:rsidR="00126D31">
        <w:t>2</w:t>
      </w:r>
      <w:r w:rsidRPr="000B42C6">
        <w:t>0% per day.</w:t>
      </w:r>
    </w:p>
    <w:p w:rsidR="00126964" w:rsidRPr="000B42C6" w:rsidRDefault="00126964" w:rsidP="007366E0"/>
    <w:p w:rsidR="007E50FE" w:rsidRPr="000B42C6" w:rsidRDefault="007E50FE" w:rsidP="007366E0">
      <w:pPr>
        <w:pStyle w:val="Recommendations"/>
        <w:pBdr>
          <w:top w:val="none" w:sz="0" w:space="0" w:color="auto"/>
          <w:left w:val="none" w:sz="0" w:space="0" w:color="auto"/>
          <w:bottom w:val="none" w:sz="0" w:space="0" w:color="auto"/>
          <w:right w:val="none" w:sz="0" w:space="0" w:color="auto"/>
        </w:pBdr>
      </w:pPr>
    </w:p>
    <w:p w:rsidR="00DA15F9" w:rsidRPr="000B42C6" w:rsidRDefault="00DA15F9" w:rsidP="007366E0">
      <w:pPr>
        <w:spacing w:after="480"/>
      </w:pPr>
      <w:r w:rsidRPr="000B42C6">
        <w:t>That the new AN-ACC funding model allow for reassessment based on significantly increased needs as indicated by (1) a significant hospitalisation (2) a significant change in mobility an</w:t>
      </w:r>
      <w:r w:rsidR="00D60117">
        <w:t>d/or (3) a standard time period; twelve months for Classes 2 to 8 (those classes with lower mortality rate) and six months for Classes 9 to 12 (classes for people who are not mobile and are expected to deteriorate at a higher rate).</w:t>
      </w:r>
    </w:p>
    <w:p w:rsidR="00DA15F9" w:rsidRPr="000B42C6" w:rsidRDefault="00DA15F9" w:rsidP="007366E0">
      <w:pPr>
        <w:pStyle w:val="Recommendations"/>
        <w:pBdr>
          <w:top w:val="none" w:sz="0" w:space="0" w:color="auto"/>
          <w:left w:val="none" w:sz="0" w:space="0" w:color="auto"/>
          <w:bottom w:val="none" w:sz="0" w:space="0" w:color="auto"/>
          <w:right w:val="none" w:sz="0" w:space="0" w:color="auto"/>
        </w:pBdr>
      </w:pPr>
    </w:p>
    <w:p w:rsidR="00DA15F9" w:rsidRPr="000B42C6" w:rsidRDefault="00DA15F9" w:rsidP="007366E0">
      <w:pPr>
        <w:spacing w:after="480"/>
      </w:pPr>
      <w:r w:rsidRPr="000B42C6">
        <w:t>That the Commonwealth consider the introduction of reassessment charges for any home that routinely triggers unnecessary reassessments.</w:t>
      </w:r>
    </w:p>
    <w:p w:rsidR="00DA15F9" w:rsidRDefault="00DA15F9" w:rsidP="001806AE">
      <w:pPr>
        <w:spacing w:after="360"/>
      </w:pPr>
      <w:r w:rsidRPr="000B42C6">
        <w:t>There is no requirement for reassessment in the new model. If the capacity of the resident improves after entry into residential care, the payment rate does not change and there is no need for a resident to be reassessed or assigned to a lower paying class. This is an explicit incentive for high quality services with a focus on restorative care and reablement</w:t>
      </w:r>
      <w:r w:rsidR="00684B4E" w:rsidRPr="000B42C6">
        <w:t>.</w:t>
      </w:r>
    </w:p>
    <w:p w:rsidR="00DA15F9" w:rsidRPr="000B42C6" w:rsidRDefault="00DA15F9" w:rsidP="001806AE">
      <w:pPr>
        <w:pStyle w:val="Recommendations"/>
        <w:pBdr>
          <w:top w:val="none" w:sz="0" w:space="0" w:color="auto"/>
          <w:left w:val="none" w:sz="0" w:space="0" w:color="auto"/>
          <w:bottom w:val="none" w:sz="0" w:space="0" w:color="auto"/>
          <w:right w:val="none" w:sz="0" w:space="0" w:color="auto"/>
        </w:pBdr>
      </w:pPr>
    </w:p>
    <w:p w:rsidR="00DA15F9" w:rsidRPr="000B42C6" w:rsidRDefault="00DA15F9" w:rsidP="001806AE">
      <w:pPr>
        <w:pStyle w:val="Normal-nospacing"/>
        <w:spacing w:after="360"/>
      </w:pPr>
      <w:r w:rsidRPr="000B42C6">
        <w:t>There be no requirement for reassessment in the AN-ACC funding model</w:t>
      </w:r>
      <w:r w:rsidR="00684B4E" w:rsidRPr="000B42C6">
        <w:t>.</w:t>
      </w:r>
    </w:p>
    <w:p w:rsidR="00CC2483" w:rsidRPr="000B42C6" w:rsidRDefault="00CC2483" w:rsidP="00CC2483">
      <w:pPr>
        <w:pStyle w:val="Heading2"/>
      </w:pPr>
      <w:bookmarkStart w:id="49" w:name="_Toc2005076"/>
      <w:r w:rsidRPr="000B42C6">
        <w:t>Assessment for care planning purposes</w:t>
      </w:r>
      <w:bookmarkEnd w:id="49"/>
    </w:p>
    <w:p w:rsidR="00A86E9A" w:rsidRPr="000B42C6" w:rsidRDefault="00DA15F9" w:rsidP="00A86E9A">
      <w:pPr>
        <w:pStyle w:val="Normal-nospacing"/>
      </w:pPr>
      <w:r w:rsidRPr="000B42C6">
        <w:t>This study proposes to separate assessment for funding from assessment for care planning.  Assessment for funding move</w:t>
      </w:r>
      <w:r w:rsidR="00A86E9A" w:rsidRPr="000B42C6">
        <w:t>s</w:t>
      </w:r>
      <w:r w:rsidRPr="000B42C6">
        <w:t xml:space="preserve"> to an external assessor. </w:t>
      </w:r>
      <w:r w:rsidR="00F852AC" w:rsidRPr="000B42C6">
        <w:t xml:space="preserve">Assessment related to care planning </w:t>
      </w:r>
      <w:r w:rsidRPr="000B42C6">
        <w:t xml:space="preserve">is the responsibility of </w:t>
      </w:r>
      <w:r w:rsidR="00F852AC" w:rsidRPr="000B42C6">
        <w:t>the residential aged care facility</w:t>
      </w:r>
      <w:r w:rsidR="001806AE">
        <w:t>.</w:t>
      </w:r>
    </w:p>
    <w:p w:rsidR="00A86E9A" w:rsidRPr="000B42C6" w:rsidRDefault="00A86E9A" w:rsidP="00A86E9A">
      <w:pPr>
        <w:pStyle w:val="Normal-nospacing"/>
      </w:pPr>
      <w:r w:rsidRPr="000B42C6">
        <w:t>In order to drive systematic improvements in care planning, residential aged care facilities need to be equipped with care planning tools</w:t>
      </w:r>
      <w:r w:rsidR="00710F83" w:rsidRPr="000B42C6">
        <w:t xml:space="preserve">. These should be used for </w:t>
      </w:r>
      <w:r w:rsidRPr="000B42C6">
        <w:t xml:space="preserve">assessments by suitably trained nursing and allied health clinicians. A nationally standardised care planning </w:t>
      </w:r>
      <w:r w:rsidR="001806AE">
        <w:t>assessment toolkit is proposed.</w:t>
      </w:r>
    </w:p>
    <w:p w:rsidR="00A86E9A" w:rsidRDefault="00DA15F9" w:rsidP="00A86E9A">
      <w:pPr>
        <w:pStyle w:val="Normal-nospacing"/>
      </w:pPr>
      <w:r w:rsidRPr="000B42C6">
        <w:t xml:space="preserve">This </w:t>
      </w:r>
      <w:r w:rsidR="00A86E9A" w:rsidRPr="000B42C6">
        <w:t xml:space="preserve">assessment </w:t>
      </w:r>
      <w:r w:rsidRPr="000B42C6">
        <w:t>tool should be used by homes to guide the identification of resident needs and to guide individualised care planning. In addition to capturing functional and clinical needs, it should also capture strengths, personal preferences and opportunities to work with residents to increase their independence.</w:t>
      </w:r>
    </w:p>
    <w:p w:rsidR="00126964" w:rsidRPr="000B42C6" w:rsidRDefault="00126964" w:rsidP="00A86E9A">
      <w:pPr>
        <w:pStyle w:val="Normal-nospacing"/>
      </w:pPr>
    </w:p>
    <w:p w:rsidR="007E50FE" w:rsidRPr="000B42C6" w:rsidRDefault="007E50FE" w:rsidP="001806AE">
      <w:pPr>
        <w:pStyle w:val="Recommendations"/>
        <w:pBdr>
          <w:top w:val="none" w:sz="0" w:space="0" w:color="auto"/>
          <w:left w:val="none" w:sz="0" w:space="0" w:color="auto"/>
          <w:bottom w:val="none" w:sz="0" w:space="0" w:color="auto"/>
          <w:right w:val="none" w:sz="0" w:space="0" w:color="auto"/>
        </w:pBdr>
      </w:pPr>
    </w:p>
    <w:p w:rsidR="007E50FE" w:rsidRPr="000B42C6" w:rsidRDefault="007E50FE" w:rsidP="001806AE">
      <w:pPr>
        <w:spacing w:after="480"/>
      </w:pPr>
      <w:r w:rsidRPr="000B42C6">
        <w:t>That a best practice needs identification and care planning assessment tool be developed for use by residential aged care facilities.</w:t>
      </w:r>
    </w:p>
    <w:p w:rsidR="007E50FE" w:rsidRPr="000B42C6" w:rsidRDefault="007E50FE" w:rsidP="001806AE">
      <w:pPr>
        <w:pStyle w:val="Recommendations"/>
        <w:pBdr>
          <w:top w:val="none" w:sz="0" w:space="0" w:color="auto"/>
          <w:left w:val="none" w:sz="0" w:space="0" w:color="auto"/>
          <w:bottom w:val="none" w:sz="0" w:space="0" w:color="auto"/>
          <w:right w:val="none" w:sz="0" w:space="0" w:color="auto"/>
        </w:pBdr>
      </w:pPr>
    </w:p>
    <w:p w:rsidR="007E50FE" w:rsidRPr="000B42C6" w:rsidRDefault="007E50FE" w:rsidP="001806AE">
      <w:pPr>
        <w:spacing w:after="360"/>
      </w:pPr>
      <w:r w:rsidRPr="000B42C6">
        <w:t>That, as a condition of subsidy, each resident undergo a care planning assessment at least annually and that the outcomes of this assessment be discussed with residents and carers and be used as the basis of an annual care plan.</w:t>
      </w:r>
    </w:p>
    <w:p w:rsidR="00F852AC" w:rsidRPr="000B42C6" w:rsidRDefault="00332B3D" w:rsidP="00332B3D">
      <w:pPr>
        <w:pStyle w:val="Heading1"/>
      </w:pPr>
      <w:bookmarkStart w:id="50" w:name="_Toc2005077"/>
      <w:r w:rsidRPr="000B42C6">
        <w:t>AN-ACC Version 1</w:t>
      </w:r>
      <w:r w:rsidR="00FC584D">
        <w:t>.0</w:t>
      </w:r>
      <w:r w:rsidRPr="000B42C6">
        <w:t xml:space="preserve"> funding model</w:t>
      </w:r>
      <w:bookmarkEnd w:id="50"/>
    </w:p>
    <w:p w:rsidR="00CC2483" w:rsidRPr="000B42C6" w:rsidRDefault="004E2B5F" w:rsidP="00CC2483">
      <w:r w:rsidRPr="000B42C6">
        <w:t>There</w:t>
      </w:r>
      <w:r w:rsidR="00CC2483" w:rsidRPr="000B42C6">
        <w:t xml:space="preserve"> are</w:t>
      </w:r>
      <w:r w:rsidR="00AD098F" w:rsidRPr="000B42C6">
        <w:t xml:space="preserve"> three</w:t>
      </w:r>
      <w:r w:rsidR="00CC2483" w:rsidRPr="000B42C6">
        <w:t xml:space="preserve"> key elements in the new AN-ACC funding model.</w:t>
      </w:r>
      <w:r w:rsidR="001806AE">
        <w:t xml:space="preserve"> </w:t>
      </w:r>
      <w:r w:rsidR="00B445B6" w:rsidRPr="000B42C6">
        <w:t>The first two of these form the ongoing payment paid to the home for each resident.</w:t>
      </w:r>
    </w:p>
    <w:p w:rsidR="001D2CDD" w:rsidRPr="000B42C6" w:rsidRDefault="001D2CDD" w:rsidP="001D2CDD">
      <w:pPr>
        <w:pStyle w:val="Heading2"/>
      </w:pPr>
      <w:bookmarkStart w:id="51" w:name="_Ref533067623"/>
      <w:bookmarkStart w:id="52" w:name="_Toc2005078"/>
      <w:r w:rsidRPr="000B42C6">
        <w:t>Per diem payment combines a base care tariff and an AN-ACC class payment</w:t>
      </w:r>
      <w:bookmarkEnd w:id="51"/>
      <w:bookmarkEnd w:id="52"/>
    </w:p>
    <w:p w:rsidR="00CC2483" w:rsidRPr="000B42C6" w:rsidRDefault="00CC2483" w:rsidP="006D3EB5">
      <w:pPr>
        <w:pStyle w:val="Heading4"/>
      </w:pPr>
      <w:r w:rsidRPr="000B42C6">
        <w:t>Base care tariff</w:t>
      </w:r>
    </w:p>
    <w:p w:rsidR="008A5ED0" w:rsidRPr="000B42C6" w:rsidRDefault="008A5ED0" w:rsidP="00CC2483">
      <w:pPr>
        <w:pStyle w:val="Normal-nospacing"/>
      </w:pPr>
      <w:r w:rsidRPr="000B42C6">
        <w:t xml:space="preserve">The base care tariff is a </w:t>
      </w:r>
      <w:r w:rsidR="00CC2483" w:rsidRPr="000B42C6">
        <w:t xml:space="preserve">fixed price per day for the costs of care that are shared equally by all residents. </w:t>
      </w:r>
      <w:r w:rsidRPr="000B42C6">
        <w:t xml:space="preserve">As outlined in Report 3, the RUCS costing study found that </w:t>
      </w:r>
      <w:r w:rsidR="00C63ACD" w:rsidRPr="000B42C6">
        <w:t xml:space="preserve">fixed care costs </w:t>
      </w:r>
      <w:r w:rsidRPr="000B42C6">
        <w:t>v</w:t>
      </w:r>
      <w:r w:rsidR="00CC2483" w:rsidRPr="000B42C6">
        <w:t>ar</w:t>
      </w:r>
      <w:r w:rsidR="00C63ACD" w:rsidRPr="000B42C6">
        <w:t>y</w:t>
      </w:r>
      <w:r w:rsidRPr="000B42C6">
        <w:t xml:space="preserve"> by location, whether or not the facility is designated for indigenous residents </w:t>
      </w:r>
      <w:r w:rsidR="00CC2483" w:rsidRPr="000B42C6">
        <w:t>and other factors</w:t>
      </w:r>
      <w:r w:rsidRPr="000B42C6">
        <w:t>.</w:t>
      </w:r>
    </w:p>
    <w:p w:rsidR="00CC2483" w:rsidRPr="000B42C6" w:rsidRDefault="008A5ED0" w:rsidP="00CC2483">
      <w:pPr>
        <w:pStyle w:val="Normal-nospacing"/>
      </w:pPr>
      <w:r w:rsidRPr="000B42C6">
        <w:t>Based on th</w:t>
      </w:r>
      <w:r w:rsidR="00C63ACD" w:rsidRPr="000B42C6">
        <w:t xml:space="preserve">e results of the RUCS </w:t>
      </w:r>
      <w:r w:rsidRPr="000B42C6">
        <w:t xml:space="preserve">costing study, the AN-ACC funding model </w:t>
      </w:r>
      <w:r w:rsidR="00AD098F" w:rsidRPr="000B42C6">
        <w:t xml:space="preserve">has six base care tariffs that are summarised in </w:t>
      </w:r>
      <w:r w:rsidR="00AD098F" w:rsidRPr="000B42C6">
        <w:fldChar w:fldCharType="begin"/>
      </w:r>
      <w:r w:rsidR="00AD098F" w:rsidRPr="000B42C6">
        <w:instrText xml:space="preserve"> REF _Ref532550952 \h  \* MERGEFORMAT </w:instrText>
      </w:r>
      <w:r w:rsidR="00AD098F" w:rsidRPr="000B42C6">
        <w:fldChar w:fldCharType="separate"/>
      </w:r>
      <w:r w:rsidR="004737ED" w:rsidRPr="000B42C6">
        <w:t xml:space="preserve">Table </w:t>
      </w:r>
      <w:r w:rsidR="004737ED">
        <w:rPr>
          <w:noProof/>
        </w:rPr>
        <w:t>1</w:t>
      </w:r>
      <w:r w:rsidR="00AD098F" w:rsidRPr="000B42C6">
        <w:fldChar w:fldCharType="end"/>
      </w:r>
      <w:r w:rsidR="001806AE">
        <w:t xml:space="preserve"> below.</w:t>
      </w:r>
    </w:p>
    <w:p w:rsidR="00CC2483" w:rsidRPr="000B42C6" w:rsidRDefault="00CC2483" w:rsidP="006D3EB5">
      <w:pPr>
        <w:pStyle w:val="Heading4"/>
      </w:pPr>
      <w:r w:rsidRPr="000B42C6">
        <w:t>AN-ACC class payment</w:t>
      </w:r>
    </w:p>
    <w:p w:rsidR="00CC2483" w:rsidRPr="000B42C6" w:rsidRDefault="00AD098F" w:rsidP="00CC2483">
      <w:pPr>
        <w:pStyle w:val="Normal-nospacing"/>
      </w:pPr>
      <w:r w:rsidRPr="000B42C6">
        <w:t>The AN-ACC class payment is a</w:t>
      </w:r>
      <w:r w:rsidR="00CC2483" w:rsidRPr="000B42C6">
        <w:t xml:space="preserve"> standardised </w:t>
      </w:r>
      <w:r w:rsidR="00CC2483" w:rsidRPr="00FC584D">
        <w:t>price p</w:t>
      </w:r>
      <w:r w:rsidR="00CC2483" w:rsidRPr="000B42C6">
        <w:t xml:space="preserve">er day for the costs of care for each resident based on </w:t>
      </w:r>
      <w:r w:rsidRPr="000B42C6">
        <w:t xml:space="preserve">their </w:t>
      </w:r>
      <w:r w:rsidR="00CC2483" w:rsidRPr="000B42C6">
        <w:t>AN-ACC casemix class.</w:t>
      </w:r>
      <w:r w:rsidR="001806AE">
        <w:t xml:space="preserve"> </w:t>
      </w:r>
      <w:r w:rsidRPr="000B42C6">
        <w:t>There are 13 AN-ACC classes in Version 1</w:t>
      </w:r>
      <w:r w:rsidR="00FC584D">
        <w:t>.0</w:t>
      </w:r>
      <w:r w:rsidRPr="000B42C6">
        <w:t xml:space="preserve"> and each has its own price.</w:t>
      </w:r>
    </w:p>
    <w:p w:rsidR="00B445B6" w:rsidRPr="000B42C6" w:rsidRDefault="00B445B6" w:rsidP="00CC2483">
      <w:pPr>
        <w:pStyle w:val="Normal-nospacing"/>
      </w:pPr>
      <w:r w:rsidRPr="000B42C6">
        <w:t>The detailed analysis that was undertaken to determine these were presented in Report 3 (costing) an</w:t>
      </w:r>
      <w:r w:rsidR="00F74473" w:rsidRPr="000B42C6">
        <w:t>d</w:t>
      </w:r>
      <w:r w:rsidRPr="000B42C6">
        <w:t xml:space="preserve"> Report </w:t>
      </w:r>
      <w:r w:rsidR="00126D31">
        <w:t>5</w:t>
      </w:r>
      <w:r w:rsidRPr="000B42C6">
        <w:t xml:space="preserve"> (funding system design).</w:t>
      </w:r>
    </w:p>
    <w:p w:rsidR="00FE5F8F" w:rsidRDefault="006D3EB5" w:rsidP="00CC2483">
      <w:pPr>
        <w:pStyle w:val="Normal-nospacing"/>
        <w:rPr>
          <w:sz w:val="4"/>
          <w:szCs w:val="4"/>
        </w:rPr>
      </w:pPr>
      <w:r w:rsidRPr="000B42C6">
        <w:fldChar w:fldCharType="begin"/>
      </w:r>
      <w:r w:rsidRPr="000B42C6">
        <w:instrText xml:space="preserve"> REF _Ref532550952 \h </w:instrText>
      </w:r>
      <w:r w:rsidRPr="000B42C6">
        <w:fldChar w:fldCharType="separate"/>
      </w:r>
      <w:r w:rsidR="004737ED" w:rsidRPr="000B42C6">
        <w:t xml:space="preserve">Table </w:t>
      </w:r>
      <w:r w:rsidR="004737ED">
        <w:rPr>
          <w:noProof/>
        </w:rPr>
        <w:t>1</w:t>
      </w:r>
      <w:r w:rsidRPr="000B42C6">
        <w:fldChar w:fldCharType="end"/>
      </w:r>
      <w:r w:rsidRPr="000B42C6">
        <w:t xml:space="preserve"> presents the base care tariffs and the AN-ACC individualised care funding with each calibrated as a National Weighted Activity Unit (NW</w:t>
      </w:r>
      <w:r w:rsidR="001806AE">
        <w:t xml:space="preserve">AU) for residential aged care. </w:t>
      </w:r>
      <w:r w:rsidRPr="000B42C6">
        <w:t>The one-off adjustment payment (also calibrated as an NWAU) and any approved subsidies are added to these to form the total care payments for an individual resident.</w:t>
      </w:r>
    </w:p>
    <w:p w:rsidR="00AD098F" w:rsidRPr="000B42C6" w:rsidRDefault="00AD098F" w:rsidP="00CC2483">
      <w:pPr>
        <w:pStyle w:val="Normal-nospacing"/>
        <w:rPr>
          <w:sz w:val="4"/>
          <w:szCs w:val="4"/>
        </w:rPr>
      </w:pPr>
    </w:p>
    <w:p w:rsidR="00EA181D" w:rsidRDefault="00EA181D">
      <w:pPr>
        <w:spacing w:after="200" w:line="276" w:lineRule="auto"/>
        <w:rPr>
          <w:b/>
          <w:bCs/>
          <w:szCs w:val="18"/>
        </w:rPr>
      </w:pPr>
      <w:bookmarkStart w:id="53" w:name="_Ref532550952"/>
      <w:bookmarkStart w:id="54" w:name="_Ref533071277"/>
      <w:bookmarkStart w:id="55" w:name="_Toc2005094"/>
      <w:r>
        <w:br w:type="page"/>
      </w:r>
    </w:p>
    <w:p w:rsidR="006D3EB5" w:rsidRPr="000B42C6" w:rsidRDefault="006D3EB5" w:rsidP="006D3EB5">
      <w:pPr>
        <w:pStyle w:val="Caption"/>
      </w:pPr>
      <w:r w:rsidRPr="000B42C6">
        <w:lastRenderedPageBreak/>
        <w:t xml:space="preserve">Table </w:t>
      </w:r>
      <w:r w:rsidR="006D0C73">
        <w:rPr>
          <w:noProof/>
        </w:rPr>
        <w:fldChar w:fldCharType="begin"/>
      </w:r>
      <w:r w:rsidR="006D0C73">
        <w:rPr>
          <w:noProof/>
        </w:rPr>
        <w:instrText xml:space="preserve"> SEQ Table \* ARABIC </w:instrText>
      </w:r>
      <w:r w:rsidR="006D0C73">
        <w:rPr>
          <w:noProof/>
        </w:rPr>
        <w:fldChar w:fldCharType="separate"/>
      </w:r>
      <w:r w:rsidR="004737ED">
        <w:rPr>
          <w:noProof/>
        </w:rPr>
        <w:t>1</w:t>
      </w:r>
      <w:r w:rsidR="006D0C73">
        <w:rPr>
          <w:noProof/>
        </w:rPr>
        <w:fldChar w:fldCharType="end"/>
      </w:r>
      <w:bookmarkEnd w:id="53"/>
      <w:r w:rsidRPr="000B42C6">
        <w:tab/>
        <w:t>Base care tariff and AN-ACC Version 1</w:t>
      </w:r>
      <w:r w:rsidR="00FC584D">
        <w:t>.0</w:t>
      </w:r>
      <w:r w:rsidRPr="000B42C6">
        <w:t xml:space="preserve"> NWAUs</w:t>
      </w:r>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Base care tariff and AN-ACC Version 1.0 National Weighted Activity Units"/>
        <w:tblDescription w:val="This table presents the base care tariffs and the AN-ACC individualised care funding with each calibrated as a National Weighted Activity Unit (NWAU) for residential aged care. The one-off adjustment payment (also calibrated as an NWAU) is also presented. This table is divided into three sections to be read in rows from left to right. The first section is to be read as a series of rows ('base care tariff' then 'facility description' then 'base care tariff NWAU'). The second section is to be read as a series of rows ('AN-ACC class' then 'facility description' then 'AN-ACC NWAU'). The third section is to be read as a series of rows ('other payments' then 'payment description' then 'one-off NWAU')."/>
      </w:tblPr>
      <w:tblGrid>
        <w:gridCol w:w="1824"/>
        <w:gridCol w:w="4714"/>
        <w:gridCol w:w="2478"/>
      </w:tblGrid>
      <w:tr w:rsidR="005B6916" w:rsidRPr="000B42C6" w:rsidTr="00FE1454">
        <w:trPr>
          <w:trHeight w:val="510"/>
        </w:trPr>
        <w:tc>
          <w:tcPr>
            <w:tcW w:w="1012" w:type="pct"/>
            <w:shd w:val="clear" w:color="auto" w:fill="auto"/>
            <w:hideMark/>
          </w:tcPr>
          <w:p w:rsidR="005B6916" w:rsidRPr="000B42C6" w:rsidRDefault="005B6916" w:rsidP="006D3EB5">
            <w:pPr>
              <w:jc w:val="center"/>
              <w:rPr>
                <w:rFonts w:cs="Arial"/>
                <w:b/>
                <w:bCs/>
                <w:color w:val="000000"/>
                <w:sz w:val="22"/>
                <w:szCs w:val="22"/>
              </w:rPr>
            </w:pPr>
            <w:r w:rsidRPr="000B42C6">
              <w:rPr>
                <w:rFonts w:cs="Arial"/>
                <w:b/>
                <w:bCs/>
                <w:color w:val="000000"/>
                <w:sz w:val="22"/>
                <w:szCs w:val="22"/>
              </w:rPr>
              <w:t>Base care tariff</w:t>
            </w:r>
          </w:p>
        </w:tc>
        <w:tc>
          <w:tcPr>
            <w:tcW w:w="2614" w:type="pct"/>
            <w:shd w:val="clear" w:color="auto" w:fill="auto"/>
            <w:hideMark/>
          </w:tcPr>
          <w:p w:rsidR="005B6916" w:rsidRPr="000B42C6" w:rsidRDefault="005B6916" w:rsidP="00AD098F">
            <w:pPr>
              <w:rPr>
                <w:rFonts w:cs="Arial"/>
                <w:b/>
                <w:bCs/>
                <w:color w:val="000000"/>
                <w:sz w:val="22"/>
                <w:szCs w:val="22"/>
              </w:rPr>
            </w:pPr>
            <w:r w:rsidRPr="000B42C6">
              <w:rPr>
                <w:rFonts w:cs="Arial"/>
                <w:b/>
                <w:bCs/>
                <w:color w:val="000000"/>
                <w:sz w:val="22"/>
                <w:szCs w:val="22"/>
              </w:rPr>
              <w:t>Facility description</w:t>
            </w:r>
          </w:p>
        </w:tc>
        <w:tc>
          <w:tcPr>
            <w:tcW w:w="1374" w:type="pct"/>
            <w:shd w:val="clear" w:color="auto" w:fill="auto"/>
            <w:hideMark/>
          </w:tcPr>
          <w:p w:rsidR="005B6916" w:rsidRPr="000B42C6" w:rsidRDefault="005B6916" w:rsidP="006D3EB5">
            <w:pPr>
              <w:jc w:val="center"/>
              <w:rPr>
                <w:rFonts w:cs="Arial"/>
                <w:b/>
                <w:bCs/>
                <w:color w:val="000000"/>
                <w:sz w:val="22"/>
                <w:szCs w:val="22"/>
              </w:rPr>
            </w:pPr>
            <w:r w:rsidRPr="000B42C6">
              <w:rPr>
                <w:rFonts w:cs="Arial"/>
                <w:b/>
                <w:bCs/>
                <w:color w:val="000000"/>
                <w:sz w:val="22"/>
                <w:szCs w:val="22"/>
              </w:rPr>
              <w:t>Base care tariff NWAU</w:t>
            </w:r>
          </w:p>
        </w:tc>
      </w:tr>
      <w:tr w:rsidR="005B6916" w:rsidRPr="000B42C6" w:rsidTr="00FE1454">
        <w:trPr>
          <w:trHeight w:val="510"/>
        </w:trPr>
        <w:tc>
          <w:tcPr>
            <w:tcW w:w="1012" w:type="pct"/>
            <w:shd w:val="clear" w:color="auto" w:fill="auto"/>
            <w:hideMark/>
          </w:tcPr>
          <w:p w:rsidR="005B6916" w:rsidRPr="000B42C6" w:rsidRDefault="0006663C" w:rsidP="006D3EB5">
            <w:pPr>
              <w:jc w:val="center"/>
              <w:rPr>
                <w:color w:val="000000"/>
                <w:sz w:val="22"/>
                <w:szCs w:val="22"/>
              </w:rPr>
            </w:pPr>
            <w:r>
              <w:rPr>
                <w:color w:val="000000"/>
                <w:sz w:val="22"/>
                <w:szCs w:val="22"/>
              </w:rPr>
              <w:t xml:space="preserve">Tariff </w:t>
            </w:r>
            <w:r w:rsidR="005B6916" w:rsidRPr="000B42C6">
              <w:rPr>
                <w:color w:val="000000"/>
                <w:sz w:val="22"/>
                <w:szCs w:val="22"/>
              </w:rPr>
              <w:t>1</w:t>
            </w:r>
          </w:p>
        </w:tc>
        <w:tc>
          <w:tcPr>
            <w:tcW w:w="2614" w:type="pct"/>
            <w:shd w:val="clear" w:color="auto" w:fill="auto"/>
            <w:hideMark/>
          </w:tcPr>
          <w:p w:rsidR="005B6916" w:rsidRPr="00EE5457" w:rsidRDefault="005B6916" w:rsidP="006D3EB5">
            <w:pPr>
              <w:rPr>
                <w:rFonts w:cs="Arial"/>
                <w:sz w:val="22"/>
                <w:szCs w:val="22"/>
              </w:rPr>
            </w:pPr>
            <w:r w:rsidRPr="00EE5457">
              <w:rPr>
                <w:rFonts w:cs="Arial"/>
                <w:sz w:val="22"/>
                <w:szCs w:val="22"/>
              </w:rPr>
              <w:t>Indigenous, MMM=7</w:t>
            </w:r>
          </w:p>
        </w:tc>
        <w:tc>
          <w:tcPr>
            <w:tcW w:w="1374" w:type="pct"/>
            <w:shd w:val="clear" w:color="auto" w:fill="auto"/>
            <w:hideMark/>
          </w:tcPr>
          <w:p w:rsidR="005B6916" w:rsidRPr="00EE5457" w:rsidRDefault="005B6916" w:rsidP="004B10E1">
            <w:pPr>
              <w:jc w:val="center"/>
              <w:rPr>
                <w:sz w:val="22"/>
                <w:szCs w:val="22"/>
              </w:rPr>
            </w:pPr>
            <w:r w:rsidRPr="00EE5457">
              <w:rPr>
                <w:sz w:val="22"/>
                <w:szCs w:val="22"/>
              </w:rPr>
              <w:t>1.</w:t>
            </w:r>
            <w:r>
              <w:rPr>
                <w:sz w:val="22"/>
                <w:szCs w:val="22"/>
              </w:rPr>
              <w:t>80</w:t>
            </w:r>
          </w:p>
        </w:tc>
      </w:tr>
      <w:tr w:rsidR="005B6916" w:rsidRPr="000B42C6" w:rsidTr="00FE1454">
        <w:trPr>
          <w:trHeight w:val="510"/>
        </w:trPr>
        <w:tc>
          <w:tcPr>
            <w:tcW w:w="1012" w:type="pct"/>
            <w:shd w:val="clear" w:color="auto" w:fill="auto"/>
            <w:hideMark/>
          </w:tcPr>
          <w:p w:rsidR="005B6916" w:rsidRPr="000B42C6" w:rsidRDefault="0006663C" w:rsidP="006D3EB5">
            <w:pPr>
              <w:jc w:val="center"/>
              <w:rPr>
                <w:color w:val="000000"/>
                <w:sz w:val="22"/>
                <w:szCs w:val="22"/>
              </w:rPr>
            </w:pPr>
            <w:r>
              <w:rPr>
                <w:color w:val="000000"/>
                <w:sz w:val="22"/>
                <w:szCs w:val="22"/>
              </w:rPr>
              <w:t xml:space="preserve">Tariff </w:t>
            </w:r>
            <w:r w:rsidR="005B6916" w:rsidRPr="000B42C6">
              <w:rPr>
                <w:color w:val="000000"/>
                <w:sz w:val="22"/>
                <w:szCs w:val="22"/>
              </w:rPr>
              <w:t>2</w:t>
            </w:r>
          </w:p>
        </w:tc>
        <w:tc>
          <w:tcPr>
            <w:tcW w:w="2614" w:type="pct"/>
            <w:shd w:val="clear" w:color="auto" w:fill="auto"/>
            <w:hideMark/>
          </w:tcPr>
          <w:p w:rsidR="005B6916" w:rsidRPr="000B42C6" w:rsidRDefault="005B6916" w:rsidP="006D3EB5">
            <w:pPr>
              <w:rPr>
                <w:rFonts w:cs="Arial"/>
                <w:color w:val="000000"/>
                <w:sz w:val="22"/>
                <w:szCs w:val="22"/>
              </w:rPr>
            </w:pPr>
            <w:r w:rsidRPr="000B42C6">
              <w:rPr>
                <w:rFonts w:cs="Arial"/>
                <w:color w:val="000000"/>
                <w:sz w:val="22"/>
                <w:szCs w:val="22"/>
              </w:rPr>
              <w:t>Indigenous, MMM=6</w:t>
            </w:r>
          </w:p>
        </w:tc>
        <w:tc>
          <w:tcPr>
            <w:tcW w:w="1374" w:type="pct"/>
            <w:shd w:val="clear" w:color="auto" w:fill="auto"/>
            <w:hideMark/>
          </w:tcPr>
          <w:p w:rsidR="005B6916" w:rsidRPr="000B42C6" w:rsidRDefault="005B6916" w:rsidP="004B10E1">
            <w:pPr>
              <w:jc w:val="center"/>
              <w:rPr>
                <w:rFonts w:cs="Arial"/>
                <w:color w:val="000000"/>
                <w:sz w:val="22"/>
                <w:szCs w:val="22"/>
              </w:rPr>
            </w:pPr>
            <w:r w:rsidRPr="000B42C6">
              <w:rPr>
                <w:rFonts w:cs="Arial"/>
                <w:color w:val="000000"/>
                <w:sz w:val="22"/>
                <w:szCs w:val="22"/>
              </w:rPr>
              <w:t>0.7</w:t>
            </w:r>
            <w:r>
              <w:rPr>
                <w:rFonts w:cs="Arial"/>
                <w:color w:val="000000"/>
                <w:sz w:val="22"/>
                <w:szCs w:val="22"/>
              </w:rPr>
              <w:t>8</w:t>
            </w:r>
          </w:p>
        </w:tc>
      </w:tr>
      <w:tr w:rsidR="005B6916" w:rsidRPr="000B42C6" w:rsidTr="00FE1454">
        <w:trPr>
          <w:trHeight w:val="510"/>
        </w:trPr>
        <w:tc>
          <w:tcPr>
            <w:tcW w:w="1012" w:type="pct"/>
            <w:shd w:val="clear" w:color="auto" w:fill="auto"/>
            <w:hideMark/>
          </w:tcPr>
          <w:p w:rsidR="005B6916" w:rsidRPr="000B42C6" w:rsidRDefault="0006663C" w:rsidP="006D3EB5">
            <w:pPr>
              <w:jc w:val="center"/>
              <w:rPr>
                <w:color w:val="000000"/>
                <w:sz w:val="22"/>
                <w:szCs w:val="22"/>
              </w:rPr>
            </w:pPr>
            <w:r>
              <w:rPr>
                <w:color w:val="000000"/>
                <w:sz w:val="22"/>
                <w:szCs w:val="22"/>
              </w:rPr>
              <w:t xml:space="preserve">Tariff </w:t>
            </w:r>
            <w:r w:rsidR="005B6916" w:rsidRPr="000B42C6">
              <w:rPr>
                <w:color w:val="000000"/>
                <w:sz w:val="22"/>
                <w:szCs w:val="22"/>
              </w:rPr>
              <w:t>3</w:t>
            </w:r>
          </w:p>
        </w:tc>
        <w:tc>
          <w:tcPr>
            <w:tcW w:w="2614" w:type="pct"/>
            <w:shd w:val="clear" w:color="auto" w:fill="auto"/>
            <w:hideMark/>
          </w:tcPr>
          <w:p w:rsidR="005B6916" w:rsidRPr="000B42C6" w:rsidRDefault="005B6916" w:rsidP="006D3EB5">
            <w:pPr>
              <w:rPr>
                <w:rFonts w:cs="Arial"/>
                <w:color w:val="000000"/>
                <w:sz w:val="22"/>
                <w:szCs w:val="22"/>
              </w:rPr>
            </w:pPr>
            <w:r w:rsidRPr="000B42C6">
              <w:rPr>
                <w:rFonts w:cs="Arial"/>
                <w:color w:val="000000"/>
                <w:sz w:val="22"/>
                <w:szCs w:val="22"/>
              </w:rPr>
              <w:t>Non-indigenous, MMM=6-7, &lt; 30 beds</w:t>
            </w:r>
          </w:p>
        </w:tc>
        <w:tc>
          <w:tcPr>
            <w:tcW w:w="1374" w:type="pct"/>
            <w:shd w:val="clear" w:color="auto" w:fill="auto"/>
            <w:hideMark/>
          </w:tcPr>
          <w:p w:rsidR="005B6916" w:rsidRPr="000B42C6" w:rsidRDefault="005B6916" w:rsidP="004B10E1">
            <w:pPr>
              <w:jc w:val="center"/>
              <w:rPr>
                <w:rFonts w:cs="Arial"/>
                <w:color w:val="000000"/>
                <w:sz w:val="22"/>
                <w:szCs w:val="22"/>
              </w:rPr>
            </w:pPr>
            <w:r w:rsidRPr="000B42C6">
              <w:rPr>
                <w:rFonts w:cs="Arial"/>
                <w:color w:val="000000"/>
                <w:sz w:val="22"/>
                <w:szCs w:val="22"/>
              </w:rPr>
              <w:t>0.6</w:t>
            </w:r>
            <w:r>
              <w:rPr>
                <w:rFonts w:cs="Arial"/>
                <w:color w:val="000000"/>
                <w:sz w:val="22"/>
                <w:szCs w:val="22"/>
              </w:rPr>
              <w:t>8</w:t>
            </w:r>
          </w:p>
        </w:tc>
      </w:tr>
      <w:tr w:rsidR="005B6916" w:rsidRPr="000B42C6" w:rsidTr="00FE1454">
        <w:trPr>
          <w:trHeight w:val="510"/>
        </w:trPr>
        <w:tc>
          <w:tcPr>
            <w:tcW w:w="1012" w:type="pct"/>
            <w:shd w:val="clear" w:color="auto" w:fill="auto"/>
            <w:hideMark/>
          </w:tcPr>
          <w:p w:rsidR="005B6916" w:rsidRPr="000B42C6" w:rsidRDefault="0006663C" w:rsidP="006D3EB5">
            <w:pPr>
              <w:jc w:val="center"/>
              <w:rPr>
                <w:color w:val="000000"/>
                <w:sz w:val="22"/>
                <w:szCs w:val="22"/>
              </w:rPr>
            </w:pPr>
            <w:r>
              <w:rPr>
                <w:color w:val="000000"/>
                <w:sz w:val="22"/>
                <w:szCs w:val="22"/>
              </w:rPr>
              <w:t xml:space="preserve">Tariff </w:t>
            </w:r>
            <w:r w:rsidR="005B6916" w:rsidRPr="000B42C6">
              <w:rPr>
                <w:color w:val="000000"/>
                <w:sz w:val="22"/>
                <w:szCs w:val="22"/>
              </w:rPr>
              <w:t>4</w:t>
            </w:r>
          </w:p>
        </w:tc>
        <w:tc>
          <w:tcPr>
            <w:tcW w:w="2614" w:type="pct"/>
            <w:shd w:val="clear" w:color="auto" w:fill="auto"/>
            <w:hideMark/>
          </w:tcPr>
          <w:p w:rsidR="005B6916" w:rsidRPr="000B42C6" w:rsidRDefault="005B6916" w:rsidP="006D3EB5">
            <w:pPr>
              <w:rPr>
                <w:rFonts w:cs="Arial"/>
                <w:color w:val="000000"/>
                <w:sz w:val="22"/>
                <w:szCs w:val="22"/>
              </w:rPr>
            </w:pPr>
            <w:r w:rsidRPr="000B42C6">
              <w:rPr>
                <w:rFonts w:cs="Arial"/>
                <w:color w:val="000000"/>
                <w:sz w:val="22"/>
                <w:szCs w:val="22"/>
              </w:rPr>
              <w:t>Non-indigenous, MMM=6-7, 30+ beds</w:t>
            </w:r>
          </w:p>
        </w:tc>
        <w:tc>
          <w:tcPr>
            <w:tcW w:w="1374" w:type="pct"/>
            <w:shd w:val="clear" w:color="auto" w:fill="auto"/>
            <w:hideMark/>
          </w:tcPr>
          <w:p w:rsidR="005B6916" w:rsidRPr="000B42C6" w:rsidRDefault="005B6916" w:rsidP="004B10E1">
            <w:pPr>
              <w:jc w:val="center"/>
              <w:rPr>
                <w:rFonts w:cs="Arial"/>
                <w:color w:val="000000"/>
                <w:sz w:val="22"/>
                <w:szCs w:val="22"/>
              </w:rPr>
            </w:pPr>
            <w:r w:rsidRPr="000B42C6">
              <w:rPr>
                <w:rFonts w:cs="Arial"/>
                <w:color w:val="000000"/>
                <w:sz w:val="22"/>
                <w:szCs w:val="22"/>
              </w:rPr>
              <w:t>0.5</w:t>
            </w:r>
            <w:r>
              <w:rPr>
                <w:rFonts w:cs="Arial"/>
                <w:color w:val="000000"/>
                <w:sz w:val="22"/>
                <w:szCs w:val="22"/>
              </w:rPr>
              <w:t>2</w:t>
            </w:r>
          </w:p>
        </w:tc>
      </w:tr>
      <w:tr w:rsidR="005B6916" w:rsidRPr="000B42C6" w:rsidTr="00FE1454">
        <w:trPr>
          <w:trHeight w:val="510"/>
        </w:trPr>
        <w:tc>
          <w:tcPr>
            <w:tcW w:w="1012" w:type="pct"/>
            <w:shd w:val="clear" w:color="auto" w:fill="auto"/>
            <w:hideMark/>
          </w:tcPr>
          <w:p w:rsidR="005B6916" w:rsidRPr="000B42C6" w:rsidRDefault="0006663C" w:rsidP="006D3EB5">
            <w:pPr>
              <w:jc w:val="center"/>
              <w:rPr>
                <w:color w:val="000000"/>
                <w:sz w:val="22"/>
                <w:szCs w:val="22"/>
              </w:rPr>
            </w:pPr>
            <w:r>
              <w:rPr>
                <w:color w:val="000000"/>
                <w:sz w:val="22"/>
                <w:szCs w:val="22"/>
              </w:rPr>
              <w:t xml:space="preserve">Tariff </w:t>
            </w:r>
            <w:r w:rsidR="005B6916" w:rsidRPr="000B42C6">
              <w:rPr>
                <w:color w:val="000000"/>
                <w:sz w:val="22"/>
                <w:szCs w:val="22"/>
              </w:rPr>
              <w:t>5</w:t>
            </w:r>
          </w:p>
        </w:tc>
        <w:tc>
          <w:tcPr>
            <w:tcW w:w="2614" w:type="pct"/>
            <w:shd w:val="clear" w:color="auto" w:fill="auto"/>
            <w:hideMark/>
          </w:tcPr>
          <w:p w:rsidR="005B6916" w:rsidRPr="000B42C6" w:rsidRDefault="005B6916" w:rsidP="006D3EB5">
            <w:pPr>
              <w:rPr>
                <w:rFonts w:cs="Arial"/>
                <w:color w:val="000000"/>
                <w:sz w:val="22"/>
                <w:szCs w:val="22"/>
              </w:rPr>
            </w:pPr>
            <w:r>
              <w:rPr>
                <w:rFonts w:cs="Arial"/>
                <w:color w:val="000000"/>
                <w:sz w:val="22"/>
                <w:szCs w:val="22"/>
              </w:rPr>
              <w:t>S</w:t>
            </w:r>
            <w:r w:rsidRPr="000B42C6">
              <w:rPr>
                <w:rFonts w:cs="Arial"/>
                <w:color w:val="000000"/>
                <w:sz w:val="22"/>
                <w:szCs w:val="22"/>
              </w:rPr>
              <w:t xml:space="preserve">pecialised homeless </w:t>
            </w:r>
          </w:p>
        </w:tc>
        <w:tc>
          <w:tcPr>
            <w:tcW w:w="1374" w:type="pct"/>
            <w:shd w:val="clear" w:color="auto" w:fill="auto"/>
            <w:hideMark/>
          </w:tcPr>
          <w:p w:rsidR="005B6916" w:rsidRPr="000B42C6" w:rsidRDefault="005B6916" w:rsidP="004B10E1">
            <w:pPr>
              <w:jc w:val="center"/>
              <w:rPr>
                <w:rFonts w:cs="Arial"/>
                <w:color w:val="000000"/>
                <w:sz w:val="22"/>
                <w:szCs w:val="22"/>
              </w:rPr>
            </w:pPr>
            <w:r w:rsidRPr="000B42C6">
              <w:rPr>
                <w:rFonts w:cs="Arial"/>
                <w:color w:val="000000"/>
                <w:sz w:val="22"/>
                <w:szCs w:val="22"/>
              </w:rPr>
              <w:t>0.</w:t>
            </w:r>
            <w:r>
              <w:rPr>
                <w:rFonts w:cs="Arial"/>
                <w:color w:val="000000"/>
                <w:sz w:val="22"/>
                <w:szCs w:val="22"/>
              </w:rPr>
              <w:t>92</w:t>
            </w:r>
          </w:p>
        </w:tc>
      </w:tr>
      <w:tr w:rsidR="005B6916" w:rsidRPr="000B42C6" w:rsidTr="00FE1454">
        <w:trPr>
          <w:trHeight w:val="510"/>
        </w:trPr>
        <w:tc>
          <w:tcPr>
            <w:tcW w:w="1012" w:type="pct"/>
            <w:shd w:val="clear" w:color="auto" w:fill="auto"/>
            <w:hideMark/>
          </w:tcPr>
          <w:p w:rsidR="005B6916" w:rsidRPr="000B42C6" w:rsidRDefault="0006663C" w:rsidP="006D3EB5">
            <w:pPr>
              <w:jc w:val="center"/>
              <w:rPr>
                <w:color w:val="000000"/>
                <w:sz w:val="22"/>
                <w:szCs w:val="22"/>
              </w:rPr>
            </w:pPr>
            <w:r>
              <w:rPr>
                <w:color w:val="000000"/>
                <w:sz w:val="22"/>
                <w:szCs w:val="22"/>
              </w:rPr>
              <w:t xml:space="preserve">Tariff </w:t>
            </w:r>
            <w:r w:rsidR="005B6916" w:rsidRPr="000B42C6">
              <w:rPr>
                <w:color w:val="000000"/>
                <w:sz w:val="22"/>
                <w:szCs w:val="22"/>
              </w:rPr>
              <w:t>6</w:t>
            </w:r>
          </w:p>
        </w:tc>
        <w:tc>
          <w:tcPr>
            <w:tcW w:w="2614" w:type="pct"/>
            <w:shd w:val="clear" w:color="auto" w:fill="auto"/>
            <w:hideMark/>
          </w:tcPr>
          <w:p w:rsidR="005B6916" w:rsidRPr="000B42C6" w:rsidRDefault="005B6916" w:rsidP="006D3EB5">
            <w:pPr>
              <w:rPr>
                <w:rFonts w:cs="Arial"/>
                <w:color w:val="000000"/>
                <w:sz w:val="22"/>
                <w:szCs w:val="22"/>
              </w:rPr>
            </w:pPr>
            <w:r w:rsidRPr="000B42C6">
              <w:rPr>
                <w:rFonts w:cs="Arial"/>
                <w:color w:val="000000"/>
                <w:sz w:val="22"/>
                <w:szCs w:val="22"/>
              </w:rPr>
              <w:t>All other RACFs</w:t>
            </w:r>
          </w:p>
        </w:tc>
        <w:tc>
          <w:tcPr>
            <w:tcW w:w="1374" w:type="pct"/>
            <w:shd w:val="clear" w:color="auto" w:fill="auto"/>
            <w:hideMark/>
          </w:tcPr>
          <w:p w:rsidR="005B6916" w:rsidRPr="000B42C6" w:rsidRDefault="005B6916" w:rsidP="004B10E1">
            <w:pPr>
              <w:jc w:val="center"/>
              <w:rPr>
                <w:rFonts w:cs="Arial"/>
                <w:color w:val="000000"/>
                <w:sz w:val="22"/>
                <w:szCs w:val="22"/>
              </w:rPr>
            </w:pPr>
            <w:r w:rsidRPr="000B42C6">
              <w:rPr>
                <w:rFonts w:cs="Arial"/>
                <w:color w:val="000000"/>
                <w:sz w:val="22"/>
                <w:szCs w:val="22"/>
              </w:rPr>
              <w:t>0.4</w:t>
            </w:r>
            <w:r>
              <w:rPr>
                <w:rFonts w:cs="Arial"/>
                <w:color w:val="000000"/>
                <w:sz w:val="22"/>
                <w:szCs w:val="22"/>
              </w:rPr>
              <w:t>9</w:t>
            </w:r>
          </w:p>
        </w:tc>
      </w:tr>
      <w:tr w:rsidR="005B6916" w:rsidRPr="000B42C6" w:rsidTr="00FE1454">
        <w:trPr>
          <w:trHeight w:val="510"/>
        </w:trPr>
        <w:tc>
          <w:tcPr>
            <w:tcW w:w="1012" w:type="pct"/>
            <w:shd w:val="clear" w:color="auto" w:fill="auto"/>
          </w:tcPr>
          <w:p w:rsidR="005B6916" w:rsidRPr="000B42C6" w:rsidRDefault="005B6916" w:rsidP="005B6916">
            <w:pPr>
              <w:jc w:val="center"/>
              <w:rPr>
                <w:rFonts w:cs="Arial"/>
                <w:b/>
                <w:bCs/>
                <w:color w:val="000000"/>
                <w:sz w:val="22"/>
                <w:szCs w:val="22"/>
              </w:rPr>
            </w:pPr>
            <w:r w:rsidRPr="000B42C6">
              <w:rPr>
                <w:rFonts w:cs="Arial"/>
                <w:b/>
                <w:bCs/>
                <w:color w:val="000000"/>
                <w:sz w:val="22"/>
                <w:szCs w:val="22"/>
              </w:rPr>
              <w:t>AN-ACC class</w:t>
            </w:r>
          </w:p>
        </w:tc>
        <w:tc>
          <w:tcPr>
            <w:tcW w:w="2614" w:type="pct"/>
            <w:shd w:val="clear" w:color="auto" w:fill="auto"/>
          </w:tcPr>
          <w:p w:rsidR="005B6916" w:rsidRPr="000B42C6" w:rsidRDefault="005B6916" w:rsidP="005B6916">
            <w:pPr>
              <w:rPr>
                <w:rFonts w:cs="Arial"/>
                <w:b/>
                <w:bCs/>
                <w:color w:val="000000"/>
                <w:sz w:val="22"/>
                <w:szCs w:val="22"/>
              </w:rPr>
            </w:pPr>
            <w:r w:rsidRPr="000B42C6">
              <w:rPr>
                <w:rFonts w:cs="Arial"/>
                <w:b/>
                <w:bCs/>
                <w:color w:val="000000"/>
                <w:sz w:val="22"/>
                <w:szCs w:val="22"/>
              </w:rPr>
              <w:t>Resident description</w:t>
            </w:r>
          </w:p>
        </w:tc>
        <w:tc>
          <w:tcPr>
            <w:tcW w:w="1374" w:type="pct"/>
            <w:shd w:val="clear" w:color="auto" w:fill="auto"/>
          </w:tcPr>
          <w:p w:rsidR="005B6916" w:rsidRPr="000B42C6" w:rsidRDefault="005B6916" w:rsidP="005B6916">
            <w:pPr>
              <w:jc w:val="center"/>
              <w:rPr>
                <w:rFonts w:cs="Arial"/>
                <w:b/>
                <w:bCs/>
                <w:color w:val="000000"/>
                <w:sz w:val="22"/>
                <w:szCs w:val="22"/>
              </w:rPr>
            </w:pPr>
            <w:r w:rsidRPr="000B42C6">
              <w:rPr>
                <w:rFonts w:cs="Arial"/>
                <w:b/>
                <w:bCs/>
                <w:color w:val="000000"/>
                <w:sz w:val="22"/>
                <w:szCs w:val="22"/>
              </w:rPr>
              <w:t>AN-ACC NWAU</w:t>
            </w:r>
          </w:p>
        </w:tc>
      </w:tr>
      <w:tr w:rsidR="005B6916" w:rsidRPr="000B42C6" w:rsidTr="00FE1454">
        <w:trPr>
          <w:trHeight w:val="510"/>
        </w:trPr>
        <w:tc>
          <w:tcPr>
            <w:tcW w:w="1012" w:type="pct"/>
            <w:shd w:val="clear" w:color="auto" w:fill="auto"/>
          </w:tcPr>
          <w:p w:rsidR="005B6916" w:rsidRPr="00EE5457" w:rsidRDefault="005B6916" w:rsidP="005B6916">
            <w:pPr>
              <w:jc w:val="center"/>
              <w:rPr>
                <w:sz w:val="22"/>
                <w:szCs w:val="22"/>
              </w:rPr>
            </w:pPr>
            <w:r w:rsidRPr="00EE5457">
              <w:rPr>
                <w:sz w:val="22"/>
                <w:szCs w:val="22"/>
              </w:rPr>
              <w:t>Class 1</w:t>
            </w:r>
          </w:p>
        </w:tc>
        <w:tc>
          <w:tcPr>
            <w:tcW w:w="2614" w:type="pct"/>
            <w:shd w:val="clear" w:color="auto" w:fill="auto"/>
          </w:tcPr>
          <w:p w:rsidR="005B6916" w:rsidRPr="00EE5457" w:rsidRDefault="005B6916" w:rsidP="005B6916">
            <w:pPr>
              <w:rPr>
                <w:sz w:val="22"/>
                <w:szCs w:val="22"/>
              </w:rPr>
            </w:pPr>
            <w:r w:rsidRPr="00EE5457">
              <w:rPr>
                <w:sz w:val="22"/>
                <w:szCs w:val="22"/>
              </w:rPr>
              <w:t>Admit for palliative care</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0.96</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2</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Independent without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0.18</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3</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Independent with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0.30</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4</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Assisted mobility, high cognition, without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0.20</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5</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Assisted mobility, high cognition, with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0.36</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6</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Assisted mobility, medium cognition, without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0.34</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7</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Assisted mobility, medium cognition, with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0.47</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8</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Assisted mobility, low cognition</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0.51</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9</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Not mobile, higher function, without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0.52</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10</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Not mobile, higher function, with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0.83</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11</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Not mobile, lower function, lower pressure sore risk</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0.80</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12</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Not mobile, lower function, higher pressure sore risk, without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0.78</w:t>
            </w:r>
          </w:p>
        </w:tc>
      </w:tr>
      <w:tr w:rsidR="005B6916" w:rsidRPr="000B42C6" w:rsidTr="00FE1454">
        <w:trPr>
          <w:trHeight w:val="510"/>
        </w:trPr>
        <w:tc>
          <w:tcPr>
            <w:tcW w:w="1012" w:type="pct"/>
            <w:shd w:val="clear" w:color="auto" w:fill="auto"/>
          </w:tcPr>
          <w:p w:rsidR="005B6916" w:rsidRPr="000B42C6" w:rsidRDefault="005B6916" w:rsidP="005B6916">
            <w:pPr>
              <w:jc w:val="center"/>
              <w:rPr>
                <w:color w:val="000000"/>
                <w:sz w:val="22"/>
                <w:szCs w:val="22"/>
              </w:rPr>
            </w:pPr>
            <w:r w:rsidRPr="000B42C6">
              <w:rPr>
                <w:color w:val="000000"/>
                <w:sz w:val="22"/>
                <w:szCs w:val="22"/>
              </w:rPr>
              <w:t>Class 13</w:t>
            </w:r>
          </w:p>
        </w:tc>
        <w:tc>
          <w:tcPr>
            <w:tcW w:w="2614" w:type="pct"/>
            <w:shd w:val="clear" w:color="auto" w:fill="auto"/>
          </w:tcPr>
          <w:p w:rsidR="005B6916" w:rsidRPr="000B42C6" w:rsidRDefault="005B6916" w:rsidP="005B6916">
            <w:pPr>
              <w:rPr>
                <w:color w:val="000000"/>
                <w:sz w:val="22"/>
                <w:szCs w:val="22"/>
              </w:rPr>
            </w:pPr>
            <w:r w:rsidRPr="000B42C6">
              <w:rPr>
                <w:color w:val="000000"/>
                <w:sz w:val="22"/>
                <w:szCs w:val="22"/>
              </w:rPr>
              <w:t>Not mobile, lower function, higher pressure sore risk, with CF</w:t>
            </w:r>
          </w:p>
        </w:tc>
        <w:tc>
          <w:tcPr>
            <w:tcW w:w="1374" w:type="pct"/>
            <w:shd w:val="clear" w:color="auto" w:fill="auto"/>
          </w:tcPr>
          <w:p w:rsidR="005B6916" w:rsidRPr="000B42C6" w:rsidRDefault="005B6916" w:rsidP="005B6916">
            <w:pPr>
              <w:jc w:val="center"/>
              <w:rPr>
                <w:color w:val="000000"/>
                <w:sz w:val="22"/>
                <w:szCs w:val="22"/>
              </w:rPr>
            </w:pPr>
            <w:r w:rsidRPr="000B42C6">
              <w:rPr>
                <w:color w:val="000000"/>
                <w:sz w:val="22"/>
                <w:szCs w:val="22"/>
              </w:rPr>
              <w:t>0.96</w:t>
            </w:r>
          </w:p>
        </w:tc>
      </w:tr>
      <w:tr w:rsidR="005B6916" w:rsidRPr="000B42C6" w:rsidTr="00FE1454">
        <w:trPr>
          <w:trHeight w:val="510"/>
        </w:trPr>
        <w:tc>
          <w:tcPr>
            <w:tcW w:w="1012" w:type="pct"/>
            <w:shd w:val="clear" w:color="auto" w:fill="auto"/>
          </w:tcPr>
          <w:p w:rsidR="005B6916" w:rsidRPr="00B07257" w:rsidRDefault="005B6916" w:rsidP="005B6916">
            <w:pPr>
              <w:jc w:val="center"/>
              <w:rPr>
                <w:b/>
                <w:color w:val="000000"/>
                <w:sz w:val="22"/>
                <w:szCs w:val="22"/>
              </w:rPr>
            </w:pPr>
            <w:r w:rsidRPr="00B07257">
              <w:rPr>
                <w:b/>
                <w:color w:val="000000"/>
                <w:sz w:val="22"/>
                <w:szCs w:val="22"/>
              </w:rPr>
              <w:t>Other</w:t>
            </w:r>
            <w:r w:rsidR="0006663C">
              <w:rPr>
                <w:b/>
                <w:color w:val="000000"/>
                <w:sz w:val="22"/>
                <w:szCs w:val="22"/>
              </w:rPr>
              <w:t xml:space="preserve"> payment</w:t>
            </w:r>
            <w:r w:rsidR="000658E3">
              <w:rPr>
                <w:b/>
                <w:color w:val="000000"/>
                <w:sz w:val="22"/>
                <w:szCs w:val="22"/>
              </w:rPr>
              <w:t>s</w:t>
            </w:r>
          </w:p>
        </w:tc>
        <w:tc>
          <w:tcPr>
            <w:tcW w:w="2614" w:type="pct"/>
            <w:shd w:val="clear" w:color="auto" w:fill="auto"/>
          </w:tcPr>
          <w:p w:rsidR="005B6916" w:rsidRPr="00B07257" w:rsidRDefault="00FE1454" w:rsidP="005B6916">
            <w:pPr>
              <w:rPr>
                <w:b/>
                <w:color w:val="000000"/>
                <w:sz w:val="22"/>
                <w:szCs w:val="22"/>
              </w:rPr>
            </w:pPr>
            <w:r>
              <w:rPr>
                <w:b/>
                <w:color w:val="000000"/>
                <w:sz w:val="22"/>
                <w:szCs w:val="22"/>
              </w:rPr>
              <w:t>Payment description</w:t>
            </w:r>
          </w:p>
        </w:tc>
        <w:tc>
          <w:tcPr>
            <w:tcW w:w="1374" w:type="pct"/>
            <w:shd w:val="clear" w:color="auto" w:fill="auto"/>
          </w:tcPr>
          <w:p w:rsidR="005B6916" w:rsidRPr="00B07257" w:rsidRDefault="00556DB6" w:rsidP="00FE1454">
            <w:pPr>
              <w:jc w:val="center"/>
              <w:rPr>
                <w:b/>
                <w:color w:val="000000"/>
                <w:sz w:val="22"/>
                <w:szCs w:val="22"/>
              </w:rPr>
            </w:pPr>
            <w:r>
              <w:rPr>
                <w:b/>
                <w:color w:val="000000"/>
                <w:sz w:val="22"/>
                <w:szCs w:val="22"/>
              </w:rPr>
              <w:t>One-off NWAU</w:t>
            </w:r>
          </w:p>
        </w:tc>
      </w:tr>
      <w:tr w:rsidR="00FE1454" w:rsidRPr="000B42C6" w:rsidTr="00FE1454">
        <w:trPr>
          <w:trHeight w:val="510"/>
        </w:trPr>
        <w:tc>
          <w:tcPr>
            <w:tcW w:w="1012" w:type="pct"/>
            <w:shd w:val="clear" w:color="auto" w:fill="auto"/>
          </w:tcPr>
          <w:p w:rsidR="00FE1454" w:rsidRPr="00FE1454" w:rsidRDefault="00FE1454" w:rsidP="005B6916">
            <w:pPr>
              <w:jc w:val="center"/>
              <w:rPr>
                <w:color w:val="000000"/>
                <w:sz w:val="22"/>
                <w:szCs w:val="22"/>
              </w:rPr>
            </w:pPr>
            <w:r w:rsidRPr="00FE1454">
              <w:rPr>
                <w:color w:val="000000"/>
                <w:sz w:val="22"/>
                <w:szCs w:val="22"/>
              </w:rPr>
              <w:t>Adjustment payment</w:t>
            </w:r>
          </w:p>
        </w:tc>
        <w:tc>
          <w:tcPr>
            <w:tcW w:w="2614" w:type="pct"/>
            <w:shd w:val="clear" w:color="auto" w:fill="auto"/>
          </w:tcPr>
          <w:p w:rsidR="00FE1454" w:rsidRPr="00FE1454" w:rsidRDefault="00FE1454" w:rsidP="00FE1454">
            <w:pPr>
              <w:rPr>
                <w:color w:val="000000"/>
                <w:sz w:val="22"/>
                <w:szCs w:val="22"/>
              </w:rPr>
            </w:pPr>
            <w:r>
              <w:rPr>
                <w:color w:val="000000"/>
                <w:sz w:val="22"/>
                <w:szCs w:val="22"/>
              </w:rPr>
              <w:t>P</w:t>
            </w:r>
            <w:r w:rsidRPr="00FE1454">
              <w:rPr>
                <w:color w:val="000000"/>
                <w:sz w:val="22"/>
                <w:szCs w:val="22"/>
              </w:rPr>
              <w:t>ayment on entry into residential aged care</w:t>
            </w:r>
          </w:p>
          <w:p w:rsidR="00FE1454" w:rsidRPr="00FE1454" w:rsidRDefault="00FE1454" w:rsidP="00FE1454">
            <w:pPr>
              <w:rPr>
                <w:color w:val="000000"/>
                <w:sz w:val="22"/>
                <w:szCs w:val="22"/>
              </w:rPr>
            </w:pPr>
          </w:p>
        </w:tc>
        <w:tc>
          <w:tcPr>
            <w:tcW w:w="1374" w:type="pct"/>
            <w:shd w:val="clear" w:color="auto" w:fill="auto"/>
          </w:tcPr>
          <w:p w:rsidR="00FE1454" w:rsidRPr="00FE1454" w:rsidRDefault="00FE1454" w:rsidP="00FE1454">
            <w:pPr>
              <w:jc w:val="center"/>
              <w:rPr>
                <w:color w:val="000000"/>
                <w:sz w:val="22"/>
                <w:szCs w:val="22"/>
              </w:rPr>
            </w:pPr>
            <w:r w:rsidRPr="00FE1454">
              <w:rPr>
                <w:color w:val="000000"/>
                <w:sz w:val="22"/>
                <w:szCs w:val="22"/>
              </w:rPr>
              <w:t xml:space="preserve">5.28 </w:t>
            </w:r>
          </w:p>
        </w:tc>
      </w:tr>
    </w:tbl>
    <w:p w:rsidR="00B445B6" w:rsidRDefault="00D330A5" w:rsidP="00C63ACD">
      <w:pPr>
        <w:pStyle w:val="Normal-nospacing"/>
        <w:spacing w:before="0" w:after="0"/>
        <w:rPr>
          <w:sz w:val="18"/>
          <w:szCs w:val="18"/>
        </w:rPr>
      </w:pPr>
      <w:r w:rsidRPr="000B42C6">
        <w:rPr>
          <w:sz w:val="18"/>
          <w:szCs w:val="18"/>
        </w:rPr>
        <w:t xml:space="preserve">CF = Compounding Factors (see Report </w:t>
      </w:r>
      <w:r w:rsidR="00997050">
        <w:rPr>
          <w:sz w:val="18"/>
          <w:szCs w:val="18"/>
        </w:rPr>
        <w:t>1</w:t>
      </w:r>
      <w:r w:rsidRPr="000B42C6">
        <w:rPr>
          <w:sz w:val="18"/>
          <w:szCs w:val="18"/>
        </w:rPr>
        <w:t>)</w:t>
      </w:r>
    </w:p>
    <w:p w:rsidR="007C41FE" w:rsidRPr="000B42C6" w:rsidRDefault="007C41FE" w:rsidP="00C63ACD">
      <w:pPr>
        <w:pStyle w:val="Normal-nospacing"/>
        <w:spacing w:before="0" w:after="0"/>
        <w:rPr>
          <w:sz w:val="18"/>
          <w:szCs w:val="18"/>
        </w:rPr>
      </w:pPr>
      <w:r>
        <w:rPr>
          <w:sz w:val="18"/>
          <w:szCs w:val="18"/>
        </w:rPr>
        <w:t xml:space="preserve">MMM = </w:t>
      </w:r>
      <w:r w:rsidRPr="007C41FE">
        <w:rPr>
          <w:sz w:val="18"/>
          <w:szCs w:val="18"/>
        </w:rPr>
        <w:t>Modified Monash Model</w:t>
      </w:r>
      <w:r>
        <w:rPr>
          <w:sz w:val="18"/>
          <w:szCs w:val="18"/>
        </w:rPr>
        <w:t>. A measure of geographic remoteness where 7=most remote and 1=major metropolitan</w:t>
      </w:r>
    </w:p>
    <w:p w:rsidR="00A86E9A" w:rsidRPr="000B42C6" w:rsidRDefault="00B445B6" w:rsidP="001806AE">
      <w:pPr>
        <w:pStyle w:val="Normal-nospacing"/>
        <w:spacing w:before="240" w:after="240"/>
      </w:pPr>
      <w:r w:rsidRPr="000B42C6">
        <w:lastRenderedPageBreak/>
        <w:t>The concept is best illustrated by example. Imagine that the Commonwealth determined that the Commonwealth subsidy for an NWAU of 1.00 would be $100 per day.</w:t>
      </w:r>
      <w:r w:rsidRPr="000B42C6">
        <w:rPr>
          <w:rStyle w:val="FootnoteReference"/>
        </w:rPr>
        <w:footnoteReference w:id="2"/>
      </w:r>
      <w:r w:rsidRPr="000B42C6">
        <w:t xml:space="preserve"> In this example, the following rates would be payable:</w:t>
      </w:r>
    </w:p>
    <w:p w:rsidR="00B445B6" w:rsidRPr="000B42C6" w:rsidRDefault="002678C0" w:rsidP="00B445B6">
      <w:pPr>
        <w:pStyle w:val="Heading4"/>
      </w:pPr>
      <w:r w:rsidRPr="002678C0">
        <w:t>Resident in a very remote (MMM=7) facility with indigenous specialisation is assigned to Class 13. That is, the resident is non-mobile, with low function, at high risk of a pressure sore and with other compounding factors</w:t>
      </w:r>
    </w:p>
    <w:p w:rsidR="00B445B6" w:rsidRPr="000B42C6" w:rsidRDefault="00B445B6" w:rsidP="00B445B6">
      <w:pPr>
        <w:pStyle w:val="Normal-nospacing"/>
      </w:pPr>
      <w:r w:rsidRPr="000B42C6">
        <w:t>Base care tariff = 1.</w:t>
      </w:r>
      <w:r w:rsidR="004B10E1">
        <w:t>80</w:t>
      </w:r>
      <w:r w:rsidRPr="000B42C6">
        <w:t xml:space="preserve"> </w:t>
      </w:r>
      <w:r w:rsidR="003533BB" w:rsidRPr="000B42C6">
        <w:t xml:space="preserve">x $100 </w:t>
      </w:r>
      <w:r w:rsidRPr="000B42C6">
        <w:t>= $1</w:t>
      </w:r>
      <w:r w:rsidR="004B10E1">
        <w:t>80</w:t>
      </w:r>
      <w:r w:rsidR="003533BB" w:rsidRPr="000B42C6">
        <w:t xml:space="preserve"> per day</w:t>
      </w:r>
    </w:p>
    <w:p w:rsidR="00B445B6" w:rsidRPr="000B42C6" w:rsidRDefault="00B445B6" w:rsidP="00B445B6">
      <w:pPr>
        <w:pStyle w:val="Normal-nospacing"/>
      </w:pPr>
      <w:r w:rsidRPr="000B42C6">
        <w:t xml:space="preserve">AN-ACC funding = 0.96 </w:t>
      </w:r>
      <w:r w:rsidR="003533BB" w:rsidRPr="000B42C6">
        <w:t xml:space="preserve">x $100 </w:t>
      </w:r>
      <w:r w:rsidRPr="000B42C6">
        <w:t>= $96</w:t>
      </w:r>
      <w:r w:rsidR="003533BB" w:rsidRPr="000B42C6">
        <w:t xml:space="preserve"> per day</w:t>
      </w:r>
    </w:p>
    <w:p w:rsidR="00B445B6" w:rsidRPr="000B42C6" w:rsidRDefault="00B445B6" w:rsidP="00B445B6">
      <w:pPr>
        <w:pStyle w:val="Normal-nospacing"/>
      </w:pPr>
      <w:r w:rsidRPr="000B42C6">
        <w:t>Total NWAU = 1.</w:t>
      </w:r>
      <w:r w:rsidR="004B10E1">
        <w:t>80</w:t>
      </w:r>
      <w:r w:rsidRPr="000B42C6">
        <w:t>+0.96 = 2.</w:t>
      </w:r>
      <w:r w:rsidR="004B10E1">
        <w:t>76</w:t>
      </w:r>
    </w:p>
    <w:p w:rsidR="00B445B6" w:rsidRPr="000B42C6" w:rsidRDefault="00B445B6" w:rsidP="00B445B6">
      <w:pPr>
        <w:pStyle w:val="Normal-nospacing"/>
      </w:pPr>
      <w:r w:rsidRPr="000B42C6">
        <w:t>Total funding = $2</w:t>
      </w:r>
      <w:r w:rsidR="004B10E1">
        <w:t>76</w:t>
      </w:r>
      <w:r w:rsidRPr="000B42C6">
        <w:t xml:space="preserve"> per day</w:t>
      </w:r>
    </w:p>
    <w:p w:rsidR="006D3EB5" w:rsidRPr="000B42C6" w:rsidRDefault="007776A5" w:rsidP="007776A5">
      <w:pPr>
        <w:pStyle w:val="Heading4"/>
      </w:pPr>
      <w:r w:rsidRPr="000B42C6">
        <w:t xml:space="preserve">Resident in a </w:t>
      </w:r>
      <w:r w:rsidR="00583E07">
        <w:t>residential aged care facility (</w:t>
      </w:r>
      <w:r w:rsidRPr="000B42C6">
        <w:t>RACF</w:t>
      </w:r>
      <w:r w:rsidR="00583E07">
        <w:t>)</w:t>
      </w:r>
      <w:r w:rsidRPr="000B42C6">
        <w:t xml:space="preserve"> that receives base care tariff 6 and who is in Class 2. That is, the resident is a home in a non-remote area and the resident is independent and without compounding factors</w:t>
      </w:r>
    </w:p>
    <w:p w:rsidR="007776A5" w:rsidRPr="000B42C6" w:rsidRDefault="007776A5" w:rsidP="007776A5">
      <w:pPr>
        <w:pStyle w:val="Normal-nospacing"/>
      </w:pPr>
      <w:r w:rsidRPr="000B42C6">
        <w:t>Base care tariff = 0.4</w:t>
      </w:r>
      <w:r w:rsidR="004B10E1">
        <w:t>9</w:t>
      </w:r>
      <w:r w:rsidR="003533BB" w:rsidRPr="000B42C6">
        <w:t xml:space="preserve"> x $100</w:t>
      </w:r>
      <w:r w:rsidRPr="000B42C6">
        <w:t xml:space="preserve"> = $4</w:t>
      </w:r>
      <w:r w:rsidR="004B10E1">
        <w:t>9</w:t>
      </w:r>
      <w:r w:rsidR="003533BB" w:rsidRPr="000B42C6">
        <w:t xml:space="preserve"> per day</w:t>
      </w:r>
    </w:p>
    <w:p w:rsidR="007776A5" w:rsidRPr="000B42C6" w:rsidRDefault="007776A5" w:rsidP="007776A5">
      <w:pPr>
        <w:pStyle w:val="Normal-nospacing"/>
      </w:pPr>
      <w:r w:rsidRPr="000B42C6">
        <w:t xml:space="preserve">AN-ACC funding = 0.18 </w:t>
      </w:r>
      <w:r w:rsidR="003533BB" w:rsidRPr="000B42C6">
        <w:t xml:space="preserve">x $100 </w:t>
      </w:r>
      <w:r w:rsidRPr="000B42C6">
        <w:t>= $18</w:t>
      </w:r>
      <w:r w:rsidR="003533BB" w:rsidRPr="000B42C6">
        <w:t xml:space="preserve"> per day</w:t>
      </w:r>
    </w:p>
    <w:p w:rsidR="007776A5" w:rsidRPr="000B42C6" w:rsidRDefault="007776A5" w:rsidP="007776A5">
      <w:pPr>
        <w:pStyle w:val="Normal-nospacing"/>
      </w:pPr>
      <w:r w:rsidRPr="000B42C6">
        <w:t>Total NWAU = 0</w:t>
      </w:r>
      <w:r w:rsidR="00AD098F" w:rsidRPr="000B42C6">
        <w:t>.</w:t>
      </w:r>
      <w:r w:rsidRPr="000B42C6">
        <w:t>4</w:t>
      </w:r>
      <w:r w:rsidR="004B10E1">
        <w:t>9</w:t>
      </w:r>
      <w:r w:rsidRPr="000B42C6">
        <w:t>+0.18 = 0.6</w:t>
      </w:r>
      <w:r w:rsidR="004B10E1">
        <w:t>7</w:t>
      </w:r>
    </w:p>
    <w:p w:rsidR="007776A5" w:rsidRDefault="007776A5" w:rsidP="001806AE">
      <w:pPr>
        <w:pStyle w:val="Normal-nospacing"/>
        <w:spacing w:after="360"/>
      </w:pPr>
      <w:r w:rsidRPr="000B42C6">
        <w:t>Total funding = $6</w:t>
      </w:r>
      <w:r w:rsidR="004B10E1">
        <w:t>7</w:t>
      </w:r>
      <w:r w:rsidRPr="000B42C6">
        <w:t xml:space="preserve"> per day</w:t>
      </w:r>
    </w:p>
    <w:p w:rsidR="004410D2" w:rsidRPr="000B42C6" w:rsidRDefault="004410D2" w:rsidP="001806AE">
      <w:pPr>
        <w:pStyle w:val="Recommendations"/>
        <w:pBdr>
          <w:top w:val="none" w:sz="0" w:space="0" w:color="auto"/>
          <w:left w:val="none" w:sz="0" w:space="0" w:color="auto"/>
          <w:bottom w:val="none" w:sz="0" w:space="0" w:color="auto"/>
          <w:right w:val="none" w:sz="0" w:space="0" w:color="auto"/>
        </w:pBdr>
      </w:pPr>
    </w:p>
    <w:p w:rsidR="004410D2" w:rsidRPr="000B42C6" w:rsidRDefault="004410D2" w:rsidP="001806AE">
      <w:pPr>
        <w:spacing w:after="480"/>
      </w:pPr>
      <w:r w:rsidRPr="000B42C6">
        <w:t>That the subsidies payable to homes for the care of residents</w:t>
      </w:r>
      <w:r w:rsidR="008E22E0" w:rsidRPr="000B42C6">
        <w:t xml:space="preserve"> consist of three components (base care tariff, AN-ACC payment and adjustment payment)</w:t>
      </w:r>
      <w:r w:rsidRPr="000B42C6">
        <w:t>, each of which is expressed for funding purposes as a National Weighted Activity Unit (N</w:t>
      </w:r>
      <w:r w:rsidR="001806AE">
        <w:t>WAU).</w:t>
      </w:r>
    </w:p>
    <w:p w:rsidR="001A4A47" w:rsidRPr="000B42C6" w:rsidRDefault="001A4A47" w:rsidP="001806AE">
      <w:pPr>
        <w:pStyle w:val="Recommendations"/>
        <w:pBdr>
          <w:top w:val="none" w:sz="0" w:space="0" w:color="auto"/>
          <w:left w:val="none" w:sz="0" w:space="0" w:color="auto"/>
          <w:bottom w:val="none" w:sz="0" w:space="0" w:color="auto"/>
          <w:right w:val="none" w:sz="0" w:space="0" w:color="auto"/>
        </w:pBdr>
      </w:pPr>
    </w:p>
    <w:p w:rsidR="001A4A47" w:rsidRPr="000B42C6" w:rsidRDefault="001A4A47" w:rsidP="001806AE">
      <w:pPr>
        <w:pStyle w:val="Normal-nospacing"/>
        <w:spacing w:after="360"/>
      </w:pPr>
      <w:bookmarkStart w:id="56" w:name="_Toc532311806"/>
      <w:r w:rsidRPr="000B42C6">
        <w:t xml:space="preserve">That there be a specified table of base care tariffs reflecting the structural costs of delivering care in </w:t>
      </w:r>
      <w:r w:rsidR="001806AE">
        <w:t>different types of facilities.</w:t>
      </w:r>
    </w:p>
    <w:p w:rsidR="001A4A47" w:rsidRPr="000B42C6" w:rsidRDefault="001A4A47" w:rsidP="001806AE">
      <w:pPr>
        <w:pStyle w:val="Normal-nospacing"/>
      </w:pPr>
      <w:r w:rsidRPr="000B42C6">
        <w:t xml:space="preserve">These base care tariffs are set out in </w:t>
      </w:r>
      <w:r w:rsidRPr="000B42C6">
        <w:fldChar w:fldCharType="begin"/>
      </w:r>
      <w:r w:rsidRPr="000B42C6">
        <w:instrText xml:space="preserve"> REF _Ref532550952 \h </w:instrText>
      </w:r>
      <w:r w:rsidRPr="000B42C6">
        <w:fldChar w:fldCharType="separate"/>
      </w:r>
      <w:r w:rsidR="004737ED" w:rsidRPr="000B42C6">
        <w:t xml:space="preserve">Table </w:t>
      </w:r>
      <w:r w:rsidR="004737ED">
        <w:rPr>
          <w:noProof/>
        </w:rPr>
        <w:t>1</w:t>
      </w:r>
      <w:r w:rsidRPr="000B42C6">
        <w:fldChar w:fldCharType="end"/>
      </w:r>
      <w:r w:rsidRPr="000B42C6">
        <w:t>.</w:t>
      </w:r>
    </w:p>
    <w:bookmarkEnd w:id="56"/>
    <w:p w:rsidR="001A4A47" w:rsidRPr="000B42C6" w:rsidRDefault="001A4A47" w:rsidP="001806AE">
      <w:pPr>
        <w:pStyle w:val="Recommendations"/>
        <w:pBdr>
          <w:top w:val="none" w:sz="0" w:space="0" w:color="auto"/>
          <w:left w:val="none" w:sz="0" w:space="0" w:color="auto"/>
          <w:bottom w:val="none" w:sz="0" w:space="0" w:color="auto"/>
          <w:right w:val="none" w:sz="0" w:space="0" w:color="auto"/>
        </w:pBdr>
      </w:pPr>
    </w:p>
    <w:p w:rsidR="001A4A47" w:rsidRPr="000B42C6" w:rsidRDefault="001A4A47" w:rsidP="001806AE">
      <w:pPr>
        <w:pStyle w:val="Normal-nospacing"/>
      </w:pPr>
      <w:bookmarkStart w:id="57" w:name="_Toc532311807"/>
      <w:r w:rsidRPr="000B42C6">
        <w:t>That, in residential care facilities in remote areas (MMM 6 or MMM 7), the base tariff be based on approved beds (capacity) with all other base tariffs being based on occupancy</w:t>
      </w:r>
      <w:bookmarkEnd w:id="57"/>
      <w:r w:rsidRPr="000B42C6">
        <w:t>.</w:t>
      </w:r>
    </w:p>
    <w:p w:rsidR="00A86E9A" w:rsidRPr="000B42C6" w:rsidRDefault="00A86E9A" w:rsidP="001A4A47">
      <w:pPr>
        <w:pStyle w:val="Normal-nospacing"/>
        <w:rPr>
          <w:sz w:val="4"/>
          <w:szCs w:val="4"/>
        </w:rPr>
      </w:pPr>
      <w:r w:rsidRPr="000B42C6">
        <w:rPr>
          <w:sz w:val="4"/>
          <w:szCs w:val="4"/>
        </w:rPr>
        <w:br w:type="page"/>
      </w:r>
    </w:p>
    <w:p w:rsidR="00057291" w:rsidRPr="000B42C6" w:rsidRDefault="00057291" w:rsidP="001806AE">
      <w:pPr>
        <w:pStyle w:val="Normal-nospacing"/>
        <w:rPr>
          <w:sz w:val="4"/>
          <w:szCs w:val="4"/>
        </w:rPr>
      </w:pPr>
    </w:p>
    <w:p w:rsidR="001A4A47" w:rsidRPr="000B42C6" w:rsidRDefault="001A4A47" w:rsidP="001806AE">
      <w:pPr>
        <w:pStyle w:val="Recommendations"/>
        <w:pBdr>
          <w:top w:val="none" w:sz="0" w:space="0" w:color="auto"/>
          <w:left w:val="none" w:sz="0" w:space="0" w:color="auto"/>
          <w:bottom w:val="none" w:sz="0" w:space="0" w:color="auto"/>
          <w:right w:val="none" w:sz="0" w:space="0" w:color="auto"/>
        </w:pBdr>
      </w:pPr>
    </w:p>
    <w:p w:rsidR="001A4A47" w:rsidRPr="000B42C6" w:rsidRDefault="001A4A47" w:rsidP="001806AE">
      <w:pPr>
        <w:pStyle w:val="Normal-nospacing"/>
      </w:pPr>
      <w:bookmarkStart w:id="58" w:name="_Toc532311809"/>
      <w:r w:rsidRPr="000B42C6">
        <w:t>That, in addition to the base tariff, homes receive a daily subsidy for each resident based on their AN-ACC class.</w:t>
      </w:r>
      <w:bookmarkEnd w:id="58"/>
    </w:p>
    <w:p w:rsidR="001A4A47" w:rsidRPr="000B42C6" w:rsidRDefault="001A4A47" w:rsidP="001806AE">
      <w:pPr>
        <w:pStyle w:val="Normal-nospacing"/>
        <w:spacing w:before="360" w:after="360"/>
      </w:pPr>
      <w:r w:rsidRPr="000B42C6">
        <w:t xml:space="preserve">The AN-ACC classes are set out in </w:t>
      </w:r>
      <w:r w:rsidRPr="000B42C6">
        <w:fldChar w:fldCharType="begin"/>
      </w:r>
      <w:r w:rsidRPr="000B42C6">
        <w:instrText xml:space="preserve"> REF _Ref532550952 \h </w:instrText>
      </w:r>
      <w:r w:rsidRPr="000B42C6">
        <w:fldChar w:fldCharType="separate"/>
      </w:r>
      <w:r w:rsidR="004737ED" w:rsidRPr="000B42C6">
        <w:t xml:space="preserve">Table </w:t>
      </w:r>
      <w:r w:rsidR="004737ED">
        <w:rPr>
          <w:noProof/>
        </w:rPr>
        <w:t>1</w:t>
      </w:r>
      <w:r w:rsidRPr="000B42C6">
        <w:fldChar w:fldCharType="end"/>
      </w:r>
      <w:r w:rsidRPr="000B42C6">
        <w:t>.</w:t>
      </w:r>
    </w:p>
    <w:p w:rsidR="008E22E0" w:rsidRPr="000B42C6" w:rsidRDefault="008E22E0" w:rsidP="001806AE">
      <w:pPr>
        <w:pStyle w:val="Recommendations"/>
        <w:pBdr>
          <w:top w:val="none" w:sz="0" w:space="0" w:color="auto"/>
          <w:left w:val="none" w:sz="0" w:space="0" w:color="auto"/>
          <w:bottom w:val="none" w:sz="0" w:space="0" w:color="auto"/>
          <w:right w:val="none" w:sz="0" w:space="0" w:color="auto"/>
        </w:pBdr>
      </w:pPr>
    </w:p>
    <w:p w:rsidR="008E22E0" w:rsidRPr="000B42C6" w:rsidRDefault="008E22E0" w:rsidP="001806AE">
      <w:pPr>
        <w:spacing w:after="480"/>
      </w:pPr>
      <w:r w:rsidRPr="000B42C6">
        <w:t xml:space="preserve">That the tariffs, classes and NWAUs set out in </w:t>
      </w:r>
      <w:r w:rsidRPr="000B42C6">
        <w:fldChar w:fldCharType="begin"/>
      </w:r>
      <w:r w:rsidRPr="000B42C6">
        <w:instrText xml:space="preserve"> REF _Ref532550952 \h </w:instrText>
      </w:r>
      <w:r w:rsidRPr="000B42C6">
        <w:fldChar w:fldCharType="separate"/>
      </w:r>
      <w:r w:rsidR="004737ED" w:rsidRPr="000B42C6">
        <w:t xml:space="preserve">Table </w:t>
      </w:r>
      <w:r w:rsidR="004737ED">
        <w:rPr>
          <w:noProof/>
        </w:rPr>
        <w:t>1</w:t>
      </w:r>
      <w:r w:rsidRPr="000B42C6">
        <w:fldChar w:fldCharType="end"/>
      </w:r>
      <w:r w:rsidRPr="000B42C6">
        <w:t xml:space="preserve"> be adopted in the first version of the AN-ACC funding model for residential aged care.</w:t>
      </w:r>
    </w:p>
    <w:p w:rsidR="00A86E9A" w:rsidRPr="000B42C6" w:rsidRDefault="00A86E9A" w:rsidP="00A86E9A">
      <w:pPr>
        <w:pStyle w:val="Heading2"/>
      </w:pPr>
      <w:bookmarkStart w:id="59" w:name="_Toc2005079"/>
      <w:bookmarkStart w:id="60" w:name="_Toc532311800"/>
      <w:bookmarkStart w:id="61" w:name="_Toc532311810"/>
      <w:r w:rsidRPr="000B42C6">
        <w:t>Initial AN-ACC class assignment</w:t>
      </w:r>
      <w:bookmarkEnd w:id="59"/>
    </w:p>
    <w:p w:rsidR="006E51E5" w:rsidRPr="000B42C6" w:rsidRDefault="006E51E5" w:rsidP="006E51E5">
      <w:r w:rsidRPr="000B42C6">
        <w:t>A</w:t>
      </w:r>
      <w:r w:rsidR="00D330A5" w:rsidRPr="000B42C6">
        <w:t xml:space="preserve"> desirable </w:t>
      </w:r>
      <w:r w:rsidRPr="000B42C6">
        <w:t>feature of a funding model for residential aged care is that it does not create incentives for homes to select residents</w:t>
      </w:r>
      <w:r w:rsidR="00441163">
        <w:t xml:space="preserve"> based on their payment class. </w:t>
      </w:r>
      <w:r w:rsidR="00D330A5" w:rsidRPr="000B42C6">
        <w:t>Based on this principle</w:t>
      </w:r>
      <w:r w:rsidRPr="000B42C6">
        <w:t>, it is proposed that, if the AN-ACC class assessment is undertaken prior to entry, the facility is not advised of the resident’s payment class until after the person is in care (no resident selection).</w:t>
      </w:r>
      <w:r w:rsidR="00850146">
        <w:t xml:space="preserve">  The home would, however, continue to receive standard </w:t>
      </w:r>
      <w:r w:rsidR="00583E07">
        <w:t>Aged Care Assessment Team (</w:t>
      </w:r>
      <w:r w:rsidR="00850146">
        <w:t>ACAT</w:t>
      </w:r>
      <w:r w:rsidR="00583E07">
        <w:t>)</w:t>
      </w:r>
      <w:r w:rsidR="00850146">
        <w:t xml:space="preserve"> and referr</w:t>
      </w:r>
      <w:r w:rsidR="00441163">
        <w:t xml:space="preserve">al information as they do now. </w:t>
      </w:r>
      <w:r w:rsidR="00850146">
        <w:t>The only information restriction would be the specific AN-ACC class.</w:t>
      </w:r>
    </w:p>
    <w:p w:rsidR="00A86E9A" w:rsidRPr="000B42C6" w:rsidRDefault="00A86E9A" w:rsidP="00441163">
      <w:pPr>
        <w:pStyle w:val="Recommendations"/>
        <w:pBdr>
          <w:top w:val="none" w:sz="0" w:space="0" w:color="auto"/>
          <w:left w:val="none" w:sz="0" w:space="0" w:color="auto"/>
          <w:bottom w:val="none" w:sz="0" w:space="0" w:color="auto"/>
          <w:right w:val="none" w:sz="0" w:space="0" w:color="auto"/>
        </w:pBdr>
      </w:pPr>
    </w:p>
    <w:p w:rsidR="006E51E5" w:rsidRPr="000B42C6" w:rsidRDefault="006E51E5" w:rsidP="00441163">
      <w:pPr>
        <w:spacing w:after="480"/>
      </w:pPr>
      <w:r w:rsidRPr="000B42C6">
        <w:t xml:space="preserve">That residential aged care facilities not be advised of the resident’s </w:t>
      </w:r>
      <w:r w:rsidR="00850146">
        <w:t xml:space="preserve">exact AN-ACC </w:t>
      </w:r>
      <w:r w:rsidRPr="000B42C6">
        <w:t>class until after the person is in care.</w:t>
      </w:r>
    </w:p>
    <w:p w:rsidR="00A86E9A" w:rsidRPr="000B42C6" w:rsidRDefault="00A86E9A" w:rsidP="00441163">
      <w:pPr>
        <w:pStyle w:val="Recommendations"/>
        <w:pBdr>
          <w:top w:val="none" w:sz="0" w:space="0" w:color="auto"/>
          <w:left w:val="none" w:sz="0" w:space="0" w:color="auto"/>
          <w:bottom w:val="none" w:sz="0" w:space="0" w:color="auto"/>
          <w:right w:val="none" w:sz="0" w:space="0" w:color="auto"/>
        </w:pBdr>
      </w:pPr>
    </w:p>
    <w:p w:rsidR="00A86E9A" w:rsidRPr="000B42C6" w:rsidRDefault="006E51E5" w:rsidP="00441163">
      <w:pPr>
        <w:spacing w:after="360"/>
      </w:pPr>
      <w:r w:rsidRPr="000B42C6">
        <w:t xml:space="preserve">That the default payment class at </w:t>
      </w:r>
      <w:r w:rsidR="00A86E9A" w:rsidRPr="000B42C6">
        <w:t xml:space="preserve">entry </w:t>
      </w:r>
      <w:r w:rsidRPr="000B42C6">
        <w:t xml:space="preserve">be </w:t>
      </w:r>
      <w:r w:rsidR="00A86E9A" w:rsidRPr="000B42C6">
        <w:t>Class 2. Payments are retrospectively adjusted to the date of entry once the assessment is undertaken</w:t>
      </w:r>
      <w:r w:rsidRPr="000B42C6">
        <w:t>.</w:t>
      </w:r>
    </w:p>
    <w:p w:rsidR="00D71E13" w:rsidRPr="000B42C6" w:rsidRDefault="00D71E13" w:rsidP="001D2CDD">
      <w:pPr>
        <w:pStyle w:val="Heading2"/>
      </w:pPr>
      <w:bookmarkStart w:id="62" w:name="_Toc2005080"/>
      <w:r w:rsidRPr="000B42C6">
        <w:t>Adjustment payment on entry into residential aged care</w:t>
      </w:r>
      <w:bookmarkEnd w:id="60"/>
      <w:bookmarkEnd w:id="62"/>
    </w:p>
    <w:p w:rsidR="00D71E13" w:rsidRPr="000B42C6" w:rsidRDefault="009E3279" w:rsidP="009E3279">
      <w:pPr>
        <w:pStyle w:val="Normal-nospacing"/>
      </w:pPr>
      <w:bookmarkStart w:id="63" w:name="_Toc532311802"/>
      <w:r w:rsidRPr="000B42C6">
        <w:t>An important feat</w:t>
      </w:r>
      <w:r w:rsidR="00CD7A67" w:rsidRPr="000B42C6">
        <w:t>u</w:t>
      </w:r>
      <w:r w:rsidRPr="000B42C6">
        <w:t>re of the proposed AN-ACC funding model is the inclusion of a one-off adjustment payment for each resident when they first enter residential aged care. This one-off adjustment payment recognises that there are additional, but time-limited, resource requirements when someone initially enters residential care.</w:t>
      </w:r>
      <w:bookmarkEnd w:id="63"/>
    </w:p>
    <w:p w:rsidR="00126964" w:rsidRDefault="00126964" w:rsidP="003C3E20">
      <w:pPr>
        <w:pStyle w:val="Normal-nospacing"/>
      </w:pPr>
      <w:r>
        <w:br w:type="page"/>
      </w:r>
    </w:p>
    <w:p w:rsidR="003C3E20" w:rsidRPr="000B42C6" w:rsidRDefault="00CD7A67" w:rsidP="003C3E20">
      <w:pPr>
        <w:pStyle w:val="Normal-nospacing"/>
      </w:pPr>
      <w:r w:rsidRPr="000B42C6">
        <w:lastRenderedPageBreak/>
        <w:t>These time</w:t>
      </w:r>
      <w:r w:rsidR="003C3E20" w:rsidRPr="000B42C6">
        <w:t xml:space="preserve">-limited </w:t>
      </w:r>
      <w:r w:rsidRPr="000B42C6">
        <w:t xml:space="preserve">additional </w:t>
      </w:r>
      <w:r w:rsidR="003C3E20" w:rsidRPr="000B42C6">
        <w:t xml:space="preserve">costs </w:t>
      </w:r>
      <w:r w:rsidR="0015738A" w:rsidRPr="000B42C6">
        <w:t>cover the following activities</w:t>
      </w:r>
      <w:r w:rsidR="003C3E20" w:rsidRPr="000B42C6">
        <w:t>:</w:t>
      </w:r>
    </w:p>
    <w:p w:rsidR="003C3E20" w:rsidRPr="000B42C6" w:rsidRDefault="00997050" w:rsidP="00CD7A67">
      <w:pPr>
        <w:pStyle w:val="Bullets"/>
      </w:pPr>
      <w:r>
        <w:t>t</w:t>
      </w:r>
      <w:r w:rsidR="003C3E20" w:rsidRPr="000B42C6">
        <w:t>ime spent getting to know the resident and their family</w:t>
      </w:r>
    </w:p>
    <w:p w:rsidR="003C3E20" w:rsidRPr="000B42C6" w:rsidRDefault="00997050" w:rsidP="00CD7A67">
      <w:pPr>
        <w:pStyle w:val="Bullets"/>
      </w:pPr>
      <w:r>
        <w:t>i</w:t>
      </w:r>
      <w:r w:rsidR="003C3E20" w:rsidRPr="000B42C6">
        <w:t>ndividualised care planning</w:t>
      </w:r>
    </w:p>
    <w:p w:rsidR="003C3E20" w:rsidRPr="000B42C6" w:rsidRDefault="00997050" w:rsidP="00CD7A67">
      <w:pPr>
        <w:pStyle w:val="Bullets"/>
      </w:pPr>
      <w:r>
        <w:t>b</w:t>
      </w:r>
      <w:r w:rsidR="003C3E20" w:rsidRPr="000B42C6">
        <w:t>ehaviour management</w:t>
      </w:r>
    </w:p>
    <w:p w:rsidR="003C3E20" w:rsidRPr="000B42C6" w:rsidRDefault="00997050" w:rsidP="00CD7A67">
      <w:pPr>
        <w:pStyle w:val="Bullets"/>
      </w:pPr>
      <w:r>
        <w:t>h</w:t>
      </w:r>
      <w:r w:rsidR="003C3E20" w:rsidRPr="000B42C6">
        <w:t>ealth care assessments</w:t>
      </w:r>
    </w:p>
    <w:p w:rsidR="003C3E20" w:rsidRPr="000B42C6" w:rsidRDefault="00997050" w:rsidP="0015738A">
      <w:pPr>
        <w:pStyle w:val="Bullets"/>
      </w:pPr>
      <w:r>
        <w:t>f</w:t>
      </w:r>
      <w:r w:rsidR="003C3E20" w:rsidRPr="000B42C6">
        <w:t>acilitating health care arising from assessments</w:t>
      </w:r>
      <w:r w:rsidR="0015738A" w:rsidRPr="000B42C6">
        <w:t xml:space="preserve"> (including p</w:t>
      </w:r>
      <w:r w:rsidR="003C3E20" w:rsidRPr="000B42C6">
        <w:t>ain</w:t>
      </w:r>
      <w:r w:rsidR="00CD7A67" w:rsidRPr="000B42C6">
        <w:t xml:space="preserve"> management</w:t>
      </w:r>
      <w:r w:rsidR="003C3E20" w:rsidRPr="000B42C6">
        <w:t xml:space="preserve">, dental care, palliative care </w:t>
      </w:r>
      <w:r w:rsidR="00CD7A67" w:rsidRPr="000B42C6">
        <w:t>and other issues that need attention</w:t>
      </w:r>
      <w:r w:rsidR="0015738A" w:rsidRPr="000B42C6">
        <w:t>)</w:t>
      </w:r>
    </w:p>
    <w:p w:rsidR="009E3279" w:rsidRPr="000B42C6" w:rsidRDefault="00997050" w:rsidP="00CD7A67">
      <w:pPr>
        <w:pStyle w:val="Bullets"/>
      </w:pPr>
      <w:r>
        <w:t>d</w:t>
      </w:r>
      <w:r w:rsidR="003C3E20" w:rsidRPr="000B42C6">
        <w:t>eveloping an advanced care directive in partnership with the resident and their family</w:t>
      </w:r>
      <w:r w:rsidR="00F55C42">
        <w:t>.</w:t>
      </w:r>
    </w:p>
    <w:p w:rsidR="00D71E13" w:rsidRPr="000B42C6" w:rsidRDefault="00CD7A67" w:rsidP="00CD7A67">
      <w:pPr>
        <w:pStyle w:val="Normal-nospacing"/>
      </w:pPr>
      <w:r w:rsidRPr="000B42C6">
        <w:t>This one-off payment relates only to an initial admission into residential aged</w:t>
      </w:r>
      <w:r w:rsidR="00441163">
        <w:t xml:space="preserve"> care. </w:t>
      </w:r>
      <w:r w:rsidRPr="000B42C6">
        <w:t>An adjustment payment is not payable if a resident t</w:t>
      </w:r>
      <w:r w:rsidR="00D71E13" w:rsidRPr="000B42C6">
        <w:t xml:space="preserve">ransfers </w:t>
      </w:r>
      <w:r w:rsidRPr="000B42C6">
        <w:t>between homes</w:t>
      </w:r>
      <w:r w:rsidR="00441163">
        <w:t>.</w:t>
      </w:r>
      <w:r w:rsidRPr="000B42C6">
        <w:t xml:space="preserve"> Consistent with principles of consumer-directed care, n</w:t>
      </w:r>
      <w:r w:rsidR="00D71E13" w:rsidRPr="000B42C6">
        <w:t>eeds assessments and care plans should follow the resident</w:t>
      </w:r>
      <w:r w:rsidRPr="000B42C6">
        <w:t xml:space="preserve"> if they move between facilities.</w:t>
      </w:r>
    </w:p>
    <w:p w:rsidR="00CD7A67" w:rsidRPr="000B42C6" w:rsidRDefault="00CD7A67" w:rsidP="00CD7A67">
      <w:pPr>
        <w:pStyle w:val="Normal-nospacing"/>
      </w:pPr>
      <w:r w:rsidRPr="000B42C6">
        <w:t xml:space="preserve">Analysis of resource utilisation data collected in Study One demonstrates that costs are indeed higher in </w:t>
      </w:r>
      <w:r w:rsidR="00441163">
        <w:t xml:space="preserve">the initial adjustment period. </w:t>
      </w:r>
      <w:r w:rsidRPr="000B42C6">
        <w:t>These additional costs vary slightly by branch and the adjustment period is longer for</w:t>
      </w:r>
      <w:r w:rsidR="00441163">
        <w:t xml:space="preserve"> some classes than for others. </w:t>
      </w:r>
      <w:r w:rsidRPr="000B42C6">
        <w:t>However, these variations are not sufficient to justify</w:t>
      </w:r>
      <w:r w:rsidR="00441163">
        <w:t xml:space="preserve"> different adjustment payments.</w:t>
      </w:r>
    </w:p>
    <w:p w:rsidR="00CD7A67" w:rsidRDefault="00CD7A67" w:rsidP="00441163">
      <w:pPr>
        <w:pStyle w:val="Normal-nospacing"/>
        <w:spacing w:after="360"/>
      </w:pPr>
      <w:r w:rsidRPr="000B42C6">
        <w:t>Instead, one adjustment payment is proposed for all branches and for all classes (including the palliative care class). Based on the resource data in Study One, this adju</w:t>
      </w:r>
      <w:r w:rsidR="0015738A" w:rsidRPr="000B42C6">
        <w:t xml:space="preserve">stment payment is based on an average </w:t>
      </w:r>
      <w:r w:rsidR="00441163">
        <w:t xml:space="preserve">adjustment period of 16 weeks. </w:t>
      </w:r>
      <w:r w:rsidR="0015738A" w:rsidRPr="000B42C6">
        <w:t>However, the 16 weeks is an average and it is not expected that the adjustment period for each resident would be 16 weeks.  This is a one-off lump sum adjustment payment to cover the whole initial adjustment period after the resident first enters care.</w:t>
      </w:r>
    </w:p>
    <w:p w:rsidR="00D71E13" w:rsidRPr="000B42C6" w:rsidRDefault="00D71E13" w:rsidP="00441163">
      <w:pPr>
        <w:pStyle w:val="Recommendations"/>
        <w:pBdr>
          <w:top w:val="none" w:sz="0" w:space="0" w:color="auto"/>
          <w:left w:val="none" w:sz="0" w:space="0" w:color="auto"/>
          <w:bottom w:val="none" w:sz="0" w:space="0" w:color="auto"/>
          <w:right w:val="none" w:sz="0" w:space="0" w:color="auto"/>
        </w:pBdr>
      </w:pPr>
    </w:p>
    <w:p w:rsidR="0015738A" w:rsidRPr="000B42C6" w:rsidRDefault="0015738A" w:rsidP="00441163">
      <w:pPr>
        <w:spacing w:after="480"/>
      </w:pPr>
      <w:r w:rsidRPr="000B42C6">
        <w:t>That the one-off adjustment payment be set at 5.</w:t>
      </w:r>
      <w:r w:rsidR="007C41FE">
        <w:t>28</w:t>
      </w:r>
      <w:r w:rsidRPr="000B42C6">
        <w:t xml:space="preserve"> NWAUs.</w:t>
      </w:r>
    </w:p>
    <w:p w:rsidR="00377382" w:rsidRPr="000B42C6" w:rsidRDefault="00377382" w:rsidP="00441163">
      <w:pPr>
        <w:pStyle w:val="Recommendations"/>
        <w:pBdr>
          <w:top w:val="none" w:sz="0" w:space="0" w:color="auto"/>
          <w:left w:val="none" w:sz="0" w:space="0" w:color="auto"/>
          <w:bottom w:val="none" w:sz="0" w:space="0" w:color="auto"/>
          <w:right w:val="none" w:sz="0" w:space="0" w:color="auto"/>
        </w:pBdr>
      </w:pPr>
      <w:bookmarkStart w:id="64" w:name="_Toc532311811"/>
      <w:bookmarkEnd w:id="61"/>
    </w:p>
    <w:p w:rsidR="00377382" w:rsidRPr="000B42C6" w:rsidRDefault="00377382" w:rsidP="00441163">
      <w:pPr>
        <w:spacing w:after="1080"/>
      </w:pPr>
      <w:r w:rsidRPr="000B42C6">
        <w:t xml:space="preserve">That the </w:t>
      </w:r>
      <w:r>
        <w:t>Commonwealth, working through the Department of Health and the A</w:t>
      </w:r>
      <w:r w:rsidRPr="005D7725">
        <w:t>ged Care Quality and Safety Commission</w:t>
      </w:r>
      <w:r>
        <w:t>, build strong accountability into the system to ensure that the adjustment payment be used for the intended purpose, not added to the bottom line and not contracted out to third party providers.</w:t>
      </w:r>
    </w:p>
    <w:p w:rsidR="00142123" w:rsidRPr="000B42C6" w:rsidRDefault="00142123" w:rsidP="001D2CDD">
      <w:pPr>
        <w:pStyle w:val="Heading2"/>
      </w:pPr>
      <w:bookmarkStart w:id="65" w:name="_Toc2005081"/>
      <w:r w:rsidRPr="000B42C6">
        <w:lastRenderedPageBreak/>
        <w:t>Commonwealth payments and supplements in the new AN-ACC funding model</w:t>
      </w:r>
      <w:bookmarkEnd w:id="64"/>
      <w:bookmarkEnd w:id="65"/>
    </w:p>
    <w:p w:rsidR="00F667C8" w:rsidRPr="00F005A9" w:rsidRDefault="000B42C6" w:rsidP="00DA0373">
      <w:pPr>
        <w:pStyle w:val="Normal-nospacing"/>
      </w:pPr>
      <w:r w:rsidRPr="00494E32">
        <w:t>T</w:t>
      </w:r>
      <w:r w:rsidRPr="00F005A9">
        <w:t xml:space="preserve">he core of the current funding model is a daily payment based on the ACFI. </w:t>
      </w:r>
      <w:r w:rsidR="00F667C8" w:rsidRPr="00F005A9">
        <w:t xml:space="preserve">In addition to core ACFI payments, there </w:t>
      </w:r>
      <w:r w:rsidRPr="00F005A9">
        <w:t xml:space="preserve">are a series of </w:t>
      </w:r>
      <w:r w:rsidR="00494E32" w:rsidRPr="00F005A9">
        <w:t>supplements th</w:t>
      </w:r>
      <w:r w:rsidR="00441163">
        <w:t>at have evolved over the years.</w:t>
      </w:r>
    </w:p>
    <w:p w:rsidR="00F005A9" w:rsidRDefault="00B24BB7" w:rsidP="00B24BB7">
      <w:pPr>
        <w:pStyle w:val="Normal-nospacing"/>
      </w:pPr>
      <w:r w:rsidRPr="00F005A9">
        <w:t xml:space="preserve">All but one of these supplements relate to </w:t>
      </w:r>
      <w:r w:rsidR="00A5798F">
        <w:t xml:space="preserve">the </w:t>
      </w:r>
      <w:r w:rsidRPr="00F005A9">
        <w:t xml:space="preserve">care </w:t>
      </w:r>
      <w:r w:rsidR="00A5798F">
        <w:t>that is in scope for AN-ACC (that is, care currently funded via the ACFI)</w:t>
      </w:r>
      <w:r w:rsidRPr="00F005A9">
        <w:t xml:space="preserve">. The one exception </w:t>
      </w:r>
      <w:r w:rsidR="00D60117" w:rsidRPr="00F005A9">
        <w:t>is</w:t>
      </w:r>
      <w:r w:rsidR="00F005A9" w:rsidRPr="00F005A9">
        <w:t xml:space="preserve"> </w:t>
      </w:r>
      <w:r w:rsidRPr="00F005A9">
        <w:t>‘viability supplement</w:t>
      </w:r>
      <w:r w:rsidR="00F005A9" w:rsidRPr="00F005A9">
        <w:t>s</w:t>
      </w:r>
      <w:r w:rsidRPr="00F005A9">
        <w:t xml:space="preserve">’ </w:t>
      </w:r>
      <w:r w:rsidR="00F005A9" w:rsidRPr="00F005A9">
        <w:t xml:space="preserve">that relate to hotel </w:t>
      </w:r>
      <w:r w:rsidR="00A5798F">
        <w:t xml:space="preserve">and other support </w:t>
      </w:r>
      <w:r w:rsidR="00F005A9" w:rsidRPr="00F005A9">
        <w:t xml:space="preserve">costs. </w:t>
      </w:r>
      <w:r w:rsidR="00A5798F">
        <w:t xml:space="preserve">These are out of the scope of the </w:t>
      </w:r>
      <w:r w:rsidR="00441163">
        <w:t>AN-ACC model.</w:t>
      </w:r>
    </w:p>
    <w:p w:rsidR="00B24BB7" w:rsidRPr="00494E32" w:rsidRDefault="00F005A9" w:rsidP="00DA0373">
      <w:pPr>
        <w:pStyle w:val="Normal-nospacing"/>
      </w:pPr>
      <w:r>
        <w:t>Setting aside viability supplements, a</w:t>
      </w:r>
      <w:r w:rsidR="00B24BB7" w:rsidRPr="00494E32">
        <w:t xml:space="preserve"> key question is which of the</w:t>
      </w:r>
      <w:r>
        <w:t xml:space="preserve"> existing care supplements </w:t>
      </w:r>
      <w:r w:rsidR="00B24BB7" w:rsidRPr="00494E32">
        <w:t xml:space="preserve">are incorporated into </w:t>
      </w:r>
      <w:r w:rsidR="00952673">
        <w:t xml:space="preserve">the </w:t>
      </w:r>
      <w:r w:rsidR="00B24BB7" w:rsidRPr="00494E32">
        <w:t xml:space="preserve">AN-ACC payment model and which, if any, need to continue. </w:t>
      </w:r>
      <w:r w:rsidR="00B24BB7">
        <w:t xml:space="preserve"> Each subsidy is considered in turn below.</w:t>
      </w:r>
    </w:p>
    <w:p w:rsidR="00494E32" w:rsidRPr="00494E32" w:rsidRDefault="00494E32" w:rsidP="0036206F">
      <w:pPr>
        <w:pStyle w:val="Heading3"/>
      </w:pPr>
      <w:bookmarkStart w:id="66" w:name="_Toc2005082"/>
      <w:r>
        <w:t xml:space="preserve">Subsidies that </w:t>
      </w:r>
      <w:r w:rsidR="008865FA">
        <w:t>become</w:t>
      </w:r>
      <w:r>
        <w:t xml:space="preserve"> redundant in the AN-ACC model</w:t>
      </w:r>
      <w:bookmarkEnd w:id="66"/>
    </w:p>
    <w:p w:rsidR="00494E32" w:rsidRPr="00494E32" w:rsidRDefault="00494E32" w:rsidP="00494E32">
      <w:pPr>
        <w:pStyle w:val="Heading4"/>
      </w:pPr>
      <w:bookmarkStart w:id="67" w:name="_Toc532311819"/>
      <w:r w:rsidRPr="00494E32">
        <w:t>Homeless Supplement</w:t>
      </w:r>
      <w:bookmarkEnd w:id="67"/>
    </w:p>
    <w:p w:rsidR="00494E32" w:rsidRDefault="00A5798F" w:rsidP="00494E32">
      <w:pPr>
        <w:pStyle w:val="Normal-nospacing"/>
      </w:pPr>
      <w:r>
        <w:t>T</w:t>
      </w:r>
      <w:r w:rsidR="00596241" w:rsidRPr="00596241">
        <w:t xml:space="preserve">here is a separate </w:t>
      </w:r>
      <w:r w:rsidR="00494E32" w:rsidRPr="00596241">
        <w:t xml:space="preserve">subsidy </w:t>
      </w:r>
      <w:r w:rsidR="00596241" w:rsidRPr="00596241">
        <w:t>for facilities designated for homeless residents</w:t>
      </w:r>
      <w:r w:rsidR="008865FA">
        <w:t xml:space="preserve"> in the current model</w:t>
      </w:r>
      <w:r w:rsidR="00596241" w:rsidRPr="00596241">
        <w:t xml:space="preserve">.  The results of the </w:t>
      </w:r>
      <w:r w:rsidR="00F55C42">
        <w:t>RUCS</w:t>
      </w:r>
      <w:r w:rsidR="00596241" w:rsidRPr="00596241">
        <w:t xml:space="preserve"> costing study</w:t>
      </w:r>
      <w:r w:rsidR="00494E32" w:rsidRPr="00596241">
        <w:t xml:space="preserve"> </w:t>
      </w:r>
      <w:r w:rsidR="00596241" w:rsidRPr="00596241">
        <w:t xml:space="preserve">support a separate approach for </w:t>
      </w:r>
      <w:r w:rsidR="008865FA">
        <w:t>facilities</w:t>
      </w:r>
      <w:r w:rsidR="00596241" w:rsidRPr="00596241">
        <w:t xml:space="preserve"> s</w:t>
      </w:r>
      <w:r w:rsidR="00441163">
        <w:t>pecialising in homeless people.</w:t>
      </w:r>
      <w:r w:rsidR="00596241" w:rsidRPr="00596241">
        <w:t xml:space="preserve"> </w:t>
      </w:r>
      <w:r w:rsidR="008865FA">
        <w:t>However, rather than payment of a s</w:t>
      </w:r>
      <w:r w:rsidR="00494E32" w:rsidRPr="00596241">
        <w:t>upplement</w:t>
      </w:r>
      <w:r w:rsidR="008865FA">
        <w:t>,</w:t>
      </w:r>
      <w:r w:rsidR="00596241" w:rsidRPr="00596241">
        <w:t xml:space="preserve"> the base care tariff in the new AN-ACC funding model includes a loading</w:t>
      </w:r>
      <w:r w:rsidR="00596241">
        <w:t xml:space="preserve"> for designated facilities specialising in homeless people</w:t>
      </w:r>
      <w:r w:rsidR="0036206F">
        <w:t xml:space="preserve"> (see </w:t>
      </w:r>
      <w:r w:rsidR="0036206F">
        <w:fldChar w:fldCharType="begin"/>
      </w:r>
      <w:r w:rsidR="0036206F">
        <w:instrText xml:space="preserve"> REF _Ref532550952 \h </w:instrText>
      </w:r>
      <w:r w:rsidR="0036206F">
        <w:fldChar w:fldCharType="separate"/>
      </w:r>
      <w:r w:rsidR="004737ED" w:rsidRPr="000B42C6">
        <w:t xml:space="preserve">Table </w:t>
      </w:r>
      <w:r w:rsidR="004737ED">
        <w:rPr>
          <w:noProof/>
        </w:rPr>
        <w:t>1</w:t>
      </w:r>
      <w:r w:rsidR="0036206F">
        <w:fldChar w:fldCharType="end"/>
      </w:r>
      <w:r w:rsidR="0036206F">
        <w:t xml:space="preserve">, page </w:t>
      </w:r>
      <w:r w:rsidR="0036206F">
        <w:fldChar w:fldCharType="begin"/>
      </w:r>
      <w:r w:rsidR="0036206F">
        <w:instrText xml:space="preserve"> PAGEREF _Ref533071277 \h </w:instrText>
      </w:r>
      <w:r w:rsidR="0036206F">
        <w:fldChar w:fldCharType="separate"/>
      </w:r>
      <w:r w:rsidR="004737ED">
        <w:rPr>
          <w:noProof/>
        </w:rPr>
        <w:t>12</w:t>
      </w:r>
      <w:r w:rsidR="0036206F">
        <w:fldChar w:fldCharType="end"/>
      </w:r>
      <w:r w:rsidR="0036206F">
        <w:t>)</w:t>
      </w:r>
      <w:r>
        <w:t>.</w:t>
      </w:r>
      <w:r w:rsidR="0036206F">
        <w:t xml:space="preserve"> </w:t>
      </w:r>
      <w:r w:rsidR="00596241">
        <w:t>The s</w:t>
      </w:r>
      <w:r w:rsidR="00596241" w:rsidRPr="00F667C8">
        <w:t xml:space="preserve">eparate </w:t>
      </w:r>
      <w:r w:rsidR="00596241">
        <w:t>homeless supplement therefore becomes redundant</w:t>
      </w:r>
      <w:r w:rsidR="00596241" w:rsidRPr="00F667C8">
        <w:t>.</w:t>
      </w:r>
    </w:p>
    <w:p w:rsidR="00F667C8" w:rsidRPr="00F667C8" w:rsidRDefault="00F667C8" w:rsidP="00F667C8">
      <w:pPr>
        <w:pStyle w:val="Heading4"/>
      </w:pPr>
      <w:bookmarkStart w:id="68" w:name="_Toc532311817"/>
      <w:r w:rsidRPr="00F667C8">
        <w:t>Adjusted Subsidy Reduction</w:t>
      </w:r>
      <w:bookmarkEnd w:id="68"/>
    </w:p>
    <w:p w:rsidR="00F667C8" w:rsidRPr="000B42C6" w:rsidRDefault="00596241" w:rsidP="00494E32">
      <w:pPr>
        <w:pStyle w:val="Normal-nospacing"/>
      </w:pPr>
      <w:r w:rsidRPr="00596241">
        <w:t xml:space="preserve">The </w:t>
      </w:r>
      <w:r w:rsidR="00F55C42">
        <w:t>RUCS</w:t>
      </w:r>
      <w:r w:rsidRPr="00596241">
        <w:t xml:space="preserve"> costing study </w:t>
      </w:r>
      <w:r>
        <w:t xml:space="preserve">(Study Two) </w:t>
      </w:r>
      <w:r w:rsidRPr="00596241">
        <w:t xml:space="preserve">included a sample of government-run facilities. However, their costs were excluded from Report </w:t>
      </w:r>
      <w:r w:rsidR="00997050">
        <w:t>3</w:t>
      </w:r>
      <w:r w:rsidRPr="00596241">
        <w:t xml:space="preserve"> because government-run facilities were not included in the AN-ACC classification development study. Nevertheless, the raw cost results for these facilities </w:t>
      </w:r>
      <w:r w:rsidR="008865FA">
        <w:t xml:space="preserve">were analysed. The results of that analysis </w:t>
      </w:r>
      <w:r w:rsidRPr="00596241">
        <w:t xml:space="preserve">do not support the </w:t>
      </w:r>
      <w:r w:rsidR="008865FA">
        <w:t xml:space="preserve">continuation of the </w:t>
      </w:r>
      <w:r w:rsidRPr="00596241">
        <w:t>adjusted subsidy reduction. These facilities should be funded u</w:t>
      </w:r>
      <w:r w:rsidR="008865FA">
        <w:t xml:space="preserve">nder the </w:t>
      </w:r>
      <w:r w:rsidRPr="00596241">
        <w:t xml:space="preserve">AN-ACC model in the </w:t>
      </w:r>
      <w:r w:rsidR="00F667C8" w:rsidRPr="00596241">
        <w:t>same way as any other</w:t>
      </w:r>
      <w:r w:rsidRPr="00596241">
        <w:t xml:space="preserve"> facility</w:t>
      </w:r>
      <w:r w:rsidR="00F667C8" w:rsidRPr="00596241">
        <w:t>.</w:t>
      </w:r>
    </w:p>
    <w:p w:rsidR="00494E32" w:rsidRPr="00494E32" w:rsidRDefault="00494E32" w:rsidP="0036206F">
      <w:pPr>
        <w:pStyle w:val="Heading3"/>
      </w:pPr>
      <w:bookmarkStart w:id="69" w:name="_Toc2005083"/>
      <w:r>
        <w:t>Subsidies that should be progressively phased out</w:t>
      </w:r>
      <w:bookmarkEnd w:id="69"/>
    </w:p>
    <w:p w:rsidR="00142123" w:rsidRPr="00494E32" w:rsidRDefault="00142123" w:rsidP="00494E32">
      <w:pPr>
        <w:pStyle w:val="Heading4"/>
      </w:pPr>
      <w:bookmarkStart w:id="70" w:name="_Toc532311813"/>
      <w:r w:rsidRPr="00494E32">
        <w:t>RCS payments for grandparented residents</w:t>
      </w:r>
      <w:bookmarkEnd w:id="70"/>
    </w:p>
    <w:p w:rsidR="00822D6A" w:rsidRDefault="0036206F" w:rsidP="00DA0373">
      <w:pPr>
        <w:pStyle w:val="Normal-nospacing"/>
      </w:pPr>
      <w:r w:rsidRPr="0036206F">
        <w:t>Prior to the introduction of the ACFI, residents were funded based on a Resident Classification System (RCS). With the transition to the ACFI, grandparenting arrangements were introduced whereby existing residents continued to be funded under the RCS. These arrangemen</w:t>
      </w:r>
      <w:r w:rsidR="00441163">
        <w:t>ts continue to the present day.</w:t>
      </w:r>
    </w:p>
    <w:p w:rsidR="00142123" w:rsidRPr="0036206F" w:rsidRDefault="0036206F" w:rsidP="00DA0373">
      <w:pPr>
        <w:pStyle w:val="Normal-nospacing"/>
      </w:pPr>
      <w:r w:rsidRPr="0036206F">
        <w:t xml:space="preserve">The proposed two year transition from the ACFI to the AN-ACC (see Section </w:t>
      </w:r>
      <w:r w:rsidRPr="0036206F">
        <w:fldChar w:fldCharType="begin"/>
      </w:r>
      <w:r w:rsidRPr="0036206F">
        <w:instrText xml:space="preserve"> REF _Ref533071615 \r \h </w:instrText>
      </w:r>
      <w:r>
        <w:instrText xml:space="preserve"> \* MERGEFORMAT </w:instrText>
      </w:r>
      <w:r w:rsidRPr="0036206F">
        <w:fldChar w:fldCharType="separate"/>
      </w:r>
      <w:r w:rsidR="004737ED">
        <w:t>5.1</w:t>
      </w:r>
      <w:r w:rsidRPr="0036206F">
        <w:fldChar w:fldCharType="end"/>
      </w:r>
      <w:r w:rsidRPr="0036206F">
        <w:t>) provides the opportunity to tidy up these historic arrangements</w:t>
      </w:r>
      <w:r w:rsidR="00142123" w:rsidRPr="0036206F">
        <w:t xml:space="preserve">. </w:t>
      </w:r>
      <w:r>
        <w:t xml:space="preserve">As the needs of current residents change, they should </w:t>
      </w:r>
      <w:r w:rsidR="00F55C42">
        <w:t>be reassessed using the AN-ACC Assessment T</w:t>
      </w:r>
      <w:r>
        <w:t>ool and assigned to an AN-ACC class. Any resident still funded under the RCS or the ACFI should be reassessed after the two year transition period</w:t>
      </w:r>
      <w:r w:rsidR="00822D6A">
        <w:t xml:space="preserve"> and </w:t>
      </w:r>
      <w:r w:rsidR="00142123" w:rsidRPr="0036206F">
        <w:t>funded under AN-ACC</w:t>
      </w:r>
      <w:r w:rsidR="00441163">
        <w:t xml:space="preserve">. </w:t>
      </w:r>
      <w:r w:rsidR="00822D6A">
        <w:t>RCS payments for grandparented residents should cease at that point.</w:t>
      </w:r>
    </w:p>
    <w:p w:rsidR="00494E32" w:rsidRPr="00494E32" w:rsidRDefault="00494E32" w:rsidP="0036206F">
      <w:pPr>
        <w:pStyle w:val="Heading3"/>
      </w:pPr>
      <w:bookmarkStart w:id="71" w:name="_Toc2005084"/>
      <w:bookmarkStart w:id="72" w:name="_Toc532311814"/>
      <w:r w:rsidRPr="00494E32">
        <w:lastRenderedPageBreak/>
        <w:t>Subsidies that should be the subject of a supplementary study</w:t>
      </w:r>
      <w:bookmarkEnd w:id="71"/>
    </w:p>
    <w:p w:rsidR="00142123" w:rsidRPr="00494E32" w:rsidRDefault="00142123" w:rsidP="00494E32">
      <w:pPr>
        <w:pStyle w:val="Heading4"/>
      </w:pPr>
      <w:r w:rsidRPr="00494E32">
        <w:t>Daily residential respite subsidies</w:t>
      </w:r>
      <w:bookmarkEnd w:id="72"/>
    </w:p>
    <w:p w:rsidR="00E17D21" w:rsidRDefault="00B77193" w:rsidP="00DA0373">
      <w:pPr>
        <w:pStyle w:val="Normal-nospacing"/>
      </w:pPr>
      <w:r>
        <w:t>R</w:t>
      </w:r>
      <w:r w:rsidR="00822D6A" w:rsidRPr="00822D6A">
        <w:t xml:space="preserve">espite care was not in scope for the </w:t>
      </w:r>
      <w:r w:rsidR="00F55C42">
        <w:t>RUCS</w:t>
      </w:r>
      <w:r w:rsidR="00822D6A" w:rsidRPr="00822D6A">
        <w:t xml:space="preserve"> with respite residents excluded both from the classification development study (Study One) and the </w:t>
      </w:r>
      <w:r w:rsidR="00E17D21">
        <w:t xml:space="preserve">profiling </w:t>
      </w:r>
      <w:r w:rsidR="00822D6A" w:rsidRPr="00822D6A">
        <w:t>study (Study T</w:t>
      </w:r>
      <w:r w:rsidR="00E17D21">
        <w:t>hree)</w:t>
      </w:r>
      <w:r w:rsidR="00822D6A" w:rsidRPr="00822D6A">
        <w:t xml:space="preserve">. Given this, </w:t>
      </w:r>
      <w:r>
        <w:t xml:space="preserve">there is no justification to change current funding arrangements </w:t>
      </w:r>
      <w:r w:rsidR="00822D6A" w:rsidRPr="00822D6A">
        <w:t>in the short-term</w:t>
      </w:r>
      <w:r w:rsidR="00441163">
        <w:t>.</w:t>
      </w:r>
    </w:p>
    <w:p w:rsidR="00142123" w:rsidRPr="00822D6A" w:rsidRDefault="00B77193" w:rsidP="00DA0373">
      <w:pPr>
        <w:pStyle w:val="Normal-nospacing"/>
      </w:pPr>
      <w:r>
        <w:t xml:space="preserve">A </w:t>
      </w:r>
      <w:r w:rsidR="00142123" w:rsidRPr="00822D6A">
        <w:t xml:space="preserve">RUCS </w:t>
      </w:r>
      <w:r w:rsidR="00822D6A" w:rsidRPr="00822D6A">
        <w:t xml:space="preserve">supplementary study </w:t>
      </w:r>
      <w:r w:rsidR="00142123" w:rsidRPr="00822D6A">
        <w:t>on respite care</w:t>
      </w:r>
      <w:r>
        <w:t xml:space="preserve"> is required</w:t>
      </w:r>
      <w:r w:rsidR="00822D6A" w:rsidRPr="00822D6A">
        <w:t xml:space="preserve">. The </w:t>
      </w:r>
      <w:r w:rsidR="00822D6A">
        <w:t xml:space="preserve">goal of </w:t>
      </w:r>
      <w:r>
        <w:t xml:space="preserve">such a </w:t>
      </w:r>
      <w:r w:rsidR="00822D6A" w:rsidRPr="00822D6A">
        <w:t xml:space="preserve">study </w:t>
      </w:r>
      <w:r w:rsidR="00822D6A">
        <w:t>w</w:t>
      </w:r>
      <w:r w:rsidR="00822D6A" w:rsidRPr="00822D6A">
        <w:t xml:space="preserve">ould be to </w:t>
      </w:r>
      <w:r>
        <w:t>assess resp</w:t>
      </w:r>
      <w:r w:rsidR="00F55C42">
        <w:t>ite residents using the AN-ACC Assessment T</w:t>
      </w:r>
      <w:r>
        <w:t xml:space="preserve">ool, to allocate respite residents to one or more AN-ACC classes and to </w:t>
      </w:r>
      <w:r w:rsidR="00822D6A" w:rsidRPr="00822D6A">
        <w:t xml:space="preserve">determine the NWAU </w:t>
      </w:r>
      <w:r>
        <w:t xml:space="preserve">or NWAUs </w:t>
      </w:r>
      <w:r w:rsidR="00822D6A" w:rsidRPr="00822D6A">
        <w:t xml:space="preserve">that should apply to </w:t>
      </w:r>
      <w:r w:rsidR="00142123" w:rsidRPr="00822D6A">
        <w:t>respite care</w:t>
      </w:r>
      <w:r w:rsidR="00822D6A" w:rsidRPr="00822D6A">
        <w:t>.</w:t>
      </w:r>
    </w:p>
    <w:p w:rsidR="00142123" w:rsidRPr="00F667C8" w:rsidRDefault="00142123" w:rsidP="00F667C8">
      <w:pPr>
        <w:pStyle w:val="Heading4"/>
      </w:pPr>
      <w:bookmarkStart w:id="73" w:name="_Toc532311815"/>
      <w:r w:rsidRPr="00822D6A">
        <w:t>Oxygen Supp</w:t>
      </w:r>
      <w:r w:rsidR="00F667C8" w:rsidRPr="00822D6A">
        <w:t>l</w:t>
      </w:r>
      <w:r w:rsidRPr="00822D6A">
        <w:t>ement</w:t>
      </w:r>
      <w:bookmarkEnd w:id="73"/>
    </w:p>
    <w:p w:rsidR="00142123" w:rsidRPr="0044093F" w:rsidRDefault="00142123" w:rsidP="00DA0373">
      <w:pPr>
        <w:pStyle w:val="Normal-nospacing"/>
      </w:pPr>
      <w:r w:rsidRPr="0044093F">
        <w:t xml:space="preserve">The RUCS study </w:t>
      </w:r>
      <w:r w:rsidR="008865FA" w:rsidRPr="0044093F">
        <w:t xml:space="preserve">included </w:t>
      </w:r>
      <w:r w:rsidR="00CB0605" w:rsidRPr="0044093F">
        <w:t xml:space="preserve">only a small number of </w:t>
      </w:r>
      <w:r w:rsidR="008865FA" w:rsidRPr="0044093F">
        <w:t xml:space="preserve">residents </w:t>
      </w:r>
      <w:r w:rsidR="00CB0605" w:rsidRPr="0044093F">
        <w:t xml:space="preserve">on </w:t>
      </w:r>
      <w:r w:rsidR="008865FA" w:rsidRPr="0044093F">
        <w:t>oxygen</w:t>
      </w:r>
      <w:r w:rsidR="0044093F">
        <w:t xml:space="preserve"> and it was not possible to separately analyse their costs</w:t>
      </w:r>
      <w:r w:rsidR="00CB0605" w:rsidRPr="0044093F">
        <w:t xml:space="preserve">. </w:t>
      </w:r>
      <w:r w:rsidR="008865FA" w:rsidRPr="0044093F">
        <w:t xml:space="preserve"> </w:t>
      </w:r>
      <w:r w:rsidR="00CB0605" w:rsidRPr="0044093F">
        <w:t xml:space="preserve">Given this, it is proposed </w:t>
      </w:r>
      <w:r w:rsidR="0044093F" w:rsidRPr="0044093F">
        <w:t>that grand</w:t>
      </w:r>
      <w:r w:rsidR="00A5798F">
        <w:t>parenting</w:t>
      </w:r>
      <w:r w:rsidR="0044093F" w:rsidRPr="0044093F">
        <w:t xml:space="preserve"> arrangements be introduced for current recipients</w:t>
      </w:r>
      <w:r w:rsidR="00CB0605" w:rsidRPr="0044093F">
        <w:t xml:space="preserve">. A RUCS supplementary study on </w:t>
      </w:r>
      <w:r w:rsidR="0044093F" w:rsidRPr="0044093F">
        <w:t>the costs of care associated with oxygen</w:t>
      </w:r>
      <w:r w:rsidR="00CB0605" w:rsidRPr="0044093F">
        <w:t xml:space="preserve"> </w:t>
      </w:r>
      <w:r w:rsidR="0044093F">
        <w:t xml:space="preserve">is required to determine </w:t>
      </w:r>
      <w:r w:rsidR="008865FA" w:rsidRPr="0044093F">
        <w:t>whether or not t</w:t>
      </w:r>
      <w:r w:rsidRPr="0044093F">
        <w:t>o continu</w:t>
      </w:r>
      <w:r w:rsidR="008865FA" w:rsidRPr="0044093F">
        <w:t>e</w:t>
      </w:r>
      <w:r w:rsidRPr="0044093F">
        <w:t xml:space="preserve"> this payment.</w:t>
      </w:r>
      <w:r w:rsidR="0044093F" w:rsidRPr="0044093F">
        <w:t xml:space="preserve"> This study should examine whether there are additional justifiable costs </w:t>
      </w:r>
      <w:r w:rsidR="00C11E8E">
        <w:t xml:space="preserve">(on top of the resident’s AN-ACC class NWAU) </w:t>
      </w:r>
      <w:r w:rsidR="0044093F">
        <w:t xml:space="preserve">that warrant an increase in </w:t>
      </w:r>
      <w:r w:rsidR="0044093F" w:rsidRPr="0044093F">
        <w:t xml:space="preserve">the NWAU for the </w:t>
      </w:r>
      <w:r w:rsidR="0044093F">
        <w:t>resident.</w:t>
      </w:r>
    </w:p>
    <w:p w:rsidR="00142123" w:rsidRPr="00F667C8" w:rsidRDefault="00142123" w:rsidP="00F667C8">
      <w:pPr>
        <w:pStyle w:val="Heading4"/>
      </w:pPr>
      <w:bookmarkStart w:id="74" w:name="_Toc532311816"/>
      <w:r w:rsidRPr="00F667C8">
        <w:t>Enteral Feeding Supplement</w:t>
      </w:r>
      <w:bookmarkEnd w:id="74"/>
    </w:p>
    <w:p w:rsidR="00C11E8E" w:rsidRPr="000B42C6" w:rsidRDefault="00C11E8E" w:rsidP="00DA0373">
      <w:pPr>
        <w:pStyle w:val="Normal-nospacing"/>
        <w:rPr>
          <w:highlight w:val="yellow"/>
        </w:rPr>
      </w:pPr>
      <w:r>
        <w:t>As with oxygen, t</w:t>
      </w:r>
      <w:r w:rsidRPr="0044093F">
        <w:t xml:space="preserve">he RUCS study included only a small number of </w:t>
      </w:r>
      <w:r>
        <w:t xml:space="preserve">enteral feeding </w:t>
      </w:r>
      <w:r w:rsidRPr="0044093F">
        <w:t xml:space="preserve">residents </w:t>
      </w:r>
      <w:r>
        <w:t>and it was not possible to separately analyse their costs</w:t>
      </w:r>
      <w:r w:rsidRPr="0044093F">
        <w:t xml:space="preserve">.  Given this, it is proposed that </w:t>
      </w:r>
      <w:r w:rsidR="00A5798F">
        <w:t xml:space="preserve">the same arrangements apply. That is, that </w:t>
      </w:r>
      <w:r w:rsidRPr="0044093F">
        <w:t>grand</w:t>
      </w:r>
      <w:r w:rsidR="00A5798F">
        <w:t>parenting</w:t>
      </w:r>
      <w:r w:rsidRPr="0044093F">
        <w:t xml:space="preserve"> arrangements be introduced for current recipients</w:t>
      </w:r>
      <w:r w:rsidR="00A5798F">
        <w:t xml:space="preserve"> and that a</w:t>
      </w:r>
      <w:r w:rsidRPr="0044093F">
        <w:t xml:space="preserve"> RUCS supplementary study </w:t>
      </w:r>
      <w:r w:rsidR="00A5798F">
        <w:t xml:space="preserve">be undertaken </w:t>
      </w:r>
      <w:r w:rsidRPr="0044093F">
        <w:t xml:space="preserve">on the costs of care associated with </w:t>
      </w:r>
      <w:r>
        <w:t>enteral feeding</w:t>
      </w:r>
      <w:r w:rsidRPr="0044093F">
        <w:t xml:space="preserve"> </w:t>
      </w:r>
      <w:r w:rsidR="00EE5457">
        <w:t>t</w:t>
      </w:r>
      <w:r>
        <w:t xml:space="preserve">o determine </w:t>
      </w:r>
      <w:r w:rsidRPr="0044093F">
        <w:t xml:space="preserve">whether or not to continue this payment. </w:t>
      </w:r>
      <w:r>
        <w:t>As with oxygen, t</w:t>
      </w:r>
      <w:r w:rsidRPr="0044093F">
        <w:t xml:space="preserve">his study should examine whether there are additional justifiable costs </w:t>
      </w:r>
      <w:r>
        <w:t xml:space="preserve">(on top of the resident’s AN-ACC class NWAU) that warrant an increase in </w:t>
      </w:r>
      <w:r w:rsidRPr="0044093F">
        <w:t xml:space="preserve">the NWAU for the </w:t>
      </w:r>
      <w:r w:rsidR="00441163">
        <w:t>resident.</w:t>
      </w:r>
    </w:p>
    <w:p w:rsidR="00142123" w:rsidRPr="00F667C8" w:rsidRDefault="00142123" w:rsidP="00F667C8">
      <w:pPr>
        <w:pStyle w:val="Heading4"/>
      </w:pPr>
      <w:bookmarkStart w:id="75" w:name="_Toc532311818"/>
      <w:r w:rsidRPr="00F667C8">
        <w:t>Veterans’ Supplement</w:t>
      </w:r>
      <w:bookmarkEnd w:id="75"/>
    </w:p>
    <w:p w:rsidR="00CB0605" w:rsidRDefault="00142123" w:rsidP="00441163">
      <w:pPr>
        <w:pStyle w:val="Normal-nospacing"/>
        <w:spacing w:after="480"/>
      </w:pPr>
      <w:r w:rsidRPr="00E17D21">
        <w:t xml:space="preserve">The RUCS did not capture data on the veterans supplement </w:t>
      </w:r>
      <w:r w:rsidR="00E17D21" w:rsidRPr="00E17D21">
        <w:t>(</w:t>
      </w:r>
      <w:r w:rsidRPr="00E17D21">
        <w:t>currently set at $7.08 per day</w:t>
      </w:r>
      <w:r w:rsidR="00E17D21" w:rsidRPr="00E17D21">
        <w:t>)</w:t>
      </w:r>
      <w:r w:rsidR="00441163">
        <w:t xml:space="preserve">. </w:t>
      </w:r>
      <w:r w:rsidR="00E17D21" w:rsidRPr="00E17D21">
        <w:t>Given this, it is proposed that grandparenting arrangements be introduced for current recipients. A RUCS supp</w:t>
      </w:r>
      <w:r w:rsidR="00E17D21" w:rsidRPr="0044093F">
        <w:t xml:space="preserve">lementary study on the costs of care </w:t>
      </w:r>
      <w:r w:rsidR="00E17D21">
        <w:t xml:space="preserve">for veterans is required to determine </w:t>
      </w:r>
      <w:r w:rsidR="00E17D21" w:rsidRPr="0044093F">
        <w:t>whether or not to continue this payment.</w:t>
      </w:r>
    </w:p>
    <w:p w:rsidR="001D2CDD" w:rsidRDefault="001D2CDD" w:rsidP="00441163">
      <w:pPr>
        <w:pStyle w:val="Recommendations"/>
        <w:pBdr>
          <w:top w:val="none" w:sz="0" w:space="0" w:color="auto"/>
          <w:left w:val="none" w:sz="0" w:space="0" w:color="auto"/>
          <w:bottom w:val="none" w:sz="0" w:space="0" w:color="auto"/>
          <w:right w:val="none" w:sz="0" w:space="0" w:color="auto"/>
        </w:pBdr>
      </w:pPr>
    </w:p>
    <w:p w:rsidR="000532D2" w:rsidRDefault="000532D2" w:rsidP="00441163">
      <w:pPr>
        <w:pStyle w:val="Normal-nospacing"/>
      </w:pPr>
      <w:r>
        <w:t>That existing Commonwealth subsidies be addressed in three different ways:</w:t>
      </w:r>
    </w:p>
    <w:p w:rsidR="000532D2" w:rsidRPr="00F905C3" w:rsidRDefault="000532D2" w:rsidP="00441163">
      <w:pPr>
        <w:pStyle w:val="Normal-nospacing"/>
        <w:ind w:left="720" w:hanging="720"/>
      </w:pPr>
      <w:r>
        <w:t xml:space="preserve">1. </w:t>
      </w:r>
      <w:r>
        <w:tab/>
        <w:t>T</w:t>
      </w:r>
      <w:r w:rsidRPr="00F905C3">
        <w:t>he homeless supplement and the adjusted subsidy reduction be discontinued once the AN-ACC model is introduced</w:t>
      </w:r>
      <w:r>
        <w:t>.</w:t>
      </w:r>
    </w:p>
    <w:p w:rsidR="000532D2" w:rsidRPr="00F905C3" w:rsidRDefault="000532D2" w:rsidP="00441163">
      <w:pPr>
        <w:pStyle w:val="Normal-nospacing"/>
        <w:ind w:left="720" w:hanging="720"/>
      </w:pPr>
      <w:r>
        <w:t xml:space="preserve">2. </w:t>
      </w:r>
      <w:r>
        <w:tab/>
      </w:r>
      <w:r w:rsidRPr="00F905C3">
        <w:t>RCS payments for grandparented residents be progressively phased out with all current RCS recipients to transition to the AN-ACC within two years</w:t>
      </w:r>
      <w:r>
        <w:t>.</w:t>
      </w:r>
    </w:p>
    <w:p w:rsidR="000532D2" w:rsidRPr="00F905C3" w:rsidRDefault="000532D2" w:rsidP="00441163">
      <w:pPr>
        <w:pStyle w:val="Normal-nospacing"/>
        <w:ind w:left="720" w:hanging="720"/>
      </w:pPr>
      <w:r>
        <w:lastRenderedPageBreak/>
        <w:t xml:space="preserve">3. </w:t>
      </w:r>
      <w:r>
        <w:tab/>
        <w:t>The d</w:t>
      </w:r>
      <w:r w:rsidRPr="00F905C3">
        <w:t>aily residential respite subsidy</w:t>
      </w:r>
      <w:r>
        <w:t xml:space="preserve">, the </w:t>
      </w:r>
      <w:r w:rsidRPr="00F905C3">
        <w:t>oxygen supplement</w:t>
      </w:r>
      <w:r>
        <w:t>, the</w:t>
      </w:r>
      <w:r w:rsidRPr="00F905C3">
        <w:t xml:space="preserve"> enteral feeding supplement</w:t>
      </w:r>
      <w:r>
        <w:t xml:space="preserve"> and the</w:t>
      </w:r>
      <w:r w:rsidRPr="00F905C3">
        <w:t xml:space="preserve"> veterans supplement</w:t>
      </w:r>
      <w:r>
        <w:t xml:space="preserve"> </w:t>
      </w:r>
      <w:r w:rsidRPr="00F905C3">
        <w:t>be the subject of supplementary RUCS stud</w:t>
      </w:r>
      <w:r>
        <w:t>ies</w:t>
      </w:r>
      <w:r w:rsidRPr="00F905C3">
        <w:t xml:space="preserve"> with current recipients be</w:t>
      </w:r>
      <w:r>
        <w:t>ing</w:t>
      </w:r>
      <w:r w:rsidRPr="00F905C3">
        <w:t xml:space="preserve"> grandfathered until the results of the supplementary study are a</w:t>
      </w:r>
      <w:r>
        <w:t>vailable.</w:t>
      </w:r>
    </w:p>
    <w:p w:rsidR="00CB0605" w:rsidRPr="007F6F2E" w:rsidRDefault="00CB0605" w:rsidP="00441163">
      <w:pPr>
        <w:rPr>
          <w:sz w:val="4"/>
          <w:szCs w:val="4"/>
        </w:rPr>
      </w:pPr>
    </w:p>
    <w:p w:rsidR="001D2CDD" w:rsidRPr="000B42C6" w:rsidRDefault="001D2CDD" w:rsidP="001D2CDD">
      <w:pPr>
        <w:pStyle w:val="Heading1"/>
      </w:pPr>
      <w:bookmarkStart w:id="76" w:name="_Toc2005085"/>
      <w:r w:rsidRPr="000B42C6">
        <w:t>AN-ACC implementation</w:t>
      </w:r>
      <w:bookmarkEnd w:id="76"/>
    </w:p>
    <w:p w:rsidR="00142123" w:rsidRPr="000B42C6" w:rsidRDefault="00142123" w:rsidP="001D2CDD">
      <w:pPr>
        <w:pStyle w:val="Heading2"/>
      </w:pPr>
      <w:bookmarkStart w:id="77" w:name="_Ref533071615"/>
      <w:bookmarkStart w:id="78" w:name="_Toc2005086"/>
      <w:r w:rsidRPr="000B42C6">
        <w:t>A planned transition strategy with progressive implementation</w:t>
      </w:r>
      <w:bookmarkEnd w:id="77"/>
      <w:bookmarkEnd w:id="78"/>
    </w:p>
    <w:p w:rsidR="000532D2" w:rsidRPr="007F6F2E" w:rsidRDefault="000532D2" w:rsidP="000532D2">
      <w:r w:rsidRPr="007F6F2E">
        <w:t>Given the magnitude of the reform involved in the implementation of the AN-ACC model, it is proposed that it be introduced</w:t>
      </w:r>
      <w:r w:rsidR="00732B83" w:rsidRPr="00732B83">
        <w:t xml:space="preserve"> </w:t>
      </w:r>
      <w:r w:rsidR="00732B83" w:rsidRPr="007F6F2E">
        <w:t>progressively</w:t>
      </w:r>
      <w:r w:rsidR="00441163">
        <w:t>:</w:t>
      </w:r>
    </w:p>
    <w:p w:rsidR="000532D2" w:rsidRPr="007F6F2E" w:rsidRDefault="007F6F2E" w:rsidP="000532D2">
      <w:pPr>
        <w:pStyle w:val="Bullet"/>
      </w:pPr>
      <w:r w:rsidRPr="007F6F2E">
        <w:t>The AN-ACC to be introduced from a specified starting date for all new residents entering residential care</w:t>
      </w:r>
      <w:r w:rsidR="00596D93">
        <w:t>.</w:t>
      </w:r>
    </w:p>
    <w:p w:rsidR="007F6F2E" w:rsidRPr="007F6F2E" w:rsidRDefault="007F6F2E" w:rsidP="000532D2">
      <w:pPr>
        <w:pStyle w:val="Bullet"/>
      </w:pPr>
      <w:r w:rsidRPr="007F6F2E">
        <w:t xml:space="preserve">If </w:t>
      </w:r>
      <w:r w:rsidR="000532D2" w:rsidRPr="007F6F2E">
        <w:t xml:space="preserve">the needs of </w:t>
      </w:r>
      <w:r w:rsidRPr="007F6F2E">
        <w:t xml:space="preserve">an </w:t>
      </w:r>
      <w:r w:rsidR="000532D2" w:rsidRPr="007F6F2E">
        <w:t xml:space="preserve">existing resident </w:t>
      </w:r>
      <w:r w:rsidRPr="007F6F2E">
        <w:t>increases</w:t>
      </w:r>
      <w:r w:rsidR="000532D2" w:rsidRPr="007F6F2E">
        <w:t xml:space="preserve">, </w:t>
      </w:r>
      <w:r w:rsidRPr="007F6F2E">
        <w:t xml:space="preserve">that resident would be referred by the home for an external </w:t>
      </w:r>
      <w:r w:rsidR="000532D2" w:rsidRPr="007F6F2E">
        <w:t xml:space="preserve">AN-ACC assessment and </w:t>
      </w:r>
      <w:r w:rsidRPr="007F6F2E">
        <w:t xml:space="preserve">the resident would be </w:t>
      </w:r>
      <w:r w:rsidR="000532D2" w:rsidRPr="007F6F2E">
        <w:t>transfer</w:t>
      </w:r>
      <w:r w:rsidRPr="007F6F2E">
        <w:t xml:space="preserve">red from the ACFI system to the </w:t>
      </w:r>
      <w:r w:rsidR="000532D2" w:rsidRPr="007F6F2E">
        <w:t>AN-ACC</w:t>
      </w:r>
      <w:r w:rsidRPr="007F6F2E">
        <w:t xml:space="preserve"> system</w:t>
      </w:r>
      <w:r w:rsidR="00596D93">
        <w:t>.</w:t>
      </w:r>
    </w:p>
    <w:p w:rsidR="000532D2" w:rsidRPr="007F6F2E" w:rsidRDefault="000532D2" w:rsidP="000532D2">
      <w:pPr>
        <w:pStyle w:val="Bullet"/>
      </w:pPr>
      <w:r w:rsidRPr="007F6F2E">
        <w:t xml:space="preserve">After two years, all </w:t>
      </w:r>
      <w:r w:rsidR="007F6F2E" w:rsidRPr="007F6F2E">
        <w:t xml:space="preserve">remaining </w:t>
      </w:r>
      <w:r w:rsidRPr="007F6F2E">
        <w:t xml:space="preserve">residents </w:t>
      </w:r>
      <w:r w:rsidR="007F6F2E" w:rsidRPr="007F6F2E">
        <w:t xml:space="preserve">would </w:t>
      </w:r>
      <w:r w:rsidRPr="007F6F2E">
        <w:t xml:space="preserve">be transitioned to </w:t>
      </w:r>
      <w:r w:rsidR="007F6F2E" w:rsidRPr="007F6F2E">
        <w:t xml:space="preserve">the </w:t>
      </w:r>
      <w:r w:rsidRPr="007F6F2E">
        <w:t xml:space="preserve">AN-ACC </w:t>
      </w:r>
      <w:r w:rsidR="007F6F2E" w:rsidRPr="007F6F2E">
        <w:t xml:space="preserve">system </w:t>
      </w:r>
      <w:r w:rsidRPr="007F6F2E">
        <w:t>within 6 months</w:t>
      </w:r>
      <w:r w:rsidR="007F6F2E" w:rsidRPr="007F6F2E">
        <w:t xml:space="preserve"> and all existing grandparenting arrangements would cease</w:t>
      </w:r>
      <w:r w:rsidR="00EE5457">
        <w:t>.</w:t>
      </w:r>
    </w:p>
    <w:p w:rsidR="00142123" w:rsidRDefault="007F6F2E" w:rsidP="00441163">
      <w:pPr>
        <w:pStyle w:val="Normal-nospacing"/>
        <w:spacing w:after="360"/>
      </w:pPr>
      <w:r w:rsidRPr="007F6F2E">
        <w:t xml:space="preserve">The practical implementation of this for existing residents is that each person continues to be funded via the </w:t>
      </w:r>
      <w:r w:rsidR="00142123" w:rsidRPr="007F6F2E">
        <w:t xml:space="preserve">ACFI classification </w:t>
      </w:r>
      <w:r w:rsidRPr="007F6F2E">
        <w:t xml:space="preserve">with their ACFI classification </w:t>
      </w:r>
      <w:r w:rsidR="00142123" w:rsidRPr="007F6F2E">
        <w:t xml:space="preserve">frozen </w:t>
      </w:r>
      <w:r w:rsidR="00952673">
        <w:t xml:space="preserve">from </w:t>
      </w:r>
      <w:r w:rsidRPr="007F6F2E">
        <w:t>the date that AN-ACC i</w:t>
      </w:r>
      <w:r w:rsidR="00952673">
        <w:t>mplementation begins</w:t>
      </w:r>
      <w:r w:rsidR="00142123" w:rsidRPr="007F6F2E">
        <w:t xml:space="preserve">. </w:t>
      </w:r>
      <w:r>
        <w:t xml:space="preserve">The same applies to those currently funded under the RCS.  </w:t>
      </w:r>
      <w:r w:rsidRPr="007F6F2E">
        <w:t>There would be n</w:t>
      </w:r>
      <w:r w:rsidR="00142123" w:rsidRPr="007F6F2E">
        <w:t xml:space="preserve">o </w:t>
      </w:r>
      <w:r w:rsidRPr="007F6F2E">
        <w:t xml:space="preserve">further </w:t>
      </w:r>
      <w:r w:rsidR="00142123" w:rsidRPr="007F6F2E">
        <w:t>ACFI reassessments</w:t>
      </w:r>
      <w:r w:rsidRPr="007F6F2E">
        <w:t xml:space="preserve"> or</w:t>
      </w:r>
      <w:r w:rsidR="00142123" w:rsidRPr="007F6F2E">
        <w:t xml:space="preserve"> </w:t>
      </w:r>
      <w:r w:rsidRPr="007F6F2E">
        <w:t xml:space="preserve">ACFI </w:t>
      </w:r>
      <w:r w:rsidR="00142123" w:rsidRPr="007F6F2E">
        <w:t xml:space="preserve">validations. </w:t>
      </w:r>
      <w:r w:rsidRPr="007F6F2E">
        <w:t xml:space="preserve">With the cessation of the current </w:t>
      </w:r>
      <w:r w:rsidR="00142123" w:rsidRPr="007F6F2E">
        <w:t xml:space="preserve">ACFI </w:t>
      </w:r>
      <w:r w:rsidRPr="007F6F2E">
        <w:t>r</w:t>
      </w:r>
      <w:r w:rsidR="00142123" w:rsidRPr="007F6F2E">
        <w:t xml:space="preserve">eview and </w:t>
      </w:r>
      <w:r w:rsidRPr="007F6F2E">
        <w:t>r</w:t>
      </w:r>
      <w:r w:rsidR="00142123" w:rsidRPr="007F6F2E">
        <w:t>econsideration</w:t>
      </w:r>
      <w:r w:rsidRPr="007F6F2E">
        <w:t xml:space="preserve"> system, that function would cease with</w:t>
      </w:r>
      <w:r w:rsidR="00142123" w:rsidRPr="007F6F2E">
        <w:t xml:space="preserve">in </w:t>
      </w:r>
      <w:r w:rsidRPr="007F6F2E">
        <w:t xml:space="preserve">the </w:t>
      </w:r>
      <w:r w:rsidR="00142123" w:rsidRPr="007F6F2E">
        <w:t>D</w:t>
      </w:r>
      <w:r w:rsidRPr="007F6F2E">
        <w:t>epartment with commensurate savings available for reinvestment in external assessment.</w:t>
      </w:r>
    </w:p>
    <w:p w:rsidR="001D2CDD" w:rsidRPr="000B42C6" w:rsidRDefault="001D2CDD" w:rsidP="00441163">
      <w:pPr>
        <w:pStyle w:val="Recommendations"/>
        <w:pBdr>
          <w:top w:val="none" w:sz="0" w:space="0" w:color="auto"/>
          <w:left w:val="none" w:sz="0" w:space="0" w:color="auto"/>
          <w:bottom w:val="none" w:sz="0" w:space="0" w:color="auto"/>
          <w:right w:val="none" w:sz="0" w:space="0" w:color="auto"/>
        </w:pBdr>
      </w:pPr>
      <w:bookmarkStart w:id="79" w:name="_Toc532311822"/>
    </w:p>
    <w:p w:rsidR="001D2CDD" w:rsidRDefault="007F6F2E" w:rsidP="00441163">
      <w:pPr>
        <w:spacing w:after="240"/>
      </w:pPr>
      <w:r>
        <w:t>That the Commonwealth develop a n</w:t>
      </w:r>
      <w:r w:rsidRPr="000B42C6">
        <w:t>ational transition strategy with progressive implementatio</w:t>
      </w:r>
      <w:r>
        <w:t>n of the AN-ACC over two years.</w:t>
      </w:r>
    </w:p>
    <w:p w:rsidR="00864BF5" w:rsidRDefault="00864BF5" w:rsidP="00441163">
      <w:pPr>
        <w:pStyle w:val="Normal-nospacing"/>
      </w:pPr>
      <w:r>
        <w:t>The AN-ACC funding model is designed as a funding distribution model which applies price weightings (NWAU) to different types of facilities and residents. It does not determine the price that the Commonwealth pays. The price is a policy decision for government. The government could decide to implement the AN-ACC funding system so that it is cost neutral at the system level. Likewise, the government could use the AN-ACC</w:t>
      </w:r>
      <w:r w:rsidR="00441163">
        <w:t xml:space="preserve"> to distribute a growth budget.</w:t>
      </w:r>
    </w:p>
    <w:p w:rsidR="001D4100" w:rsidRDefault="00864BF5" w:rsidP="001D4100">
      <w:pPr>
        <w:pStyle w:val="Normal-nospacing"/>
      </w:pPr>
      <w:r>
        <w:t xml:space="preserve">Irrespective (and </w:t>
      </w:r>
      <w:r w:rsidR="001D4100">
        <w:t xml:space="preserve">as </w:t>
      </w:r>
      <w:r>
        <w:t xml:space="preserve">demonstrated </w:t>
      </w:r>
      <w:r w:rsidR="001D4100">
        <w:t>in Report 4</w:t>
      </w:r>
      <w:r>
        <w:t>)</w:t>
      </w:r>
      <w:r w:rsidR="001D4100">
        <w:t xml:space="preserve">, there will inevitably be some homes </w:t>
      </w:r>
      <w:r w:rsidR="00126D31">
        <w:t>that</w:t>
      </w:r>
      <w:r w:rsidR="001D4100">
        <w:t xml:space="preserve"> will experience a funding increase with the introduction of the AN-ACC and some that would</w:t>
      </w:r>
      <w:r w:rsidR="00441163">
        <w:t xml:space="preserve"> experience a funding decrease.</w:t>
      </w:r>
    </w:p>
    <w:p w:rsidR="001D2CDD" w:rsidRPr="001D4100" w:rsidRDefault="001D4100" w:rsidP="001D4100">
      <w:pPr>
        <w:pStyle w:val="Normal-nospacing"/>
      </w:pPr>
      <w:r>
        <w:t>In transitioning to the new AN-ACC model, it is critical that n</w:t>
      </w:r>
      <w:r w:rsidR="001D2CDD" w:rsidRPr="001D4100">
        <w:t xml:space="preserve">o home experience the sudden loss of significant income as the result of the new funding model. </w:t>
      </w:r>
      <w:r>
        <w:t>Viability and sustainability are critical issues for the whole sector.</w:t>
      </w:r>
    </w:p>
    <w:p w:rsidR="001D2CDD" w:rsidRPr="001D4100" w:rsidRDefault="001D4100" w:rsidP="001D4100">
      <w:pPr>
        <w:pStyle w:val="Normal-nospacing"/>
      </w:pPr>
      <w:r>
        <w:lastRenderedPageBreak/>
        <w:t xml:space="preserve">It is therefore proposed that, as part of the transition strategy, the Commonwealth implement a stop-loss policy for homes that </w:t>
      </w:r>
      <w:r w:rsidR="00952FB6">
        <w:t xml:space="preserve">would </w:t>
      </w:r>
      <w:r>
        <w:t>experience a funding decrease to give those homes time to adjust to their new income level. An initial</w:t>
      </w:r>
      <w:r w:rsidR="001D2CDD" w:rsidRPr="001D4100">
        <w:t xml:space="preserve"> stop-loss threshold </w:t>
      </w:r>
      <w:r>
        <w:t xml:space="preserve">of </w:t>
      </w:r>
      <w:r w:rsidR="001D2CDD" w:rsidRPr="001D4100">
        <w:t>5%</w:t>
      </w:r>
      <w:r>
        <w:t xml:space="preserve"> is proposed</w:t>
      </w:r>
      <w:r w:rsidR="001D2CDD" w:rsidRPr="001D4100">
        <w:t xml:space="preserve">. </w:t>
      </w:r>
      <w:r>
        <w:t>If a home were to experience financial losses by the introduction of the AN-ACC model, a</w:t>
      </w:r>
      <w:r w:rsidR="001D2CDD" w:rsidRPr="001D4100">
        <w:t xml:space="preserve">ny income reduction </w:t>
      </w:r>
      <w:r>
        <w:t xml:space="preserve">of less than 5% </w:t>
      </w:r>
      <w:r w:rsidR="001D2CDD" w:rsidRPr="001D4100">
        <w:t>will be carried by the home. Any loss greater than 5% w</w:t>
      </w:r>
      <w:r>
        <w:t>ould</w:t>
      </w:r>
      <w:r w:rsidR="001D2CDD" w:rsidRPr="001D4100">
        <w:t xml:space="preserve"> make a home eligible for a transition payment up to the 95% threshold for a period up to two year</w:t>
      </w:r>
      <w:r w:rsidR="00441163">
        <w:t>s from the date of transition.</w:t>
      </w:r>
    </w:p>
    <w:p w:rsidR="001D2CDD" w:rsidRPr="001D4100" w:rsidRDefault="001D2CDD" w:rsidP="001D4100">
      <w:pPr>
        <w:pStyle w:val="Normal-nospacing"/>
      </w:pPr>
      <w:r w:rsidRPr="001D4100">
        <w:t xml:space="preserve">This threshold applies at the level of the home as a whole rather than the </w:t>
      </w:r>
      <w:r w:rsidR="00441163">
        <w:t xml:space="preserve">individual resident. </w:t>
      </w:r>
      <w:r w:rsidRPr="001D4100">
        <w:t>Every home will have some residents who would be funded more under AN</w:t>
      </w:r>
      <w:r w:rsidR="00441163">
        <w:t xml:space="preserve">-ACC than ACFI and vice versa. </w:t>
      </w:r>
      <w:r w:rsidRPr="001D4100">
        <w:t>The transition payment strategy applies only to homes where the net effect is ne</w:t>
      </w:r>
      <w:r w:rsidR="00441163">
        <w:t>gative for the home as a whole.</w:t>
      </w:r>
    </w:p>
    <w:p w:rsidR="001D2CDD" w:rsidRDefault="001D2CDD" w:rsidP="00441163">
      <w:pPr>
        <w:pStyle w:val="Normal-nospacing"/>
        <w:spacing w:after="360"/>
      </w:pPr>
      <w:r w:rsidRPr="001D4100">
        <w:t xml:space="preserve">Given that implementation of AN-ACC will be incremental, homes </w:t>
      </w:r>
      <w:r w:rsidR="001D4100">
        <w:t xml:space="preserve">would not be able to </w:t>
      </w:r>
      <w:r w:rsidRPr="001D4100">
        <w:t>apply for a transition payment until such time as at least 25% of their residents have transitioned to AN-ACC funding</w:t>
      </w:r>
      <w:r w:rsidR="001D4100">
        <w:t>.</w:t>
      </w:r>
    </w:p>
    <w:bookmarkEnd w:id="79"/>
    <w:p w:rsidR="00142123" w:rsidRPr="000B42C6" w:rsidRDefault="00142123" w:rsidP="00441163">
      <w:pPr>
        <w:pStyle w:val="Recommendations"/>
        <w:pBdr>
          <w:top w:val="none" w:sz="0" w:space="0" w:color="auto"/>
          <w:left w:val="none" w:sz="0" w:space="0" w:color="auto"/>
          <w:bottom w:val="none" w:sz="0" w:space="0" w:color="auto"/>
          <w:right w:val="none" w:sz="0" w:space="0" w:color="auto"/>
        </w:pBdr>
      </w:pPr>
    </w:p>
    <w:p w:rsidR="00952FB6" w:rsidRDefault="00952FB6" w:rsidP="00441163">
      <w:pPr>
        <w:pStyle w:val="Normal-nospacing"/>
        <w:spacing w:after="240"/>
        <w:rPr>
          <w:rFonts w:eastAsia="Times New Roman" w:cs="Times New Roman"/>
        </w:rPr>
      </w:pPr>
      <w:r>
        <w:t>That the Commonwealth adopt a stop-loss policy for any home that would experience a significant funding decrease under the AN-ACC model with an initial</w:t>
      </w:r>
      <w:r w:rsidRPr="001D4100">
        <w:t xml:space="preserve"> stop-loss threshold </w:t>
      </w:r>
      <w:r>
        <w:t xml:space="preserve">of </w:t>
      </w:r>
      <w:r w:rsidRPr="001D4100">
        <w:t>5%</w:t>
      </w:r>
      <w:r>
        <w:t xml:space="preserve"> </w:t>
      </w:r>
      <w:r w:rsidR="00EE5457">
        <w:t xml:space="preserve">and transition payments </w:t>
      </w:r>
      <w:r>
        <w:t xml:space="preserve">payable for up to </w:t>
      </w:r>
      <w:r w:rsidRPr="001D4100">
        <w:t>two years from the date of transition</w:t>
      </w:r>
      <w:r>
        <w:t>.</w:t>
      </w:r>
    </w:p>
    <w:p w:rsidR="00952673" w:rsidRDefault="00952673" w:rsidP="00952673">
      <w:pPr>
        <w:pStyle w:val="Normal-nospacing"/>
      </w:pPr>
      <w:r>
        <w:br w:type="page"/>
      </w:r>
    </w:p>
    <w:p w:rsidR="00952673" w:rsidRPr="00952673" w:rsidRDefault="00952673" w:rsidP="00952673">
      <w:pPr>
        <w:pStyle w:val="Normal-nospacing"/>
        <w:rPr>
          <w:sz w:val="4"/>
          <w:szCs w:val="4"/>
        </w:rPr>
      </w:pPr>
    </w:p>
    <w:p w:rsidR="007E50FE" w:rsidRPr="000B42C6" w:rsidRDefault="00960734" w:rsidP="00952FB6">
      <w:pPr>
        <w:pStyle w:val="Heading1"/>
      </w:pPr>
      <w:bookmarkStart w:id="80" w:name="_Toc2005087"/>
      <w:r w:rsidRPr="000B42C6">
        <w:t>Implementation of the AN-ACC system: implications for government</w:t>
      </w:r>
      <w:bookmarkEnd w:id="80"/>
    </w:p>
    <w:p w:rsidR="00960734" w:rsidRDefault="00960734" w:rsidP="00184B56">
      <w:pPr>
        <w:pStyle w:val="Normal-nospacing"/>
      </w:pPr>
      <w:r w:rsidRPr="00184B56">
        <w:t>Th</w:t>
      </w:r>
      <w:r w:rsidR="00184B56">
        <w:t xml:space="preserve">e implementation of the AN-ACC funding system </w:t>
      </w:r>
      <w:r w:rsidRPr="00184B56">
        <w:t>is a significant reform for government</w:t>
      </w:r>
      <w:r w:rsidR="00184B56">
        <w:t xml:space="preserve">. It will </w:t>
      </w:r>
      <w:r w:rsidRPr="00184B56">
        <w:t xml:space="preserve">require upfront </w:t>
      </w:r>
      <w:r w:rsidR="00184B56">
        <w:t xml:space="preserve">planning and an upfront investment to </w:t>
      </w:r>
      <w:r w:rsidRPr="00184B56">
        <w:t>change</w:t>
      </w:r>
      <w:r w:rsidR="00184B56">
        <w:t xml:space="preserve"> </w:t>
      </w:r>
      <w:r w:rsidRPr="00184B56">
        <w:t>payment processes</w:t>
      </w:r>
      <w:r w:rsidR="00184B56">
        <w:t xml:space="preserve"> and</w:t>
      </w:r>
      <w:r w:rsidRPr="00184B56">
        <w:t xml:space="preserve"> policies</w:t>
      </w:r>
      <w:r w:rsidR="00184B56">
        <w:t xml:space="preserve">. Some amendments to the relevant </w:t>
      </w:r>
      <w:r w:rsidRPr="00184B56">
        <w:t>legislation</w:t>
      </w:r>
      <w:r w:rsidR="00184B56">
        <w:t xml:space="preserve"> will also be required.</w:t>
      </w:r>
    </w:p>
    <w:p w:rsidR="002678C0" w:rsidRPr="00184B56" w:rsidRDefault="002678C0" w:rsidP="002678C0">
      <w:pPr>
        <w:pStyle w:val="Normal-nospacing"/>
        <w:spacing w:before="0" w:after="0"/>
      </w:pPr>
    </w:p>
    <w:p w:rsidR="00142123" w:rsidRPr="000B42C6" w:rsidRDefault="00142123" w:rsidP="00441163">
      <w:pPr>
        <w:pStyle w:val="Recommendations"/>
        <w:pBdr>
          <w:top w:val="none" w:sz="0" w:space="0" w:color="auto"/>
          <w:left w:val="none" w:sz="0" w:space="0" w:color="auto"/>
          <w:bottom w:val="none" w:sz="0" w:space="0" w:color="auto"/>
          <w:right w:val="none" w:sz="0" w:space="0" w:color="auto"/>
        </w:pBdr>
      </w:pPr>
    </w:p>
    <w:p w:rsidR="00EC045B" w:rsidRPr="000B42C6" w:rsidRDefault="00960734" w:rsidP="00441163">
      <w:pPr>
        <w:spacing w:after="240"/>
      </w:pPr>
      <w:r w:rsidRPr="000B42C6">
        <w:t>That a national implementation plan with indicative time lines, costs, consultation strategy and communication plan be developed by the Department of Health.</w:t>
      </w:r>
    </w:p>
    <w:p w:rsidR="00EC045B" w:rsidRPr="000B42C6" w:rsidRDefault="00142123" w:rsidP="00441163">
      <w:pPr>
        <w:pStyle w:val="Heading2"/>
      </w:pPr>
      <w:bookmarkStart w:id="81" w:name="_Toc2005088"/>
      <w:r w:rsidRPr="000B42C6">
        <w:t>Cost informs price</w:t>
      </w:r>
      <w:r w:rsidR="00EC045B" w:rsidRPr="000B42C6">
        <w:t>: the need for an annual national costing study</w:t>
      </w:r>
      <w:bookmarkEnd w:id="81"/>
    </w:p>
    <w:p w:rsidR="00142123" w:rsidRPr="000B42C6" w:rsidRDefault="00D330A5" w:rsidP="00960734">
      <w:pPr>
        <w:pStyle w:val="Normal-nospacing"/>
      </w:pPr>
      <w:r w:rsidRPr="000B42C6">
        <w:t xml:space="preserve">Funding </w:t>
      </w:r>
      <w:r w:rsidR="00142123" w:rsidRPr="000B42C6">
        <w:t xml:space="preserve">subsidies for residential aged care are a policy decision of government. Under the </w:t>
      </w:r>
      <w:r w:rsidR="0008544A" w:rsidRPr="000B42C6">
        <w:t xml:space="preserve">proposed </w:t>
      </w:r>
      <w:r w:rsidR="00142123" w:rsidRPr="000B42C6">
        <w:t xml:space="preserve">new funding model, the government makes an annual determination about the funding (price) of an </w:t>
      </w:r>
      <w:r w:rsidRPr="000B42C6">
        <w:t>NWAU</w:t>
      </w:r>
      <w:r w:rsidR="00142123" w:rsidRPr="000B42C6">
        <w:t xml:space="preserve"> of 1.00. This price is standard across both the fixed and individualised components</w:t>
      </w:r>
      <w:r w:rsidR="00441163">
        <w:t xml:space="preserve">. </w:t>
      </w:r>
      <w:r w:rsidR="00142123" w:rsidRPr="000B42C6">
        <w:t xml:space="preserve">All prices in the funding model are then set relative to this annually determined </w:t>
      </w:r>
      <w:r w:rsidRPr="000B42C6">
        <w:t>NWAU</w:t>
      </w:r>
      <w:r w:rsidR="00441163">
        <w:t xml:space="preserve"> price.</w:t>
      </w:r>
    </w:p>
    <w:p w:rsidR="00142123" w:rsidRPr="000B42C6" w:rsidRDefault="00142123" w:rsidP="00960734">
      <w:pPr>
        <w:pStyle w:val="Normal-nospacing"/>
      </w:pPr>
      <w:r w:rsidRPr="000B42C6">
        <w:t>In the national hospital funding model, this price is termed the National Efficient Price</w:t>
      </w:r>
      <w:r w:rsidR="00D330A5" w:rsidRPr="000B42C6">
        <w:t xml:space="preserve"> (NEP)</w:t>
      </w:r>
      <w:r w:rsidRPr="000B42C6">
        <w:t>.</w:t>
      </w:r>
      <w:r w:rsidR="00EC045B" w:rsidRPr="000B42C6">
        <w:t xml:space="preserve"> </w:t>
      </w:r>
      <w:r w:rsidRPr="000B42C6">
        <w:t>Following the precedent already established in the national hospital funding model, there needs to be an explicit relationship between cost and price. In the hospital context, an annual hospital costing study is undertaken and the cost from one year is used to inform t</w:t>
      </w:r>
      <w:r w:rsidR="00441163">
        <w:t>he price in the following year.</w:t>
      </w:r>
    </w:p>
    <w:p w:rsidR="00960734" w:rsidRPr="000B42C6" w:rsidRDefault="00142123" w:rsidP="00960734">
      <w:pPr>
        <w:pStyle w:val="Normal-nospacing"/>
      </w:pPr>
      <w:r w:rsidRPr="000B42C6">
        <w:t>In this context, price equals ‘efficient cost’ plus a re</w:t>
      </w:r>
      <w:r w:rsidR="00441163">
        <w:t xml:space="preserve">asonable return on investment. </w:t>
      </w:r>
      <w:r w:rsidRPr="000B42C6">
        <w:t>There is no reason to adopt a different approach in the pricing of residential aged care.</w:t>
      </w:r>
    </w:p>
    <w:p w:rsidR="00057291" w:rsidRDefault="00142123" w:rsidP="00441163">
      <w:pPr>
        <w:pStyle w:val="Normal-nospacing"/>
        <w:spacing w:after="240"/>
      </w:pPr>
      <w:r w:rsidRPr="000B42C6">
        <w:t xml:space="preserve">If this approach is adopted, the </w:t>
      </w:r>
      <w:r w:rsidR="000B42C6" w:rsidRPr="000B42C6">
        <w:t xml:space="preserve">Department </w:t>
      </w:r>
      <w:r w:rsidR="00D330A5" w:rsidRPr="000B42C6">
        <w:t xml:space="preserve">or the </w:t>
      </w:r>
      <w:r w:rsidRPr="000B42C6">
        <w:t>I</w:t>
      </w:r>
      <w:r w:rsidR="00D330A5" w:rsidRPr="000B42C6">
        <w:t xml:space="preserve">ndependent </w:t>
      </w:r>
      <w:r w:rsidR="00EE5457">
        <w:t xml:space="preserve">Hospital Pricing </w:t>
      </w:r>
      <w:r w:rsidR="00126D31">
        <w:t>A</w:t>
      </w:r>
      <w:r w:rsidR="00EE5457">
        <w:t>uthority (I</w:t>
      </w:r>
      <w:r w:rsidRPr="000B42C6">
        <w:t>HPA</w:t>
      </w:r>
      <w:r w:rsidR="00EE5457">
        <w:t>)</w:t>
      </w:r>
      <w:r w:rsidRPr="000B42C6">
        <w:t xml:space="preserve"> could be tasked with undertaking </w:t>
      </w:r>
      <w:r w:rsidR="0008544A" w:rsidRPr="000B42C6">
        <w:t xml:space="preserve">or commissioning </w:t>
      </w:r>
      <w:r w:rsidRPr="000B42C6">
        <w:t xml:space="preserve">a national </w:t>
      </w:r>
      <w:r w:rsidR="00583E07">
        <w:t>residential aged care (</w:t>
      </w:r>
      <w:r w:rsidRPr="000B42C6">
        <w:t>RAC</w:t>
      </w:r>
      <w:r w:rsidR="00583E07">
        <w:t>)</w:t>
      </w:r>
      <w:r w:rsidRPr="000B42C6">
        <w:t xml:space="preserve"> costing study each year with the Commonwealth using those results to inform the N</w:t>
      </w:r>
      <w:r w:rsidR="00596D93">
        <w:t>EP</w:t>
      </w:r>
      <w:r w:rsidRPr="000B42C6">
        <w:t xml:space="preserve"> for the following year.</w:t>
      </w:r>
      <w:r w:rsidR="00441163">
        <w:t xml:space="preserve"> </w:t>
      </w:r>
      <w:r w:rsidR="0008544A" w:rsidRPr="000B42C6">
        <w:t>This same approach could be progressively expanded to include community aged care as well.</w:t>
      </w:r>
    </w:p>
    <w:p w:rsidR="00EC045B" w:rsidRPr="000B42C6" w:rsidRDefault="00EC045B" w:rsidP="00441163">
      <w:pPr>
        <w:pStyle w:val="Recommendations"/>
        <w:pBdr>
          <w:top w:val="none" w:sz="0" w:space="0" w:color="auto"/>
          <w:left w:val="none" w:sz="0" w:space="0" w:color="auto"/>
          <w:bottom w:val="none" w:sz="0" w:space="0" w:color="auto"/>
          <w:right w:val="none" w:sz="0" w:space="0" w:color="auto"/>
        </w:pBdr>
      </w:pPr>
    </w:p>
    <w:p w:rsidR="00EC045B" w:rsidRPr="000B42C6" w:rsidRDefault="00EC045B" w:rsidP="00441163">
      <w:pPr>
        <w:spacing w:after="480"/>
      </w:pPr>
      <w:r w:rsidRPr="000B42C6">
        <w:t>That the Commonwealth undertake an annual residential aged care costing study and, informed by that, determine the dollar value of an NWAU each financial year.</w:t>
      </w:r>
    </w:p>
    <w:p w:rsidR="00960734" w:rsidRPr="000B42C6" w:rsidRDefault="00EC045B" w:rsidP="00D92D15">
      <w:r w:rsidRPr="000B42C6">
        <w:t xml:space="preserve">More detail about the costing process is included in Report </w:t>
      </w:r>
      <w:r w:rsidR="00DD2646">
        <w:t>3</w:t>
      </w:r>
      <w:r w:rsidRPr="000B42C6">
        <w:t>.</w:t>
      </w:r>
    </w:p>
    <w:p w:rsidR="00142123" w:rsidRPr="000B42C6" w:rsidRDefault="00D92D15" w:rsidP="00D92D15">
      <w:pPr>
        <w:pStyle w:val="Heading1"/>
      </w:pPr>
      <w:bookmarkStart w:id="82" w:name="_Toc532311824"/>
      <w:bookmarkStart w:id="83" w:name="_Toc2005089"/>
      <w:r w:rsidRPr="000B42C6">
        <w:lastRenderedPageBreak/>
        <w:t>Implementation of the AN-ACC system: w</w:t>
      </w:r>
      <w:r w:rsidR="00142123" w:rsidRPr="000B42C6">
        <w:t>orkforce, IT and other practical issues</w:t>
      </w:r>
      <w:bookmarkEnd w:id="82"/>
      <w:bookmarkEnd w:id="83"/>
    </w:p>
    <w:p w:rsidR="009C7DD9" w:rsidRDefault="009C7DD9" w:rsidP="009C7DD9">
      <w:pPr>
        <w:pStyle w:val="Heading4"/>
      </w:pPr>
      <w:r>
        <w:t>Assessment workforce</w:t>
      </w:r>
    </w:p>
    <w:p w:rsidR="00142123" w:rsidRDefault="00142123" w:rsidP="009C7DD9">
      <w:pPr>
        <w:pStyle w:val="Normal-nospacing"/>
      </w:pPr>
      <w:r w:rsidRPr="009C7DD9">
        <w:t xml:space="preserve">The </w:t>
      </w:r>
      <w:r w:rsidR="009C7DD9" w:rsidRPr="009C7DD9">
        <w:t xml:space="preserve">AN-ACC </w:t>
      </w:r>
      <w:r w:rsidRPr="009C7DD9">
        <w:t xml:space="preserve">model requires the development of a workforce of </w:t>
      </w:r>
      <w:r w:rsidR="00126D31">
        <w:t xml:space="preserve">credentialed </w:t>
      </w:r>
      <w:r w:rsidRPr="009C7DD9">
        <w:t xml:space="preserve">assessors </w:t>
      </w:r>
      <w:r w:rsidR="009C7DD9" w:rsidRPr="009C7DD9">
        <w:t xml:space="preserve">who </w:t>
      </w:r>
      <w:r w:rsidRPr="009C7DD9">
        <w:t>are external to the aged care home</w:t>
      </w:r>
      <w:r w:rsidR="00441163">
        <w:t xml:space="preserve">. </w:t>
      </w:r>
      <w:r w:rsidR="00126D31">
        <w:t>T</w:t>
      </w:r>
      <w:r w:rsidR="009C7DD9" w:rsidRPr="009C7DD9">
        <w:t xml:space="preserve">his issue is addressed in more detail in </w:t>
      </w:r>
      <w:r w:rsidRPr="009C7DD9">
        <w:t>Report 2.</w:t>
      </w:r>
      <w:r w:rsidR="00184B56" w:rsidRPr="00184B56">
        <w:t xml:space="preserve"> </w:t>
      </w:r>
      <w:r w:rsidR="00184B56" w:rsidRPr="009C7DD9">
        <w:t xml:space="preserve">A </w:t>
      </w:r>
      <w:r w:rsidR="00184B56">
        <w:t xml:space="preserve">useful </w:t>
      </w:r>
      <w:r w:rsidR="00184B56" w:rsidRPr="009C7DD9">
        <w:t>prototype model for an external AN-ACC assessment workforce is the Australian Aged Care Quality Agency’s assessment workforce</w:t>
      </w:r>
      <w:r w:rsidR="00184B56">
        <w:t xml:space="preserve"> and this should be used to guide the implementation of the recommendations below.</w:t>
      </w:r>
    </w:p>
    <w:p w:rsidR="00AC02AD" w:rsidRDefault="00AC02AD" w:rsidP="00AC02AD">
      <w:pPr>
        <w:pStyle w:val="Normal-nospacing"/>
      </w:pPr>
      <w:r>
        <w:t xml:space="preserve">The long term implementation of an external assessment model is </w:t>
      </w:r>
      <w:r w:rsidRPr="00184B56">
        <w:t xml:space="preserve">expected to be </w:t>
      </w:r>
      <w:r>
        <w:t xml:space="preserve">cost </w:t>
      </w:r>
      <w:r w:rsidRPr="00184B56">
        <w:t xml:space="preserve">neutral </w:t>
      </w:r>
      <w:r>
        <w:t xml:space="preserve">with the costs of the new </w:t>
      </w:r>
      <w:r w:rsidRPr="00184B56">
        <w:t xml:space="preserve">assessment workforce </w:t>
      </w:r>
      <w:r>
        <w:t xml:space="preserve">model </w:t>
      </w:r>
      <w:r w:rsidRPr="00184B56">
        <w:t>be</w:t>
      </w:r>
      <w:r>
        <w:t>ing</w:t>
      </w:r>
      <w:r w:rsidRPr="00184B56">
        <w:t xml:space="preserve"> </w:t>
      </w:r>
      <w:r>
        <w:t xml:space="preserve">largely </w:t>
      </w:r>
      <w:r w:rsidRPr="00184B56">
        <w:t xml:space="preserve">offset by reduced investment in government </w:t>
      </w:r>
      <w:r>
        <w:t>compliance</w:t>
      </w:r>
      <w:r w:rsidRPr="00184B56">
        <w:t xml:space="preserve"> functions</w:t>
      </w:r>
      <w:r w:rsidR="00441163">
        <w:t>.</w:t>
      </w:r>
    </w:p>
    <w:p w:rsidR="00AC02AD" w:rsidRDefault="00AC02AD" w:rsidP="00AC02AD">
      <w:pPr>
        <w:pStyle w:val="Normal-nospacing"/>
      </w:pPr>
      <w:r>
        <w:t xml:space="preserve">That said, the government has already flagged its intention to refine broader aged care arrangements as they relate to Regional Assessment and </w:t>
      </w:r>
      <w:r w:rsidR="00441163">
        <w:t>Aged Care Assessment services.</w:t>
      </w:r>
    </w:p>
    <w:p w:rsidR="00AC02AD" w:rsidRDefault="00AC02AD" w:rsidP="00441163">
      <w:pPr>
        <w:pStyle w:val="Normal-nospacing"/>
        <w:spacing w:after="360"/>
      </w:pPr>
      <w:r>
        <w:t xml:space="preserve">The AN-ACC model is agnostic in relation to these broader issues. The </w:t>
      </w:r>
      <w:r w:rsidRPr="00184B56">
        <w:t xml:space="preserve">ACAT program role </w:t>
      </w:r>
      <w:r>
        <w:t xml:space="preserve">is </w:t>
      </w:r>
      <w:r w:rsidRPr="00184B56">
        <w:t>likely to be unchanged</w:t>
      </w:r>
      <w:r>
        <w:t xml:space="preserve">, with ACATs </w:t>
      </w:r>
      <w:r w:rsidRPr="00184B56">
        <w:t>retain</w:t>
      </w:r>
      <w:r>
        <w:t>ing their current</w:t>
      </w:r>
      <w:r w:rsidRPr="00184B56">
        <w:t xml:space="preserve"> role of ‘gatekeeper’ to </w:t>
      </w:r>
      <w:r>
        <w:t xml:space="preserve">packaged </w:t>
      </w:r>
      <w:r w:rsidRPr="00184B56">
        <w:t>aged care across community and residential</w:t>
      </w:r>
      <w:r>
        <w:t xml:space="preserve"> settings.  The AN-ACC assessment function could sit within an ACAT. Alternately, it could be undertaken by a separate agency or assessment network.</w:t>
      </w:r>
    </w:p>
    <w:p w:rsidR="00184B56" w:rsidRPr="000B42C6" w:rsidRDefault="00184B56" w:rsidP="00441163">
      <w:pPr>
        <w:pStyle w:val="Recommendations"/>
        <w:pBdr>
          <w:top w:val="none" w:sz="0" w:space="0" w:color="auto"/>
          <w:left w:val="none" w:sz="0" w:space="0" w:color="auto"/>
          <w:bottom w:val="none" w:sz="0" w:space="0" w:color="auto"/>
          <w:right w:val="none" w:sz="0" w:space="0" w:color="auto"/>
        </w:pBdr>
      </w:pPr>
    </w:p>
    <w:p w:rsidR="00184B56" w:rsidRPr="009C7DD9" w:rsidRDefault="00184B56" w:rsidP="00441163">
      <w:pPr>
        <w:pStyle w:val="Normal-nospacing"/>
        <w:spacing w:after="480"/>
      </w:pPr>
      <w:r w:rsidRPr="009C7DD9">
        <w:t>Th</w:t>
      </w:r>
      <w:r>
        <w:t>at,</w:t>
      </w:r>
      <w:r w:rsidRPr="009C7DD9">
        <w:t xml:space="preserve"> in the context of </w:t>
      </w:r>
      <w:r>
        <w:t xml:space="preserve">broader </w:t>
      </w:r>
      <w:r w:rsidRPr="009C7DD9">
        <w:t>reform</w:t>
      </w:r>
      <w:r>
        <w:t xml:space="preserve"> proposed for </w:t>
      </w:r>
      <w:r w:rsidRPr="009C7DD9">
        <w:t>aged care</w:t>
      </w:r>
      <w:r>
        <w:t xml:space="preserve"> assessment, the</w:t>
      </w:r>
      <w:r w:rsidRPr="009C7DD9">
        <w:t xml:space="preserve"> Commonwealth </w:t>
      </w:r>
      <w:r>
        <w:t xml:space="preserve">adopt </w:t>
      </w:r>
      <w:r w:rsidRPr="009C7DD9">
        <w:t xml:space="preserve">a national networked external assessment </w:t>
      </w:r>
      <w:r>
        <w:t>model for the AN-ACC funding assessment.</w:t>
      </w:r>
    </w:p>
    <w:p w:rsidR="00184B56" w:rsidRPr="009C7DD9" w:rsidRDefault="00184B56" w:rsidP="00441163">
      <w:pPr>
        <w:pStyle w:val="Recommendations"/>
        <w:pBdr>
          <w:top w:val="none" w:sz="0" w:space="0" w:color="auto"/>
          <w:left w:val="none" w:sz="0" w:space="0" w:color="auto"/>
          <w:bottom w:val="none" w:sz="0" w:space="0" w:color="auto"/>
          <w:right w:val="none" w:sz="0" w:space="0" w:color="auto"/>
        </w:pBdr>
        <w:rPr>
          <w:rFonts w:eastAsia="Times New Roman"/>
        </w:rPr>
      </w:pPr>
    </w:p>
    <w:p w:rsidR="00184B56" w:rsidRDefault="00184B56" w:rsidP="00441163">
      <w:pPr>
        <w:pStyle w:val="Normal-nospacing"/>
        <w:spacing w:after="360"/>
      </w:pPr>
      <w:r w:rsidRPr="009C7DD9">
        <w:t xml:space="preserve">Irrespective of </w:t>
      </w:r>
      <w:r>
        <w:t xml:space="preserve">the broader </w:t>
      </w:r>
      <w:r w:rsidRPr="009C7DD9">
        <w:t xml:space="preserve">organisational aspects, external assessment be undertaken by credentialed </w:t>
      </w:r>
      <w:r>
        <w:t xml:space="preserve">registered </w:t>
      </w:r>
      <w:r w:rsidRPr="009C7DD9">
        <w:t>nurs</w:t>
      </w:r>
      <w:r>
        <w:t>es</w:t>
      </w:r>
      <w:r w:rsidRPr="009C7DD9">
        <w:t>, occupational therap</w:t>
      </w:r>
      <w:r>
        <w:t xml:space="preserve">ists </w:t>
      </w:r>
      <w:r w:rsidRPr="009C7DD9">
        <w:t>and physiotherap</w:t>
      </w:r>
      <w:r>
        <w:t xml:space="preserve">ists who have </w:t>
      </w:r>
      <w:r w:rsidRPr="009C7DD9">
        <w:t>experience in aged care</w:t>
      </w:r>
      <w:r>
        <w:t xml:space="preserve">, </w:t>
      </w:r>
      <w:r w:rsidRPr="009C7DD9">
        <w:t>complete approved AN-ACC assessment training and comply with continuing profess</w:t>
      </w:r>
      <w:r w:rsidR="00441163">
        <w:t>ional development requirements.</w:t>
      </w:r>
    </w:p>
    <w:p w:rsidR="009C7DD9" w:rsidRPr="009C7DD9" w:rsidRDefault="009C7DD9" w:rsidP="009C7DD9">
      <w:pPr>
        <w:pStyle w:val="Heading4"/>
      </w:pPr>
      <w:r>
        <w:t>Information technology</w:t>
      </w:r>
    </w:p>
    <w:p w:rsidR="00142123" w:rsidRPr="009C7DD9" w:rsidRDefault="00142123" w:rsidP="009C7DD9">
      <w:pPr>
        <w:pStyle w:val="Normal-nospacing"/>
      </w:pPr>
      <w:r w:rsidRPr="009C7DD9">
        <w:t xml:space="preserve">The AN-ACC assessment can be recorded by the assessor using </w:t>
      </w:r>
      <w:r w:rsidR="009C7DD9">
        <w:t xml:space="preserve">either </w:t>
      </w:r>
      <w:r w:rsidRPr="009C7DD9">
        <w:t xml:space="preserve">a paper or digital form. Either way, the results of the assessment then </w:t>
      </w:r>
      <w:r w:rsidR="009C7DD9">
        <w:t xml:space="preserve">need to </w:t>
      </w:r>
      <w:r w:rsidRPr="009C7DD9">
        <w:t>be fed into a software ‘grouper’, a software program that assigns each resident to one of the thirteen</w:t>
      </w:r>
      <w:r w:rsidR="00441163">
        <w:t xml:space="preserve"> AN-ACC classes.</w:t>
      </w:r>
    </w:p>
    <w:p w:rsidR="00142123" w:rsidRPr="009C7DD9" w:rsidRDefault="00142123" w:rsidP="009C7DD9">
      <w:pPr>
        <w:pStyle w:val="Normal-nospacing"/>
      </w:pPr>
      <w:r w:rsidRPr="009C7DD9">
        <w:t>This information then needs to fe</w:t>
      </w:r>
      <w:r w:rsidR="009C7DD9">
        <w:t>e</w:t>
      </w:r>
      <w:r w:rsidRPr="009C7DD9">
        <w:t xml:space="preserve">d into the </w:t>
      </w:r>
      <w:r w:rsidR="00583E07">
        <w:t>Department of Human Services (</w:t>
      </w:r>
      <w:r w:rsidRPr="009C7DD9">
        <w:t>DHS</w:t>
      </w:r>
      <w:r w:rsidR="00583E07">
        <w:t>)</w:t>
      </w:r>
      <w:r w:rsidRPr="009C7DD9">
        <w:t xml:space="preserve"> payment system, along with the fixed care subsidy r</w:t>
      </w:r>
      <w:r w:rsidR="00441163">
        <w:t>ate for the specified facility.</w:t>
      </w:r>
      <w:r w:rsidRPr="009C7DD9">
        <w:t xml:space="preserve"> The grouper can be </w:t>
      </w:r>
      <w:r w:rsidRPr="009C7DD9">
        <w:lastRenderedPageBreak/>
        <w:t xml:space="preserve">part of the </w:t>
      </w:r>
      <w:r w:rsidR="009C7DD9">
        <w:t xml:space="preserve">DHS </w:t>
      </w:r>
      <w:r w:rsidRPr="009C7DD9">
        <w:t>IT system or it can be a standalone system which can feed data into the DHS payment system.</w:t>
      </w:r>
    </w:p>
    <w:p w:rsidR="00142123" w:rsidRDefault="00142123" w:rsidP="00441163">
      <w:pPr>
        <w:pStyle w:val="Normal-nospacing"/>
        <w:spacing w:after="360"/>
      </w:pPr>
      <w:r w:rsidRPr="009C7DD9">
        <w:t>Once the AN-ACC data are fed into the DHS system, the IT and payment issues are handled in the same way as the current system.</w:t>
      </w:r>
    </w:p>
    <w:p w:rsidR="00184B56" w:rsidRDefault="00184B56" w:rsidP="00441163">
      <w:pPr>
        <w:pStyle w:val="Recommendations"/>
        <w:pBdr>
          <w:top w:val="none" w:sz="0" w:space="0" w:color="auto"/>
          <w:left w:val="none" w:sz="0" w:space="0" w:color="auto"/>
          <w:bottom w:val="none" w:sz="0" w:space="0" w:color="auto"/>
          <w:right w:val="none" w:sz="0" w:space="0" w:color="auto"/>
        </w:pBdr>
      </w:pPr>
    </w:p>
    <w:p w:rsidR="00184B56" w:rsidRDefault="00184B56" w:rsidP="00441163">
      <w:pPr>
        <w:pStyle w:val="Normal-nospacing"/>
        <w:spacing w:after="360"/>
      </w:pPr>
      <w:r>
        <w:t>That the Commonwealth develop an Information Technology strategy for the progressive implementation of the AN-ACC funding model.</w:t>
      </w:r>
    </w:p>
    <w:p w:rsidR="009C7DD9" w:rsidRPr="009C7DD9" w:rsidRDefault="009C7DD9" w:rsidP="009C7DD9">
      <w:pPr>
        <w:pStyle w:val="Heading4"/>
      </w:pPr>
      <w:r>
        <w:t>Culture change and sector education</w:t>
      </w:r>
    </w:p>
    <w:p w:rsidR="00142123" w:rsidRPr="009C7DD9" w:rsidRDefault="00142123" w:rsidP="009C7DD9">
      <w:pPr>
        <w:pStyle w:val="Normal-nospacing"/>
      </w:pPr>
      <w:r w:rsidRPr="009C7DD9">
        <w:t>This funding model represents a significant change for the residential aged care sector and planning for its incremental implementation needs to commence as soon as gove</w:t>
      </w:r>
      <w:r w:rsidR="00441163">
        <w:t>rnment announcements are made.</w:t>
      </w:r>
    </w:p>
    <w:p w:rsidR="00142123" w:rsidRPr="009C7DD9" w:rsidRDefault="00142123" w:rsidP="009C7DD9">
      <w:pPr>
        <w:pStyle w:val="Normal-nospacing"/>
      </w:pPr>
      <w:r w:rsidRPr="009C7DD9">
        <w:t>Planning for the technical implementation of the model needs to be accompanied by an in</w:t>
      </w:r>
      <w:r w:rsidR="00441163">
        <w:t xml:space="preserve">vestment in change management. </w:t>
      </w:r>
      <w:r w:rsidRPr="009C7DD9">
        <w:t>The government and the sector need to enter into a partnership to implement the new model, recognising that this is in the interests of reside</w:t>
      </w:r>
      <w:r w:rsidR="00441163">
        <w:t>nts, providers and government.</w:t>
      </w:r>
    </w:p>
    <w:p w:rsidR="00AC02AD" w:rsidRDefault="00142123" w:rsidP="009C7DD9">
      <w:pPr>
        <w:pStyle w:val="Normal-nospacing"/>
      </w:pPr>
      <w:r w:rsidRPr="009C7DD9">
        <w:t>At the same time, there will inevitably be the need to fine-tune the model</w:t>
      </w:r>
      <w:r w:rsidR="002C3CE9">
        <w:t xml:space="preserve"> as implementation progresses. </w:t>
      </w:r>
      <w:r w:rsidRPr="009C7DD9">
        <w:t>The Department will need systems in place for sector engagement and consultation as implementation progresses as well as</w:t>
      </w:r>
      <w:r w:rsidR="002C3CE9">
        <w:t xml:space="preserve"> access to technical expertise.</w:t>
      </w:r>
    </w:p>
    <w:p w:rsidR="00AC02AD" w:rsidRPr="009C7DD9" w:rsidRDefault="00F043E1" w:rsidP="002C3CE9">
      <w:pPr>
        <w:pStyle w:val="Normal-nospacing"/>
        <w:spacing w:after="480"/>
      </w:pPr>
      <w:r w:rsidRPr="000B42C6">
        <w:t>This includes access to expertise on how to use the data to better measure the needs and changing needs of residents, the measurement of resident outcomes and adverse events and the use of the data to predict future demand for residential aged care.</w:t>
      </w:r>
    </w:p>
    <w:p w:rsidR="009C7DD9" w:rsidRDefault="009C7DD9" w:rsidP="002C3CE9">
      <w:pPr>
        <w:pStyle w:val="Recommendations"/>
        <w:pBdr>
          <w:top w:val="none" w:sz="0" w:space="0" w:color="auto"/>
          <w:left w:val="none" w:sz="0" w:space="0" w:color="auto"/>
          <w:bottom w:val="none" w:sz="0" w:space="0" w:color="auto"/>
          <w:right w:val="none" w:sz="0" w:space="0" w:color="auto"/>
        </w:pBdr>
      </w:pPr>
    </w:p>
    <w:p w:rsidR="00AC02AD" w:rsidRDefault="00AC02AD" w:rsidP="002C3CE9">
      <w:pPr>
        <w:spacing w:after="240"/>
      </w:pPr>
      <w:r>
        <w:t>That the Commonwealth work with peak bodies to develop and implement a change management strategy.</w:t>
      </w:r>
    </w:p>
    <w:p w:rsidR="00952673" w:rsidRDefault="00952673" w:rsidP="00952673">
      <w:pPr>
        <w:pStyle w:val="Normal-nospacing"/>
      </w:pPr>
      <w:r>
        <w:br w:type="page"/>
      </w:r>
    </w:p>
    <w:p w:rsidR="00952673" w:rsidRPr="00952673" w:rsidRDefault="00952673" w:rsidP="00952673">
      <w:pPr>
        <w:pStyle w:val="Normal-nospacing"/>
        <w:rPr>
          <w:sz w:val="4"/>
          <w:szCs w:val="4"/>
        </w:rPr>
      </w:pPr>
    </w:p>
    <w:p w:rsidR="00142123" w:rsidRPr="000B42C6" w:rsidRDefault="00DA0373" w:rsidP="009C7DD9">
      <w:pPr>
        <w:pStyle w:val="Heading1"/>
      </w:pPr>
      <w:bookmarkStart w:id="84" w:name="_Toc2005090"/>
      <w:r w:rsidRPr="000B42C6">
        <w:t xml:space="preserve">An </w:t>
      </w:r>
      <w:r w:rsidR="003322EB">
        <w:t>on</w:t>
      </w:r>
      <w:r w:rsidRPr="000B42C6">
        <w:t>going research and development agenda</w:t>
      </w:r>
      <w:bookmarkEnd w:id="84"/>
    </w:p>
    <w:p w:rsidR="00F043E1" w:rsidRDefault="00F043E1" w:rsidP="00F043E1">
      <w:pPr>
        <w:pStyle w:val="Normal-nospacing"/>
      </w:pPr>
      <w:r w:rsidRPr="00F043E1">
        <w:t>The RUCS represents a major research and development investment in the</w:t>
      </w:r>
      <w:r w:rsidR="002C3CE9">
        <w:t xml:space="preserve"> residential aged care sector. </w:t>
      </w:r>
      <w:r w:rsidRPr="00F043E1">
        <w:t xml:space="preserve">The study has produced a range of </w:t>
      </w:r>
      <w:r>
        <w:t xml:space="preserve">significant </w:t>
      </w:r>
      <w:r w:rsidRPr="00F043E1">
        <w:t xml:space="preserve">research evidence on the needs and costs of residential care and has delivered major outputs including a new AN-ACC </w:t>
      </w:r>
      <w:r w:rsidR="00E17365">
        <w:t>A</w:t>
      </w:r>
      <w:r w:rsidRPr="00F043E1">
        <w:t xml:space="preserve">ssessment </w:t>
      </w:r>
      <w:r w:rsidR="00E17365">
        <w:t>T</w:t>
      </w:r>
      <w:r w:rsidRPr="00F043E1">
        <w:t>ool, an AN-ACC classification and an AN-ACC funding model.</w:t>
      </w:r>
    </w:p>
    <w:p w:rsidR="00F043E1" w:rsidRDefault="00F043E1" w:rsidP="00F043E1">
      <w:pPr>
        <w:pStyle w:val="Normal-nospacing"/>
      </w:pPr>
      <w:r>
        <w:t xml:space="preserve">Each of these </w:t>
      </w:r>
      <w:r w:rsidR="003C307B">
        <w:t>is</w:t>
      </w:r>
      <w:r>
        <w:t xml:space="preserve"> robust enough to warrant adoption and imple</w:t>
      </w:r>
      <w:r w:rsidR="002C3CE9">
        <w:t xml:space="preserve">mentation on a national basis. </w:t>
      </w:r>
      <w:r>
        <w:t>That said, they should all be regarded as Version 1</w:t>
      </w:r>
      <w:r w:rsidR="00E17365">
        <w:t>.0</w:t>
      </w:r>
      <w:r w:rsidR="002C3CE9">
        <w:t>.</w:t>
      </w:r>
    </w:p>
    <w:p w:rsidR="008F01C3" w:rsidRDefault="00F043E1" w:rsidP="00F043E1">
      <w:pPr>
        <w:pStyle w:val="Normal-nospacing"/>
      </w:pPr>
      <w:r>
        <w:t xml:space="preserve">The adoption of these </w:t>
      </w:r>
      <w:r w:rsidR="008F01C3">
        <w:t>new</w:t>
      </w:r>
      <w:r>
        <w:t xml:space="preserve"> systems needs to be seen in contex</w:t>
      </w:r>
      <w:r w:rsidR="002C3CE9">
        <w:t xml:space="preserve">t. </w:t>
      </w:r>
      <w:r w:rsidR="008F01C3">
        <w:t>A</w:t>
      </w:r>
      <w:r>
        <w:t>ssessment, classification and costing studies have been undertaken routinely in the health sec</w:t>
      </w:r>
      <w:r w:rsidR="002C3CE9">
        <w:t xml:space="preserve">tor over the last two decades. </w:t>
      </w:r>
      <w:r>
        <w:t>Likewise, studies to define and cost best practice and to investigate the relationship between payment and performance have a</w:t>
      </w:r>
      <w:r w:rsidR="002C3CE9">
        <w:t xml:space="preserve"> long history in health care.</w:t>
      </w:r>
    </w:p>
    <w:p w:rsidR="00A42861" w:rsidRDefault="008F01C3" w:rsidP="00F043E1">
      <w:pPr>
        <w:pStyle w:val="Normal-nospacing"/>
      </w:pPr>
      <w:r>
        <w:t xml:space="preserve">In contrast, there has been little or no investment in this type of research and development in </w:t>
      </w:r>
      <w:r w:rsidR="00EE5457">
        <w:t xml:space="preserve">the </w:t>
      </w:r>
      <w:r w:rsidR="002C3CE9">
        <w:t xml:space="preserve">aged care sector. </w:t>
      </w:r>
      <w:r>
        <w:t>This needs to change. Unless there is a systematic program of investment in research and development, it will not be possible for the sector to deliver evidence-based care and it will not be possible for consumers, providers and governments to make informed decisions about the efficiency and effectiveness of the</w:t>
      </w:r>
      <w:r w:rsidR="002C3CE9">
        <w:t xml:space="preserve"> care that the sector delivers.</w:t>
      </w:r>
    </w:p>
    <w:p w:rsidR="008F01C3" w:rsidRDefault="008F01C3" w:rsidP="00F043E1">
      <w:pPr>
        <w:pStyle w:val="Normal-nospacing"/>
      </w:pPr>
      <w:r>
        <w:t>A range of research and development studies have been suggested by the results of the RUCS. These include</w:t>
      </w:r>
      <w:r w:rsidR="003322EB">
        <w:t xml:space="preserve"> (but are not limited to)</w:t>
      </w:r>
      <w:r>
        <w:t>:</w:t>
      </w:r>
    </w:p>
    <w:p w:rsidR="00817BF4" w:rsidRDefault="00817BF4" w:rsidP="00817BF4">
      <w:pPr>
        <w:pStyle w:val="Bullet"/>
      </w:pPr>
      <w:r>
        <w:t xml:space="preserve">an annual costing study to revise </w:t>
      </w:r>
      <w:r w:rsidR="00583E07">
        <w:t>relative value units (</w:t>
      </w:r>
      <w:r>
        <w:t>RVUs</w:t>
      </w:r>
      <w:r w:rsidR="00583E07">
        <w:t>)</w:t>
      </w:r>
      <w:r>
        <w:t xml:space="preserve"> and to determine the annual NWAU price</w:t>
      </w:r>
    </w:p>
    <w:p w:rsidR="008F01C3" w:rsidRDefault="008F01C3" w:rsidP="008F01C3">
      <w:pPr>
        <w:pStyle w:val="Bullet"/>
      </w:pPr>
      <w:r>
        <w:t>supplementary costing studies to refin</w:t>
      </w:r>
      <w:r w:rsidR="002C3CE9">
        <w:t>e elements of the funding model</w:t>
      </w:r>
    </w:p>
    <w:p w:rsidR="008F01C3" w:rsidRDefault="008F01C3" w:rsidP="008F01C3">
      <w:pPr>
        <w:pStyle w:val="Bullet"/>
      </w:pPr>
      <w:r>
        <w:t>future classification studies to develop the second and subsequent versions of the AN-ACC classification in response to changing models of care</w:t>
      </w:r>
    </w:p>
    <w:p w:rsidR="008F01C3" w:rsidRDefault="003322EB" w:rsidP="008F01C3">
      <w:pPr>
        <w:pStyle w:val="Bullet"/>
      </w:pPr>
      <w:r>
        <w:t>quality and outcomes studies to measure the quality and outcomes of care by AN-ACC class and to set national benchmarks.</w:t>
      </w:r>
    </w:p>
    <w:p w:rsidR="003322EB" w:rsidRDefault="003322EB" w:rsidP="002C3CE9">
      <w:pPr>
        <w:pStyle w:val="Normal-nospacing"/>
        <w:spacing w:after="240"/>
      </w:pPr>
      <w:r>
        <w:t>At the same time, there is increasing government and personal investment in commu</w:t>
      </w:r>
      <w:r w:rsidR="002C3CE9">
        <w:t xml:space="preserve">nity and home-based aged care. </w:t>
      </w:r>
      <w:r>
        <w:t>This suggests that there be a parallel research and development investment in community aged care.  The AN-ACC Version 1</w:t>
      </w:r>
      <w:r w:rsidR="00E17365">
        <w:t>.0</w:t>
      </w:r>
      <w:r>
        <w:t xml:space="preserve"> model has been developed specifically for residential aged care. But the next step is to expand it to include community aged care as well.</w:t>
      </w:r>
    </w:p>
    <w:p w:rsidR="00A42861" w:rsidRPr="000B42C6" w:rsidRDefault="00A42861" w:rsidP="002C3CE9">
      <w:pPr>
        <w:pStyle w:val="Recommendations"/>
        <w:pBdr>
          <w:top w:val="none" w:sz="0" w:space="0" w:color="auto"/>
          <w:left w:val="none" w:sz="0" w:space="0" w:color="auto"/>
          <w:bottom w:val="none" w:sz="0" w:space="0" w:color="auto"/>
          <w:right w:val="none" w:sz="0" w:space="0" w:color="auto"/>
        </w:pBdr>
      </w:pPr>
    </w:p>
    <w:p w:rsidR="00A42861" w:rsidRDefault="003322EB" w:rsidP="002C3CE9">
      <w:pPr>
        <w:spacing w:after="480"/>
      </w:pPr>
      <w:r>
        <w:t>That Government commit to an on</w:t>
      </w:r>
      <w:r w:rsidRPr="000B42C6">
        <w:t xml:space="preserve">going </w:t>
      </w:r>
      <w:r>
        <w:t xml:space="preserve">aged care </w:t>
      </w:r>
      <w:r w:rsidRPr="000B42C6">
        <w:t>research and development agenda</w:t>
      </w:r>
      <w:r>
        <w:t xml:space="preserve"> that builds on the work of the RUCS and that includes assessment, classification, costing and outcome studies.</w:t>
      </w:r>
    </w:p>
    <w:p w:rsidR="003322EB" w:rsidRDefault="003322EB" w:rsidP="002C3CE9">
      <w:pPr>
        <w:pStyle w:val="Recommendations"/>
        <w:pBdr>
          <w:top w:val="none" w:sz="0" w:space="0" w:color="auto"/>
          <w:left w:val="none" w:sz="0" w:space="0" w:color="auto"/>
          <w:bottom w:val="none" w:sz="0" w:space="0" w:color="auto"/>
          <w:right w:val="none" w:sz="0" w:space="0" w:color="auto"/>
        </w:pBdr>
      </w:pPr>
    </w:p>
    <w:p w:rsidR="003322EB" w:rsidRDefault="003322EB" w:rsidP="002C3CE9">
      <w:pPr>
        <w:spacing w:after="240"/>
      </w:pPr>
      <w:r>
        <w:t>That a study equivalent to RUCS be undertaken in the community aged care sector with a view to expanding AN-ACC so that it includes aged care delivered in all settings.</w:t>
      </w:r>
    </w:p>
    <w:p w:rsidR="005E0AB0" w:rsidRPr="000B42C6" w:rsidRDefault="005E0AB0" w:rsidP="005E0AB0">
      <w:pPr>
        <w:pStyle w:val="Heading1"/>
      </w:pPr>
      <w:bookmarkStart w:id="85" w:name="_Toc2005091"/>
      <w:r w:rsidRPr="000B42C6">
        <w:t>Conclusion</w:t>
      </w:r>
      <w:bookmarkEnd w:id="85"/>
    </w:p>
    <w:p w:rsidR="005E0AB0" w:rsidRPr="000B42C6" w:rsidRDefault="005E0AB0" w:rsidP="00CF1017">
      <w:pPr>
        <w:pStyle w:val="Normal-nospacing"/>
      </w:pPr>
      <w:r w:rsidRPr="000B42C6">
        <w:t xml:space="preserve">Funding reform is not an end in itself. In addition to a more efficient and equitable funding model, this funding reform provides an important opportunity to drive fundamental improvements in resident experiences and outcomes. It also provides the evidence base necessary to evaluate the value for </w:t>
      </w:r>
      <w:r w:rsidR="002C3CE9">
        <w:t>money that the sector achieves.</w:t>
      </w:r>
    </w:p>
    <w:p w:rsidR="0008544A" w:rsidRPr="000B42C6" w:rsidRDefault="0008544A" w:rsidP="00CF1017">
      <w:pPr>
        <w:pStyle w:val="Normal-nospacing"/>
      </w:pPr>
      <w:r w:rsidRPr="000B42C6">
        <w:t>The results presented in this series of reports suggest the potential of the AN-ACC classification to provide a meaningful system for measuring and benchmar</w:t>
      </w:r>
      <w:r w:rsidR="002C3CE9">
        <w:t xml:space="preserve">king resident outcomes. </w:t>
      </w:r>
      <w:r w:rsidRPr="000B42C6">
        <w:t>Mortality rates and rates of outcome measures</w:t>
      </w:r>
      <w:r w:rsidR="00E17365">
        <w:t>,</w:t>
      </w:r>
      <w:r w:rsidRPr="000B42C6">
        <w:t xml:space="preserve"> such as falls</w:t>
      </w:r>
      <w:r w:rsidR="00E17365">
        <w:t>,</w:t>
      </w:r>
      <w:r w:rsidRPr="000B42C6">
        <w:t xml:space="preserve"> vary </w:t>
      </w:r>
      <w:r w:rsidR="002C3CE9">
        <w:t xml:space="preserve">significantly by AN-ACC class. </w:t>
      </w:r>
      <w:r w:rsidRPr="000B42C6">
        <w:t>Reporting resident outcome measures by AN-ACC class allows for resident outcomes to be routinely evaluated</w:t>
      </w:r>
      <w:r w:rsidR="00E17365">
        <w:t>,</w:t>
      </w:r>
      <w:r w:rsidRPr="000B42C6">
        <w:t xml:space="preserve"> taking into account the mix </w:t>
      </w:r>
      <w:r w:rsidR="002C3CE9">
        <w:t>of residents in each facility.</w:t>
      </w:r>
    </w:p>
    <w:p w:rsidR="0008544A" w:rsidRPr="000B42C6" w:rsidRDefault="0008544A" w:rsidP="002C3CE9">
      <w:pPr>
        <w:pStyle w:val="Normal-nospacing"/>
        <w:spacing w:after="840"/>
      </w:pPr>
      <w:r w:rsidRPr="000B42C6">
        <w:t>This will allow (for the first time) consumers, providers and government to make meaningful judgements about the quality and outcomes of residential aged care and to fairly compare the quality of care provided at differ</w:t>
      </w:r>
      <w:r w:rsidR="002C3CE9">
        <w:t>ent facilities.</w:t>
      </w:r>
      <w:r w:rsidRPr="000B42C6">
        <w:t xml:space="preserve"> This is the ultimate measure by which the aged care sector should be judged.</w:t>
      </w:r>
    </w:p>
    <w:p w:rsidR="00142123" w:rsidRPr="000B42C6" w:rsidRDefault="00142123" w:rsidP="00142123">
      <w:pPr>
        <w:rPr>
          <w:rFonts w:eastAsiaTheme="minorHAnsi" w:cstheme="minorHAnsi"/>
          <w:lang w:eastAsia="zh-CN" w:bidi="th-TH"/>
        </w:rPr>
      </w:pPr>
      <w:r w:rsidRPr="000B42C6">
        <w:rPr>
          <w:rFonts w:eastAsiaTheme="minorHAnsi" w:cstheme="minorHAnsi"/>
          <w:lang w:eastAsia="zh-CN" w:bidi="th-TH"/>
        </w:rPr>
        <w:br w:type="page"/>
      </w:r>
    </w:p>
    <w:p w:rsidR="007824C6" w:rsidRPr="000B42C6" w:rsidRDefault="006E3131" w:rsidP="006E3131">
      <w:pPr>
        <w:pStyle w:val="Heading1"/>
        <w:numPr>
          <w:ilvl w:val="0"/>
          <w:numId w:val="0"/>
        </w:numPr>
      </w:pPr>
      <w:bookmarkStart w:id="86" w:name="_Ref532486478"/>
      <w:bookmarkStart w:id="87" w:name="_Toc2005092"/>
      <w:r w:rsidRPr="000B42C6">
        <w:lastRenderedPageBreak/>
        <w:t>Appendix 1</w:t>
      </w:r>
      <w:bookmarkEnd w:id="86"/>
      <w:bookmarkEnd w:id="87"/>
    </w:p>
    <w:p w:rsidR="006E3131" w:rsidRPr="000B42C6" w:rsidRDefault="006E3131" w:rsidP="007824C6">
      <w:pPr>
        <w:pStyle w:val="Heading2"/>
        <w:numPr>
          <w:ilvl w:val="0"/>
          <w:numId w:val="0"/>
        </w:numPr>
      </w:pPr>
      <w:bookmarkStart w:id="88" w:name="_Toc2005093"/>
      <w:r w:rsidRPr="000B42C6">
        <w:t>The AN-ACC Version 1</w:t>
      </w:r>
      <w:r w:rsidR="00E17365">
        <w:t>.0</w:t>
      </w:r>
      <w:r w:rsidRPr="000B42C6">
        <w:t xml:space="preserve"> classification</w:t>
      </w:r>
      <w:bookmarkEnd w:id="88"/>
    </w:p>
    <w:p w:rsidR="00FF09BF" w:rsidRDefault="00FF09BF" w:rsidP="00FF09BF">
      <w:pPr>
        <w:pStyle w:val="Caption"/>
      </w:pPr>
      <w:bookmarkStart w:id="89" w:name="_Toc2005095"/>
      <w:r w:rsidRPr="000B42C6">
        <w:t xml:space="preserve">Figure </w:t>
      </w:r>
      <w:r w:rsidR="006D0C73">
        <w:rPr>
          <w:noProof/>
        </w:rPr>
        <w:fldChar w:fldCharType="begin"/>
      </w:r>
      <w:r w:rsidR="006D0C73">
        <w:rPr>
          <w:noProof/>
        </w:rPr>
        <w:instrText xml:space="preserve"> SEQ Figure \* ARABIC </w:instrText>
      </w:r>
      <w:r w:rsidR="006D0C73">
        <w:rPr>
          <w:noProof/>
        </w:rPr>
        <w:fldChar w:fldCharType="separate"/>
      </w:r>
      <w:r w:rsidR="004737ED">
        <w:rPr>
          <w:noProof/>
        </w:rPr>
        <w:t>1</w:t>
      </w:r>
      <w:r w:rsidR="006D0C73">
        <w:rPr>
          <w:noProof/>
        </w:rPr>
        <w:fldChar w:fldCharType="end"/>
      </w:r>
      <w:r w:rsidRPr="000B42C6">
        <w:tab/>
        <w:t>AN-ACC Version 1</w:t>
      </w:r>
      <w:r w:rsidR="00E17365">
        <w:t>.0</w:t>
      </w:r>
      <w:bookmarkEnd w:id="89"/>
    </w:p>
    <w:p w:rsidR="00BA7178" w:rsidRDefault="002C3CE9" w:rsidP="00511C1A">
      <w:r>
        <w:rPr>
          <w:noProof/>
        </w:rPr>
        <w:drawing>
          <wp:inline distT="0" distB="0" distL="0" distR="0" wp14:anchorId="55D23EDD" wp14:editId="7DC29832">
            <wp:extent cx="5667375" cy="6886575"/>
            <wp:effectExtent l="0" t="0" r="9525" b="9525"/>
            <wp:docPr id="1" name="Picture 1" descr="Figure 1 is a diagram of the AN-ACC Version 1.0 classification. The classification is summarised on pages 5 and 6 of this report, and fully described in Report 1: The Australian National Aged Care Classification." title="Figure 1 AN-ACC Version 1.0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67375" cy="6886575"/>
                    </a:xfrm>
                    <a:prstGeom prst="rect">
                      <a:avLst/>
                    </a:prstGeom>
                  </pic:spPr>
                </pic:pic>
              </a:graphicData>
            </a:graphic>
          </wp:inline>
        </w:drawing>
      </w:r>
    </w:p>
    <w:sectPr w:rsidR="00BA7178" w:rsidSect="00684B4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FD6" w:rsidRDefault="00250FD6" w:rsidP="00003E81">
      <w:r>
        <w:separator/>
      </w:r>
    </w:p>
  </w:endnote>
  <w:endnote w:type="continuationSeparator" w:id="0">
    <w:p w:rsidR="00250FD6" w:rsidRDefault="00250FD6" w:rsidP="0000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Pr="006E49DF" w:rsidRDefault="00250FD6" w:rsidP="00142123">
    <w:pPr>
      <w:pStyle w:val="Footer"/>
    </w:pPr>
    <w:r w:rsidRPr="006E49D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Pr="006E49DF" w:rsidRDefault="00250FD6" w:rsidP="00142123">
    <w:pPr>
      <w:pStyle w:val="Footer"/>
    </w:pPr>
    <w:r w:rsidRPr="006E49DF">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Pr="00A47BD8" w:rsidRDefault="00250FD6" w:rsidP="00A47BD8">
    <w:pPr>
      <w:pStyle w:val="Footer"/>
      <w:pBdr>
        <w:top w:val="single" w:sz="4" w:space="1" w:color="auto"/>
      </w:pBdr>
      <w:rPr>
        <w:sz w:val="22"/>
        <w:szCs w:val="22"/>
      </w:rPr>
    </w:pPr>
  </w:p>
  <w:p w:rsidR="00250FD6" w:rsidRPr="00A47BD8" w:rsidRDefault="00250FD6" w:rsidP="001A12C3">
    <w:pPr>
      <w:rPr>
        <w:b/>
        <w:i/>
      </w:rPr>
    </w:pPr>
    <w:r w:rsidRPr="00A47BD8">
      <w:rPr>
        <w:b/>
        <w:i/>
        <w:sz w:val="22"/>
        <w:szCs w:val="22"/>
      </w:rPr>
      <w:t>Report 6: AN-ACC: A national classification and funding model for residential aged care: Synthesis and consolidated recommendations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rsidP="00A47BD8">
    <w:pPr>
      <w:pStyle w:val="Footer"/>
    </w:pPr>
  </w:p>
  <w:p w:rsidR="00250FD6" w:rsidRDefault="00250FD6" w:rsidP="00C22F0D">
    <w:pPr>
      <w:pBdr>
        <w:top w:val="single" w:sz="4" w:space="1" w:color="auto"/>
      </w:pBdr>
      <w:rPr>
        <w:b/>
        <w:i/>
        <w:sz w:val="22"/>
        <w:szCs w:val="22"/>
      </w:rPr>
    </w:pPr>
    <w:r w:rsidRPr="00A47BD8">
      <w:rPr>
        <w:b/>
        <w:i/>
        <w:sz w:val="22"/>
        <w:szCs w:val="22"/>
      </w:rPr>
      <w:t>Report 6: AN-ACC: A national classification and funding model for residential aged care: Synthesis and consolidated recommendations</w:t>
    </w:r>
  </w:p>
  <w:p w:rsidR="00250FD6" w:rsidRPr="00A47BD8" w:rsidRDefault="00250FD6" w:rsidP="00482488">
    <w:pPr>
      <w:jc w:val="right"/>
      <w:rPr>
        <w:b/>
        <w:i/>
        <w:sz w:val="22"/>
        <w:szCs w:val="22"/>
      </w:rPr>
    </w:pPr>
    <w:r w:rsidRPr="00A47BD8">
      <w:rPr>
        <w:b/>
        <w:i/>
        <w:sz w:val="22"/>
        <w:szCs w:val="22"/>
      </w:rPr>
      <w:t xml:space="preserve">Page </w:t>
    </w:r>
    <w:sdt>
      <w:sdtPr>
        <w:rPr>
          <w:b/>
          <w:i/>
          <w:sz w:val="22"/>
          <w:szCs w:val="22"/>
        </w:rPr>
        <w:id w:val="-118145685"/>
        <w:docPartObj>
          <w:docPartGallery w:val="Page Numbers (Bottom of Page)"/>
          <w:docPartUnique/>
        </w:docPartObj>
      </w:sdtPr>
      <w:sdtEndPr/>
      <w:sdtContent>
        <w:r w:rsidRPr="00A47BD8">
          <w:rPr>
            <w:b/>
            <w:i/>
            <w:sz w:val="22"/>
            <w:szCs w:val="22"/>
          </w:rPr>
          <w:fldChar w:fldCharType="begin"/>
        </w:r>
        <w:r w:rsidRPr="00A47BD8">
          <w:rPr>
            <w:b/>
            <w:i/>
            <w:sz w:val="22"/>
            <w:szCs w:val="22"/>
          </w:rPr>
          <w:instrText xml:space="preserve"> PAGE   \* MERGEFORMAT </w:instrText>
        </w:r>
        <w:r w:rsidRPr="00A47BD8">
          <w:rPr>
            <w:b/>
            <w:i/>
            <w:sz w:val="22"/>
            <w:szCs w:val="22"/>
          </w:rPr>
          <w:fldChar w:fldCharType="separate"/>
        </w:r>
        <w:r w:rsidR="00157C3A">
          <w:rPr>
            <w:b/>
            <w:i/>
            <w:noProof/>
            <w:sz w:val="22"/>
            <w:szCs w:val="22"/>
          </w:rPr>
          <w:t>13</w:t>
        </w:r>
        <w:r w:rsidRPr="00A47BD8">
          <w:rPr>
            <w:b/>
            <w: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FD6" w:rsidRDefault="00250FD6" w:rsidP="00003E81">
      <w:r>
        <w:separator/>
      </w:r>
    </w:p>
  </w:footnote>
  <w:footnote w:type="continuationSeparator" w:id="0">
    <w:p w:rsidR="00250FD6" w:rsidRDefault="00250FD6" w:rsidP="00003E81">
      <w:r>
        <w:continuationSeparator/>
      </w:r>
    </w:p>
  </w:footnote>
  <w:footnote w:id="1">
    <w:p w:rsidR="00250FD6" w:rsidRDefault="00250FD6">
      <w:pPr>
        <w:pStyle w:val="FootnoteText"/>
      </w:pPr>
      <w:r w:rsidRPr="0051544B">
        <w:rPr>
          <w:rStyle w:val="FootnoteReference"/>
        </w:rPr>
        <w:footnoteRef/>
      </w:r>
      <w:r w:rsidRPr="0051544B">
        <w:t xml:space="preserve"> </w:t>
      </w:r>
      <w:hyperlink r:id="rId1" w:history="1">
        <w:r w:rsidRPr="000228A9">
          <w:rPr>
            <w:rStyle w:val="Hyperlink"/>
            <w:color w:val="auto"/>
            <w:u w:val="none"/>
          </w:rPr>
          <w:t>My Aged Care: Quality Indicators in Aged Care</w:t>
        </w:r>
      </w:hyperlink>
      <w:r>
        <w:t xml:space="preserve"> (</w:t>
      </w:r>
      <w:r w:rsidRPr="00783524">
        <w:rPr>
          <w:rStyle w:val="Hyperlink"/>
          <w:color w:val="auto"/>
          <w:u w:val="none"/>
        </w:rPr>
        <w:t>https://www.myagedcare.gov.au/quality-and-complaints/quality-indicators-in-aged-care</w:t>
      </w:r>
      <w:r>
        <w:rPr>
          <w:rStyle w:val="Hyperlink"/>
          <w:color w:val="auto"/>
        </w:rPr>
        <w:t>)</w:t>
      </w:r>
      <w:r w:rsidRPr="0051544B">
        <w:t xml:space="preserve">. Accessed February </w:t>
      </w:r>
      <w:r>
        <w:t>2019.</w:t>
      </w:r>
    </w:p>
  </w:footnote>
  <w:footnote w:id="2">
    <w:p w:rsidR="00250FD6" w:rsidRDefault="00250FD6" w:rsidP="00B445B6">
      <w:pPr>
        <w:pStyle w:val="FootnoteText"/>
      </w:pPr>
      <w:r>
        <w:rPr>
          <w:rStyle w:val="FootnoteReference"/>
        </w:rPr>
        <w:footnoteRef/>
      </w:r>
      <w:r>
        <w:t xml:space="preserve"> $100 has been used in this example to make it easy to understand the idea. There is no intention for the Commonwealth to pay this as a subsidy.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D6" w:rsidRDefault="00250FD6" w:rsidP="00482488">
    <w:pPr>
      <w:pStyle w:val="Footer"/>
      <w:spacing w:after="200"/>
      <w:jc w:val="right"/>
    </w:pPr>
    <w:r w:rsidRPr="00684B6F">
      <w:rPr>
        <w:noProof/>
        <w:sz w:val="24"/>
      </w:rPr>
      <w:drawing>
        <wp:inline distT="0" distB="0" distL="0" distR="0" wp14:anchorId="0A6D1AE4" wp14:editId="16AD637D">
          <wp:extent cx="800100" cy="374650"/>
          <wp:effectExtent l="0" t="0" r="0" b="6350"/>
          <wp:docPr id="2" name="Picture 2" descr="Ahsri_Logo_Short" title="AHS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hsri_Logo_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74650"/>
                  </a:xfrm>
                  <a:prstGeom prst="rect">
                    <a:avLst/>
                  </a:prstGeom>
                  <a:noFill/>
                  <a:ln>
                    <a:noFill/>
                  </a:ln>
                </pic:spPr>
              </pic:pic>
            </a:graphicData>
          </a:graphic>
        </wp:inline>
      </w:drawing>
    </w:r>
  </w:p>
  <w:p w:rsidR="00250FD6" w:rsidRPr="00A47BD8" w:rsidRDefault="00250FD6" w:rsidP="00482488">
    <w:pPr>
      <w:pStyle w:val="Header"/>
      <w:pBdr>
        <w:top w:val="single" w:sz="4" w:space="1" w:color="auto"/>
      </w:pBd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626C24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85C4564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F4F52"/>
    <w:multiLevelType w:val="hybridMultilevel"/>
    <w:tmpl w:val="A8DEC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A0A84"/>
    <w:multiLevelType w:val="hybridMultilevel"/>
    <w:tmpl w:val="2C4E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A4968"/>
    <w:multiLevelType w:val="hybridMultilevel"/>
    <w:tmpl w:val="E16C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6" w15:restartNumberingAfterBreak="0">
    <w:nsid w:val="0C7A5B7A"/>
    <w:multiLevelType w:val="multilevel"/>
    <w:tmpl w:val="2A7A021C"/>
    <w:lvl w:ilvl="0">
      <w:start w:val="1"/>
      <w:numFmt w:val="decimal"/>
      <w:lvlText w:val="%1"/>
      <w:lvlJc w:val="left"/>
      <w:pPr>
        <w:ind w:left="432"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lvlText w:val="%1.%2.%3.%4.%5"/>
      <w:lvlJc w:val="left"/>
      <w:pPr>
        <w:ind w:left="157" w:hanging="1008"/>
      </w:pPr>
      <w:rPr>
        <w:rFonts w:hint="default"/>
      </w:rPr>
    </w:lvl>
    <w:lvl w:ilvl="5">
      <w:start w:val="1"/>
      <w:numFmt w:val="decimal"/>
      <w:lvlText w:val="%1.%2.%3.%4.%5.%6"/>
      <w:lvlJc w:val="left"/>
      <w:pPr>
        <w:ind w:left="301" w:hanging="1152"/>
      </w:pPr>
      <w:rPr>
        <w:rFonts w:hint="default"/>
      </w:rPr>
    </w:lvl>
    <w:lvl w:ilvl="6">
      <w:start w:val="1"/>
      <w:numFmt w:val="decimal"/>
      <w:lvlText w:val="%1.%2.%3.%4.%5.%6.%7"/>
      <w:lvlJc w:val="left"/>
      <w:pPr>
        <w:ind w:left="445" w:hanging="1296"/>
      </w:pPr>
      <w:rPr>
        <w:rFonts w:hint="default"/>
      </w:rPr>
    </w:lvl>
    <w:lvl w:ilvl="7">
      <w:start w:val="1"/>
      <w:numFmt w:val="decimal"/>
      <w:lvlText w:val="%1.%2.%3.%4.%5.%6.%7.%8"/>
      <w:lvlJc w:val="left"/>
      <w:pPr>
        <w:ind w:left="589" w:hanging="1440"/>
      </w:pPr>
      <w:rPr>
        <w:rFonts w:hint="default"/>
      </w:rPr>
    </w:lvl>
    <w:lvl w:ilvl="8">
      <w:start w:val="1"/>
      <w:numFmt w:val="decimal"/>
      <w:lvlText w:val="%1.%2.%3.%4.%5.%6.%7.%8.%9"/>
      <w:lvlJc w:val="left"/>
      <w:pPr>
        <w:ind w:left="733" w:hanging="1584"/>
      </w:pPr>
      <w:rPr>
        <w:rFonts w:hint="default"/>
      </w:rPr>
    </w:lvl>
  </w:abstractNum>
  <w:abstractNum w:abstractNumId="7" w15:restartNumberingAfterBreak="0">
    <w:nsid w:val="0FA67341"/>
    <w:multiLevelType w:val="singleLevel"/>
    <w:tmpl w:val="1854A824"/>
    <w:lvl w:ilvl="0">
      <w:start w:val="1"/>
      <w:numFmt w:val="bullet"/>
      <w:pStyle w:val="1AutoList1"/>
      <w:lvlText w:val=""/>
      <w:lvlJc w:val="left"/>
      <w:pPr>
        <w:tabs>
          <w:tab w:val="num" w:pos="360"/>
        </w:tabs>
        <w:ind w:left="360" w:hanging="360"/>
      </w:pPr>
      <w:rPr>
        <w:rFonts w:ascii="Wingdings" w:hAnsi="Wingdings" w:hint="default"/>
      </w:rPr>
    </w:lvl>
  </w:abstractNum>
  <w:abstractNum w:abstractNumId="8" w15:restartNumberingAfterBreak="0">
    <w:nsid w:val="16E206DF"/>
    <w:multiLevelType w:val="hybridMultilevel"/>
    <w:tmpl w:val="8EBE7BE4"/>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231885"/>
    <w:multiLevelType w:val="hybridMultilevel"/>
    <w:tmpl w:val="C5F866B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C5C2B4C"/>
    <w:multiLevelType w:val="hybridMultilevel"/>
    <w:tmpl w:val="C276D712"/>
    <w:lvl w:ilvl="0" w:tplc="0C090001">
      <w:start w:val="1"/>
      <w:numFmt w:val="bullet"/>
      <w:lvlText w:val=""/>
      <w:lvlJc w:val="left"/>
      <w:pPr>
        <w:ind w:left="1080" w:hanging="360"/>
      </w:pPr>
      <w:rPr>
        <w:rFonts w:ascii="Symbol" w:hAnsi="Symbol" w:hint="default"/>
      </w:rPr>
    </w:lvl>
    <w:lvl w:ilvl="1" w:tplc="2730D902">
      <w:start w:val="1"/>
      <w:numFmt w:val="bullet"/>
      <w:lvlText w:val="–"/>
      <w:lvlJc w:val="left"/>
      <w:pPr>
        <w:ind w:left="1800" w:hanging="360"/>
      </w:pPr>
      <w:rPr>
        <w:rFonts w:ascii="Calibri" w:eastAsiaTheme="minorHAnsi" w:hAnsi="Calibri"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1FA387C"/>
    <w:multiLevelType w:val="hybridMultilevel"/>
    <w:tmpl w:val="F4B680A8"/>
    <w:lvl w:ilvl="0" w:tplc="74C047BC">
      <w:start w:val="1"/>
      <w:numFmt w:val="bullet"/>
      <w:pStyle w:val="Bullets"/>
      <w:lvlText w:val=""/>
      <w:lvlJc w:val="left"/>
      <w:pPr>
        <w:ind w:left="502"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F">
      <w:start w:val="1"/>
      <w:numFmt w:val="decimal"/>
      <w:lvlText w:val="%3."/>
      <w:lvlJc w:val="left"/>
      <w:pPr>
        <w:ind w:left="1800" w:hanging="360"/>
      </w:pPr>
      <w:rPr>
        <w:rFonts w:hint="default"/>
      </w:rPr>
    </w:lvl>
    <w:lvl w:ilvl="3" w:tplc="867A88E4">
      <w:numFmt w:val="bullet"/>
      <w:lvlText w:val=""/>
      <w:lvlJc w:val="left"/>
      <w:pPr>
        <w:ind w:left="2520" w:hanging="360"/>
      </w:pPr>
      <w:rPr>
        <w:rFonts w:ascii="Symbol" w:eastAsia="Times New Roman" w:hAnsi="Symbol" w:cs="Times New Roman"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261331"/>
    <w:multiLevelType w:val="multilevel"/>
    <w:tmpl w:val="B464EB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837" w:hanging="576"/>
      </w:pPr>
      <w:rPr>
        <w:rFonts w:hint="default"/>
      </w:rPr>
    </w:lvl>
    <w:lvl w:ilvl="2">
      <w:start w:val="1"/>
      <w:numFmt w:val="decimal"/>
      <w:pStyle w:val="Heading3"/>
      <w:lvlText w:val="%1.%2.%3"/>
      <w:lvlJc w:val="left"/>
      <w:pPr>
        <w:ind w:left="-131" w:hanging="720"/>
      </w:pPr>
      <w:rPr>
        <w:rFonts w:hint="default"/>
      </w:rPr>
    </w:lvl>
    <w:lvl w:ilvl="3">
      <w:start w:val="1"/>
      <w:numFmt w:val="decimal"/>
      <w:lvlText w:val="%1.%2.%3.%4"/>
      <w:lvlJc w:val="left"/>
      <w:pPr>
        <w:ind w:left="13" w:hanging="864"/>
      </w:pPr>
      <w:rPr>
        <w:rFonts w:hint="default"/>
      </w:rPr>
    </w:lvl>
    <w:lvl w:ilvl="4">
      <w:start w:val="1"/>
      <w:numFmt w:val="decimal"/>
      <w:pStyle w:val="Heading5"/>
      <w:lvlText w:val="%1.%2.%3.%4.%5"/>
      <w:lvlJc w:val="left"/>
      <w:pPr>
        <w:ind w:left="157" w:hanging="1008"/>
      </w:pPr>
      <w:rPr>
        <w:rFonts w:hint="default"/>
      </w:rPr>
    </w:lvl>
    <w:lvl w:ilvl="5">
      <w:start w:val="1"/>
      <w:numFmt w:val="decimal"/>
      <w:pStyle w:val="Heading6"/>
      <w:lvlText w:val="%1.%2.%3.%4.%5.%6"/>
      <w:lvlJc w:val="left"/>
      <w:pPr>
        <w:ind w:left="301" w:hanging="1152"/>
      </w:pPr>
      <w:rPr>
        <w:rFonts w:hint="default"/>
      </w:rPr>
    </w:lvl>
    <w:lvl w:ilvl="6">
      <w:start w:val="1"/>
      <w:numFmt w:val="decimal"/>
      <w:pStyle w:val="Heading7"/>
      <w:lvlText w:val="%1.%2.%3.%4.%5.%6.%7"/>
      <w:lvlJc w:val="left"/>
      <w:pPr>
        <w:ind w:left="445" w:hanging="1296"/>
      </w:pPr>
      <w:rPr>
        <w:rFonts w:hint="default"/>
      </w:rPr>
    </w:lvl>
    <w:lvl w:ilvl="7">
      <w:start w:val="1"/>
      <w:numFmt w:val="decimal"/>
      <w:pStyle w:val="Heading8"/>
      <w:lvlText w:val="%1.%2.%3.%4.%5.%6.%7.%8"/>
      <w:lvlJc w:val="left"/>
      <w:pPr>
        <w:ind w:left="589" w:hanging="1440"/>
      </w:pPr>
      <w:rPr>
        <w:rFonts w:hint="default"/>
      </w:rPr>
    </w:lvl>
    <w:lvl w:ilvl="8">
      <w:start w:val="1"/>
      <w:numFmt w:val="decimal"/>
      <w:pStyle w:val="Heading9"/>
      <w:lvlText w:val="%1.%2.%3.%4.%5.%6.%7.%8.%9"/>
      <w:lvlJc w:val="left"/>
      <w:pPr>
        <w:ind w:left="733" w:hanging="1584"/>
      </w:pPr>
      <w:rPr>
        <w:rFonts w:hint="default"/>
      </w:rPr>
    </w:lvl>
  </w:abstractNum>
  <w:abstractNum w:abstractNumId="13" w15:restartNumberingAfterBreak="0">
    <w:nsid w:val="263744FB"/>
    <w:multiLevelType w:val="hybridMultilevel"/>
    <w:tmpl w:val="F1364D16"/>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4" w15:restartNumberingAfterBreak="0">
    <w:nsid w:val="34C23CCF"/>
    <w:multiLevelType w:val="hybridMultilevel"/>
    <w:tmpl w:val="3F9CD13E"/>
    <w:lvl w:ilvl="0" w:tplc="36F482B8">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AE3C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EA47D0"/>
    <w:multiLevelType w:val="hybridMultilevel"/>
    <w:tmpl w:val="8C7266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4D0B7445"/>
    <w:multiLevelType w:val="hybridMultilevel"/>
    <w:tmpl w:val="AE824EAA"/>
    <w:lvl w:ilvl="0" w:tplc="E9A27344">
      <w:start w:val="1"/>
      <w:numFmt w:val="decimal"/>
      <w:lvlText w:val="Report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4F4644"/>
    <w:multiLevelType w:val="hybridMultilevel"/>
    <w:tmpl w:val="A27E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825B68"/>
    <w:multiLevelType w:val="hybridMultilevel"/>
    <w:tmpl w:val="7F0ECF34"/>
    <w:lvl w:ilvl="0" w:tplc="A6384F78">
      <w:start w:val="1"/>
      <w:numFmt w:val="bullet"/>
      <w:pStyle w:val="BulletPoin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767A61"/>
    <w:multiLevelType w:val="hybridMultilevel"/>
    <w:tmpl w:val="DDB4DF2C"/>
    <w:lvl w:ilvl="0" w:tplc="45565E6E">
      <w:start w:val="1"/>
      <w:numFmt w:val="decimal"/>
      <w:pStyle w:val="Recommendations"/>
      <w:lvlText w:val="Recommendation %1"/>
      <w:lvlJc w:val="left"/>
      <w:pPr>
        <w:ind w:left="1636" w:hanging="360"/>
      </w:pPr>
      <w:rPr>
        <w:rFonts w:hint="default"/>
        <w:b/>
        <w:i w:val="0"/>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286F53"/>
    <w:multiLevelType w:val="hybridMultilevel"/>
    <w:tmpl w:val="2C90F506"/>
    <w:lvl w:ilvl="0" w:tplc="A038F3C8">
      <w:start w:val="1"/>
      <w:numFmt w:val="lowerLetter"/>
      <w:pStyle w:val="CCS-NumericNumberedList"/>
      <w:lvlText w:val="%1)"/>
      <w:lvlJc w:val="left"/>
      <w:pPr>
        <w:ind w:left="360" w:hanging="360"/>
      </w:pPr>
      <w:rPr>
        <w:rFonts w:hint="default"/>
      </w:rPr>
    </w:lvl>
    <w:lvl w:ilvl="1" w:tplc="F41A5474" w:tentative="1">
      <w:start w:val="1"/>
      <w:numFmt w:val="lowerLetter"/>
      <w:lvlText w:val="%2."/>
      <w:lvlJc w:val="left"/>
      <w:pPr>
        <w:ind w:left="1080" w:hanging="360"/>
      </w:pPr>
    </w:lvl>
    <w:lvl w:ilvl="2" w:tplc="3678FA12" w:tentative="1">
      <w:start w:val="1"/>
      <w:numFmt w:val="lowerRoman"/>
      <w:lvlText w:val="%3."/>
      <w:lvlJc w:val="right"/>
      <w:pPr>
        <w:ind w:left="1800" w:hanging="180"/>
      </w:pPr>
    </w:lvl>
    <w:lvl w:ilvl="3" w:tplc="06D8D3D4" w:tentative="1">
      <w:start w:val="1"/>
      <w:numFmt w:val="decimal"/>
      <w:lvlText w:val="%4."/>
      <w:lvlJc w:val="left"/>
      <w:pPr>
        <w:ind w:left="2520" w:hanging="360"/>
      </w:pPr>
    </w:lvl>
    <w:lvl w:ilvl="4" w:tplc="F7C4D3AC" w:tentative="1">
      <w:start w:val="1"/>
      <w:numFmt w:val="lowerLetter"/>
      <w:lvlText w:val="%5."/>
      <w:lvlJc w:val="left"/>
      <w:pPr>
        <w:ind w:left="3240" w:hanging="360"/>
      </w:pPr>
    </w:lvl>
    <w:lvl w:ilvl="5" w:tplc="EC263354" w:tentative="1">
      <w:start w:val="1"/>
      <w:numFmt w:val="lowerRoman"/>
      <w:lvlText w:val="%6."/>
      <w:lvlJc w:val="right"/>
      <w:pPr>
        <w:ind w:left="3960" w:hanging="180"/>
      </w:pPr>
    </w:lvl>
    <w:lvl w:ilvl="6" w:tplc="6DDAB9AE" w:tentative="1">
      <w:start w:val="1"/>
      <w:numFmt w:val="decimal"/>
      <w:lvlText w:val="%7."/>
      <w:lvlJc w:val="left"/>
      <w:pPr>
        <w:ind w:left="4680" w:hanging="360"/>
      </w:pPr>
    </w:lvl>
    <w:lvl w:ilvl="7" w:tplc="BB460B5C" w:tentative="1">
      <w:start w:val="1"/>
      <w:numFmt w:val="lowerLetter"/>
      <w:lvlText w:val="%8."/>
      <w:lvlJc w:val="left"/>
      <w:pPr>
        <w:ind w:left="5400" w:hanging="360"/>
      </w:pPr>
    </w:lvl>
    <w:lvl w:ilvl="8" w:tplc="29BA4FE2" w:tentative="1">
      <w:start w:val="1"/>
      <w:numFmt w:val="lowerRoman"/>
      <w:lvlText w:val="%9."/>
      <w:lvlJc w:val="right"/>
      <w:pPr>
        <w:ind w:left="6120" w:hanging="180"/>
      </w:pPr>
    </w:lvl>
  </w:abstractNum>
  <w:abstractNum w:abstractNumId="22" w15:restartNumberingAfterBreak="0">
    <w:nsid w:val="60904533"/>
    <w:multiLevelType w:val="hybridMultilevel"/>
    <w:tmpl w:val="EE1ADB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EB4642"/>
    <w:multiLevelType w:val="hybridMultilevel"/>
    <w:tmpl w:val="0186C5FA"/>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4" w15:restartNumberingAfterBreak="0">
    <w:nsid w:val="6D0B0F0B"/>
    <w:multiLevelType w:val="singleLevel"/>
    <w:tmpl w:val="32D6C89A"/>
    <w:lvl w:ilvl="0">
      <w:start w:val="1"/>
      <w:numFmt w:val="bullet"/>
      <w:pStyle w:val="1BulletList"/>
      <w:lvlText w:val=""/>
      <w:lvlJc w:val="left"/>
      <w:pPr>
        <w:tabs>
          <w:tab w:val="num" w:pos="360"/>
        </w:tabs>
        <w:ind w:left="36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7"/>
  </w:num>
  <w:num w:numId="5">
    <w:abstractNumId w:val="12"/>
  </w:num>
  <w:num w:numId="6">
    <w:abstractNumId w:val="1"/>
  </w:num>
  <w:num w:numId="7">
    <w:abstractNumId w:val="17"/>
  </w:num>
  <w:num w:numId="8">
    <w:abstractNumId w:val="21"/>
  </w:num>
  <w:num w:numId="9">
    <w:abstractNumId w:val="19"/>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0"/>
  </w:num>
  <w:num w:numId="14">
    <w:abstractNumId w:val="15"/>
  </w:num>
  <w:num w:numId="15">
    <w:abstractNumId w:val="13"/>
  </w:num>
  <w:num w:numId="16">
    <w:abstractNumId w:val="23"/>
  </w:num>
  <w:num w:numId="17">
    <w:abstractNumId w:val="16"/>
  </w:num>
  <w:num w:numId="18">
    <w:abstractNumId w:val="9"/>
  </w:num>
  <w:num w:numId="19">
    <w:abstractNumId w:val="3"/>
  </w:num>
  <w:num w:numId="20">
    <w:abstractNumId w:val="18"/>
  </w:num>
  <w:num w:numId="21">
    <w:abstractNumId w:val="10"/>
  </w:num>
  <w:num w:numId="22">
    <w:abstractNumId w:val="3"/>
  </w:num>
  <w:num w:numId="23">
    <w:abstractNumId w:val="4"/>
  </w:num>
  <w:num w:numId="24">
    <w:abstractNumId w:val="8"/>
  </w:num>
  <w:num w:numId="25">
    <w:abstractNumId w:val="2"/>
  </w:num>
  <w:num w:numId="26">
    <w:abstractNumId w:val="14"/>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81"/>
    <w:rsid w:val="00000285"/>
    <w:rsid w:val="00001D08"/>
    <w:rsid w:val="0000306F"/>
    <w:rsid w:val="00003E81"/>
    <w:rsid w:val="00003F55"/>
    <w:rsid w:val="00013593"/>
    <w:rsid w:val="00013ADE"/>
    <w:rsid w:val="00013C55"/>
    <w:rsid w:val="00015455"/>
    <w:rsid w:val="00015505"/>
    <w:rsid w:val="00015C6A"/>
    <w:rsid w:val="000228A9"/>
    <w:rsid w:val="00026A0D"/>
    <w:rsid w:val="000277F9"/>
    <w:rsid w:val="00027C4E"/>
    <w:rsid w:val="000301F7"/>
    <w:rsid w:val="00031277"/>
    <w:rsid w:val="00040859"/>
    <w:rsid w:val="00042F02"/>
    <w:rsid w:val="000457D8"/>
    <w:rsid w:val="00046574"/>
    <w:rsid w:val="00052EDB"/>
    <w:rsid w:val="000532D2"/>
    <w:rsid w:val="0005621A"/>
    <w:rsid w:val="00057291"/>
    <w:rsid w:val="000623DA"/>
    <w:rsid w:val="00063371"/>
    <w:rsid w:val="000651DA"/>
    <w:rsid w:val="00065292"/>
    <w:rsid w:val="000658E3"/>
    <w:rsid w:val="00066284"/>
    <w:rsid w:val="0006663C"/>
    <w:rsid w:val="00066CD1"/>
    <w:rsid w:val="00066FC5"/>
    <w:rsid w:val="00070F08"/>
    <w:rsid w:val="00071841"/>
    <w:rsid w:val="00071B06"/>
    <w:rsid w:val="00075624"/>
    <w:rsid w:val="00081052"/>
    <w:rsid w:val="000821BF"/>
    <w:rsid w:val="0008544A"/>
    <w:rsid w:val="000874D4"/>
    <w:rsid w:val="000901B5"/>
    <w:rsid w:val="00091BD9"/>
    <w:rsid w:val="00091C92"/>
    <w:rsid w:val="0009466C"/>
    <w:rsid w:val="000A080C"/>
    <w:rsid w:val="000B28BC"/>
    <w:rsid w:val="000B2EC2"/>
    <w:rsid w:val="000B423E"/>
    <w:rsid w:val="000B42C6"/>
    <w:rsid w:val="000D0509"/>
    <w:rsid w:val="000D0716"/>
    <w:rsid w:val="000D0E1E"/>
    <w:rsid w:val="000D16C6"/>
    <w:rsid w:val="000D1D50"/>
    <w:rsid w:val="000D4F54"/>
    <w:rsid w:val="000D6E2F"/>
    <w:rsid w:val="000E0A1B"/>
    <w:rsid w:val="000E2E5F"/>
    <w:rsid w:val="000E3AF4"/>
    <w:rsid w:val="000E5338"/>
    <w:rsid w:val="000E54C2"/>
    <w:rsid w:val="000E6305"/>
    <w:rsid w:val="000E682B"/>
    <w:rsid w:val="000F1E85"/>
    <w:rsid w:val="000F62DB"/>
    <w:rsid w:val="000F6C4A"/>
    <w:rsid w:val="000F7185"/>
    <w:rsid w:val="000F7E00"/>
    <w:rsid w:val="000F7F92"/>
    <w:rsid w:val="00103AC8"/>
    <w:rsid w:val="00105AC8"/>
    <w:rsid w:val="00106358"/>
    <w:rsid w:val="00106CEA"/>
    <w:rsid w:val="00106E5E"/>
    <w:rsid w:val="00111C15"/>
    <w:rsid w:val="00114F5D"/>
    <w:rsid w:val="001214C0"/>
    <w:rsid w:val="001238A9"/>
    <w:rsid w:val="001243B7"/>
    <w:rsid w:val="00126964"/>
    <w:rsid w:val="00126A32"/>
    <w:rsid w:val="00126D31"/>
    <w:rsid w:val="00127C58"/>
    <w:rsid w:val="00130FB7"/>
    <w:rsid w:val="001316E9"/>
    <w:rsid w:val="001325EF"/>
    <w:rsid w:val="00137A72"/>
    <w:rsid w:val="0014007B"/>
    <w:rsid w:val="00141EFA"/>
    <w:rsid w:val="00142123"/>
    <w:rsid w:val="00144CD6"/>
    <w:rsid w:val="0014560C"/>
    <w:rsid w:val="00145774"/>
    <w:rsid w:val="00146F8F"/>
    <w:rsid w:val="00151D88"/>
    <w:rsid w:val="0015206C"/>
    <w:rsid w:val="0015738A"/>
    <w:rsid w:val="00157C3A"/>
    <w:rsid w:val="001606FE"/>
    <w:rsid w:val="0016276F"/>
    <w:rsid w:val="00162E25"/>
    <w:rsid w:val="00165039"/>
    <w:rsid w:val="001655D8"/>
    <w:rsid w:val="00166030"/>
    <w:rsid w:val="00171DA7"/>
    <w:rsid w:val="001741B4"/>
    <w:rsid w:val="00175B5C"/>
    <w:rsid w:val="00177774"/>
    <w:rsid w:val="001806AE"/>
    <w:rsid w:val="00180AC8"/>
    <w:rsid w:val="00182130"/>
    <w:rsid w:val="0018265C"/>
    <w:rsid w:val="00182991"/>
    <w:rsid w:val="00184B56"/>
    <w:rsid w:val="00184F5A"/>
    <w:rsid w:val="001878B8"/>
    <w:rsid w:val="00187983"/>
    <w:rsid w:val="00191C33"/>
    <w:rsid w:val="0019296D"/>
    <w:rsid w:val="001931C0"/>
    <w:rsid w:val="00193F8A"/>
    <w:rsid w:val="00196C53"/>
    <w:rsid w:val="00197E62"/>
    <w:rsid w:val="001A02B4"/>
    <w:rsid w:val="001A058A"/>
    <w:rsid w:val="001A12C3"/>
    <w:rsid w:val="001A2768"/>
    <w:rsid w:val="001A38C0"/>
    <w:rsid w:val="001A4A47"/>
    <w:rsid w:val="001B3B2D"/>
    <w:rsid w:val="001B3FAA"/>
    <w:rsid w:val="001B5846"/>
    <w:rsid w:val="001C0662"/>
    <w:rsid w:val="001C2822"/>
    <w:rsid w:val="001C4C9B"/>
    <w:rsid w:val="001C598D"/>
    <w:rsid w:val="001C5CDE"/>
    <w:rsid w:val="001D066A"/>
    <w:rsid w:val="001D0743"/>
    <w:rsid w:val="001D1EF1"/>
    <w:rsid w:val="001D2CDD"/>
    <w:rsid w:val="001D2F72"/>
    <w:rsid w:val="001D4100"/>
    <w:rsid w:val="001D6721"/>
    <w:rsid w:val="001E23ED"/>
    <w:rsid w:val="001E5F06"/>
    <w:rsid w:val="001F4339"/>
    <w:rsid w:val="001F4C4A"/>
    <w:rsid w:val="001F518D"/>
    <w:rsid w:val="001F5460"/>
    <w:rsid w:val="001F5FE1"/>
    <w:rsid w:val="002054B8"/>
    <w:rsid w:val="002061DD"/>
    <w:rsid w:val="00206D88"/>
    <w:rsid w:val="00207D94"/>
    <w:rsid w:val="00210AA5"/>
    <w:rsid w:val="00212EB3"/>
    <w:rsid w:val="00214FF8"/>
    <w:rsid w:val="0021584C"/>
    <w:rsid w:val="00216CAC"/>
    <w:rsid w:val="00217B68"/>
    <w:rsid w:val="002230D7"/>
    <w:rsid w:val="00223B13"/>
    <w:rsid w:val="002253DF"/>
    <w:rsid w:val="00226559"/>
    <w:rsid w:val="00227800"/>
    <w:rsid w:val="00231A37"/>
    <w:rsid w:val="00233201"/>
    <w:rsid w:val="002412CA"/>
    <w:rsid w:val="0024608D"/>
    <w:rsid w:val="0024633F"/>
    <w:rsid w:val="002504F3"/>
    <w:rsid w:val="00250FD6"/>
    <w:rsid w:val="00251C4B"/>
    <w:rsid w:val="002550D7"/>
    <w:rsid w:val="002554A5"/>
    <w:rsid w:val="00260AC2"/>
    <w:rsid w:val="002628D3"/>
    <w:rsid w:val="00264FFB"/>
    <w:rsid w:val="00265868"/>
    <w:rsid w:val="00266216"/>
    <w:rsid w:val="0026652A"/>
    <w:rsid w:val="002667F7"/>
    <w:rsid w:val="00266920"/>
    <w:rsid w:val="002678C0"/>
    <w:rsid w:val="002701ED"/>
    <w:rsid w:val="00270DAA"/>
    <w:rsid w:val="00274C78"/>
    <w:rsid w:val="00274CDA"/>
    <w:rsid w:val="00275D8B"/>
    <w:rsid w:val="0027697D"/>
    <w:rsid w:val="002813C3"/>
    <w:rsid w:val="002841B9"/>
    <w:rsid w:val="002842E3"/>
    <w:rsid w:val="00284A77"/>
    <w:rsid w:val="00287592"/>
    <w:rsid w:val="00287D89"/>
    <w:rsid w:val="00291091"/>
    <w:rsid w:val="00291B09"/>
    <w:rsid w:val="00294177"/>
    <w:rsid w:val="002A0288"/>
    <w:rsid w:val="002A5E5D"/>
    <w:rsid w:val="002A7314"/>
    <w:rsid w:val="002C0D5D"/>
    <w:rsid w:val="002C2D28"/>
    <w:rsid w:val="002C3CE9"/>
    <w:rsid w:val="002C433F"/>
    <w:rsid w:val="002D0561"/>
    <w:rsid w:val="002D06AD"/>
    <w:rsid w:val="002D1E31"/>
    <w:rsid w:val="002D3C07"/>
    <w:rsid w:val="002D3FF8"/>
    <w:rsid w:val="002D4A4E"/>
    <w:rsid w:val="002D4EAB"/>
    <w:rsid w:val="002E1AA4"/>
    <w:rsid w:val="002E3E71"/>
    <w:rsid w:val="002E45D6"/>
    <w:rsid w:val="002E6981"/>
    <w:rsid w:val="002F05C6"/>
    <w:rsid w:val="002F2F37"/>
    <w:rsid w:val="002F3801"/>
    <w:rsid w:val="002F4031"/>
    <w:rsid w:val="002F5954"/>
    <w:rsid w:val="00301397"/>
    <w:rsid w:val="00301BD2"/>
    <w:rsid w:val="00301C8F"/>
    <w:rsid w:val="00301F1C"/>
    <w:rsid w:val="00306A95"/>
    <w:rsid w:val="00310A1E"/>
    <w:rsid w:val="00310FC8"/>
    <w:rsid w:val="00315497"/>
    <w:rsid w:val="00316BDB"/>
    <w:rsid w:val="003178AE"/>
    <w:rsid w:val="00317E6A"/>
    <w:rsid w:val="003204BF"/>
    <w:rsid w:val="00322476"/>
    <w:rsid w:val="00325E39"/>
    <w:rsid w:val="003272CC"/>
    <w:rsid w:val="00327D41"/>
    <w:rsid w:val="003316DD"/>
    <w:rsid w:val="003322EB"/>
    <w:rsid w:val="00332B3D"/>
    <w:rsid w:val="00336917"/>
    <w:rsid w:val="00343465"/>
    <w:rsid w:val="00344DA9"/>
    <w:rsid w:val="00351FC8"/>
    <w:rsid w:val="003533BB"/>
    <w:rsid w:val="00355C3F"/>
    <w:rsid w:val="00357F29"/>
    <w:rsid w:val="0036031D"/>
    <w:rsid w:val="0036145C"/>
    <w:rsid w:val="003616E7"/>
    <w:rsid w:val="0036206F"/>
    <w:rsid w:val="003634B1"/>
    <w:rsid w:val="00364330"/>
    <w:rsid w:val="003646A3"/>
    <w:rsid w:val="003650DD"/>
    <w:rsid w:val="003731A6"/>
    <w:rsid w:val="00373519"/>
    <w:rsid w:val="00375885"/>
    <w:rsid w:val="00377242"/>
    <w:rsid w:val="00377382"/>
    <w:rsid w:val="00380C70"/>
    <w:rsid w:val="00386D5F"/>
    <w:rsid w:val="00387236"/>
    <w:rsid w:val="003875B1"/>
    <w:rsid w:val="003877E2"/>
    <w:rsid w:val="00390FE3"/>
    <w:rsid w:val="00393C7F"/>
    <w:rsid w:val="00393E7E"/>
    <w:rsid w:val="00396FF8"/>
    <w:rsid w:val="003978C6"/>
    <w:rsid w:val="003A0F95"/>
    <w:rsid w:val="003A2FA2"/>
    <w:rsid w:val="003A7706"/>
    <w:rsid w:val="003B189B"/>
    <w:rsid w:val="003B27FC"/>
    <w:rsid w:val="003B552C"/>
    <w:rsid w:val="003C0A96"/>
    <w:rsid w:val="003C307B"/>
    <w:rsid w:val="003C3E20"/>
    <w:rsid w:val="003C73B1"/>
    <w:rsid w:val="003D044C"/>
    <w:rsid w:val="003D2275"/>
    <w:rsid w:val="003D709D"/>
    <w:rsid w:val="003D77A5"/>
    <w:rsid w:val="003E0139"/>
    <w:rsid w:val="003E08FA"/>
    <w:rsid w:val="003E5137"/>
    <w:rsid w:val="003E5344"/>
    <w:rsid w:val="003F4552"/>
    <w:rsid w:val="00400841"/>
    <w:rsid w:val="00401D51"/>
    <w:rsid w:val="00404C5E"/>
    <w:rsid w:val="00411DBC"/>
    <w:rsid w:val="0041467E"/>
    <w:rsid w:val="00421006"/>
    <w:rsid w:val="004211F3"/>
    <w:rsid w:val="00422C82"/>
    <w:rsid w:val="00423A57"/>
    <w:rsid w:val="00426124"/>
    <w:rsid w:val="004264F3"/>
    <w:rsid w:val="004268C3"/>
    <w:rsid w:val="00432B62"/>
    <w:rsid w:val="004359F2"/>
    <w:rsid w:val="0044093F"/>
    <w:rsid w:val="004410D2"/>
    <w:rsid w:val="00441163"/>
    <w:rsid w:val="004417FF"/>
    <w:rsid w:val="00442A39"/>
    <w:rsid w:val="0044359D"/>
    <w:rsid w:val="00443927"/>
    <w:rsid w:val="0044683F"/>
    <w:rsid w:val="004473BB"/>
    <w:rsid w:val="00447F3E"/>
    <w:rsid w:val="004500EB"/>
    <w:rsid w:val="00451160"/>
    <w:rsid w:val="00452D08"/>
    <w:rsid w:val="00453281"/>
    <w:rsid w:val="00454B24"/>
    <w:rsid w:val="00456561"/>
    <w:rsid w:val="00456602"/>
    <w:rsid w:val="00457EB4"/>
    <w:rsid w:val="00462770"/>
    <w:rsid w:val="00472F6A"/>
    <w:rsid w:val="004737ED"/>
    <w:rsid w:val="0047789E"/>
    <w:rsid w:val="0048111A"/>
    <w:rsid w:val="00482005"/>
    <w:rsid w:val="00482488"/>
    <w:rsid w:val="0048308E"/>
    <w:rsid w:val="004846E1"/>
    <w:rsid w:val="00487807"/>
    <w:rsid w:val="00492A48"/>
    <w:rsid w:val="00494E32"/>
    <w:rsid w:val="00497D0E"/>
    <w:rsid w:val="004A07E4"/>
    <w:rsid w:val="004A09EC"/>
    <w:rsid w:val="004A0D01"/>
    <w:rsid w:val="004A24D7"/>
    <w:rsid w:val="004A2C35"/>
    <w:rsid w:val="004A312B"/>
    <w:rsid w:val="004A5B22"/>
    <w:rsid w:val="004B1002"/>
    <w:rsid w:val="004B10E1"/>
    <w:rsid w:val="004B35DC"/>
    <w:rsid w:val="004B5133"/>
    <w:rsid w:val="004B6910"/>
    <w:rsid w:val="004C0A2E"/>
    <w:rsid w:val="004C1BC5"/>
    <w:rsid w:val="004C477E"/>
    <w:rsid w:val="004C4F81"/>
    <w:rsid w:val="004C6BE6"/>
    <w:rsid w:val="004D295A"/>
    <w:rsid w:val="004D673F"/>
    <w:rsid w:val="004E11EC"/>
    <w:rsid w:val="004E2B5F"/>
    <w:rsid w:val="004E4E61"/>
    <w:rsid w:val="004F2624"/>
    <w:rsid w:val="004F2DD1"/>
    <w:rsid w:val="004F31A2"/>
    <w:rsid w:val="004F3C71"/>
    <w:rsid w:val="004F68EA"/>
    <w:rsid w:val="00501E13"/>
    <w:rsid w:val="005074BB"/>
    <w:rsid w:val="005103F8"/>
    <w:rsid w:val="00511C1A"/>
    <w:rsid w:val="00511FAA"/>
    <w:rsid w:val="00514827"/>
    <w:rsid w:val="0051544B"/>
    <w:rsid w:val="0051563F"/>
    <w:rsid w:val="00516218"/>
    <w:rsid w:val="00517130"/>
    <w:rsid w:val="005209CE"/>
    <w:rsid w:val="0052311E"/>
    <w:rsid w:val="005250D1"/>
    <w:rsid w:val="00525421"/>
    <w:rsid w:val="00531FAD"/>
    <w:rsid w:val="00534F26"/>
    <w:rsid w:val="0053726F"/>
    <w:rsid w:val="00540589"/>
    <w:rsid w:val="0054064C"/>
    <w:rsid w:val="00547736"/>
    <w:rsid w:val="00551325"/>
    <w:rsid w:val="0055141D"/>
    <w:rsid w:val="00552665"/>
    <w:rsid w:val="00553D75"/>
    <w:rsid w:val="00556DB6"/>
    <w:rsid w:val="00557A45"/>
    <w:rsid w:val="00561B55"/>
    <w:rsid w:val="00561FC7"/>
    <w:rsid w:val="0056569A"/>
    <w:rsid w:val="00565D03"/>
    <w:rsid w:val="0056620C"/>
    <w:rsid w:val="005672F5"/>
    <w:rsid w:val="00567BBC"/>
    <w:rsid w:val="00572E47"/>
    <w:rsid w:val="005744DC"/>
    <w:rsid w:val="00575CF9"/>
    <w:rsid w:val="005818AB"/>
    <w:rsid w:val="00581D34"/>
    <w:rsid w:val="00582B06"/>
    <w:rsid w:val="00583E07"/>
    <w:rsid w:val="0058586C"/>
    <w:rsid w:val="00586E4B"/>
    <w:rsid w:val="00590D5B"/>
    <w:rsid w:val="005926D5"/>
    <w:rsid w:val="00592872"/>
    <w:rsid w:val="00593397"/>
    <w:rsid w:val="00594829"/>
    <w:rsid w:val="0059587C"/>
    <w:rsid w:val="00596241"/>
    <w:rsid w:val="00596D93"/>
    <w:rsid w:val="00597CEF"/>
    <w:rsid w:val="00597E98"/>
    <w:rsid w:val="005A21E1"/>
    <w:rsid w:val="005A6144"/>
    <w:rsid w:val="005A64C1"/>
    <w:rsid w:val="005A6C65"/>
    <w:rsid w:val="005B1A02"/>
    <w:rsid w:val="005B21A8"/>
    <w:rsid w:val="005B2C8D"/>
    <w:rsid w:val="005B6916"/>
    <w:rsid w:val="005B6E9E"/>
    <w:rsid w:val="005C45E6"/>
    <w:rsid w:val="005C6230"/>
    <w:rsid w:val="005D064D"/>
    <w:rsid w:val="005D1308"/>
    <w:rsid w:val="005D22D0"/>
    <w:rsid w:val="005D4145"/>
    <w:rsid w:val="005D52A6"/>
    <w:rsid w:val="005E0AB0"/>
    <w:rsid w:val="005E38E9"/>
    <w:rsid w:val="005E3D5E"/>
    <w:rsid w:val="005E755B"/>
    <w:rsid w:val="005E771B"/>
    <w:rsid w:val="005E7D81"/>
    <w:rsid w:val="005F262B"/>
    <w:rsid w:val="005F2B72"/>
    <w:rsid w:val="005F5012"/>
    <w:rsid w:val="005F7371"/>
    <w:rsid w:val="00601485"/>
    <w:rsid w:val="00601B8B"/>
    <w:rsid w:val="00601DF4"/>
    <w:rsid w:val="006104BE"/>
    <w:rsid w:val="00611DA7"/>
    <w:rsid w:val="00614169"/>
    <w:rsid w:val="00614272"/>
    <w:rsid w:val="00614F63"/>
    <w:rsid w:val="006201F1"/>
    <w:rsid w:val="00622002"/>
    <w:rsid w:val="0062650C"/>
    <w:rsid w:val="00640902"/>
    <w:rsid w:val="00641A55"/>
    <w:rsid w:val="00641E8C"/>
    <w:rsid w:val="00642B85"/>
    <w:rsid w:val="0064378E"/>
    <w:rsid w:val="00643C5B"/>
    <w:rsid w:val="00647853"/>
    <w:rsid w:val="0065079A"/>
    <w:rsid w:val="00652373"/>
    <w:rsid w:val="00653AEC"/>
    <w:rsid w:val="0065469D"/>
    <w:rsid w:val="00654A90"/>
    <w:rsid w:val="00656175"/>
    <w:rsid w:val="006569A7"/>
    <w:rsid w:val="00664471"/>
    <w:rsid w:val="00664809"/>
    <w:rsid w:val="00664F64"/>
    <w:rsid w:val="00665CC9"/>
    <w:rsid w:val="00666C1F"/>
    <w:rsid w:val="0066729B"/>
    <w:rsid w:val="00671981"/>
    <w:rsid w:val="006721A4"/>
    <w:rsid w:val="00672CF7"/>
    <w:rsid w:val="0067350F"/>
    <w:rsid w:val="0067643A"/>
    <w:rsid w:val="00676D7F"/>
    <w:rsid w:val="00684B4E"/>
    <w:rsid w:val="00685546"/>
    <w:rsid w:val="0068579C"/>
    <w:rsid w:val="00690001"/>
    <w:rsid w:val="00691072"/>
    <w:rsid w:val="006913E6"/>
    <w:rsid w:val="006953E1"/>
    <w:rsid w:val="0069731B"/>
    <w:rsid w:val="00697514"/>
    <w:rsid w:val="006A04BC"/>
    <w:rsid w:val="006A3C42"/>
    <w:rsid w:val="006A40B2"/>
    <w:rsid w:val="006A49C9"/>
    <w:rsid w:val="006A67C4"/>
    <w:rsid w:val="006B09BA"/>
    <w:rsid w:val="006B2010"/>
    <w:rsid w:val="006B3635"/>
    <w:rsid w:val="006B58DC"/>
    <w:rsid w:val="006B6484"/>
    <w:rsid w:val="006B6A8C"/>
    <w:rsid w:val="006B6E99"/>
    <w:rsid w:val="006C3DD0"/>
    <w:rsid w:val="006C6F4A"/>
    <w:rsid w:val="006C7397"/>
    <w:rsid w:val="006C75EE"/>
    <w:rsid w:val="006D0C73"/>
    <w:rsid w:val="006D2CE5"/>
    <w:rsid w:val="006D3CD5"/>
    <w:rsid w:val="006D3EB5"/>
    <w:rsid w:val="006E12B8"/>
    <w:rsid w:val="006E2814"/>
    <w:rsid w:val="006E2BE6"/>
    <w:rsid w:val="006E3131"/>
    <w:rsid w:val="006E373B"/>
    <w:rsid w:val="006E50C0"/>
    <w:rsid w:val="006E51E5"/>
    <w:rsid w:val="006F1A3E"/>
    <w:rsid w:val="006F2A74"/>
    <w:rsid w:val="006F49BB"/>
    <w:rsid w:val="006F6A79"/>
    <w:rsid w:val="006F6CCB"/>
    <w:rsid w:val="006F720C"/>
    <w:rsid w:val="00700BBA"/>
    <w:rsid w:val="00701711"/>
    <w:rsid w:val="00702524"/>
    <w:rsid w:val="007036F4"/>
    <w:rsid w:val="007039DE"/>
    <w:rsid w:val="007042C1"/>
    <w:rsid w:val="00707998"/>
    <w:rsid w:val="00710F75"/>
    <w:rsid w:val="00710F83"/>
    <w:rsid w:val="007110A7"/>
    <w:rsid w:val="007121D2"/>
    <w:rsid w:val="00712626"/>
    <w:rsid w:val="00713F3C"/>
    <w:rsid w:val="0072150C"/>
    <w:rsid w:val="00725192"/>
    <w:rsid w:val="00726B62"/>
    <w:rsid w:val="00726D13"/>
    <w:rsid w:val="00727616"/>
    <w:rsid w:val="00730982"/>
    <w:rsid w:val="00732B83"/>
    <w:rsid w:val="00733D73"/>
    <w:rsid w:val="0073417B"/>
    <w:rsid w:val="007366E0"/>
    <w:rsid w:val="007369C5"/>
    <w:rsid w:val="00736A13"/>
    <w:rsid w:val="00736D5B"/>
    <w:rsid w:val="007373A2"/>
    <w:rsid w:val="00737914"/>
    <w:rsid w:val="00737F36"/>
    <w:rsid w:val="00744091"/>
    <w:rsid w:val="00745DBE"/>
    <w:rsid w:val="007461E2"/>
    <w:rsid w:val="00746E54"/>
    <w:rsid w:val="00751454"/>
    <w:rsid w:val="00753EA0"/>
    <w:rsid w:val="00754D04"/>
    <w:rsid w:val="00761A1F"/>
    <w:rsid w:val="0076388E"/>
    <w:rsid w:val="00765F4E"/>
    <w:rsid w:val="00766A6D"/>
    <w:rsid w:val="00771504"/>
    <w:rsid w:val="00771946"/>
    <w:rsid w:val="00775EA7"/>
    <w:rsid w:val="00775FB0"/>
    <w:rsid w:val="007776A5"/>
    <w:rsid w:val="007809E1"/>
    <w:rsid w:val="007824C6"/>
    <w:rsid w:val="00786B47"/>
    <w:rsid w:val="00791C57"/>
    <w:rsid w:val="007949A5"/>
    <w:rsid w:val="007956B5"/>
    <w:rsid w:val="00796D12"/>
    <w:rsid w:val="007977CE"/>
    <w:rsid w:val="007A14E0"/>
    <w:rsid w:val="007A17F9"/>
    <w:rsid w:val="007A1B69"/>
    <w:rsid w:val="007A4A64"/>
    <w:rsid w:val="007B1742"/>
    <w:rsid w:val="007B2FAC"/>
    <w:rsid w:val="007B3758"/>
    <w:rsid w:val="007B4366"/>
    <w:rsid w:val="007C1D81"/>
    <w:rsid w:val="007C41FE"/>
    <w:rsid w:val="007C4DC4"/>
    <w:rsid w:val="007C6668"/>
    <w:rsid w:val="007C77E6"/>
    <w:rsid w:val="007D0A05"/>
    <w:rsid w:val="007D0D87"/>
    <w:rsid w:val="007D28C3"/>
    <w:rsid w:val="007D362B"/>
    <w:rsid w:val="007D430A"/>
    <w:rsid w:val="007D4634"/>
    <w:rsid w:val="007D53B5"/>
    <w:rsid w:val="007D60E2"/>
    <w:rsid w:val="007E21E0"/>
    <w:rsid w:val="007E428E"/>
    <w:rsid w:val="007E46A4"/>
    <w:rsid w:val="007E50FE"/>
    <w:rsid w:val="007E7EA8"/>
    <w:rsid w:val="007F1EF6"/>
    <w:rsid w:val="007F2604"/>
    <w:rsid w:val="007F3B4B"/>
    <w:rsid w:val="007F6F2E"/>
    <w:rsid w:val="00801B51"/>
    <w:rsid w:val="00801B97"/>
    <w:rsid w:val="00802232"/>
    <w:rsid w:val="00802A80"/>
    <w:rsid w:val="00804C11"/>
    <w:rsid w:val="008110C8"/>
    <w:rsid w:val="00812DB3"/>
    <w:rsid w:val="00813ECE"/>
    <w:rsid w:val="008175BC"/>
    <w:rsid w:val="00817A73"/>
    <w:rsid w:val="00817BF4"/>
    <w:rsid w:val="00817D9B"/>
    <w:rsid w:val="0082075F"/>
    <w:rsid w:val="00822D6A"/>
    <w:rsid w:val="008231C2"/>
    <w:rsid w:val="00823856"/>
    <w:rsid w:val="008258BC"/>
    <w:rsid w:val="00827DDF"/>
    <w:rsid w:val="00831E2F"/>
    <w:rsid w:val="008346AC"/>
    <w:rsid w:val="00836D03"/>
    <w:rsid w:val="00850146"/>
    <w:rsid w:val="00853F33"/>
    <w:rsid w:val="00857004"/>
    <w:rsid w:val="00857C72"/>
    <w:rsid w:val="00863A81"/>
    <w:rsid w:val="00864880"/>
    <w:rsid w:val="00864BF5"/>
    <w:rsid w:val="008650A0"/>
    <w:rsid w:val="00866426"/>
    <w:rsid w:val="008664B2"/>
    <w:rsid w:val="008710A3"/>
    <w:rsid w:val="00883413"/>
    <w:rsid w:val="008865FA"/>
    <w:rsid w:val="00886A4A"/>
    <w:rsid w:val="00886C17"/>
    <w:rsid w:val="00890092"/>
    <w:rsid w:val="0089656B"/>
    <w:rsid w:val="008A1FFA"/>
    <w:rsid w:val="008A3C3B"/>
    <w:rsid w:val="008A42A5"/>
    <w:rsid w:val="008A5ED0"/>
    <w:rsid w:val="008B19FE"/>
    <w:rsid w:val="008B2ABA"/>
    <w:rsid w:val="008B314C"/>
    <w:rsid w:val="008B35D3"/>
    <w:rsid w:val="008B5827"/>
    <w:rsid w:val="008B583F"/>
    <w:rsid w:val="008B5863"/>
    <w:rsid w:val="008B5951"/>
    <w:rsid w:val="008B6E53"/>
    <w:rsid w:val="008C0650"/>
    <w:rsid w:val="008C1003"/>
    <w:rsid w:val="008C1C48"/>
    <w:rsid w:val="008C28FB"/>
    <w:rsid w:val="008C4414"/>
    <w:rsid w:val="008C5C26"/>
    <w:rsid w:val="008C6E4C"/>
    <w:rsid w:val="008D3C15"/>
    <w:rsid w:val="008E1328"/>
    <w:rsid w:val="008E173B"/>
    <w:rsid w:val="008E22E0"/>
    <w:rsid w:val="008E3503"/>
    <w:rsid w:val="008E46D0"/>
    <w:rsid w:val="008E5130"/>
    <w:rsid w:val="008F01C3"/>
    <w:rsid w:val="008F070F"/>
    <w:rsid w:val="008F116B"/>
    <w:rsid w:val="008F1191"/>
    <w:rsid w:val="008F23EB"/>
    <w:rsid w:val="008F58B9"/>
    <w:rsid w:val="008F615A"/>
    <w:rsid w:val="00900A48"/>
    <w:rsid w:val="00901635"/>
    <w:rsid w:val="00901A02"/>
    <w:rsid w:val="00901C06"/>
    <w:rsid w:val="0090306F"/>
    <w:rsid w:val="00904200"/>
    <w:rsid w:val="00913FCA"/>
    <w:rsid w:val="009142BE"/>
    <w:rsid w:val="00914EBA"/>
    <w:rsid w:val="00915B26"/>
    <w:rsid w:val="009169E0"/>
    <w:rsid w:val="00916E16"/>
    <w:rsid w:val="00916F9A"/>
    <w:rsid w:val="00922B59"/>
    <w:rsid w:val="00922FAA"/>
    <w:rsid w:val="00924631"/>
    <w:rsid w:val="0092586C"/>
    <w:rsid w:val="00926187"/>
    <w:rsid w:val="009271FE"/>
    <w:rsid w:val="00930FE2"/>
    <w:rsid w:val="00934250"/>
    <w:rsid w:val="00936648"/>
    <w:rsid w:val="00936E1A"/>
    <w:rsid w:val="00937772"/>
    <w:rsid w:val="00941280"/>
    <w:rsid w:val="00941B95"/>
    <w:rsid w:val="00944E95"/>
    <w:rsid w:val="00945A54"/>
    <w:rsid w:val="009478FA"/>
    <w:rsid w:val="00952673"/>
    <w:rsid w:val="00952C36"/>
    <w:rsid w:val="00952FB6"/>
    <w:rsid w:val="00953D60"/>
    <w:rsid w:val="0096028C"/>
    <w:rsid w:val="00960734"/>
    <w:rsid w:val="00960FAE"/>
    <w:rsid w:val="0096185C"/>
    <w:rsid w:val="00965E42"/>
    <w:rsid w:val="00967FF7"/>
    <w:rsid w:val="009704C3"/>
    <w:rsid w:val="00971DE7"/>
    <w:rsid w:val="009729AE"/>
    <w:rsid w:val="0097391F"/>
    <w:rsid w:val="00974E09"/>
    <w:rsid w:val="00976493"/>
    <w:rsid w:val="00977289"/>
    <w:rsid w:val="009855A0"/>
    <w:rsid w:val="0099326C"/>
    <w:rsid w:val="00993ADD"/>
    <w:rsid w:val="009956E7"/>
    <w:rsid w:val="0099592A"/>
    <w:rsid w:val="00997050"/>
    <w:rsid w:val="009A32C6"/>
    <w:rsid w:val="009A3570"/>
    <w:rsid w:val="009B0264"/>
    <w:rsid w:val="009B1666"/>
    <w:rsid w:val="009B46E5"/>
    <w:rsid w:val="009C1D81"/>
    <w:rsid w:val="009C2621"/>
    <w:rsid w:val="009C2CD1"/>
    <w:rsid w:val="009C4C44"/>
    <w:rsid w:val="009C7DD9"/>
    <w:rsid w:val="009D0429"/>
    <w:rsid w:val="009D1876"/>
    <w:rsid w:val="009D1E00"/>
    <w:rsid w:val="009D2106"/>
    <w:rsid w:val="009D224A"/>
    <w:rsid w:val="009D2E8A"/>
    <w:rsid w:val="009D59C3"/>
    <w:rsid w:val="009E0698"/>
    <w:rsid w:val="009E10B0"/>
    <w:rsid w:val="009E3279"/>
    <w:rsid w:val="009F0EF3"/>
    <w:rsid w:val="009F29A3"/>
    <w:rsid w:val="009F32F3"/>
    <w:rsid w:val="009F723C"/>
    <w:rsid w:val="009F72CE"/>
    <w:rsid w:val="009F7463"/>
    <w:rsid w:val="00A00089"/>
    <w:rsid w:val="00A039E0"/>
    <w:rsid w:val="00A0449B"/>
    <w:rsid w:val="00A05025"/>
    <w:rsid w:val="00A05A7F"/>
    <w:rsid w:val="00A05DA5"/>
    <w:rsid w:val="00A127D0"/>
    <w:rsid w:val="00A172E5"/>
    <w:rsid w:val="00A23942"/>
    <w:rsid w:val="00A25258"/>
    <w:rsid w:val="00A254C5"/>
    <w:rsid w:val="00A305A0"/>
    <w:rsid w:val="00A327D7"/>
    <w:rsid w:val="00A337D8"/>
    <w:rsid w:val="00A34820"/>
    <w:rsid w:val="00A35E81"/>
    <w:rsid w:val="00A36D35"/>
    <w:rsid w:val="00A42861"/>
    <w:rsid w:val="00A43151"/>
    <w:rsid w:val="00A43BBD"/>
    <w:rsid w:val="00A44907"/>
    <w:rsid w:val="00A45745"/>
    <w:rsid w:val="00A461AD"/>
    <w:rsid w:val="00A466F7"/>
    <w:rsid w:val="00A47BD8"/>
    <w:rsid w:val="00A57040"/>
    <w:rsid w:val="00A5798F"/>
    <w:rsid w:val="00A61005"/>
    <w:rsid w:val="00A613C1"/>
    <w:rsid w:val="00A63810"/>
    <w:rsid w:val="00A647D0"/>
    <w:rsid w:val="00A65BB3"/>
    <w:rsid w:val="00A728E3"/>
    <w:rsid w:val="00A72986"/>
    <w:rsid w:val="00A7343F"/>
    <w:rsid w:val="00A83DC9"/>
    <w:rsid w:val="00A86E9A"/>
    <w:rsid w:val="00A87BD2"/>
    <w:rsid w:val="00A9016D"/>
    <w:rsid w:val="00A90A58"/>
    <w:rsid w:val="00A90DEB"/>
    <w:rsid w:val="00A91585"/>
    <w:rsid w:val="00A92D19"/>
    <w:rsid w:val="00A939D1"/>
    <w:rsid w:val="00AA0534"/>
    <w:rsid w:val="00AA2EB7"/>
    <w:rsid w:val="00AA366E"/>
    <w:rsid w:val="00AA3C1A"/>
    <w:rsid w:val="00AB239C"/>
    <w:rsid w:val="00AB25A7"/>
    <w:rsid w:val="00AC02AD"/>
    <w:rsid w:val="00AC0AF7"/>
    <w:rsid w:val="00AC40E6"/>
    <w:rsid w:val="00AC5E06"/>
    <w:rsid w:val="00AD0185"/>
    <w:rsid w:val="00AD098F"/>
    <w:rsid w:val="00AD2417"/>
    <w:rsid w:val="00AD7AAE"/>
    <w:rsid w:val="00AD7E8D"/>
    <w:rsid w:val="00AE096F"/>
    <w:rsid w:val="00AE0F37"/>
    <w:rsid w:val="00AE128C"/>
    <w:rsid w:val="00AE3E66"/>
    <w:rsid w:val="00AE475D"/>
    <w:rsid w:val="00AE48FD"/>
    <w:rsid w:val="00AE6722"/>
    <w:rsid w:val="00AF0B69"/>
    <w:rsid w:val="00AF12EC"/>
    <w:rsid w:val="00AF334F"/>
    <w:rsid w:val="00AF6E66"/>
    <w:rsid w:val="00AF7402"/>
    <w:rsid w:val="00B004C2"/>
    <w:rsid w:val="00B00DF6"/>
    <w:rsid w:val="00B03F2B"/>
    <w:rsid w:val="00B04F33"/>
    <w:rsid w:val="00B0519E"/>
    <w:rsid w:val="00B07257"/>
    <w:rsid w:val="00B13078"/>
    <w:rsid w:val="00B13345"/>
    <w:rsid w:val="00B14C79"/>
    <w:rsid w:val="00B17611"/>
    <w:rsid w:val="00B22AE4"/>
    <w:rsid w:val="00B24BB7"/>
    <w:rsid w:val="00B262A0"/>
    <w:rsid w:val="00B348E1"/>
    <w:rsid w:val="00B352BC"/>
    <w:rsid w:val="00B360A5"/>
    <w:rsid w:val="00B366F4"/>
    <w:rsid w:val="00B421F1"/>
    <w:rsid w:val="00B43503"/>
    <w:rsid w:val="00B443A4"/>
    <w:rsid w:val="00B445B6"/>
    <w:rsid w:val="00B45040"/>
    <w:rsid w:val="00B4716C"/>
    <w:rsid w:val="00B50B2F"/>
    <w:rsid w:val="00B51AB6"/>
    <w:rsid w:val="00B51D45"/>
    <w:rsid w:val="00B54169"/>
    <w:rsid w:val="00B54F9B"/>
    <w:rsid w:val="00B55459"/>
    <w:rsid w:val="00B5556F"/>
    <w:rsid w:val="00B60EA5"/>
    <w:rsid w:val="00B624D0"/>
    <w:rsid w:val="00B6399E"/>
    <w:rsid w:val="00B66479"/>
    <w:rsid w:val="00B678C4"/>
    <w:rsid w:val="00B72BA6"/>
    <w:rsid w:val="00B73576"/>
    <w:rsid w:val="00B74A53"/>
    <w:rsid w:val="00B75999"/>
    <w:rsid w:val="00B762A8"/>
    <w:rsid w:val="00B7664A"/>
    <w:rsid w:val="00B77193"/>
    <w:rsid w:val="00B81469"/>
    <w:rsid w:val="00B83686"/>
    <w:rsid w:val="00B847CF"/>
    <w:rsid w:val="00B84D95"/>
    <w:rsid w:val="00B85BE9"/>
    <w:rsid w:val="00B8667B"/>
    <w:rsid w:val="00B86DB7"/>
    <w:rsid w:val="00B87EB5"/>
    <w:rsid w:val="00B91E44"/>
    <w:rsid w:val="00B97B9C"/>
    <w:rsid w:val="00BA123F"/>
    <w:rsid w:val="00BA1B64"/>
    <w:rsid w:val="00BA230E"/>
    <w:rsid w:val="00BA51C4"/>
    <w:rsid w:val="00BA7178"/>
    <w:rsid w:val="00BB2120"/>
    <w:rsid w:val="00BB495A"/>
    <w:rsid w:val="00BB4E70"/>
    <w:rsid w:val="00BC0578"/>
    <w:rsid w:val="00BC0F2E"/>
    <w:rsid w:val="00BC10D6"/>
    <w:rsid w:val="00BC2A8F"/>
    <w:rsid w:val="00BC4680"/>
    <w:rsid w:val="00BC5330"/>
    <w:rsid w:val="00BC59B7"/>
    <w:rsid w:val="00BD04F4"/>
    <w:rsid w:val="00BD1A61"/>
    <w:rsid w:val="00BD2EA8"/>
    <w:rsid w:val="00BD4E71"/>
    <w:rsid w:val="00BD6307"/>
    <w:rsid w:val="00BE2142"/>
    <w:rsid w:val="00BF2B3F"/>
    <w:rsid w:val="00BF4101"/>
    <w:rsid w:val="00BF480E"/>
    <w:rsid w:val="00BF55BB"/>
    <w:rsid w:val="00BF6BA3"/>
    <w:rsid w:val="00C03D4B"/>
    <w:rsid w:val="00C076A6"/>
    <w:rsid w:val="00C1006A"/>
    <w:rsid w:val="00C11005"/>
    <w:rsid w:val="00C11E8E"/>
    <w:rsid w:val="00C12877"/>
    <w:rsid w:val="00C1582B"/>
    <w:rsid w:val="00C16026"/>
    <w:rsid w:val="00C22F0D"/>
    <w:rsid w:val="00C250AE"/>
    <w:rsid w:val="00C3061C"/>
    <w:rsid w:val="00C32E97"/>
    <w:rsid w:val="00C33A7F"/>
    <w:rsid w:val="00C35732"/>
    <w:rsid w:val="00C36F36"/>
    <w:rsid w:val="00C42625"/>
    <w:rsid w:val="00C437F1"/>
    <w:rsid w:val="00C468E6"/>
    <w:rsid w:val="00C5159F"/>
    <w:rsid w:val="00C536F4"/>
    <w:rsid w:val="00C55104"/>
    <w:rsid w:val="00C55856"/>
    <w:rsid w:val="00C55BAD"/>
    <w:rsid w:val="00C55E4E"/>
    <w:rsid w:val="00C5763F"/>
    <w:rsid w:val="00C5795B"/>
    <w:rsid w:val="00C606E5"/>
    <w:rsid w:val="00C60CB3"/>
    <w:rsid w:val="00C61AE4"/>
    <w:rsid w:val="00C63ACD"/>
    <w:rsid w:val="00C659C9"/>
    <w:rsid w:val="00C70746"/>
    <w:rsid w:val="00C7500F"/>
    <w:rsid w:val="00C76359"/>
    <w:rsid w:val="00C80E4D"/>
    <w:rsid w:val="00C81894"/>
    <w:rsid w:val="00C826E5"/>
    <w:rsid w:val="00C829B1"/>
    <w:rsid w:val="00C83300"/>
    <w:rsid w:val="00C83530"/>
    <w:rsid w:val="00C87ECA"/>
    <w:rsid w:val="00C94D78"/>
    <w:rsid w:val="00C95ACD"/>
    <w:rsid w:val="00C95BD5"/>
    <w:rsid w:val="00CA0F10"/>
    <w:rsid w:val="00CA1952"/>
    <w:rsid w:val="00CA4964"/>
    <w:rsid w:val="00CA5B86"/>
    <w:rsid w:val="00CB0605"/>
    <w:rsid w:val="00CB63ED"/>
    <w:rsid w:val="00CC2483"/>
    <w:rsid w:val="00CC2B92"/>
    <w:rsid w:val="00CC308E"/>
    <w:rsid w:val="00CC3645"/>
    <w:rsid w:val="00CD225F"/>
    <w:rsid w:val="00CD452E"/>
    <w:rsid w:val="00CD7A67"/>
    <w:rsid w:val="00CE1D0C"/>
    <w:rsid w:val="00CE2120"/>
    <w:rsid w:val="00CE257F"/>
    <w:rsid w:val="00CE430E"/>
    <w:rsid w:val="00CE7EB4"/>
    <w:rsid w:val="00CF1017"/>
    <w:rsid w:val="00CF183F"/>
    <w:rsid w:val="00CF187F"/>
    <w:rsid w:val="00CF3F2B"/>
    <w:rsid w:val="00CF6878"/>
    <w:rsid w:val="00CF6E4B"/>
    <w:rsid w:val="00CF7C51"/>
    <w:rsid w:val="00D01379"/>
    <w:rsid w:val="00D01E72"/>
    <w:rsid w:val="00D0203A"/>
    <w:rsid w:val="00D02741"/>
    <w:rsid w:val="00D02847"/>
    <w:rsid w:val="00D0686B"/>
    <w:rsid w:val="00D108B8"/>
    <w:rsid w:val="00D116A7"/>
    <w:rsid w:val="00D11B69"/>
    <w:rsid w:val="00D1287E"/>
    <w:rsid w:val="00D12AD6"/>
    <w:rsid w:val="00D143C1"/>
    <w:rsid w:val="00D2057D"/>
    <w:rsid w:val="00D23AF2"/>
    <w:rsid w:val="00D25AE8"/>
    <w:rsid w:val="00D2655A"/>
    <w:rsid w:val="00D30013"/>
    <w:rsid w:val="00D301F1"/>
    <w:rsid w:val="00D3082E"/>
    <w:rsid w:val="00D310BC"/>
    <w:rsid w:val="00D3229E"/>
    <w:rsid w:val="00D330A5"/>
    <w:rsid w:val="00D332DB"/>
    <w:rsid w:val="00D353C9"/>
    <w:rsid w:val="00D35C1F"/>
    <w:rsid w:val="00D413F6"/>
    <w:rsid w:val="00D4166A"/>
    <w:rsid w:val="00D43CFF"/>
    <w:rsid w:val="00D44F4E"/>
    <w:rsid w:val="00D473E8"/>
    <w:rsid w:val="00D50AD1"/>
    <w:rsid w:val="00D510A1"/>
    <w:rsid w:val="00D510CB"/>
    <w:rsid w:val="00D52399"/>
    <w:rsid w:val="00D52D20"/>
    <w:rsid w:val="00D541C3"/>
    <w:rsid w:val="00D55459"/>
    <w:rsid w:val="00D60117"/>
    <w:rsid w:val="00D64C00"/>
    <w:rsid w:val="00D65FD6"/>
    <w:rsid w:val="00D67B38"/>
    <w:rsid w:val="00D70CFE"/>
    <w:rsid w:val="00D71E13"/>
    <w:rsid w:val="00D73AC9"/>
    <w:rsid w:val="00D73CBC"/>
    <w:rsid w:val="00D77B49"/>
    <w:rsid w:val="00D80627"/>
    <w:rsid w:val="00D80E10"/>
    <w:rsid w:val="00D83529"/>
    <w:rsid w:val="00D8733C"/>
    <w:rsid w:val="00D92D15"/>
    <w:rsid w:val="00D939E2"/>
    <w:rsid w:val="00D95D67"/>
    <w:rsid w:val="00D9677A"/>
    <w:rsid w:val="00D96B7E"/>
    <w:rsid w:val="00D970BE"/>
    <w:rsid w:val="00D97C4B"/>
    <w:rsid w:val="00DA0373"/>
    <w:rsid w:val="00DA15F9"/>
    <w:rsid w:val="00DA193D"/>
    <w:rsid w:val="00DA528A"/>
    <w:rsid w:val="00DA544E"/>
    <w:rsid w:val="00DA607F"/>
    <w:rsid w:val="00DB18EE"/>
    <w:rsid w:val="00DB2703"/>
    <w:rsid w:val="00DC0DA2"/>
    <w:rsid w:val="00DC2767"/>
    <w:rsid w:val="00DC67AB"/>
    <w:rsid w:val="00DC7262"/>
    <w:rsid w:val="00DC75AC"/>
    <w:rsid w:val="00DC7B90"/>
    <w:rsid w:val="00DD0875"/>
    <w:rsid w:val="00DD2646"/>
    <w:rsid w:val="00DD4FE6"/>
    <w:rsid w:val="00DE1B09"/>
    <w:rsid w:val="00DE209C"/>
    <w:rsid w:val="00DE23E3"/>
    <w:rsid w:val="00DE296D"/>
    <w:rsid w:val="00DE4AE6"/>
    <w:rsid w:val="00DE6ADA"/>
    <w:rsid w:val="00DF15F1"/>
    <w:rsid w:val="00DF2BD7"/>
    <w:rsid w:val="00DF3BC0"/>
    <w:rsid w:val="00DF42B1"/>
    <w:rsid w:val="00DF4D39"/>
    <w:rsid w:val="00DF56F9"/>
    <w:rsid w:val="00DF6BE8"/>
    <w:rsid w:val="00E02B2C"/>
    <w:rsid w:val="00E06C97"/>
    <w:rsid w:val="00E07416"/>
    <w:rsid w:val="00E11D81"/>
    <w:rsid w:val="00E1226E"/>
    <w:rsid w:val="00E17365"/>
    <w:rsid w:val="00E17D21"/>
    <w:rsid w:val="00E213CA"/>
    <w:rsid w:val="00E22E8D"/>
    <w:rsid w:val="00E2346C"/>
    <w:rsid w:val="00E263EF"/>
    <w:rsid w:val="00E30E00"/>
    <w:rsid w:val="00E375E5"/>
    <w:rsid w:val="00E418AD"/>
    <w:rsid w:val="00E41E57"/>
    <w:rsid w:val="00E4346B"/>
    <w:rsid w:val="00E43DF3"/>
    <w:rsid w:val="00E4664E"/>
    <w:rsid w:val="00E47D1A"/>
    <w:rsid w:val="00E50589"/>
    <w:rsid w:val="00E520E1"/>
    <w:rsid w:val="00E52FD3"/>
    <w:rsid w:val="00E54FA5"/>
    <w:rsid w:val="00E6070F"/>
    <w:rsid w:val="00E614F2"/>
    <w:rsid w:val="00E63BDA"/>
    <w:rsid w:val="00E6416D"/>
    <w:rsid w:val="00E65556"/>
    <w:rsid w:val="00E65F58"/>
    <w:rsid w:val="00E663DE"/>
    <w:rsid w:val="00E66E29"/>
    <w:rsid w:val="00E72EBD"/>
    <w:rsid w:val="00E867C0"/>
    <w:rsid w:val="00E87DC8"/>
    <w:rsid w:val="00E911B7"/>
    <w:rsid w:val="00E93349"/>
    <w:rsid w:val="00E93BBC"/>
    <w:rsid w:val="00E94810"/>
    <w:rsid w:val="00E94CDA"/>
    <w:rsid w:val="00E973AB"/>
    <w:rsid w:val="00E97542"/>
    <w:rsid w:val="00EA181D"/>
    <w:rsid w:val="00EA2068"/>
    <w:rsid w:val="00EA4261"/>
    <w:rsid w:val="00EA480E"/>
    <w:rsid w:val="00EA56C9"/>
    <w:rsid w:val="00EB2B1A"/>
    <w:rsid w:val="00EB393C"/>
    <w:rsid w:val="00EB46CA"/>
    <w:rsid w:val="00EB66C6"/>
    <w:rsid w:val="00EC045B"/>
    <w:rsid w:val="00EC2260"/>
    <w:rsid w:val="00EC4A96"/>
    <w:rsid w:val="00ED1BB1"/>
    <w:rsid w:val="00ED3659"/>
    <w:rsid w:val="00ED3898"/>
    <w:rsid w:val="00ED55F1"/>
    <w:rsid w:val="00EE00E4"/>
    <w:rsid w:val="00EE0215"/>
    <w:rsid w:val="00EE043E"/>
    <w:rsid w:val="00EE491D"/>
    <w:rsid w:val="00EE5457"/>
    <w:rsid w:val="00EE754F"/>
    <w:rsid w:val="00EE7DB5"/>
    <w:rsid w:val="00EF0F56"/>
    <w:rsid w:val="00EF2F1C"/>
    <w:rsid w:val="00EF33FE"/>
    <w:rsid w:val="00EF3DFB"/>
    <w:rsid w:val="00EF42FE"/>
    <w:rsid w:val="00EF72CD"/>
    <w:rsid w:val="00EF76BD"/>
    <w:rsid w:val="00F005A9"/>
    <w:rsid w:val="00F025C2"/>
    <w:rsid w:val="00F039D0"/>
    <w:rsid w:val="00F043E1"/>
    <w:rsid w:val="00F04BBD"/>
    <w:rsid w:val="00F04FBE"/>
    <w:rsid w:val="00F05657"/>
    <w:rsid w:val="00F06899"/>
    <w:rsid w:val="00F10ACB"/>
    <w:rsid w:val="00F10B96"/>
    <w:rsid w:val="00F13D6D"/>
    <w:rsid w:val="00F1446F"/>
    <w:rsid w:val="00F16069"/>
    <w:rsid w:val="00F21B77"/>
    <w:rsid w:val="00F243BF"/>
    <w:rsid w:val="00F25A94"/>
    <w:rsid w:val="00F2726A"/>
    <w:rsid w:val="00F303D7"/>
    <w:rsid w:val="00F30BC5"/>
    <w:rsid w:val="00F318B3"/>
    <w:rsid w:val="00F32DB5"/>
    <w:rsid w:val="00F358F5"/>
    <w:rsid w:val="00F3648B"/>
    <w:rsid w:val="00F375D6"/>
    <w:rsid w:val="00F408AD"/>
    <w:rsid w:val="00F420AF"/>
    <w:rsid w:val="00F52C95"/>
    <w:rsid w:val="00F54E1B"/>
    <w:rsid w:val="00F55C42"/>
    <w:rsid w:val="00F566F9"/>
    <w:rsid w:val="00F57F01"/>
    <w:rsid w:val="00F63FCE"/>
    <w:rsid w:val="00F66068"/>
    <w:rsid w:val="00F667C8"/>
    <w:rsid w:val="00F66969"/>
    <w:rsid w:val="00F671B8"/>
    <w:rsid w:val="00F711DE"/>
    <w:rsid w:val="00F743C9"/>
    <w:rsid w:val="00F74473"/>
    <w:rsid w:val="00F745AC"/>
    <w:rsid w:val="00F74BD6"/>
    <w:rsid w:val="00F829B5"/>
    <w:rsid w:val="00F839F3"/>
    <w:rsid w:val="00F84490"/>
    <w:rsid w:val="00F852AC"/>
    <w:rsid w:val="00F85F06"/>
    <w:rsid w:val="00F937A0"/>
    <w:rsid w:val="00F93CD0"/>
    <w:rsid w:val="00F94A70"/>
    <w:rsid w:val="00F965CA"/>
    <w:rsid w:val="00FA0815"/>
    <w:rsid w:val="00FA1887"/>
    <w:rsid w:val="00FB0B0D"/>
    <w:rsid w:val="00FB1045"/>
    <w:rsid w:val="00FB1F3D"/>
    <w:rsid w:val="00FB6C69"/>
    <w:rsid w:val="00FC0FD9"/>
    <w:rsid w:val="00FC22F3"/>
    <w:rsid w:val="00FC28A1"/>
    <w:rsid w:val="00FC5518"/>
    <w:rsid w:val="00FC584D"/>
    <w:rsid w:val="00FC5862"/>
    <w:rsid w:val="00FC62D0"/>
    <w:rsid w:val="00FC7BD0"/>
    <w:rsid w:val="00FD052B"/>
    <w:rsid w:val="00FD53C0"/>
    <w:rsid w:val="00FE00A3"/>
    <w:rsid w:val="00FE1454"/>
    <w:rsid w:val="00FE350B"/>
    <w:rsid w:val="00FE3B7A"/>
    <w:rsid w:val="00FE4165"/>
    <w:rsid w:val="00FE44DA"/>
    <w:rsid w:val="00FE584E"/>
    <w:rsid w:val="00FE58EC"/>
    <w:rsid w:val="00FE5F8F"/>
    <w:rsid w:val="00FF09BF"/>
    <w:rsid w:val="00FF1D4B"/>
    <w:rsid w:val="00FF1EE2"/>
    <w:rsid w:val="00FF2C04"/>
    <w:rsid w:val="00FF4D37"/>
    <w:rsid w:val="00FF6159"/>
    <w:rsid w:val="00FF7019"/>
    <w:rsid w:val="00FF7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98"/>
    <w:pPr>
      <w:spacing w:after="0" w:line="240" w:lineRule="auto"/>
    </w:pPr>
    <w:rPr>
      <w:rFonts w:eastAsia="Times New Roman" w:cs="Times New Roman"/>
      <w:sz w:val="24"/>
      <w:szCs w:val="24"/>
      <w:lang w:eastAsia="en-AU"/>
    </w:rPr>
  </w:style>
  <w:style w:type="paragraph" w:styleId="Heading1">
    <w:name w:val="heading 1"/>
    <w:basedOn w:val="Normal"/>
    <w:next w:val="Normal"/>
    <w:link w:val="Heading1Char"/>
    <w:qFormat/>
    <w:rsid w:val="00003E81"/>
    <w:pPr>
      <w:keepNext/>
      <w:keepLines/>
      <w:numPr>
        <w:numId w:val="5"/>
      </w:numPr>
      <w:spacing w:before="240" w:after="240"/>
      <w:outlineLvl w:val="0"/>
    </w:pPr>
    <w:rPr>
      <w:rFonts w:ascii="Calibri" w:eastAsiaTheme="majorEastAsia" w:hAnsi="Calibri" w:cstheme="majorBidi"/>
      <w:b/>
      <w:bCs/>
      <w:sz w:val="28"/>
      <w:szCs w:val="28"/>
    </w:rPr>
  </w:style>
  <w:style w:type="paragraph" w:styleId="Heading2">
    <w:name w:val="heading 2"/>
    <w:basedOn w:val="Normal"/>
    <w:next w:val="Normal"/>
    <w:link w:val="Heading2Char"/>
    <w:unhideWhenUsed/>
    <w:qFormat/>
    <w:rsid w:val="00B366F4"/>
    <w:pPr>
      <w:keepNext/>
      <w:keepLines/>
      <w:numPr>
        <w:ilvl w:val="1"/>
        <w:numId w:val="5"/>
      </w:numPr>
      <w:spacing w:before="240" w:after="240"/>
      <w:ind w:left="578" w:hanging="578"/>
      <w:outlineLvl w:val="1"/>
    </w:pPr>
    <w:rPr>
      <w:rFonts w:ascii="Calibri" w:eastAsiaTheme="majorEastAsia" w:hAnsi="Calibri" w:cstheme="majorBidi"/>
      <w:b/>
      <w:bCs/>
      <w:sz w:val="26"/>
      <w:szCs w:val="26"/>
    </w:rPr>
  </w:style>
  <w:style w:type="paragraph" w:styleId="Heading3">
    <w:name w:val="heading 3"/>
    <w:basedOn w:val="Normal"/>
    <w:next w:val="Normal"/>
    <w:link w:val="Heading3Char"/>
    <w:unhideWhenUsed/>
    <w:qFormat/>
    <w:rsid w:val="00B366F4"/>
    <w:pPr>
      <w:keepNext/>
      <w:keepLines/>
      <w:numPr>
        <w:ilvl w:val="2"/>
        <w:numId w:val="5"/>
      </w:numPr>
      <w:spacing w:before="200" w:after="120"/>
      <w:ind w:left="720"/>
      <w:outlineLvl w:val="2"/>
    </w:pPr>
    <w:rPr>
      <w:rFonts w:ascii="Calibri" w:eastAsiaTheme="majorEastAsia" w:hAnsi="Calibri" w:cstheme="majorBidi"/>
      <w:b/>
      <w:bCs/>
    </w:rPr>
  </w:style>
  <w:style w:type="paragraph" w:styleId="Heading4">
    <w:name w:val="heading 4"/>
    <w:basedOn w:val="Normal"/>
    <w:next w:val="Normal"/>
    <w:link w:val="Heading4Char"/>
    <w:unhideWhenUsed/>
    <w:qFormat/>
    <w:rsid w:val="00B762A8"/>
    <w:pPr>
      <w:keepNext/>
      <w:keepLines/>
      <w:spacing w:before="200" w:after="120"/>
      <w:ind w:left="720"/>
      <w:outlineLvl w:val="3"/>
    </w:pPr>
    <w:rPr>
      <w:rFonts w:ascii="Calibri" w:eastAsiaTheme="majorEastAsia" w:hAnsi="Calibri" w:cstheme="majorBidi"/>
      <w:b/>
      <w:bCs/>
      <w:i/>
      <w:iCs/>
      <w:snapToGrid w:val="0"/>
    </w:rPr>
  </w:style>
  <w:style w:type="paragraph" w:styleId="Heading5">
    <w:name w:val="heading 5"/>
    <w:basedOn w:val="Normal"/>
    <w:next w:val="Normal"/>
    <w:link w:val="Heading5Char"/>
    <w:unhideWhenUsed/>
    <w:qFormat/>
    <w:rsid w:val="00003E81"/>
    <w:pPr>
      <w:keepNext/>
      <w:keepLines/>
      <w:numPr>
        <w:ilvl w:val="4"/>
        <w:numId w:val="5"/>
      </w:numPr>
      <w:spacing w:before="200"/>
      <w:outlineLvl w:val="4"/>
    </w:pPr>
    <w:rPr>
      <w:rFonts w:asciiTheme="majorHAnsi" w:eastAsiaTheme="majorEastAsia" w:hAnsiTheme="majorHAnsi" w:cstheme="majorBidi"/>
      <w:color w:val="152832" w:themeColor="accent1" w:themeShade="7F"/>
    </w:rPr>
  </w:style>
  <w:style w:type="paragraph" w:styleId="Heading6">
    <w:name w:val="heading 6"/>
    <w:basedOn w:val="Normal"/>
    <w:next w:val="Normal"/>
    <w:link w:val="Heading6Char"/>
    <w:unhideWhenUsed/>
    <w:qFormat/>
    <w:rsid w:val="00003E81"/>
    <w:pPr>
      <w:keepNext/>
      <w:keepLines/>
      <w:numPr>
        <w:ilvl w:val="5"/>
        <w:numId w:val="5"/>
      </w:numPr>
      <w:spacing w:before="200"/>
      <w:outlineLvl w:val="5"/>
    </w:pPr>
    <w:rPr>
      <w:rFonts w:asciiTheme="majorHAnsi" w:eastAsiaTheme="majorEastAsia" w:hAnsiTheme="majorHAnsi" w:cstheme="majorBidi"/>
      <w:i/>
      <w:iCs/>
      <w:color w:val="152832" w:themeColor="accent1" w:themeShade="7F"/>
    </w:rPr>
  </w:style>
  <w:style w:type="paragraph" w:styleId="Heading7">
    <w:name w:val="heading 7"/>
    <w:basedOn w:val="Normal"/>
    <w:next w:val="Normal"/>
    <w:link w:val="Heading7Char"/>
    <w:uiPriority w:val="99"/>
    <w:unhideWhenUsed/>
    <w:qFormat/>
    <w:rsid w:val="00003E8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003E8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003E8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3E81"/>
    <w:rPr>
      <w:rFonts w:ascii="Calibri" w:eastAsiaTheme="majorEastAsia" w:hAnsi="Calibri" w:cstheme="majorBidi"/>
      <w:b/>
      <w:bCs/>
      <w:sz w:val="28"/>
      <w:szCs w:val="28"/>
      <w:lang w:eastAsia="en-AU"/>
    </w:rPr>
  </w:style>
  <w:style w:type="character" w:customStyle="1" w:styleId="Heading2Char">
    <w:name w:val="Heading 2 Char"/>
    <w:basedOn w:val="DefaultParagraphFont"/>
    <w:link w:val="Heading2"/>
    <w:rsid w:val="00B366F4"/>
    <w:rPr>
      <w:rFonts w:ascii="Calibri" w:eastAsiaTheme="majorEastAsia" w:hAnsi="Calibri" w:cstheme="majorBidi"/>
      <w:b/>
      <w:bCs/>
      <w:sz w:val="26"/>
      <w:szCs w:val="26"/>
      <w:lang w:eastAsia="en-AU"/>
    </w:rPr>
  </w:style>
  <w:style w:type="character" w:customStyle="1" w:styleId="Heading3Char">
    <w:name w:val="Heading 3 Char"/>
    <w:basedOn w:val="DefaultParagraphFont"/>
    <w:link w:val="Heading3"/>
    <w:rsid w:val="00B366F4"/>
    <w:rPr>
      <w:rFonts w:ascii="Calibri" w:eastAsiaTheme="majorEastAsia" w:hAnsi="Calibri" w:cstheme="majorBidi"/>
      <w:b/>
      <w:bCs/>
      <w:sz w:val="24"/>
      <w:szCs w:val="24"/>
      <w:lang w:eastAsia="en-AU"/>
    </w:rPr>
  </w:style>
  <w:style w:type="character" w:customStyle="1" w:styleId="Heading4Char">
    <w:name w:val="Heading 4 Char"/>
    <w:basedOn w:val="DefaultParagraphFont"/>
    <w:link w:val="Heading4"/>
    <w:rsid w:val="00B762A8"/>
    <w:rPr>
      <w:rFonts w:ascii="Calibri" w:eastAsiaTheme="majorEastAsia" w:hAnsi="Calibri" w:cstheme="majorBidi"/>
      <w:b/>
      <w:bCs/>
      <w:i/>
      <w:iCs/>
      <w:snapToGrid w:val="0"/>
      <w:sz w:val="24"/>
      <w:szCs w:val="24"/>
      <w:lang w:eastAsia="en-AU"/>
    </w:rPr>
  </w:style>
  <w:style w:type="character" w:customStyle="1" w:styleId="Heading5Char">
    <w:name w:val="Heading 5 Char"/>
    <w:basedOn w:val="DefaultParagraphFont"/>
    <w:link w:val="Heading5"/>
    <w:rsid w:val="00003E81"/>
    <w:rPr>
      <w:rFonts w:asciiTheme="majorHAnsi" w:eastAsiaTheme="majorEastAsia" w:hAnsiTheme="majorHAnsi" w:cstheme="majorBidi"/>
      <w:color w:val="152832" w:themeColor="accent1" w:themeShade="7F"/>
      <w:sz w:val="24"/>
      <w:szCs w:val="24"/>
      <w:lang w:eastAsia="en-AU"/>
    </w:rPr>
  </w:style>
  <w:style w:type="character" w:customStyle="1" w:styleId="Heading6Char">
    <w:name w:val="Heading 6 Char"/>
    <w:basedOn w:val="DefaultParagraphFont"/>
    <w:link w:val="Heading6"/>
    <w:rsid w:val="00003E81"/>
    <w:rPr>
      <w:rFonts w:asciiTheme="majorHAnsi" w:eastAsiaTheme="majorEastAsia" w:hAnsiTheme="majorHAnsi" w:cstheme="majorBidi"/>
      <w:i/>
      <w:iCs/>
      <w:color w:val="152832" w:themeColor="accent1" w:themeShade="7F"/>
      <w:sz w:val="24"/>
      <w:szCs w:val="24"/>
      <w:lang w:eastAsia="en-AU"/>
    </w:rPr>
  </w:style>
  <w:style w:type="character" w:customStyle="1" w:styleId="Heading7Char">
    <w:name w:val="Heading 7 Char"/>
    <w:basedOn w:val="DefaultParagraphFont"/>
    <w:link w:val="Heading7"/>
    <w:uiPriority w:val="99"/>
    <w:rsid w:val="00003E81"/>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9"/>
    <w:semiHidden/>
    <w:rsid w:val="00003E81"/>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003E81"/>
    <w:rPr>
      <w:rFonts w:asciiTheme="majorHAnsi" w:eastAsiaTheme="majorEastAsia" w:hAnsiTheme="majorHAnsi" w:cstheme="majorBidi"/>
      <w:i/>
      <w:iCs/>
      <w:color w:val="404040" w:themeColor="text1" w:themeTint="BF"/>
      <w:sz w:val="20"/>
      <w:szCs w:val="20"/>
      <w:lang w:eastAsia="en-AU"/>
    </w:rPr>
  </w:style>
  <w:style w:type="paragraph" w:styleId="TOCHeading">
    <w:name w:val="TOC Heading"/>
    <w:basedOn w:val="Heading1"/>
    <w:next w:val="Normal"/>
    <w:uiPriority w:val="39"/>
    <w:unhideWhenUsed/>
    <w:qFormat/>
    <w:rsid w:val="00003E81"/>
    <w:pPr>
      <w:spacing w:line="276" w:lineRule="auto"/>
      <w:ind w:left="0" w:firstLine="0"/>
      <w:outlineLvl w:val="9"/>
    </w:pPr>
    <w:rPr>
      <w:lang w:val="en-US" w:eastAsia="ja-JP"/>
    </w:rPr>
  </w:style>
  <w:style w:type="paragraph" w:styleId="TOC1">
    <w:name w:val="toc 1"/>
    <w:basedOn w:val="Normal"/>
    <w:next w:val="Normal"/>
    <w:autoRedefine/>
    <w:uiPriority w:val="39"/>
    <w:rsid w:val="00003E81"/>
    <w:pPr>
      <w:tabs>
        <w:tab w:val="left" w:pos="480"/>
        <w:tab w:val="right" w:leader="dot" w:pos="9344"/>
      </w:tabs>
      <w:spacing w:after="100"/>
    </w:pPr>
    <w:rPr>
      <w:b/>
      <w:noProof/>
      <w:sz w:val="22"/>
      <w:szCs w:val="22"/>
    </w:rPr>
  </w:style>
  <w:style w:type="paragraph" w:styleId="TOC2">
    <w:name w:val="toc 2"/>
    <w:basedOn w:val="Normal"/>
    <w:next w:val="Normal"/>
    <w:autoRedefine/>
    <w:uiPriority w:val="39"/>
    <w:rsid w:val="00003E81"/>
    <w:pPr>
      <w:tabs>
        <w:tab w:val="left" w:pos="960"/>
        <w:tab w:val="right" w:leader="dot" w:pos="9344"/>
      </w:tabs>
      <w:spacing w:after="100"/>
      <w:ind w:left="240"/>
    </w:pPr>
    <w:rPr>
      <w:noProof/>
      <w:sz w:val="20"/>
      <w:szCs w:val="20"/>
    </w:rPr>
  </w:style>
  <w:style w:type="paragraph" w:styleId="TOC3">
    <w:name w:val="toc 3"/>
    <w:basedOn w:val="Normal"/>
    <w:next w:val="Normal"/>
    <w:autoRedefine/>
    <w:uiPriority w:val="39"/>
    <w:rsid w:val="0014560C"/>
    <w:pPr>
      <w:tabs>
        <w:tab w:val="left" w:pos="1200"/>
        <w:tab w:val="right" w:leader="dot" w:pos="9344"/>
      </w:tabs>
      <w:spacing w:after="100"/>
      <w:ind w:left="480"/>
    </w:pPr>
    <w:rPr>
      <w:noProof/>
      <w:sz w:val="20"/>
      <w:szCs w:val="20"/>
    </w:rPr>
  </w:style>
  <w:style w:type="character" w:styleId="Hyperlink">
    <w:name w:val="Hyperlink"/>
    <w:basedOn w:val="DefaultParagraphFont"/>
    <w:uiPriority w:val="99"/>
    <w:unhideWhenUsed/>
    <w:rsid w:val="00003E81"/>
    <w:rPr>
      <w:color w:val="6B9F25" w:themeColor="hyperlink"/>
      <w:u w:val="single"/>
    </w:rPr>
  </w:style>
  <w:style w:type="paragraph" w:styleId="BalloonText">
    <w:name w:val="Balloon Text"/>
    <w:basedOn w:val="Normal"/>
    <w:link w:val="BalloonTextChar"/>
    <w:uiPriority w:val="99"/>
    <w:rsid w:val="00003E81"/>
    <w:rPr>
      <w:rFonts w:ascii="Tahoma" w:hAnsi="Tahoma" w:cs="Tahoma"/>
      <w:sz w:val="16"/>
      <w:szCs w:val="16"/>
    </w:rPr>
  </w:style>
  <w:style w:type="character" w:customStyle="1" w:styleId="BalloonTextChar">
    <w:name w:val="Balloon Text Char"/>
    <w:basedOn w:val="DefaultParagraphFont"/>
    <w:link w:val="BalloonText"/>
    <w:uiPriority w:val="99"/>
    <w:rsid w:val="00003E81"/>
    <w:rPr>
      <w:rFonts w:ascii="Tahoma" w:eastAsia="Times New Roman" w:hAnsi="Tahoma" w:cs="Tahoma"/>
      <w:sz w:val="16"/>
      <w:szCs w:val="16"/>
      <w:lang w:eastAsia="en-AU"/>
    </w:rPr>
  </w:style>
  <w:style w:type="paragraph" w:styleId="Header">
    <w:name w:val="header"/>
    <w:basedOn w:val="Normal"/>
    <w:link w:val="HeaderChar"/>
    <w:rsid w:val="00003E81"/>
    <w:pPr>
      <w:tabs>
        <w:tab w:val="center" w:pos="4513"/>
        <w:tab w:val="right" w:pos="9026"/>
      </w:tabs>
    </w:pPr>
  </w:style>
  <w:style w:type="character" w:customStyle="1" w:styleId="HeaderChar">
    <w:name w:val="Header Char"/>
    <w:basedOn w:val="DefaultParagraphFont"/>
    <w:link w:val="Header"/>
    <w:rsid w:val="00003E81"/>
    <w:rPr>
      <w:rFonts w:eastAsia="Times New Roman" w:cs="Times New Roman"/>
      <w:sz w:val="24"/>
      <w:szCs w:val="24"/>
      <w:lang w:eastAsia="en-AU"/>
    </w:rPr>
  </w:style>
  <w:style w:type="paragraph" w:styleId="Footer">
    <w:name w:val="footer"/>
    <w:basedOn w:val="Normal"/>
    <w:link w:val="FooterChar"/>
    <w:uiPriority w:val="99"/>
    <w:rsid w:val="00003E81"/>
    <w:pPr>
      <w:tabs>
        <w:tab w:val="center" w:pos="4513"/>
        <w:tab w:val="right" w:pos="9026"/>
      </w:tabs>
    </w:pPr>
    <w:rPr>
      <w:b/>
      <w:i/>
      <w:sz w:val="16"/>
    </w:rPr>
  </w:style>
  <w:style w:type="character" w:customStyle="1" w:styleId="FooterChar">
    <w:name w:val="Footer Char"/>
    <w:basedOn w:val="DefaultParagraphFont"/>
    <w:link w:val="Footer"/>
    <w:uiPriority w:val="99"/>
    <w:rsid w:val="00003E81"/>
    <w:rPr>
      <w:rFonts w:eastAsia="Times New Roman" w:cs="Times New Roman"/>
      <w:b/>
      <w:i/>
      <w:sz w:val="16"/>
      <w:szCs w:val="24"/>
      <w:lang w:eastAsia="en-AU"/>
    </w:rPr>
  </w:style>
  <w:style w:type="paragraph" w:styleId="NoSpacing">
    <w:name w:val="No Spacing"/>
    <w:link w:val="NoSpacingChar"/>
    <w:uiPriority w:val="1"/>
    <w:qFormat/>
    <w:rsid w:val="00003E8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3E81"/>
    <w:rPr>
      <w:rFonts w:eastAsiaTheme="minorEastAsia"/>
      <w:lang w:val="en-US" w:eastAsia="ja-JP"/>
    </w:rPr>
  </w:style>
  <w:style w:type="paragraph" w:styleId="Title">
    <w:name w:val="Title"/>
    <w:basedOn w:val="Normal"/>
    <w:next w:val="Normal"/>
    <w:link w:val="TitleChar"/>
    <w:qFormat/>
    <w:rsid w:val="00003E81"/>
    <w:pPr>
      <w:pBdr>
        <w:bottom w:val="single" w:sz="8" w:space="4" w:color="2B5166" w:themeColor="accent1"/>
      </w:pBdr>
      <w:spacing w:after="300"/>
      <w:contextualSpacing/>
    </w:pPr>
    <w:rPr>
      <w:rFonts w:ascii="Calibri" w:eastAsiaTheme="majorEastAsia" w:hAnsi="Calibri" w:cstheme="majorBidi"/>
      <w:b/>
      <w:spacing w:val="5"/>
      <w:kern w:val="28"/>
      <w:sz w:val="52"/>
      <w:szCs w:val="52"/>
    </w:rPr>
  </w:style>
  <w:style w:type="character" w:customStyle="1" w:styleId="TitleChar">
    <w:name w:val="Title Char"/>
    <w:basedOn w:val="DefaultParagraphFont"/>
    <w:link w:val="Title"/>
    <w:rsid w:val="00003E81"/>
    <w:rPr>
      <w:rFonts w:ascii="Calibri" w:eastAsiaTheme="majorEastAsia" w:hAnsi="Calibri" w:cstheme="majorBidi"/>
      <w:b/>
      <w:spacing w:val="5"/>
      <w:kern w:val="28"/>
      <w:sz w:val="52"/>
      <w:szCs w:val="52"/>
      <w:lang w:eastAsia="en-AU"/>
    </w:rPr>
  </w:style>
  <w:style w:type="paragraph" w:customStyle="1" w:styleId="Bullets">
    <w:name w:val="Bullets"/>
    <w:basedOn w:val="Normal"/>
    <w:link w:val="BulletsChar"/>
    <w:qFormat/>
    <w:rsid w:val="00003E81"/>
    <w:pPr>
      <w:numPr>
        <w:numId w:val="1"/>
      </w:numPr>
      <w:spacing w:before="120" w:after="120"/>
      <w:ind w:left="357" w:hanging="357"/>
    </w:pPr>
  </w:style>
  <w:style w:type="character" w:customStyle="1" w:styleId="BulletsChar">
    <w:name w:val="Bullets Char"/>
    <w:basedOn w:val="DefaultParagraphFont"/>
    <w:link w:val="Bullets"/>
    <w:rsid w:val="00003E81"/>
    <w:rPr>
      <w:rFonts w:eastAsia="Times New Roman" w:cs="Times New Roman"/>
      <w:sz w:val="24"/>
      <w:szCs w:val="24"/>
      <w:lang w:eastAsia="en-AU"/>
    </w:rPr>
  </w:style>
  <w:style w:type="paragraph" w:styleId="Quote">
    <w:name w:val="Quote"/>
    <w:basedOn w:val="Normal"/>
    <w:next w:val="Normal"/>
    <w:link w:val="QuoteChar"/>
    <w:uiPriority w:val="29"/>
    <w:qFormat/>
    <w:rsid w:val="00003E81"/>
    <w:pPr>
      <w:ind w:left="567" w:right="567"/>
    </w:pPr>
    <w:rPr>
      <w:iCs/>
      <w:color w:val="000000" w:themeColor="text1"/>
    </w:rPr>
  </w:style>
  <w:style w:type="character" w:customStyle="1" w:styleId="QuoteChar">
    <w:name w:val="Quote Char"/>
    <w:basedOn w:val="DefaultParagraphFont"/>
    <w:link w:val="Quote"/>
    <w:uiPriority w:val="29"/>
    <w:rsid w:val="00003E81"/>
    <w:rPr>
      <w:rFonts w:eastAsia="Times New Roman" w:cs="Times New Roman"/>
      <w:iCs/>
      <w:color w:val="000000" w:themeColor="text1"/>
      <w:sz w:val="24"/>
      <w:szCs w:val="24"/>
      <w:lang w:eastAsia="en-AU"/>
    </w:rPr>
  </w:style>
  <w:style w:type="paragraph" w:customStyle="1" w:styleId="Quotebyparticipants">
    <w:name w:val="Quote by participants"/>
    <w:basedOn w:val="Normal"/>
    <w:qFormat/>
    <w:rsid w:val="00003E81"/>
    <w:pPr>
      <w:spacing w:before="240" w:after="240"/>
      <w:ind w:left="567" w:right="567"/>
    </w:pPr>
    <w:rPr>
      <w:i/>
      <w:color w:val="808080" w:themeColor="background1" w:themeShade="80"/>
    </w:rPr>
  </w:style>
  <w:style w:type="character" w:styleId="Emphasis">
    <w:name w:val="Emphasis"/>
    <w:basedOn w:val="DefaultParagraphFont"/>
    <w:rsid w:val="00003E81"/>
    <w:rPr>
      <w:i/>
      <w:iCs/>
    </w:rPr>
  </w:style>
  <w:style w:type="character" w:styleId="Strong">
    <w:name w:val="Strong"/>
    <w:basedOn w:val="DefaultParagraphFont"/>
    <w:rsid w:val="00003E81"/>
    <w:rPr>
      <w:b/>
      <w:bCs/>
    </w:rPr>
  </w:style>
  <w:style w:type="paragraph" w:styleId="Subtitle">
    <w:name w:val="Subtitle"/>
    <w:basedOn w:val="Normal"/>
    <w:next w:val="Normal"/>
    <w:link w:val="SubtitleChar"/>
    <w:rsid w:val="00003E81"/>
    <w:pPr>
      <w:numPr>
        <w:ilvl w:val="1"/>
      </w:numPr>
    </w:pPr>
    <w:rPr>
      <w:rFonts w:asciiTheme="majorHAnsi" w:eastAsiaTheme="majorEastAsia" w:hAnsiTheme="majorHAnsi" w:cstheme="majorBidi"/>
      <w:i/>
      <w:iCs/>
      <w:color w:val="2B5166" w:themeColor="accent1"/>
      <w:spacing w:val="15"/>
    </w:rPr>
  </w:style>
  <w:style w:type="character" w:customStyle="1" w:styleId="SubtitleChar">
    <w:name w:val="Subtitle Char"/>
    <w:basedOn w:val="DefaultParagraphFont"/>
    <w:link w:val="Subtitle"/>
    <w:rsid w:val="00003E81"/>
    <w:rPr>
      <w:rFonts w:asciiTheme="majorHAnsi" w:eastAsiaTheme="majorEastAsia" w:hAnsiTheme="majorHAnsi" w:cstheme="majorBidi"/>
      <w:i/>
      <w:iCs/>
      <w:color w:val="2B5166" w:themeColor="accent1"/>
      <w:spacing w:val="15"/>
      <w:sz w:val="24"/>
      <w:szCs w:val="24"/>
      <w:lang w:eastAsia="en-AU"/>
    </w:rPr>
  </w:style>
  <w:style w:type="character" w:styleId="SubtleEmphasis">
    <w:name w:val="Subtle Emphasis"/>
    <w:basedOn w:val="DefaultParagraphFont"/>
    <w:uiPriority w:val="19"/>
    <w:rsid w:val="00003E81"/>
    <w:rPr>
      <w:i/>
      <w:iCs/>
      <w:color w:val="808080" w:themeColor="text1" w:themeTint="7F"/>
    </w:rPr>
  </w:style>
  <w:style w:type="character" w:styleId="IntenseEmphasis">
    <w:name w:val="Intense Emphasis"/>
    <w:basedOn w:val="DefaultParagraphFont"/>
    <w:uiPriority w:val="21"/>
    <w:rsid w:val="00003E81"/>
    <w:rPr>
      <w:b/>
      <w:bCs/>
      <w:i/>
      <w:iCs/>
      <w:color w:val="2B5166" w:themeColor="accent1"/>
    </w:rPr>
  </w:style>
  <w:style w:type="paragraph" w:styleId="IntenseQuote">
    <w:name w:val="Intense Quote"/>
    <w:basedOn w:val="Normal"/>
    <w:next w:val="Normal"/>
    <w:link w:val="IntenseQuoteChar"/>
    <w:uiPriority w:val="30"/>
    <w:rsid w:val="00003E81"/>
    <w:pPr>
      <w:pBdr>
        <w:bottom w:val="single" w:sz="4" w:space="4" w:color="2B5166" w:themeColor="accent1"/>
      </w:pBdr>
      <w:spacing w:before="200" w:after="280"/>
      <w:ind w:left="936" w:right="936"/>
    </w:pPr>
    <w:rPr>
      <w:b/>
      <w:bCs/>
      <w:i/>
      <w:iCs/>
      <w:color w:val="2B5166" w:themeColor="accent1"/>
    </w:rPr>
  </w:style>
  <w:style w:type="character" w:customStyle="1" w:styleId="IntenseQuoteChar">
    <w:name w:val="Intense Quote Char"/>
    <w:basedOn w:val="DefaultParagraphFont"/>
    <w:link w:val="IntenseQuote"/>
    <w:uiPriority w:val="30"/>
    <w:rsid w:val="00003E81"/>
    <w:rPr>
      <w:rFonts w:eastAsia="Times New Roman" w:cs="Times New Roman"/>
      <w:b/>
      <w:bCs/>
      <w:i/>
      <w:iCs/>
      <w:color w:val="2B5166" w:themeColor="accent1"/>
      <w:sz w:val="24"/>
      <w:szCs w:val="24"/>
      <w:lang w:eastAsia="en-AU"/>
    </w:rPr>
  </w:style>
  <w:style w:type="character" w:styleId="SubtleReference">
    <w:name w:val="Subtle Reference"/>
    <w:basedOn w:val="DefaultParagraphFont"/>
    <w:uiPriority w:val="31"/>
    <w:rsid w:val="00003E81"/>
    <w:rPr>
      <w:smallCaps/>
      <w:color w:val="58B6C0" w:themeColor="accent2"/>
      <w:u w:val="single"/>
    </w:rPr>
  </w:style>
  <w:style w:type="character" w:styleId="IntenseReference">
    <w:name w:val="Intense Reference"/>
    <w:basedOn w:val="DefaultParagraphFont"/>
    <w:uiPriority w:val="32"/>
    <w:rsid w:val="00003E81"/>
    <w:rPr>
      <w:b/>
      <w:bCs/>
      <w:smallCaps/>
      <w:color w:val="58B6C0" w:themeColor="accent2"/>
      <w:spacing w:val="5"/>
      <w:u w:val="single"/>
    </w:rPr>
  </w:style>
  <w:style w:type="character" w:styleId="BookTitle">
    <w:name w:val="Book Title"/>
    <w:basedOn w:val="DefaultParagraphFont"/>
    <w:uiPriority w:val="33"/>
    <w:rsid w:val="00003E81"/>
    <w:rPr>
      <w:b/>
      <w:bCs/>
      <w:smallCaps/>
      <w:spacing w:val="5"/>
    </w:rPr>
  </w:style>
  <w:style w:type="table" w:styleId="TableGrid">
    <w:name w:val="Table Grid"/>
    <w:basedOn w:val="TableNormal"/>
    <w:rsid w:val="00003E8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03E81"/>
    <w:pPr>
      <w:spacing w:before="120" w:after="200"/>
    </w:pPr>
    <w:rPr>
      <w:b/>
      <w:bCs/>
      <w:szCs w:val="18"/>
    </w:rPr>
  </w:style>
  <w:style w:type="paragraph" w:styleId="FootnoteText">
    <w:name w:val="footnote text"/>
    <w:basedOn w:val="Normal"/>
    <w:link w:val="FootnoteTextChar"/>
    <w:rsid w:val="00003E81"/>
    <w:rPr>
      <w:sz w:val="20"/>
      <w:szCs w:val="20"/>
    </w:rPr>
  </w:style>
  <w:style w:type="character" w:customStyle="1" w:styleId="FootnoteTextChar">
    <w:name w:val="Footnote Text Char"/>
    <w:basedOn w:val="DefaultParagraphFont"/>
    <w:link w:val="FootnoteText"/>
    <w:rsid w:val="00003E81"/>
    <w:rPr>
      <w:rFonts w:eastAsia="Times New Roman" w:cs="Times New Roman"/>
      <w:sz w:val="20"/>
      <w:szCs w:val="20"/>
      <w:lang w:eastAsia="en-AU"/>
    </w:rPr>
  </w:style>
  <w:style w:type="character" w:styleId="FootnoteReference">
    <w:name w:val="footnote reference"/>
    <w:basedOn w:val="DefaultParagraphFont"/>
    <w:rsid w:val="00003E81"/>
    <w:rPr>
      <w:vertAlign w:val="superscript"/>
    </w:rPr>
  </w:style>
  <w:style w:type="paragraph" w:styleId="TableofFigures">
    <w:name w:val="table of figures"/>
    <w:basedOn w:val="Normal"/>
    <w:next w:val="Normal"/>
    <w:uiPriority w:val="99"/>
    <w:rsid w:val="00003E81"/>
  </w:style>
  <w:style w:type="table" w:styleId="TableContemporary">
    <w:name w:val="Table Contemporary"/>
    <w:basedOn w:val="TableNormal"/>
    <w:rsid w:val="00003E81"/>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customStyle="1" w:styleId="HeaderChar1">
    <w:name w:val="Header Char1"/>
    <w:uiPriority w:val="99"/>
    <w:semiHidden/>
    <w:rsid w:val="00003E81"/>
    <w:rPr>
      <w:sz w:val="22"/>
      <w:szCs w:val="22"/>
      <w:lang w:eastAsia="en-US"/>
    </w:rPr>
  </w:style>
  <w:style w:type="character" w:customStyle="1" w:styleId="FooterChar1">
    <w:name w:val="Footer Char1"/>
    <w:uiPriority w:val="99"/>
    <w:rsid w:val="00003E81"/>
    <w:rPr>
      <w:sz w:val="22"/>
      <w:szCs w:val="22"/>
      <w:lang w:eastAsia="en-US"/>
    </w:rPr>
  </w:style>
  <w:style w:type="paragraph" w:styleId="ListParagraph">
    <w:name w:val="List Paragraph"/>
    <w:basedOn w:val="Normal"/>
    <w:uiPriority w:val="34"/>
    <w:qFormat/>
    <w:rsid w:val="00003E81"/>
    <w:pPr>
      <w:ind w:left="720"/>
      <w:contextualSpacing/>
    </w:pPr>
  </w:style>
  <w:style w:type="character" w:customStyle="1" w:styleId="name">
    <w:name w:val="name"/>
    <w:basedOn w:val="DefaultParagraphFont"/>
    <w:rsid w:val="00003E81"/>
  </w:style>
  <w:style w:type="character" w:customStyle="1" w:styleId="apple-converted-space">
    <w:name w:val="apple-converted-space"/>
    <w:basedOn w:val="DefaultParagraphFont"/>
    <w:rsid w:val="00003E81"/>
  </w:style>
  <w:style w:type="paragraph" w:styleId="NormalWeb">
    <w:name w:val="Normal (Web)"/>
    <w:basedOn w:val="Normal"/>
    <w:uiPriority w:val="99"/>
    <w:unhideWhenUsed/>
    <w:rsid w:val="00003E81"/>
    <w:pPr>
      <w:spacing w:before="100" w:beforeAutospacing="1" w:after="100" w:afterAutospacing="1"/>
    </w:pPr>
    <w:rPr>
      <w:rFonts w:ascii="Times New Roman" w:hAnsi="Times New Roman"/>
    </w:rPr>
  </w:style>
  <w:style w:type="paragraph" w:customStyle="1" w:styleId="Bullet">
    <w:name w:val="Bullet"/>
    <w:basedOn w:val="Bullets"/>
    <w:link w:val="BulletChar"/>
    <w:qFormat/>
    <w:rsid w:val="00003E81"/>
    <w:pPr>
      <w:tabs>
        <w:tab w:val="num" w:pos="360"/>
      </w:tabs>
      <w:autoSpaceDE w:val="0"/>
      <w:autoSpaceDN w:val="0"/>
    </w:pPr>
    <w:rPr>
      <w:rFonts w:ascii="Calibri" w:hAnsi="Calibri" w:cs="Calibri"/>
    </w:rPr>
  </w:style>
  <w:style w:type="character" w:customStyle="1" w:styleId="BulletChar">
    <w:name w:val="Bullet Char"/>
    <w:basedOn w:val="BulletsChar"/>
    <w:link w:val="Bullet"/>
    <w:rsid w:val="00003E81"/>
    <w:rPr>
      <w:rFonts w:ascii="Calibri" w:eastAsia="Times New Roman" w:hAnsi="Calibri" w:cs="Calibri"/>
      <w:sz w:val="24"/>
      <w:szCs w:val="24"/>
      <w:lang w:eastAsia="en-AU"/>
    </w:rPr>
  </w:style>
  <w:style w:type="character" w:styleId="CommentReference">
    <w:name w:val="annotation reference"/>
    <w:basedOn w:val="DefaultParagraphFont"/>
    <w:rsid w:val="00003E81"/>
    <w:rPr>
      <w:sz w:val="16"/>
      <w:szCs w:val="16"/>
    </w:rPr>
  </w:style>
  <w:style w:type="paragraph" w:styleId="CommentText">
    <w:name w:val="annotation text"/>
    <w:basedOn w:val="Normal"/>
    <w:link w:val="CommentTextChar"/>
    <w:rsid w:val="00003E81"/>
    <w:rPr>
      <w:sz w:val="20"/>
      <w:szCs w:val="20"/>
    </w:rPr>
  </w:style>
  <w:style w:type="character" w:customStyle="1" w:styleId="CommentTextChar">
    <w:name w:val="Comment Text Char"/>
    <w:basedOn w:val="DefaultParagraphFont"/>
    <w:link w:val="CommentText"/>
    <w:rsid w:val="00003E81"/>
    <w:rPr>
      <w:rFonts w:eastAsia="Times New Roman" w:cs="Times New Roman"/>
      <w:sz w:val="20"/>
      <w:szCs w:val="20"/>
      <w:lang w:eastAsia="en-AU"/>
    </w:rPr>
  </w:style>
  <w:style w:type="paragraph" w:styleId="CommentSubject">
    <w:name w:val="annotation subject"/>
    <w:basedOn w:val="CommentText"/>
    <w:next w:val="CommentText"/>
    <w:link w:val="CommentSubjectChar"/>
    <w:rsid w:val="00003E81"/>
    <w:rPr>
      <w:b/>
      <w:bCs/>
    </w:rPr>
  </w:style>
  <w:style w:type="character" w:customStyle="1" w:styleId="CommentSubjectChar">
    <w:name w:val="Comment Subject Char"/>
    <w:basedOn w:val="CommentTextChar"/>
    <w:link w:val="CommentSubject"/>
    <w:rsid w:val="00003E81"/>
    <w:rPr>
      <w:rFonts w:eastAsia="Times New Roman" w:cs="Times New Roman"/>
      <w:b/>
      <w:bCs/>
      <w:sz w:val="20"/>
      <w:szCs w:val="20"/>
      <w:lang w:eastAsia="en-AU"/>
    </w:rPr>
  </w:style>
  <w:style w:type="paragraph" w:styleId="DocumentMap">
    <w:name w:val="Document Map"/>
    <w:basedOn w:val="Normal"/>
    <w:link w:val="DocumentMapChar"/>
    <w:rsid w:val="00003E81"/>
    <w:rPr>
      <w:rFonts w:ascii="Lucida Grande" w:hAnsi="Lucida Grande"/>
    </w:rPr>
  </w:style>
  <w:style w:type="character" w:customStyle="1" w:styleId="DocumentMapChar">
    <w:name w:val="Document Map Char"/>
    <w:basedOn w:val="DefaultParagraphFont"/>
    <w:link w:val="DocumentMap"/>
    <w:rsid w:val="00003E81"/>
    <w:rPr>
      <w:rFonts w:ascii="Lucida Grande" w:eastAsia="Times New Roman" w:hAnsi="Lucida Grande" w:cs="Times New Roman"/>
      <w:sz w:val="24"/>
      <w:szCs w:val="24"/>
      <w:lang w:eastAsia="en-AU"/>
    </w:rPr>
  </w:style>
  <w:style w:type="character" w:styleId="FollowedHyperlink">
    <w:name w:val="FollowedHyperlink"/>
    <w:basedOn w:val="DefaultParagraphFont"/>
    <w:uiPriority w:val="99"/>
    <w:rsid w:val="00003E81"/>
    <w:rPr>
      <w:color w:val="9F6715" w:themeColor="followedHyperlink"/>
      <w:u w:val="single"/>
    </w:rPr>
  </w:style>
  <w:style w:type="paragraph" w:customStyle="1" w:styleId="PFNumLevel2">
    <w:name w:val="PF (Num) Level 2"/>
    <w:basedOn w:val="Normal"/>
    <w:rsid w:val="00003E81"/>
    <w:pPr>
      <w:numPr>
        <w:ilvl w:val="1"/>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3">
    <w:name w:val="PF (Num) Level 3"/>
    <w:basedOn w:val="Normal"/>
    <w:rsid w:val="00003E81"/>
    <w:pPr>
      <w:numPr>
        <w:ilvl w:val="2"/>
        <w:numId w:val="2"/>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4">
    <w:name w:val="PF (Num) Level 4"/>
    <w:basedOn w:val="Normal"/>
    <w:rsid w:val="00003E81"/>
    <w:pPr>
      <w:numPr>
        <w:ilvl w:val="3"/>
        <w:numId w:val="2"/>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PFNumLevel5">
    <w:name w:val="PF (Num) Level 5"/>
    <w:basedOn w:val="Normal"/>
    <w:rsid w:val="00003E81"/>
    <w:pPr>
      <w:numPr>
        <w:ilvl w:val="4"/>
        <w:numId w:val="2"/>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szCs w:val="20"/>
      <w:lang w:eastAsia="en-US"/>
    </w:rPr>
  </w:style>
  <w:style w:type="paragraph" w:customStyle="1" w:styleId="Heading1A">
    <w:name w:val="Heading 1A"/>
    <w:basedOn w:val="Heading1"/>
    <w:next w:val="Normal"/>
    <w:rsid w:val="00003E81"/>
    <w:pPr>
      <w:keepLines w:val="0"/>
      <w:numPr>
        <w:numId w:val="2"/>
      </w:numPr>
      <w:tabs>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eastAsia="Times New Roman" w:hAnsi="Arial" w:cs="Times New Roman"/>
      <w:bCs w:val="0"/>
      <w:color w:val="000000"/>
      <w:kern w:val="28"/>
      <w:lang w:eastAsia="en-US"/>
    </w:rPr>
  </w:style>
  <w:style w:type="paragraph" w:customStyle="1" w:styleId="PFNumLevel6">
    <w:name w:val="PF (Num) Level 6"/>
    <w:basedOn w:val="PFNumLevel4"/>
    <w:rsid w:val="00003E81"/>
    <w:pPr>
      <w:numPr>
        <w:ilvl w:val="5"/>
      </w:numPr>
    </w:pPr>
  </w:style>
  <w:style w:type="paragraph" w:customStyle="1" w:styleId="Table">
    <w:name w:val="Table"/>
    <w:basedOn w:val="Normal"/>
    <w:rsid w:val="00003E81"/>
    <w:pPr>
      <w:spacing w:before="60" w:after="60"/>
    </w:pPr>
    <w:rPr>
      <w:rFonts w:ascii="Arial" w:hAnsi="Arial"/>
      <w:snapToGrid w:val="0"/>
      <w:sz w:val="18"/>
      <w:szCs w:val="20"/>
    </w:rPr>
  </w:style>
  <w:style w:type="table" w:customStyle="1" w:styleId="AABlackTable1">
    <w:name w:val="AABlackTable1"/>
    <w:basedOn w:val="TableNormal"/>
    <w:uiPriority w:val="99"/>
    <w:rsid w:val="00003E81"/>
    <w:pPr>
      <w:spacing w:before="110" w:after="110" w:line="264" w:lineRule="auto"/>
    </w:pPr>
    <w:rPr>
      <w:rFonts w:ascii="Verdana" w:hAnsi="Verdana"/>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paragraph" w:styleId="TOC4">
    <w:name w:val="toc 4"/>
    <w:basedOn w:val="Normal"/>
    <w:next w:val="Normal"/>
    <w:autoRedefine/>
    <w:uiPriority w:val="39"/>
    <w:rsid w:val="00003E81"/>
    <w:pPr>
      <w:ind w:left="720"/>
    </w:pPr>
  </w:style>
  <w:style w:type="paragraph" w:styleId="TOC5">
    <w:name w:val="toc 5"/>
    <w:basedOn w:val="Normal"/>
    <w:next w:val="Normal"/>
    <w:autoRedefine/>
    <w:uiPriority w:val="39"/>
    <w:rsid w:val="00003E81"/>
    <w:pPr>
      <w:ind w:left="960"/>
    </w:pPr>
  </w:style>
  <w:style w:type="paragraph" w:styleId="TOC6">
    <w:name w:val="toc 6"/>
    <w:basedOn w:val="Normal"/>
    <w:next w:val="Normal"/>
    <w:autoRedefine/>
    <w:uiPriority w:val="39"/>
    <w:rsid w:val="00003E81"/>
    <w:pPr>
      <w:ind w:left="1200"/>
    </w:pPr>
  </w:style>
  <w:style w:type="paragraph" w:styleId="TOC7">
    <w:name w:val="toc 7"/>
    <w:basedOn w:val="Normal"/>
    <w:next w:val="Normal"/>
    <w:autoRedefine/>
    <w:uiPriority w:val="39"/>
    <w:rsid w:val="00003E81"/>
    <w:pPr>
      <w:ind w:left="1440"/>
    </w:pPr>
  </w:style>
  <w:style w:type="paragraph" w:styleId="TOC8">
    <w:name w:val="toc 8"/>
    <w:basedOn w:val="Normal"/>
    <w:next w:val="Normal"/>
    <w:autoRedefine/>
    <w:uiPriority w:val="39"/>
    <w:rsid w:val="00003E81"/>
    <w:pPr>
      <w:ind w:left="1680"/>
    </w:pPr>
  </w:style>
  <w:style w:type="paragraph" w:styleId="TOC9">
    <w:name w:val="toc 9"/>
    <w:basedOn w:val="Normal"/>
    <w:next w:val="Normal"/>
    <w:autoRedefine/>
    <w:uiPriority w:val="39"/>
    <w:rsid w:val="00003E81"/>
    <w:pPr>
      <w:ind w:left="1920"/>
    </w:pPr>
  </w:style>
  <w:style w:type="paragraph" w:customStyle="1" w:styleId="Default">
    <w:name w:val="Default"/>
    <w:rsid w:val="00003E8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1BulletList">
    <w:name w:val="1Bullet List"/>
    <w:rsid w:val="00003E81"/>
    <w:pPr>
      <w:numPr>
        <w:numId w:val="3"/>
      </w:numPr>
      <w:tabs>
        <w:tab w:val="left" w:pos="720"/>
      </w:tabs>
      <w:spacing w:after="0" w:line="240" w:lineRule="auto"/>
    </w:pPr>
    <w:rPr>
      <w:rFonts w:ascii="Arial" w:eastAsia="Times New Roman" w:hAnsi="Arial" w:cs="Times New Roman"/>
      <w:snapToGrid w:val="0"/>
      <w:sz w:val="24"/>
      <w:szCs w:val="20"/>
      <w:lang w:val="en-US"/>
    </w:rPr>
  </w:style>
  <w:style w:type="character" w:styleId="PageNumber">
    <w:name w:val="page number"/>
    <w:basedOn w:val="DefaultParagraphFont"/>
    <w:rsid w:val="00003E81"/>
  </w:style>
  <w:style w:type="paragraph" w:customStyle="1" w:styleId="a">
    <w:name w:val="_"/>
    <w:basedOn w:val="Normal"/>
    <w:rsid w:val="00003E81"/>
    <w:pPr>
      <w:widowControl w:val="0"/>
      <w:tabs>
        <w:tab w:val="left" w:pos="720"/>
      </w:tabs>
      <w:ind w:left="720" w:hanging="720"/>
    </w:pPr>
    <w:rPr>
      <w:rFonts w:ascii="Arial" w:hAnsi="Arial"/>
      <w:snapToGrid w:val="0"/>
      <w:sz w:val="20"/>
      <w:szCs w:val="20"/>
      <w:lang w:val="en-US" w:eastAsia="en-US"/>
    </w:rPr>
  </w:style>
  <w:style w:type="paragraph" w:styleId="BodyTextIndent">
    <w:name w:val="Body Text Indent"/>
    <w:basedOn w:val="Normal"/>
    <w:link w:val="BodyTextIndentChar"/>
    <w:rsid w:val="00003E81"/>
    <w:pPr>
      <w:tabs>
        <w:tab w:val="left" w:pos="1440"/>
      </w:tabs>
      <w:suppressAutoHyphens/>
      <w:ind w:left="720"/>
    </w:pPr>
    <w:rPr>
      <w:rFonts w:ascii="Arial" w:hAnsi="Arial"/>
      <w:sz w:val="20"/>
      <w:szCs w:val="20"/>
      <w:lang w:eastAsia="en-US"/>
    </w:rPr>
  </w:style>
  <w:style w:type="character" w:customStyle="1" w:styleId="BodyTextIndentChar">
    <w:name w:val="Body Text Indent Char"/>
    <w:basedOn w:val="DefaultParagraphFont"/>
    <w:link w:val="BodyTextIndent"/>
    <w:rsid w:val="00003E81"/>
    <w:rPr>
      <w:rFonts w:ascii="Arial" w:eastAsia="Times New Roman" w:hAnsi="Arial" w:cs="Times New Roman"/>
      <w:sz w:val="20"/>
      <w:szCs w:val="20"/>
    </w:rPr>
  </w:style>
  <w:style w:type="paragraph" w:customStyle="1" w:styleId="1AutoList1">
    <w:name w:val="1AutoList1"/>
    <w:basedOn w:val="Normal"/>
    <w:rsid w:val="00003E81"/>
    <w:pPr>
      <w:numPr>
        <w:numId w:val="4"/>
      </w:numPr>
    </w:pPr>
    <w:rPr>
      <w:rFonts w:ascii="Arial" w:hAnsi="Arial"/>
      <w:sz w:val="20"/>
      <w:szCs w:val="20"/>
      <w:lang w:eastAsia="en-US"/>
    </w:rPr>
  </w:style>
  <w:style w:type="paragraph" w:styleId="BodyTextIndent2">
    <w:name w:val="Body Text Indent 2"/>
    <w:basedOn w:val="Normal"/>
    <w:link w:val="BodyTextIndent2Char"/>
    <w:rsid w:val="00003E81"/>
    <w:pPr>
      <w:ind w:left="720" w:hanging="360"/>
    </w:pPr>
    <w:rPr>
      <w:rFonts w:ascii="Arial" w:hAnsi="Arial"/>
      <w:sz w:val="20"/>
      <w:szCs w:val="20"/>
      <w:lang w:eastAsia="en-US"/>
    </w:rPr>
  </w:style>
  <w:style w:type="character" w:customStyle="1" w:styleId="BodyTextIndent2Char">
    <w:name w:val="Body Text Indent 2 Char"/>
    <w:basedOn w:val="DefaultParagraphFont"/>
    <w:link w:val="BodyTextIndent2"/>
    <w:rsid w:val="00003E81"/>
    <w:rPr>
      <w:rFonts w:ascii="Arial" w:eastAsia="Times New Roman" w:hAnsi="Arial" w:cs="Times New Roman"/>
      <w:sz w:val="20"/>
      <w:szCs w:val="20"/>
    </w:rPr>
  </w:style>
  <w:style w:type="paragraph" w:styleId="BodyText">
    <w:name w:val="Body Text"/>
    <w:basedOn w:val="Normal"/>
    <w:link w:val="BodyTextChar"/>
    <w:rsid w:val="00003E81"/>
    <w:pPr>
      <w:suppressAutoHyphens/>
      <w:jc w:val="both"/>
    </w:pPr>
    <w:rPr>
      <w:rFonts w:ascii="Arial" w:hAnsi="Arial"/>
      <w:sz w:val="20"/>
      <w:szCs w:val="20"/>
      <w:lang w:eastAsia="en-US"/>
    </w:rPr>
  </w:style>
  <w:style w:type="character" w:customStyle="1" w:styleId="BodyTextChar">
    <w:name w:val="Body Text Char"/>
    <w:basedOn w:val="DefaultParagraphFont"/>
    <w:link w:val="BodyText"/>
    <w:rsid w:val="00003E81"/>
    <w:rPr>
      <w:rFonts w:ascii="Arial" w:eastAsia="Times New Roman" w:hAnsi="Arial" w:cs="Times New Roman"/>
      <w:sz w:val="20"/>
      <w:szCs w:val="20"/>
    </w:rPr>
  </w:style>
  <w:style w:type="paragraph" w:styleId="PlainText">
    <w:name w:val="Plain Text"/>
    <w:basedOn w:val="Normal"/>
    <w:link w:val="PlainTextChar"/>
    <w:rsid w:val="00003E81"/>
    <w:rPr>
      <w:rFonts w:ascii="Courier New" w:hAnsi="Courier New"/>
      <w:sz w:val="20"/>
      <w:szCs w:val="20"/>
      <w:lang w:eastAsia="en-US"/>
    </w:rPr>
  </w:style>
  <w:style w:type="character" w:customStyle="1" w:styleId="PlainTextChar">
    <w:name w:val="Plain Text Char"/>
    <w:basedOn w:val="DefaultParagraphFont"/>
    <w:link w:val="PlainText"/>
    <w:rsid w:val="00003E81"/>
    <w:rPr>
      <w:rFonts w:ascii="Courier New" w:eastAsia="Times New Roman" w:hAnsi="Courier New" w:cs="Times New Roman"/>
      <w:sz w:val="20"/>
      <w:szCs w:val="20"/>
    </w:rPr>
  </w:style>
  <w:style w:type="paragraph" w:styleId="BodyText2">
    <w:name w:val="Body Text 2"/>
    <w:basedOn w:val="Normal"/>
    <w:link w:val="BodyText2Char"/>
    <w:rsid w:val="00003E81"/>
    <w:rPr>
      <w:rFonts w:ascii="Arial" w:hAnsi="Arial"/>
      <w:sz w:val="16"/>
      <w:szCs w:val="20"/>
      <w:lang w:eastAsia="en-US"/>
    </w:rPr>
  </w:style>
  <w:style w:type="character" w:customStyle="1" w:styleId="BodyText2Char">
    <w:name w:val="Body Text 2 Char"/>
    <w:basedOn w:val="DefaultParagraphFont"/>
    <w:link w:val="BodyText2"/>
    <w:rsid w:val="00003E81"/>
    <w:rPr>
      <w:rFonts w:ascii="Arial" w:eastAsia="Times New Roman" w:hAnsi="Arial" w:cs="Times New Roman"/>
      <w:sz w:val="16"/>
      <w:szCs w:val="20"/>
    </w:rPr>
  </w:style>
  <w:style w:type="paragraph" w:customStyle="1" w:styleId="table0">
    <w:name w:val="table"/>
    <w:basedOn w:val="Normal"/>
    <w:rsid w:val="00003E81"/>
    <w:rPr>
      <w:rFonts w:ascii="Arial" w:hAnsi="Arial"/>
      <w:sz w:val="18"/>
      <w:szCs w:val="20"/>
      <w:lang w:eastAsia="en-US"/>
    </w:rPr>
  </w:style>
  <w:style w:type="paragraph" w:styleId="BodyText3">
    <w:name w:val="Body Text 3"/>
    <w:basedOn w:val="Normal"/>
    <w:link w:val="BodyText3Char"/>
    <w:rsid w:val="00003E81"/>
    <w:pPr>
      <w:ind w:right="3982"/>
      <w:jc w:val="both"/>
    </w:pPr>
    <w:rPr>
      <w:rFonts w:ascii="Arial" w:hAnsi="Arial"/>
      <w:sz w:val="16"/>
      <w:szCs w:val="20"/>
      <w:lang w:val="en-US" w:eastAsia="en-US"/>
    </w:rPr>
  </w:style>
  <w:style w:type="character" w:customStyle="1" w:styleId="BodyText3Char">
    <w:name w:val="Body Text 3 Char"/>
    <w:basedOn w:val="DefaultParagraphFont"/>
    <w:link w:val="BodyText3"/>
    <w:rsid w:val="00003E81"/>
    <w:rPr>
      <w:rFonts w:ascii="Arial" w:eastAsia="Times New Roman" w:hAnsi="Arial" w:cs="Times New Roman"/>
      <w:sz w:val="16"/>
      <w:szCs w:val="20"/>
      <w:lang w:val="en-US"/>
    </w:rPr>
  </w:style>
  <w:style w:type="paragraph" w:styleId="BlockText">
    <w:name w:val="Block Text"/>
    <w:basedOn w:val="Normal"/>
    <w:rsid w:val="00003E81"/>
    <w:pPr>
      <w:ind w:left="720" w:right="-25"/>
    </w:pPr>
    <w:rPr>
      <w:rFonts w:ascii="Arial" w:hAnsi="Arial"/>
      <w:i/>
      <w:sz w:val="22"/>
      <w:szCs w:val="20"/>
      <w:lang w:val="en-US" w:eastAsia="en-US"/>
    </w:rPr>
  </w:style>
  <w:style w:type="paragraph" w:customStyle="1" w:styleId="wfxRecipient">
    <w:name w:val="wfxRecipient"/>
    <w:basedOn w:val="Normal"/>
    <w:rsid w:val="00003E81"/>
    <w:rPr>
      <w:rFonts w:ascii="Arial" w:hAnsi="Arial"/>
      <w:sz w:val="22"/>
      <w:szCs w:val="20"/>
      <w:lang w:eastAsia="en-US"/>
    </w:rPr>
  </w:style>
  <w:style w:type="table" w:styleId="TableClassic1">
    <w:name w:val="Table Classic 1"/>
    <w:basedOn w:val="TableNormal"/>
    <w:rsid w:val="00003E81"/>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03E81"/>
    <w:rPr>
      <w:rFonts w:ascii="Calibri" w:hAnsi="Calibri" w:cs="Calibri"/>
      <w:noProof/>
    </w:rPr>
  </w:style>
  <w:style w:type="character" w:customStyle="1" w:styleId="EndNoteBibliographyChar">
    <w:name w:val="EndNote Bibliography Char"/>
    <w:basedOn w:val="DefaultParagraphFont"/>
    <w:link w:val="EndNoteBibliography"/>
    <w:rsid w:val="00003E81"/>
    <w:rPr>
      <w:rFonts w:ascii="Calibri" w:eastAsia="Times New Roman" w:hAnsi="Calibri" w:cs="Calibri"/>
      <w:noProof/>
      <w:sz w:val="24"/>
      <w:szCs w:val="24"/>
      <w:lang w:eastAsia="en-AU"/>
    </w:rPr>
  </w:style>
  <w:style w:type="table" w:customStyle="1" w:styleId="TableGrid2">
    <w:name w:val="Table Grid2"/>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3E8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3E81"/>
    <w:rPr>
      <w:rFonts w:ascii="Calibri" w:eastAsia="Times New Roman" w:hAnsi="Calibri" w:cs="Calibri"/>
      <w:noProof/>
      <w:sz w:val="24"/>
      <w:szCs w:val="24"/>
      <w:lang w:eastAsia="en-AU"/>
    </w:rPr>
  </w:style>
  <w:style w:type="table" w:customStyle="1" w:styleId="TableGrid5">
    <w:name w:val="Table Grid5"/>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3E81"/>
    <w:pPr>
      <w:spacing w:after="0" w:line="240" w:lineRule="auto"/>
    </w:pPr>
    <w:rPr>
      <w:rFonts w:eastAsia="Times New Roman" w:cs="Times New Roman"/>
      <w:sz w:val="24"/>
      <w:szCs w:val="24"/>
      <w:lang w:eastAsia="en-AU"/>
    </w:rPr>
  </w:style>
  <w:style w:type="paragraph" w:styleId="ListBullet">
    <w:name w:val="List Bullet"/>
    <w:basedOn w:val="Normal"/>
    <w:rsid w:val="00003E81"/>
    <w:pPr>
      <w:numPr>
        <w:numId w:val="6"/>
      </w:numPr>
      <w:contextualSpacing/>
    </w:pPr>
  </w:style>
  <w:style w:type="table" w:customStyle="1" w:styleId="TableGrid51">
    <w:name w:val="Table Grid51"/>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ew">
    <w:name w:val="Bullets - new"/>
    <w:basedOn w:val="Normal"/>
    <w:qFormat/>
    <w:rsid w:val="00003E81"/>
    <w:pPr>
      <w:autoSpaceDE w:val="0"/>
      <w:autoSpaceDN w:val="0"/>
      <w:spacing w:before="120" w:after="120"/>
      <w:ind w:left="360" w:hanging="360"/>
    </w:pPr>
    <w:rPr>
      <w:rFonts w:eastAsia="Calibri"/>
      <w:szCs w:val="20"/>
      <w:lang w:eastAsia="en-US"/>
    </w:rPr>
  </w:style>
  <w:style w:type="paragraph" w:styleId="EndnoteText">
    <w:name w:val="endnote text"/>
    <w:basedOn w:val="Normal"/>
    <w:link w:val="EndnoteTextChar"/>
    <w:semiHidden/>
    <w:unhideWhenUsed/>
    <w:rsid w:val="00003E81"/>
    <w:rPr>
      <w:sz w:val="20"/>
      <w:szCs w:val="20"/>
    </w:rPr>
  </w:style>
  <w:style w:type="character" w:customStyle="1" w:styleId="EndnoteTextChar">
    <w:name w:val="Endnote Text Char"/>
    <w:basedOn w:val="DefaultParagraphFont"/>
    <w:link w:val="EndnoteText"/>
    <w:semiHidden/>
    <w:rsid w:val="00003E81"/>
    <w:rPr>
      <w:rFonts w:eastAsia="Times New Roman" w:cs="Times New Roman"/>
      <w:sz w:val="20"/>
      <w:szCs w:val="20"/>
      <w:lang w:eastAsia="en-AU"/>
    </w:rPr>
  </w:style>
  <w:style w:type="character" w:styleId="EndnoteReference">
    <w:name w:val="endnote reference"/>
    <w:basedOn w:val="DefaultParagraphFont"/>
    <w:semiHidden/>
    <w:unhideWhenUsed/>
    <w:rsid w:val="00003E81"/>
    <w:rPr>
      <w:vertAlign w:val="superscript"/>
    </w:rPr>
  </w:style>
  <w:style w:type="paragraph" w:customStyle="1" w:styleId="CCS-NumericNumberedList">
    <w:name w:val="CCS-Numeric Numbered List"/>
    <w:basedOn w:val="Normal"/>
    <w:rsid w:val="00003E81"/>
    <w:pPr>
      <w:numPr>
        <w:numId w:val="8"/>
      </w:numPr>
      <w:spacing w:before="120" w:after="120"/>
    </w:pPr>
    <w:rPr>
      <w:rFonts w:eastAsiaTheme="minorHAnsi" w:cstheme="minorHAnsi"/>
      <w:sz w:val="22"/>
      <w:szCs w:val="20"/>
      <w:lang w:eastAsia="zh-CN" w:bidi="th-TH"/>
    </w:rPr>
  </w:style>
  <w:style w:type="paragraph" w:customStyle="1" w:styleId="Normal-nospacing">
    <w:name w:val="Normal - no spacing"/>
    <w:basedOn w:val="Normal"/>
    <w:qFormat/>
    <w:rsid w:val="00003E81"/>
    <w:pPr>
      <w:spacing w:before="120" w:after="120"/>
    </w:pPr>
    <w:rPr>
      <w:rFonts w:eastAsiaTheme="minorHAnsi" w:cstheme="minorHAnsi"/>
      <w:lang w:eastAsia="zh-CN" w:bidi="th-TH"/>
    </w:rPr>
  </w:style>
  <w:style w:type="paragraph" w:customStyle="1" w:styleId="BulletPoints">
    <w:name w:val="Bullet Points"/>
    <w:basedOn w:val="ListParagraph"/>
    <w:rsid w:val="00003E81"/>
    <w:pPr>
      <w:numPr>
        <w:numId w:val="9"/>
      </w:numPr>
      <w:spacing w:after="120"/>
      <w:ind w:left="426" w:hanging="357"/>
      <w:contextualSpacing w:val="0"/>
    </w:pPr>
    <w:rPr>
      <w:rFonts w:eastAsiaTheme="minorHAnsi" w:cstheme="minorHAnsi"/>
      <w:szCs w:val="20"/>
      <w:lang w:eastAsia="zh-CN" w:bidi="th-TH"/>
    </w:rPr>
  </w:style>
  <w:style w:type="paragraph" w:styleId="ListBullet3">
    <w:name w:val="List Bullet 3"/>
    <w:basedOn w:val="Normal"/>
    <w:autoRedefine/>
    <w:rsid w:val="00003E81"/>
    <w:pPr>
      <w:numPr>
        <w:numId w:val="10"/>
      </w:numPr>
    </w:pPr>
    <w:rPr>
      <w:rFonts w:ascii="Arial" w:hAnsi="Arial"/>
      <w:sz w:val="18"/>
      <w:szCs w:val="20"/>
      <w:lang w:eastAsia="en-US"/>
    </w:rPr>
  </w:style>
  <w:style w:type="table" w:customStyle="1" w:styleId="TableGrid6">
    <w:name w:val="Table Grid6"/>
    <w:basedOn w:val="TableNormal"/>
    <w:next w:val="TableGrid"/>
    <w:uiPriority w:val="59"/>
    <w:rsid w:val="0000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CS">
    <w:name w:val="RUCS"/>
    <w:basedOn w:val="Heading3"/>
    <w:link w:val="RUCSChar"/>
    <w:qFormat/>
    <w:rsid w:val="00003E81"/>
  </w:style>
  <w:style w:type="character" w:customStyle="1" w:styleId="RUCSChar">
    <w:name w:val="RUCS Char"/>
    <w:basedOn w:val="Heading3Char"/>
    <w:link w:val="RUCS"/>
    <w:rsid w:val="00003E81"/>
    <w:rPr>
      <w:rFonts w:ascii="Calibri" w:eastAsiaTheme="majorEastAsia" w:hAnsi="Calibri" w:cstheme="majorBidi"/>
      <w:b/>
      <w:bCs/>
      <w:sz w:val="24"/>
      <w:szCs w:val="24"/>
      <w:lang w:eastAsia="en-AU"/>
    </w:rPr>
  </w:style>
  <w:style w:type="paragraph" w:customStyle="1" w:styleId="Recommendations">
    <w:name w:val="Recommendations"/>
    <w:basedOn w:val="Title"/>
    <w:next w:val="Normal"/>
    <w:link w:val="RecommendationsChar"/>
    <w:autoRedefine/>
    <w:qFormat/>
    <w:rsid w:val="00EE5457"/>
    <w:pPr>
      <w:numPr>
        <w:numId w:val="13"/>
      </w:numPr>
      <w:pBdr>
        <w:top w:val="single" w:sz="4" w:space="1" w:color="auto"/>
        <w:left w:val="single" w:sz="4" w:space="4" w:color="auto"/>
        <w:bottom w:val="single" w:sz="4" w:space="1" w:color="auto"/>
        <w:right w:val="single" w:sz="4" w:space="4" w:color="auto"/>
      </w:pBdr>
      <w:spacing w:before="120"/>
      <w:ind w:left="357" w:hanging="357"/>
      <w:contextualSpacing w:val="0"/>
    </w:pPr>
    <w:rPr>
      <w:sz w:val="28"/>
      <w:szCs w:val="28"/>
    </w:rPr>
  </w:style>
  <w:style w:type="character" w:customStyle="1" w:styleId="RecommendationsChar">
    <w:name w:val="Recommendations Char"/>
    <w:basedOn w:val="TitleChar"/>
    <w:link w:val="Recommendations"/>
    <w:rsid w:val="00EE5457"/>
    <w:rPr>
      <w:rFonts w:ascii="Calibri" w:eastAsiaTheme="majorEastAsia" w:hAnsi="Calibri" w:cstheme="majorBidi"/>
      <w:b/>
      <w:spacing w:val="5"/>
      <w:kern w:val="28"/>
      <w:sz w:val="28"/>
      <w:szCs w:val="28"/>
      <w:lang w:eastAsia="en-AU"/>
    </w:rPr>
  </w:style>
  <w:style w:type="table" w:customStyle="1" w:styleId="TableGrid7">
    <w:name w:val="Table Grid7"/>
    <w:basedOn w:val="TableNormal"/>
    <w:next w:val="TableGrid"/>
    <w:uiPriority w:val="39"/>
    <w:rsid w:val="0099705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2261">
      <w:bodyDiv w:val="1"/>
      <w:marLeft w:val="0"/>
      <w:marRight w:val="0"/>
      <w:marTop w:val="0"/>
      <w:marBottom w:val="0"/>
      <w:divBdr>
        <w:top w:val="none" w:sz="0" w:space="0" w:color="auto"/>
        <w:left w:val="none" w:sz="0" w:space="0" w:color="auto"/>
        <w:bottom w:val="none" w:sz="0" w:space="0" w:color="auto"/>
        <w:right w:val="none" w:sz="0" w:space="0" w:color="auto"/>
      </w:divBdr>
    </w:div>
    <w:div w:id="382952013">
      <w:bodyDiv w:val="1"/>
      <w:marLeft w:val="0"/>
      <w:marRight w:val="0"/>
      <w:marTop w:val="0"/>
      <w:marBottom w:val="0"/>
      <w:divBdr>
        <w:top w:val="none" w:sz="0" w:space="0" w:color="auto"/>
        <w:left w:val="none" w:sz="0" w:space="0" w:color="auto"/>
        <w:bottom w:val="none" w:sz="0" w:space="0" w:color="auto"/>
        <w:right w:val="none" w:sz="0" w:space="0" w:color="auto"/>
      </w:divBdr>
    </w:div>
    <w:div w:id="591206672">
      <w:bodyDiv w:val="1"/>
      <w:marLeft w:val="0"/>
      <w:marRight w:val="0"/>
      <w:marTop w:val="0"/>
      <w:marBottom w:val="0"/>
      <w:divBdr>
        <w:top w:val="none" w:sz="0" w:space="0" w:color="auto"/>
        <w:left w:val="none" w:sz="0" w:space="0" w:color="auto"/>
        <w:bottom w:val="none" w:sz="0" w:space="0" w:color="auto"/>
        <w:right w:val="none" w:sz="0" w:space="0" w:color="auto"/>
      </w:divBdr>
    </w:div>
    <w:div w:id="974599850">
      <w:bodyDiv w:val="1"/>
      <w:marLeft w:val="0"/>
      <w:marRight w:val="0"/>
      <w:marTop w:val="0"/>
      <w:marBottom w:val="0"/>
      <w:divBdr>
        <w:top w:val="none" w:sz="0" w:space="0" w:color="auto"/>
        <w:left w:val="none" w:sz="0" w:space="0" w:color="auto"/>
        <w:bottom w:val="none" w:sz="0" w:space="0" w:color="auto"/>
        <w:right w:val="none" w:sz="0" w:space="0" w:color="auto"/>
      </w:divBdr>
    </w:div>
    <w:div w:id="1417284869">
      <w:bodyDiv w:val="1"/>
      <w:marLeft w:val="0"/>
      <w:marRight w:val="0"/>
      <w:marTop w:val="0"/>
      <w:marBottom w:val="0"/>
      <w:divBdr>
        <w:top w:val="none" w:sz="0" w:space="0" w:color="auto"/>
        <w:left w:val="none" w:sz="0" w:space="0" w:color="auto"/>
        <w:bottom w:val="none" w:sz="0" w:space="0" w:color="auto"/>
        <w:right w:val="none" w:sz="0" w:space="0" w:color="auto"/>
      </w:divBdr>
    </w:div>
    <w:div w:id="1886983805">
      <w:bodyDiv w:val="1"/>
      <w:marLeft w:val="0"/>
      <w:marRight w:val="0"/>
      <w:marTop w:val="0"/>
      <w:marBottom w:val="0"/>
      <w:divBdr>
        <w:top w:val="none" w:sz="0" w:space="0" w:color="auto"/>
        <w:left w:val="none" w:sz="0" w:space="0" w:color="auto"/>
        <w:bottom w:val="none" w:sz="0" w:space="0" w:color="auto"/>
        <w:right w:val="none" w:sz="0" w:space="0" w:color="auto"/>
      </w:divBdr>
      <w:divsChild>
        <w:div w:id="1349551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yagedcare.gov.au/quality-and-complaints/quality-indicators-in-aged-care"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373545"/>
      </a:dk2>
      <a:lt2>
        <a:srgbClr val="CEDBE6"/>
      </a:lt2>
      <a:accent1>
        <a:srgbClr val="2B5166"/>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C03C-1C8E-4B64-9395-1095D400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8581</Words>
  <Characters>48913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2019-03-08T04:46:00Z</dcterms:created>
  <dcterms:modified xsi:type="dcterms:W3CDTF">2019-03-12T03:46:00Z</dcterms:modified>
</cp:coreProperties>
</file>