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81" w:rsidRDefault="00003E81" w:rsidP="00EB3C7F">
      <w:pPr>
        <w:spacing w:before="2000"/>
      </w:pPr>
      <w:r>
        <w:rPr>
          <w:noProof/>
        </w:rPr>
        <w:drawing>
          <wp:inline distT="0" distB="0" distL="0" distR="0" wp14:anchorId="4CF8D19C" wp14:editId="008E3F1E">
            <wp:extent cx="3582000" cy="633600"/>
            <wp:effectExtent l="0" t="0" r="0" b="0"/>
            <wp:docPr id="9" name="Picture 9" descr="Australian Health Services Research Institute (AHSRI) University of Wollongong logo" title="AHSRI and U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2000" cy="633600"/>
                    </a:xfrm>
                    <a:prstGeom prst="rect">
                      <a:avLst/>
                    </a:prstGeom>
                    <a:noFill/>
                  </pic:spPr>
                </pic:pic>
              </a:graphicData>
            </a:graphic>
          </wp:inline>
        </w:drawing>
      </w:r>
    </w:p>
    <w:p w:rsidR="00003E81" w:rsidRPr="00574C88" w:rsidRDefault="006534E0" w:rsidP="00EB3C7F">
      <w:pPr>
        <w:pStyle w:val="Title"/>
        <w:pBdr>
          <w:bottom w:val="none" w:sz="0" w:space="0" w:color="auto"/>
        </w:pBdr>
        <w:spacing w:before="3000" w:after="2000"/>
        <w:contextualSpacing w:val="0"/>
      </w:pPr>
      <w:r>
        <w:t>AN-ACC: A funding model for the residential aged care sector</w:t>
      </w:r>
    </w:p>
    <w:p w:rsidR="00003E81" w:rsidRPr="00EB3C7F" w:rsidRDefault="00003E81" w:rsidP="00EB3C7F">
      <w:pPr>
        <w:pStyle w:val="Title"/>
        <w:pBdr>
          <w:bottom w:val="none" w:sz="0" w:space="0" w:color="auto"/>
        </w:pBdr>
        <w:tabs>
          <w:tab w:val="left" w:pos="1418"/>
        </w:tabs>
        <w:spacing w:before="3000" w:after="2000"/>
        <w:rPr>
          <w:sz w:val="44"/>
          <w:szCs w:val="44"/>
        </w:rPr>
      </w:pPr>
      <w:r w:rsidRPr="00EB3C7F">
        <w:rPr>
          <w:sz w:val="44"/>
          <w:szCs w:val="44"/>
        </w:rPr>
        <w:t xml:space="preserve">The Resource Utilisation and Classification Study: Report </w:t>
      </w:r>
      <w:r w:rsidR="00BB495A" w:rsidRPr="00EB3C7F">
        <w:rPr>
          <w:sz w:val="44"/>
          <w:szCs w:val="44"/>
        </w:rPr>
        <w:t>5</w:t>
      </w:r>
    </w:p>
    <w:p w:rsidR="00EB3C7F" w:rsidRDefault="00DD17DC" w:rsidP="00EB3C7F">
      <w:pPr>
        <w:spacing w:before="360"/>
        <w:rPr>
          <w:b/>
          <w:sz w:val="32"/>
          <w:szCs w:val="32"/>
        </w:rPr>
      </w:pPr>
      <w:r>
        <w:rPr>
          <w:b/>
          <w:sz w:val="32"/>
          <w:szCs w:val="32"/>
        </w:rPr>
        <w:t>February</w:t>
      </w:r>
      <w:r w:rsidR="00883B68">
        <w:rPr>
          <w:b/>
          <w:sz w:val="32"/>
          <w:szCs w:val="32"/>
        </w:rPr>
        <w:t xml:space="preserve"> 2019</w:t>
      </w:r>
    </w:p>
    <w:p w:rsidR="00003E81" w:rsidRPr="00EB3C7F" w:rsidRDefault="00003E81" w:rsidP="00EB3C7F">
      <w:pPr>
        <w:spacing w:before="360"/>
        <w:rPr>
          <w:b/>
          <w:sz w:val="32"/>
          <w:szCs w:val="32"/>
        </w:rPr>
      </w:pPr>
      <w:r>
        <w:br w:type="page"/>
      </w:r>
    </w:p>
    <w:p w:rsidR="00BD0FEC" w:rsidRDefault="00BD0FEC" w:rsidP="00003E81">
      <w:pPr>
        <w:spacing w:after="600"/>
        <w:jc w:val="right"/>
        <w:rPr>
          <w:sz w:val="36"/>
          <w:szCs w:val="36"/>
        </w:rPr>
      </w:pPr>
      <w:r w:rsidRPr="00BD0FEC">
        <w:rPr>
          <w:sz w:val="36"/>
          <w:szCs w:val="36"/>
        </w:rPr>
        <w:lastRenderedPageBreak/>
        <w:t>Jenny McNamee</w:t>
      </w:r>
    </w:p>
    <w:p w:rsidR="00003E81" w:rsidRPr="00C7613C" w:rsidRDefault="00003E81" w:rsidP="00003E81">
      <w:pPr>
        <w:spacing w:after="600"/>
        <w:jc w:val="right"/>
        <w:rPr>
          <w:sz w:val="36"/>
          <w:szCs w:val="36"/>
        </w:rPr>
      </w:pPr>
      <w:r w:rsidRPr="00C7613C">
        <w:rPr>
          <w:sz w:val="36"/>
          <w:szCs w:val="36"/>
        </w:rPr>
        <w:t>Milena Snoek</w:t>
      </w:r>
    </w:p>
    <w:p w:rsidR="00900AD5" w:rsidRDefault="00900AD5" w:rsidP="00003E81">
      <w:pPr>
        <w:spacing w:after="600"/>
        <w:jc w:val="right"/>
        <w:rPr>
          <w:sz w:val="36"/>
          <w:szCs w:val="36"/>
        </w:rPr>
      </w:pPr>
      <w:r>
        <w:rPr>
          <w:sz w:val="36"/>
          <w:szCs w:val="36"/>
        </w:rPr>
        <w:t>Conrad Kobel</w:t>
      </w:r>
    </w:p>
    <w:p w:rsidR="007C2CE3" w:rsidRPr="00C7613C" w:rsidRDefault="007C2CE3" w:rsidP="007C2CE3">
      <w:pPr>
        <w:spacing w:after="600"/>
        <w:jc w:val="right"/>
        <w:rPr>
          <w:sz w:val="36"/>
          <w:szCs w:val="36"/>
        </w:rPr>
      </w:pPr>
      <w:r w:rsidRPr="00C7613C">
        <w:rPr>
          <w:sz w:val="36"/>
          <w:szCs w:val="36"/>
        </w:rPr>
        <w:t>Carol Loggie</w:t>
      </w:r>
    </w:p>
    <w:p w:rsidR="00AF3335" w:rsidRDefault="007C2CE3" w:rsidP="00AF3335">
      <w:pPr>
        <w:spacing w:after="600"/>
        <w:jc w:val="right"/>
        <w:rPr>
          <w:sz w:val="36"/>
          <w:szCs w:val="36"/>
        </w:rPr>
      </w:pPr>
      <w:r>
        <w:rPr>
          <w:sz w:val="36"/>
          <w:szCs w:val="36"/>
        </w:rPr>
        <w:t>Nicole Rankin</w:t>
      </w:r>
      <w:r w:rsidR="00AF3335" w:rsidRPr="00AF3335">
        <w:rPr>
          <w:sz w:val="36"/>
          <w:szCs w:val="36"/>
        </w:rPr>
        <w:t xml:space="preserve"> </w:t>
      </w:r>
    </w:p>
    <w:p w:rsidR="00AF3335" w:rsidRPr="00C7613C" w:rsidRDefault="00AF3335" w:rsidP="00AF3335">
      <w:pPr>
        <w:spacing w:after="600"/>
        <w:jc w:val="right"/>
        <w:rPr>
          <w:sz w:val="36"/>
          <w:szCs w:val="36"/>
        </w:rPr>
      </w:pPr>
      <w:r w:rsidRPr="00C7613C">
        <w:rPr>
          <w:sz w:val="36"/>
          <w:szCs w:val="36"/>
        </w:rPr>
        <w:t>Kathy Eagar</w:t>
      </w:r>
    </w:p>
    <w:p w:rsidR="007C2CE3" w:rsidRDefault="007C2CE3" w:rsidP="00003E81">
      <w:pPr>
        <w:spacing w:after="600"/>
        <w:jc w:val="right"/>
        <w:rPr>
          <w:sz w:val="36"/>
          <w:szCs w:val="36"/>
        </w:rPr>
      </w:pPr>
    </w:p>
    <w:p w:rsidR="000F0123" w:rsidRDefault="000F0123" w:rsidP="00003E81">
      <w:pPr>
        <w:rPr>
          <w:b/>
          <w:sz w:val="28"/>
          <w:szCs w:val="28"/>
        </w:rPr>
        <w:sectPr w:rsidR="000F0123" w:rsidSect="00003E81">
          <w:footerReference w:type="default" r:id="rId9"/>
          <w:pgSz w:w="11906" w:h="16838"/>
          <w:pgMar w:top="1134" w:right="1134" w:bottom="1021" w:left="1418" w:header="709" w:footer="709" w:gutter="0"/>
          <w:pgNumType w:start="1"/>
          <w:cols w:space="708"/>
          <w:docGrid w:linePitch="360"/>
        </w:sectPr>
      </w:pPr>
    </w:p>
    <w:p w:rsidR="005E0189" w:rsidRDefault="00003E81" w:rsidP="00EB3C7F">
      <w:pPr>
        <w:spacing w:after="240"/>
      </w:pPr>
      <w:r>
        <w:lastRenderedPageBreak/>
        <w:t xml:space="preserve">This </w:t>
      </w:r>
      <w:r w:rsidRPr="00877115">
        <w:t xml:space="preserve">series of </w:t>
      </w:r>
      <w:r>
        <w:t xml:space="preserve">papers reports on different aspects of a major national study into needs, costs and classification of residential aged care called </w:t>
      </w:r>
      <w:r w:rsidR="00BA08F7">
        <w:t>t</w:t>
      </w:r>
      <w:r>
        <w:t xml:space="preserve">he Resource Utilisation </w:t>
      </w:r>
      <w:r w:rsidR="00F52E5B">
        <w:t xml:space="preserve">and Classification </w:t>
      </w:r>
      <w:r>
        <w:t>Study</w:t>
      </w:r>
      <w:r w:rsidR="00F52E5B">
        <w:t xml:space="preserve"> (RUCS)</w:t>
      </w:r>
      <w:r w:rsidR="00EB3C7F">
        <w:t xml:space="preserve">. </w:t>
      </w:r>
      <w:r>
        <w:t>The RU</w:t>
      </w:r>
      <w:r w:rsidR="00EB3C7F">
        <w:t>CS was undertaken during 2018.</w:t>
      </w:r>
    </w:p>
    <w:p w:rsidR="00003E81" w:rsidRDefault="00003E81" w:rsidP="00EB3C7F">
      <w:pPr>
        <w:spacing w:after="240"/>
      </w:pPr>
      <w:r>
        <w:t xml:space="preserve">This report (Report </w:t>
      </w:r>
      <w:r w:rsidR="00BE652A">
        <w:t>5</w:t>
      </w:r>
      <w:r>
        <w:t xml:space="preserve">) </w:t>
      </w:r>
      <w:r w:rsidR="005E0189">
        <w:t>provides an overview of the re</w:t>
      </w:r>
      <w:r>
        <w:t>commended AN-ACC</w:t>
      </w:r>
      <w:r w:rsidR="005E0189">
        <w:t xml:space="preserve"> funding model</w:t>
      </w:r>
      <w:r>
        <w:t>.</w:t>
      </w:r>
    </w:p>
    <w:p w:rsidR="00C92669" w:rsidRDefault="00C92669" w:rsidP="00EB3C7F">
      <w:pPr>
        <w:pStyle w:val="Normal-nospacing"/>
        <w:spacing w:before="0" w:after="240"/>
      </w:pPr>
      <w:r>
        <w:t xml:space="preserve">A summary of the overall RUCS work program and associated reports is provided in </w:t>
      </w:r>
      <w:r>
        <w:fldChar w:fldCharType="begin"/>
      </w:r>
      <w:r>
        <w:instrText xml:space="preserve"> REF _Ref528325443 \h </w:instrText>
      </w:r>
      <w:r>
        <w:fldChar w:fldCharType="separate"/>
      </w:r>
      <w:r>
        <w:t xml:space="preserve">Appendix </w:t>
      </w:r>
      <w:r>
        <w:rPr>
          <w:noProof/>
        </w:rPr>
        <w:t>1</w:t>
      </w:r>
      <w:r>
        <w:fldChar w:fldCharType="end"/>
      </w:r>
      <w:r>
        <w:t>.</w:t>
      </w:r>
    </w:p>
    <w:p w:rsidR="00974842" w:rsidRPr="00135D3C" w:rsidRDefault="00974842" w:rsidP="00974842">
      <w:pPr>
        <w:pStyle w:val="ListParagraph"/>
        <w:numPr>
          <w:ilvl w:val="0"/>
          <w:numId w:val="7"/>
        </w:numPr>
        <w:ind w:left="1418" w:hanging="1418"/>
      </w:pPr>
      <w:r w:rsidRPr="00135D3C">
        <w:t>The Australian National Aged Care Classification (AN-ACC)</w:t>
      </w:r>
    </w:p>
    <w:p w:rsidR="00974842" w:rsidRDefault="00974842" w:rsidP="00EB3C7F">
      <w:pPr>
        <w:pStyle w:val="ListParagraph"/>
        <w:numPr>
          <w:ilvl w:val="0"/>
          <w:numId w:val="7"/>
        </w:numPr>
        <w:spacing w:before="240"/>
        <w:ind w:left="1418" w:hanging="1418"/>
        <w:contextualSpacing w:val="0"/>
      </w:pPr>
      <w:r w:rsidRPr="00135D3C">
        <w:t>The AN-ACC assessment model</w:t>
      </w:r>
    </w:p>
    <w:p w:rsidR="00974842" w:rsidRPr="00974842" w:rsidRDefault="00974842" w:rsidP="002F28A7">
      <w:pPr>
        <w:pStyle w:val="ListParagraph"/>
        <w:numPr>
          <w:ilvl w:val="0"/>
          <w:numId w:val="7"/>
        </w:numPr>
        <w:spacing w:before="240"/>
        <w:ind w:left="1418" w:hanging="1418"/>
        <w:contextualSpacing w:val="0"/>
      </w:pPr>
      <w:r w:rsidRPr="00974842">
        <w:t xml:space="preserve">Structural and individual costs of residential aged care services in Australia </w:t>
      </w:r>
    </w:p>
    <w:p w:rsidR="00974842" w:rsidRPr="00135D3C" w:rsidRDefault="00974842" w:rsidP="002F28A7">
      <w:pPr>
        <w:pStyle w:val="ListParagraph"/>
        <w:numPr>
          <w:ilvl w:val="0"/>
          <w:numId w:val="7"/>
        </w:numPr>
        <w:spacing w:before="240"/>
        <w:ind w:left="1418" w:hanging="1418"/>
        <w:contextualSpacing w:val="0"/>
      </w:pPr>
      <w:r w:rsidRPr="00135D3C">
        <w:t>Modelling the im</w:t>
      </w:r>
      <w:r w:rsidR="00EB3C7F">
        <w:t>pact of the AN-ACC in Australia</w:t>
      </w:r>
    </w:p>
    <w:p w:rsidR="00974842" w:rsidRPr="00974842" w:rsidRDefault="000869BF" w:rsidP="002F28A7">
      <w:pPr>
        <w:pStyle w:val="ListParagraph"/>
        <w:numPr>
          <w:ilvl w:val="0"/>
          <w:numId w:val="7"/>
        </w:numPr>
        <w:spacing w:before="240"/>
        <w:ind w:left="1418" w:hanging="1418"/>
        <w:contextualSpacing w:val="0"/>
        <w:rPr>
          <w:b/>
        </w:rPr>
      </w:pPr>
      <w:r>
        <w:rPr>
          <w:b/>
        </w:rPr>
        <w:t>AN-ACC: A f</w:t>
      </w:r>
      <w:r w:rsidR="00974842" w:rsidRPr="00974842">
        <w:rPr>
          <w:b/>
        </w:rPr>
        <w:t xml:space="preserve">unding model for the residential aged care sector </w:t>
      </w:r>
      <w:r w:rsidR="00BE652A">
        <w:t>(this report)</w:t>
      </w:r>
    </w:p>
    <w:p w:rsidR="00974842" w:rsidRPr="00135D3C" w:rsidRDefault="00974842" w:rsidP="002F28A7">
      <w:pPr>
        <w:pStyle w:val="ListParagraph"/>
        <w:numPr>
          <w:ilvl w:val="0"/>
          <w:numId w:val="7"/>
        </w:numPr>
        <w:spacing w:before="240"/>
        <w:ind w:left="1418" w:hanging="1418"/>
        <w:contextualSpacing w:val="0"/>
      </w:pPr>
      <w:r w:rsidRPr="00135D3C">
        <w:t>AN-ACC: A national classification and funding model for residential aged care: Synthesis and consolidated recommendations</w:t>
      </w:r>
    </w:p>
    <w:p w:rsidR="00974842" w:rsidRDefault="00974842" w:rsidP="002F28A7">
      <w:pPr>
        <w:pStyle w:val="ListParagraph"/>
        <w:numPr>
          <w:ilvl w:val="0"/>
          <w:numId w:val="7"/>
        </w:numPr>
        <w:spacing w:before="240"/>
        <w:ind w:left="1418" w:hanging="1418"/>
        <w:contextualSpacing w:val="0"/>
        <w:rPr>
          <w:lang w:val="sv-SE"/>
        </w:rPr>
      </w:pPr>
      <w:r w:rsidRPr="00F730E6">
        <w:rPr>
          <w:lang w:val="sv-SE"/>
        </w:rPr>
        <w:t>AN-ACC Technical appendices</w:t>
      </w:r>
    </w:p>
    <w:p w:rsidR="008A7AF9" w:rsidRDefault="00EB3C7F" w:rsidP="00EB3C7F">
      <w:pPr>
        <w:spacing w:before="3000" w:after="240"/>
        <w:rPr>
          <w:lang w:val="sv-SE"/>
        </w:rPr>
      </w:pPr>
      <w:r w:rsidRPr="00574C88">
        <w:rPr>
          <w:b/>
          <w:lang w:val="sv-SE"/>
        </w:rPr>
        <w:t>Sugges</w:t>
      </w:r>
      <w:r>
        <w:rPr>
          <w:b/>
          <w:lang w:val="sv-SE"/>
        </w:rPr>
        <w:t>t</w:t>
      </w:r>
      <w:r w:rsidRPr="00574C88">
        <w:rPr>
          <w:b/>
          <w:lang w:val="sv-SE"/>
        </w:rPr>
        <w:t>ed citation:</w:t>
      </w:r>
    </w:p>
    <w:p w:rsidR="008A7AF9" w:rsidRDefault="00EB3C7F" w:rsidP="00003E81">
      <w:pPr>
        <w:rPr>
          <w:lang w:val="sv-SE"/>
        </w:rPr>
      </w:pPr>
      <w:r w:rsidRPr="00527574">
        <w:rPr>
          <w:lang w:val="sv-SE"/>
        </w:rPr>
        <w:t>McNamee J, Snoek M</w:t>
      </w:r>
      <w:r>
        <w:rPr>
          <w:lang w:val="sv-SE"/>
        </w:rPr>
        <w:t>,</w:t>
      </w:r>
      <w:r w:rsidRPr="00527574">
        <w:rPr>
          <w:lang w:val="sv-SE"/>
        </w:rPr>
        <w:t xml:space="preserve"> </w:t>
      </w:r>
      <w:r>
        <w:rPr>
          <w:lang w:val="sv-SE"/>
        </w:rPr>
        <w:t xml:space="preserve">Kobel C, Loggie C, Rankin R and </w:t>
      </w:r>
      <w:r w:rsidRPr="00527574">
        <w:rPr>
          <w:lang w:val="sv-SE"/>
        </w:rPr>
        <w:t>Eagar K</w:t>
      </w:r>
      <w:r>
        <w:rPr>
          <w:lang w:val="sv-SE"/>
        </w:rPr>
        <w:t xml:space="preserve"> (2019</w:t>
      </w:r>
      <w:r w:rsidRPr="00527574">
        <w:rPr>
          <w:lang w:val="sv-SE"/>
        </w:rPr>
        <w:t xml:space="preserve">) </w:t>
      </w:r>
      <w:r>
        <w:rPr>
          <w:lang w:val="sv-SE"/>
        </w:rPr>
        <w:t xml:space="preserve"> </w:t>
      </w:r>
      <w:r>
        <w:rPr>
          <w:i/>
          <w:lang w:val="sv-SE"/>
        </w:rPr>
        <w:t>A funding model for the residential aged care sector.</w:t>
      </w:r>
      <w:r w:rsidRPr="00934384">
        <w:rPr>
          <w:i/>
          <w:lang w:val="sv-SE"/>
        </w:rPr>
        <w:t xml:space="preserve"> The Resource Utilisation and Classification Study: Report </w:t>
      </w:r>
      <w:r>
        <w:rPr>
          <w:i/>
          <w:lang w:val="sv-SE"/>
        </w:rPr>
        <w:t>5</w:t>
      </w:r>
      <w:r w:rsidRPr="00527574">
        <w:rPr>
          <w:lang w:val="sv-SE"/>
        </w:rPr>
        <w:t>. Australian Health Services Research Institute, University of Wollongong.</w:t>
      </w:r>
      <w:r>
        <w:rPr>
          <w:lang w:val="sv-SE"/>
        </w:rPr>
        <w:t xml:space="preserve"> ISBN: 978-1-74128-299-3</w:t>
      </w:r>
    </w:p>
    <w:p w:rsidR="00003E81" w:rsidRDefault="00003E81" w:rsidP="00003E81"/>
    <w:p w:rsidR="00003E81" w:rsidRDefault="00003E81" w:rsidP="00003E81">
      <w:pPr>
        <w:sectPr w:rsidR="00003E81" w:rsidSect="00003E81">
          <w:headerReference w:type="default" r:id="rId10"/>
          <w:footerReference w:type="default" r:id="rId11"/>
          <w:pgSz w:w="11906" w:h="16838"/>
          <w:pgMar w:top="1134" w:right="1134" w:bottom="1021" w:left="1418" w:header="709" w:footer="709" w:gutter="0"/>
          <w:pgNumType w:start="1"/>
          <w:cols w:space="708"/>
          <w:docGrid w:linePitch="360"/>
        </w:sectPr>
      </w:pPr>
    </w:p>
    <w:bookmarkStart w:id="0" w:name="_Toc454355989" w:displacedByCustomXml="next"/>
    <w:bookmarkStart w:id="1" w:name="_Toc420928744" w:displacedByCustomXml="next"/>
    <w:bookmarkStart w:id="2" w:name="_Toc420921206" w:displacedByCustomXml="next"/>
    <w:bookmarkStart w:id="3" w:name="_Toc420884055" w:displacedByCustomXml="next"/>
    <w:bookmarkStart w:id="4" w:name="_Toc420883505" w:displacedByCustomXml="next"/>
    <w:bookmarkStart w:id="5" w:name="_Toc454984416" w:displacedByCustomXml="next"/>
    <w:bookmarkStart w:id="6" w:name="_Toc455046509" w:displacedByCustomXml="next"/>
    <w:sdt>
      <w:sdtPr>
        <w:rPr>
          <w:rFonts w:ascii="Times New Roman" w:hAnsi="Times New Roman"/>
          <w:b w:val="0"/>
          <w:bCs/>
          <w:noProof w:val="0"/>
          <w:sz w:val="24"/>
          <w:szCs w:val="24"/>
        </w:rPr>
        <w:id w:val="-1505884234"/>
        <w:docPartObj>
          <w:docPartGallery w:val="Table of Contents"/>
          <w:docPartUnique/>
        </w:docPartObj>
      </w:sdtPr>
      <w:sdtEndPr>
        <w:rPr>
          <w:rFonts w:asciiTheme="minorHAnsi" w:hAnsiTheme="minorHAnsi"/>
          <w:bCs w:val="0"/>
        </w:rPr>
      </w:sdtEndPr>
      <w:sdtContent>
        <w:p w:rsidR="00003E81" w:rsidRPr="00EB3C7F" w:rsidRDefault="00003E81" w:rsidP="00003E81">
          <w:pPr>
            <w:pStyle w:val="TOC1"/>
            <w:rPr>
              <w:sz w:val="40"/>
              <w:szCs w:val="40"/>
            </w:rPr>
          </w:pPr>
          <w:r w:rsidRPr="00EB3C7F">
            <w:rPr>
              <w:sz w:val="40"/>
              <w:szCs w:val="40"/>
            </w:rPr>
            <w:t>Contents</w:t>
          </w:r>
          <w:bookmarkEnd w:id="6"/>
          <w:bookmarkEnd w:id="5"/>
          <w:bookmarkEnd w:id="4"/>
          <w:bookmarkEnd w:id="3"/>
          <w:bookmarkEnd w:id="2"/>
          <w:bookmarkEnd w:id="1"/>
          <w:bookmarkEnd w:id="0"/>
        </w:p>
        <w:p w:rsidR="007042A3" w:rsidRDefault="00003E81">
          <w:pPr>
            <w:pStyle w:val="TOC1"/>
            <w:rPr>
              <w:rFonts w:eastAsiaTheme="minorEastAsia" w:cstheme="minorBidi"/>
              <w:b w:val="0"/>
            </w:rPr>
          </w:pPr>
          <w:r w:rsidRPr="007734A2">
            <w:rPr>
              <w:b w:val="0"/>
              <w:sz w:val="20"/>
              <w:szCs w:val="20"/>
            </w:rPr>
            <w:fldChar w:fldCharType="begin"/>
          </w:r>
          <w:r w:rsidRPr="007734A2">
            <w:rPr>
              <w:b w:val="0"/>
              <w:sz w:val="20"/>
              <w:szCs w:val="20"/>
            </w:rPr>
            <w:instrText xml:space="preserve"> TOC \o "1-2" </w:instrText>
          </w:r>
          <w:r w:rsidRPr="007734A2">
            <w:rPr>
              <w:b w:val="0"/>
              <w:sz w:val="20"/>
              <w:szCs w:val="20"/>
            </w:rPr>
            <w:fldChar w:fldCharType="separate"/>
          </w:r>
          <w:r w:rsidR="007042A3">
            <w:t>Acknowledgements</w:t>
          </w:r>
          <w:r w:rsidR="007042A3">
            <w:tab/>
          </w:r>
          <w:r w:rsidR="007042A3">
            <w:fldChar w:fldCharType="begin"/>
          </w:r>
          <w:r w:rsidR="007042A3">
            <w:instrText xml:space="preserve"> PAGEREF _Toc2066814 \h </w:instrText>
          </w:r>
          <w:r w:rsidR="007042A3">
            <w:fldChar w:fldCharType="separate"/>
          </w:r>
          <w:r w:rsidR="00EB74DD">
            <w:t>i</w:t>
          </w:r>
          <w:r w:rsidR="007042A3">
            <w:fldChar w:fldCharType="end"/>
          </w:r>
        </w:p>
        <w:p w:rsidR="007042A3" w:rsidRDefault="007042A3">
          <w:pPr>
            <w:pStyle w:val="TOC1"/>
            <w:rPr>
              <w:rFonts w:eastAsiaTheme="minorEastAsia" w:cstheme="minorBidi"/>
              <w:b w:val="0"/>
            </w:rPr>
          </w:pPr>
          <w:r>
            <w:t>Abbreviations</w:t>
          </w:r>
          <w:r>
            <w:tab/>
          </w:r>
          <w:r>
            <w:fldChar w:fldCharType="begin"/>
          </w:r>
          <w:r>
            <w:instrText xml:space="preserve"> PAGEREF _Toc2066815 \h </w:instrText>
          </w:r>
          <w:r>
            <w:fldChar w:fldCharType="separate"/>
          </w:r>
          <w:r w:rsidR="00EB74DD">
            <w:t>ii</w:t>
          </w:r>
          <w:r>
            <w:fldChar w:fldCharType="end"/>
          </w:r>
        </w:p>
        <w:p w:rsidR="007042A3" w:rsidRDefault="007042A3">
          <w:pPr>
            <w:pStyle w:val="TOC1"/>
            <w:rPr>
              <w:rFonts w:eastAsiaTheme="minorEastAsia" w:cstheme="minorBidi"/>
              <w:b w:val="0"/>
            </w:rPr>
          </w:pPr>
          <w:r>
            <w:t>Glossary of Terms</w:t>
          </w:r>
          <w:r>
            <w:tab/>
          </w:r>
          <w:r>
            <w:fldChar w:fldCharType="begin"/>
          </w:r>
          <w:r>
            <w:instrText xml:space="preserve"> PAGEREF _Toc2066816 \h </w:instrText>
          </w:r>
          <w:r>
            <w:fldChar w:fldCharType="separate"/>
          </w:r>
          <w:r w:rsidR="00EB74DD">
            <w:t>iii</w:t>
          </w:r>
          <w:r>
            <w:fldChar w:fldCharType="end"/>
          </w:r>
        </w:p>
        <w:p w:rsidR="007042A3" w:rsidRDefault="007042A3">
          <w:pPr>
            <w:pStyle w:val="TOC1"/>
            <w:rPr>
              <w:rFonts w:eastAsiaTheme="minorEastAsia" w:cstheme="minorBidi"/>
              <w:b w:val="0"/>
            </w:rPr>
          </w:pPr>
          <w:r>
            <w:t>Key Messages</w:t>
          </w:r>
          <w:r>
            <w:tab/>
          </w:r>
          <w:r>
            <w:fldChar w:fldCharType="begin"/>
          </w:r>
          <w:r>
            <w:instrText xml:space="preserve"> PAGEREF _Toc2066817 \h </w:instrText>
          </w:r>
          <w:r>
            <w:fldChar w:fldCharType="separate"/>
          </w:r>
          <w:r w:rsidR="00EB74DD">
            <w:t>1</w:t>
          </w:r>
          <w:r>
            <w:fldChar w:fldCharType="end"/>
          </w:r>
        </w:p>
        <w:p w:rsidR="007042A3" w:rsidRDefault="007042A3">
          <w:pPr>
            <w:pStyle w:val="TOC1"/>
            <w:rPr>
              <w:rFonts w:eastAsiaTheme="minorEastAsia" w:cstheme="minorBidi"/>
              <w:b w:val="0"/>
            </w:rPr>
          </w:pPr>
          <w:r>
            <w:t>1</w:t>
          </w:r>
          <w:r>
            <w:rPr>
              <w:rFonts w:eastAsiaTheme="minorEastAsia" w:cstheme="minorBidi"/>
              <w:b w:val="0"/>
            </w:rPr>
            <w:tab/>
          </w:r>
          <w:r>
            <w:t>Introduction and background</w:t>
          </w:r>
          <w:r>
            <w:tab/>
          </w:r>
          <w:r>
            <w:fldChar w:fldCharType="begin"/>
          </w:r>
          <w:r>
            <w:instrText xml:space="preserve"> PAGEREF _Toc2066818 \h </w:instrText>
          </w:r>
          <w:r>
            <w:fldChar w:fldCharType="separate"/>
          </w:r>
          <w:r w:rsidR="00EB74DD">
            <w:t>2</w:t>
          </w:r>
          <w:r>
            <w:fldChar w:fldCharType="end"/>
          </w:r>
        </w:p>
        <w:p w:rsidR="007042A3" w:rsidRDefault="007042A3">
          <w:pPr>
            <w:pStyle w:val="TOC1"/>
            <w:rPr>
              <w:rFonts w:eastAsiaTheme="minorEastAsia" w:cstheme="minorBidi"/>
              <w:b w:val="0"/>
            </w:rPr>
          </w:pPr>
          <w:r>
            <w:t>2</w:t>
          </w:r>
          <w:r>
            <w:rPr>
              <w:rFonts w:eastAsiaTheme="minorEastAsia" w:cstheme="minorBidi"/>
              <w:b w:val="0"/>
            </w:rPr>
            <w:tab/>
          </w:r>
          <w:r>
            <w:t>Overview of the proposed AN-ACC funding model</w:t>
          </w:r>
          <w:r>
            <w:tab/>
          </w:r>
          <w:r>
            <w:fldChar w:fldCharType="begin"/>
          </w:r>
          <w:r>
            <w:instrText xml:space="preserve"> PAGEREF _Toc2066819 \h </w:instrText>
          </w:r>
          <w:r>
            <w:fldChar w:fldCharType="separate"/>
          </w:r>
          <w:r w:rsidR="00EB74DD">
            <w:t>4</w:t>
          </w:r>
          <w:r>
            <w:fldChar w:fldCharType="end"/>
          </w:r>
        </w:p>
        <w:p w:rsidR="007042A3" w:rsidRDefault="007042A3">
          <w:pPr>
            <w:pStyle w:val="TOC2"/>
            <w:rPr>
              <w:rFonts w:eastAsiaTheme="minorEastAsia" w:cstheme="minorBidi"/>
              <w:sz w:val="22"/>
              <w:szCs w:val="22"/>
            </w:rPr>
          </w:pPr>
          <w:r>
            <w:t>2.1</w:t>
          </w:r>
          <w:r>
            <w:rPr>
              <w:rFonts w:eastAsiaTheme="minorEastAsia" w:cstheme="minorBidi"/>
              <w:sz w:val="22"/>
              <w:szCs w:val="22"/>
            </w:rPr>
            <w:tab/>
          </w:r>
          <w:r>
            <w:t>Key elements of the AN-ACC assessment and funding model</w:t>
          </w:r>
          <w:r>
            <w:tab/>
          </w:r>
          <w:r>
            <w:fldChar w:fldCharType="begin"/>
          </w:r>
          <w:r>
            <w:instrText xml:space="preserve"> PAGEREF _Toc2066820 \h </w:instrText>
          </w:r>
          <w:r>
            <w:fldChar w:fldCharType="separate"/>
          </w:r>
          <w:r w:rsidR="00EB74DD">
            <w:t>4</w:t>
          </w:r>
          <w:r>
            <w:fldChar w:fldCharType="end"/>
          </w:r>
        </w:p>
        <w:p w:rsidR="007042A3" w:rsidRDefault="007042A3">
          <w:pPr>
            <w:pStyle w:val="TOC1"/>
            <w:rPr>
              <w:rFonts w:eastAsiaTheme="minorEastAsia" w:cstheme="minorBidi"/>
              <w:b w:val="0"/>
            </w:rPr>
          </w:pPr>
          <w:r>
            <w:t>3</w:t>
          </w:r>
          <w:r>
            <w:rPr>
              <w:rFonts w:eastAsiaTheme="minorEastAsia" w:cstheme="minorBidi"/>
              <w:b w:val="0"/>
            </w:rPr>
            <w:tab/>
          </w:r>
          <w:r>
            <w:t>Detailed description of the AN-ACC funding model</w:t>
          </w:r>
          <w:r>
            <w:tab/>
          </w:r>
          <w:r>
            <w:fldChar w:fldCharType="begin"/>
          </w:r>
          <w:r>
            <w:instrText xml:space="preserve"> PAGEREF _Toc2066821 \h </w:instrText>
          </w:r>
          <w:r>
            <w:fldChar w:fldCharType="separate"/>
          </w:r>
          <w:r w:rsidR="00EB74DD">
            <w:t>6</w:t>
          </w:r>
          <w:r>
            <w:fldChar w:fldCharType="end"/>
          </w:r>
        </w:p>
        <w:p w:rsidR="007042A3" w:rsidRDefault="007042A3">
          <w:pPr>
            <w:pStyle w:val="TOC2"/>
            <w:rPr>
              <w:rFonts w:eastAsiaTheme="minorEastAsia" w:cstheme="minorBidi"/>
              <w:sz w:val="22"/>
              <w:szCs w:val="22"/>
            </w:rPr>
          </w:pPr>
          <w:r>
            <w:t>3.1</w:t>
          </w:r>
          <w:r>
            <w:rPr>
              <w:rFonts w:eastAsiaTheme="minorEastAsia" w:cstheme="minorBidi"/>
              <w:sz w:val="22"/>
              <w:szCs w:val="22"/>
            </w:rPr>
            <w:tab/>
          </w:r>
          <w:r>
            <w:t>The base care tariff (fixed care)</w:t>
          </w:r>
          <w:r>
            <w:tab/>
          </w:r>
          <w:r>
            <w:fldChar w:fldCharType="begin"/>
          </w:r>
          <w:r>
            <w:instrText xml:space="preserve"> PAGEREF _Toc2066822 \h </w:instrText>
          </w:r>
          <w:r>
            <w:fldChar w:fldCharType="separate"/>
          </w:r>
          <w:r w:rsidR="00EB74DD">
            <w:t>6</w:t>
          </w:r>
          <w:r>
            <w:fldChar w:fldCharType="end"/>
          </w:r>
        </w:p>
        <w:p w:rsidR="007042A3" w:rsidRDefault="007042A3">
          <w:pPr>
            <w:pStyle w:val="TOC2"/>
            <w:rPr>
              <w:rFonts w:eastAsiaTheme="minorEastAsia" w:cstheme="minorBidi"/>
              <w:sz w:val="22"/>
              <w:szCs w:val="22"/>
            </w:rPr>
          </w:pPr>
          <w:r>
            <w:t>3.2</w:t>
          </w:r>
          <w:r>
            <w:rPr>
              <w:rFonts w:eastAsiaTheme="minorEastAsia" w:cstheme="minorBidi"/>
              <w:sz w:val="22"/>
              <w:szCs w:val="22"/>
            </w:rPr>
            <w:tab/>
          </w:r>
          <w:r>
            <w:t>The individualised care (variable) payment</w:t>
          </w:r>
          <w:r>
            <w:tab/>
          </w:r>
          <w:r>
            <w:fldChar w:fldCharType="begin"/>
          </w:r>
          <w:r>
            <w:instrText xml:space="preserve"> PAGEREF _Toc2066823 \h </w:instrText>
          </w:r>
          <w:r>
            <w:fldChar w:fldCharType="separate"/>
          </w:r>
          <w:r w:rsidR="00EB74DD">
            <w:t>8</w:t>
          </w:r>
          <w:r>
            <w:fldChar w:fldCharType="end"/>
          </w:r>
        </w:p>
        <w:p w:rsidR="007042A3" w:rsidRDefault="007042A3">
          <w:pPr>
            <w:pStyle w:val="TOC2"/>
            <w:rPr>
              <w:rFonts w:eastAsiaTheme="minorEastAsia" w:cstheme="minorBidi"/>
              <w:sz w:val="22"/>
              <w:szCs w:val="22"/>
            </w:rPr>
          </w:pPr>
          <w:r>
            <w:t>3.3</w:t>
          </w:r>
          <w:r>
            <w:rPr>
              <w:rFonts w:eastAsiaTheme="minorEastAsia" w:cstheme="minorBidi"/>
              <w:sz w:val="22"/>
              <w:szCs w:val="22"/>
            </w:rPr>
            <w:tab/>
          </w:r>
          <w:r>
            <w:t>The AN-ACC assessment</w:t>
          </w:r>
          <w:r>
            <w:tab/>
          </w:r>
          <w:r>
            <w:fldChar w:fldCharType="begin"/>
          </w:r>
          <w:r>
            <w:instrText xml:space="preserve"> PAGEREF _Toc2066824 \h </w:instrText>
          </w:r>
          <w:r>
            <w:fldChar w:fldCharType="separate"/>
          </w:r>
          <w:r w:rsidR="00EB74DD">
            <w:t>10</w:t>
          </w:r>
          <w:r>
            <w:fldChar w:fldCharType="end"/>
          </w:r>
        </w:p>
        <w:p w:rsidR="007042A3" w:rsidRDefault="007042A3">
          <w:pPr>
            <w:pStyle w:val="TOC2"/>
            <w:rPr>
              <w:rFonts w:eastAsiaTheme="minorEastAsia" w:cstheme="minorBidi"/>
              <w:sz w:val="22"/>
              <w:szCs w:val="22"/>
            </w:rPr>
          </w:pPr>
          <w:r>
            <w:t>3.4</w:t>
          </w:r>
          <w:r>
            <w:rPr>
              <w:rFonts w:eastAsiaTheme="minorEastAsia" w:cstheme="minorBidi"/>
              <w:sz w:val="22"/>
              <w:szCs w:val="22"/>
            </w:rPr>
            <w:tab/>
          </w:r>
          <w:r>
            <w:t>Adjustment payment on entry into residential aged care</w:t>
          </w:r>
          <w:r>
            <w:tab/>
          </w:r>
          <w:r>
            <w:fldChar w:fldCharType="begin"/>
          </w:r>
          <w:r>
            <w:instrText xml:space="preserve"> PAGEREF _Toc2066825 \h </w:instrText>
          </w:r>
          <w:r>
            <w:fldChar w:fldCharType="separate"/>
          </w:r>
          <w:r w:rsidR="00EB74DD">
            <w:t>12</w:t>
          </w:r>
          <w:r>
            <w:fldChar w:fldCharType="end"/>
          </w:r>
        </w:p>
        <w:p w:rsidR="007042A3" w:rsidRDefault="007042A3">
          <w:pPr>
            <w:pStyle w:val="TOC2"/>
            <w:rPr>
              <w:rFonts w:eastAsiaTheme="minorEastAsia" w:cstheme="minorBidi"/>
              <w:sz w:val="22"/>
              <w:szCs w:val="22"/>
            </w:rPr>
          </w:pPr>
          <w:r>
            <w:t>3.5</w:t>
          </w:r>
          <w:r>
            <w:rPr>
              <w:rFonts w:eastAsiaTheme="minorEastAsia" w:cstheme="minorBidi"/>
              <w:sz w:val="22"/>
              <w:szCs w:val="22"/>
            </w:rPr>
            <w:tab/>
          </w:r>
          <w:r>
            <w:t>The AN-ACC price</w:t>
          </w:r>
          <w:r>
            <w:tab/>
          </w:r>
          <w:r>
            <w:fldChar w:fldCharType="begin"/>
          </w:r>
          <w:r>
            <w:instrText xml:space="preserve"> PAGEREF _Toc2066826 \h </w:instrText>
          </w:r>
          <w:r>
            <w:fldChar w:fldCharType="separate"/>
          </w:r>
          <w:r w:rsidR="00EB74DD">
            <w:t>13</w:t>
          </w:r>
          <w:r>
            <w:fldChar w:fldCharType="end"/>
          </w:r>
        </w:p>
        <w:p w:rsidR="007042A3" w:rsidRDefault="007042A3">
          <w:pPr>
            <w:pStyle w:val="TOC1"/>
            <w:rPr>
              <w:rFonts w:eastAsiaTheme="minorEastAsia" w:cstheme="minorBidi"/>
              <w:b w:val="0"/>
            </w:rPr>
          </w:pPr>
          <w:r>
            <w:t>4</w:t>
          </w:r>
          <w:r>
            <w:rPr>
              <w:rFonts w:eastAsiaTheme="minorEastAsia" w:cstheme="minorBidi"/>
              <w:b w:val="0"/>
            </w:rPr>
            <w:tab/>
          </w:r>
          <w:r>
            <w:t>The AN-ACC funding calculation</w:t>
          </w:r>
          <w:r>
            <w:tab/>
          </w:r>
          <w:r>
            <w:fldChar w:fldCharType="begin"/>
          </w:r>
          <w:r>
            <w:instrText xml:space="preserve"> PAGEREF _Toc2066827 \h </w:instrText>
          </w:r>
          <w:r>
            <w:fldChar w:fldCharType="separate"/>
          </w:r>
          <w:r w:rsidR="00EB74DD">
            <w:t>14</w:t>
          </w:r>
          <w:r>
            <w:fldChar w:fldCharType="end"/>
          </w:r>
        </w:p>
        <w:p w:rsidR="007042A3" w:rsidRDefault="007042A3">
          <w:pPr>
            <w:pStyle w:val="TOC1"/>
            <w:rPr>
              <w:rFonts w:eastAsiaTheme="minorEastAsia" w:cstheme="minorBidi"/>
              <w:b w:val="0"/>
            </w:rPr>
          </w:pPr>
          <w:r>
            <w:t>5</w:t>
          </w:r>
          <w:r>
            <w:rPr>
              <w:rFonts w:eastAsiaTheme="minorEastAsia" w:cstheme="minorBidi"/>
              <w:b w:val="0"/>
            </w:rPr>
            <w:tab/>
          </w:r>
          <w:r>
            <w:t>Commonwealth payments and supplements under the new AN-ACC funding model</w:t>
          </w:r>
          <w:r>
            <w:tab/>
          </w:r>
          <w:r>
            <w:fldChar w:fldCharType="begin"/>
          </w:r>
          <w:r>
            <w:instrText xml:space="preserve"> PAGEREF _Toc2066828 \h </w:instrText>
          </w:r>
          <w:r>
            <w:fldChar w:fldCharType="separate"/>
          </w:r>
          <w:r w:rsidR="00EB74DD">
            <w:t>16</w:t>
          </w:r>
          <w:r>
            <w:fldChar w:fldCharType="end"/>
          </w:r>
        </w:p>
        <w:p w:rsidR="007042A3" w:rsidRDefault="007042A3">
          <w:pPr>
            <w:pStyle w:val="TOC2"/>
            <w:rPr>
              <w:rFonts w:eastAsiaTheme="minorEastAsia" w:cstheme="minorBidi"/>
              <w:sz w:val="22"/>
              <w:szCs w:val="22"/>
            </w:rPr>
          </w:pPr>
          <w:r>
            <w:t>5.1</w:t>
          </w:r>
          <w:r>
            <w:rPr>
              <w:rFonts w:eastAsiaTheme="minorEastAsia" w:cstheme="minorBidi"/>
              <w:sz w:val="22"/>
              <w:szCs w:val="22"/>
            </w:rPr>
            <w:tab/>
          </w:r>
          <w:r>
            <w:t>Payments related to facility characteristics</w:t>
          </w:r>
          <w:r>
            <w:tab/>
          </w:r>
          <w:r>
            <w:fldChar w:fldCharType="begin"/>
          </w:r>
          <w:r>
            <w:instrText xml:space="preserve"> PAGEREF _Toc2066829 \h </w:instrText>
          </w:r>
          <w:r>
            <w:fldChar w:fldCharType="separate"/>
          </w:r>
          <w:r w:rsidR="00EB74DD">
            <w:t>16</w:t>
          </w:r>
          <w:r>
            <w:fldChar w:fldCharType="end"/>
          </w:r>
        </w:p>
        <w:p w:rsidR="007042A3" w:rsidRDefault="007042A3">
          <w:pPr>
            <w:pStyle w:val="TOC2"/>
            <w:rPr>
              <w:rFonts w:eastAsiaTheme="minorEastAsia" w:cstheme="minorBidi"/>
              <w:sz w:val="22"/>
              <w:szCs w:val="22"/>
            </w:rPr>
          </w:pPr>
          <w:r>
            <w:t>5.2</w:t>
          </w:r>
          <w:r>
            <w:rPr>
              <w:rFonts w:eastAsiaTheme="minorEastAsia" w:cstheme="minorBidi"/>
              <w:sz w:val="22"/>
              <w:szCs w:val="22"/>
            </w:rPr>
            <w:tab/>
          </w:r>
          <w:r>
            <w:t>Payments related to resident characteristics</w:t>
          </w:r>
          <w:r>
            <w:tab/>
          </w:r>
          <w:r>
            <w:fldChar w:fldCharType="begin"/>
          </w:r>
          <w:r>
            <w:instrText xml:space="preserve"> PAGEREF _Toc2066830 \h </w:instrText>
          </w:r>
          <w:r>
            <w:fldChar w:fldCharType="separate"/>
          </w:r>
          <w:r w:rsidR="00EB74DD">
            <w:t>17</w:t>
          </w:r>
          <w:r>
            <w:fldChar w:fldCharType="end"/>
          </w:r>
        </w:p>
        <w:p w:rsidR="007042A3" w:rsidRDefault="007042A3">
          <w:pPr>
            <w:pStyle w:val="TOC1"/>
            <w:rPr>
              <w:rFonts w:eastAsiaTheme="minorEastAsia" w:cstheme="minorBidi"/>
              <w:b w:val="0"/>
            </w:rPr>
          </w:pPr>
          <w:r>
            <w:t>6</w:t>
          </w:r>
          <w:r>
            <w:rPr>
              <w:rFonts w:eastAsiaTheme="minorEastAsia" w:cstheme="minorBidi"/>
              <w:b w:val="0"/>
            </w:rPr>
            <w:tab/>
          </w:r>
          <w:r>
            <w:t>AN-ACC Implementation</w:t>
          </w:r>
          <w:r>
            <w:tab/>
          </w:r>
          <w:r>
            <w:fldChar w:fldCharType="begin"/>
          </w:r>
          <w:r>
            <w:instrText xml:space="preserve"> PAGEREF _Toc2066831 \h </w:instrText>
          </w:r>
          <w:r>
            <w:fldChar w:fldCharType="separate"/>
          </w:r>
          <w:r w:rsidR="00EB74DD">
            <w:t>19</w:t>
          </w:r>
          <w:r>
            <w:fldChar w:fldCharType="end"/>
          </w:r>
        </w:p>
        <w:p w:rsidR="007042A3" w:rsidRDefault="007042A3">
          <w:pPr>
            <w:pStyle w:val="TOC2"/>
            <w:rPr>
              <w:rFonts w:eastAsiaTheme="minorEastAsia" w:cstheme="minorBidi"/>
              <w:sz w:val="22"/>
              <w:szCs w:val="22"/>
            </w:rPr>
          </w:pPr>
          <w:r>
            <w:t>6.1</w:t>
          </w:r>
          <w:r>
            <w:rPr>
              <w:rFonts w:eastAsiaTheme="minorEastAsia" w:cstheme="minorBidi"/>
              <w:sz w:val="22"/>
              <w:szCs w:val="22"/>
            </w:rPr>
            <w:tab/>
          </w:r>
          <w:r>
            <w:t>Implications for the sector</w:t>
          </w:r>
          <w:r>
            <w:tab/>
          </w:r>
          <w:r>
            <w:fldChar w:fldCharType="begin"/>
          </w:r>
          <w:r>
            <w:instrText xml:space="preserve"> PAGEREF _Toc2066832 \h </w:instrText>
          </w:r>
          <w:r>
            <w:fldChar w:fldCharType="separate"/>
          </w:r>
          <w:r w:rsidR="00EB74DD">
            <w:t>19</w:t>
          </w:r>
          <w:r>
            <w:fldChar w:fldCharType="end"/>
          </w:r>
        </w:p>
        <w:p w:rsidR="007042A3" w:rsidRDefault="007042A3">
          <w:pPr>
            <w:pStyle w:val="TOC2"/>
            <w:rPr>
              <w:rFonts w:eastAsiaTheme="minorEastAsia" w:cstheme="minorBidi"/>
              <w:sz w:val="22"/>
              <w:szCs w:val="22"/>
            </w:rPr>
          </w:pPr>
          <w:r>
            <w:t>6.2</w:t>
          </w:r>
          <w:r>
            <w:rPr>
              <w:rFonts w:eastAsiaTheme="minorEastAsia" w:cstheme="minorBidi"/>
              <w:sz w:val="22"/>
              <w:szCs w:val="22"/>
            </w:rPr>
            <w:tab/>
          </w:r>
          <w:r>
            <w:t>Implications for government</w:t>
          </w:r>
          <w:r>
            <w:tab/>
          </w:r>
          <w:r>
            <w:fldChar w:fldCharType="begin"/>
          </w:r>
          <w:r>
            <w:instrText xml:space="preserve"> PAGEREF _Toc2066833 \h </w:instrText>
          </w:r>
          <w:r>
            <w:fldChar w:fldCharType="separate"/>
          </w:r>
          <w:r w:rsidR="00EB74DD">
            <w:t>20</w:t>
          </w:r>
          <w:r>
            <w:fldChar w:fldCharType="end"/>
          </w:r>
        </w:p>
        <w:p w:rsidR="007042A3" w:rsidRDefault="007042A3">
          <w:pPr>
            <w:pStyle w:val="TOC1"/>
            <w:rPr>
              <w:rFonts w:eastAsiaTheme="minorEastAsia" w:cstheme="minorBidi"/>
              <w:b w:val="0"/>
            </w:rPr>
          </w:pPr>
          <w:r>
            <w:t>7</w:t>
          </w:r>
          <w:r>
            <w:rPr>
              <w:rFonts w:eastAsiaTheme="minorEastAsia" w:cstheme="minorBidi"/>
              <w:b w:val="0"/>
            </w:rPr>
            <w:tab/>
          </w:r>
          <w:r>
            <w:t>Conclusion</w:t>
          </w:r>
          <w:r>
            <w:tab/>
          </w:r>
          <w:r>
            <w:fldChar w:fldCharType="begin"/>
          </w:r>
          <w:r>
            <w:instrText xml:space="preserve"> PAGEREF _Toc2066834 \h </w:instrText>
          </w:r>
          <w:r>
            <w:fldChar w:fldCharType="separate"/>
          </w:r>
          <w:r w:rsidR="00EB74DD">
            <w:t>23</w:t>
          </w:r>
          <w:r>
            <w:fldChar w:fldCharType="end"/>
          </w:r>
        </w:p>
        <w:p w:rsidR="007042A3" w:rsidRDefault="007042A3">
          <w:pPr>
            <w:pStyle w:val="TOC1"/>
            <w:rPr>
              <w:rFonts w:eastAsiaTheme="minorEastAsia" w:cstheme="minorBidi"/>
              <w:b w:val="0"/>
            </w:rPr>
          </w:pPr>
          <w:r>
            <w:t>Appendix 1</w:t>
          </w:r>
          <w:r>
            <w:tab/>
          </w:r>
          <w:r>
            <w:fldChar w:fldCharType="begin"/>
          </w:r>
          <w:r>
            <w:instrText xml:space="preserve"> PAGEREF _Toc2066835 \h </w:instrText>
          </w:r>
          <w:r>
            <w:fldChar w:fldCharType="separate"/>
          </w:r>
          <w:r w:rsidR="00EB74DD">
            <w:t>24</w:t>
          </w:r>
          <w:r>
            <w:fldChar w:fldCharType="end"/>
          </w:r>
        </w:p>
        <w:p w:rsidR="007042A3" w:rsidRDefault="007042A3">
          <w:pPr>
            <w:pStyle w:val="TOC2"/>
            <w:rPr>
              <w:rFonts w:eastAsiaTheme="minorEastAsia" w:cstheme="minorBidi"/>
              <w:sz w:val="22"/>
              <w:szCs w:val="22"/>
            </w:rPr>
          </w:pPr>
          <w:r>
            <w:t>Overview of the Resource Utilisation and Classification Study (RUCS)</w:t>
          </w:r>
          <w:r>
            <w:tab/>
          </w:r>
          <w:r>
            <w:fldChar w:fldCharType="begin"/>
          </w:r>
          <w:r>
            <w:instrText xml:space="preserve"> PAGEREF _Toc2066836 \h </w:instrText>
          </w:r>
          <w:r>
            <w:fldChar w:fldCharType="separate"/>
          </w:r>
          <w:r w:rsidR="00EB74DD">
            <w:t>24</w:t>
          </w:r>
          <w:r>
            <w:fldChar w:fldCharType="end"/>
          </w:r>
        </w:p>
        <w:p w:rsidR="007042A3" w:rsidRDefault="007042A3">
          <w:pPr>
            <w:pStyle w:val="TOC2"/>
            <w:rPr>
              <w:rFonts w:eastAsiaTheme="minorEastAsia" w:cstheme="minorBidi"/>
              <w:sz w:val="22"/>
              <w:szCs w:val="22"/>
            </w:rPr>
          </w:pPr>
          <w:r>
            <w:t>The RUCS reports</w:t>
          </w:r>
          <w:r>
            <w:tab/>
          </w:r>
          <w:r>
            <w:fldChar w:fldCharType="begin"/>
          </w:r>
          <w:r>
            <w:instrText xml:space="preserve"> PAGEREF _Toc2066837 \h </w:instrText>
          </w:r>
          <w:r>
            <w:fldChar w:fldCharType="separate"/>
          </w:r>
          <w:r w:rsidR="00EB74DD">
            <w:t>25</w:t>
          </w:r>
          <w:r>
            <w:fldChar w:fldCharType="end"/>
          </w:r>
        </w:p>
        <w:p w:rsidR="007042A3" w:rsidRDefault="007042A3">
          <w:pPr>
            <w:pStyle w:val="TOC1"/>
            <w:rPr>
              <w:rFonts w:eastAsiaTheme="minorEastAsia" w:cstheme="minorBidi"/>
              <w:b w:val="0"/>
            </w:rPr>
          </w:pPr>
          <w:r>
            <w:t>Appendix 2</w:t>
          </w:r>
          <w:r>
            <w:tab/>
          </w:r>
          <w:r>
            <w:fldChar w:fldCharType="begin"/>
          </w:r>
          <w:r>
            <w:instrText xml:space="preserve"> PAGEREF _Toc2066838 \h </w:instrText>
          </w:r>
          <w:r>
            <w:fldChar w:fldCharType="separate"/>
          </w:r>
          <w:r w:rsidR="00EB74DD">
            <w:t>27</w:t>
          </w:r>
          <w:r>
            <w:fldChar w:fldCharType="end"/>
          </w:r>
        </w:p>
        <w:p w:rsidR="007042A3" w:rsidRDefault="007042A3">
          <w:pPr>
            <w:pStyle w:val="TOC2"/>
            <w:rPr>
              <w:rFonts w:eastAsiaTheme="minorEastAsia" w:cstheme="minorBidi"/>
              <w:sz w:val="22"/>
              <w:szCs w:val="22"/>
            </w:rPr>
          </w:pPr>
          <w:r>
            <w:t>The consolidated set of AN-ACC Version 1.0 NWAUs</w:t>
          </w:r>
          <w:r>
            <w:tab/>
          </w:r>
          <w:r>
            <w:fldChar w:fldCharType="begin"/>
          </w:r>
          <w:r>
            <w:instrText xml:space="preserve"> PAGEREF _Toc2066839 \h </w:instrText>
          </w:r>
          <w:r>
            <w:fldChar w:fldCharType="separate"/>
          </w:r>
          <w:r w:rsidR="00EB74DD">
            <w:t>27</w:t>
          </w:r>
          <w:r>
            <w:fldChar w:fldCharType="end"/>
          </w:r>
        </w:p>
        <w:p w:rsidR="00003E81" w:rsidRDefault="00003E81" w:rsidP="00003E81">
          <w:r w:rsidRPr="007734A2">
            <w:rPr>
              <w:sz w:val="20"/>
              <w:szCs w:val="20"/>
            </w:rPr>
            <w:fldChar w:fldCharType="end"/>
          </w:r>
        </w:p>
      </w:sdtContent>
    </w:sdt>
    <w:p w:rsidR="008037DE" w:rsidRDefault="008037DE">
      <w:pPr>
        <w:spacing w:after="200" w:line="276" w:lineRule="auto"/>
      </w:pPr>
      <w:r>
        <w:br w:type="page"/>
      </w:r>
    </w:p>
    <w:p w:rsidR="007042A3" w:rsidRDefault="00003E81" w:rsidP="00003E81">
      <w:pPr>
        <w:pStyle w:val="Caption"/>
        <w:rPr>
          <w:noProof/>
        </w:rPr>
      </w:pPr>
      <w:r w:rsidRPr="00EB3C7F">
        <w:rPr>
          <w:sz w:val="36"/>
          <w:szCs w:val="36"/>
        </w:rPr>
        <w:lastRenderedPageBreak/>
        <w:t>List of tables</w:t>
      </w:r>
      <w:r>
        <w:rPr>
          <w:sz w:val="36"/>
          <w:szCs w:val="36"/>
        </w:rPr>
        <w:fldChar w:fldCharType="begin"/>
      </w:r>
      <w:r>
        <w:rPr>
          <w:sz w:val="36"/>
          <w:szCs w:val="36"/>
        </w:rPr>
        <w:instrText xml:space="preserve"> TOC \h \z \c "Table" </w:instrText>
      </w:r>
      <w:r>
        <w:rPr>
          <w:sz w:val="36"/>
          <w:szCs w:val="36"/>
        </w:rPr>
        <w:fldChar w:fldCharType="separate"/>
      </w:r>
    </w:p>
    <w:p w:rsidR="007042A3" w:rsidRDefault="00623CBA">
      <w:pPr>
        <w:pStyle w:val="TableofFigures"/>
        <w:tabs>
          <w:tab w:val="left" w:pos="1200"/>
          <w:tab w:val="right" w:leader="dot" w:pos="9344"/>
        </w:tabs>
        <w:rPr>
          <w:rFonts w:eastAsiaTheme="minorEastAsia" w:cstheme="minorBidi"/>
          <w:noProof/>
          <w:sz w:val="22"/>
          <w:szCs w:val="22"/>
        </w:rPr>
      </w:pPr>
      <w:hyperlink w:anchor="_Toc2066840" w:history="1">
        <w:r w:rsidR="007042A3" w:rsidRPr="0025223E">
          <w:rPr>
            <w:rStyle w:val="Hyperlink"/>
            <w:rFonts w:eastAsiaTheme="majorEastAsia"/>
            <w:noProof/>
          </w:rPr>
          <w:t xml:space="preserve">Table 1 </w:t>
        </w:r>
        <w:r w:rsidR="007042A3">
          <w:rPr>
            <w:rFonts w:eastAsiaTheme="minorEastAsia" w:cstheme="minorBidi"/>
            <w:noProof/>
            <w:sz w:val="22"/>
            <w:szCs w:val="22"/>
          </w:rPr>
          <w:tab/>
        </w:r>
        <w:r w:rsidR="007042A3" w:rsidRPr="0025223E">
          <w:rPr>
            <w:rStyle w:val="Hyperlink"/>
            <w:rFonts w:eastAsiaTheme="majorEastAsia"/>
            <w:noProof/>
          </w:rPr>
          <w:t>Base care tariffs and NWAUs</w:t>
        </w:r>
        <w:r w:rsidR="007042A3">
          <w:rPr>
            <w:noProof/>
            <w:webHidden/>
          </w:rPr>
          <w:tab/>
        </w:r>
        <w:r w:rsidR="007042A3">
          <w:rPr>
            <w:noProof/>
            <w:webHidden/>
          </w:rPr>
          <w:fldChar w:fldCharType="begin"/>
        </w:r>
        <w:r w:rsidR="007042A3">
          <w:rPr>
            <w:noProof/>
            <w:webHidden/>
          </w:rPr>
          <w:instrText xml:space="preserve"> PAGEREF _Toc2066840 \h </w:instrText>
        </w:r>
        <w:r w:rsidR="007042A3">
          <w:rPr>
            <w:noProof/>
            <w:webHidden/>
          </w:rPr>
        </w:r>
        <w:r w:rsidR="007042A3">
          <w:rPr>
            <w:noProof/>
            <w:webHidden/>
          </w:rPr>
          <w:fldChar w:fldCharType="separate"/>
        </w:r>
        <w:r w:rsidR="00FB6D73">
          <w:rPr>
            <w:noProof/>
            <w:webHidden/>
          </w:rPr>
          <w:t>7</w:t>
        </w:r>
        <w:r w:rsidR="007042A3">
          <w:rPr>
            <w:noProof/>
            <w:webHidden/>
          </w:rPr>
          <w:fldChar w:fldCharType="end"/>
        </w:r>
      </w:hyperlink>
    </w:p>
    <w:p w:rsidR="007042A3" w:rsidRDefault="00623CBA">
      <w:pPr>
        <w:pStyle w:val="TableofFigures"/>
        <w:tabs>
          <w:tab w:val="left" w:pos="1200"/>
          <w:tab w:val="right" w:leader="dot" w:pos="9344"/>
        </w:tabs>
        <w:rPr>
          <w:rFonts w:eastAsiaTheme="minorEastAsia" w:cstheme="minorBidi"/>
          <w:noProof/>
          <w:sz w:val="22"/>
          <w:szCs w:val="22"/>
        </w:rPr>
      </w:pPr>
      <w:hyperlink w:anchor="_Toc2066841" w:history="1">
        <w:r w:rsidR="007042A3" w:rsidRPr="0025223E">
          <w:rPr>
            <w:rStyle w:val="Hyperlink"/>
            <w:rFonts w:eastAsiaTheme="majorEastAsia"/>
            <w:noProof/>
          </w:rPr>
          <w:t xml:space="preserve">Table 2 </w:t>
        </w:r>
        <w:r w:rsidR="007042A3">
          <w:rPr>
            <w:rFonts w:eastAsiaTheme="minorEastAsia" w:cstheme="minorBidi"/>
            <w:noProof/>
            <w:sz w:val="22"/>
            <w:szCs w:val="22"/>
          </w:rPr>
          <w:tab/>
        </w:r>
        <w:r w:rsidR="007042A3" w:rsidRPr="0025223E">
          <w:rPr>
            <w:rStyle w:val="Hyperlink"/>
            <w:rFonts w:eastAsiaTheme="majorEastAsia"/>
            <w:noProof/>
          </w:rPr>
          <w:t>AN-ACC Version 1.0 NWAUs</w:t>
        </w:r>
        <w:r w:rsidR="007042A3">
          <w:rPr>
            <w:noProof/>
            <w:webHidden/>
          </w:rPr>
          <w:tab/>
        </w:r>
        <w:r w:rsidR="007042A3">
          <w:rPr>
            <w:noProof/>
            <w:webHidden/>
          </w:rPr>
          <w:fldChar w:fldCharType="begin"/>
        </w:r>
        <w:r w:rsidR="007042A3">
          <w:rPr>
            <w:noProof/>
            <w:webHidden/>
          </w:rPr>
          <w:instrText xml:space="preserve"> PAGEREF _Toc2066841 \h </w:instrText>
        </w:r>
        <w:r w:rsidR="007042A3">
          <w:rPr>
            <w:noProof/>
            <w:webHidden/>
          </w:rPr>
        </w:r>
        <w:r w:rsidR="007042A3">
          <w:rPr>
            <w:noProof/>
            <w:webHidden/>
          </w:rPr>
          <w:fldChar w:fldCharType="separate"/>
        </w:r>
        <w:r w:rsidR="00FB6D73">
          <w:rPr>
            <w:noProof/>
            <w:webHidden/>
          </w:rPr>
          <w:t>10</w:t>
        </w:r>
        <w:r w:rsidR="007042A3">
          <w:rPr>
            <w:noProof/>
            <w:webHidden/>
          </w:rPr>
          <w:fldChar w:fldCharType="end"/>
        </w:r>
      </w:hyperlink>
    </w:p>
    <w:p w:rsidR="00003E81" w:rsidRPr="00EB3C7F" w:rsidRDefault="00003E81" w:rsidP="00EB3C7F">
      <w:pPr>
        <w:pStyle w:val="Caption"/>
        <w:spacing w:before="480"/>
        <w:rPr>
          <w:sz w:val="36"/>
          <w:szCs w:val="36"/>
        </w:rPr>
      </w:pPr>
      <w:r>
        <w:rPr>
          <w:sz w:val="36"/>
          <w:szCs w:val="36"/>
        </w:rPr>
        <w:fldChar w:fldCharType="end"/>
      </w:r>
      <w:r w:rsidRPr="00EB3C7F">
        <w:rPr>
          <w:sz w:val="36"/>
          <w:szCs w:val="36"/>
        </w:rPr>
        <w:t>List of figures</w:t>
      </w:r>
    </w:p>
    <w:p w:rsidR="007042A3" w:rsidRDefault="00003E81">
      <w:pPr>
        <w:pStyle w:val="TableofFigures"/>
        <w:tabs>
          <w:tab w:val="left" w:pos="1200"/>
          <w:tab w:val="right" w:leader="dot" w:pos="9344"/>
        </w:tabs>
        <w:rPr>
          <w:rFonts w:eastAsiaTheme="minorEastAsia" w:cstheme="minorBidi"/>
          <w:noProof/>
          <w:sz w:val="22"/>
          <w:szCs w:val="22"/>
        </w:rPr>
      </w:pPr>
      <w:r>
        <w:rPr>
          <w:rStyle w:val="Hyperlink"/>
          <w:rFonts w:eastAsiaTheme="majorEastAsia"/>
          <w:noProof/>
        </w:rPr>
        <w:fldChar w:fldCharType="begin"/>
      </w:r>
      <w:r w:rsidRPr="00F73247">
        <w:rPr>
          <w:rStyle w:val="Hyperlink"/>
          <w:rFonts w:eastAsiaTheme="majorEastAsia"/>
          <w:noProof/>
        </w:rPr>
        <w:instrText xml:space="preserve"> TOC \h \z \c "Figure" </w:instrText>
      </w:r>
      <w:r>
        <w:rPr>
          <w:rStyle w:val="Hyperlink"/>
          <w:rFonts w:eastAsiaTheme="majorEastAsia"/>
          <w:noProof/>
        </w:rPr>
        <w:fldChar w:fldCharType="separate"/>
      </w:r>
      <w:hyperlink w:anchor="_Toc2066842" w:history="1">
        <w:r w:rsidR="007042A3" w:rsidRPr="004405C3">
          <w:rPr>
            <w:rStyle w:val="Hyperlink"/>
            <w:rFonts w:eastAsiaTheme="majorEastAsia"/>
            <w:noProof/>
          </w:rPr>
          <w:t>Figure 1</w:t>
        </w:r>
        <w:r w:rsidR="007042A3">
          <w:rPr>
            <w:rFonts w:eastAsiaTheme="minorEastAsia" w:cstheme="minorBidi"/>
            <w:noProof/>
            <w:sz w:val="22"/>
            <w:szCs w:val="22"/>
          </w:rPr>
          <w:tab/>
        </w:r>
        <w:r w:rsidR="007042A3" w:rsidRPr="004405C3">
          <w:rPr>
            <w:rStyle w:val="Hyperlink"/>
            <w:rFonts w:eastAsiaTheme="majorEastAsia"/>
            <w:noProof/>
          </w:rPr>
          <w:t>The Australian National Aged Care Classification (AN-ACC) Version 1.0</w:t>
        </w:r>
        <w:r w:rsidR="007042A3">
          <w:rPr>
            <w:noProof/>
            <w:webHidden/>
          </w:rPr>
          <w:tab/>
        </w:r>
        <w:r w:rsidR="007042A3">
          <w:rPr>
            <w:noProof/>
            <w:webHidden/>
          </w:rPr>
          <w:fldChar w:fldCharType="begin"/>
        </w:r>
        <w:r w:rsidR="007042A3">
          <w:rPr>
            <w:noProof/>
            <w:webHidden/>
          </w:rPr>
          <w:instrText xml:space="preserve"> PAGEREF _Toc2066842 \h </w:instrText>
        </w:r>
        <w:r w:rsidR="007042A3">
          <w:rPr>
            <w:noProof/>
            <w:webHidden/>
          </w:rPr>
        </w:r>
        <w:r w:rsidR="007042A3">
          <w:rPr>
            <w:noProof/>
            <w:webHidden/>
          </w:rPr>
          <w:fldChar w:fldCharType="separate"/>
        </w:r>
        <w:r w:rsidR="00FB6D73">
          <w:rPr>
            <w:noProof/>
            <w:webHidden/>
          </w:rPr>
          <w:t>9</w:t>
        </w:r>
        <w:r w:rsidR="007042A3">
          <w:rPr>
            <w:noProof/>
            <w:webHidden/>
          </w:rPr>
          <w:fldChar w:fldCharType="end"/>
        </w:r>
      </w:hyperlink>
    </w:p>
    <w:p w:rsidR="007042A3" w:rsidRDefault="00623CBA">
      <w:pPr>
        <w:pStyle w:val="TableofFigures"/>
        <w:tabs>
          <w:tab w:val="left" w:pos="1200"/>
          <w:tab w:val="right" w:leader="dot" w:pos="9344"/>
        </w:tabs>
        <w:rPr>
          <w:rFonts w:eastAsiaTheme="minorEastAsia" w:cstheme="minorBidi"/>
          <w:noProof/>
          <w:sz w:val="22"/>
          <w:szCs w:val="22"/>
        </w:rPr>
      </w:pPr>
      <w:hyperlink w:anchor="_Toc2066843" w:history="1">
        <w:r w:rsidR="007042A3" w:rsidRPr="004405C3">
          <w:rPr>
            <w:rStyle w:val="Hyperlink"/>
            <w:rFonts w:eastAsiaTheme="majorEastAsia"/>
            <w:noProof/>
          </w:rPr>
          <w:t>Figure 2</w:t>
        </w:r>
        <w:r w:rsidR="007042A3">
          <w:rPr>
            <w:rFonts w:eastAsiaTheme="minorEastAsia" w:cstheme="minorBidi"/>
            <w:noProof/>
            <w:sz w:val="22"/>
            <w:szCs w:val="22"/>
          </w:rPr>
          <w:tab/>
        </w:r>
        <w:r w:rsidR="007042A3" w:rsidRPr="004405C3">
          <w:rPr>
            <w:rStyle w:val="Hyperlink"/>
            <w:rFonts w:eastAsiaTheme="majorEastAsia"/>
            <w:noProof/>
          </w:rPr>
          <w:t>Calculation of AN-ACC total funding based on NWAU and price</w:t>
        </w:r>
        <w:r w:rsidR="007042A3">
          <w:rPr>
            <w:noProof/>
            <w:webHidden/>
          </w:rPr>
          <w:tab/>
        </w:r>
        <w:r w:rsidR="007042A3">
          <w:rPr>
            <w:noProof/>
            <w:webHidden/>
          </w:rPr>
          <w:fldChar w:fldCharType="begin"/>
        </w:r>
        <w:r w:rsidR="007042A3">
          <w:rPr>
            <w:noProof/>
            <w:webHidden/>
          </w:rPr>
          <w:instrText xml:space="preserve"> PAGEREF _Toc2066843 \h </w:instrText>
        </w:r>
        <w:r w:rsidR="007042A3">
          <w:rPr>
            <w:noProof/>
            <w:webHidden/>
          </w:rPr>
        </w:r>
        <w:r w:rsidR="007042A3">
          <w:rPr>
            <w:noProof/>
            <w:webHidden/>
          </w:rPr>
          <w:fldChar w:fldCharType="separate"/>
        </w:r>
        <w:r w:rsidR="00FB6D73">
          <w:rPr>
            <w:noProof/>
            <w:webHidden/>
          </w:rPr>
          <w:t>14</w:t>
        </w:r>
        <w:r w:rsidR="007042A3">
          <w:rPr>
            <w:noProof/>
            <w:webHidden/>
          </w:rPr>
          <w:fldChar w:fldCharType="end"/>
        </w:r>
      </w:hyperlink>
    </w:p>
    <w:p w:rsidR="009927C8" w:rsidRDefault="00003E81" w:rsidP="00003E81">
      <w:r>
        <w:fldChar w:fldCharType="end"/>
      </w:r>
      <w:bookmarkStart w:id="7" w:name="_Ref467164317"/>
    </w:p>
    <w:p w:rsidR="009927C8" w:rsidRDefault="009927C8" w:rsidP="00003E81">
      <w:pPr>
        <w:sectPr w:rsidR="009927C8" w:rsidSect="00FC7E73">
          <w:headerReference w:type="default" r:id="rId12"/>
          <w:footerReference w:type="default" r:id="rId13"/>
          <w:pgSz w:w="11906" w:h="16838"/>
          <w:pgMar w:top="1134" w:right="1134" w:bottom="1021" w:left="1418" w:header="708" w:footer="708" w:gutter="0"/>
          <w:pgNumType w:fmt="lowerRoman" w:start="1"/>
          <w:cols w:space="708"/>
          <w:docGrid w:linePitch="360"/>
        </w:sectPr>
      </w:pPr>
    </w:p>
    <w:p w:rsidR="00003E81" w:rsidRDefault="00003E81" w:rsidP="00003E81">
      <w:pPr>
        <w:pStyle w:val="Heading1"/>
        <w:numPr>
          <w:ilvl w:val="0"/>
          <w:numId w:val="0"/>
        </w:numPr>
      </w:pPr>
      <w:bookmarkStart w:id="8" w:name="_Toc473044038"/>
      <w:bookmarkStart w:id="9" w:name="_Toc473102110"/>
      <w:bookmarkStart w:id="10" w:name="_Toc473621430"/>
      <w:bookmarkStart w:id="11" w:name="_Toc473621507"/>
      <w:bookmarkStart w:id="12" w:name="_Toc473645586"/>
      <w:bookmarkStart w:id="13" w:name="_Toc473645974"/>
      <w:bookmarkStart w:id="14" w:name="_Toc473646166"/>
      <w:bookmarkStart w:id="15" w:name="_Toc473646548"/>
      <w:bookmarkStart w:id="16" w:name="_Toc473708202"/>
      <w:bookmarkStart w:id="17" w:name="_Toc473708249"/>
      <w:bookmarkStart w:id="18" w:name="_Toc473726070"/>
      <w:bookmarkStart w:id="19" w:name="_Toc473726182"/>
      <w:bookmarkStart w:id="20" w:name="_Toc473726287"/>
      <w:bookmarkStart w:id="21" w:name="_Toc515031462"/>
      <w:bookmarkStart w:id="22" w:name="_Toc515031512"/>
      <w:bookmarkStart w:id="23" w:name="_Toc528932676"/>
      <w:bookmarkStart w:id="24" w:name="_Toc206681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A0B87">
        <w:lastRenderedPageBreak/>
        <w:t>Acknowledgements</w:t>
      </w:r>
      <w:bookmarkEnd w:id="23"/>
      <w:bookmarkEnd w:id="24"/>
    </w:p>
    <w:p w:rsidR="00003E81" w:rsidRDefault="00003E81" w:rsidP="00FC702F">
      <w:pPr>
        <w:spacing w:after="120"/>
      </w:pPr>
      <w:r>
        <w:t>We would like to acknowledge the many stakeholders who contributed to this study. First, we extend our deep thanks to the residents who allowed us to conduct this study. We would also like to thank the 1,600 staff members who so willingly participated in this study - your efforts to make this study a s</w:t>
      </w:r>
      <w:r w:rsidR="00EB3C7F">
        <w:t>uccess are greatly appreciated.</w:t>
      </w:r>
    </w:p>
    <w:p w:rsidR="00003E81" w:rsidRPr="00574C88" w:rsidRDefault="00003E81" w:rsidP="00003E81">
      <w:r>
        <w:t xml:space="preserve">We also acknowledge the members of the clinical advisory panels whose expert advice was critical to the study. Finally, our </w:t>
      </w:r>
      <w:r w:rsidRPr="00F25EE9">
        <w:t xml:space="preserve">thanks go to Melissa </w:t>
      </w:r>
      <w:r>
        <w:t xml:space="preserve">Crampton, </w:t>
      </w:r>
      <w:r w:rsidRPr="00F25EE9">
        <w:t xml:space="preserve">Rob Montefiore-Gardner and the team in the </w:t>
      </w:r>
      <w:r>
        <w:t xml:space="preserve">Funding Reform Section within the Residential and Flexible Aged Care Division of the </w:t>
      </w:r>
      <w:r w:rsidR="00472BCC">
        <w:t xml:space="preserve">Commonwealth </w:t>
      </w:r>
      <w:r>
        <w:t>Department of Health for their ongoi</w:t>
      </w:r>
      <w:r w:rsidR="00EB3C7F">
        <w:t>ng support during this study.</w:t>
      </w:r>
    </w:p>
    <w:p w:rsidR="00003E81" w:rsidRDefault="00003E81" w:rsidP="00003E81">
      <w:pPr>
        <w:rPr>
          <w:rFonts w:ascii="Calibri" w:eastAsiaTheme="majorEastAsia" w:hAnsi="Calibri" w:cstheme="majorBidi"/>
          <w:b/>
          <w:bCs/>
          <w:sz w:val="28"/>
          <w:szCs w:val="28"/>
        </w:rPr>
      </w:pPr>
      <w:bookmarkStart w:id="25" w:name="_Toc528848520"/>
      <w:r>
        <w:br w:type="page"/>
      </w:r>
    </w:p>
    <w:p w:rsidR="00003E81" w:rsidRDefault="00003E81" w:rsidP="00003E81">
      <w:pPr>
        <w:pStyle w:val="Heading1"/>
        <w:numPr>
          <w:ilvl w:val="0"/>
          <w:numId w:val="0"/>
        </w:numPr>
      </w:pPr>
      <w:bookmarkStart w:id="26" w:name="_Toc2066815"/>
      <w:r w:rsidRPr="00E71949">
        <w:lastRenderedPageBreak/>
        <w:t>A</w:t>
      </w:r>
      <w:r>
        <w:t>bbreviations</w:t>
      </w:r>
      <w:bookmarkEnd w:id="25"/>
      <w:bookmarkEnd w:id="26"/>
    </w:p>
    <w:tbl>
      <w:tblPr>
        <w:tblW w:w="9464" w:type="dxa"/>
        <w:tblLook w:val="04A0" w:firstRow="1" w:lastRow="0" w:firstColumn="1" w:lastColumn="0" w:noHBand="0" w:noVBand="1"/>
        <w:tblCaption w:val="Abbreviations"/>
        <w:tblDescription w:val="This table is a list of abbreviations used throughout the Resource Utilisation Classification Study (RUCS) report. This table is to be read left to right (abbreviation followed by full term)."/>
      </w:tblPr>
      <w:tblGrid>
        <w:gridCol w:w="2943"/>
        <w:gridCol w:w="6521"/>
      </w:tblGrid>
      <w:tr w:rsidR="00003E81" w:rsidRPr="00CB56BC" w:rsidTr="00EB3C7F">
        <w:trPr>
          <w:trHeight w:val="300"/>
          <w:tblHeader/>
        </w:trPr>
        <w:tc>
          <w:tcPr>
            <w:tcW w:w="2943" w:type="dxa"/>
            <w:tcBorders>
              <w:top w:val="nil"/>
              <w:left w:val="nil"/>
              <w:bottom w:val="nil"/>
              <w:right w:val="nil"/>
            </w:tcBorders>
            <w:shd w:val="clear" w:color="auto" w:fill="auto"/>
            <w:noWrap/>
          </w:tcPr>
          <w:p w:rsidR="00003E81" w:rsidRPr="00EB3C7F" w:rsidRDefault="00EB3C7F" w:rsidP="00FC7E73">
            <w:pPr>
              <w:rPr>
                <w:rFonts w:ascii="Calibri" w:hAnsi="Calibri" w:cs="Calibri"/>
                <w:b/>
                <w:color w:val="000000"/>
                <w:sz w:val="20"/>
                <w:szCs w:val="20"/>
              </w:rPr>
            </w:pPr>
            <w:r w:rsidRPr="00EB3C7F">
              <w:rPr>
                <w:rFonts w:ascii="Calibri" w:hAnsi="Calibri" w:cs="Calibri"/>
                <w:b/>
                <w:color w:val="000000"/>
                <w:sz w:val="20"/>
                <w:szCs w:val="20"/>
              </w:rPr>
              <w:t>Abbreviation</w:t>
            </w:r>
          </w:p>
        </w:tc>
        <w:tc>
          <w:tcPr>
            <w:tcW w:w="6521" w:type="dxa"/>
            <w:tcBorders>
              <w:top w:val="nil"/>
              <w:left w:val="nil"/>
              <w:bottom w:val="nil"/>
              <w:right w:val="nil"/>
            </w:tcBorders>
            <w:shd w:val="clear" w:color="auto" w:fill="auto"/>
            <w:noWrap/>
          </w:tcPr>
          <w:p w:rsidR="00003E81" w:rsidRPr="00EB3C7F" w:rsidRDefault="00EB3C7F" w:rsidP="00FC7E73">
            <w:pPr>
              <w:rPr>
                <w:rFonts w:ascii="Calibri" w:hAnsi="Calibri" w:cs="Calibri"/>
                <w:b/>
                <w:color w:val="000000"/>
                <w:sz w:val="20"/>
                <w:szCs w:val="20"/>
              </w:rPr>
            </w:pPr>
            <w:r w:rsidRPr="00EB3C7F">
              <w:rPr>
                <w:rFonts w:ascii="Calibri" w:hAnsi="Calibri" w:cs="Calibri"/>
                <w:b/>
                <w:color w:val="000000"/>
                <w:sz w:val="20"/>
                <w:szCs w:val="20"/>
              </w:rPr>
              <w:t>Full term</w:t>
            </w:r>
          </w:p>
        </w:tc>
      </w:tr>
      <w:tr w:rsidR="00EB3C7F" w:rsidRPr="00CB56BC" w:rsidTr="00EB3C7F">
        <w:trPr>
          <w:trHeight w:val="300"/>
        </w:trPr>
        <w:tc>
          <w:tcPr>
            <w:tcW w:w="2943" w:type="dxa"/>
            <w:tcBorders>
              <w:top w:val="nil"/>
              <w:left w:val="nil"/>
              <w:bottom w:val="nil"/>
              <w:right w:val="nil"/>
            </w:tcBorders>
            <w:shd w:val="clear" w:color="auto" w:fill="auto"/>
            <w:noWrap/>
            <w:hideMark/>
          </w:tcPr>
          <w:p w:rsidR="00EB3C7F" w:rsidRPr="00CB56BC" w:rsidRDefault="00EB3C7F" w:rsidP="00EB3C7F">
            <w:pPr>
              <w:rPr>
                <w:rFonts w:ascii="Calibri" w:hAnsi="Calibri" w:cs="Calibri"/>
                <w:color w:val="000000"/>
                <w:sz w:val="20"/>
                <w:szCs w:val="20"/>
              </w:rPr>
            </w:pPr>
            <w:r w:rsidRPr="00CB56BC">
              <w:rPr>
                <w:rFonts w:ascii="Calibri" w:hAnsi="Calibri" w:cs="Calibri"/>
                <w:color w:val="000000"/>
                <w:sz w:val="20"/>
                <w:szCs w:val="20"/>
              </w:rPr>
              <w:t>ABF</w:t>
            </w:r>
          </w:p>
        </w:tc>
        <w:tc>
          <w:tcPr>
            <w:tcW w:w="6521" w:type="dxa"/>
            <w:tcBorders>
              <w:top w:val="nil"/>
              <w:left w:val="nil"/>
              <w:bottom w:val="nil"/>
              <w:right w:val="nil"/>
            </w:tcBorders>
            <w:shd w:val="clear" w:color="auto" w:fill="auto"/>
            <w:noWrap/>
            <w:hideMark/>
          </w:tcPr>
          <w:p w:rsidR="00EB3C7F" w:rsidRPr="00CB56BC" w:rsidRDefault="00EB3C7F" w:rsidP="00EB3C7F">
            <w:pPr>
              <w:rPr>
                <w:rFonts w:ascii="Calibri" w:hAnsi="Calibri" w:cs="Calibri"/>
                <w:color w:val="000000"/>
                <w:sz w:val="20"/>
                <w:szCs w:val="20"/>
              </w:rPr>
            </w:pPr>
            <w:r w:rsidRPr="00CB56BC">
              <w:rPr>
                <w:rFonts w:ascii="Calibri" w:hAnsi="Calibri" w:cs="Calibri"/>
                <w:color w:val="000000"/>
                <w:sz w:val="20"/>
                <w:szCs w:val="20"/>
              </w:rPr>
              <w:t>Activity Based Funding</w:t>
            </w:r>
          </w:p>
        </w:tc>
      </w:tr>
      <w:tr w:rsidR="006221A2" w:rsidRPr="00CB56BC" w:rsidTr="00712BC2">
        <w:trPr>
          <w:trHeight w:val="300"/>
        </w:trPr>
        <w:tc>
          <w:tcPr>
            <w:tcW w:w="2943" w:type="dxa"/>
            <w:tcBorders>
              <w:top w:val="nil"/>
              <w:left w:val="nil"/>
              <w:bottom w:val="nil"/>
              <w:right w:val="nil"/>
            </w:tcBorders>
            <w:shd w:val="clear" w:color="auto" w:fill="auto"/>
            <w:noWrap/>
          </w:tcPr>
          <w:p w:rsidR="006221A2" w:rsidRPr="00CB56BC" w:rsidRDefault="006221A2" w:rsidP="00FC7E73">
            <w:pPr>
              <w:rPr>
                <w:rFonts w:ascii="Calibri" w:hAnsi="Calibri" w:cs="Calibri"/>
                <w:color w:val="000000"/>
                <w:sz w:val="20"/>
                <w:szCs w:val="20"/>
              </w:rPr>
            </w:pPr>
            <w:r w:rsidRPr="006221A2">
              <w:rPr>
                <w:rFonts w:ascii="Calibri" w:hAnsi="Calibri" w:cs="Calibri"/>
                <w:color w:val="000000"/>
                <w:sz w:val="20"/>
                <w:szCs w:val="20"/>
              </w:rPr>
              <w:t>ACAT</w:t>
            </w:r>
          </w:p>
        </w:tc>
        <w:tc>
          <w:tcPr>
            <w:tcW w:w="6521" w:type="dxa"/>
            <w:tcBorders>
              <w:top w:val="nil"/>
              <w:left w:val="nil"/>
              <w:bottom w:val="nil"/>
              <w:right w:val="nil"/>
            </w:tcBorders>
            <w:shd w:val="clear" w:color="auto" w:fill="auto"/>
            <w:noWrap/>
          </w:tcPr>
          <w:p w:rsidR="006221A2" w:rsidRPr="00CB56BC" w:rsidRDefault="006221A2" w:rsidP="006221A2">
            <w:pPr>
              <w:rPr>
                <w:rFonts w:ascii="Calibri" w:hAnsi="Calibri" w:cs="Calibri"/>
                <w:color w:val="000000"/>
                <w:sz w:val="20"/>
                <w:szCs w:val="20"/>
              </w:rPr>
            </w:pPr>
            <w:r>
              <w:rPr>
                <w:rFonts w:ascii="Calibri" w:hAnsi="Calibri" w:cs="Calibri"/>
                <w:color w:val="000000"/>
                <w:sz w:val="20"/>
                <w:szCs w:val="20"/>
              </w:rPr>
              <w:t>Aged Care Assessment Team</w:t>
            </w:r>
          </w:p>
        </w:tc>
      </w:tr>
      <w:tr w:rsidR="00003E81" w:rsidRPr="00CB56BC" w:rsidTr="00712BC2">
        <w:trPr>
          <w:trHeight w:val="300"/>
        </w:trPr>
        <w:tc>
          <w:tcPr>
            <w:tcW w:w="2943" w:type="dxa"/>
            <w:tcBorders>
              <w:top w:val="nil"/>
              <w:left w:val="nil"/>
              <w:bottom w:val="nil"/>
              <w:right w:val="nil"/>
            </w:tcBorders>
            <w:shd w:val="clear" w:color="auto" w:fill="auto"/>
            <w:noWrap/>
            <w:hideMark/>
          </w:tcPr>
          <w:p w:rsidR="00003E81" w:rsidRPr="00CB56BC" w:rsidRDefault="00003E81" w:rsidP="00FC7E73">
            <w:pPr>
              <w:rPr>
                <w:rFonts w:ascii="Calibri" w:hAnsi="Calibri" w:cs="Calibri"/>
                <w:color w:val="000000"/>
                <w:sz w:val="20"/>
                <w:szCs w:val="20"/>
              </w:rPr>
            </w:pPr>
            <w:r w:rsidRPr="00CB56BC">
              <w:rPr>
                <w:rFonts w:ascii="Calibri" w:hAnsi="Calibri" w:cs="Calibri"/>
                <w:color w:val="000000"/>
                <w:sz w:val="20"/>
                <w:szCs w:val="20"/>
              </w:rPr>
              <w:t>ACFI</w:t>
            </w:r>
          </w:p>
        </w:tc>
        <w:tc>
          <w:tcPr>
            <w:tcW w:w="6521" w:type="dxa"/>
            <w:tcBorders>
              <w:top w:val="nil"/>
              <w:left w:val="nil"/>
              <w:bottom w:val="nil"/>
              <w:right w:val="nil"/>
            </w:tcBorders>
            <w:shd w:val="clear" w:color="auto" w:fill="auto"/>
            <w:noWrap/>
            <w:hideMark/>
          </w:tcPr>
          <w:p w:rsidR="00003E81" w:rsidRPr="00CB56BC" w:rsidRDefault="00003E81" w:rsidP="00FC7E73">
            <w:pPr>
              <w:rPr>
                <w:rFonts w:ascii="Calibri" w:hAnsi="Calibri" w:cs="Calibri"/>
                <w:color w:val="000000"/>
                <w:sz w:val="20"/>
                <w:szCs w:val="20"/>
              </w:rPr>
            </w:pPr>
            <w:r w:rsidRPr="00CB56BC">
              <w:rPr>
                <w:rFonts w:ascii="Calibri" w:hAnsi="Calibri" w:cs="Calibri"/>
                <w:color w:val="000000"/>
                <w:sz w:val="20"/>
                <w:szCs w:val="20"/>
              </w:rPr>
              <w:t>Aged Care Funding Instrument</w:t>
            </w:r>
          </w:p>
        </w:tc>
      </w:tr>
      <w:tr w:rsidR="00BD0FEC" w:rsidRPr="00CB56BC" w:rsidTr="00712BC2">
        <w:trPr>
          <w:trHeight w:val="300"/>
        </w:trPr>
        <w:tc>
          <w:tcPr>
            <w:tcW w:w="2943" w:type="dxa"/>
            <w:tcBorders>
              <w:top w:val="nil"/>
              <w:left w:val="nil"/>
              <w:bottom w:val="nil"/>
              <w:right w:val="nil"/>
            </w:tcBorders>
            <w:shd w:val="clear" w:color="auto" w:fill="auto"/>
            <w:noWrap/>
          </w:tcPr>
          <w:p w:rsidR="00BD0FEC" w:rsidRDefault="00BD0FEC" w:rsidP="00FC7E73">
            <w:pPr>
              <w:rPr>
                <w:rFonts w:ascii="Calibri" w:hAnsi="Calibri" w:cs="Calibri"/>
                <w:color w:val="000000"/>
                <w:sz w:val="20"/>
                <w:szCs w:val="20"/>
              </w:rPr>
            </w:pPr>
            <w:r>
              <w:rPr>
                <w:rFonts w:ascii="Calibri" w:hAnsi="Calibri" w:cs="Calibri"/>
                <w:color w:val="000000"/>
                <w:sz w:val="20"/>
                <w:szCs w:val="20"/>
              </w:rPr>
              <w:t>ADL</w:t>
            </w:r>
          </w:p>
        </w:tc>
        <w:tc>
          <w:tcPr>
            <w:tcW w:w="6521" w:type="dxa"/>
            <w:tcBorders>
              <w:top w:val="nil"/>
              <w:left w:val="nil"/>
              <w:bottom w:val="nil"/>
              <w:right w:val="nil"/>
            </w:tcBorders>
            <w:shd w:val="clear" w:color="auto" w:fill="auto"/>
            <w:noWrap/>
          </w:tcPr>
          <w:p w:rsidR="00BD0FEC" w:rsidRDefault="00BD0FEC" w:rsidP="00FC7E73">
            <w:pPr>
              <w:rPr>
                <w:rFonts w:ascii="Calibri" w:hAnsi="Calibri" w:cs="Calibri"/>
                <w:color w:val="000000"/>
                <w:sz w:val="20"/>
                <w:szCs w:val="20"/>
              </w:rPr>
            </w:pPr>
            <w:r>
              <w:rPr>
                <w:rFonts w:ascii="Calibri" w:hAnsi="Calibri" w:cs="Calibri"/>
                <w:color w:val="000000"/>
                <w:sz w:val="20"/>
                <w:szCs w:val="20"/>
              </w:rPr>
              <w:t>Activities of daily living</w:t>
            </w:r>
          </w:p>
        </w:tc>
      </w:tr>
      <w:tr w:rsidR="00003E81" w:rsidRPr="00CB56BC" w:rsidTr="00712BC2">
        <w:trPr>
          <w:trHeight w:val="300"/>
        </w:trPr>
        <w:tc>
          <w:tcPr>
            <w:tcW w:w="2943" w:type="dxa"/>
            <w:tcBorders>
              <w:top w:val="nil"/>
              <w:left w:val="nil"/>
              <w:bottom w:val="nil"/>
              <w:right w:val="nil"/>
            </w:tcBorders>
            <w:shd w:val="clear" w:color="auto" w:fill="auto"/>
            <w:noWrap/>
          </w:tcPr>
          <w:p w:rsidR="00003E81" w:rsidRPr="00CB56BC" w:rsidRDefault="00003E81" w:rsidP="00FC7E73">
            <w:pPr>
              <w:rPr>
                <w:rFonts w:ascii="Calibri" w:hAnsi="Calibri" w:cs="Calibri"/>
                <w:color w:val="000000"/>
                <w:sz w:val="20"/>
                <w:szCs w:val="20"/>
              </w:rPr>
            </w:pPr>
            <w:r>
              <w:rPr>
                <w:rFonts w:ascii="Calibri" w:hAnsi="Calibri" w:cs="Calibri"/>
                <w:color w:val="000000"/>
                <w:sz w:val="20"/>
                <w:szCs w:val="20"/>
              </w:rPr>
              <w:t>AN-ACC</w:t>
            </w:r>
          </w:p>
        </w:tc>
        <w:tc>
          <w:tcPr>
            <w:tcW w:w="6521" w:type="dxa"/>
            <w:tcBorders>
              <w:top w:val="nil"/>
              <w:left w:val="nil"/>
              <w:bottom w:val="nil"/>
              <w:right w:val="nil"/>
            </w:tcBorders>
            <w:shd w:val="clear" w:color="auto" w:fill="auto"/>
            <w:noWrap/>
          </w:tcPr>
          <w:p w:rsidR="00003E81" w:rsidRPr="00CB56BC" w:rsidRDefault="00003E81" w:rsidP="00FC7E73">
            <w:pPr>
              <w:rPr>
                <w:rFonts w:ascii="Calibri" w:hAnsi="Calibri" w:cs="Calibri"/>
                <w:color w:val="000000"/>
                <w:sz w:val="20"/>
                <w:szCs w:val="20"/>
              </w:rPr>
            </w:pPr>
            <w:r>
              <w:rPr>
                <w:rFonts w:ascii="Calibri" w:hAnsi="Calibri" w:cs="Calibri"/>
                <w:color w:val="000000"/>
                <w:sz w:val="20"/>
                <w:szCs w:val="20"/>
              </w:rPr>
              <w:t>Australian National Aged Care Classification</w:t>
            </w:r>
          </w:p>
        </w:tc>
      </w:tr>
      <w:tr w:rsidR="00CB5E8E" w:rsidRPr="00CB56BC" w:rsidTr="00712BC2">
        <w:trPr>
          <w:trHeight w:val="300"/>
        </w:trPr>
        <w:tc>
          <w:tcPr>
            <w:tcW w:w="2943" w:type="dxa"/>
            <w:tcBorders>
              <w:top w:val="nil"/>
              <w:left w:val="nil"/>
              <w:bottom w:val="nil"/>
              <w:right w:val="nil"/>
            </w:tcBorders>
            <w:shd w:val="clear" w:color="auto" w:fill="auto"/>
            <w:noWrap/>
          </w:tcPr>
          <w:p w:rsidR="00CB5E8E" w:rsidRPr="00CB56BC" w:rsidRDefault="00CB5E8E" w:rsidP="00FC7E73">
            <w:pPr>
              <w:rPr>
                <w:rFonts w:ascii="Calibri" w:hAnsi="Calibri" w:cs="Calibri"/>
                <w:color w:val="000000"/>
                <w:sz w:val="20"/>
                <w:szCs w:val="20"/>
              </w:rPr>
            </w:pPr>
            <w:r w:rsidRPr="00CB5E8E">
              <w:rPr>
                <w:rFonts w:ascii="Calibri" w:hAnsi="Calibri" w:cs="Calibri"/>
                <w:color w:val="000000"/>
                <w:sz w:val="20"/>
                <w:szCs w:val="20"/>
              </w:rPr>
              <w:t>CDC</w:t>
            </w:r>
          </w:p>
        </w:tc>
        <w:tc>
          <w:tcPr>
            <w:tcW w:w="6521" w:type="dxa"/>
            <w:tcBorders>
              <w:top w:val="nil"/>
              <w:left w:val="nil"/>
              <w:bottom w:val="nil"/>
              <w:right w:val="nil"/>
            </w:tcBorders>
            <w:shd w:val="clear" w:color="auto" w:fill="auto"/>
            <w:noWrap/>
          </w:tcPr>
          <w:p w:rsidR="00CB5E8E" w:rsidRPr="00CB56BC" w:rsidRDefault="00CB5E8E" w:rsidP="004B7D4B">
            <w:pPr>
              <w:rPr>
                <w:rFonts w:ascii="Calibri" w:hAnsi="Calibri" w:cs="Calibri"/>
                <w:color w:val="000000"/>
                <w:sz w:val="20"/>
                <w:szCs w:val="20"/>
              </w:rPr>
            </w:pPr>
            <w:r w:rsidRPr="00CB5E8E">
              <w:rPr>
                <w:rFonts w:ascii="Calibri" w:hAnsi="Calibri" w:cs="Calibri"/>
                <w:color w:val="000000"/>
                <w:sz w:val="20"/>
                <w:szCs w:val="20"/>
              </w:rPr>
              <w:t>Consumer</w:t>
            </w:r>
            <w:r w:rsidR="004B7D4B">
              <w:rPr>
                <w:rFonts w:ascii="Calibri" w:hAnsi="Calibri" w:cs="Calibri"/>
                <w:color w:val="000000"/>
                <w:sz w:val="20"/>
                <w:szCs w:val="20"/>
              </w:rPr>
              <w:t xml:space="preserve"> </w:t>
            </w:r>
            <w:r w:rsidRPr="00CB5E8E">
              <w:rPr>
                <w:rFonts w:ascii="Calibri" w:hAnsi="Calibri" w:cs="Calibri"/>
                <w:color w:val="000000"/>
                <w:sz w:val="20"/>
                <w:szCs w:val="20"/>
              </w:rPr>
              <w:t>directed care</w:t>
            </w:r>
          </w:p>
        </w:tc>
      </w:tr>
      <w:tr w:rsidR="00386A60" w:rsidRPr="00CB56BC" w:rsidTr="00712BC2">
        <w:trPr>
          <w:trHeight w:val="300"/>
        </w:trPr>
        <w:tc>
          <w:tcPr>
            <w:tcW w:w="2943" w:type="dxa"/>
            <w:tcBorders>
              <w:top w:val="nil"/>
              <w:left w:val="nil"/>
              <w:bottom w:val="nil"/>
              <w:right w:val="nil"/>
            </w:tcBorders>
            <w:shd w:val="clear" w:color="auto" w:fill="auto"/>
            <w:noWrap/>
          </w:tcPr>
          <w:p w:rsidR="00386A60" w:rsidRDefault="00386A60" w:rsidP="00386A60">
            <w:pPr>
              <w:rPr>
                <w:rFonts w:ascii="Calibri" w:hAnsi="Calibri" w:cs="Calibri"/>
                <w:color w:val="000000"/>
                <w:sz w:val="20"/>
                <w:szCs w:val="20"/>
              </w:rPr>
            </w:pPr>
            <w:r w:rsidRPr="000B42C6">
              <w:rPr>
                <w:color w:val="000000"/>
                <w:sz w:val="22"/>
                <w:szCs w:val="22"/>
              </w:rPr>
              <w:t>CF</w:t>
            </w:r>
          </w:p>
        </w:tc>
        <w:tc>
          <w:tcPr>
            <w:tcW w:w="6521" w:type="dxa"/>
            <w:tcBorders>
              <w:top w:val="nil"/>
              <w:left w:val="nil"/>
              <w:bottom w:val="nil"/>
              <w:right w:val="nil"/>
            </w:tcBorders>
            <w:shd w:val="clear" w:color="auto" w:fill="auto"/>
            <w:noWrap/>
          </w:tcPr>
          <w:p w:rsidR="00386A60" w:rsidRDefault="00386A60" w:rsidP="00386A60">
            <w:pPr>
              <w:rPr>
                <w:rFonts w:ascii="Calibri" w:hAnsi="Calibri" w:cs="Calibri"/>
                <w:color w:val="000000"/>
                <w:sz w:val="20"/>
                <w:szCs w:val="20"/>
              </w:rPr>
            </w:pPr>
            <w:r>
              <w:rPr>
                <w:rFonts w:ascii="Calibri" w:hAnsi="Calibri" w:cs="Calibri"/>
                <w:color w:val="000000"/>
                <w:sz w:val="20"/>
                <w:szCs w:val="20"/>
              </w:rPr>
              <w:t>Compounding factors</w:t>
            </w:r>
          </w:p>
        </w:tc>
      </w:tr>
      <w:tr w:rsidR="00414243" w:rsidRPr="00CB56BC" w:rsidTr="00712BC2">
        <w:trPr>
          <w:trHeight w:val="300"/>
        </w:trPr>
        <w:tc>
          <w:tcPr>
            <w:tcW w:w="2943" w:type="dxa"/>
            <w:tcBorders>
              <w:top w:val="nil"/>
              <w:left w:val="nil"/>
              <w:bottom w:val="nil"/>
              <w:right w:val="nil"/>
            </w:tcBorders>
            <w:shd w:val="clear" w:color="auto" w:fill="auto"/>
            <w:noWrap/>
          </w:tcPr>
          <w:p w:rsidR="00414243" w:rsidRDefault="00414243" w:rsidP="00386A60">
            <w:pPr>
              <w:rPr>
                <w:rFonts w:ascii="Calibri" w:hAnsi="Calibri" w:cs="Calibri"/>
                <w:color w:val="000000"/>
                <w:sz w:val="20"/>
                <w:szCs w:val="20"/>
              </w:rPr>
            </w:pPr>
            <w:r>
              <w:rPr>
                <w:rFonts w:ascii="Calibri" w:hAnsi="Calibri" w:cs="Calibri"/>
                <w:color w:val="000000"/>
                <w:sz w:val="20"/>
                <w:szCs w:val="20"/>
              </w:rPr>
              <w:t>DEMMI</w:t>
            </w:r>
          </w:p>
        </w:tc>
        <w:tc>
          <w:tcPr>
            <w:tcW w:w="6521" w:type="dxa"/>
            <w:tcBorders>
              <w:top w:val="nil"/>
              <w:left w:val="nil"/>
              <w:bottom w:val="nil"/>
              <w:right w:val="nil"/>
            </w:tcBorders>
            <w:shd w:val="clear" w:color="auto" w:fill="auto"/>
            <w:noWrap/>
          </w:tcPr>
          <w:p w:rsidR="00414243" w:rsidRDefault="00414243" w:rsidP="00386A60">
            <w:pPr>
              <w:rPr>
                <w:rFonts w:ascii="Calibri" w:hAnsi="Calibri" w:cs="Calibri"/>
                <w:color w:val="000000"/>
                <w:sz w:val="20"/>
                <w:szCs w:val="20"/>
              </w:rPr>
            </w:pPr>
            <w:r>
              <w:rPr>
                <w:rFonts w:ascii="Calibri" w:hAnsi="Calibri" w:cs="Calibri"/>
                <w:color w:val="000000"/>
                <w:sz w:val="20"/>
                <w:szCs w:val="20"/>
              </w:rPr>
              <w:t>De</w:t>
            </w:r>
            <w:r w:rsidR="006221A2">
              <w:rPr>
                <w:rFonts w:ascii="Calibri" w:hAnsi="Calibri" w:cs="Calibri"/>
                <w:color w:val="000000"/>
                <w:sz w:val="20"/>
                <w:szCs w:val="20"/>
              </w:rPr>
              <w:t xml:space="preserve"> </w:t>
            </w:r>
            <w:r>
              <w:rPr>
                <w:rFonts w:ascii="Calibri" w:hAnsi="Calibri" w:cs="Calibri"/>
                <w:color w:val="000000"/>
                <w:sz w:val="20"/>
                <w:szCs w:val="20"/>
              </w:rPr>
              <w:t>Morton Mobility Index</w:t>
            </w:r>
          </w:p>
        </w:tc>
      </w:tr>
      <w:tr w:rsidR="00E43D53" w:rsidRPr="00CB56BC" w:rsidTr="00712BC2">
        <w:trPr>
          <w:trHeight w:val="300"/>
        </w:trPr>
        <w:tc>
          <w:tcPr>
            <w:tcW w:w="2943" w:type="dxa"/>
            <w:tcBorders>
              <w:top w:val="nil"/>
              <w:left w:val="nil"/>
              <w:bottom w:val="nil"/>
              <w:right w:val="nil"/>
            </w:tcBorders>
            <w:shd w:val="clear" w:color="auto" w:fill="auto"/>
            <w:noWrap/>
          </w:tcPr>
          <w:p w:rsidR="00E43D53" w:rsidRPr="006221A2" w:rsidRDefault="00E43D53" w:rsidP="00386A60">
            <w:pPr>
              <w:rPr>
                <w:rFonts w:ascii="Calibri" w:hAnsi="Calibri" w:cs="Calibri"/>
                <w:color w:val="000000"/>
                <w:sz w:val="20"/>
                <w:szCs w:val="20"/>
              </w:rPr>
            </w:pPr>
            <w:r w:rsidRPr="00E43D53">
              <w:rPr>
                <w:rFonts w:ascii="Calibri" w:hAnsi="Calibri" w:cs="Calibri"/>
                <w:color w:val="000000"/>
                <w:sz w:val="20"/>
                <w:szCs w:val="20"/>
              </w:rPr>
              <w:t>DHS</w:t>
            </w:r>
          </w:p>
        </w:tc>
        <w:tc>
          <w:tcPr>
            <w:tcW w:w="6521" w:type="dxa"/>
            <w:tcBorders>
              <w:top w:val="nil"/>
              <w:left w:val="nil"/>
              <w:bottom w:val="nil"/>
              <w:right w:val="nil"/>
            </w:tcBorders>
            <w:shd w:val="clear" w:color="auto" w:fill="auto"/>
            <w:noWrap/>
          </w:tcPr>
          <w:p w:rsidR="00E43D53" w:rsidRDefault="00E43D53" w:rsidP="00E43D53">
            <w:pPr>
              <w:rPr>
                <w:rFonts w:ascii="Calibri" w:hAnsi="Calibri" w:cs="Calibri"/>
                <w:color w:val="000000"/>
                <w:sz w:val="20"/>
                <w:szCs w:val="20"/>
              </w:rPr>
            </w:pPr>
            <w:r w:rsidRPr="00E43D53">
              <w:rPr>
                <w:rFonts w:ascii="Calibri" w:hAnsi="Calibri" w:cs="Calibri"/>
                <w:color w:val="000000"/>
                <w:sz w:val="20"/>
                <w:szCs w:val="20"/>
              </w:rPr>
              <w:t>Department of Human Services</w:t>
            </w:r>
          </w:p>
        </w:tc>
      </w:tr>
      <w:tr w:rsidR="006221A2" w:rsidRPr="00CB56BC" w:rsidTr="00712BC2">
        <w:trPr>
          <w:trHeight w:val="300"/>
        </w:trPr>
        <w:tc>
          <w:tcPr>
            <w:tcW w:w="2943" w:type="dxa"/>
            <w:tcBorders>
              <w:top w:val="nil"/>
              <w:left w:val="nil"/>
              <w:bottom w:val="nil"/>
              <w:right w:val="nil"/>
            </w:tcBorders>
            <w:shd w:val="clear" w:color="auto" w:fill="auto"/>
            <w:noWrap/>
          </w:tcPr>
          <w:p w:rsidR="006221A2" w:rsidRDefault="006221A2" w:rsidP="00386A60">
            <w:pPr>
              <w:rPr>
                <w:rFonts w:ascii="Calibri" w:hAnsi="Calibri" w:cs="Calibri"/>
                <w:color w:val="000000"/>
                <w:sz w:val="20"/>
                <w:szCs w:val="20"/>
              </w:rPr>
            </w:pPr>
            <w:r w:rsidRPr="006221A2">
              <w:rPr>
                <w:rFonts w:ascii="Calibri" w:hAnsi="Calibri" w:cs="Calibri"/>
                <w:color w:val="000000"/>
                <w:sz w:val="20"/>
                <w:szCs w:val="20"/>
              </w:rPr>
              <w:t>DVA</w:t>
            </w:r>
          </w:p>
        </w:tc>
        <w:tc>
          <w:tcPr>
            <w:tcW w:w="6521" w:type="dxa"/>
            <w:tcBorders>
              <w:top w:val="nil"/>
              <w:left w:val="nil"/>
              <w:bottom w:val="nil"/>
              <w:right w:val="nil"/>
            </w:tcBorders>
            <w:shd w:val="clear" w:color="auto" w:fill="auto"/>
            <w:noWrap/>
          </w:tcPr>
          <w:p w:rsidR="006221A2" w:rsidRDefault="006221A2" w:rsidP="00386A60">
            <w:pPr>
              <w:rPr>
                <w:rFonts w:ascii="Calibri" w:hAnsi="Calibri" w:cs="Calibri"/>
                <w:color w:val="000000"/>
                <w:sz w:val="20"/>
                <w:szCs w:val="20"/>
              </w:rPr>
            </w:pPr>
            <w:r>
              <w:rPr>
                <w:rFonts w:ascii="Calibri" w:hAnsi="Calibri" w:cs="Calibri"/>
                <w:color w:val="000000"/>
                <w:sz w:val="20"/>
                <w:szCs w:val="20"/>
              </w:rPr>
              <w:t>Department of Veterans</w:t>
            </w:r>
            <w:r w:rsidR="004B7D4B">
              <w:rPr>
                <w:rFonts w:ascii="Calibri" w:hAnsi="Calibri" w:cs="Calibri"/>
                <w:color w:val="000000"/>
                <w:sz w:val="20"/>
                <w:szCs w:val="20"/>
              </w:rPr>
              <w:t>’</w:t>
            </w:r>
            <w:r>
              <w:rPr>
                <w:rFonts w:ascii="Calibri" w:hAnsi="Calibri" w:cs="Calibri"/>
                <w:color w:val="000000"/>
                <w:sz w:val="20"/>
                <w:szCs w:val="20"/>
              </w:rPr>
              <w:t xml:space="preserve"> Affairs</w:t>
            </w:r>
          </w:p>
        </w:tc>
      </w:tr>
      <w:tr w:rsidR="006221A2" w:rsidRPr="00CB56BC" w:rsidTr="00712BC2">
        <w:trPr>
          <w:trHeight w:val="300"/>
        </w:trPr>
        <w:tc>
          <w:tcPr>
            <w:tcW w:w="2943" w:type="dxa"/>
            <w:tcBorders>
              <w:top w:val="nil"/>
              <w:left w:val="nil"/>
              <w:bottom w:val="nil"/>
              <w:right w:val="nil"/>
            </w:tcBorders>
            <w:shd w:val="clear" w:color="auto" w:fill="auto"/>
            <w:noWrap/>
          </w:tcPr>
          <w:p w:rsidR="006221A2" w:rsidRDefault="006221A2" w:rsidP="00386A60">
            <w:pPr>
              <w:rPr>
                <w:rFonts w:ascii="Calibri" w:hAnsi="Calibri" w:cs="Calibri"/>
                <w:color w:val="000000"/>
                <w:sz w:val="20"/>
                <w:szCs w:val="20"/>
              </w:rPr>
            </w:pPr>
            <w:r w:rsidRPr="006221A2">
              <w:rPr>
                <w:rFonts w:ascii="Calibri" w:hAnsi="Calibri" w:cs="Calibri"/>
                <w:color w:val="000000"/>
                <w:sz w:val="20"/>
                <w:szCs w:val="20"/>
              </w:rPr>
              <w:t>IHPA</w:t>
            </w:r>
          </w:p>
        </w:tc>
        <w:tc>
          <w:tcPr>
            <w:tcW w:w="6521" w:type="dxa"/>
            <w:tcBorders>
              <w:top w:val="nil"/>
              <w:left w:val="nil"/>
              <w:bottom w:val="nil"/>
              <w:right w:val="nil"/>
            </w:tcBorders>
            <w:shd w:val="clear" w:color="auto" w:fill="auto"/>
            <w:noWrap/>
          </w:tcPr>
          <w:p w:rsidR="006221A2" w:rsidRDefault="006221A2" w:rsidP="006221A2">
            <w:pPr>
              <w:rPr>
                <w:rFonts w:ascii="Calibri" w:hAnsi="Calibri" w:cs="Calibri"/>
                <w:color w:val="000000"/>
                <w:sz w:val="20"/>
                <w:szCs w:val="20"/>
              </w:rPr>
            </w:pPr>
            <w:r>
              <w:rPr>
                <w:rFonts w:ascii="Calibri" w:hAnsi="Calibri" w:cs="Calibri"/>
                <w:color w:val="000000"/>
                <w:sz w:val="20"/>
                <w:szCs w:val="20"/>
              </w:rPr>
              <w:t>Indepen</w:t>
            </w:r>
            <w:r w:rsidR="00905DF1">
              <w:rPr>
                <w:rFonts w:ascii="Calibri" w:hAnsi="Calibri" w:cs="Calibri"/>
                <w:color w:val="000000"/>
                <w:sz w:val="20"/>
                <w:szCs w:val="20"/>
              </w:rPr>
              <w:t>dent Hospital Pricing Authority</w:t>
            </w:r>
          </w:p>
        </w:tc>
      </w:tr>
      <w:tr w:rsidR="00003E81" w:rsidRPr="00CB56BC" w:rsidTr="00712BC2">
        <w:trPr>
          <w:trHeight w:val="300"/>
        </w:trPr>
        <w:tc>
          <w:tcPr>
            <w:tcW w:w="2943" w:type="dxa"/>
            <w:tcBorders>
              <w:top w:val="nil"/>
              <w:left w:val="nil"/>
              <w:bottom w:val="nil"/>
              <w:right w:val="nil"/>
            </w:tcBorders>
            <w:shd w:val="clear" w:color="auto" w:fill="auto"/>
            <w:noWrap/>
            <w:hideMark/>
          </w:tcPr>
          <w:p w:rsidR="00003E81" w:rsidRPr="00CB56BC" w:rsidRDefault="004B7D4B" w:rsidP="00386A60">
            <w:pPr>
              <w:rPr>
                <w:rFonts w:ascii="Calibri" w:hAnsi="Calibri" w:cs="Calibri"/>
                <w:color w:val="000000"/>
                <w:sz w:val="20"/>
                <w:szCs w:val="20"/>
              </w:rPr>
            </w:pPr>
            <w:r>
              <w:rPr>
                <w:rFonts w:ascii="Calibri" w:hAnsi="Calibri" w:cs="Calibri"/>
                <w:color w:val="000000"/>
                <w:sz w:val="20"/>
                <w:szCs w:val="20"/>
              </w:rPr>
              <w:t>t</w:t>
            </w:r>
            <w:r w:rsidR="00386A60">
              <w:rPr>
                <w:rFonts w:ascii="Calibri" w:hAnsi="Calibri" w:cs="Calibri"/>
                <w:color w:val="000000"/>
                <w:sz w:val="20"/>
                <w:szCs w:val="20"/>
              </w:rPr>
              <w:t>he Department</w:t>
            </w:r>
          </w:p>
        </w:tc>
        <w:tc>
          <w:tcPr>
            <w:tcW w:w="6521" w:type="dxa"/>
            <w:tcBorders>
              <w:top w:val="nil"/>
              <w:left w:val="nil"/>
              <w:bottom w:val="nil"/>
              <w:right w:val="nil"/>
            </w:tcBorders>
            <w:shd w:val="clear" w:color="auto" w:fill="auto"/>
            <w:noWrap/>
            <w:hideMark/>
          </w:tcPr>
          <w:p w:rsidR="00003E81" w:rsidRPr="00CB56BC" w:rsidRDefault="00472BCC" w:rsidP="00472BCC">
            <w:pPr>
              <w:rPr>
                <w:rFonts w:ascii="Calibri" w:hAnsi="Calibri" w:cs="Calibri"/>
                <w:color w:val="000000"/>
                <w:sz w:val="20"/>
                <w:szCs w:val="20"/>
              </w:rPr>
            </w:pPr>
            <w:r>
              <w:rPr>
                <w:rFonts w:ascii="Calibri" w:hAnsi="Calibri" w:cs="Calibri"/>
                <w:color w:val="000000"/>
                <w:sz w:val="20"/>
                <w:szCs w:val="20"/>
              </w:rPr>
              <w:t xml:space="preserve">Commonwealth </w:t>
            </w:r>
            <w:r w:rsidR="00003E81" w:rsidRPr="00CB56BC">
              <w:rPr>
                <w:rFonts w:ascii="Calibri" w:hAnsi="Calibri" w:cs="Calibri"/>
                <w:color w:val="000000"/>
                <w:sz w:val="20"/>
                <w:szCs w:val="20"/>
              </w:rPr>
              <w:t>Department of Health</w:t>
            </w:r>
          </w:p>
        </w:tc>
      </w:tr>
      <w:tr w:rsidR="00CB5E8E" w:rsidRPr="00CB56BC" w:rsidTr="00712BC2">
        <w:trPr>
          <w:trHeight w:val="300"/>
        </w:trPr>
        <w:tc>
          <w:tcPr>
            <w:tcW w:w="2943" w:type="dxa"/>
            <w:tcBorders>
              <w:top w:val="nil"/>
              <w:left w:val="nil"/>
              <w:bottom w:val="nil"/>
              <w:right w:val="nil"/>
            </w:tcBorders>
            <w:shd w:val="clear" w:color="auto" w:fill="auto"/>
            <w:noWrap/>
          </w:tcPr>
          <w:p w:rsidR="00CB5E8E" w:rsidRPr="000B42C6" w:rsidRDefault="00CB5E8E" w:rsidP="00BE652A">
            <w:pPr>
              <w:rPr>
                <w:rFonts w:ascii="Calibri" w:hAnsi="Calibri" w:cs="Calibri"/>
                <w:color w:val="000000"/>
                <w:sz w:val="20"/>
                <w:szCs w:val="20"/>
              </w:rPr>
            </w:pPr>
            <w:r>
              <w:rPr>
                <w:rFonts w:ascii="Calibri" w:hAnsi="Calibri" w:cs="Calibri"/>
                <w:color w:val="000000"/>
                <w:sz w:val="20"/>
                <w:szCs w:val="20"/>
              </w:rPr>
              <w:t>MMM</w:t>
            </w:r>
          </w:p>
        </w:tc>
        <w:tc>
          <w:tcPr>
            <w:tcW w:w="6521" w:type="dxa"/>
            <w:tcBorders>
              <w:top w:val="nil"/>
              <w:left w:val="nil"/>
              <w:bottom w:val="nil"/>
              <w:right w:val="nil"/>
            </w:tcBorders>
            <w:shd w:val="clear" w:color="auto" w:fill="auto"/>
            <w:noWrap/>
          </w:tcPr>
          <w:p w:rsidR="00CB5E8E" w:rsidRPr="000B42C6" w:rsidRDefault="00CB5E8E" w:rsidP="00BE652A">
            <w:pPr>
              <w:rPr>
                <w:rFonts w:ascii="Calibri" w:hAnsi="Calibri" w:cs="Calibri"/>
                <w:color w:val="000000"/>
                <w:sz w:val="20"/>
                <w:szCs w:val="20"/>
              </w:rPr>
            </w:pPr>
            <w:r>
              <w:rPr>
                <w:rFonts w:ascii="Calibri" w:hAnsi="Calibri" w:cs="Calibri"/>
                <w:color w:val="000000"/>
                <w:sz w:val="20"/>
                <w:szCs w:val="20"/>
              </w:rPr>
              <w:t>Modified Monash Model</w:t>
            </w:r>
          </w:p>
        </w:tc>
      </w:tr>
      <w:tr w:rsidR="00BE652A" w:rsidRPr="00CB56BC" w:rsidTr="00712BC2">
        <w:trPr>
          <w:trHeight w:val="300"/>
        </w:trPr>
        <w:tc>
          <w:tcPr>
            <w:tcW w:w="2943" w:type="dxa"/>
            <w:tcBorders>
              <w:top w:val="nil"/>
              <w:left w:val="nil"/>
              <w:bottom w:val="nil"/>
              <w:right w:val="nil"/>
            </w:tcBorders>
            <w:shd w:val="clear" w:color="auto" w:fill="auto"/>
            <w:noWrap/>
          </w:tcPr>
          <w:p w:rsidR="00BE652A" w:rsidRPr="000B42C6" w:rsidRDefault="00BE652A" w:rsidP="00BE652A">
            <w:pPr>
              <w:rPr>
                <w:rFonts w:ascii="Calibri" w:hAnsi="Calibri" w:cs="Calibri"/>
                <w:color w:val="000000"/>
                <w:sz w:val="20"/>
                <w:szCs w:val="20"/>
              </w:rPr>
            </w:pPr>
            <w:r w:rsidRPr="000B42C6">
              <w:rPr>
                <w:rFonts w:ascii="Calibri" w:hAnsi="Calibri" w:cs="Calibri"/>
                <w:color w:val="000000"/>
                <w:sz w:val="20"/>
                <w:szCs w:val="20"/>
              </w:rPr>
              <w:t>NWAU</w:t>
            </w:r>
          </w:p>
        </w:tc>
        <w:tc>
          <w:tcPr>
            <w:tcW w:w="6521" w:type="dxa"/>
            <w:tcBorders>
              <w:top w:val="nil"/>
              <w:left w:val="nil"/>
              <w:bottom w:val="nil"/>
              <w:right w:val="nil"/>
            </w:tcBorders>
            <w:shd w:val="clear" w:color="auto" w:fill="auto"/>
            <w:noWrap/>
          </w:tcPr>
          <w:p w:rsidR="00BE652A" w:rsidRPr="000B42C6" w:rsidRDefault="00BE652A" w:rsidP="00BE652A">
            <w:pPr>
              <w:rPr>
                <w:rFonts w:ascii="Calibri" w:hAnsi="Calibri" w:cs="Calibri"/>
                <w:color w:val="000000"/>
                <w:sz w:val="20"/>
                <w:szCs w:val="20"/>
              </w:rPr>
            </w:pPr>
            <w:r w:rsidRPr="000B42C6">
              <w:rPr>
                <w:rFonts w:ascii="Calibri" w:hAnsi="Calibri" w:cs="Calibri"/>
                <w:color w:val="000000"/>
                <w:sz w:val="20"/>
                <w:szCs w:val="20"/>
              </w:rPr>
              <w:t>National Weighted Activity Unit</w:t>
            </w:r>
          </w:p>
        </w:tc>
      </w:tr>
      <w:tr w:rsidR="00003E81" w:rsidRPr="00CB56BC" w:rsidTr="00712BC2">
        <w:trPr>
          <w:trHeight w:val="300"/>
        </w:trPr>
        <w:tc>
          <w:tcPr>
            <w:tcW w:w="2943" w:type="dxa"/>
            <w:tcBorders>
              <w:top w:val="nil"/>
              <w:left w:val="nil"/>
              <w:bottom w:val="nil"/>
              <w:right w:val="nil"/>
            </w:tcBorders>
            <w:shd w:val="clear" w:color="auto" w:fill="auto"/>
            <w:noWrap/>
            <w:hideMark/>
          </w:tcPr>
          <w:p w:rsidR="00003E81" w:rsidRPr="00CB56BC" w:rsidRDefault="00003E81" w:rsidP="00FC7E73">
            <w:pPr>
              <w:rPr>
                <w:rFonts w:ascii="Calibri" w:hAnsi="Calibri" w:cs="Calibri"/>
                <w:color w:val="000000"/>
                <w:sz w:val="20"/>
                <w:szCs w:val="20"/>
              </w:rPr>
            </w:pPr>
            <w:r w:rsidRPr="00CB56BC">
              <w:rPr>
                <w:rFonts w:ascii="Calibri" w:hAnsi="Calibri" w:cs="Calibri"/>
                <w:color w:val="000000"/>
                <w:sz w:val="20"/>
                <w:szCs w:val="20"/>
              </w:rPr>
              <w:t>RACF</w:t>
            </w:r>
          </w:p>
        </w:tc>
        <w:tc>
          <w:tcPr>
            <w:tcW w:w="6521" w:type="dxa"/>
            <w:tcBorders>
              <w:top w:val="nil"/>
              <w:left w:val="nil"/>
              <w:bottom w:val="nil"/>
              <w:right w:val="nil"/>
            </w:tcBorders>
            <w:shd w:val="clear" w:color="auto" w:fill="auto"/>
            <w:noWrap/>
            <w:hideMark/>
          </w:tcPr>
          <w:p w:rsidR="00003E81" w:rsidRPr="00CB56BC" w:rsidRDefault="00003E81" w:rsidP="00FC7E73">
            <w:pPr>
              <w:rPr>
                <w:rFonts w:ascii="Calibri" w:hAnsi="Calibri" w:cs="Calibri"/>
                <w:color w:val="000000"/>
                <w:sz w:val="20"/>
                <w:szCs w:val="20"/>
              </w:rPr>
            </w:pPr>
            <w:r w:rsidRPr="00905578">
              <w:rPr>
                <w:rFonts w:ascii="Calibri" w:hAnsi="Calibri" w:cs="Calibri"/>
                <w:color w:val="000000"/>
                <w:sz w:val="20"/>
                <w:szCs w:val="20"/>
              </w:rPr>
              <w:t>Residential Aged Care Facility</w:t>
            </w:r>
          </w:p>
        </w:tc>
      </w:tr>
      <w:tr w:rsidR="006221A2" w:rsidRPr="00CB56BC" w:rsidTr="00712BC2">
        <w:trPr>
          <w:trHeight w:val="300"/>
        </w:trPr>
        <w:tc>
          <w:tcPr>
            <w:tcW w:w="2943" w:type="dxa"/>
            <w:tcBorders>
              <w:top w:val="nil"/>
              <w:left w:val="nil"/>
              <w:bottom w:val="nil"/>
              <w:right w:val="nil"/>
            </w:tcBorders>
            <w:shd w:val="clear" w:color="auto" w:fill="auto"/>
            <w:noWrap/>
          </w:tcPr>
          <w:p w:rsidR="006221A2" w:rsidRDefault="006221A2" w:rsidP="00FC7E73">
            <w:pPr>
              <w:rPr>
                <w:rFonts w:ascii="Calibri" w:hAnsi="Calibri" w:cs="Calibri"/>
                <w:color w:val="000000"/>
                <w:sz w:val="20"/>
                <w:szCs w:val="20"/>
              </w:rPr>
            </w:pPr>
            <w:r w:rsidRPr="006221A2">
              <w:rPr>
                <w:rFonts w:ascii="Calibri" w:hAnsi="Calibri" w:cs="Calibri"/>
                <w:color w:val="000000"/>
                <w:sz w:val="20"/>
                <w:szCs w:val="20"/>
              </w:rPr>
              <w:t>RCS</w:t>
            </w:r>
          </w:p>
        </w:tc>
        <w:tc>
          <w:tcPr>
            <w:tcW w:w="6521" w:type="dxa"/>
            <w:tcBorders>
              <w:top w:val="nil"/>
              <w:left w:val="nil"/>
              <w:bottom w:val="nil"/>
              <w:right w:val="nil"/>
            </w:tcBorders>
            <w:shd w:val="clear" w:color="auto" w:fill="auto"/>
            <w:noWrap/>
          </w:tcPr>
          <w:p w:rsidR="006221A2" w:rsidRDefault="006221A2" w:rsidP="006221A2">
            <w:pPr>
              <w:rPr>
                <w:rFonts w:ascii="Calibri" w:hAnsi="Calibri" w:cs="Calibri"/>
                <w:color w:val="000000"/>
                <w:sz w:val="20"/>
                <w:szCs w:val="20"/>
              </w:rPr>
            </w:pPr>
            <w:r w:rsidRPr="006221A2">
              <w:rPr>
                <w:rFonts w:ascii="Calibri" w:hAnsi="Calibri" w:cs="Calibri"/>
                <w:color w:val="000000"/>
                <w:sz w:val="20"/>
                <w:szCs w:val="20"/>
              </w:rPr>
              <w:t>Resident Classification System</w:t>
            </w:r>
          </w:p>
        </w:tc>
      </w:tr>
      <w:tr w:rsidR="00003E81" w:rsidRPr="00CB56BC" w:rsidTr="00712BC2">
        <w:trPr>
          <w:trHeight w:val="300"/>
        </w:trPr>
        <w:tc>
          <w:tcPr>
            <w:tcW w:w="2943" w:type="dxa"/>
            <w:tcBorders>
              <w:top w:val="nil"/>
              <w:left w:val="nil"/>
              <w:bottom w:val="nil"/>
              <w:right w:val="nil"/>
            </w:tcBorders>
            <w:shd w:val="clear" w:color="auto" w:fill="auto"/>
            <w:noWrap/>
          </w:tcPr>
          <w:p w:rsidR="00003E81" w:rsidRPr="00CB56BC" w:rsidRDefault="00003E81" w:rsidP="00FC7E73">
            <w:pPr>
              <w:rPr>
                <w:rFonts w:ascii="Calibri" w:hAnsi="Calibri" w:cs="Calibri"/>
                <w:color w:val="000000"/>
                <w:sz w:val="20"/>
                <w:szCs w:val="20"/>
              </w:rPr>
            </w:pPr>
            <w:r>
              <w:rPr>
                <w:rFonts w:ascii="Calibri" w:hAnsi="Calibri" w:cs="Calibri"/>
                <w:color w:val="000000"/>
                <w:sz w:val="20"/>
                <w:szCs w:val="20"/>
              </w:rPr>
              <w:t>RUCS</w:t>
            </w:r>
          </w:p>
        </w:tc>
        <w:tc>
          <w:tcPr>
            <w:tcW w:w="6521" w:type="dxa"/>
            <w:tcBorders>
              <w:top w:val="nil"/>
              <w:left w:val="nil"/>
              <w:bottom w:val="nil"/>
              <w:right w:val="nil"/>
            </w:tcBorders>
            <w:shd w:val="clear" w:color="auto" w:fill="auto"/>
            <w:noWrap/>
          </w:tcPr>
          <w:p w:rsidR="00A14DBB" w:rsidRPr="00CB56BC" w:rsidRDefault="00003E81" w:rsidP="00FC7E73">
            <w:pPr>
              <w:rPr>
                <w:rFonts w:ascii="Calibri" w:hAnsi="Calibri" w:cs="Calibri"/>
                <w:color w:val="000000"/>
                <w:sz w:val="20"/>
                <w:szCs w:val="20"/>
              </w:rPr>
            </w:pPr>
            <w:r>
              <w:rPr>
                <w:rFonts w:ascii="Calibri" w:hAnsi="Calibri" w:cs="Calibri"/>
                <w:color w:val="000000"/>
                <w:sz w:val="20"/>
                <w:szCs w:val="20"/>
              </w:rPr>
              <w:t>Resource Utilisation and Classification Study</w:t>
            </w:r>
          </w:p>
        </w:tc>
      </w:tr>
    </w:tbl>
    <w:p w:rsidR="00A14DBB" w:rsidRDefault="00A14DBB">
      <w:pPr>
        <w:spacing w:after="200" w:line="276" w:lineRule="auto"/>
        <w:rPr>
          <w:rFonts w:ascii="Calibri" w:eastAsiaTheme="majorEastAsia" w:hAnsi="Calibri" w:cstheme="majorBidi"/>
          <w:b/>
          <w:bCs/>
          <w:sz w:val="28"/>
          <w:szCs w:val="28"/>
        </w:rPr>
      </w:pPr>
      <w:bookmarkStart w:id="27" w:name="_Toc528848521"/>
      <w:r>
        <w:br w:type="page"/>
      </w:r>
    </w:p>
    <w:p w:rsidR="00003E81" w:rsidRPr="00E17993" w:rsidRDefault="00003E81" w:rsidP="00A14DBB">
      <w:pPr>
        <w:pStyle w:val="Heading1"/>
        <w:numPr>
          <w:ilvl w:val="0"/>
          <w:numId w:val="0"/>
        </w:numPr>
        <w:spacing w:before="600" w:after="0"/>
      </w:pPr>
      <w:bookmarkStart w:id="28" w:name="_Toc2066816"/>
      <w:r w:rsidRPr="006D508F">
        <w:lastRenderedPageBreak/>
        <w:t>Glossary of Terms</w:t>
      </w:r>
      <w:bookmarkEnd w:id="27"/>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of Terms"/>
        <w:tblDescription w:val="This table is a list of terms used throughout the Resource Utilisation Classification Study (RUCS) report. This table is to be read left to right (term followed by description)."/>
      </w:tblPr>
      <w:tblGrid>
        <w:gridCol w:w="2761"/>
        <w:gridCol w:w="6309"/>
      </w:tblGrid>
      <w:tr w:rsidR="00905DF1" w:rsidRPr="00BE652A" w:rsidTr="00905DF1">
        <w:trPr>
          <w:tblHeader/>
        </w:trPr>
        <w:tc>
          <w:tcPr>
            <w:tcW w:w="2802" w:type="dxa"/>
          </w:tcPr>
          <w:p w:rsidR="00905DF1" w:rsidRPr="00905DF1" w:rsidRDefault="00905DF1" w:rsidP="00905DF1">
            <w:pPr>
              <w:spacing w:beforeLines="40" w:before="96" w:afterLines="40" w:after="96" w:line="276" w:lineRule="auto"/>
              <w:rPr>
                <w:rFonts w:asciiTheme="minorHAnsi" w:hAnsiTheme="minorHAnsi" w:cstheme="minorHAnsi"/>
                <w:b/>
                <w:sz w:val="20"/>
                <w:szCs w:val="20"/>
              </w:rPr>
            </w:pPr>
            <w:r w:rsidRPr="00905DF1">
              <w:rPr>
                <w:rFonts w:asciiTheme="minorHAnsi" w:hAnsiTheme="minorHAnsi" w:cstheme="minorHAnsi"/>
                <w:b/>
                <w:sz w:val="20"/>
                <w:szCs w:val="20"/>
              </w:rPr>
              <w:t>Term</w:t>
            </w:r>
          </w:p>
        </w:tc>
        <w:tc>
          <w:tcPr>
            <w:tcW w:w="6440" w:type="dxa"/>
          </w:tcPr>
          <w:p w:rsidR="00905DF1" w:rsidRPr="00905DF1" w:rsidRDefault="00905DF1" w:rsidP="00905DF1">
            <w:pPr>
              <w:spacing w:beforeLines="40" w:before="96" w:afterLines="40" w:after="96" w:line="276" w:lineRule="auto"/>
              <w:rPr>
                <w:rFonts w:asciiTheme="minorHAnsi" w:hAnsiTheme="minorHAnsi" w:cstheme="minorHAnsi"/>
                <w:b/>
                <w:sz w:val="20"/>
                <w:szCs w:val="20"/>
              </w:rPr>
            </w:pPr>
            <w:r w:rsidRPr="00905DF1">
              <w:rPr>
                <w:rFonts w:asciiTheme="minorHAnsi" w:hAnsiTheme="minorHAnsi" w:cstheme="minorHAnsi"/>
                <w:b/>
                <w:sz w:val="20"/>
                <w:szCs w:val="20"/>
              </w:rPr>
              <w:t>Description</w:t>
            </w:r>
          </w:p>
        </w:tc>
      </w:tr>
      <w:tr w:rsidR="00905DF1" w:rsidRPr="00BE652A" w:rsidTr="00FC7E73">
        <w:tc>
          <w:tcPr>
            <w:tcW w:w="2802"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Aged Care Funding Instrument (ACFI)</w:t>
            </w:r>
          </w:p>
        </w:tc>
        <w:tc>
          <w:tcPr>
            <w:tcW w:w="6440"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The existing resource allocation instrument used to determine care subsidies in Au</w:t>
            </w:r>
            <w:r>
              <w:rPr>
                <w:rFonts w:asciiTheme="minorHAnsi" w:hAnsiTheme="minorHAnsi" w:cstheme="minorHAnsi"/>
                <w:sz w:val="20"/>
                <w:szCs w:val="20"/>
              </w:rPr>
              <w:t>stralian residential aged care.</w:t>
            </w:r>
          </w:p>
        </w:tc>
      </w:tr>
      <w:tr w:rsidR="00905DF1" w:rsidRPr="00BE652A" w:rsidTr="00FC7E73">
        <w:tc>
          <w:tcPr>
            <w:tcW w:w="2802" w:type="dxa"/>
          </w:tcPr>
          <w:p w:rsidR="00905DF1" w:rsidRPr="00472BCC" w:rsidRDefault="00905DF1" w:rsidP="00905DF1">
            <w:pPr>
              <w:spacing w:beforeLines="40" w:before="96" w:afterLines="40" w:after="96" w:line="276" w:lineRule="auto"/>
              <w:rPr>
                <w:rFonts w:asciiTheme="minorHAnsi" w:hAnsiTheme="minorHAnsi" w:cstheme="minorHAnsi"/>
                <w:sz w:val="20"/>
                <w:szCs w:val="20"/>
              </w:rPr>
            </w:pPr>
            <w:r w:rsidRPr="00472BCC">
              <w:rPr>
                <w:rFonts w:asciiTheme="minorHAnsi" w:hAnsiTheme="minorHAnsi" w:cstheme="minorHAnsi"/>
                <w:sz w:val="20"/>
                <w:szCs w:val="20"/>
              </w:rPr>
              <w:t>Australian National Aged Care Classification (AN-ACC) system</w:t>
            </w:r>
          </w:p>
        </w:tc>
        <w:tc>
          <w:tcPr>
            <w:tcW w:w="6440" w:type="dxa"/>
          </w:tcPr>
          <w:p w:rsidR="00905DF1" w:rsidRPr="00472BCC" w:rsidRDefault="00905DF1" w:rsidP="00905DF1">
            <w:pPr>
              <w:spacing w:beforeLines="40" w:before="96" w:afterLines="40" w:after="96" w:line="276" w:lineRule="auto"/>
              <w:rPr>
                <w:rFonts w:asciiTheme="minorHAnsi" w:hAnsiTheme="minorHAnsi" w:cstheme="minorHAnsi"/>
                <w:sz w:val="20"/>
                <w:szCs w:val="20"/>
              </w:rPr>
            </w:pPr>
            <w:r w:rsidRPr="00472BCC">
              <w:rPr>
                <w:rFonts w:asciiTheme="minorHAnsi" w:hAnsiTheme="minorHAnsi" w:cstheme="minorHAnsi"/>
                <w:sz w:val="20"/>
                <w:szCs w:val="20"/>
              </w:rPr>
              <w:t>Consists of the AN-ACC assessment, AN-ACC casemix classification and</w:t>
            </w:r>
            <w:r>
              <w:rPr>
                <w:rFonts w:asciiTheme="minorHAnsi" w:hAnsiTheme="minorHAnsi" w:cstheme="minorHAnsi"/>
                <w:sz w:val="20"/>
                <w:szCs w:val="20"/>
              </w:rPr>
              <w:t xml:space="preserve"> </w:t>
            </w:r>
            <w:r w:rsidRPr="00472BCC">
              <w:rPr>
                <w:rFonts w:asciiTheme="minorHAnsi" w:hAnsiTheme="minorHAnsi" w:cstheme="minorHAnsi"/>
                <w:sz w:val="20"/>
                <w:szCs w:val="20"/>
              </w:rPr>
              <w:t>AN-ACC funding model.</w:t>
            </w:r>
          </w:p>
        </w:tc>
      </w:tr>
      <w:tr w:rsidR="00905DF1" w:rsidRPr="00BE652A" w:rsidTr="00FC7E73">
        <w:tc>
          <w:tcPr>
            <w:tcW w:w="2802"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Casemix</w:t>
            </w:r>
          </w:p>
        </w:tc>
        <w:tc>
          <w:tcPr>
            <w:tcW w:w="6440"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A system that allocates se</w:t>
            </w:r>
            <w:r>
              <w:rPr>
                <w:rFonts w:asciiTheme="minorHAnsi" w:hAnsiTheme="minorHAnsi" w:cstheme="minorHAnsi"/>
                <w:sz w:val="20"/>
                <w:szCs w:val="20"/>
              </w:rPr>
              <w:t xml:space="preserve">rvice recipients into classes. </w:t>
            </w:r>
            <w:r w:rsidRPr="00BE652A">
              <w:rPr>
                <w:rFonts w:asciiTheme="minorHAnsi" w:hAnsiTheme="minorHAnsi" w:cstheme="minorHAnsi"/>
                <w:sz w:val="20"/>
                <w:szCs w:val="20"/>
              </w:rPr>
              <w:t>Care recipients within a class will have similar clinical attributes and their care will involve similar levels of resource consumption.</w:t>
            </w:r>
          </w:p>
        </w:tc>
      </w:tr>
      <w:tr w:rsidR="00905DF1" w:rsidRPr="00BE652A" w:rsidTr="00FC7E73">
        <w:tc>
          <w:tcPr>
            <w:tcW w:w="2802" w:type="dxa"/>
          </w:tcPr>
          <w:p w:rsidR="00905DF1" w:rsidRDefault="00905DF1" w:rsidP="00905DF1">
            <w:pPr>
              <w:spacing w:beforeLines="40" w:before="96" w:afterLines="40" w:after="96" w:line="276" w:lineRule="auto"/>
              <w:rPr>
                <w:sz w:val="20"/>
                <w:szCs w:val="20"/>
              </w:rPr>
            </w:pPr>
            <w:r w:rsidRPr="00386A60">
              <w:rPr>
                <w:rFonts w:asciiTheme="minorHAnsi" w:hAnsiTheme="minorHAnsi" w:cstheme="minorHAnsi"/>
                <w:sz w:val="20"/>
                <w:szCs w:val="20"/>
              </w:rPr>
              <w:t>Fixed care costs</w:t>
            </w:r>
          </w:p>
        </w:tc>
        <w:tc>
          <w:tcPr>
            <w:tcW w:w="6440" w:type="dxa"/>
          </w:tcPr>
          <w:p w:rsidR="00905DF1" w:rsidRDefault="00905DF1" w:rsidP="00905DF1">
            <w:pPr>
              <w:spacing w:beforeLines="40" w:before="96" w:afterLines="40" w:after="96" w:line="276" w:lineRule="auto"/>
              <w:rPr>
                <w:sz w:val="20"/>
                <w:szCs w:val="20"/>
              </w:rPr>
            </w:pPr>
            <w:r w:rsidRPr="00386A60">
              <w:rPr>
                <w:rFonts w:asciiTheme="minorHAnsi" w:hAnsiTheme="minorHAnsi" w:cstheme="minorHAnsi"/>
                <w:sz w:val="20"/>
                <w:szCs w:val="20"/>
              </w:rPr>
              <w:t>The costs of care-related services that are not driven by the care needs of individual residents but by care costs consumed equally by all residents plus facility characteristics. These include the costs of shared care and a proportion of the costs of facility management, care co-ordination, administration and education. In a blended funding model these costs are funded through a fixed payment per day for each facility type.</w:t>
            </w:r>
            <w:r>
              <w:rPr>
                <w:sz w:val="20"/>
                <w:szCs w:val="20"/>
              </w:rPr>
              <w:t xml:space="preserve"> </w:t>
            </w:r>
          </w:p>
        </w:tc>
      </w:tr>
      <w:tr w:rsidR="00905DF1" w:rsidRPr="00BE652A" w:rsidTr="00FC7E73">
        <w:tc>
          <w:tcPr>
            <w:tcW w:w="2802" w:type="dxa"/>
          </w:tcPr>
          <w:p w:rsidR="00905DF1" w:rsidRDefault="00905DF1" w:rsidP="00905DF1">
            <w:pPr>
              <w:spacing w:beforeLines="40" w:before="96" w:afterLines="40" w:after="96" w:line="276" w:lineRule="auto"/>
              <w:rPr>
                <w:sz w:val="20"/>
                <w:szCs w:val="20"/>
              </w:rPr>
            </w:pPr>
            <w:r w:rsidRPr="00386A60">
              <w:rPr>
                <w:rFonts w:asciiTheme="minorHAnsi" w:hAnsiTheme="minorHAnsi" w:cstheme="minorHAnsi"/>
                <w:sz w:val="20"/>
                <w:szCs w:val="20"/>
              </w:rPr>
              <w:t>Hotel costs</w:t>
            </w:r>
          </w:p>
        </w:tc>
        <w:tc>
          <w:tcPr>
            <w:tcW w:w="6440" w:type="dxa"/>
          </w:tcPr>
          <w:p w:rsidR="00905DF1" w:rsidRPr="00433D5D" w:rsidRDefault="00905DF1" w:rsidP="00905DF1">
            <w:pPr>
              <w:spacing w:beforeLines="40" w:before="96" w:afterLines="40" w:after="96" w:line="276" w:lineRule="auto"/>
              <w:rPr>
                <w:sz w:val="20"/>
                <w:szCs w:val="20"/>
              </w:rPr>
            </w:pPr>
            <w:r w:rsidRPr="00386A60">
              <w:rPr>
                <w:rFonts w:asciiTheme="minorHAnsi" w:hAnsiTheme="minorHAnsi" w:cstheme="minorHAnsi"/>
                <w:sz w:val="20"/>
                <w:szCs w:val="20"/>
              </w:rPr>
              <w:t>The non-care related costs of providing accommodation within an aged care facility. These include catering, cleaning, laundry, maintenance and utilities. These costs are out-of-scope for the Commonwealth subsidy and generally funded through resident contributions. Hotel costs are out of scope for this analysis.</w:t>
            </w:r>
          </w:p>
        </w:tc>
      </w:tr>
      <w:tr w:rsidR="00905DF1" w:rsidRPr="00BE652A" w:rsidTr="00FC7E73">
        <w:tc>
          <w:tcPr>
            <w:tcW w:w="2802"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Individual care</w:t>
            </w:r>
          </w:p>
        </w:tc>
        <w:tc>
          <w:tcPr>
            <w:tcW w:w="6440"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 xml:space="preserve">Care </w:t>
            </w:r>
            <w:r>
              <w:rPr>
                <w:rFonts w:asciiTheme="minorHAnsi" w:hAnsiTheme="minorHAnsi" w:cstheme="minorHAnsi"/>
                <w:sz w:val="20"/>
                <w:szCs w:val="20"/>
              </w:rPr>
              <w:t xml:space="preserve">that </w:t>
            </w:r>
            <w:r w:rsidRPr="00BE652A">
              <w:rPr>
                <w:rFonts w:asciiTheme="minorHAnsi" w:hAnsiTheme="minorHAnsi" w:cstheme="minorHAnsi"/>
                <w:sz w:val="20"/>
                <w:szCs w:val="20"/>
              </w:rPr>
              <w:t>is tailored to the needs of an individual resident. Differences in individual care time between residents are likely to be associated with differences in assessed function, cognition, behaviour and health status.</w:t>
            </w:r>
          </w:p>
        </w:tc>
      </w:tr>
      <w:tr w:rsidR="00905DF1" w:rsidRPr="00BE652A" w:rsidTr="00FC7E73">
        <w:tc>
          <w:tcPr>
            <w:tcW w:w="2802" w:type="dxa"/>
          </w:tcPr>
          <w:p w:rsidR="00905DF1" w:rsidRPr="00CB5E8E" w:rsidRDefault="00905DF1" w:rsidP="00905DF1">
            <w:pPr>
              <w:spacing w:beforeLines="40" w:before="96" w:afterLines="40" w:after="96" w:line="276" w:lineRule="auto"/>
              <w:rPr>
                <w:rFonts w:asciiTheme="minorHAnsi" w:hAnsiTheme="minorHAnsi" w:cstheme="minorHAnsi"/>
                <w:sz w:val="20"/>
                <w:szCs w:val="20"/>
              </w:rPr>
            </w:pPr>
            <w:r w:rsidRPr="00CB5E8E">
              <w:rPr>
                <w:rFonts w:asciiTheme="minorHAnsi" w:hAnsiTheme="minorHAnsi" w:cstheme="minorHAnsi"/>
                <w:sz w:val="20"/>
                <w:szCs w:val="20"/>
              </w:rPr>
              <w:t>Modified Monash Model</w:t>
            </w:r>
          </w:p>
        </w:tc>
        <w:tc>
          <w:tcPr>
            <w:tcW w:w="6440" w:type="dxa"/>
          </w:tcPr>
          <w:p w:rsidR="00905DF1" w:rsidRPr="00CB3BD7" w:rsidRDefault="00905DF1" w:rsidP="00905DF1">
            <w:pPr>
              <w:spacing w:beforeLines="40" w:before="96" w:afterLines="40" w:after="96" w:line="276" w:lineRule="auto"/>
              <w:rPr>
                <w:rFonts w:cstheme="minorHAnsi"/>
                <w:sz w:val="20"/>
                <w:szCs w:val="20"/>
              </w:rPr>
            </w:pPr>
            <w:r w:rsidRPr="00CB5E8E">
              <w:rPr>
                <w:rFonts w:asciiTheme="minorHAnsi" w:hAnsiTheme="minorHAnsi" w:cstheme="minorHAnsi"/>
                <w:sz w:val="20"/>
                <w:szCs w:val="20"/>
              </w:rPr>
              <w:t>A geographical classification system based on population data that categorises metropolitan, regional, rural and remote into seven levels according to geographical remoteness and town size.</w:t>
            </w:r>
          </w:p>
        </w:tc>
      </w:tr>
      <w:tr w:rsidR="00905DF1" w:rsidRPr="00BE652A" w:rsidTr="00FC7E73">
        <w:tc>
          <w:tcPr>
            <w:tcW w:w="2802" w:type="dxa"/>
          </w:tcPr>
          <w:p w:rsidR="00905DF1" w:rsidRPr="00CB3BD7" w:rsidRDefault="00905DF1" w:rsidP="00905DF1">
            <w:pPr>
              <w:spacing w:beforeLines="40" w:before="96" w:afterLines="40" w:after="96" w:line="276" w:lineRule="auto"/>
              <w:rPr>
                <w:rFonts w:asciiTheme="minorHAnsi" w:hAnsiTheme="minorHAnsi" w:cstheme="minorHAnsi"/>
                <w:sz w:val="20"/>
                <w:szCs w:val="20"/>
                <w:highlight w:val="yellow"/>
              </w:rPr>
            </w:pPr>
            <w:r w:rsidRPr="00CB3BD7">
              <w:rPr>
                <w:rFonts w:asciiTheme="minorHAnsi" w:hAnsiTheme="minorHAnsi" w:cstheme="minorHAnsi"/>
                <w:sz w:val="20"/>
                <w:szCs w:val="20"/>
              </w:rPr>
              <w:t>National Weighted Activity Unit (NWAU)</w:t>
            </w:r>
          </w:p>
        </w:tc>
        <w:tc>
          <w:tcPr>
            <w:tcW w:w="6440" w:type="dxa"/>
          </w:tcPr>
          <w:p w:rsidR="00905DF1" w:rsidRPr="00CB3BD7" w:rsidRDefault="00905DF1" w:rsidP="00905DF1">
            <w:pPr>
              <w:spacing w:beforeLines="40" w:before="96" w:afterLines="40" w:after="96" w:line="276" w:lineRule="auto"/>
              <w:rPr>
                <w:rFonts w:asciiTheme="minorHAnsi" w:hAnsiTheme="minorHAnsi" w:cstheme="minorHAnsi"/>
                <w:sz w:val="20"/>
                <w:szCs w:val="20"/>
              </w:rPr>
            </w:pPr>
            <w:r w:rsidRPr="00CB3BD7">
              <w:rPr>
                <w:rFonts w:asciiTheme="minorHAnsi" w:hAnsiTheme="minorHAnsi" w:cstheme="minorHAnsi"/>
                <w:sz w:val="20"/>
                <w:szCs w:val="20"/>
              </w:rPr>
              <w:t>In the context of this study, a measure of relative price. An NWAU of 1.2 means that the price of the activity is 20% above the national average. An NWAU of 0.5 means that the price is 50% below national average.</w:t>
            </w:r>
          </w:p>
        </w:tc>
      </w:tr>
      <w:tr w:rsidR="00905DF1" w:rsidRPr="00BE652A" w:rsidTr="00FC7E73">
        <w:tc>
          <w:tcPr>
            <w:tcW w:w="2802"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Permanent resident</w:t>
            </w:r>
          </w:p>
        </w:tc>
        <w:tc>
          <w:tcPr>
            <w:tcW w:w="6440"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A person who enters residential aged care as their ongoing place of residence.</w:t>
            </w:r>
          </w:p>
        </w:tc>
      </w:tr>
      <w:tr w:rsidR="00905DF1" w:rsidRPr="00BE652A" w:rsidTr="00FC7E73">
        <w:tc>
          <w:tcPr>
            <w:tcW w:w="2802"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Residential aged care</w:t>
            </w:r>
          </w:p>
        </w:tc>
        <w:tc>
          <w:tcPr>
            <w:tcW w:w="6440"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 xml:space="preserve">Personal and/or nursing care that is provided to a person in a </w:t>
            </w:r>
            <w:r>
              <w:rPr>
                <w:rFonts w:asciiTheme="minorHAnsi" w:hAnsiTheme="minorHAnsi" w:cstheme="minorHAnsi"/>
                <w:sz w:val="20"/>
                <w:szCs w:val="20"/>
              </w:rPr>
              <w:t xml:space="preserve">residential aged care service. </w:t>
            </w:r>
            <w:r w:rsidRPr="00BE652A">
              <w:rPr>
                <w:rFonts w:asciiTheme="minorHAnsi" w:hAnsiTheme="minorHAnsi" w:cstheme="minorHAnsi"/>
                <w:sz w:val="20"/>
                <w:szCs w:val="20"/>
              </w:rPr>
              <w:t>In addition to care, the person is also provided with accommodation that includes meals, cleaning services, furniture and equipment. The residential aged care service must meet certain building standards and appropriate staffing in supplying the provision of that care and accommodation.</w:t>
            </w:r>
          </w:p>
        </w:tc>
      </w:tr>
      <w:tr w:rsidR="00905DF1" w:rsidRPr="00BE652A" w:rsidTr="00FC7E73">
        <w:tc>
          <w:tcPr>
            <w:tcW w:w="2802"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Respite care</w:t>
            </w:r>
          </w:p>
        </w:tc>
        <w:tc>
          <w:tcPr>
            <w:tcW w:w="6440"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Short term care for a person within a residential care facility for short periods of time on a once-off or regular basis. The main purpose of respite is to provide relief for the usual carer.</w:t>
            </w:r>
          </w:p>
        </w:tc>
      </w:tr>
      <w:tr w:rsidR="00905DF1" w:rsidRPr="00BE652A" w:rsidTr="00FC7E73">
        <w:tc>
          <w:tcPr>
            <w:tcW w:w="2802"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lastRenderedPageBreak/>
              <w:t>Shared care</w:t>
            </w:r>
          </w:p>
        </w:tc>
        <w:tc>
          <w:tcPr>
            <w:tcW w:w="6440" w:type="dxa"/>
          </w:tcPr>
          <w:p w:rsidR="00905DF1" w:rsidRPr="00BE652A" w:rsidRDefault="00905DF1" w:rsidP="00905DF1">
            <w:pPr>
              <w:spacing w:beforeLines="40" w:before="96" w:afterLines="40" w:after="96" w:line="276" w:lineRule="auto"/>
              <w:rPr>
                <w:rFonts w:asciiTheme="minorHAnsi" w:hAnsiTheme="minorHAnsi" w:cstheme="minorHAnsi"/>
                <w:sz w:val="20"/>
                <w:szCs w:val="20"/>
              </w:rPr>
            </w:pPr>
            <w:r w:rsidRPr="00BE652A">
              <w:rPr>
                <w:rFonts w:asciiTheme="minorHAnsi" w:hAnsiTheme="minorHAnsi" w:cstheme="minorHAnsi"/>
                <w:sz w:val="20"/>
                <w:szCs w:val="20"/>
              </w:rPr>
              <w:t>Care that is not tailored to individual resident needs and that all residents generally benefit from equally. This includes activities such as general supervision in common areas, night supervision clinical care management and quality activities and incidental bri</w:t>
            </w:r>
            <w:r>
              <w:rPr>
                <w:rFonts w:asciiTheme="minorHAnsi" w:hAnsiTheme="minorHAnsi" w:cstheme="minorHAnsi"/>
                <w:sz w:val="20"/>
                <w:szCs w:val="20"/>
              </w:rPr>
              <w:t>ef interactions with residents.</w:t>
            </w:r>
          </w:p>
        </w:tc>
      </w:tr>
      <w:tr w:rsidR="00905DF1" w:rsidRPr="00BE652A" w:rsidTr="00FC7E73">
        <w:tc>
          <w:tcPr>
            <w:tcW w:w="2802" w:type="dxa"/>
          </w:tcPr>
          <w:p w:rsidR="00905DF1" w:rsidRPr="00386A60" w:rsidRDefault="00905DF1" w:rsidP="00905DF1">
            <w:pPr>
              <w:spacing w:beforeLines="40" w:before="96" w:afterLines="40" w:after="96" w:line="276" w:lineRule="auto"/>
              <w:rPr>
                <w:rFonts w:asciiTheme="minorHAnsi" w:hAnsiTheme="minorHAnsi" w:cstheme="minorHAnsi"/>
                <w:sz w:val="20"/>
                <w:szCs w:val="20"/>
              </w:rPr>
            </w:pPr>
            <w:r w:rsidRPr="00386A60">
              <w:rPr>
                <w:rFonts w:asciiTheme="minorHAnsi" w:hAnsiTheme="minorHAnsi" w:cstheme="minorHAnsi"/>
                <w:sz w:val="20"/>
                <w:szCs w:val="20"/>
              </w:rPr>
              <w:t>Variable costs</w:t>
            </w:r>
          </w:p>
        </w:tc>
        <w:tc>
          <w:tcPr>
            <w:tcW w:w="6440" w:type="dxa"/>
          </w:tcPr>
          <w:p w:rsidR="00905DF1" w:rsidRPr="00BE652A" w:rsidRDefault="00905DF1" w:rsidP="00905DF1">
            <w:pPr>
              <w:spacing w:beforeLines="40" w:before="96" w:afterLines="40" w:after="96" w:line="276" w:lineRule="auto"/>
              <w:rPr>
                <w:rFonts w:cstheme="minorHAnsi"/>
                <w:sz w:val="20"/>
                <w:szCs w:val="20"/>
              </w:rPr>
            </w:pPr>
            <w:r w:rsidRPr="00386A60">
              <w:rPr>
                <w:rFonts w:asciiTheme="minorHAnsi" w:hAnsiTheme="minorHAnsi" w:cstheme="minorHAnsi"/>
                <w:sz w:val="20"/>
                <w:szCs w:val="20"/>
              </w:rPr>
              <w:t>The costs of providing care that is in response to the assessed care needs of individual residents. These costs include a proportion of care staff salary costs that relate to individual care (as opposed to shared care) and the related costs of clinical supplies. In a blended funding model these costs are funded based on the casemix class of the resident</w:t>
            </w:r>
            <w:r w:rsidRPr="00386A60">
              <w:rPr>
                <w:rFonts w:cstheme="minorHAnsi"/>
                <w:sz w:val="20"/>
                <w:szCs w:val="20"/>
              </w:rPr>
              <w:t>.</w:t>
            </w:r>
          </w:p>
        </w:tc>
      </w:tr>
    </w:tbl>
    <w:p w:rsidR="00A14DBB" w:rsidRDefault="00A14DBB">
      <w:pPr>
        <w:spacing w:after="200" w:line="276" w:lineRule="auto"/>
        <w:rPr>
          <w:highlight w:val="yellow"/>
        </w:rPr>
      </w:pPr>
    </w:p>
    <w:p w:rsidR="009927C8" w:rsidRDefault="009927C8" w:rsidP="00003E81">
      <w:pPr>
        <w:rPr>
          <w:highlight w:val="yellow"/>
        </w:rPr>
        <w:sectPr w:rsidR="009927C8" w:rsidSect="003E41EA">
          <w:footerReference w:type="default" r:id="rId14"/>
          <w:pgSz w:w="11906" w:h="16838"/>
          <w:pgMar w:top="1134" w:right="1418" w:bottom="1134" w:left="1418" w:header="709" w:footer="709" w:gutter="0"/>
          <w:pgNumType w:fmt="lowerRoman" w:start="1"/>
          <w:cols w:space="708"/>
          <w:docGrid w:linePitch="360"/>
        </w:sectPr>
      </w:pPr>
    </w:p>
    <w:p w:rsidR="00003E81" w:rsidRDefault="00003E81" w:rsidP="00003E81">
      <w:pPr>
        <w:pStyle w:val="Heading1"/>
        <w:numPr>
          <w:ilvl w:val="0"/>
          <w:numId w:val="0"/>
        </w:numPr>
      </w:pPr>
      <w:bookmarkStart w:id="29" w:name="_Toc2066817"/>
      <w:r w:rsidRPr="00E53859">
        <w:lastRenderedPageBreak/>
        <w:t>Key Messages</w:t>
      </w:r>
      <w:bookmarkEnd w:id="29"/>
    </w:p>
    <w:p w:rsidR="00900AD5" w:rsidRDefault="00900AD5" w:rsidP="00900AD5">
      <w:pPr>
        <w:pStyle w:val="Bullet"/>
      </w:pPr>
      <w:r>
        <w:t>This is the fifth in a series of reports on the R</w:t>
      </w:r>
      <w:r w:rsidRPr="00905D86">
        <w:t xml:space="preserve">esource </w:t>
      </w:r>
      <w:r>
        <w:t>U</w:t>
      </w:r>
      <w:r w:rsidRPr="00905D86">
        <w:t xml:space="preserve">tilisation and </w:t>
      </w:r>
      <w:r>
        <w:t>C</w:t>
      </w:r>
      <w:r w:rsidRPr="00905D86">
        <w:t xml:space="preserve">lassification </w:t>
      </w:r>
      <w:r>
        <w:t>S</w:t>
      </w:r>
      <w:r w:rsidRPr="00905D86">
        <w:t>tudy (RUCS)</w:t>
      </w:r>
      <w:r>
        <w:t>.</w:t>
      </w:r>
      <w:r w:rsidRPr="00905D86">
        <w:t xml:space="preserve"> </w:t>
      </w:r>
      <w:r>
        <w:t xml:space="preserve">This volume describes the proposed new </w:t>
      </w:r>
      <w:r w:rsidR="00AB3DF4">
        <w:t xml:space="preserve">Australian National Aged Care Classification (AN-ACC) </w:t>
      </w:r>
      <w:r>
        <w:t>funding model.</w:t>
      </w:r>
    </w:p>
    <w:p w:rsidR="00900AD5" w:rsidRDefault="00900AD5" w:rsidP="00900AD5">
      <w:pPr>
        <w:pStyle w:val="Bullet"/>
      </w:pPr>
      <w:r>
        <w:t xml:space="preserve">The AN-ACC </w:t>
      </w:r>
      <w:r w:rsidR="00FF007F">
        <w:t xml:space="preserve">funding </w:t>
      </w:r>
      <w:r>
        <w:t xml:space="preserve">model is based on a number of key </w:t>
      </w:r>
      <w:r w:rsidR="007C2CE3">
        <w:t xml:space="preserve">design </w:t>
      </w:r>
      <w:r w:rsidR="00864BBA">
        <w:t>principles:</w:t>
      </w:r>
    </w:p>
    <w:p w:rsidR="00373B3C" w:rsidRPr="000B42C6" w:rsidRDefault="00373B3C" w:rsidP="00373B3C">
      <w:pPr>
        <w:pStyle w:val="Bullets"/>
        <w:numPr>
          <w:ilvl w:val="0"/>
          <w:numId w:val="33"/>
        </w:numPr>
        <w:ind w:left="851" w:hanging="425"/>
      </w:pPr>
      <w:r w:rsidRPr="000B42C6">
        <w:t>Resident assessment for funding to be separate</w:t>
      </w:r>
      <w:r w:rsidR="003F6ABA">
        <w:t>d</w:t>
      </w:r>
      <w:r w:rsidRPr="000B42C6">
        <w:t xml:space="preserve"> from resident assessment for care planning purposes</w:t>
      </w:r>
      <w:r w:rsidR="003F6ABA">
        <w:t>, with assessment for funding to be undertaken externally.</w:t>
      </w:r>
    </w:p>
    <w:p w:rsidR="00373B3C" w:rsidRPr="000B42C6" w:rsidRDefault="00373B3C" w:rsidP="00373B3C">
      <w:pPr>
        <w:pStyle w:val="Bullets"/>
        <w:numPr>
          <w:ilvl w:val="0"/>
          <w:numId w:val="33"/>
        </w:numPr>
        <w:ind w:left="851" w:hanging="425"/>
      </w:pPr>
      <w:r w:rsidRPr="000B42C6">
        <w:t xml:space="preserve">A fixed </w:t>
      </w:r>
      <w:r>
        <w:t>payment</w:t>
      </w:r>
      <w:r w:rsidRPr="000B42C6">
        <w:t xml:space="preserve"> per day for the costs of </w:t>
      </w:r>
      <w:r>
        <w:t xml:space="preserve">care management and </w:t>
      </w:r>
      <w:r w:rsidRPr="000B42C6">
        <w:t xml:space="preserve">care that </w:t>
      </w:r>
      <w:r>
        <w:t>is</w:t>
      </w:r>
      <w:r w:rsidRPr="000B42C6">
        <w:t xml:space="preserve"> shared equall</w:t>
      </w:r>
      <w:r>
        <w:t>y by all residents.</w:t>
      </w:r>
    </w:p>
    <w:p w:rsidR="00373B3C" w:rsidRPr="000B42C6" w:rsidRDefault="00373B3C" w:rsidP="00373B3C">
      <w:pPr>
        <w:pStyle w:val="Bullets"/>
        <w:numPr>
          <w:ilvl w:val="0"/>
          <w:numId w:val="33"/>
        </w:numPr>
        <w:ind w:left="851" w:hanging="425"/>
      </w:pPr>
      <w:r>
        <w:t>A variable payment</w:t>
      </w:r>
      <w:r w:rsidRPr="000B42C6">
        <w:t xml:space="preserve"> per day for the costs of individualised care for each resident based on their AN-ACC casemix class.</w:t>
      </w:r>
    </w:p>
    <w:p w:rsidR="00373B3C" w:rsidRPr="000B42C6" w:rsidRDefault="007C2CE3" w:rsidP="00373B3C">
      <w:pPr>
        <w:pStyle w:val="Bullets"/>
        <w:numPr>
          <w:ilvl w:val="0"/>
          <w:numId w:val="33"/>
        </w:numPr>
        <w:ind w:left="851" w:hanging="425"/>
      </w:pPr>
      <w:r>
        <w:t>A</w:t>
      </w:r>
      <w:r w:rsidR="00373B3C" w:rsidRPr="000B42C6">
        <w:t xml:space="preserve"> one-off adjustment payment for each new resident that recognises additional, but time-limited, resource requirements when someone initially enters residential care</w:t>
      </w:r>
      <w:r w:rsidR="00DF23C3">
        <w:t>.</w:t>
      </w:r>
    </w:p>
    <w:p w:rsidR="00373B3C" w:rsidRDefault="0020372A" w:rsidP="00900AD5">
      <w:pPr>
        <w:pStyle w:val="Bullet"/>
      </w:pPr>
      <w:r>
        <w:t xml:space="preserve">The AN-ACC </w:t>
      </w:r>
      <w:r w:rsidR="00472BCC">
        <w:t>system</w:t>
      </w:r>
      <w:r>
        <w:t xml:space="preserve"> is associated with a number of new concepts in residential aged care funding</w:t>
      </w:r>
      <w:r w:rsidR="00FF007F">
        <w:t>:</w:t>
      </w:r>
    </w:p>
    <w:p w:rsidR="007C2CE3" w:rsidRDefault="007C2CE3" w:rsidP="0020372A">
      <w:pPr>
        <w:pStyle w:val="Bullet"/>
        <w:numPr>
          <w:ilvl w:val="0"/>
          <w:numId w:val="34"/>
        </w:numPr>
        <w:ind w:left="851" w:hanging="425"/>
      </w:pPr>
      <w:r>
        <w:t xml:space="preserve">An </w:t>
      </w:r>
      <w:r w:rsidR="00BD2098">
        <w:t>activity based funding (</w:t>
      </w:r>
      <w:r>
        <w:t>ABF</w:t>
      </w:r>
      <w:r w:rsidR="00BD2098">
        <w:t>)</w:t>
      </w:r>
      <w:r>
        <w:t xml:space="preserve"> approach similar to the </w:t>
      </w:r>
      <w:r w:rsidR="00EE53AC">
        <w:t>n</w:t>
      </w:r>
      <w:r>
        <w:t>ational h</w:t>
      </w:r>
      <w:r w:rsidR="00EE53AC">
        <w:t>ospital funding</w:t>
      </w:r>
      <w:r>
        <w:t xml:space="preserve"> </w:t>
      </w:r>
      <w:r w:rsidR="00AB3DF4">
        <w:t>model</w:t>
      </w:r>
      <w:r>
        <w:t>.</w:t>
      </w:r>
    </w:p>
    <w:p w:rsidR="0020372A" w:rsidRDefault="007C2CE3" w:rsidP="0020372A">
      <w:pPr>
        <w:pStyle w:val="Bullet"/>
        <w:numPr>
          <w:ilvl w:val="0"/>
          <w:numId w:val="34"/>
        </w:numPr>
        <w:ind w:left="851" w:hanging="425"/>
      </w:pPr>
      <w:r>
        <w:t xml:space="preserve">The AN-ACC </w:t>
      </w:r>
      <w:r w:rsidR="0020372A">
        <w:t xml:space="preserve">classification system with 13 classes based on </w:t>
      </w:r>
      <w:r>
        <w:t>th</w:t>
      </w:r>
      <w:r w:rsidR="002E30B7">
        <w:t>ose</w:t>
      </w:r>
      <w:r>
        <w:t xml:space="preserve"> </w:t>
      </w:r>
      <w:r w:rsidR="002E30B7">
        <w:t xml:space="preserve">attributes of </w:t>
      </w:r>
      <w:r w:rsidR="0020372A">
        <w:t>resident</w:t>
      </w:r>
      <w:r w:rsidR="002E30B7">
        <w:t>s</w:t>
      </w:r>
      <w:r w:rsidR="0020372A">
        <w:t xml:space="preserve"> that drive </w:t>
      </w:r>
      <w:r w:rsidR="002E30B7">
        <w:t xml:space="preserve">their </w:t>
      </w:r>
      <w:r w:rsidR="0020372A">
        <w:t xml:space="preserve">care </w:t>
      </w:r>
      <w:r w:rsidR="002E30B7">
        <w:t xml:space="preserve">needs and associated </w:t>
      </w:r>
      <w:r w:rsidR="0020372A">
        <w:t>costs</w:t>
      </w:r>
      <w:r>
        <w:t>.</w:t>
      </w:r>
    </w:p>
    <w:p w:rsidR="0020372A" w:rsidRDefault="007C2CE3" w:rsidP="0020372A">
      <w:pPr>
        <w:pStyle w:val="Bullet"/>
        <w:numPr>
          <w:ilvl w:val="0"/>
          <w:numId w:val="34"/>
        </w:numPr>
        <w:ind w:left="851" w:hanging="425"/>
      </w:pPr>
      <w:r>
        <w:t>Six</w:t>
      </w:r>
      <w:r w:rsidR="003F6ABA">
        <w:t xml:space="preserve"> </w:t>
      </w:r>
      <w:r w:rsidR="002E30B7">
        <w:t xml:space="preserve">different rates for the fixed payment per day </w:t>
      </w:r>
      <w:r>
        <w:t>that re</w:t>
      </w:r>
      <w:r w:rsidR="002E30B7">
        <w:t>flect</w:t>
      </w:r>
      <w:r>
        <w:t xml:space="preserve"> </w:t>
      </w:r>
      <w:r w:rsidR="002D1AF1">
        <w:t xml:space="preserve">structural </w:t>
      </w:r>
      <w:r>
        <w:t>cost</w:t>
      </w:r>
      <w:r w:rsidR="002D1AF1">
        <w:t xml:space="preserve"> differences between different </w:t>
      </w:r>
      <w:r>
        <w:t>facilit</w:t>
      </w:r>
      <w:r w:rsidR="002D1AF1">
        <w:t>y types</w:t>
      </w:r>
      <w:r w:rsidR="003F6ABA">
        <w:t xml:space="preserve">. </w:t>
      </w:r>
      <w:r>
        <w:t>Funding is allocated</w:t>
      </w:r>
      <w:r w:rsidR="003F6ABA">
        <w:t xml:space="preserve"> through a base care tariff.</w:t>
      </w:r>
    </w:p>
    <w:p w:rsidR="0020372A" w:rsidRDefault="0020372A" w:rsidP="0020372A">
      <w:pPr>
        <w:pStyle w:val="Bullet"/>
        <w:numPr>
          <w:ilvl w:val="0"/>
          <w:numId w:val="34"/>
        </w:numPr>
        <w:ind w:left="851" w:hanging="425"/>
      </w:pPr>
      <w:r>
        <w:t>The assignment of National Weighted Activity Unit</w:t>
      </w:r>
      <w:r w:rsidR="007C2CE3">
        <w:t>s</w:t>
      </w:r>
      <w:r>
        <w:t xml:space="preserve"> (NWAU</w:t>
      </w:r>
      <w:r w:rsidR="007C2CE3">
        <w:t>s</w:t>
      </w:r>
      <w:r>
        <w:t>) to</w:t>
      </w:r>
      <w:r w:rsidR="00AB3DF4">
        <w:t xml:space="preserve"> the adjustment payment, </w:t>
      </w:r>
      <w:r>
        <w:t xml:space="preserve">each AN-ACC class and </w:t>
      </w:r>
      <w:r w:rsidR="00AB3DF4">
        <w:t xml:space="preserve">each </w:t>
      </w:r>
      <w:r>
        <w:t>base care tariff.</w:t>
      </w:r>
    </w:p>
    <w:p w:rsidR="0020372A" w:rsidRDefault="0020372A" w:rsidP="0020372A">
      <w:pPr>
        <w:pStyle w:val="Bullet"/>
        <w:numPr>
          <w:ilvl w:val="0"/>
          <w:numId w:val="34"/>
        </w:numPr>
        <w:ind w:left="851" w:hanging="425"/>
      </w:pPr>
      <w:r>
        <w:t xml:space="preserve">The setting of a single </w:t>
      </w:r>
      <w:r w:rsidR="00EE53AC">
        <w:t xml:space="preserve">national care </w:t>
      </w:r>
      <w:r>
        <w:t>price</w:t>
      </w:r>
      <w:r w:rsidR="00EE53AC">
        <w:t xml:space="preserve">. This is </w:t>
      </w:r>
      <w:r>
        <w:t xml:space="preserve">the price </w:t>
      </w:r>
      <w:r w:rsidR="00EE53AC">
        <w:t xml:space="preserve">of </w:t>
      </w:r>
      <w:r>
        <w:t>an NWAU of 1.00.</w:t>
      </w:r>
    </w:p>
    <w:p w:rsidR="003F6ABA" w:rsidRPr="00553726" w:rsidRDefault="007C2CE3" w:rsidP="003F6ABA">
      <w:pPr>
        <w:pStyle w:val="Bullet"/>
      </w:pPr>
      <w:r w:rsidRPr="00553726">
        <w:t>A</w:t>
      </w:r>
      <w:r w:rsidR="00F22208">
        <w:t>n</w:t>
      </w:r>
      <w:r w:rsidRPr="00553726">
        <w:t xml:space="preserve"> </w:t>
      </w:r>
      <w:r w:rsidR="00F22208">
        <w:t>i</w:t>
      </w:r>
      <w:r w:rsidR="003F6ABA" w:rsidRPr="00553726">
        <w:t xml:space="preserve">mplementation </w:t>
      </w:r>
      <w:r w:rsidR="00553726" w:rsidRPr="00553726">
        <w:t>strategy is recommended that includes</w:t>
      </w:r>
      <w:r w:rsidR="00FF007F">
        <w:t>:</w:t>
      </w:r>
    </w:p>
    <w:p w:rsidR="00553726" w:rsidRDefault="00EE53AC" w:rsidP="00FE1F4A">
      <w:pPr>
        <w:pStyle w:val="Bullet"/>
        <w:numPr>
          <w:ilvl w:val="0"/>
          <w:numId w:val="35"/>
        </w:numPr>
      </w:pPr>
      <w:r>
        <w:t>G</w:t>
      </w:r>
      <w:r w:rsidR="00FE1F4A">
        <w:t xml:space="preserve">radual </w:t>
      </w:r>
      <w:r w:rsidR="00553726">
        <w:t xml:space="preserve">and progressive </w:t>
      </w:r>
      <w:r w:rsidR="00FE1F4A">
        <w:t xml:space="preserve">implementation </w:t>
      </w:r>
      <w:r w:rsidR="00553726">
        <w:t xml:space="preserve">over a two year period with the AN-ACC class and funding allocated for </w:t>
      </w:r>
      <w:r w:rsidR="00693929">
        <w:t xml:space="preserve">all </w:t>
      </w:r>
      <w:r w:rsidR="00553726">
        <w:t xml:space="preserve">new residents </w:t>
      </w:r>
      <w:r>
        <w:t xml:space="preserve">and for </w:t>
      </w:r>
      <w:r w:rsidR="00693929">
        <w:t xml:space="preserve">any </w:t>
      </w:r>
      <w:r w:rsidR="00553726">
        <w:t xml:space="preserve">resident requiring reassessment </w:t>
      </w:r>
      <w:r w:rsidR="00693929">
        <w:t>after a</w:t>
      </w:r>
      <w:r w:rsidR="00864BBA">
        <w:t xml:space="preserve"> single start-date.</w:t>
      </w:r>
    </w:p>
    <w:p w:rsidR="00FE1F4A" w:rsidRDefault="00553726" w:rsidP="00FE1F4A">
      <w:pPr>
        <w:pStyle w:val="Bullet"/>
        <w:numPr>
          <w:ilvl w:val="0"/>
          <w:numId w:val="35"/>
        </w:numPr>
      </w:pPr>
      <w:r>
        <w:t>The use of s</w:t>
      </w:r>
      <w:r w:rsidR="00FE1F4A">
        <w:t>top loss protections</w:t>
      </w:r>
      <w:r>
        <w:t xml:space="preserve"> and the </w:t>
      </w:r>
      <w:r w:rsidR="00EE53AC">
        <w:t xml:space="preserve">time-limited </w:t>
      </w:r>
      <w:r>
        <w:t>continuation of some subsidies to ensure that facilities do not experience sudden losses of income.</w:t>
      </w:r>
    </w:p>
    <w:p w:rsidR="003F6ABA" w:rsidRDefault="00B5433A" w:rsidP="00FE1F4A">
      <w:pPr>
        <w:pStyle w:val="Bullet"/>
        <w:numPr>
          <w:ilvl w:val="0"/>
          <w:numId w:val="35"/>
        </w:numPr>
      </w:pPr>
      <w:r>
        <w:t>A</w:t>
      </w:r>
      <w:r w:rsidR="00553726">
        <w:t xml:space="preserve"> communication strategy and c</w:t>
      </w:r>
      <w:r w:rsidR="00FE1F4A">
        <w:t xml:space="preserve">hange management plan </w:t>
      </w:r>
      <w:r w:rsidR="00553726">
        <w:t xml:space="preserve">suitable for the introduction of </w:t>
      </w:r>
      <w:r w:rsidR="00FE1F4A">
        <w:t>significant reform</w:t>
      </w:r>
      <w:r w:rsidR="00553726">
        <w:t>.</w:t>
      </w:r>
    </w:p>
    <w:p w:rsidR="00003E81" w:rsidRPr="00553726" w:rsidRDefault="00FE1F4A" w:rsidP="00BD2098">
      <w:pPr>
        <w:pStyle w:val="Bullet"/>
        <w:numPr>
          <w:ilvl w:val="0"/>
          <w:numId w:val="35"/>
        </w:numPr>
        <w:rPr>
          <w:b/>
        </w:rPr>
      </w:pPr>
      <w:r>
        <w:t xml:space="preserve">Further studies to be conducted relating the components of the funding model not </w:t>
      </w:r>
      <w:r w:rsidR="00B5433A">
        <w:t xml:space="preserve">yet </w:t>
      </w:r>
      <w:r>
        <w:t>addressed.</w:t>
      </w:r>
    </w:p>
    <w:p w:rsidR="00003E81" w:rsidRDefault="00003E81" w:rsidP="00003E81">
      <w:pPr>
        <w:rPr>
          <w:b/>
        </w:rPr>
        <w:sectPr w:rsidR="00003E81" w:rsidSect="009927C8">
          <w:footerReference w:type="default" r:id="rId15"/>
          <w:pgSz w:w="11906" w:h="16838"/>
          <w:pgMar w:top="1134" w:right="1418" w:bottom="1134" w:left="1418" w:header="709" w:footer="709" w:gutter="0"/>
          <w:pgNumType w:start="1"/>
          <w:cols w:space="708"/>
          <w:docGrid w:linePitch="360"/>
        </w:sectPr>
      </w:pPr>
    </w:p>
    <w:p w:rsidR="00003E81" w:rsidRDefault="00003E81" w:rsidP="00BF2F9F">
      <w:pPr>
        <w:pStyle w:val="Heading1"/>
        <w:numPr>
          <w:ilvl w:val="0"/>
          <w:numId w:val="11"/>
        </w:numPr>
      </w:pPr>
      <w:bookmarkStart w:id="30" w:name="_Toc2066818"/>
      <w:r w:rsidRPr="0016396F">
        <w:lastRenderedPageBreak/>
        <w:t>Introduction</w:t>
      </w:r>
      <w:r>
        <w:t xml:space="preserve"> and background</w:t>
      </w:r>
      <w:bookmarkEnd w:id="30"/>
    </w:p>
    <w:p w:rsidR="00BE518D" w:rsidRPr="000B42C6" w:rsidRDefault="00BE518D" w:rsidP="00BE518D">
      <w:pPr>
        <w:pStyle w:val="Normal-nospacing"/>
      </w:pPr>
      <w:r w:rsidRPr="000B42C6">
        <w:t xml:space="preserve">This </w:t>
      </w:r>
      <w:r w:rsidR="0073042A">
        <w:t xml:space="preserve">is one of a </w:t>
      </w:r>
      <w:r w:rsidRPr="000B42C6">
        <w:t xml:space="preserve">series of reports </w:t>
      </w:r>
      <w:r w:rsidR="0073042A">
        <w:t xml:space="preserve">that </w:t>
      </w:r>
      <w:r w:rsidRPr="000B42C6">
        <w:t>presents the results of an important national study commissioned by the Department</w:t>
      </w:r>
      <w:r w:rsidR="004B7D4B">
        <w:t xml:space="preserve"> of Health (the Department)</w:t>
      </w:r>
      <w:r w:rsidRPr="000B42C6">
        <w:t xml:space="preserve"> to inform the development of a new funding model for residential aged care in Australia. The overall aim of the Resource Utilisation and Clas</w:t>
      </w:r>
      <w:r w:rsidR="00864BBA">
        <w:t>sification Study (RUCS) was to:</w:t>
      </w:r>
    </w:p>
    <w:p w:rsidR="00BE518D" w:rsidRPr="000B42C6" w:rsidRDefault="00BE518D" w:rsidP="00BE518D">
      <w:pPr>
        <w:pStyle w:val="Bullets"/>
      </w:pPr>
      <w:r w:rsidRPr="000B42C6">
        <w:t>Identify the clinical and need characteristics of aged care residents that influence the cost of care (cost drivers)</w:t>
      </w:r>
      <w:r w:rsidR="00F52E5B">
        <w:t>.</w:t>
      </w:r>
    </w:p>
    <w:p w:rsidR="00BE518D" w:rsidRPr="000B42C6" w:rsidRDefault="00BE518D" w:rsidP="00BE518D">
      <w:pPr>
        <w:pStyle w:val="Bullets"/>
      </w:pPr>
      <w:r w:rsidRPr="000B42C6">
        <w:t>Identify the proportion of care costs that are shared across residents (shared costs) and the proportion that are related to individual needs (individual costs)</w:t>
      </w:r>
      <w:r w:rsidR="00F52E5B">
        <w:t>.</w:t>
      </w:r>
    </w:p>
    <w:p w:rsidR="00BE518D" w:rsidRPr="000B42C6" w:rsidRDefault="00BE518D" w:rsidP="00BE518D">
      <w:pPr>
        <w:pStyle w:val="Bullets"/>
      </w:pPr>
      <w:r w:rsidRPr="000B42C6">
        <w:t>Develop a casemix classification based on identified cost drivers that can underpin a funding model that recognises both shared and individual costs</w:t>
      </w:r>
      <w:r w:rsidR="00F52E5B">
        <w:t>.</w:t>
      </w:r>
    </w:p>
    <w:p w:rsidR="00BE518D" w:rsidRPr="000B42C6" w:rsidRDefault="00BE518D" w:rsidP="00BE518D">
      <w:pPr>
        <w:pStyle w:val="Bullets"/>
      </w:pPr>
      <w:r w:rsidRPr="000B42C6">
        <w:t>Develop a new funding assessment that efficiently allows for each resident to be assigned to a payment class based on their needs</w:t>
      </w:r>
      <w:r w:rsidR="00F52E5B">
        <w:t>.</w:t>
      </w:r>
    </w:p>
    <w:p w:rsidR="00BE518D" w:rsidRPr="000B42C6" w:rsidRDefault="00BE518D" w:rsidP="00BE518D">
      <w:pPr>
        <w:pStyle w:val="Bullets"/>
      </w:pPr>
      <w:r w:rsidRPr="000B42C6">
        <w:t>Test the feasibility of implementing the recommended classification and funding model across the Australian residential aged care sector.</w:t>
      </w:r>
    </w:p>
    <w:p w:rsidR="00152F40" w:rsidRDefault="00160088" w:rsidP="00A319F1">
      <w:pPr>
        <w:pStyle w:val="Normal-nospacing"/>
      </w:pPr>
      <w:r w:rsidRPr="00160088">
        <w:t xml:space="preserve">Further details regarding the four separate RUCS studies and the other reports in this series are provided in </w:t>
      </w:r>
      <w:r w:rsidR="00B5433A">
        <w:fldChar w:fldCharType="begin"/>
      </w:r>
      <w:r w:rsidR="00B5433A">
        <w:instrText xml:space="preserve"> REF _Ref528325443 \h </w:instrText>
      </w:r>
      <w:r w:rsidR="00A319F1">
        <w:instrText xml:space="preserve"> \* MERGEFORMAT </w:instrText>
      </w:r>
      <w:r w:rsidR="00B5433A">
        <w:fldChar w:fldCharType="separate"/>
      </w:r>
      <w:r w:rsidR="00847404">
        <w:t xml:space="preserve">Appendix </w:t>
      </w:r>
      <w:r w:rsidR="00847404">
        <w:rPr>
          <w:noProof/>
        </w:rPr>
        <w:t>1</w:t>
      </w:r>
      <w:r w:rsidR="00B5433A">
        <w:fldChar w:fldCharType="end"/>
      </w:r>
      <w:r w:rsidRPr="00160088">
        <w:t>.</w:t>
      </w:r>
    </w:p>
    <w:p w:rsidR="00B3710E" w:rsidRDefault="00B3710E" w:rsidP="00A319F1">
      <w:pPr>
        <w:pStyle w:val="Normal-nospacing"/>
      </w:pPr>
      <w:r w:rsidRPr="00B90D70">
        <w:t xml:space="preserve">The purpose of this report is to provide an outline of the key design features of the proposed </w:t>
      </w:r>
      <w:r w:rsidRPr="00160088">
        <w:t>new funding model</w:t>
      </w:r>
      <w:r>
        <w:t xml:space="preserve">. Also discussed are the </w:t>
      </w:r>
      <w:r w:rsidRPr="00B90D70">
        <w:t>anticipated impacts of the model</w:t>
      </w:r>
      <w:r>
        <w:t xml:space="preserve"> for both government and the aged care sector,</w:t>
      </w:r>
      <w:r w:rsidRPr="00B90D70">
        <w:t xml:space="preserve"> and a recommended approach to implementation.</w:t>
      </w:r>
    </w:p>
    <w:p w:rsidR="00152F40" w:rsidRDefault="00160088" w:rsidP="00A319F1">
      <w:pPr>
        <w:pStyle w:val="Normal-nospacing"/>
      </w:pPr>
      <w:r>
        <w:t xml:space="preserve">The AN-ACC </w:t>
      </w:r>
      <w:r w:rsidR="00152F40">
        <w:t xml:space="preserve">funding model described in this </w:t>
      </w:r>
      <w:r w:rsidR="00EE53AC">
        <w:t>report</w:t>
      </w:r>
      <w:r w:rsidR="00152F40">
        <w:t xml:space="preserve"> addresses a number of </w:t>
      </w:r>
      <w:r w:rsidR="00EE53AC">
        <w:t>weaknesses in t</w:t>
      </w:r>
      <w:r w:rsidR="00152F40">
        <w:t>he current Aged Care Funding Instrument (ACFI) system.</w:t>
      </w:r>
      <w:r w:rsidR="00C135FE">
        <w:t xml:space="preserve"> </w:t>
      </w:r>
      <w:r w:rsidR="004659B6">
        <w:t>Th</w:t>
      </w:r>
      <w:r w:rsidR="00EE53AC">
        <w:t xml:space="preserve">e AN-ACC </w:t>
      </w:r>
      <w:r w:rsidR="004659B6">
        <w:t xml:space="preserve">system provides </w:t>
      </w:r>
      <w:r w:rsidR="00AB3DF4">
        <w:t xml:space="preserve">funding </w:t>
      </w:r>
      <w:r w:rsidR="004659B6">
        <w:t xml:space="preserve">transparency </w:t>
      </w:r>
      <w:r w:rsidR="00D22EB9">
        <w:t xml:space="preserve">by </w:t>
      </w:r>
      <w:r w:rsidR="004659B6">
        <w:t>focus</w:t>
      </w:r>
      <w:r w:rsidR="00D22EB9">
        <w:t xml:space="preserve">ing </w:t>
      </w:r>
      <w:r w:rsidR="004659B6">
        <w:t>on what actually drives the need for care and best predicts resource use</w:t>
      </w:r>
      <w:r w:rsidR="00EE53AC">
        <w:t>. This results in more f</w:t>
      </w:r>
      <w:r w:rsidR="004659B6">
        <w:t>unding equity</w:t>
      </w:r>
      <w:r>
        <w:t xml:space="preserve"> and</w:t>
      </w:r>
      <w:r w:rsidR="004659B6">
        <w:t xml:space="preserve"> </w:t>
      </w:r>
      <w:r w:rsidR="00EE53AC">
        <w:t xml:space="preserve">improved </w:t>
      </w:r>
      <w:r w:rsidR="004659B6">
        <w:t>operational efficiency</w:t>
      </w:r>
      <w:r w:rsidR="00B3710E">
        <w:t>. In addition</w:t>
      </w:r>
      <w:r w:rsidR="00D22EB9">
        <w:t>,</w:t>
      </w:r>
      <w:r w:rsidR="00B3710E">
        <w:t xml:space="preserve"> the AN-ACC system </w:t>
      </w:r>
      <w:r>
        <w:t>enables greater consu</w:t>
      </w:r>
      <w:r w:rsidR="004659B6">
        <w:t xml:space="preserve">mer choice by not being prescriptive in the </w:t>
      </w:r>
      <w:r>
        <w:t xml:space="preserve">specific </w:t>
      </w:r>
      <w:r w:rsidR="004659B6">
        <w:t xml:space="preserve">care </w:t>
      </w:r>
      <w:r>
        <w:t xml:space="preserve">activities that are </w:t>
      </w:r>
      <w:r w:rsidR="00B3710E">
        <w:t>funded.</w:t>
      </w:r>
      <w:r w:rsidR="00AB3DF4">
        <w:t xml:space="preserve"> These are all major deficits in the current ACFI system.</w:t>
      </w:r>
    </w:p>
    <w:p w:rsidR="00BE518D" w:rsidRPr="000B42C6" w:rsidRDefault="00BE518D" w:rsidP="00A319F1">
      <w:pPr>
        <w:pStyle w:val="Normal-nospacing"/>
      </w:pPr>
      <w:r w:rsidRPr="000B42C6">
        <w:t>In considering the results and recommendations included in this report, it is necessary to distinguish between three key ideas:</w:t>
      </w:r>
    </w:p>
    <w:p w:rsidR="00BE518D" w:rsidRPr="000B42C6" w:rsidRDefault="00864BBA" w:rsidP="00BE518D">
      <w:pPr>
        <w:pStyle w:val="Heading4"/>
      </w:pPr>
      <w:r>
        <w:t>Cost</w:t>
      </w:r>
    </w:p>
    <w:p w:rsidR="00BE518D" w:rsidRPr="000B42C6" w:rsidRDefault="00BE518D" w:rsidP="00BE518D">
      <w:pPr>
        <w:pStyle w:val="Normal-nospacing"/>
      </w:pPr>
      <w:r w:rsidRPr="000B42C6">
        <w:t xml:space="preserve">The cost of care for people living in residential </w:t>
      </w:r>
      <w:r w:rsidR="00864BBA">
        <w:t>aged care is in scope for RUCS.</w:t>
      </w:r>
      <w:r w:rsidRPr="000B42C6">
        <w:t xml:space="preserve"> Capital accommodation and ‘hotel’ services are out of scope, as is respite care for non-permanent residents.</w:t>
      </w:r>
    </w:p>
    <w:p w:rsidR="00BE518D" w:rsidRPr="000B42C6" w:rsidRDefault="00BE518D" w:rsidP="00BE518D">
      <w:pPr>
        <w:pStyle w:val="Heading4"/>
      </w:pPr>
      <w:r w:rsidRPr="000B42C6">
        <w:t>Funding (payment) model and policy</w:t>
      </w:r>
    </w:p>
    <w:p w:rsidR="00BE518D" w:rsidRPr="000B42C6" w:rsidRDefault="00BE518D" w:rsidP="00BE518D">
      <w:pPr>
        <w:pStyle w:val="Normal-nospacing"/>
      </w:pPr>
      <w:r w:rsidRPr="000B42C6">
        <w:t>Funding and payment issues are in scope. The role of the RUCS research team is to develop the funding model and provide policy advice on its potential implementation.</w:t>
      </w:r>
    </w:p>
    <w:p w:rsidR="00BE518D" w:rsidRPr="000B42C6" w:rsidRDefault="00BE518D" w:rsidP="00BE518D">
      <w:pPr>
        <w:pStyle w:val="Heading4"/>
      </w:pPr>
      <w:r w:rsidRPr="000B42C6">
        <w:lastRenderedPageBreak/>
        <w:t>Price</w:t>
      </w:r>
    </w:p>
    <w:p w:rsidR="00094720" w:rsidRDefault="00BE518D" w:rsidP="00BE518D">
      <w:pPr>
        <w:pStyle w:val="Normal-nospacing"/>
      </w:pPr>
      <w:r w:rsidRPr="000B42C6">
        <w:t>Price is out of scope for RUCS as price is ultimately a decision for payers (both government and consumers). But the RUCS has generated significant evidence that can aid decision-making about pricing.</w:t>
      </w:r>
    </w:p>
    <w:p w:rsidR="00A1572E" w:rsidRDefault="00A1572E">
      <w:pPr>
        <w:spacing w:after="200" w:line="276" w:lineRule="auto"/>
        <w:rPr>
          <w:rFonts w:eastAsiaTheme="minorHAnsi" w:cstheme="minorHAnsi"/>
          <w:lang w:eastAsia="zh-CN" w:bidi="th-TH"/>
        </w:rPr>
      </w:pPr>
      <w:r>
        <w:br w:type="page"/>
      </w:r>
    </w:p>
    <w:p w:rsidR="00BF2F9F" w:rsidRDefault="00BF2F9F" w:rsidP="00BF2F9F">
      <w:pPr>
        <w:pStyle w:val="Heading1"/>
      </w:pPr>
      <w:bookmarkStart w:id="31" w:name="_Toc2066819"/>
      <w:r>
        <w:lastRenderedPageBreak/>
        <w:t>Overview of the proposed AN-ACC funding model</w:t>
      </w:r>
      <w:bookmarkEnd w:id="31"/>
    </w:p>
    <w:p w:rsidR="00336FD0" w:rsidRDefault="00780370" w:rsidP="00A319F1">
      <w:pPr>
        <w:pStyle w:val="Normal-nospacing"/>
      </w:pPr>
      <w:r>
        <w:t xml:space="preserve">The </w:t>
      </w:r>
      <w:r w:rsidR="00693929">
        <w:t xml:space="preserve">AN-ACC </w:t>
      </w:r>
      <w:r>
        <w:t xml:space="preserve">funding model </w:t>
      </w:r>
      <w:r w:rsidR="00693929">
        <w:t>is si</w:t>
      </w:r>
      <w:r w:rsidR="00336FD0">
        <w:t xml:space="preserve">milar to the activity based funding </w:t>
      </w:r>
      <w:r w:rsidR="00AF1BA4">
        <w:t xml:space="preserve">(ABF) </w:t>
      </w:r>
      <w:r w:rsidR="00336FD0">
        <w:t xml:space="preserve">system that is in place across the </w:t>
      </w:r>
      <w:r w:rsidR="00AF1BA4">
        <w:t>h</w:t>
      </w:r>
      <w:r w:rsidR="00336FD0">
        <w:t xml:space="preserve">ealth system nationally. Although this approach is best </w:t>
      </w:r>
      <w:r w:rsidR="00AF1BA4">
        <w:t xml:space="preserve">known </w:t>
      </w:r>
      <w:r w:rsidR="0073042A">
        <w:t xml:space="preserve">in its application </w:t>
      </w:r>
      <w:r w:rsidR="00336FD0">
        <w:t xml:space="preserve">in the acute </w:t>
      </w:r>
      <w:r w:rsidR="00AF1BA4">
        <w:t xml:space="preserve">hospital </w:t>
      </w:r>
      <w:r w:rsidR="00336FD0">
        <w:t>sector</w:t>
      </w:r>
      <w:r w:rsidR="00AF1BA4">
        <w:t>,</w:t>
      </w:r>
      <w:r w:rsidR="00336FD0">
        <w:t xml:space="preserve"> it is an e</w:t>
      </w:r>
      <w:r w:rsidR="0073042A">
        <w:t>minently</w:t>
      </w:r>
      <w:r w:rsidR="00336FD0">
        <w:t xml:space="preserve"> flexible </w:t>
      </w:r>
      <w:r w:rsidR="0073042A">
        <w:t xml:space="preserve">approach that </w:t>
      </w:r>
      <w:r w:rsidR="00336FD0">
        <w:t xml:space="preserve">has been successfully applied in subacute and non-acute care as well as non-admitted and community based care systems nationally and internationally. </w:t>
      </w:r>
      <w:r w:rsidR="00AF1BA4">
        <w:t>It has also been successfully implemented in the disability and education sectors.</w:t>
      </w:r>
    </w:p>
    <w:p w:rsidR="0073042A" w:rsidRDefault="00AF1BA4" w:rsidP="00A319F1">
      <w:pPr>
        <w:pStyle w:val="Normal-nospacing"/>
      </w:pPr>
      <w:r>
        <w:t>T</w:t>
      </w:r>
      <w:r w:rsidR="0073042A">
        <w:t xml:space="preserve">he key characteristics of </w:t>
      </w:r>
      <w:r w:rsidR="002865CC">
        <w:t xml:space="preserve">activity based funding systems </w:t>
      </w:r>
      <w:r>
        <w:t>are</w:t>
      </w:r>
      <w:r w:rsidR="004C4D83">
        <w:t>:</w:t>
      </w:r>
    </w:p>
    <w:p w:rsidR="00A67EB2" w:rsidRDefault="004D3424" w:rsidP="004C4D83">
      <w:pPr>
        <w:pStyle w:val="Bullet"/>
      </w:pPr>
      <w:r>
        <w:t xml:space="preserve">A </w:t>
      </w:r>
      <w:r w:rsidR="0073042A">
        <w:t xml:space="preserve">classification system </w:t>
      </w:r>
      <w:r>
        <w:t xml:space="preserve">with classes </w:t>
      </w:r>
      <w:r w:rsidR="007C4FD2">
        <w:t xml:space="preserve">that </w:t>
      </w:r>
      <w:r>
        <w:t xml:space="preserve">describe </w:t>
      </w:r>
      <w:r w:rsidR="007C4FD2">
        <w:t xml:space="preserve">the characteristics of </w:t>
      </w:r>
      <w:r w:rsidR="003E111B">
        <w:t>those receiving care.</w:t>
      </w:r>
    </w:p>
    <w:p w:rsidR="007C4FD2" w:rsidRDefault="004D3424" w:rsidP="004C4D83">
      <w:pPr>
        <w:pStyle w:val="Bullet"/>
      </w:pPr>
      <w:r>
        <w:t>C</w:t>
      </w:r>
      <w:r w:rsidR="00A67EB2">
        <w:t>lasses</w:t>
      </w:r>
      <w:r w:rsidR="0073042A">
        <w:t xml:space="preserve"> </w:t>
      </w:r>
      <w:r w:rsidR="007C4FD2">
        <w:t xml:space="preserve">that </w:t>
      </w:r>
      <w:r w:rsidR="0073042A">
        <w:t>are both clinically mean</w:t>
      </w:r>
      <w:r w:rsidR="00A67EB2">
        <w:t>ingful and resource homogeneous</w:t>
      </w:r>
      <w:r w:rsidR="00AB3DF4">
        <w:t>. This a</w:t>
      </w:r>
      <w:r w:rsidR="007C4FD2">
        <w:t>llow</w:t>
      </w:r>
      <w:r w:rsidR="00AB3DF4">
        <w:t>s</w:t>
      </w:r>
      <w:r w:rsidR="007C4FD2">
        <w:t xml:space="preserve"> them to be used </w:t>
      </w:r>
      <w:r w:rsidR="00AB3DF4">
        <w:t xml:space="preserve">for funding purposes as well as providing a </w:t>
      </w:r>
      <w:r w:rsidR="00D467DE">
        <w:t>bas</w:t>
      </w:r>
      <w:r w:rsidR="00AB3DF4">
        <w:t>e</w:t>
      </w:r>
      <w:r w:rsidR="00D467DE">
        <w:t xml:space="preserve"> f</w:t>
      </w:r>
      <w:r w:rsidR="00AB3DF4">
        <w:t>or</w:t>
      </w:r>
      <w:r w:rsidR="00D467DE">
        <w:t xml:space="preserve"> measuring </w:t>
      </w:r>
      <w:r w:rsidR="007C4FD2">
        <w:t xml:space="preserve">the outcomes of </w:t>
      </w:r>
      <w:r w:rsidR="00A67EB2">
        <w:t>care</w:t>
      </w:r>
      <w:r w:rsidR="00D467DE">
        <w:t>.</w:t>
      </w:r>
    </w:p>
    <w:p w:rsidR="004C4D83" w:rsidRDefault="00AF1BA4" w:rsidP="004C4D83">
      <w:pPr>
        <w:pStyle w:val="Bullet"/>
      </w:pPr>
      <w:r>
        <w:t>A p</w:t>
      </w:r>
      <w:r w:rsidR="007C4FD2">
        <w:t xml:space="preserve">ayment model </w:t>
      </w:r>
      <w:r>
        <w:t>in which t</w:t>
      </w:r>
      <w:r w:rsidR="007C4FD2">
        <w:t>here is an explicit relationship between cost and price infor</w:t>
      </w:r>
      <w:r w:rsidR="003E111B">
        <w:t>med by regular costing studies.</w:t>
      </w:r>
    </w:p>
    <w:p w:rsidR="004C4D83" w:rsidRDefault="00901951" w:rsidP="004C4D83">
      <w:pPr>
        <w:pStyle w:val="Bullet"/>
      </w:pPr>
      <w:r>
        <w:t>National w</w:t>
      </w:r>
      <w:r w:rsidR="004C4D83">
        <w:t>eighted activity units</w:t>
      </w:r>
      <w:r w:rsidR="008834F7">
        <w:t xml:space="preserve"> (NWAU)</w:t>
      </w:r>
      <w:r w:rsidR="004C4D83">
        <w:t xml:space="preserve"> for all classes based on cost </w:t>
      </w:r>
      <w:r w:rsidR="00AF1BA4">
        <w:t xml:space="preserve">relativities </w:t>
      </w:r>
      <w:r w:rsidR="004C4D83">
        <w:t>between classes and a single pr</w:t>
      </w:r>
      <w:r w:rsidR="003E111B">
        <w:t>ice across all care activities.</w:t>
      </w:r>
    </w:p>
    <w:p w:rsidR="00D467DE" w:rsidRDefault="004C4D83" w:rsidP="00A319F1">
      <w:pPr>
        <w:pStyle w:val="Normal-nospacing"/>
      </w:pPr>
      <w:r>
        <w:t xml:space="preserve">All of these characteristics are incorporated in the proposed model with some additional concepts that are required for application in the aged care sector. An important </w:t>
      </w:r>
      <w:r w:rsidR="00B3710E">
        <w:t xml:space="preserve">difference between the hospital system and residential aged care </w:t>
      </w:r>
      <w:r>
        <w:t xml:space="preserve">is the fact that the care home is the usual residence </w:t>
      </w:r>
      <w:r w:rsidR="00B3710E">
        <w:t>of the person receiving care</w:t>
      </w:r>
      <w:r w:rsidR="0004575B">
        <w:t>. In th</w:t>
      </w:r>
      <w:r w:rsidR="00AF1BA4">
        <w:t xml:space="preserve">e funding context, the major implication </w:t>
      </w:r>
      <w:r w:rsidR="0004575B">
        <w:t xml:space="preserve">is </w:t>
      </w:r>
      <w:r w:rsidR="00AF1BA4">
        <w:t xml:space="preserve">that </w:t>
      </w:r>
      <w:r w:rsidR="0004575B">
        <w:t xml:space="preserve">there are accommodation </w:t>
      </w:r>
      <w:r w:rsidR="00AF1BA4">
        <w:t xml:space="preserve">costs </w:t>
      </w:r>
      <w:r w:rsidR="0004575B">
        <w:t>that are met by resident</w:t>
      </w:r>
      <w:r w:rsidR="00D467DE">
        <w:t>s</w:t>
      </w:r>
      <w:r w:rsidR="0004575B">
        <w:t xml:space="preserve"> themselve</w:t>
      </w:r>
      <w:r w:rsidR="00D467DE">
        <w:t>s</w:t>
      </w:r>
      <w:r w:rsidR="00AF1BA4">
        <w:t>.</w:t>
      </w:r>
    </w:p>
    <w:p w:rsidR="007C4FD2" w:rsidRDefault="00AF1BA4" w:rsidP="00A319F1">
      <w:pPr>
        <w:pStyle w:val="Normal-nospacing"/>
      </w:pPr>
      <w:r>
        <w:t>Another important differe</w:t>
      </w:r>
      <w:r w:rsidRPr="003414AD">
        <w:t>nce is</w:t>
      </w:r>
      <w:r w:rsidR="0004575B" w:rsidRPr="003414AD">
        <w:t xml:space="preserve"> </w:t>
      </w:r>
      <w:r w:rsidRPr="003414AD">
        <w:t xml:space="preserve">that, in residential care, </w:t>
      </w:r>
      <w:r w:rsidR="003414AD" w:rsidRPr="003414AD">
        <w:t xml:space="preserve">about </w:t>
      </w:r>
      <w:r w:rsidR="00D467DE" w:rsidRPr="003414AD">
        <w:t xml:space="preserve">half of </w:t>
      </w:r>
      <w:r w:rsidR="003414AD" w:rsidRPr="003414AD">
        <w:t xml:space="preserve">all </w:t>
      </w:r>
      <w:r w:rsidR="0004575B" w:rsidRPr="003414AD">
        <w:t xml:space="preserve">care </w:t>
      </w:r>
      <w:r w:rsidR="004C4D83" w:rsidRPr="003414AD">
        <w:t xml:space="preserve">costs are </w:t>
      </w:r>
      <w:r w:rsidRPr="003414AD">
        <w:t xml:space="preserve">for </w:t>
      </w:r>
      <w:r w:rsidR="0004575B" w:rsidRPr="003414AD">
        <w:t xml:space="preserve">services to which everyone in the facility </w:t>
      </w:r>
      <w:r w:rsidR="00D467DE" w:rsidRPr="003414AD">
        <w:t xml:space="preserve">shares </w:t>
      </w:r>
      <w:r w:rsidR="0004575B" w:rsidRPr="003414AD">
        <w:t>equal</w:t>
      </w:r>
      <w:r w:rsidR="00D467DE" w:rsidRPr="003414AD">
        <w:t xml:space="preserve">ly. </w:t>
      </w:r>
      <w:r w:rsidR="003414AD" w:rsidRPr="003414AD">
        <w:t xml:space="preserve">The other half are delivered to meet the </w:t>
      </w:r>
      <w:r w:rsidR="004C4D83" w:rsidRPr="003414AD">
        <w:t xml:space="preserve">care needs of </w:t>
      </w:r>
      <w:r w:rsidR="003414AD">
        <w:t>an</w:t>
      </w:r>
      <w:r w:rsidR="003414AD" w:rsidRPr="003414AD">
        <w:t xml:space="preserve"> ind</w:t>
      </w:r>
      <w:r w:rsidR="004C4D83" w:rsidRPr="003414AD">
        <w:t>ividual resident</w:t>
      </w:r>
      <w:r w:rsidR="0004575B" w:rsidRPr="003414AD">
        <w:t>.</w:t>
      </w:r>
    </w:p>
    <w:p w:rsidR="0073042A" w:rsidRDefault="006E2C60" w:rsidP="00A319F1">
      <w:pPr>
        <w:pStyle w:val="Normal-nospacing"/>
      </w:pPr>
      <w:r>
        <w:t xml:space="preserve">The </w:t>
      </w:r>
      <w:r w:rsidR="004C4D83">
        <w:t xml:space="preserve">AN-ACC </w:t>
      </w:r>
      <w:r>
        <w:t xml:space="preserve">payment model, therefore, includes two </w:t>
      </w:r>
      <w:r w:rsidR="00114754">
        <w:t>main components</w:t>
      </w:r>
      <w:r w:rsidR="00AF1BA4">
        <w:t xml:space="preserve">. The first is </w:t>
      </w:r>
      <w:r w:rsidR="007B1296">
        <w:t>a</w:t>
      </w:r>
      <w:r w:rsidR="00114754">
        <w:t xml:space="preserve"> </w:t>
      </w:r>
      <w:r w:rsidR="00630C54">
        <w:t>s</w:t>
      </w:r>
      <w:r w:rsidR="00544296">
        <w:t>tandard per diem (‘fixed</w:t>
      </w:r>
      <w:r w:rsidR="00630C54">
        <w:t xml:space="preserve"> care</w:t>
      </w:r>
      <w:r w:rsidR="00544296">
        <w:t>’) paymen</w:t>
      </w:r>
      <w:r w:rsidR="00630C54">
        <w:t>t</w:t>
      </w:r>
      <w:r w:rsidR="00544296">
        <w:t xml:space="preserve"> </w:t>
      </w:r>
      <w:r w:rsidR="00114754">
        <w:t xml:space="preserve">to </w:t>
      </w:r>
      <w:r w:rsidR="00544296">
        <w:t>cover the costs of ensuring capacity and providing the care tha</w:t>
      </w:r>
      <w:r w:rsidR="007B1296">
        <w:t>t all residents receive equally</w:t>
      </w:r>
      <w:r w:rsidR="003E111B">
        <w:t xml:space="preserve">. </w:t>
      </w:r>
      <w:r w:rsidR="00AF1BA4">
        <w:t xml:space="preserve">The second is </w:t>
      </w:r>
      <w:r w:rsidR="007B1296">
        <w:t>a</w:t>
      </w:r>
      <w:r w:rsidR="00544296">
        <w:t xml:space="preserve"> variable payment </w:t>
      </w:r>
      <w:r w:rsidR="00114754">
        <w:t xml:space="preserve">that </w:t>
      </w:r>
      <w:r w:rsidR="00544296">
        <w:t>covers the costs of ind</w:t>
      </w:r>
      <w:r w:rsidR="007B1296">
        <w:t>ividualised care for residents.</w:t>
      </w:r>
      <w:r w:rsidR="00544296">
        <w:t xml:space="preserve"> </w:t>
      </w:r>
      <w:r w:rsidR="007B1296">
        <w:t xml:space="preserve">The fixed care payment is based on characteristics of the facility and the variable payment is based on the </w:t>
      </w:r>
      <w:r w:rsidR="0012740A">
        <w:t xml:space="preserve">AN-ACC </w:t>
      </w:r>
      <w:r w:rsidR="007B1296">
        <w:t xml:space="preserve">class assigned </w:t>
      </w:r>
      <w:r w:rsidR="0004575B">
        <w:t xml:space="preserve">to each resident </w:t>
      </w:r>
      <w:r w:rsidR="007B1296">
        <w:t xml:space="preserve">following an </w:t>
      </w:r>
      <w:r w:rsidR="0012740A">
        <w:t xml:space="preserve">independent </w:t>
      </w:r>
      <w:r w:rsidR="0004575B">
        <w:t xml:space="preserve">care needs </w:t>
      </w:r>
      <w:r w:rsidR="003E111B">
        <w:t>assessment.</w:t>
      </w:r>
    </w:p>
    <w:p w:rsidR="0073042A" w:rsidRPr="000B42C6" w:rsidRDefault="0073042A" w:rsidP="0073042A">
      <w:pPr>
        <w:pStyle w:val="Heading2"/>
        <w:ind w:left="578" w:hanging="578"/>
      </w:pPr>
      <w:bookmarkStart w:id="32" w:name="_Toc533150123"/>
      <w:bookmarkStart w:id="33" w:name="_Toc2066820"/>
      <w:r w:rsidRPr="000B42C6">
        <w:t>Key elements of the AN-ACC assessment and funding model</w:t>
      </w:r>
      <w:bookmarkEnd w:id="32"/>
      <w:bookmarkEnd w:id="33"/>
    </w:p>
    <w:p w:rsidR="0073042A" w:rsidRPr="000B42C6" w:rsidRDefault="0073042A" w:rsidP="0073042A">
      <w:pPr>
        <w:pStyle w:val="Normal-nospacing"/>
      </w:pPr>
      <w:r w:rsidRPr="000B42C6">
        <w:t>The AN-ACC assessment and funding model is based on six key design elements:</w:t>
      </w:r>
    </w:p>
    <w:p w:rsidR="0073042A" w:rsidRPr="000B42C6" w:rsidRDefault="0073042A" w:rsidP="0073042A">
      <w:pPr>
        <w:pStyle w:val="Bullets"/>
        <w:numPr>
          <w:ilvl w:val="0"/>
          <w:numId w:val="23"/>
        </w:numPr>
      </w:pPr>
      <w:r w:rsidRPr="000B42C6">
        <w:t>Resident assessment for funding to be separate from resident assessment for care planning purposes</w:t>
      </w:r>
      <w:r w:rsidR="000441E8">
        <w:t>.</w:t>
      </w:r>
    </w:p>
    <w:p w:rsidR="0073042A" w:rsidRPr="000B42C6" w:rsidRDefault="0073042A" w:rsidP="0073042A">
      <w:pPr>
        <w:pStyle w:val="Bullets"/>
        <w:numPr>
          <w:ilvl w:val="0"/>
          <w:numId w:val="23"/>
        </w:numPr>
      </w:pPr>
      <w:r w:rsidRPr="000B42C6">
        <w:t>Assessment for funding purposes to be undertaken by external assessors capturing the information necessary to assign a resident to a payment class</w:t>
      </w:r>
      <w:r w:rsidR="000441E8">
        <w:t>.</w:t>
      </w:r>
    </w:p>
    <w:p w:rsidR="0073042A" w:rsidRPr="000B42C6" w:rsidRDefault="0073042A" w:rsidP="0073042A">
      <w:pPr>
        <w:pStyle w:val="Bullets"/>
        <w:numPr>
          <w:ilvl w:val="0"/>
          <w:numId w:val="23"/>
        </w:numPr>
      </w:pPr>
      <w:r w:rsidRPr="000B42C6">
        <w:lastRenderedPageBreak/>
        <w:t>Assessment related to care planning to be undertaken by the residential aged care facility based on resident needs and und</w:t>
      </w:r>
      <w:r w:rsidR="00BD2098">
        <w:t xml:space="preserve">erpinned by consumer </w:t>
      </w:r>
      <w:r w:rsidRPr="000B42C6">
        <w:t>directed care (CDC) principles</w:t>
      </w:r>
      <w:r w:rsidR="000441E8">
        <w:t>.</w:t>
      </w:r>
    </w:p>
    <w:p w:rsidR="0073042A" w:rsidRPr="000B42C6" w:rsidRDefault="0073042A" w:rsidP="0073042A">
      <w:pPr>
        <w:pStyle w:val="Bullets"/>
        <w:numPr>
          <w:ilvl w:val="0"/>
          <w:numId w:val="23"/>
        </w:numPr>
      </w:pPr>
      <w:r w:rsidRPr="000B42C6">
        <w:t>Provision of a one-off adjustment payment for each new resident that recognises additional, but time-limited, resource requirements when someone initially enters residential care</w:t>
      </w:r>
      <w:r w:rsidR="000441E8">
        <w:t>.</w:t>
      </w:r>
    </w:p>
    <w:p w:rsidR="0073042A" w:rsidRPr="000B42C6" w:rsidRDefault="0073042A" w:rsidP="0073042A">
      <w:pPr>
        <w:pStyle w:val="Bullets"/>
        <w:numPr>
          <w:ilvl w:val="0"/>
          <w:numId w:val="23"/>
        </w:numPr>
      </w:pPr>
      <w:r w:rsidRPr="000B42C6">
        <w:t xml:space="preserve">A fixed </w:t>
      </w:r>
      <w:r w:rsidR="00C7632D">
        <w:t>payment</w:t>
      </w:r>
      <w:r w:rsidRPr="000B42C6">
        <w:t xml:space="preserve"> per day for the costs of care that are shared equally by all residents. This may vary by location and other factors</w:t>
      </w:r>
      <w:r w:rsidR="000441E8">
        <w:t>.</w:t>
      </w:r>
    </w:p>
    <w:p w:rsidR="0073042A" w:rsidRPr="000B42C6" w:rsidRDefault="00C7632D" w:rsidP="0073042A">
      <w:pPr>
        <w:pStyle w:val="Bullets"/>
        <w:numPr>
          <w:ilvl w:val="0"/>
          <w:numId w:val="23"/>
        </w:numPr>
      </w:pPr>
      <w:r>
        <w:t>A variable payment</w:t>
      </w:r>
      <w:r w:rsidR="0073042A" w:rsidRPr="000B42C6">
        <w:t xml:space="preserve"> per day for the costs of individualised care for each resident based on their AN-ACC casemix class.</w:t>
      </w:r>
    </w:p>
    <w:p w:rsidR="00336FD0" w:rsidRPr="001371DF" w:rsidRDefault="00266A77" w:rsidP="00A319F1">
      <w:pPr>
        <w:pStyle w:val="Normal-nospacing"/>
      </w:pPr>
      <w:r>
        <w:t xml:space="preserve">The AN-ACC model is a streamlined model that does </w:t>
      </w:r>
      <w:r w:rsidR="00050F85">
        <w:t xml:space="preserve">away with many </w:t>
      </w:r>
      <w:r w:rsidR="0012740A">
        <w:t xml:space="preserve">of the </w:t>
      </w:r>
      <w:r w:rsidR="00050F85">
        <w:t xml:space="preserve">separate adjustments and supplements </w:t>
      </w:r>
      <w:r w:rsidR="003414AD">
        <w:t xml:space="preserve">used </w:t>
      </w:r>
      <w:r w:rsidR="00050F85">
        <w:t xml:space="preserve">in the past. It is </w:t>
      </w:r>
      <w:r w:rsidR="003414AD">
        <w:t xml:space="preserve">administratively </w:t>
      </w:r>
      <w:r>
        <w:t xml:space="preserve">simple </w:t>
      </w:r>
      <w:r w:rsidR="00050F85">
        <w:t xml:space="preserve">yet </w:t>
      </w:r>
      <w:r w:rsidR="003414AD">
        <w:t xml:space="preserve">it </w:t>
      </w:r>
      <w:r w:rsidR="00050F85">
        <w:t xml:space="preserve">represents </w:t>
      </w:r>
      <w:r w:rsidR="00050F85" w:rsidRPr="001371DF">
        <w:t xml:space="preserve">a more sophisticated approach to funding that is based on evidence of cost and cost drivers. </w:t>
      </w:r>
      <w:r w:rsidR="001371DF" w:rsidRPr="001371DF">
        <w:t xml:space="preserve">The model </w:t>
      </w:r>
      <w:r w:rsidR="00157990" w:rsidRPr="001371DF">
        <w:t xml:space="preserve">is </w:t>
      </w:r>
      <w:r w:rsidR="00FC1CBE" w:rsidRPr="001371DF">
        <w:t xml:space="preserve">discussed in </w:t>
      </w:r>
      <w:r w:rsidR="00A1572E" w:rsidRPr="001371DF">
        <w:t>detail</w:t>
      </w:r>
      <w:r w:rsidR="00157990" w:rsidRPr="001371DF">
        <w:t xml:space="preserve"> in Section </w:t>
      </w:r>
      <w:r w:rsidR="00157990" w:rsidRPr="001371DF">
        <w:fldChar w:fldCharType="begin"/>
      </w:r>
      <w:r w:rsidR="00157990" w:rsidRPr="001371DF">
        <w:instrText xml:space="preserve"> REF _Ref534640358 \r \h </w:instrText>
      </w:r>
      <w:r w:rsidR="00A319F1" w:rsidRPr="001371DF">
        <w:instrText xml:space="preserve"> \* MERGEFORMAT </w:instrText>
      </w:r>
      <w:r w:rsidR="00157990" w:rsidRPr="001371DF">
        <w:fldChar w:fldCharType="separate"/>
      </w:r>
      <w:r w:rsidR="00847404" w:rsidRPr="001371DF">
        <w:t>3</w:t>
      </w:r>
      <w:r w:rsidR="00157990" w:rsidRPr="001371DF">
        <w:fldChar w:fldCharType="end"/>
      </w:r>
      <w:r w:rsidR="00157990" w:rsidRPr="001371DF">
        <w:t xml:space="preserve"> below</w:t>
      </w:r>
      <w:r w:rsidR="008C7E9E" w:rsidRPr="001371DF">
        <w:t>.</w:t>
      </w:r>
    </w:p>
    <w:p w:rsidR="00A1572E" w:rsidRDefault="00A1572E" w:rsidP="00A1572E">
      <w:pPr>
        <w:spacing w:after="200" w:line="276" w:lineRule="auto"/>
      </w:pPr>
      <w:r>
        <w:br w:type="page"/>
      </w:r>
    </w:p>
    <w:p w:rsidR="004A1979" w:rsidRDefault="00157990" w:rsidP="00BF2F9F">
      <w:pPr>
        <w:pStyle w:val="Heading1"/>
      </w:pPr>
      <w:bookmarkStart w:id="34" w:name="_Toc2066821"/>
      <w:bookmarkStart w:id="35" w:name="_Ref534640358"/>
      <w:r>
        <w:lastRenderedPageBreak/>
        <w:t xml:space="preserve">Detailed description of the </w:t>
      </w:r>
      <w:r w:rsidR="004A1979">
        <w:t>AN-ACC funding model</w:t>
      </w:r>
      <w:bookmarkEnd w:id="34"/>
    </w:p>
    <w:p w:rsidR="00FC1CBE" w:rsidRDefault="00FC1CBE" w:rsidP="00FC1CBE">
      <w:pPr>
        <w:pStyle w:val="Normal-nospacing"/>
      </w:pPr>
      <w:r>
        <w:t>Under the AN-ACC funding model, the subsidies payable to homes for the care of residents incorporate three components:</w:t>
      </w:r>
    </w:p>
    <w:p w:rsidR="00FC1CBE" w:rsidRDefault="00FC1CBE" w:rsidP="00FC1CBE">
      <w:pPr>
        <w:pStyle w:val="Normal-nospacing"/>
        <w:numPr>
          <w:ilvl w:val="0"/>
          <w:numId w:val="36"/>
        </w:numPr>
      </w:pPr>
      <w:r>
        <w:t>a base care tariff (for the fixed care component)</w:t>
      </w:r>
    </w:p>
    <w:p w:rsidR="00FC1CBE" w:rsidRDefault="00FC1CBE" w:rsidP="00FC1CBE">
      <w:pPr>
        <w:pStyle w:val="Normal-nospacing"/>
        <w:numPr>
          <w:ilvl w:val="0"/>
          <w:numId w:val="36"/>
        </w:numPr>
      </w:pPr>
      <w:r>
        <w:t xml:space="preserve">a variable payment (for the individual care needs of the resident as determined </w:t>
      </w:r>
      <w:r w:rsidR="003E111B">
        <w:t>by the resident’s AN-ACC class)</w:t>
      </w:r>
    </w:p>
    <w:p w:rsidR="00FC1CBE" w:rsidRDefault="00FC1CBE" w:rsidP="00FC1CBE">
      <w:pPr>
        <w:pStyle w:val="Normal-nospacing"/>
        <w:numPr>
          <w:ilvl w:val="0"/>
          <w:numId w:val="36"/>
        </w:numPr>
      </w:pPr>
      <w:r>
        <w:t>a one off adjustment payment for residents when a residen</w:t>
      </w:r>
      <w:r w:rsidR="003E111B">
        <w:t>t enters residential aged care.</w:t>
      </w:r>
    </w:p>
    <w:p w:rsidR="00FC1CBE" w:rsidRPr="0045299B" w:rsidRDefault="00FC1CBE" w:rsidP="00FC1CBE">
      <w:pPr>
        <w:pStyle w:val="Normal-nospacing"/>
      </w:pPr>
      <w:r w:rsidRPr="0045299B">
        <w:t>For funding purposes a common unit, known as the NWAU, is used across all three components</w:t>
      </w:r>
      <w:r>
        <w:t>. The N</w:t>
      </w:r>
      <w:r w:rsidRPr="0045299B">
        <w:t>WAU</w:t>
      </w:r>
      <w:r>
        <w:t xml:space="preserve">s that are applied in the funding model are relative values that determine the amount paid for each component — with an NWAU of 1.00 being a single measure of price that represents the national average. This </w:t>
      </w:r>
      <w:r w:rsidRPr="0045299B">
        <w:t>allow</w:t>
      </w:r>
      <w:r>
        <w:t>s</w:t>
      </w:r>
      <w:r w:rsidRPr="0045299B">
        <w:t xml:space="preserve"> </w:t>
      </w:r>
      <w:r>
        <w:t xml:space="preserve">payments </w:t>
      </w:r>
      <w:r w:rsidRPr="0045299B">
        <w:t xml:space="preserve">to be weighted to reflect the </w:t>
      </w:r>
      <w:r>
        <w:t>variation in the costs of providing care</w:t>
      </w:r>
      <w:r w:rsidRPr="0045299B">
        <w:t xml:space="preserve"> </w:t>
      </w:r>
      <w:r>
        <w:t xml:space="preserve">due to </w:t>
      </w:r>
      <w:r w:rsidRPr="0045299B">
        <w:t xml:space="preserve">the </w:t>
      </w:r>
      <w:r>
        <w:t xml:space="preserve">different </w:t>
      </w:r>
      <w:r w:rsidRPr="0045299B">
        <w:t xml:space="preserve">individual care needs of residents and </w:t>
      </w:r>
      <w:r w:rsidR="00783EBB">
        <w:t xml:space="preserve">different structural </w:t>
      </w:r>
      <w:r>
        <w:t>characteristics</w:t>
      </w:r>
      <w:r w:rsidR="00783EBB" w:rsidRPr="00783EBB">
        <w:t xml:space="preserve"> </w:t>
      </w:r>
      <w:r w:rsidR="00783EBB">
        <w:t>of care homes</w:t>
      </w:r>
      <w:r w:rsidRPr="0045299B">
        <w:t>. For example, an NWAU of 1.</w:t>
      </w:r>
      <w:r>
        <w:t>2</w:t>
      </w:r>
      <w:r w:rsidRPr="0045299B">
        <w:t xml:space="preserve"> means that the price </w:t>
      </w:r>
      <w:r>
        <w:t xml:space="preserve">paid </w:t>
      </w:r>
      <w:r w:rsidRPr="0045299B">
        <w:t xml:space="preserve">is </w:t>
      </w:r>
      <w:r>
        <w:t>2</w:t>
      </w:r>
      <w:r w:rsidRPr="0045299B">
        <w:t>0% above the national average; while an NWAU of 0.5 means that the price is 50% below national average.</w:t>
      </w:r>
    </w:p>
    <w:p w:rsidR="00FC1CBE" w:rsidRPr="0045299B" w:rsidRDefault="00FC1CBE" w:rsidP="00FC1CBE">
      <w:pPr>
        <w:pStyle w:val="Normal-nospacing"/>
      </w:pPr>
      <w:r w:rsidRPr="0045299B">
        <w:t xml:space="preserve">The </w:t>
      </w:r>
      <w:r>
        <w:t xml:space="preserve">daily subsidy </w:t>
      </w:r>
      <w:r w:rsidRPr="0045299B">
        <w:t xml:space="preserve">is calculated by </w:t>
      </w:r>
      <w:r>
        <w:t xml:space="preserve">multiplying the total NWAU (the care home’s </w:t>
      </w:r>
      <w:r w:rsidRPr="0045299B">
        <w:t xml:space="preserve">base care tariff </w:t>
      </w:r>
      <w:r w:rsidR="00892A27">
        <w:t xml:space="preserve">NWAU </w:t>
      </w:r>
      <w:r>
        <w:t>plus</w:t>
      </w:r>
      <w:r w:rsidRPr="0045299B">
        <w:t xml:space="preserve"> the resident’s AN-ACC </w:t>
      </w:r>
      <w:r w:rsidR="00783EBB">
        <w:t xml:space="preserve">class </w:t>
      </w:r>
      <w:r w:rsidR="00892A27">
        <w:t>NWAU</w:t>
      </w:r>
      <w:r>
        <w:t xml:space="preserve">) by the single NWAU price. </w:t>
      </w:r>
      <w:r w:rsidRPr="0045299B">
        <w:t xml:space="preserve">The </w:t>
      </w:r>
      <w:r>
        <w:t xml:space="preserve">national NWAU </w:t>
      </w:r>
      <w:r w:rsidRPr="00CC2CC7">
        <w:t>price i</w:t>
      </w:r>
      <w:r w:rsidRPr="0045299B">
        <w:t>s set by the Commonwealth</w:t>
      </w:r>
      <w:r>
        <w:t>.</w:t>
      </w:r>
      <w:r w:rsidRPr="0045299B">
        <w:t xml:space="preserve"> The one off adjustment payment is a standard rate which is also calibrated to the NWAU.</w:t>
      </w:r>
    </w:p>
    <w:p w:rsidR="00FC1CBE" w:rsidRPr="0045299B" w:rsidRDefault="00FC1CBE" w:rsidP="00FC1CBE">
      <w:pPr>
        <w:pStyle w:val="Normal-nospacing"/>
      </w:pPr>
      <w:r w:rsidRPr="0045299B">
        <w:t xml:space="preserve">Each of the components of the AN-ACC funding model is </w:t>
      </w:r>
      <w:r>
        <w:t>further detailed</w:t>
      </w:r>
      <w:r w:rsidRPr="0045299B">
        <w:t xml:space="preserve"> below.</w:t>
      </w:r>
    </w:p>
    <w:p w:rsidR="00BF2F9F" w:rsidRDefault="00BF2F9F" w:rsidP="004A1979">
      <w:pPr>
        <w:pStyle w:val="Heading2"/>
      </w:pPr>
      <w:bookmarkStart w:id="36" w:name="_Toc2066822"/>
      <w:r>
        <w:t xml:space="preserve">The </w:t>
      </w:r>
      <w:r w:rsidR="0074599E">
        <w:t>base care tariff (</w:t>
      </w:r>
      <w:r>
        <w:t>fixed</w:t>
      </w:r>
      <w:r w:rsidR="0074599E">
        <w:t xml:space="preserve"> care)</w:t>
      </w:r>
      <w:bookmarkEnd w:id="36"/>
      <w:bookmarkEnd w:id="35"/>
    </w:p>
    <w:p w:rsidR="00393A51" w:rsidRDefault="0074599E" w:rsidP="00A319F1">
      <w:pPr>
        <w:pStyle w:val="Normal-nospacing"/>
      </w:pPr>
      <w:r>
        <w:t>The</w:t>
      </w:r>
      <w:r w:rsidR="00393A51">
        <w:t xml:space="preserve"> base care tariff is included in the funding model for two key reasons. The first is to recognise the fact that a large proportion (approx</w:t>
      </w:r>
      <w:r w:rsidR="00AF3335">
        <w:t>imately</w:t>
      </w:r>
      <w:r w:rsidR="00393A51">
        <w:t xml:space="preserve"> 50%) of care costs within a facility are driven not by the individual care needs of the residents but by care delivered equally to all residents. The second is to provide stability in the funding model, where 50% of the facility funding is fixed regardless of </w:t>
      </w:r>
      <w:r w:rsidR="00CA74E2">
        <w:t xml:space="preserve">changes in </w:t>
      </w:r>
      <w:r w:rsidR="00393A51">
        <w:t>the individual res</w:t>
      </w:r>
      <w:r w:rsidR="00CA74E2">
        <w:t>ident care needs profile and</w:t>
      </w:r>
      <w:r w:rsidR="003414AD">
        <w:t>,</w:t>
      </w:r>
      <w:r w:rsidR="00CA74E2">
        <w:t xml:space="preserve"> for</w:t>
      </w:r>
      <w:r w:rsidR="00393A51">
        <w:t xml:space="preserve"> some </w:t>
      </w:r>
      <w:r w:rsidR="00CA74E2">
        <w:t>facilities, regardless of changes in</w:t>
      </w:r>
      <w:r w:rsidR="00393A51">
        <w:t xml:space="preserve"> occupancy.</w:t>
      </w:r>
    </w:p>
    <w:p w:rsidR="007B1296" w:rsidRDefault="00F27776" w:rsidP="00A319F1">
      <w:pPr>
        <w:pStyle w:val="Normal-nospacing"/>
      </w:pPr>
      <w:r>
        <w:t>The base care tariff covers f</w:t>
      </w:r>
      <w:r w:rsidR="009936DC">
        <w:t>ixed care</w:t>
      </w:r>
      <w:r w:rsidR="007B1296">
        <w:t xml:space="preserve"> costs</w:t>
      </w:r>
      <w:r>
        <w:t>. These</w:t>
      </w:r>
      <w:r w:rsidR="007B1296">
        <w:t xml:space="preserve"> </w:t>
      </w:r>
      <w:r w:rsidR="00393A51">
        <w:t>include activities such as clinical supervision and training</w:t>
      </w:r>
      <w:r w:rsidR="009936DC">
        <w:t xml:space="preserve">, </w:t>
      </w:r>
      <w:r w:rsidR="00393A51">
        <w:t xml:space="preserve">facility </w:t>
      </w:r>
      <w:r w:rsidR="003414AD">
        <w:t xml:space="preserve">clinical </w:t>
      </w:r>
      <w:r w:rsidR="00393A51">
        <w:t>management</w:t>
      </w:r>
      <w:r w:rsidR="009936DC">
        <w:t xml:space="preserve"> and shared care</w:t>
      </w:r>
      <w:r w:rsidR="00393A51">
        <w:t xml:space="preserve"> </w:t>
      </w:r>
      <w:r w:rsidR="009936DC">
        <w:t xml:space="preserve">activities such as night supervision and resident observation during social activities and meal times. These costs </w:t>
      </w:r>
      <w:r w:rsidR="007B1296">
        <w:t>are considered fixed (at least within a defined period)</w:t>
      </w:r>
      <w:r w:rsidR="00393A51">
        <w:t xml:space="preserve"> as they do not change sign</w:t>
      </w:r>
      <w:r w:rsidR="009936DC">
        <w:t xml:space="preserve">ificantly with changes in individual resident care need or with small changes in occupancy. </w:t>
      </w:r>
      <w:r>
        <w:t xml:space="preserve">For example, the costs of a night supervisor are fixed and are determined by the overall number of residents rather than the needs of a specific resident. </w:t>
      </w:r>
      <w:r w:rsidR="009936DC">
        <w:t xml:space="preserve">Fixed care costs have been found </w:t>
      </w:r>
      <w:r w:rsidR="003414AD">
        <w:t xml:space="preserve">in the RUCS </w:t>
      </w:r>
      <w:r w:rsidR="009936DC">
        <w:t>to be deter</w:t>
      </w:r>
      <w:r w:rsidR="007B1296">
        <w:t xml:space="preserve">mined by </w:t>
      </w:r>
      <w:r w:rsidR="002D1AF1">
        <w:t xml:space="preserve">structural </w:t>
      </w:r>
      <w:r w:rsidR="007B1296">
        <w:t>characteristics of the facility including size, geographic location and service specialisation</w:t>
      </w:r>
      <w:r w:rsidR="003414AD">
        <w:t xml:space="preserve"> (see Report 3)</w:t>
      </w:r>
      <w:r>
        <w:t>.</w:t>
      </w:r>
    </w:p>
    <w:p w:rsidR="00E073EA" w:rsidRPr="00A42693" w:rsidRDefault="00C135FE" w:rsidP="00A319F1">
      <w:pPr>
        <w:pStyle w:val="Normal-nospacing"/>
      </w:pPr>
      <w:r>
        <w:t>Aged care homes w</w:t>
      </w:r>
      <w:r w:rsidR="00A319F1">
        <w:t>ill</w:t>
      </w:r>
      <w:r>
        <w:t xml:space="preserve"> receive a per diem </w:t>
      </w:r>
      <w:r w:rsidR="009936DC">
        <w:t>base care tariff</w:t>
      </w:r>
      <w:r>
        <w:t xml:space="preserve"> payment for </w:t>
      </w:r>
      <w:r w:rsidR="00E073EA">
        <w:t>all resident care days within the funding period a</w:t>
      </w:r>
      <w:r w:rsidR="009936DC">
        <w:t>nd t</w:t>
      </w:r>
      <w:r>
        <w:t xml:space="preserve">his payment </w:t>
      </w:r>
      <w:r w:rsidR="009936DC">
        <w:t>will</w:t>
      </w:r>
      <w:r>
        <w:t xml:space="preserve"> be standard across Australia</w:t>
      </w:r>
      <w:r w:rsidR="009936DC">
        <w:t xml:space="preserve"> for all facili</w:t>
      </w:r>
      <w:r w:rsidR="00F27776">
        <w:t>ties that meet the conditions for a particular</w:t>
      </w:r>
      <w:r w:rsidR="009936DC">
        <w:t xml:space="preserve"> </w:t>
      </w:r>
      <w:r w:rsidR="00AB3DF4">
        <w:t xml:space="preserve">base care </w:t>
      </w:r>
      <w:r w:rsidR="009936DC">
        <w:t>tariff.</w:t>
      </w:r>
      <w:r w:rsidR="00F27776">
        <w:t xml:space="preserve"> The</w:t>
      </w:r>
      <w:r w:rsidR="00D23E68">
        <w:t>se</w:t>
      </w:r>
      <w:r w:rsidR="00F27776">
        <w:t xml:space="preserve"> </w:t>
      </w:r>
      <w:r w:rsidR="00AB3DF4">
        <w:t xml:space="preserve">base care </w:t>
      </w:r>
      <w:r w:rsidR="00F27776">
        <w:t xml:space="preserve">tariffs are mutually </w:t>
      </w:r>
      <w:r w:rsidR="00F27776">
        <w:lastRenderedPageBreak/>
        <w:t xml:space="preserve">exclusive and each facility will </w:t>
      </w:r>
      <w:r w:rsidR="00D23E68">
        <w:t xml:space="preserve">only </w:t>
      </w:r>
      <w:r w:rsidR="00F27776">
        <w:t>qualify for payment under a single tariff.</w:t>
      </w:r>
      <w:r w:rsidR="004236D5">
        <w:rPr>
          <w:rStyle w:val="FootnoteReference"/>
        </w:rPr>
        <w:footnoteReference w:id="1"/>
      </w:r>
      <w:r w:rsidR="00F27776">
        <w:t xml:space="preserve"> </w:t>
      </w:r>
      <w:r w:rsidR="009936DC">
        <w:t xml:space="preserve"> The </w:t>
      </w:r>
      <w:r w:rsidR="00AB3DF4">
        <w:t xml:space="preserve">base care </w:t>
      </w:r>
      <w:r w:rsidR="009936DC">
        <w:t>tariff</w:t>
      </w:r>
      <w:r w:rsidR="00D23E68">
        <w:t xml:space="preserve"> </w:t>
      </w:r>
      <w:r w:rsidR="00F27776">
        <w:t xml:space="preserve">levels </w:t>
      </w:r>
      <w:r w:rsidR="009936DC">
        <w:t>have been set based on the fixed costs of care analysis</w:t>
      </w:r>
      <w:r w:rsidR="00A319F1">
        <w:t xml:space="preserve"> (see Report 3)</w:t>
      </w:r>
      <w:r w:rsidR="009936DC">
        <w:t>. This a</w:t>
      </w:r>
      <w:r w:rsidR="009936DC" w:rsidRPr="00A42693">
        <w:t>nalysis found that</w:t>
      </w:r>
      <w:r w:rsidR="00A319F1" w:rsidRPr="00A42693">
        <w:t>,</w:t>
      </w:r>
      <w:r w:rsidR="009936DC" w:rsidRPr="00A42693">
        <w:t xml:space="preserve"> </w:t>
      </w:r>
      <w:r w:rsidR="00A319F1" w:rsidRPr="00A42693">
        <w:t xml:space="preserve">with some very notable exceptions, </w:t>
      </w:r>
      <w:r w:rsidR="009936DC" w:rsidRPr="00A42693">
        <w:t xml:space="preserve">most facilities across the </w:t>
      </w:r>
      <w:r w:rsidR="003C3FAA" w:rsidRPr="00A42693">
        <w:t xml:space="preserve">country report very similar </w:t>
      </w:r>
      <w:r w:rsidR="003E111B">
        <w:t>fixed care costs per day.</w:t>
      </w:r>
    </w:p>
    <w:p w:rsidR="009936DC" w:rsidRDefault="00E073EA" w:rsidP="00A319F1">
      <w:pPr>
        <w:pStyle w:val="Normal-nospacing"/>
      </w:pPr>
      <w:r w:rsidRPr="00A42693">
        <w:t xml:space="preserve">The </w:t>
      </w:r>
      <w:r w:rsidR="002D1AF1" w:rsidRPr="00A42693">
        <w:t xml:space="preserve">structural </w:t>
      </w:r>
      <w:r w:rsidRPr="00A42693">
        <w:t>factors that are associated with significant increases in fixed care costs per day are remote and very remote facilities that provide indigenous care services, non-indigenous remote services that have less than 30 beds and specialised services to homeless people.</w:t>
      </w:r>
      <w:r w:rsidR="000D66CE" w:rsidRPr="00A42693">
        <w:t xml:space="preserve"> Remoteness has been de</w:t>
      </w:r>
      <w:r w:rsidR="00A42693">
        <w:t>fined using t</w:t>
      </w:r>
      <w:r w:rsidR="000D66CE" w:rsidRPr="00A42693">
        <w:t>he Modified Monash Model (MMM) a standardised measure of geogra</w:t>
      </w:r>
      <w:r w:rsidR="00416815" w:rsidRPr="00A42693">
        <w:t>phic isolation on a scale of 1</w:t>
      </w:r>
      <w:r w:rsidR="000D66CE" w:rsidRPr="00A42693">
        <w:t xml:space="preserve"> to </w:t>
      </w:r>
      <w:r w:rsidR="00416815" w:rsidRPr="00A42693">
        <w:t>7</w:t>
      </w:r>
      <w:r w:rsidR="000D66CE" w:rsidRPr="00A42693">
        <w:t>. The MMM value of 1 represents the most urbanised parts of the country and</w:t>
      </w:r>
      <w:r w:rsidR="00A319F1" w:rsidRPr="00A42693">
        <w:t>,</w:t>
      </w:r>
      <w:r w:rsidR="000D66CE" w:rsidRPr="00A42693">
        <w:t xml:space="preserve"> at the other end of the scale</w:t>
      </w:r>
      <w:r w:rsidR="00A319F1" w:rsidRPr="00A42693">
        <w:t>,</w:t>
      </w:r>
      <w:r w:rsidR="00416815" w:rsidRPr="00A42693">
        <w:t xml:space="preserve"> the facilities with an MMM</w:t>
      </w:r>
      <w:r w:rsidR="000D66CE" w:rsidRPr="00A42693">
        <w:t xml:space="preserve"> </w:t>
      </w:r>
      <w:r w:rsidR="00416815" w:rsidRPr="00A42693">
        <w:t>value of 7 are the</w:t>
      </w:r>
      <w:r w:rsidR="00416815">
        <w:t xml:space="preserve"> most remote.</w:t>
      </w:r>
    </w:p>
    <w:p w:rsidR="00A319F1" w:rsidRDefault="00E073EA" w:rsidP="00A319F1">
      <w:pPr>
        <w:pStyle w:val="Normal-nospacing"/>
      </w:pPr>
      <w:r>
        <w:t>Each of the base care tariffs and the</w:t>
      </w:r>
      <w:r w:rsidR="00A42693">
        <w:t xml:space="preserve">ir associated </w:t>
      </w:r>
      <w:r>
        <w:t xml:space="preserve">NWAUs are included in </w:t>
      </w:r>
      <w:r>
        <w:fldChar w:fldCharType="begin"/>
      </w:r>
      <w:r>
        <w:instrText xml:space="preserve"> REF _Ref534643796 \h </w:instrText>
      </w:r>
      <w:r w:rsidR="00A319F1">
        <w:instrText xml:space="preserve"> \* MERGEFORMAT </w:instrText>
      </w:r>
      <w:r>
        <w:fldChar w:fldCharType="separate"/>
      </w:r>
      <w:r w:rsidR="00847404">
        <w:t xml:space="preserve">Table </w:t>
      </w:r>
      <w:r w:rsidR="00847404">
        <w:rPr>
          <w:noProof/>
        </w:rPr>
        <w:t>1</w:t>
      </w:r>
      <w:r>
        <w:fldChar w:fldCharType="end"/>
      </w:r>
      <w:r w:rsidR="003E111B">
        <w:t>.</w:t>
      </w:r>
    </w:p>
    <w:p w:rsidR="00E073EA" w:rsidRPr="008037DE" w:rsidRDefault="00E073EA" w:rsidP="002F28A7">
      <w:pPr>
        <w:spacing w:before="240"/>
        <w:rPr>
          <w:sz w:val="4"/>
          <w:szCs w:val="4"/>
        </w:rPr>
      </w:pPr>
    </w:p>
    <w:p w:rsidR="009936DC" w:rsidRDefault="00E073EA" w:rsidP="000441E8">
      <w:pPr>
        <w:pStyle w:val="Caption"/>
        <w:spacing w:before="0" w:after="120"/>
      </w:pPr>
      <w:bookmarkStart w:id="37" w:name="_Ref534643796"/>
      <w:bookmarkStart w:id="38" w:name="_Toc2066840"/>
      <w:r>
        <w:t xml:space="preserve">Table </w:t>
      </w:r>
      <w:r w:rsidR="00A1572E">
        <w:rPr>
          <w:noProof/>
        </w:rPr>
        <w:fldChar w:fldCharType="begin"/>
      </w:r>
      <w:r w:rsidR="00A1572E">
        <w:rPr>
          <w:noProof/>
        </w:rPr>
        <w:instrText xml:space="preserve"> SEQ Table \* ARABIC </w:instrText>
      </w:r>
      <w:r w:rsidR="00A1572E">
        <w:rPr>
          <w:noProof/>
        </w:rPr>
        <w:fldChar w:fldCharType="separate"/>
      </w:r>
      <w:r w:rsidR="00847404">
        <w:rPr>
          <w:noProof/>
        </w:rPr>
        <w:t>1</w:t>
      </w:r>
      <w:r w:rsidR="00A1572E">
        <w:rPr>
          <w:noProof/>
        </w:rPr>
        <w:fldChar w:fldCharType="end"/>
      </w:r>
      <w:bookmarkEnd w:id="37"/>
      <w:r w:rsidR="00FF007F">
        <w:rPr>
          <w:noProof/>
        </w:rPr>
        <w:t xml:space="preserve"> </w:t>
      </w:r>
      <w:r>
        <w:tab/>
        <w:t>Base care tariffs and NWAUs</w:t>
      </w:r>
      <w:bookmarkEnd w:id="38"/>
    </w:p>
    <w:tbl>
      <w:tblPr>
        <w:tblW w:w="5000" w:type="pct"/>
        <w:tblLook w:val="04A0" w:firstRow="1" w:lastRow="0" w:firstColumn="1" w:lastColumn="0" w:noHBand="0" w:noVBand="1"/>
        <w:tblCaption w:val="Table 1. Base care tariffs and NWAUs"/>
        <w:tblDescription w:val="This table describes each of the  base care tariffs, facility descriptions and their associated base care tariff NWAUs. This table is to be read as a series of rows from left to right ('base care tariff' then 'facility description' then 'base care tariff NWAU')."/>
      </w:tblPr>
      <w:tblGrid>
        <w:gridCol w:w="1554"/>
        <w:gridCol w:w="5130"/>
        <w:gridCol w:w="2332"/>
      </w:tblGrid>
      <w:tr w:rsidR="009936DC" w:rsidRPr="000B42C6" w:rsidTr="001A083A">
        <w:trPr>
          <w:tblHeader/>
        </w:trPr>
        <w:tc>
          <w:tcPr>
            <w:tcW w:w="862" w:type="pct"/>
            <w:tcBorders>
              <w:top w:val="single" w:sz="4" w:space="0" w:color="auto"/>
              <w:left w:val="single" w:sz="4" w:space="0" w:color="auto"/>
              <w:bottom w:val="single" w:sz="4" w:space="0" w:color="auto"/>
              <w:right w:val="single" w:sz="4" w:space="0" w:color="auto"/>
            </w:tcBorders>
            <w:shd w:val="clear" w:color="auto" w:fill="auto"/>
            <w:hideMark/>
          </w:tcPr>
          <w:p w:rsidR="009936DC" w:rsidRPr="000B42C6" w:rsidRDefault="009936DC" w:rsidP="008037DE">
            <w:pPr>
              <w:spacing w:before="80" w:after="80"/>
              <w:jc w:val="center"/>
              <w:rPr>
                <w:rFonts w:cs="Arial"/>
                <w:b/>
                <w:bCs/>
                <w:color w:val="000000"/>
                <w:sz w:val="22"/>
                <w:szCs w:val="22"/>
              </w:rPr>
            </w:pPr>
            <w:r w:rsidRPr="000B42C6">
              <w:rPr>
                <w:rFonts w:cs="Arial"/>
                <w:b/>
                <w:bCs/>
                <w:color w:val="000000"/>
                <w:sz w:val="22"/>
                <w:szCs w:val="22"/>
              </w:rPr>
              <w:t>Base care tariff</w:t>
            </w:r>
          </w:p>
        </w:tc>
        <w:tc>
          <w:tcPr>
            <w:tcW w:w="2844" w:type="pct"/>
            <w:tcBorders>
              <w:top w:val="single" w:sz="4" w:space="0" w:color="auto"/>
              <w:left w:val="nil"/>
              <w:bottom w:val="single" w:sz="4" w:space="0" w:color="auto"/>
              <w:right w:val="single" w:sz="4" w:space="0" w:color="auto"/>
            </w:tcBorders>
            <w:shd w:val="clear" w:color="auto" w:fill="auto"/>
            <w:hideMark/>
          </w:tcPr>
          <w:p w:rsidR="009936DC" w:rsidRPr="000B42C6" w:rsidRDefault="009936DC" w:rsidP="008037DE">
            <w:pPr>
              <w:spacing w:before="80" w:after="80"/>
              <w:rPr>
                <w:rFonts w:cs="Arial"/>
                <w:b/>
                <w:bCs/>
                <w:color w:val="000000"/>
                <w:sz w:val="22"/>
                <w:szCs w:val="22"/>
              </w:rPr>
            </w:pPr>
            <w:r w:rsidRPr="000B42C6">
              <w:rPr>
                <w:rFonts w:cs="Arial"/>
                <w:b/>
                <w:bCs/>
                <w:color w:val="000000"/>
                <w:sz w:val="22"/>
                <w:szCs w:val="22"/>
              </w:rPr>
              <w:t>Facility description</w:t>
            </w:r>
          </w:p>
        </w:tc>
        <w:tc>
          <w:tcPr>
            <w:tcW w:w="1293" w:type="pct"/>
            <w:tcBorders>
              <w:top w:val="single" w:sz="4" w:space="0" w:color="auto"/>
              <w:left w:val="nil"/>
              <w:bottom w:val="single" w:sz="4" w:space="0" w:color="auto"/>
              <w:right w:val="single" w:sz="4" w:space="0" w:color="auto"/>
            </w:tcBorders>
            <w:shd w:val="clear" w:color="auto" w:fill="auto"/>
            <w:hideMark/>
          </w:tcPr>
          <w:p w:rsidR="009936DC" w:rsidRPr="000B42C6" w:rsidRDefault="009936DC" w:rsidP="008037DE">
            <w:pPr>
              <w:spacing w:before="80" w:after="80"/>
              <w:jc w:val="center"/>
              <w:rPr>
                <w:rFonts w:cs="Arial"/>
                <w:b/>
                <w:bCs/>
                <w:color w:val="000000"/>
                <w:sz w:val="22"/>
                <w:szCs w:val="22"/>
              </w:rPr>
            </w:pPr>
            <w:r w:rsidRPr="000B42C6">
              <w:rPr>
                <w:rFonts w:cs="Arial"/>
                <w:b/>
                <w:bCs/>
                <w:color w:val="000000"/>
                <w:sz w:val="22"/>
                <w:szCs w:val="22"/>
              </w:rPr>
              <w:t>Base care tariff NWAU</w:t>
            </w:r>
          </w:p>
        </w:tc>
      </w:tr>
      <w:tr w:rsidR="009936DC" w:rsidRPr="00EE5457" w:rsidTr="001A083A">
        <w:trPr>
          <w:tblHeader/>
        </w:trPr>
        <w:tc>
          <w:tcPr>
            <w:tcW w:w="862" w:type="pct"/>
            <w:tcBorders>
              <w:top w:val="nil"/>
              <w:left w:val="single" w:sz="4" w:space="0" w:color="auto"/>
              <w:bottom w:val="single" w:sz="4" w:space="0" w:color="auto"/>
              <w:right w:val="single" w:sz="4" w:space="0" w:color="auto"/>
            </w:tcBorders>
            <w:shd w:val="clear" w:color="auto" w:fill="auto"/>
            <w:hideMark/>
          </w:tcPr>
          <w:p w:rsidR="009936DC" w:rsidRPr="000B42C6" w:rsidRDefault="009936DC" w:rsidP="008037DE">
            <w:pPr>
              <w:spacing w:before="80" w:after="80"/>
              <w:jc w:val="center"/>
              <w:rPr>
                <w:color w:val="000000"/>
                <w:sz w:val="22"/>
                <w:szCs w:val="22"/>
              </w:rPr>
            </w:pPr>
            <w:r w:rsidRPr="000B42C6">
              <w:rPr>
                <w:color w:val="000000"/>
                <w:sz w:val="22"/>
                <w:szCs w:val="22"/>
              </w:rPr>
              <w:t>1</w:t>
            </w:r>
          </w:p>
        </w:tc>
        <w:tc>
          <w:tcPr>
            <w:tcW w:w="2844" w:type="pct"/>
            <w:tcBorders>
              <w:top w:val="nil"/>
              <w:left w:val="nil"/>
              <w:bottom w:val="single" w:sz="4" w:space="0" w:color="auto"/>
              <w:right w:val="single" w:sz="4" w:space="0" w:color="auto"/>
            </w:tcBorders>
            <w:shd w:val="clear" w:color="auto" w:fill="auto"/>
            <w:hideMark/>
          </w:tcPr>
          <w:p w:rsidR="009936DC" w:rsidRPr="00EE5457" w:rsidRDefault="009936DC" w:rsidP="008037DE">
            <w:pPr>
              <w:spacing w:before="80" w:after="80"/>
              <w:rPr>
                <w:rFonts w:cs="Arial"/>
                <w:sz w:val="22"/>
                <w:szCs w:val="22"/>
              </w:rPr>
            </w:pPr>
            <w:r w:rsidRPr="00EE5457">
              <w:rPr>
                <w:rFonts w:cs="Arial"/>
                <w:sz w:val="22"/>
                <w:szCs w:val="22"/>
              </w:rPr>
              <w:t>Indigenous, MMM=7</w:t>
            </w:r>
          </w:p>
        </w:tc>
        <w:tc>
          <w:tcPr>
            <w:tcW w:w="1293" w:type="pct"/>
            <w:tcBorders>
              <w:top w:val="nil"/>
              <w:left w:val="nil"/>
              <w:bottom w:val="single" w:sz="4" w:space="0" w:color="auto"/>
              <w:right w:val="single" w:sz="4" w:space="0" w:color="auto"/>
            </w:tcBorders>
            <w:shd w:val="clear" w:color="auto" w:fill="auto"/>
            <w:hideMark/>
          </w:tcPr>
          <w:p w:rsidR="009936DC" w:rsidRPr="00EE5457" w:rsidRDefault="009936DC" w:rsidP="008037DE">
            <w:pPr>
              <w:spacing w:before="80" w:after="80"/>
              <w:jc w:val="center"/>
              <w:rPr>
                <w:sz w:val="22"/>
                <w:szCs w:val="22"/>
              </w:rPr>
            </w:pPr>
            <w:r w:rsidRPr="00EE5457">
              <w:rPr>
                <w:sz w:val="22"/>
                <w:szCs w:val="22"/>
              </w:rPr>
              <w:t>1.</w:t>
            </w:r>
            <w:r>
              <w:rPr>
                <w:sz w:val="22"/>
                <w:szCs w:val="22"/>
              </w:rPr>
              <w:t>80</w:t>
            </w:r>
          </w:p>
        </w:tc>
      </w:tr>
      <w:tr w:rsidR="009936DC" w:rsidRPr="000B42C6" w:rsidTr="001A083A">
        <w:trPr>
          <w:tblHeader/>
        </w:trPr>
        <w:tc>
          <w:tcPr>
            <w:tcW w:w="862" w:type="pct"/>
            <w:tcBorders>
              <w:top w:val="nil"/>
              <w:left w:val="single" w:sz="4" w:space="0" w:color="auto"/>
              <w:bottom w:val="single" w:sz="4" w:space="0" w:color="auto"/>
              <w:right w:val="single" w:sz="4" w:space="0" w:color="auto"/>
            </w:tcBorders>
            <w:shd w:val="clear" w:color="auto" w:fill="auto"/>
            <w:hideMark/>
          </w:tcPr>
          <w:p w:rsidR="009936DC" w:rsidRPr="000B42C6" w:rsidRDefault="009936DC" w:rsidP="008037DE">
            <w:pPr>
              <w:spacing w:before="80" w:after="80"/>
              <w:jc w:val="center"/>
              <w:rPr>
                <w:color w:val="000000"/>
                <w:sz w:val="22"/>
                <w:szCs w:val="22"/>
              </w:rPr>
            </w:pPr>
            <w:r w:rsidRPr="000B42C6">
              <w:rPr>
                <w:color w:val="000000"/>
                <w:sz w:val="22"/>
                <w:szCs w:val="22"/>
              </w:rPr>
              <w:t>2</w:t>
            </w:r>
          </w:p>
        </w:tc>
        <w:tc>
          <w:tcPr>
            <w:tcW w:w="2844" w:type="pct"/>
            <w:tcBorders>
              <w:top w:val="nil"/>
              <w:left w:val="nil"/>
              <w:bottom w:val="single" w:sz="4" w:space="0" w:color="auto"/>
              <w:right w:val="single" w:sz="4" w:space="0" w:color="auto"/>
            </w:tcBorders>
            <w:shd w:val="clear" w:color="auto" w:fill="auto"/>
            <w:hideMark/>
          </w:tcPr>
          <w:p w:rsidR="009936DC" w:rsidRPr="000B42C6" w:rsidRDefault="009936DC" w:rsidP="008037DE">
            <w:pPr>
              <w:spacing w:before="80" w:after="80"/>
              <w:rPr>
                <w:rFonts w:cs="Arial"/>
                <w:color w:val="000000"/>
                <w:sz w:val="22"/>
                <w:szCs w:val="22"/>
              </w:rPr>
            </w:pPr>
            <w:r w:rsidRPr="000B42C6">
              <w:rPr>
                <w:rFonts w:cs="Arial"/>
                <w:color w:val="000000"/>
                <w:sz w:val="22"/>
                <w:szCs w:val="22"/>
              </w:rPr>
              <w:t>Indigenous, MMM=6</w:t>
            </w:r>
          </w:p>
        </w:tc>
        <w:tc>
          <w:tcPr>
            <w:tcW w:w="1293" w:type="pct"/>
            <w:tcBorders>
              <w:top w:val="nil"/>
              <w:left w:val="nil"/>
              <w:bottom w:val="single" w:sz="4" w:space="0" w:color="auto"/>
              <w:right w:val="single" w:sz="4" w:space="0" w:color="auto"/>
            </w:tcBorders>
            <w:shd w:val="clear" w:color="auto" w:fill="auto"/>
            <w:hideMark/>
          </w:tcPr>
          <w:p w:rsidR="009936DC" w:rsidRPr="000B42C6" w:rsidRDefault="009936DC" w:rsidP="008037DE">
            <w:pPr>
              <w:spacing w:before="80" w:after="80"/>
              <w:jc w:val="center"/>
              <w:rPr>
                <w:rFonts w:cs="Arial"/>
                <w:color w:val="000000"/>
                <w:sz w:val="22"/>
                <w:szCs w:val="22"/>
              </w:rPr>
            </w:pPr>
            <w:r w:rsidRPr="000B42C6">
              <w:rPr>
                <w:rFonts w:cs="Arial"/>
                <w:color w:val="000000"/>
                <w:sz w:val="22"/>
                <w:szCs w:val="22"/>
              </w:rPr>
              <w:t>0.7</w:t>
            </w:r>
            <w:r>
              <w:rPr>
                <w:rFonts w:cs="Arial"/>
                <w:color w:val="000000"/>
                <w:sz w:val="22"/>
                <w:szCs w:val="22"/>
              </w:rPr>
              <w:t>8</w:t>
            </w:r>
          </w:p>
        </w:tc>
      </w:tr>
      <w:tr w:rsidR="009936DC" w:rsidRPr="000B42C6" w:rsidTr="001A083A">
        <w:trPr>
          <w:tblHeader/>
        </w:trPr>
        <w:tc>
          <w:tcPr>
            <w:tcW w:w="862" w:type="pct"/>
            <w:tcBorders>
              <w:top w:val="nil"/>
              <w:left w:val="single" w:sz="4" w:space="0" w:color="auto"/>
              <w:bottom w:val="single" w:sz="4" w:space="0" w:color="auto"/>
              <w:right w:val="single" w:sz="4" w:space="0" w:color="auto"/>
            </w:tcBorders>
            <w:shd w:val="clear" w:color="auto" w:fill="auto"/>
            <w:hideMark/>
          </w:tcPr>
          <w:p w:rsidR="009936DC" w:rsidRPr="000B42C6" w:rsidRDefault="009936DC" w:rsidP="008037DE">
            <w:pPr>
              <w:spacing w:before="80" w:after="80"/>
              <w:jc w:val="center"/>
              <w:rPr>
                <w:color w:val="000000"/>
                <w:sz w:val="22"/>
                <w:szCs w:val="22"/>
              </w:rPr>
            </w:pPr>
            <w:r w:rsidRPr="000B42C6">
              <w:rPr>
                <w:color w:val="000000"/>
                <w:sz w:val="22"/>
                <w:szCs w:val="22"/>
              </w:rPr>
              <w:t>3</w:t>
            </w:r>
          </w:p>
        </w:tc>
        <w:tc>
          <w:tcPr>
            <w:tcW w:w="2844" w:type="pct"/>
            <w:tcBorders>
              <w:top w:val="nil"/>
              <w:left w:val="nil"/>
              <w:bottom w:val="single" w:sz="4" w:space="0" w:color="auto"/>
              <w:right w:val="single" w:sz="4" w:space="0" w:color="auto"/>
            </w:tcBorders>
            <w:shd w:val="clear" w:color="auto" w:fill="auto"/>
            <w:hideMark/>
          </w:tcPr>
          <w:p w:rsidR="009936DC" w:rsidRPr="000B42C6" w:rsidRDefault="009936DC" w:rsidP="008037DE">
            <w:pPr>
              <w:spacing w:before="80" w:after="80"/>
              <w:rPr>
                <w:rFonts w:cs="Arial"/>
                <w:color w:val="000000"/>
                <w:sz w:val="22"/>
                <w:szCs w:val="22"/>
              </w:rPr>
            </w:pPr>
            <w:r w:rsidRPr="000B42C6">
              <w:rPr>
                <w:rFonts w:cs="Arial"/>
                <w:color w:val="000000"/>
                <w:sz w:val="22"/>
                <w:szCs w:val="22"/>
              </w:rPr>
              <w:t>Non-indigenous, MMM=6-7, &lt; 30 beds</w:t>
            </w:r>
          </w:p>
        </w:tc>
        <w:tc>
          <w:tcPr>
            <w:tcW w:w="1293" w:type="pct"/>
            <w:tcBorders>
              <w:top w:val="nil"/>
              <w:left w:val="nil"/>
              <w:bottom w:val="single" w:sz="4" w:space="0" w:color="auto"/>
              <w:right w:val="single" w:sz="4" w:space="0" w:color="auto"/>
            </w:tcBorders>
            <w:shd w:val="clear" w:color="auto" w:fill="auto"/>
            <w:hideMark/>
          </w:tcPr>
          <w:p w:rsidR="009936DC" w:rsidRPr="000B42C6" w:rsidRDefault="009936DC" w:rsidP="008037DE">
            <w:pPr>
              <w:spacing w:before="80" w:after="80"/>
              <w:jc w:val="center"/>
              <w:rPr>
                <w:rFonts w:cs="Arial"/>
                <w:color w:val="000000"/>
                <w:sz w:val="22"/>
                <w:szCs w:val="22"/>
              </w:rPr>
            </w:pPr>
            <w:r w:rsidRPr="000B42C6">
              <w:rPr>
                <w:rFonts w:cs="Arial"/>
                <w:color w:val="000000"/>
                <w:sz w:val="22"/>
                <w:szCs w:val="22"/>
              </w:rPr>
              <w:t>0.6</w:t>
            </w:r>
            <w:r>
              <w:rPr>
                <w:rFonts w:cs="Arial"/>
                <w:color w:val="000000"/>
                <w:sz w:val="22"/>
                <w:szCs w:val="22"/>
              </w:rPr>
              <w:t>8</w:t>
            </w:r>
          </w:p>
        </w:tc>
      </w:tr>
      <w:tr w:rsidR="009936DC" w:rsidRPr="000B42C6" w:rsidTr="001A083A">
        <w:trPr>
          <w:tblHeader/>
        </w:trPr>
        <w:tc>
          <w:tcPr>
            <w:tcW w:w="862" w:type="pct"/>
            <w:tcBorders>
              <w:top w:val="nil"/>
              <w:left w:val="single" w:sz="4" w:space="0" w:color="auto"/>
              <w:bottom w:val="single" w:sz="4" w:space="0" w:color="auto"/>
              <w:right w:val="single" w:sz="4" w:space="0" w:color="auto"/>
            </w:tcBorders>
            <w:shd w:val="clear" w:color="auto" w:fill="auto"/>
            <w:hideMark/>
          </w:tcPr>
          <w:p w:rsidR="009936DC" w:rsidRPr="000B42C6" w:rsidRDefault="009936DC" w:rsidP="008037DE">
            <w:pPr>
              <w:spacing w:before="80" w:after="80"/>
              <w:jc w:val="center"/>
              <w:rPr>
                <w:color w:val="000000"/>
                <w:sz w:val="22"/>
                <w:szCs w:val="22"/>
              </w:rPr>
            </w:pPr>
            <w:r w:rsidRPr="000B42C6">
              <w:rPr>
                <w:color w:val="000000"/>
                <w:sz w:val="22"/>
                <w:szCs w:val="22"/>
              </w:rPr>
              <w:t>4</w:t>
            </w:r>
          </w:p>
        </w:tc>
        <w:tc>
          <w:tcPr>
            <w:tcW w:w="2844" w:type="pct"/>
            <w:tcBorders>
              <w:top w:val="nil"/>
              <w:left w:val="nil"/>
              <w:bottom w:val="single" w:sz="4" w:space="0" w:color="auto"/>
              <w:right w:val="single" w:sz="4" w:space="0" w:color="auto"/>
            </w:tcBorders>
            <w:shd w:val="clear" w:color="auto" w:fill="auto"/>
            <w:hideMark/>
          </w:tcPr>
          <w:p w:rsidR="009936DC" w:rsidRPr="000B42C6" w:rsidRDefault="009936DC" w:rsidP="008037DE">
            <w:pPr>
              <w:spacing w:before="80" w:after="80"/>
              <w:rPr>
                <w:rFonts w:cs="Arial"/>
                <w:color w:val="000000"/>
                <w:sz w:val="22"/>
                <w:szCs w:val="22"/>
              </w:rPr>
            </w:pPr>
            <w:r w:rsidRPr="000B42C6">
              <w:rPr>
                <w:rFonts w:cs="Arial"/>
                <w:color w:val="000000"/>
                <w:sz w:val="22"/>
                <w:szCs w:val="22"/>
              </w:rPr>
              <w:t>Non-indigenous, MMM=6-7, 30+ beds</w:t>
            </w:r>
          </w:p>
        </w:tc>
        <w:tc>
          <w:tcPr>
            <w:tcW w:w="1293" w:type="pct"/>
            <w:tcBorders>
              <w:top w:val="nil"/>
              <w:left w:val="nil"/>
              <w:bottom w:val="single" w:sz="4" w:space="0" w:color="auto"/>
              <w:right w:val="single" w:sz="4" w:space="0" w:color="auto"/>
            </w:tcBorders>
            <w:shd w:val="clear" w:color="auto" w:fill="auto"/>
            <w:hideMark/>
          </w:tcPr>
          <w:p w:rsidR="009936DC" w:rsidRPr="000B42C6" w:rsidRDefault="009936DC" w:rsidP="008037DE">
            <w:pPr>
              <w:spacing w:before="80" w:after="80"/>
              <w:jc w:val="center"/>
              <w:rPr>
                <w:rFonts w:cs="Arial"/>
                <w:color w:val="000000"/>
                <w:sz w:val="22"/>
                <w:szCs w:val="22"/>
              </w:rPr>
            </w:pPr>
            <w:r w:rsidRPr="000B42C6">
              <w:rPr>
                <w:rFonts w:cs="Arial"/>
                <w:color w:val="000000"/>
                <w:sz w:val="22"/>
                <w:szCs w:val="22"/>
              </w:rPr>
              <w:t>0.5</w:t>
            </w:r>
            <w:r>
              <w:rPr>
                <w:rFonts w:cs="Arial"/>
                <w:color w:val="000000"/>
                <w:sz w:val="22"/>
                <w:szCs w:val="22"/>
              </w:rPr>
              <w:t>2</w:t>
            </w:r>
          </w:p>
        </w:tc>
      </w:tr>
      <w:tr w:rsidR="009936DC" w:rsidRPr="000B42C6" w:rsidTr="001A083A">
        <w:trPr>
          <w:tblHeader/>
        </w:trPr>
        <w:tc>
          <w:tcPr>
            <w:tcW w:w="862" w:type="pct"/>
            <w:tcBorders>
              <w:top w:val="nil"/>
              <w:left w:val="single" w:sz="4" w:space="0" w:color="auto"/>
              <w:bottom w:val="single" w:sz="4" w:space="0" w:color="auto"/>
              <w:right w:val="single" w:sz="4" w:space="0" w:color="auto"/>
            </w:tcBorders>
            <w:shd w:val="clear" w:color="auto" w:fill="auto"/>
            <w:hideMark/>
          </w:tcPr>
          <w:p w:rsidR="009936DC" w:rsidRPr="000B42C6" w:rsidRDefault="009936DC" w:rsidP="008037DE">
            <w:pPr>
              <w:spacing w:before="80" w:after="80"/>
              <w:jc w:val="center"/>
              <w:rPr>
                <w:color w:val="000000"/>
                <w:sz w:val="22"/>
                <w:szCs w:val="22"/>
              </w:rPr>
            </w:pPr>
            <w:r w:rsidRPr="000B42C6">
              <w:rPr>
                <w:color w:val="000000"/>
                <w:sz w:val="22"/>
                <w:szCs w:val="22"/>
              </w:rPr>
              <w:t>5</w:t>
            </w:r>
          </w:p>
        </w:tc>
        <w:tc>
          <w:tcPr>
            <w:tcW w:w="2844" w:type="pct"/>
            <w:tcBorders>
              <w:top w:val="nil"/>
              <w:left w:val="nil"/>
              <w:bottom w:val="single" w:sz="4" w:space="0" w:color="auto"/>
              <w:right w:val="single" w:sz="4" w:space="0" w:color="auto"/>
            </w:tcBorders>
            <w:shd w:val="clear" w:color="auto" w:fill="auto"/>
            <w:hideMark/>
          </w:tcPr>
          <w:p w:rsidR="009936DC" w:rsidRPr="000B42C6" w:rsidRDefault="004236D5" w:rsidP="008037DE">
            <w:pPr>
              <w:spacing w:before="80" w:after="80"/>
              <w:rPr>
                <w:rFonts w:cs="Arial"/>
                <w:color w:val="000000"/>
                <w:sz w:val="22"/>
                <w:szCs w:val="22"/>
              </w:rPr>
            </w:pPr>
            <w:r>
              <w:rPr>
                <w:rFonts w:cs="Arial"/>
                <w:color w:val="000000"/>
                <w:sz w:val="22"/>
                <w:szCs w:val="22"/>
              </w:rPr>
              <w:t>S</w:t>
            </w:r>
            <w:r w:rsidR="003E111B">
              <w:rPr>
                <w:rFonts w:cs="Arial"/>
                <w:color w:val="000000"/>
                <w:sz w:val="22"/>
                <w:szCs w:val="22"/>
              </w:rPr>
              <w:t>pecialised homeless</w:t>
            </w:r>
          </w:p>
        </w:tc>
        <w:tc>
          <w:tcPr>
            <w:tcW w:w="1293" w:type="pct"/>
            <w:tcBorders>
              <w:top w:val="nil"/>
              <w:left w:val="nil"/>
              <w:bottom w:val="single" w:sz="4" w:space="0" w:color="auto"/>
              <w:right w:val="single" w:sz="4" w:space="0" w:color="auto"/>
            </w:tcBorders>
            <w:shd w:val="clear" w:color="auto" w:fill="auto"/>
            <w:hideMark/>
          </w:tcPr>
          <w:p w:rsidR="009936DC" w:rsidRPr="000B42C6" w:rsidRDefault="009936DC" w:rsidP="008037DE">
            <w:pPr>
              <w:spacing w:before="80" w:after="80"/>
              <w:jc w:val="center"/>
              <w:rPr>
                <w:rFonts w:cs="Arial"/>
                <w:color w:val="000000"/>
                <w:sz w:val="22"/>
                <w:szCs w:val="22"/>
              </w:rPr>
            </w:pPr>
            <w:r w:rsidRPr="000B42C6">
              <w:rPr>
                <w:rFonts w:cs="Arial"/>
                <w:color w:val="000000"/>
                <w:sz w:val="22"/>
                <w:szCs w:val="22"/>
              </w:rPr>
              <w:t>0.</w:t>
            </w:r>
            <w:r>
              <w:rPr>
                <w:rFonts w:cs="Arial"/>
                <w:color w:val="000000"/>
                <w:sz w:val="22"/>
                <w:szCs w:val="22"/>
              </w:rPr>
              <w:t>92</w:t>
            </w:r>
          </w:p>
        </w:tc>
      </w:tr>
      <w:tr w:rsidR="009936DC" w:rsidRPr="000B42C6" w:rsidTr="001A083A">
        <w:trPr>
          <w:tblHeader/>
        </w:trPr>
        <w:tc>
          <w:tcPr>
            <w:tcW w:w="862" w:type="pct"/>
            <w:tcBorders>
              <w:top w:val="nil"/>
              <w:left w:val="single" w:sz="4" w:space="0" w:color="auto"/>
              <w:bottom w:val="single" w:sz="4" w:space="0" w:color="auto"/>
              <w:right w:val="single" w:sz="4" w:space="0" w:color="auto"/>
            </w:tcBorders>
            <w:shd w:val="clear" w:color="auto" w:fill="auto"/>
            <w:hideMark/>
          </w:tcPr>
          <w:p w:rsidR="009936DC" w:rsidRPr="000B42C6" w:rsidRDefault="009936DC" w:rsidP="008037DE">
            <w:pPr>
              <w:spacing w:before="80" w:after="80"/>
              <w:jc w:val="center"/>
              <w:rPr>
                <w:color w:val="000000"/>
                <w:sz w:val="22"/>
                <w:szCs w:val="22"/>
              </w:rPr>
            </w:pPr>
            <w:r w:rsidRPr="000B42C6">
              <w:rPr>
                <w:color w:val="000000"/>
                <w:sz w:val="22"/>
                <w:szCs w:val="22"/>
              </w:rPr>
              <w:t>6</w:t>
            </w:r>
          </w:p>
        </w:tc>
        <w:tc>
          <w:tcPr>
            <w:tcW w:w="2844" w:type="pct"/>
            <w:tcBorders>
              <w:top w:val="nil"/>
              <w:left w:val="nil"/>
              <w:bottom w:val="single" w:sz="4" w:space="0" w:color="auto"/>
              <w:right w:val="single" w:sz="4" w:space="0" w:color="auto"/>
            </w:tcBorders>
            <w:shd w:val="clear" w:color="auto" w:fill="auto"/>
            <w:hideMark/>
          </w:tcPr>
          <w:p w:rsidR="009936DC" w:rsidRPr="000B42C6" w:rsidRDefault="009936DC" w:rsidP="008037DE">
            <w:pPr>
              <w:spacing w:before="80" w:after="80"/>
              <w:rPr>
                <w:rFonts w:cs="Arial"/>
                <w:color w:val="000000"/>
                <w:sz w:val="22"/>
                <w:szCs w:val="22"/>
              </w:rPr>
            </w:pPr>
            <w:r w:rsidRPr="000B42C6">
              <w:rPr>
                <w:rFonts w:cs="Arial"/>
                <w:color w:val="000000"/>
                <w:sz w:val="22"/>
                <w:szCs w:val="22"/>
              </w:rPr>
              <w:t xml:space="preserve">All other </w:t>
            </w:r>
            <w:r w:rsidR="004B7D4B">
              <w:rPr>
                <w:rFonts w:cs="Arial"/>
                <w:color w:val="000000"/>
                <w:sz w:val="22"/>
                <w:szCs w:val="22"/>
              </w:rPr>
              <w:t>residential aged care facilities (</w:t>
            </w:r>
            <w:r w:rsidRPr="000B42C6">
              <w:rPr>
                <w:rFonts w:cs="Arial"/>
                <w:color w:val="000000"/>
                <w:sz w:val="22"/>
                <w:szCs w:val="22"/>
              </w:rPr>
              <w:t>RACFs</w:t>
            </w:r>
            <w:r w:rsidR="004B7D4B">
              <w:rPr>
                <w:rFonts w:cs="Arial"/>
                <w:color w:val="000000"/>
                <w:sz w:val="22"/>
                <w:szCs w:val="22"/>
              </w:rPr>
              <w:t>)</w:t>
            </w:r>
          </w:p>
        </w:tc>
        <w:tc>
          <w:tcPr>
            <w:tcW w:w="1293" w:type="pct"/>
            <w:tcBorders>
              <w:top w:val="nil"/>
              <w:left w:val="nil"/>
              <w:bottom w:val="single" w:sz="4" w:space="0" w:color="auto"/>
              <w:right w:val="single" w:sz="4" w:space="0" w:color="auto"/>
            </w:tcBorders>
            <w:shd w:val="clear" w:color="auto" w:fill="auto"/>
            <w:hideMark/>
          </w:tcPr>
          <w:p w:rsidR="009936DC" w:rsidRPr="000B42C6" w:rsidRDefault="009936DC" w:rsidP="008037DE">
            <w:pPr>
              <w:spacing w:before="80" w:after="80"/>
              <w:jc w:val="center"/>
              <w:rPr>
                <w:rFonts w:cs="Arial"/>
                <w:color w:val="000000"/>
                <w:sz w:val="22"/>
                <w:szCs w:val="22"/>
              </w:rPr>
            </w:pPr>
            <w:r w:rsidRPr="000B42C6">
              <w:rPr>
                <w:rFonts w:cs="Arial"/>
                <w:color w:val="000000"/>
                <w:sz w:val="22"/>
                <w:szCs w:val="22"/>
              </w:rPr>
              <w:t>0.4</w:t>
            </w:r>
            <w:r>
              <w:rPr>
                <w:rFonts w:cs="Arial"/>
                <w:color w:val="000000"/>
                <w:sz w:val="22"/>
                <w:szCs w:val="22"/>
              </w:rPr>
              <w:t>9</w:t>
            </w:r>
          </w:p>
        </w:tc>
      </w:tr>
    </w:tbl>
    <w:p w:rsidR="00DF2A69" w:rsidRDefault="00A319F1" w:rsidP="00DF2A69">
      <w:pPr>
        <w:pStyle w:val="Normal-nospacing"/>
        <w:spacing w:before="240"/>
      </w:pPr>
      <w:r>
        <w:t>The tariffs i</w:t>
      </w:r>
      <w:r w:rsidR="00E073EA">
        <w:t xml:space="preserve">n </w:t>
      </w:r>
      <w:r w:rsidR="00E073EA">
        <w:fldChar w:fldCharType="begin"/>
      </w:r>
      <w:r w:rsidR="00E073EA">
        <w:instrText xml:space="preserve"> REF _Ref534643796 \h </w:instrText>
      </w:r>
      <w:r>
        <w:instrText xml:space="preserve"> \* MERGEFORMAT </w:instrText>
      </w:r>
      <w:r w:rsidR="00E073EA">
        <w:fldChar w:fldCharType="separate"/>
      </w:r>
      <w:r w:rsidR="00847404">
        <w:t xml:space="preserve">Table </w:t>
      </w:r>
      <w:r w:rsidR="00847404">
        <w:rPr>
          <w:noProof/>
        </w:rPr>
        <w:t>1</w:t>
      </w:r>
      <w:r w:rsidR="00E073EA">
        <w:fldChar w:fldCharType="end"/>
      </w:r>
      <w:r w:rsidR="00E073EA">
        <w:t xml:space="preserve"> have </w:t>
      </w:r>
      <w:r w:rsidR="000D66CE">
        <w:t xml:space="preserve">been calculated based on a rate </w:t>
      </w:r>
      <w:r w:rsidR="000D66CE" w:rsidRPr="003414AD">
        <w:rPr>
          <w:b/>
          <w:i/>
        </w:rPr>
        <w:t>per occupied bed day</w:t>
      </w:r>
      <w:r w:rsidR="000D66CE">
        <w:t xml:space="preserve"> for</w:t>
      </w:r>
      <w:r w:rsidR="00416815">
        <w:t xml:space="preserve"> the non-</w:t>
      </w:r>
      <w:r w:rsidR="000D66CE">
        <w:t xml:space="preserve">remote facilities (Tariffs 5 and 6) and on </w:t>
      </w:r>
      <w:r w:rsidR="000D66CE" w:rsidRPr="003414AD">
        <w:rPr>
          <w:b/>
          <w:i/>
        </w:rPr>
        <w:t>approved bed days</w:t>
      </w:r>
      <w:r w:rsidR="000D66CE">
        <w:t xml:space="preserve"> for th</w:t>
      </w:r>
      <w:r w:rsidR="00416815">
        <w:t>ose classified as</w:t>
      </w:r>
      <w:r w:rsidR="000D66CE">
        <w:t xml:space="preserve"> remote (MMM 6 and 7)</w:t>
      </w:r>
      <w:r w:rsidR="00416815">
        <w:t>.</w:t>
      </w:r>
      <w:r w:rsidR="007000B3">
        <w:rPr>
          <w:rStyle w:val="FootnoteReference"/>
        </w:rPr>
        <w:footnoteReference w:id="2"/>
      </w:r>
    </w:p>
    <w:p w:rsidR="00BF2F9F" w:rsidRDefault="00416815" w:rsidP="00DF2A69">
      <w:pPr>
        <w:pStyle w:val="Normal-nospacing"/>
        <w:spacing w:before="240"/>
      </w:pPr>
      <w:r>
        <w:t xml:space="preserve">This feature of the base care tariff payment recognises </w:t>
      </w:r>
      <w:r w:rsidR="00D23E68">
        <w:t>that</w:t>
      </w:r>
      <w:r>
        <w:t xml:space="preserve"> remote facilities tend to be the smallest and at risk of low and variable occupancy levels</w:t>
      </w:r>
      <w:r w:rsidR="00D23E68">
        <w:t xml:space="preserve">. With small </w:t>
      </w:r>
      <w:r>
        <w:t xml:space="preserve">local </w:t>
      </w:r>
      <w:r w:rsidR="003414AD">
        <w:t xml:space="preserve">feeder </w:t>
      </w:r>
      <w:r>
        <w:t>population</w:t>
      </w:r>
      <w:r w:rsidR="00D23E68">
        <w:t>s</w:t>
      </w:r>
      <w:r w:rsidR="00A319F1">
        <w:t>,</w:t>
      </w:r>
      <w:r w:rsidR="00D23E68">
        <w:t xml:space="preserve"> they are less likely to have a waiting list </w:t>
      </w:r>
      <w:r>
        <w:t xml:space="preserve">to draw </w:t>
      </w:r>
      <w:r w:rsidR="00D23E68">
        <w:t xml:space="preserve">from </w:t>
      </w:r>
      <w:r>
        <w:t>when a bed becomes available. Being small</w:t>
      </w:r>
      <w:r w:rsidR="00D23E68">
        <w:t>,</w:t>
      </w:r>
      <w:r>
        <w:t xml:space="preserve"> these facilities suffer the largest percentage </w:t>
      </w:r>
      <w:r w:rsidR="00D23E68">
        <w:t xml:space="preserve">loss of income </w:t>
      </w:r>
      <w:r>
        <w:t xml:space="preserve">if funding </w:t>
      </w:r>
      <w:r w:rsidR="00A319F1">
        <w:t>is</w:t>
      </w:r>
      <w:r>
        <w:t xml:space="preserve"> based on occupancy and beds </w:t>
      </w:r>
      <w:r w:rsidR="00A319F1">
        <w:t>are</w:t>
      </w:r>
      <w:r>
        <w:t xml:space="preserve"> </w:t>
      </w:r>
      <w:r w:rsidR="00A319F1">
        <w:t xml:space="preserve">vacant </w:t>
      </w:r>
      <w:r w:rsidR="00D23E68">
        <w:t xml:space="preserve">for </w:t>
      </w:r>
      <w:r w:rsidR="00A319F1">
        <w:t xml:space="preserve">any </w:t>
      </w:r>
      <w:r w:rsidR="00D23E68">
        <w:t xml:space="preserve">substantial </w:t>
      </w:r>
      <w:r w:rsidR="00A319F1">
        <w:t>period</w:t>
      </w:r>
      <w:r w:rsidR="003E111B">
        <w:t>.</w:t>
      </w:r>
    </w:p>
    <w:p w:rsidR="00BF2F9F" w:rsidRDefault="00BF2F9F" w:rsidP="000441E8">
      <w:pPr>
        <w:pStyle w:val="Heading2"/>
        <w:spacing w:after="120"/>
      </w:pPr>
      <w:bookmarkStart w:id="39" w:name="_Ref534640370"/>
      <w:bookmarkStart w:id="40" w:name="_Toc2066823"/>
      <w:r>
        <w:lastRenderedPageBreak/>
        <w:t>The individualised care (variable) payment</w:t>
      </w:r>
      <w:bookmarkEnd w:id="39"/>
      <w:bookmarkEnd w:id="40"/>
    </w:p>
    <w:p w:rsidR="00AE5601" w:rsidRDefault="00AE5601" w:rsidP="00AE5601">
      <w:r>
        <w:t>Th</w:t>
      </w:r>
      <w:r w:rsidR="003414AD">
        <w:t>e</w:t>
      </w:r>
      <w:r>
        <w:t xml:space="preserve"> individualised care or variable payment is paid in addition to the base care tariff and relates to the tailored care received by residents. This payment recognises the costs associated with </w:t>
      </w:r>
      <w:r w:rsidR="00C5205A">
        <w:t xml:space="preserve">the care of residents with different </w:t>
      </w:r>
      <w:r>
        <w:t>needs for assistance with activities of daily living and clinical or social support. The variable payment is based on the AN-ACC class assigned for each resident</w:t>
      </w:r>
      <w:r w:rsidR="003414AD">
        <w:t xml:space="preserve"> (see </w:t>
      </w:r>
      <w:r w:rsidR="003414AD">
        <w:fldChar w:fldCharType="begin"/>
      </w:r>
      <w:r w:rsidR="003414AD">
        <w:instrText xml:space="preserve"> REF _Ref530158132 \h </w:instrText>
      </w:r>
      <w:r w:rsidR="003414AD">
        <w:fldChar w:fldCharType="separate"/>
      </w:r>
      <w:r w:rsidR="00847404">
        <w:t xml:space="preserve">Figure </w:t>
      </w:r>
      <w:r w:rsidR="00847404">
        <w:rPr>
          <w:noProof/>
        </w:rPr>
        <w:t>1</w:t>
      </w:r>
      <w:r w:rsidR="003414AD">
        <w:fldChar w:fldCharType="end"/>
      </w:r>
      <w:r w:rsidR="003414AD">
        <w:t>)</w:t>
      </w:r>
      <w:r w:rsidR="003E111B">
        <w:t>.</w:t>
      </w:r>
    </w:p>
    <w:p w:rsidR="0003151A" w:rsidRDefault="00770932" w:rsidP="002F28A7">
      <w:pPr>
        <w:spacing w:before="240"/>
      </w:pPr>
      <w:r>
        <w:t xml:space="preserve">The AN-ACC classification system was developed with expert clinical input and </w:t>
      </w:r>
      <w:r w:rsidR="002468B2">
        <w:t xml:space="preserve">was </w:t>
      </w:r>
      <w:r>
        <w:t xml:space="preserve">based on </w:t>
      </w:r>
      <w:r w:rsidR="003414AD">
        <w:t>an intensive classification development study</w:t>
      </w:r>
      <w:r>
        <w:t xml:space="preserve">. </w:t>
      </w:r>
      <w:r w:rsidR="003414AD">
        <w:t>E</w:t>
      </w:r>
      <w:r w:rsidR="0003151A">
        <w:t xml:space="preserve">ach resident </w:t>
      </w:r>
      <w:r w:rsidR="003414AD">
        <w:t>was</w:t>
      </w:r>
      <w:r w:rsidR="0003151A">
        <w:t xml:space="preserve"> assessed </w:t>
      </w:r>
      <w:r w:rsidR="000F5457">
        <w:t>using a standardised</w:t>
      </w:r>
      <w:r w:rsidR="0003151A">
        <w:t xml:space="preserve"> </w:t>
      </w:r>
      <w:r w:rsidR="000F5457">
        <w:t>t</w:t>
      </w:r>
      <w:r w:rsidR="0003151A">
        <w:t>ool and care staff collect</w:t>
      </w:r>
      <w:r w:rsidR="003414AD">
        <w:t>ed</w:t>
      </w:r>
      <w:r w:rsidR="0003151A">
        <w:t xml:space="preserve"> data on the time </w:t>
      </w:r>
      <w:r w:rsidR="003414AD">
        <w:t xml:space="preserve">(in minutes) that </w:t>
      </w:r>
      <w:r w:rsidR="0003151A">
        <w:t xml:space="preserve">they spent delivering care to </w:t>
      </w:r>
      <w:r w:rsidR="003414AD">
        <w:t xml:space="preserve">each </w:t>
      </w:r>
      <w:r w:rsidR="0003151A">
        <w:t xml:space="preserve">individual resident. </w:t>
      </w:r>
      <w:r w:rsidR="00CF1146">
        <w:t xml:space="preserve">The </w:t>
      </w:r>
      <w:r w:rsidR="0003151A">
        <w:t>classif</w:t>
      </w:r>
      <w:r w:rsidR="00CF1146">
        <w:t xml:space="preserve">ication system is </w:t>
      </w:r>
      <w:r w:rsidR="0003151A">
        <w:t>a branching model</w:t>
      </w:r>
      <w:r w:rsidR="00CF1146">
        <w:t xml:space="preserve"> which enables the </w:t>
      </w:r>
      <w:r w:rsidR="002468B2">
        <w:t xml:space="preserve">factors that </w:t>
      </w:r>
      <w:r w:rsidR="00CF1146">
        <w:t>drive</w:t>
      </w:r>
      <w:r w:rsidR="002468B2">
        <w:t xml:space="preserve"> </w:t>
      </w:r>
      <w:r w:rsidR="00CF1146">
        <w:t xml:space="preserve">care cost to be </w:t>
      </w:r>
      <w:r w:rsidR="00EF7DBB">
        <w:t>addressed i</w:t>
      </w:r>
      <w:r w:rsidR="00CF1146">
        <w:t>nteractive</w:t>
      </w:r>
      <w:r w:rsidR="00EF7DBB">
        <w:t>ly</w:t>
      </w:r>
      <w:r w:rsidR="00CF1146">
        <w:t xml:space="preserve"> rather than operating in isolation. </w:t>
      </w:r>
      <w:r w:rsidR="0003151A">
        <w:t>For example</w:t>
      </w:r>
      <w:r w:rsidR="00EF7DBB">
        <w:t>,</w:t>
      </w:r>
      <w:r w:rsidR="0003151A">
        <w:t xml:space="preserve"> </w:t>
      </w:r>
      <w:r w:rsidR="00EF7DBB">
        <w:t xml:space="preserve">two </w:t>
      </w:r>
      <w:r w:rsidR="0003151A">
        <w:t>resident</w:t>
      </w:r>
      <w:r w:rsidR="00EF7DBB">
        <w:t xml:space="preserve">s have </w:t>
      </w:r>
      <w:r w:rsidR="0003151A">
        <w:t>cognitive impairment</w:t>
      </w:r>
      <w:r w:rsidR="00EF7DBB">
        <w:t xml:space="preserve">. One resident is mobile. The other is not. While they both have cognitive impairment, they </w:t>
      </w:r>
      <w:r w:rsidR="0003151A">
        <w:t xml:space="preserve">have </w:t>
      </w:r>
      <w:r w:rsidR="00EF7DBB">
        <w:t xml:space="preserve">very </w:t>
      </w:r>
      <w:r w:rsidR="00FC702F">
        <w:t>different care needs.</w:t>
      </w:r>
      <w:r w:rsidR="00A319F1">
        <w:t xml:space="preserve"> </w:t>
      </w:r>
      <w:r w:rsidR="00EF7DBB">
        <w:t xml:space="preserve">In the current ACFI system, cognition and mobility are each considered separately. In the AN-ACC, they are considered in combination. </w:t>
      </w:r>
      <w:r w:rsidR="00A319F1">
        <w:t>This issue is</w:t>
      </w:r>
      <w:r w:rsidR="000441E8">
        <w:t xml:space="preserve"> d</w:t>
      </w:r>
      <w:r w:rsidR="00A319F1">
        <w:t xml:space="preserve">iscussed in detail in </w:t>
      </w:r>
      <w:r w:rsidR="00472BCC">
        <w:t xml:space="preserve">an earlier </w:t>
      </w:r>
      <w:r w:rsidR="000441E8">
        <w:t xml:space="preserve">report on options and recommendations for future funding models for residential aged care that was </w:t>
      </w:r>
      <w:r w:rsidR="00472BCC">
        <w:t>completed by AHSRI</w:t>
      </w:r>
      <w:r w:rsidR="006E1504">
        <w:t>.</w:t>
      </w:r>
      <w:r w:rsidR="00472BCC">
        <w:rPr>
          <w:rStyle w:val="FootnoteReference"/>
        </w:rPr>
        <w:footnoteReference w:id="3"/>
      </w:r>
    </w:p>
    <w:p w:rsidR="00AD5BA1" w:rsidRDefault="00AD5BA1" w:rsidP="00AD5BA1">
      <w:pPr>
        <w:spacing w:before="240"/>
      </w:pPr>
      <w:r>
        <w:t xml:space="preserve">In the AN-ACC funding model, the AN-ACC class is assigned based on an </w:t>
      </w:r>
      <w:r w:rsidRPr="00D85712">
        <w:t>assessment conducted by a</w:t>
      </w:r>
      <w:r>
        <w:t>n</w:t>
      </w:r>
      <w:r w:rsidRPr="00D85712">
        <w:t xml:space="preserve"> independent assessor who is not employed by the care home</w:t>
      </w:r>
      <w:r>
        <w:t>, using the AN-ACC Assessment Tool</w:t>
      </w:r>
      <w:r w:rsidRPr="00D85712">
        <w:t xml:space="preserve">. </w:t>
      </w:r>
      <w:r>
        <w:t>The AN-ACC assessment process is described in detail in Report 2.</w:t>
      </w:r>
    </w:p>
    <w:p w:rsidR="00AD5BA1" w:rsidRDefault="00AD5BA1" w:rsidP="00AD5BA1">
      <w:pPr>
        <w:spacing w:before="240"/>
      </w:pPr>
      <w:r>
        <w:t xml:space="preserve">The branching model of the AN-ACC Version 1.0 is presented in </w:t>
      </w:r>
      <w:r>
        <w:fldChar w:fldCharType="begin"/>
      </w:r>
      <w:r>
        <w:instrText xml:space="preserve"> REF _Ref530158132 \h </w:instrText>
      </w:r>
      <w:r>
        <w:fldChar w:fldCharType="separate"/>
      </w:r>
      <w:r>
        <w:t xml:space="preserve">Figure </w:t>
      </w:r>
      <w:r>
        <w:rPr>
          <w:noProof/>
        </w:rPr>
        <w:t>1</w:t>
      </w:r>
      <w:r>
        <w:fldChar w:fldCharType="end"/>
      </w:r>
      <w:r>
        <w:t>.</w:t>
      </w:r>
    </w:p>
    <w:p w:rsidR="00AD5BA1" w:rsidRDefault="00AD5BA1">
      <w:pPr>
        <w:spacing w:after="200" w:line="276" w:lineRule="auto"/>
      </w:pPr>
      <w:r>
        <w:br w:type="page"/>
      </w:r>
    </w:p>
    <w:p w:rsidR="00D85712" w:rsidRDefault="00D85712" w:rsidP="00D85712">
      <w:pPr>
        <w:pStyle w:val="Caption"/>
      </w:pPr>
      <w:bookmarkStart w:id="41" w:name="_Ref530158132"/>
      <w:bookmarkStart w:id="42" w:name="_Toc534360961"/>
      <w:bookmarkStart w:id="43" w:name="_Toc2066842"/>
      <w:r>
        <w:lastRenderedPageBreak/>
        <w:t xml:space="preserve">Figure </w:t>
      </w:r>
      <w:r>
        <w:rPr>
          <w:noProof/>
        </w:rPr>
        <w:fldChar w:fldCharType="begin"/>
      </w:r>
      <w:r>
        <w:rPr>
          <w:noProof/>
        </w:rPr>
        <w:instrText xml:space="preserve"> SEQ Figure \* ARABIC </w:instrText>
      </w:r>
      <w:r>
        <w:rPr>
          <w:noProof/>
        </w:rPr>
        <w:fldChar w:fldCharType="separate"/>
      </w:r>
      <w:r w:rsidR="00847404">
        <w:rPr>
          <w:noProof/>
        </w:rPr>
        <w:t>1</w:t>
      </w:r>
      <w:r>
        <w:rPr>
          <w:noProof/>
        </w:rPr>
        <w:fldChar w:fldCharType="end"/>
      </w:r>
      <w:bookmarkEnd w:id="41"/>
      <w:r>
        <w:tab/>
      </w:r>
      <w:r w:rsidRPr="00B82914">
        <w:t>The Australian National Aged Care Classification (AN-ACC)</w:t>
      </w:r>
      <w:r>
        <w:t xml:space="preserve"> Version 1.0</w:t>
      </w:r>
      <w:bookmarkEnd w:id="42"/>
      <w:bookmarkEnd w:id="43"/>
    </w:p>
    <w:p w:rsidR="0043278D" w:rsidRPr="0043278D" w:rsidRDefault="0043278D" w:rsidP="0043278D">
      <w:r>
        <w:rPr>
          <w:noProof/>
        </w:rPr>
        <w:drawing>
          <wp:inline distT="0" distB="0" distL="0" distR="0" wp14:anchorId="3F77CE90" wp14:editId="723C48CB">
            <wp:extent cx="5667375" cy="6734175"/>
            <wp:effectExtent l="0" t="0" r="9525" b="9525"/>
            <wp:docPr id="3" name="Picture 3" descr="Figure 1 shows the branching model of the AN-ACC classification Version 1.0." title="Figure 1 The Australian National Aged Care Classification (AN-ACC) Vers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7375" cy="6734175"/>
                    </a:xfrm>
                    <a:prstGeom prst="rect">
                      <a:avLst/>
                    </a:prstGeom>
                  </pic:spPr>
                </pic:pic>
              </a:graphicData>
            </a:graphic>
          </wp:inline>
        </w:drawing>
      </w:r>
    </w:p>
    <w:p w:rsidR="00AD5BA1" w:rsidRDefault="00AD5BA1" w:rsidP="0043278D"/>
    <w:p w:rsidR="00B34D7B" w:rsidRDefault="000F5457" w:rsidP="00B34D7B">
      <w:pPr>
        <w:pStyle w:val="Normal-nospacing"/>
      </w:pPr>
      <w:r>
        <w:t>Each of the AN-ACC classes is ass</w:t>
      </w:r>
      <w:r w:rsidR="00B34D7B">
        <w:t xml:space="preserve">igned </w:t>
      </w:r>
      <w:r>
        <w:t>an NWAU</w:t>
      </w:r>
      <w:r w:rsidR="00EF7DBB">
        <w:t xml:space="preserve">, with NWAUs calculated </w:t>
      </w:r>
      <w:r w:rsidR="00B34D7B">
        <w:t xml:space="preserve">based on </w:t>
      </w:r>
      <w:r>
        <w:t xml:space="preserve">the relative cost of delivering care to residents within the class. </w:t>
      </w:r>
      <w:r>
        <w:fldChar w:fldCharType="begin"/>
      </w:r>
      <w:r>
        <w:instrText xml:space="preserve"> REF _Ref534723808 \h </w:instrText>
      </w:r>
      <w:r w:rsidR="002468B2">
        <w:instrText xml:space="preserve"> \* MERGEFORMAT </w:instrText>
      </w:r>
      <w:r>
        <w:fldChar w:fldCharType="separate"/>
      </w:r>
      <w:r w:rsidR="00847404">
        <w:t>Table 2</w:t>
      </w:r>
      <w:r>
        <w:fldChar w:fldCharType="end"/>
      </w:r>
      <w:r>
        <w:t xml:space="preserve"> includes the NWAU for each class in Version 1</w:t>
      </w:r>
      <w:r w:rsidR="00A001CF">
        <w:t>.0</w:t>
      </w:r>
      <w:r w:rsidR="003E111B">
        <w:t xml:space="preserve"> of the classification system.</w:t>
      </w:r>
    </w:p>
    <w:p w:rsidR="000F5457" w:rsidRDefault="000F5457" w:rsidP="00B34D7B">
      <w:pPr>
        <w:pStyle w:val="Normal-nospacing"/>
      </w:pPr>
      <w:r>
        <w:t xml:space="preserve">The most costly residents (on a daily basis) with an NWAU of 0.96 are those who either enter the facility specifically for palliative care </w:t>
      </w:r>
      <w:r w:rsidR="00B34D7B">
        <w:t xml:space="preserve">(Class 1) </w:t>
      </w:r>
      <w:r>
        <w:t xml:space="preserve">or are not mobile, have lower levels of function, higher risk of pressure sores and other compounding factors such as </w:t>
      </w:r>
      <w:r>
        <w:lastRenderedPageBreak/>
        <w:t>behavioural issues</w:t>
      </w:r>
      <w:r w:rsidR="00B34D7B">
        <w:t xml:space="preserve"> (Class 13)</w:t>
      </w:r>
      <w:r w:rsidR="0043278D">
        <w:t xml:space="preserve">. </w:t>
      </w:r>
      <w:r>
        <w:t xml:space="preserve">The least costly residents are those </w:t>
      </w:r>
      <w:r w:rsidR="00A001CF">
        <w:t>who are independently mobile without compounding factors</w:t>
      </w:r>
      <w:r w:rsidR="00B34D7B">
        <w:t xml:space="preserve"> (Class 2)</w:t>
      </w:r>
      <w:r w:rsidR="00A001CF">
        <w:t>.</w:t>
      </w:r>
    </w:p>
    <w:p w:rsidR="00142CFE" w:rsidRDefault="00142CFE" w:rsidP="00142CFE">
      <w:pPr>
        <w:pStyle w:val="Caption"/>
      </w:pPr>
      <w:bookmarkStart w:id="44" w:name="_Ref534723808"/>
      <w:bookmarkStart w:id="45" w:name="_Toc2066841"/>
      <w:r>
        <w:t xml:space="preserve">Table </w:t>
      </w:r>
      <w:r>
        <w:rPr>
          <w:noProof/>
        </w:rPr>
        <w:fldChar w:fldCharType="begin"/>
      </w:r>
      <w:r>
        <w:rPr>
          <w:noProof/>
        </w:rPr>
        <w:instrText xml:space="preserve"> SEQ Table \* ARABIC </w:instrText>
      </w:r>
      <w:r>
        <w:rPr>
          <w:noProof/>
        </w:rPr>
        <w:fldChar w:fldCharType="separate"/>
      </w:r>
      <w:r w:rsidR="00847404">
        <w:rPr>
          <w:noProof/>
        </w:rPr>
        <w:t>2</w:t>
      </w:r>
      <w:r>
        <w:rPr>
          <w:noProof/>
        </w:rPr>
        <w:fldChar w:fldCharType="end"/>
      </w:r>
      <w:bookmarkEnd w:id="44"/>
      <w:r w:rsidR="00FF007F">
        <w:rPr>
          <w:noProof/>
        </w:rPr>
        <w:t xml:space="preserve"> </w:t>
      </w:r>
      <w:r>
        <w:tab/>
      </w:r>
      <w:r w:rsidRPr="000B42C6">
        <w:t>AN-ACC Version 1</w:t>
      </w:r>
      <w:r w:rsidR="00A001CF">
        <w:t>.0</w:t>
      </w:r>
      <w:r w:rsidRPr="000B42C6">
        <w:t xml:space="preserve"> NWAUs</w:t>
      </w:r>
      <w:bookmarkEnd w:id="45"/>
    </w:p>
    <w:tbl>
      <w:tblPr>
        <w:tblW w:w="8520" w:type="dxa"/>
        <w:tblInd w:w="93" w:type="dxa"/>
        <w:tblLook w:val="04A0" w:firstRow="1" w:lastRow="0" w:firstColumn="1" w:lastColumn="0" w:noHBand="0" w:noVBand="1"/>
        <w:tblCaption w:val="Table 2  AN-ACC Version 1.0 NWAUs"/>
        <w:tblDescription w:val="Table 2 shows the 13 classes of AN-ACC Version 1.0, their resident descriptions and NWAUs. This table is to be read as a series of rows from left to right ('AN-ACC class' then 'resident description' then 'AN-ACC NWAU')."/>
      </w:tblPr>
      <w:tblGrid>
        <w:gridCol w:w="1149"/>
        <w:gridCol w:w="6096"/>
        <w:gridCol w:w="1275"/>
      </w:tblGrid>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rFonts w:cs="Arial"/>
                <w:b/>
                <w:bCs/>
                <w:color w:val="000000"/>
                <w:sz w:val="22"/>
                <w:szCs w:val="22"/>
              </w:rPr>
            </w:pPr>
            <w:r w:rsidRPr="000B42C6">
              <w:rPr>
                <w:rFonts w:cs="Arial"/>
                <w:b/>
                <w:bCs/>
                <w:color w:val="000000"/>
                <w:sz w:val="22"/>
                <w:szCs w:val="22"/>
              </w:rPr>
              <w:t>AN-ACC class</w:t>
            </w:r>
          </w:p>
        </w:tc>
        <w:tc>
          <w:tcPr>
            <w:tcW w:w="6096" w:type="dxa"/>
            <w:tcBorders>
              <w:top w:val="single" w:sz="4" w:space="0" w:color="auto"/>
              <w:left w:val="nil"/>
              <w:bottom w:val="single" w:sz="4" w:space="0" w:color="auto"/>
              <w:right w:val="single" w:sz="4" w:space="0" w:color="auto"/>
            </w:tcBorders>
            <w:shd w:val="clear" w:color="auto" w:fill="auto"/>
            <w:hideMark/>
          </w:tcPr>
          <w:p w:rsidR="00142CFE" w:rsidRPr="000B42C6" w:rsidRDefault="00142CFE" w:rsidP="008037DE">
            <w:pPr>
              <w:spacing w:before="80" w:after="80"/>
              <w:rPr>
                <w:rFonts w:cs="Arial"/>
                <w:b/>
                <w:bCs/>
                <w:color w:val="000000"/>
                <w:sz w:val="22"/>
                <w:szCs w:val="22"/>
              </w:rPr>
            </w:pPr>
            <w:r w:rsidRPr="000B42C6">
              <w:rPr>
                <w:rFonts w:cs="Arial"/>
                <w:b/>
                <w:bCs/>
                <w:color w:val="000000"/>
                <w:sz w:val="22"/>
                <w:szCs w:val="22"/>
              </w:rPr>
              <w:t>Resident description</w:t>
            </w:r>
          </w:p>
        </w:tc>
        <w:tc>
          <w:tcPr>
            <w:tcW w:w="1275" w:type="dxa"/>
            <w:tcBorders>
              <w:top w:val="single" w:sz="4" w:space="0" w:color="auto"/>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rFonts w:cs="Arial"/>
                <w:b/>
                <w:bCs/>
                <w:color w:val="000000"/>
                <w:sz w:val="22"/>
                <w:szCs w:val="22"/>
              </w:rPr>
            </w:pPr>
            <w:r w:rsidRPr="000B42C6">
              <w:rPr>
                <w:rFonts w:cs="Arial"/>
                <w:b/>
                <w:bCs/>
                <w:color w:val="000000"/>
                <w:sz w:val="22"/>
                <w:szCs w:val="22"/>
              </w:rPr>
              <w:t>AN-ACC NWAU</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EE5457" w:rsidRDefault="00142CFE" w:rsidP="008037DE">
            <w:pPr>
              <w:spacing w:before="80" w:after="80"/>
              <w:jc w:val="center"/>
              <w:rPr>
                <w:sz w:val="22"/>
                <w:szCs w:val="22"/>
              </w:rPr>
            </w:pPr>
            <w:r w:rsidRPr="00EE5457">
              <w:rPr>
                <w:sz w:val="22"/>
                <w:szCs w:val="22"/>
              </w:rPr>
              <w:t>Class 1</w:t>
            </w:r>
          </w:p>
        </w:tc>
        <w:tc>
          <w:tcPr>
            <w:tcW w:w="6096" w:type="dxa"/>
            <w:tcBorders>
              <w:top w:val="nil"/>
              <w:left w:val="nil"/>
              <w:bottom w:val="single" w:sz="4" w:space="0" w:color="auto"/>
              <w:right w:val="single" w:sz="4" w:space="0" w:color="auto"/>
            </w:tcBorders>
            <w:shd w:val="clear" w:color="auto" w:fill="auto"/>
            <w:hideMark/>
          </w:tcPr>
          <w:p w:rsidR="00142CFE" w:rsidRPr="00EE5457" w:rsidRDefault="00142CFE" w:rsidP="008037DE">
            <w:pPr>
              <w:spacing w:before="80" w:after="80"/>
              <w:rPr>
                <w:sz w:val="22"/>
                <w:szCs w:val="22"/>
              </w:rPr>
            </w:pPr>
            <w:r w:rsidRPr="00EE5457">
              <w:rPr>
                <w:sz w:val="22"/>
                <w:szCs w:val="22"/>
              </w:rPr>
              <w:t>Admit for palliative care</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0.96</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2</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Independent without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0.18</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3</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Independent with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0.30</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4</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Assisted mobility, high cognition, without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0.20</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5</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Assisted mobility, high cognition, with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0.36</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6</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Assisted mobility, medium cognition, without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0.34</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7</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Assisted mobility, medium cognition, with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0.47</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8</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Assisted mobility, low cognition</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0.51</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9</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Not mobile, higher function, without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0.52</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10</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Not mobile, higher function, with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0.83</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11</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Not mobile, lower function, lower pressure sore risk</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0.80</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12</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Not mobile, lower function, higher pressure sore risk, without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0.78</w:t>
            </w:r>
          </w:p>
        </w:tc>
      </w:tr>
      <w:tr w:rsidR="00142CFE" w:rsidRPr="000B42C6" w:rsidTr="008037DE">
        <w:trPr>
          <w:tblHeader/>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Class 13</w:t>
            </w:r>
          </w:p>
        </w:tc>
        <w:tc>
          <w:tcPr>
            <w:tcW w:w="6096"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rPr>
                <w:color w:val="000000"/>
                <w:sz w:val="22"/>
                <w:szCs w:val="22"/>
              </w:rPr>
            </w:pPr>
            <w:r w:rsidRPr="000B42C6">
              <w:rPr>
                <w:color w:val="000000"/>
                <w:sz w:val="22"/>
                <w:szCs w:val="22"/>
              </w:rPr>
              <w:t>Not mobile, lower function, higher pressure sore risk, with CF</w:t>
            </w:r>
          </w:p>
        </w:tc>
        <w:tc>
          <w:tcPr>
            <w:tcW w:w="1275" w:type="dxa"/>
            <w:tcBorders>
              <w:top w:val="nil"/>
              <w:left w:val="nil"/>
              <w:bottom w:val="single" w:sz="4" w:space="0" w:color="auto"/>
              <w:right w:val="single" w:sz="4" w:space="0" w:color="auto"/>
            </w:tcBorders>
            <w:shd w:val="clear" w:color="auto" w:fill="auto"/>
            <w:hideMark/>
          </w:tcPr>
          <w:p w:rsidR="00142CFE" w:rsidRPr="000B42C6" w:rsidRDefault="00142CFE" w:rsidP="008037DE">
            <w:pPr>
              <w:spacing w:before="80" w:after="80"/>
              <w:jc w:val="center"/>
              <w:rPr>
                <w:color w:val="000000"/>
                <w:sz w:val="22"/>
                <w:szCs w:val="22"/>
              </w:rPr>
            </w:pPr>
            <w:r w:rsidRPr="000B42C6">
              <w:rPr>
                <w:color w:val="000000"/>
                <w:sz w:val="22"/>
                <w:szCs w:val="22"/>
              </w:rPr>
              <w:t>0.96</w:t>
            </w:r>
          </w:p>
        </w:tc>
      </w:tr>
    </w:tbl>
    <w:p w:rsidR="00142CFE" w:rsidRPr="00AF3335" w:rsidRDefault="004B7D4B" w:rsidP="00AE5601">
      <w:pPr>
        <w:rPr>
          <w:sz w:val="20"/>
          <w:szCs w:val="20"/>
        </w:rPr>
      </w:pPr>
      <w:r w:rsidRPr="00AF3335">
        <w:rPr>
          <w:sz w:val="20"/>
          <w:szCs w:val="20"/>
        </w:rPr>
        <w:t xml:space="preserve">CF = </w:t>
      </w:r>
      <w:r w:rsidR="000441E8">
        <w:rPr>
          <w:sz w:val="20"/>
          <w:szCs w:val="20"/>
        </w:rPr>
        <w:t>Compounding F</w:t>
      </w:r>
      <w:r w:rsidRPr="00AF3335">
        <w:rPr>
          <w:sz w:val="20"/>
          <w:szCs w:val="20"/>
        </w:rPr>
        <w:t>actors</w:t>
      </w:r>
    </w:p>
    <w:p w:rsidR="00CF1146" w:rsidRDefault="00142CFE" w:rsidP="00CF1146">
      <w:pPr>
        <w:pStyle w:val="Heading2"/>
      </w:pPr>
      <w:bookmarkStart w:id="46" w:name="_Ref534724286"/>
      <w:bookmarkStart w:id="47" w:name="_Toc2066824"/>
      <w:r>
        <w:t xml:space="preserve">The </w:t>
      </w:r>
      <w:r w:rsidR="00BF2F9F">
        <w:t>AN-ACC assessment</w:t>
      </w:r>
      <w:bookmarkEnd w:id="46"/>
      <w:bookmarkEnd w:id="47"/>
    </w:p>
    <w:p w:rsidR="00B34D7B" w:rsidRDefault="00142CFE" w:rsidP="00B34D7B">
      <w:pPr>
        <w:pStyle w:val="Normal-nospacing"/>
      </w:pPr>
      <w:r w:rsidRPr="00954AD6">
        <w:t>The AN-ACC assessment model is underpinne</w:t>
      </w:r>
      <w:r w:rsidR="00E56AE8">
        <w:t>d by the principle of separating</w:t>
      </w:r>
      <w:r w:rsidRPr="00954AD6">
        <w:t xml:space="preserve"> assessment for funding purposes from </w:t>
      </w:r>
      <w:r w:rsidR="00B34D7B">
        <w:t xml:space="preserve">assessment for </w:t>
      </w:r>
      <w:r w:rsidRPr="00954AD6">
        <w:t>care planning</w:t>
      </w:r>
      <w:r w:rsidR="00B34D7B">
        <w:t xml:space="preserve"> purposes</w:t>
      </w:r>
      <w:r w:rsidRPr="00954AD6">
        <w:t>. Assessment for comprehensive care planning would continue to be undertaken</w:t>
      </w:r>
      <w:r w:rsidR="002C4091">
        <w:t xml:space="preserve"> within care homes by staff who</w:t>
      </w:r>
      <w:r w:rsidRPr="00954AD6">
        <w:t xml:space="preserve"> know their residents well</w:t>
      </w:r>
      <w:r w:rsidR="00315E85">
        <w:t>. A</w:t>
      </w:r>
      <w:r w:rsidR="00E56AE8">
        <w:t>ssessment for funding would be conducted externally</w:t>
      </w:r>
      <w:r w:rsidR="0043278D">
        <w:t>.</w:t>
      </w:r>
    </w:p>
    <w:p w:rsidR="00142CFE" w:rsidRPr="00B34D7B" w:rsidRDefault="00614809" w:rsidP="00B34D7B">
      <w:pPr>
        <w:pStyle w:val="Normal-nospacing"/>
      </w:pPr>
      <w:r w:rsidRPr="00954AD6">
        <w:t xml:space="preserve">This is a significant change from the current approach to assessment using the </w:t>
      </w:r>
      <w:r w:rsidR="00142CFE" w:rsidRPr="00954AD6">
        <w:t>ACFI</w:t>
      </w:r>
      <w:r w:rsidRPr="00954AD6">
        <w:t xml:space="preserve">. The ACFI </w:t>
      </w:r>
      <w:r w:rsidR="00142CFE" w:rsidRPr="00954AD6">
        <w:t xml:space="preserve">model involves </w:t>
      </w:r>
      <w:r w:rsidRPr="00954AD6">
        <w:t xml:space="preserve">staff within the </w:t>
      </w:r>
      <w:r w:rsidR="00142CFE" w:rsidRPr="00954AD6">
        <w:t xml:space="preserve">residential aged care facilities assessing each resident </w:t>
      </w:r>
      <w:r w:rsidRPr="00954AD6">
        <w:t>and submitting the results</w:t>
      </w:r>
      <w:r w:rsidR="00142CFE" w:rsidRPr="00954AD6">
        <w:t xml:space="preserve"> to t</w:t>
      </w:r>
      <w:r w:rsidRPr="00954AD6">
        <w:t>he Commonwealth for</w:t>
      </w:r>
      <w:r w:rsidR="00142CFE" w:rsidRPr="00954AD6">
        <w:t xml:space="preserve"> fund</w:t>
      </w:r>
      <w:r w:rsidRPr="00954AD6">
        <w:t>ing purposes</w:t>
      </w:r>
      <w:r w:rsidR="00142CFE" w:rsidRPr="00954AD6">
        <w:t xml:space="preserve">. </w:t>
      </w:r>
      <w:r w:rsidRPr="00954AD6">
        <w:t>T</w:t>
      </w:r>
      <w:r w:rsidR="00142CFE" w:rsidRPr="00954AD6">
        <w:t xml:space="preserve">he </w:t>
      </w:r>
      <w:r w:rsidR="00142CFE" w:rsidRPr="00B34D7B">
        <w:t xml:space="preserve">assumption </w:t>
      </w:r>
      <w:r w:rsidRPr="00B34D7B">
        <w:t xml:space="preserve">in this process </w:t>
      </w:r>
      <w:r w:rsidR="00142CFE" w:rsidRPr="00B34D7B">
        <w:t xml:space="preserve">is that the home uses that same information for </w:t>
      </w:r>
      <w:r w:rsidRPr="00B34D7B">
        <w:t>both funding</w:t>
      </w:r>
      <w:r w:rsidR="0043278D">
        <w:t xml:space="preserve"> and care planning purposes.</w:t>
      </w:r>
    </w:p>
    <w:p w:rsidR="00D07788" w:rsidRPr="00B34D7B" w:rsidRDefault="00954AD6" w:rsidP="00B34D7B">
      <w:pPr>
        <w:pStyle w:val="Normal-nospacing"/>
      </w:pPr>
      <w:r w:rsidRPr="00B34D7B">
        <w:t>T</w:t>
      </w:r>
      <w:r w:rsidR="00614809" w:rsidRPr="00B34D7B">
        <w:t xml:space="preserve">he </w:t>
      </w:r>
      <w:r w:rsidRPr="00B34D7B">
        <w:t xml:space="preserve">AN-ACC </w:t>
      </w:r>
      <w:r w:rsidR="00614809" w:rsidRPr="00B34D7B">
        <w:t xml:space="preserve">assessment </w:t>
      </w:r>
      <w:r w:rsidRPr="00B34D7B">
        <w:t>for</w:t>
      </w:r>
      <w:r w:rsidR="00614809" w:rsidRPr="00B34D7B">
        <w:t xml:space="preserve"> funding purposes</w:t>
      </w:r>
      <w:r w:rsidRPr="00B34D7B">
        <w:t xml:space="preserve"> </w:t>
      </w:r>
      <w:r w:rsidR="00D07788" w:rsidRPr="00B34D7B">
        <w:t>focus</w:t>
      </w:r>
      <w:r w:rsidR="00E56AE8" w:rsidRPr="00B34D7B">
        <w:t>es</w:t>
      </w:r>
      <w:r w:rsidR="00614809" w:rsidRPr="00B34D7B">
        <w:t xml:space="preserve"> on the drivers of cost</w:t>
      </w:r>
      <w:r w:rsidR="00E56AE8" w:rsidRPr="00B34D7B">
        <w:t xml:space="preserve">. This </w:t>
      </w:r>
      <w:r w:rsidR="002C4091" w:rsidRPr="00B34D7B">
        <w:t>is a fundamentally</w:t>
      </w:r>
      <w:r w:rsidRPr="00B34D7B">
        <w:t xml:space="preserve"> </w:t>
      </w:r>
      <w:r w:rsidR="00614809" w:rsidRPr="00B34D7B">
        <w:t xml:space="preserve">different </w:t>
      </w:r>
      <w:r w:rsidR="002C4091" w:rsidRPr="00B34D7B">
        <w:t xml:space="preserve">type of assessment to </w:t>
      </w:r>
      <w:r w:rsidR="00E56AE8" w:rsidRPr="00B34D7B">
        <w:t>one</w:t>
      </w:r>
      <w:r w:rsidR="002C4091" w:rsidRPr="00B34D7B">
        <w:t xml:space="preserve"> </w:t>
      </w:r>
      <w:r w:rsidRPr="00B34D7B">
        <w:t xml:space="preserve">that </w:t>
      </w:r>
      <w:r w:rsidR="002C4091" w:rsidRPr="00B34D7B">
        <w:t>w</w:t>
      </w:r>
      <w:r w:rsidR="00614809" w:rsidRPr="00B34D7B">
        <w:t xml:space="preserve">ould </w:t>
      </w:r>
      <w:r w:rsidRPr="00B34D7B">
        <w:t xml:space="preserve">be </w:t>
      </w:r>
      <w:r w:rsidR="00614809" w:rsidRPr="00B34D7B">
        <w:t>u</w:t>
      </w:r>
      <w:r w:rsidR="002C4091" w:rsidRPr="00B34D7B">
        <w:t>ndertaken</w:t>
      </w:r>
      <w:r w:rsidR="00614809" w:rsidRPr="00B34D7B">
        <w:t xml:space="preserve"> </w:t>
      </w:r>
      <w:r w:rsidR="002C4091" w:rsidRPr="00B34D7B">
        <w:t>for care</w:t>
      </w:r>
      <w:r w:rsidR="00614809" w:rsidRPr="00B34D7B">
        <w:t xml:space="preserve"> planning.</w:t>
      </w:r>
      <w:r w:rsidR="00D07788" w:rsidRPr="00B34D7B">
        <w:t xml:space="preserve"> The AN-ACC </w:t>
      </w:r>
      <w:r w:rsidRPr="00B34D7B">
        <w:t xml:space="preserve">assessment </w:t>
      </w:r>
      <w:r w:rsidR="00D07788" w:rsidRPr="00B34D7B">
        <w:t>is designed to be robust and concise and able to be completed</w:t>
      </w:r>
      <w:r w:rsidRPr="00B34D7B">
        <w:t xml:space="preserve"> by an external expert clinician who is not familiar with the resident</w:t>
      </w:r>
      <w:r w:rsidR="00D07788" w:rsidRPr="00B34D7B">
        <w:t>.</w:t>
      </w:r>
    </w:p>
    <w:p w:rsidR="00BF2F9F" w:rsidRPr="00B34D7B" w:rsidRDefault="00954AD6" w:rsidP="00B34D7B">
      <w:pPr>
        <w:pStyle w:val="Normal-nospacing"/>
      </w:pPr>
      <w:r w:rsidRPr="00B34D7B">
        <w:t xml:space="preserve">The </w:t>
      </w:r>
      <w:r w:rsidR="00315E85">
        <w:t xml:space="preserve">AN-ACC </w:t>
      </w:r>
      <w:r w:rsidRPr="00B34D7B">
        <w:t xml:space="preserve">funding assessment </w:t>
      </w:r>
      <w:r w:rsidR="00315E85">
        <w:t>w</w:t>
      </w:r>
      <w:r w:rsidRPr="00B34D7B">
        <w:t xml:space="preserve">ould be </w:t>
      </w:r>
      <w:r w:rsidR="00BF2F9F" w:rsidRPr="00B34D7B">
        <w:t xml:space="preserve">undertaken </w:t>
      </w:r>
      <w:r w:rsidR="00370D0A">
        <w:t xml:space="preserve">within four weeks of entry into care. Depending on circumstances, this could be an </w:t>
      </w:r>
      <w:r w:rsidR="00370D0A" w:rsidRPr="00B34D7B">
        <w:t>assessment prior to entry</w:t>
      </w:r>
      <w:r w:rsidR="00370D0A">
        <w:t xml:space="preserve"> (with the </w:t>
      </w:r>
      <w:r w:rsidR="00370D0A">
        <w:lastRenderedPageBreak/>
        <w:t xml:space="preserve">assessment </w:t>
      </w:r>
      <w:r w:rsidR="00370D0A" w:rsidRPr="00B34D7B">
        <w:t>occur</w:t>
      </w:r>
      <w:r w:rsidR="00370D0A">
        <w:t>ring</w:t>
      </w:r>
      <w:r w:rsidR="00370D0A" w:rsidRPr="00B34D7B">
        <w:t xml:space="preserve"> in a health facility or in the person</w:t>
      </w:r>
      <w:r w:rsidR="00370D0A">
        <w:t>’</w:t>
      </w:r>
      <w:r w:rsidR="00370D0A" w:rsidRPr="00B34D7B">
        <w:t>s home</w:t>
      </w:r>
      <w:r w:rsidR="00370D0A">
        <w:t xml:space="preserve">) or </w:t>
      </w:r>
      <w:r w:rsidRPr="00B34D7B">
        <w:t xml:space="preserve">within the first </w:t>
      </w:r>
      <w:r w:rsidR="00BF2F9F" w:rsidRPr="00B34D7B">
        <w:t>four weeks</w:t>
      </w:r>
      <w:r w:rsidR="00BF6D4F" w:rsidRPr="00B34D7B">
        <w:t xml:space="preserve"> </w:t>
      </w:r>
      <w:r w:rsidR="00370D0A">
        <w:t xml:space="preserve">after the people has moved </w:t>
      </w:r>
      <w:r w:rsidR="00BF6D4F" w:rsidRPr="00B34D7B">
        <w:t>into the care home</w:t>
      </w:r>
      <w:r w:rsidR="00BF2F9F" w:rsidRPr="00B34D7B">
        <w:t>.</w:t>
      </w:r>
    </w:p>
    <w:p w:rsidR="00CF1146" w:rsidRDefault="00CF1146" w:rsidP="00B34D7B">
      <w:pPr>
        <w:pStyle w:val="Normal-nospacing"/>
      </w:pPr>
      <w:r w:rsidRPr="00B34D7B">
        <w:t xml:space="preserve">To ensure that there are no incentives for </w:t>
      </w:r>
      <w:r w:rsidR="00DE42F7" w:rsidRPr="00B34D7B">
        <w:t xml:space="preserve">preferential </w:t>
      </w:r>
      <w:r w:rsidRPr="00B34D7B">
        <w:t xml:space="preserve">resident </w:t>
      </w:r>
      <w:r w:rsidR="00DE42F7" w:rsidRPr="00B34D7B">
        <w:t>selection b</w:t>
      </w:r>
      <w:r w:rsidRPr="00B34D7B">
        <w:t>y the care hom</w:t>
      </w:r>
      <w:r w:rsidRPr="00062DC7">
        <w:t>e</w:t>
      </w:r>
      <w:r w:rsidR="008774BF">
        <w:t>,</w:t>
      </w:r>
      <w:r w:rsidRPr="00062DC7">
        <w:t xml:space="preserve"> it is proposed that, where the AN-ACC assessment for funding is undertaken prior to entry</w:t>
      </w:r>
      <w:r w:rsidR="00E56AE8">
        <w:t>,</w:t>
      </w:r>
      <w:r w:rsidRPr="00062DC7">
        <w:t xml:space="preserve"> the care home not </w:t>
      </w:r>
      <w:r w:rsidR="008774BF">
        <w:t xml:space="preserve">be </w:t>
      </w:r>
      <w:r w:rsidRPr="00062DC7">
        <w:t xml:space="preserve">advised of the </w:t>
      </w:r>
      <w:r w:rsidR="00370D0A">
        <w:t xml:space="preserve">specific </w:t>
      </w:r>
      <w:r w:rsidRPr="00062DC7">
        <w:t>AN-ACC class assigned.</w:t>
      </w:r>
      <w:r w:rsidR="00062DC7" w:rsidRPr="00062DC7">
        <w:t xml:space="preserve"> The</w:t>
      </w:r>
      <w:r w:rsidR="00062DC7">
        <w:t xml:space="preserve"> home would, however, receive </w:t>
      </w:r>
      <w:r w:rsidR="00E56AE8">
        <w:t>the relevant</w:t>
      </w:r>
      <w:r w:rsidR="00062DC7">
        <w:t xml:space="preserve"> </w:t>
      </w:r>
      <w:r w:rsidR="00BD2098">
        <w:t>aged care assessment team (</w:t>
      </w:r>
      <w:r w:rsidR="00062DC7">
        <w:t>ACAT</w:t>
      </w:r>
      <w:r w:rsidR="00BD2098">
        <w:t>)</w:t>
      </w:r>
      <w:r w:rsidR="00062DC7">
        <w:t xml:space="preserve"> and refer</w:t>
      </w:r>
      <w:r w:rsidR="00BD2098">
        <w:t xml:space="preserve">ral information as they do now. </w:t>
      </w:r>
      <w:r w:rsidR="00062DC7">
        <w:t>The only information restriction would be the specific AN-ACC class.</w:t>
      </w:r>
    </w:p>
    <w:p w:rsidR="00BF2F9F" w:rsidRDefault="00BF2F9F" w:rsidP="00CF1146">
      <w:pPr>
        <w:spacing w:before="120" w:after="120"/>
      </w:pPr>
      <w:r>
        <w:t xml:space="preserve">If </w:t>
      </w:r>
      <w:r w:rsidR="00370D0A">
        <w:t xml:space="preserve">the </w:t>
      </w:r>
      <w:r>
        <w:t>AN-ACC assessment</w:t>
      </w:r>
      <w:r w:rsidR="00E56AE8">
        <w:t xml:space="preserve"> is</w:t>
      </w:r>
      <w:r>
        <w:t xml:space="preserve"> undertaken after entry,</w:t>
      </w:r>
      <w:r w:rsidR="00E56AE8">
        <w:t xml:space="preserve"> the</w:t>
      </w:r>
      <w:r>
        <w:t xml:space="preserve"> </w:t>
      </w:r>
      <w:r w:rsidR="00370D0A">
        <w:t xml:space="preserve">recommended </w:t>
      </w:r>
      <w:r>
        <w:t>entry payment default is Class 2</w:t>
      </w:r>
      <w:r w:rsidR="002C4091">
        <w:t xml:space="preserve">, the </w:t>
      </w:r>
      <w:r w:rsidR="00E56AE8">
        <w:t>lowest</w:t>
      </w:r>
      <w:r w:rsidR="002C4091">
        <w:t xml:space="preserve"> payment class</w:t>
      </w:r>
      <w:r>
        <w:t xml:space="preserve">. Payments </w:t>
      </w:r>
      <w:r w:rsidR="00BF6D4F">
        <w:t xml:space="preserve">may then be </w:t>
      </w:r>
      <w:r>
        <w:t xml:space="preserve">retrospectively adjusted </w:t>
      </w:r>
      <w:r w:rsidR="002C4091">
        <w:t xml:space="preserve">back </w:t>
      </w:r>
      <w:r>
        <w:t>to the date of entry</w:t>
      </w:r>
      <w:r w:rsidR="002C4091">
        <w:t>,</w:t>
      </w:r>
      <w:r>
        <w:t xml:space="preserve"> </w:t>
      </w:r>
      <w:r w:rsidR="002C4091">
        <w:t xml:space="preserve">as required, </w:t>
      </w:r>
      <w:r>
        <w:t>once the assessment is undertaken</w:t>
      </w:r>
      <w:r w:rsidR="00BF6D4F">
        <w:t xml:space="preserve"> and the </w:t>
      </w:r>
      <w:r w:rsidR="00E56AE8">
        <w:t xml:space="preserve">correct </w:t>
      </w:r>
      <w:r w:rsidR="00BF6D4F">
        <w:t>class assigned.</w:t>
      </w:r>
    </w:p>
    <w:p w:rsidR="000A6630" w:rsidRDefault="00DE0F02" w:rsidP="00CF1146">
      <w:pPr>
        <w:spacing w:before="120" w:after="120"/>
      </w:pPr>
      <w:r w:rsidRPr="00DE0F02">
        <w:t>In the interests of sector education, engagement and transparency it is proposed that aggregate</w:t>
      </w:r>
      <w:r w:rsidR="00E56AE8">
        <w:t>d,</w:t>
      </w:r>
      <w:r w:rsidRPr="00DE0F02">
        <w:t xml:space="preserve"> de-identified data captured in the AN-ACC assessment be released </w:t>
      </w:r>
      <w:r w:rsidR="00E56AE8" w:rsidRPr="00DE0F02">
        <w:t>annual</w:t>
      </w:r>
      <w:r w:rsidR="00E56AE8">
        <w:t>ly</w:t>
      </w:r>
      <w:r w:rsidR="00E56AE8" w:rsidRPr="00DE0F02">
        <w:t xml:space="preserve"> </w:t>
      </w:r>
      <w:r w:rsidR="00386A60">
        <w:t>in the form of a</w:t>
      </w:r>
      <w:r w:rsidRPr="00DE0F02">
        <w:t xml:space="preserve"> public report on the needs of residents in the residential aged care sector.</w:t>
      </w:r>
    </w:p>
    <w:p w:rsidR="00DE0F02" w:rsidRDefault="008774BF" w:rsidP="00CF1146">
      <w:pPr>
        <w:spacing w:before="120" w:after="120"/>
      </w:pPr>
      <w:r>
        <w:t xml:space="preserve">This </w:t>
      </w:r>
      <w:r w:rsidR="000A6630">
        <w:t xml:space="preserve">annual </w:t>
      </w:r>
      <w:r>
        <w:t xml:space="preserve">public report will also act as an independent monitoring system on the changing needs of </w:t>
      </w:r>
      <w:r w:rsidR="000A6630">
        <w:t>aged care residents. This is a fundamental requirement for system-level planning.</w:t>
      </w:r>
    </w:p>
    <w:p w:rsidR="00BF2F9F" w:rsidRDefault="00BF2F9F" w:rsidP="00142CFE">
      <w:pPr>
        <w:pStyle w:val="Heading3"/>
      </w:pPr>
      <w:r>
        <w:t xml:space="preserve">AN-ACC reassessment </w:t>
      </w:r>
      <w:r w:rsidR="00142CFE">
        <w:t xml:space="preserve">protocols and </w:t>
      </w:r>
      <w:r>
        <w:t>class reallocation</w:t>
      </w:r>
    </w:p>
    <w:p w:rsidR="00BF2F9F" w:rsidRDefault="00BF2F9F" w:rsidP="00E82731">
      <w:pPr>
        <w:spacing w:before="120" w:after="120"/>
      </w:pPr>
      <w:r>
        <w:t xml:space="preserve">The </w:t>
      </w:r>
      <w:r w:rsidR="00E82731">
        <w:t xml:space="preserve">design and implementation of the </w:t>
      </w:r>
      <w:r>
        <w:t>funding model should allow for a person to be assigned to a higher paying class if their needs change significantly</w:t>
      </w:r>
      <w:r w:rsidR="00E82731">
        <w:t xml:space="preserve"> either due to deterioration over time or as a result of a specific event</w:t>
      </w:r>
      <w:r>
        <w:t>. At the same time, the model should not create incentives for frequent unnecessary reassessments. This should be easier to achieve with the new funding model as the individualised payment represents, on average, only half the daily payment</w:t>
      </w:r>
      <w:r w:rsidR="002C4091">
        <w:t xml:space="preserve"> and there are many fewer classes. There is therefore less incentive </w:t>
      </w:r>
      <w:r w:rsidR="00C8518B">
        <w:t>and scope</w:t>
      </w:r>
      <w:r w:rsidR="002C4091">
        <w:t xml:space="preserve"> </w:t>
      </w:r>
      <w:r w:rsidR="00C8518B">
        <w:t>to</w:t>
      </w:r>
      <w:r w:rsidR="002C4091">
        <w:t xml:space="preserve"> change class</w:t>
      </w:r>
      <w:r>
        <w:t xml:space="preserve">. The </w:t>
      </w:r>
      <w:r w:rsidR="00C8518B">
        <w:t>fixed</w:t>
      </w:r>
      <w:r>
        <w:t xml:space="preserve"> care payment </w:t>
      </w:r>
      <w:r w:rsidR="00CC2F38">
        <w:t xml:space="preserve">is set </w:t>
      </w:r>
      <w:r w:rsidR="00370D0A">
        <w:t>at the facility level a</w:t>
      </w:r>
      <w:r w:rsidR="00CC2F38">
        <w:t xml:space="preserve">nd </w:t>
      </w:r>
      <w:r w:rsidR="00370D0A">
        <w:t xml:space="preserve">does </w:t>
      </w:r>
      <w:r>
        <w:t>not change as the result of a reassessment.</w:t>
      </w:r>
    </w:p>
    <w:p w:rsidR="00BF2F9F" w:rsidRDefault="00E82731" w:rsidP="006A4815">
      <w:r>
        <w:t>It is proposed that the funding model include n</w:t>
      </w:r>
      <w:r w:rsidR="00BF2F9F">
        <w:t>o</w:t>
      </w:r>
      <w:r w:rsidR="003F1D37">
        <w:t xml:space="preserve"> formal</w:t>
      </w:r>
      <w:r w:rsidR="00BF2F9F">
        <w:t xml:space="preserve"> requirement for reassessment</w:t>
      </w:r>
      <w:r>
        <w:t xml:space="preserve"> of residents. </w:t>
      </w:r>
      <w:r w:rsidR="00CC2F38">
        <w:t>If the capability</w:t>
      </w:r>
      <w:r w:rsidR="00C8518B">
        <w:t xml:space="preserve"> of the resident improves after entry into care home, there is no requirement for them to be reassessed or assigned to a lower paying class and the payment rates should not change. </w:t>
      </w:r>
      <w:r w:rsidR="006A4815">
        <w:t>This w</w:t>
      </w:r>
      <w:r w:rsidR="00370D0A">
        <w:t>ill</w:t>
      </w:r>
      <w:r w:rsidR="006A4815">
        <w:t xml:space="preserve"> provide explicit incentives for high quality care with a focus on r</w:t>
      </w:r>
      <w:r w:rsidR="0043278D">
        <w:t>estorative care and reablement.</w:t>
      </w:r>
    </w:p>
    <w:p w:rsidR="00E40104" w:rsidRDefault="006A4815" w:rsidP="00E40104">
      <w:pPr>
        <w:pStyle w:val="Normal-nospacing"/>
      </w:pPr>
      <w:r>
        <w:t>A</w:t>
      </w:r>
      <w:r w:rsidR="00E82731">
        <w:t xml:space="preserve"> number of conditions have been identified</w:t>
      </w:r>
      <w:r>
        <w:t>, however, where</w:t>
      </w:r>
      <w:r w:rsidR="00E82731">
        <w:t xml:space="preserve"> </w:t>
      </w:r>
      <w:r>
        <w:t>resident care needs are likely to increase significantly and where a r</w:t>
      </w:r>
      <w:r w:rsidR="00BF2F9F">
        <w:t xml:space="preserve">eassessment </w:t>
      </w:r>
      <w:r>
        <w:t xml:space="preserve">and class reallocation would be appropriate. </w:t>
      </w:r>
      <w:r w:rsidR="00BF2F9F">
        <w:t xml:space="preserve">The threshold </w:t>
      </w:r>
      <w:r w:rsidR="00E40104">
        <w:t xml:space="preserve">for </w:t>
      </w:r>
      <w:r w:rsidR="00CC2F38">
        <w:t xml:space="preserve">a </w:t>
      </w:r>
      <w:r w:rsidR="00E40104">
        <w:t xml:space="preserve">reassessment </w:t>
      </w:r>
      <w:r w:rsidR="00370D0A">
        <w:t xml:space="preserve">is </w:t>
      </w:r>
      <w:r w:rsidR="00BF2F9F">
        <w:t xml:space="preserve">that the home anticipates that the person’s individualised payment would increase by more than </w:t>
      </w:r>
      <w:r w:rsidR="00916805">
        <w:t>2</w:t>
      </w:r>
      <w:r w:rsidR="00BF2F9F">
        <w:t xml:space="preserve">0% </w:t>
      </w:r>
      <w:r w:rsidR="00272FF4">
        <w:t xml:space="preserve">of the national average payment </w:t>
      </w:r>
      <w:r w:rsidR="00BF2F9F">
        <w:t xml:space="preserve">per day. </w:t>
      </w:r>
      <w:r w:rsidR="00E40104">
        <w:t xml:space="preserve">This </w:t>
      </w:r>
      <w:r w:rsidR="00C8518B">
        <w:t>would involve, in most cases,</w:t>
      </w:r>
      <w:r w:rsidR="00E40104">
        <w:t xml:space="preserve"> the movement of the resident with</w:t>
      </w:r>
      <w:r w:rsidR="00CC2F38">
        <w:t>in</w:t>
      </w:r>
      <w:r w:rsidR="00E40104">
        <w:t xml:space="preserve"> the AN-ACC classification from one major branch to another (e.g</w:t>
      </w:r>
      <w:r w:rsidR="00386A60">
        <w:t>.</w:t>
      </w:r>
      <w:r w:rsidR="00E40104">
        <w:t xml:space="preserve"> independent mobility to assisted mobility). </w:t>
      </w:r>
      <w:r w:rsidR="00C8518B">
        <w:t xml:space="preserve">The three conditions set out below </w:t>
      </w:r>
      <w:r w:rsidR="00CC2F38">
        <w:t>were</w:t>
      </w:r>
      <w:r w:rsidR="00C8518B">
        <w:t xml:space="preserve"> found to most frequently result in a significant change in resident care need</w:t>
      </w:r>
      <w:r w:rsidR="00CC2F38">
        <w:t xml:space="preserve"> in the reassessment study</w:t>
      </w:r>
      <w:r w:rsidR="00D0379D">
        <w:t xml:space="preserve"> (see Report </w:t>
      </w:r>
      <w:r w:rsidR="00A14DBB">
        <w:t>2</w:t>
      </w:r>
      <w:r w:rsidR="00D0379D">
        <w:t>)</w:t>
      </w:r>
      <w:r w:rsidR="00C8518B">
        <w:t>. As such</w:t>
      </w:r>
      <w:r w:rsidR="00CC2F38">
        <w:t>,</w:t>
      </w:r>
      <w:r w:rsidR="00C8518B">
        <w:t xml:space="preserve"> they are proposed as triggers for homes to request a reassessment.</w:t>
      </w:r>
    </w:p>
    <w:p w:rsidR="00BF2F9F" w:rsidRDefault="0043278D" w:rsidP="00C31CC1">
      <w:pPr>
        <w:pStyle w:val="Heading4"/>
      </w:pPr>
      <w:r>
        <w:lastRenderedPageBreak/>
        <w:t>Significant hospitalisation</w:t>
      </w:r>
    </w:p>
    <w:p w:rsidR="00BF2F9F" w:rsidRDefault="00BF2F9F" w:rsidP="00BF2F9F">
      <w:r>
        <w:t xml:space="preserve">A home may request a reassessment if the resident has been hospitalised for five days or more or, in the </w:t>
      </w:r>
      <w:r w:rsidR="00C8518B">
        <w:t>case</w:t>
      </w:r>
      <w:r>
        <w:t xml:space="preserve"> of a patient </w:t>
      </w:r>
      <w:r w:rsidR="00C8518B">
        <w:t xml:space="preserve">who has </w:t>
      </w:r>
      <w:r>
        <w:t xml:space="preserve">a general anaesthetic, two days or more. As reported in </w:t>
      </w:r>
      <w:r w:rsidR="00414243">
        <w:t>the assessment report</w:t>
      </w:r>
      <w:r w:rsidR="00370D0A">
        <w:t xml:space="preserve"> (Report </w:t>
      </w:r>
      <w:r w:rsidR="00A14DBB">
        <w:t>2</w:t>
      </w:r>
      <w:r w:rsidR="00370D0A">
        <w:t>)</w:t>
      </w:r>
      <w:r>
        <w:t>, other significant events captured in the national reassessment study did not significantly result in a change of class.</w:t>
      </w:r>
    </w:p>
    <w:p w:rsidR="00BF2F9F" w:rsidRDefault="00BF2F9F" w:rsidP="00C31CC1">
      <w:pPr>
        <w:pStyle w:val="Heading4"/>
      </w:pPr>
      <w:r>
        <w:t>Significant change in mobility</w:t>
      </w:r>
    </w:p>
    <w:p w:rsidR="00BF2F9F" w:rsidRDefault="00BF2F9F" w:rsidP="00BF2F9F">
      <w:r>
        <w:t>A home may request a reassessment if the residen</w:t>
      </w:r>
      <w:r w:rsidR="00916805">
        <w:t>t’s</w:t>
      </w:r>
      <w:r>
        <w:t xml:space="preserve"> mobility has changed such that they move between the three mobility branches in the AN-ACC (</w:t>
      </w:r>
      <w:r w:rsidR="00BD2098">
        <w:t>i.e.</w:t>
      </w:r>
      <w:r>
        <w:t xml:space="preserve">, from independent/assisted to assisted/non-mobile as measured by the </w:t>
      </w:r>
      <w:r w:rsidR="004B7D4B" w:rsidRPr="004B7D4B">
        <w:rPr>
          <w:rFonts w:ascii="Calibri" w:hAnsi="Calibri" w:cs="Calibri"/>
          <w:color w:val="000000"/>
        </w:rPr>
        <w:t>De Morton Mobility Index</w:t>
      </w:r>
      <w:r w:rsidR="004B7D4B" w:rsidRPr="004B7D4B">
        <w:t xml:space="preserve"> </w:t>
      </w:r>
      <w:r w:rsidR="004B7D4B">
        <w:t>(</w:t>
      </w:r>
      <w:r>
        <w:t>DEMMI)</w:t>
      </w:r>
      <w:r w:rsidR="00916805">
        <w:t>.</w:t>
      </w:r>
    </w:p>
    <w:p w:rsidR="00BF2F9F" w:rsidRDefault="00BF2F9F" w:rsidP="00C31CC1">
      <w:pPr>
        <w:pStyle w:val="Heading4"/>
      </w:pPr>
      <w:r>
        <w:t>A standard time period for reassessment</w:t>
      </w:r>
    </w:p>
    <w:p w:rsidR="001B7011" w:rsidRDefault="00BF2F9F" w:rsidP="0068515F">
      <w:pPr>
        <w:pStyle w:val="Normal-nospacing"/>
      </w:pPr>
      <w:r>
        <w:t xml:space="preserve">A home may request a reassessment </w:t>
      </w:r>
      <w:r w:rsidR="00916805">
        <w:t xml:space="preserve">after a specified period </w:t>
      </w:r>
      <w:r>
        <w:t xml:space="preserve">for any resident who is becoming progressively more frail and/or whose health status is </w:t>
      </w:r>
      <w:r w:rsidR="00C8518B">
        <w:t xml:space="preserve">gradually </w:t>
      </w:r>
      <w:r>
        <w:t xml:space="preserve">deteriorating. </w:t>
      </w:r>
      <w:r w:rsidR="00916805">
        <w:t xml:space="preserve">This period should be </w:t>
      </w:r>
      <w:r w:rsidR="0068515F">
        <w:t>12</w:t>
      </w:r>
      <w:r w:rsidR="00916805">
        <w:t xml:space="preserve"> months for classes 2 to 8 and </w:t>
      </w:r>
      <w:r w:rsidR="0043278D">
        <w:t>six months for classes 9 to 13.</w:t>
      </w:r>
    </w:p>
    <w:p w:rsidR="0068515F" w:rsidRDefault="0068515F" w:rsidP="0068515F">
      <w:pPr>
        <w:pStyle w:val="Normal-nospacing"/>
        <w:jc w:val="center"/>
      </w:pPr>
      <w:r>
        <w:t>+++</w:t>
      </w:r>
    </w:p>
    <w:p w:rsidR="00BF2F9F" w:rsidRDefault="00BF2F9F" w:rsidP="0068515F">
      <w:pPr>
        <w:pStyle w:val="Normal-nospacing"/>
      </w:pPr>
      <w:r>
        <w:t xml:space="preserve">In </w:t>
      </w:r>
      <w:r w:rsidR="00C8518B">
        <w:t>requesting a reassessment</w:t>
      </w:r>
      <w:r>
        <w:t>, the onus will be on homes to only select residents for reassessment whose individualised payment would be exp</w:t>
      </w:r>
      <w:r w:rsidR="00C8518B">
        <w:t>ected to increase by more than 2</w:t>
      </w:r>
      <w:r>
        <w:t>0% per day</w:t>
      </w:r>
      <w:r w:rsidR="00502B3F">
        <w:t xml:space="preserve"> (</w:t>
      </w:r>
      <w:r w:rsidR="0068515F">
        <w:t xml:space="preserve">i.e. an </w:t>
      </w:r>
      <w:r w:rsidR="00502B3F">
        <w:t xml:space="preserve">overall funding threshold </w:t>
      </w:r>
      <w:r w:rsidR="0068515F">
        <w:t xml:space="preserve">of </w:t>
      </w:r>
      <w:r w:rsidR="00502B3F">
        <w:t>10% per day as the fixed care payment does not change with a change in AN-ACC class)</w:t>
      </w:r>
      <w:r w:rsidR="00916805">
        <w:t>.</w:t>
      </w:r>
      <w:r w:rsidR="00CC2F38" w:rsidRPr="00CC2F38">
        <w:t xml:space="preserve"> </w:t>
      </w:r>
      <w:r w:rsidR="00386A60">
        <w:t>The Department</w:t>
      </w:r>
      <w:r w:rsidR="00CC2F38">
        <w:t xml:space="preserve"> may choose to introduce reassessment charges for any home that routinely triggers unnecessary reassessments.</w:t>
      </w:r>
    </w:p>
    <w:p w:rsidR="00792FA6" w:rsidRDefault="00792FA6" w:rsidP="004A1979">
      <w:pPr>
        <w:pStyle w:val="Heading2"/>
      </w:pPr>
      <w:bookmarkStart w:id="48" w:name="_Ref534640384"/>
      <w:bookmarkStart w:id="49" w:name="_Toc2066825"/>
      <w:r>
        <w:t>Adjustment payment on entry into residential aged care</w:t>
      </w:r>
      <w:bookmarkEnd w:id="48"/>
      <w:bookmarkEnd w:id="49"/>
    </w:p>
    <w:p w:rsidR="00792FA6" w:rsidRDefault="00792FA6" w:rsidP="00792FA6">
      <w:pPr>
        <w:pStyle w:val="Normal-nospacing"/>
      </w:pPr>
      <w:r>
        <w:t xml:space="preserve">An important feature of the proposed AN-ACC funding model is the inclusion of </w:t>
      </w:r>
      <w:r w:rsidRPr="009E3279">
        <w:t xml:space="preserve">a one-off adjustment payment for each resident </w:t>
      </w:r>
      <w:r>
        <w:t xml:space="preserve">when they first enter residential aged care. This one-off adjustment payment </w:t>
      </w:r>
      <w:r w:rsidRPr="009E3279">
        <w:t xml:space="preserve">recognises </w:t>
      </w:r>
      <w:r>
        <w:t xml:space="preserve">that there are </w:t>
      </w:r>
      <w:r w:rsidRPr="009E3279">
        <w:t>additional, but time-limited, resource requirements when someone initially enters residential care</w:t>
      </w:r>
      <w:r>
        <w:t>.</w:t>
      </w:r>
    </w:p>
    <w:p w:rsidR="00792FA6" w:rsidRDefault="00792FA6" w:rsidP="00792FA6">
      <w:pPr>
        <w:pStyle w:val="Normal-nospacing"/>
      </w:pPr>
      <w:r>
        <w:t>The time-limited additional costs incurred when residents f</w:t>
      </w:r>
      <w:r w:rsidR="00F46E0E">
        <w:t>irst transition into care</w:t>
      </w:r>
      <w:r>
        <w:t xml:space="preserve"> </w:t>
      </w:r>
      <w:r w:rsidR="00106657">
        <w:t>relate to the</w:t>
      </w:r>
      <w:r>
        <w:t xml:space="preserve"> following activities:</w:t>
      </w:r>
    </w:p>
    <w:p w:rsidR="00792FA6" w:rsidRPr="00A25354" w:rsidRDefault="00DF23C3" w:rsidP="00A25354">
      <w:pPr>
        <w:pStyle w:val="Bullets"/>
      </w:pPr>
      <w:r>
        <w:t>t</w:t>
      </w:r>
      <w:r w:rsidR="00792FA6" w:rsidRPr="00A25354">
        <w:t>ime spent getting to know the resident and their family</w:t>
      </w:r>
    </w:p>
    <w:p w:rsidR="00792FA6" w:rsidRPr="00A25354" w:rsidRDefault="00DF23C3" w:rsidP="00A25354">
      <w:pPr>
        <w:pStyle w:val="Bullets"/>
      </w:pPr>
      <w:r>
        <w:t>i</w:t>
      </w:r>
      <w:r w:rsidR="00792FA6" w:rsidRPr="00A25354">
        <w:t>ndividualised care planning</w:t>
      </w:r>
    </w:p>
    <w:p w:rsidR="00792FA6" w:rsidRPr="00A25354" w:rsidRDefault="00DF23C3" w:rsidP="00A25354">
      <w:pPr>
        <w:pStyle w:val="Bullets"/>
      </w:pPr>
      <w:r>
        <w:t>b</w:t>
      </w:r>
      <w:r w:rsidR="00792FA6" w:rsidRPr="00A25354">
        <w:t>ehaviour management</w:t>
      </w:r>
    </w:p>
    <w:p w:rsidR="00792FA6" w:rsidRPr="00A25354" w:rsidRDefault="00DF23C3" w:rsidP="00A25354">
      <w:pPr>
        <w:pStyle w:val="Bullets"/>
      </w:pPr>
      <w:r>
        <w:t>h</w:t>
      </w:r>
      <w:r w:rsidR="00792FA6" w:rsidRPr="00A25354">
        <w:t>ealth care assessments</w:t>
      </w:r>
    </w:p>
    <w:p w:rsidR="00792FA6" w:rsidRPr="00A25354" w:rsidRDefault="00DF23C3" w:rsidP="00A25354">
      <w:pPr>
        <w:pStyle w:val="Bullets"/>
      </w:pPr>
      <w:r>
        <w:t>f</w:t>
      </w:r>
      <w:r w:rsidR="00792FA6" w:rsidRPr="00A25354">
        <w:t>acilitating health care arising from assessments (including pain management, dental care, palliative care and other issues that need attention)</w:t>
      </w:r>
    </w:p>
    <w:p w:rsidR="00792FA6" w:rsidRPr="00A25354" w:rsidRDefault="00DF23C3" w:rsidP="00A25354">
      <w:pPr>
        <w:pStyle w:val="Bullets"/>
      </w:pPr>
      <w:r>
        <w:t>d</w:t>
      </w:r>
      <w:r w:rsidR="00792FA6" w:rsidRPr="00A25354">
        <w:t>eveloping an advanced care directive in partnership with the resident and their family</w:t>
      </w:r>
      <w:r w:rsidR="00B746A9">
        <w:t>.</w:t>
      </w:r>
    </w:p>
    <w:p w:rsidR="00792FA6" w:rsidRDefault="00792FA6" w:rsidP="00792FA6">
      <w:pPr>
        <w:pStyle w:val="Normal-nospacing"/>
      </w:pPr>
      <w:r>
        <w:t>This one-off payment relates only to an initial admission into residential aged</w:t>
      </w:r>
      <w:r w:rsidR="00F46E0E">
        <w:t xml:space="preserve"> care</w:t>
      </w:r>
      <w:r w:rsidR="0043278D">
        <w:t>.</w:t>
      </w:r>
      <w:r w:rsidR="00F46E0E">
        <w:t xml:space="preserve"> An adjustment payment would</w:t>
      </w:r>
      <w:r>
        <w:t xml:space="preserve"> not </w:t>
      </w:r>
      <w:r w:rsidR="00F46E0E">
        <w:t xml:space="preserve">be </w:t>
      </w:r>
      <w:r>
        <w:t>payable if a resident t</w:t>
      </w:r>
      <w:r w:rsidRPr="00CD7A67">
        <w:t xml:space="preserve">ransfers </w:t>
      </w:r>
      <w:r>
        <w:t>between homes</w:t>
      </w:r>
      <w:r w:rsidRPr="00CD7A67">
        <w:t xml:space="preserve">. </w:t>
      </w:r>
      <w:r>
        <w:t>Consistent with principles of consumer-directed care, n</w:t>
      </w:r>
      <w:r w:rsidRPr="00CD7A67">
        <w:t>eeds assessments and care plans should follow the resident</w:t>
      </w:r>
      <w:r>
        <w:t xml:space="preserve"> if they move between facilities.</w:t>
      </w:r>
    </w:p>
    <w:p w:rsidR="0068515F" w:rsidRDefault="005D7725" w:rsidP="005D7725">
      <w:pPr>
        <w:pStyle w:val="Normal-nospacing"/>
      </w:pPr>
      <w:r>
        <w:lastRenderedPageBreak/>
        <w:t>It is critical that aged care providers be held accountable to ensure that this adjustment payment is actually used for the intended purpose and not si</w:t>
      </w:r>
      <w:r w:rsidR="0043278D">
        <w:t xml:space="preserve">mply added to the bottom line. </w:t>
      </w:r>
      <w:r>
        <w:t xml:space="preserve">Nor should </w:t>
      </w:r>
      <w:r w:rsidR="0068515F">
        <w:t xml:space="preserve">it be allowable for </w:t>
      </w:r>
      <w:r>
        <w:t xml:space="preserve">adjustment planning </w:t>
      </w:r>
      <w:r w:rsidR="0068515F">
        <w:t xml:space="preserve">to </w:t>
      </w:r>
      <w:r>
        <w:t>be contracted out to third party providers</w:t>
      </w:r>
      <w:r w:rsidR="0043278D">
        <w:t>.</w:t>
      </w:r>
    </w:p>
    <w:p w:rsidR="005D7725" w:rsidRDefault="005D7725" w:rsidP="005D7725">
      <w:pPr>
        <w:pStyle w:val="Normal-nospacing"/>
      </w:pPr>
      <w:r>
        <w:t>This is a significant payment to give homes the capacity to work individually with every resident and their family to ensure that the resident subsequently receives the care that meets their needs and aspirations. The Commonwealth, working through the Department of Health and the A</w:t>
      </w:r>
      <w:r w:rsidRPr="005D7725">
        <w:t>ged Care Quality and Safety Commission</w:t>
      </w:r>
      <w:r>
        <w:t>, will need to build strong accountability into the system to ensure that these goals are met.</w:t>
      </w:r>
    </w:p>
    <w:p w:rsidR="00792FA6" w:rsidRDefault="00792FA6" w:rsidP="004A1979">
      <w:pPr>
        <w:pStyle w:val="Heading3"/>
      </w:pPr>
      <w:r>
        <w:t>The rate of the adjustment payment</w:t>
      </w:r>
    </w:p>
    <w:p w:rsidR="00792FA6" w:rsidRDefault="00792FA6" w:rsidP="00792FA6">
      <w:pPr>
        <w:pStyle w:val="Normal-nospacing"/>
      </w:pPr>
      <w:r>
        <w:t xml:space="preserve">Analysis of resource utilisation data </w:t>
      </w:r>
      <w:r w:rsidR="007B5CD2">
        <w:t xml:space="preserve">collected in the first RUCS provided clear evidence </w:t>
      </w:r>
      <w:r>
        <w:t>that costs are indeed higher in</w:t>
      </w:r>
      <w:r w:rsidR="0043278D">
        <w:t xml:space="preserve"> the initial adjustment period.</w:t>
      </w:r>
      <w:r>
        <w:t xml:space="preserve"> These additional costs vary slightly by</w:t>
      </w:r>
      <w:r w:rsidR="00F46E0E">
        <w:t xml:space="preserve"> A</w:t>
      </w:r>
      <w:r w:rsidR="00F46E0E">
        <w:rPr>
          <w:caps/>
        </w:rPr>
        <w:t>N-ACC</w:t>
      </w:r>
      <w:r>
        <w:t xml:space="preserve"> branch and the adjustment period is longer for</w:t>
      </w:r>
      <w:r w:rsidR="0043278D">
        <w:t xml:space="preserve"> some classes than for others. </w:t>
      </w:r>
      <w:r>
        <w:t xml:space="preserve">However, these variations are not sufficient to justify different adjustment payments. </w:t>
      </w:r>
    </w:p>
    <w:p w:rsidR="00792FA6" w:rsidRDefault="00792FA6" w:rsidP="00792FA6">
      <w:pPr>
        <w:pStyle w:val="Normal-nospacing"/>
      </w:pPr>
      <w:r>
        <w:t>Instead, one adjustment payment is proposed for all branches and for all classes (including the palli</w:t>
      </w:r>
      <w:r w:rsidR="00F46E0E">
        <w:t xml:space="preserve">ative care class). Based on the </w:t>
      </w:r>
      <w:r>
        <w:t xml:space="preserve">resource </w:t>
      </w:r>
      <w:r w:rsidR="00F46E0E">
        <w:t xml:space="preserve">utilisation </w:t>
      </w:r>
      <w:r>
        <w:t xml:space="preserve">data </w:t>
      </w:r>
      <w:r w:rsidR="00F46E0E">
        <w:t>collected</w:t>
      </w:r>
      <w:r w:rsidR="0069251E">
        <w:t xml:space="preserve"> in Study One</w:t>
      </w:r>
      <w:r>
        <w:t xml:space="preserve">, this adjustment payment </w:t>
      </w:r>
      <w:r w:rsidR="00F46E0E">
        <w:t>covers</w:t>
      </w:r>
      <w:r>
        <w:t xml:space="preserve"> an average adjustment period of 16 weeks.  </w:t>
      </w:r>
      <w:r w:rsidR="00F46E0E">
        <w:t>It should be noted, however, that</w:t>
      </w:r>
      <w:r>
        <w:t xml:space="preserve"> 16 weeks is an average</w:t>
      </w:r>
      <w:r w:rsidR="00F46E0E">
        <w:t xml:space="preserve"> and not expected to be the length of the </w:t>
      </w:r>
      <w:r>
        <w:t>adjustment period for</w:t>
      </w:r>
      <w:r w:rsidR="00F46E0E">
        <w:t xml:space="preserve"> all residents</w:t>
      </w:r>
      <w:r w:rsidR="00FC702F">
        <w:t xml:space="preserve">. </w:t>
      </w:r>
      <w:r>
        <w:t>This is a one-off lump sum adjustment payment to cover the whole initial adjustment period</w:t>
      </w:r>
      <w:r w:rsidR="00683E39">
        <w:t xml:space="preserve"> and which</w:t>
      </w:r>
      <w:r>
        <w:t xml:space="preserve"> </w:t>
      </w:r>
      <w:r w:rsidR="00683E39">
        <w:t>is to be paid in the month that the resident enters care</w:t>
      </w:r>
      <w:r>
        <w:t>.</w:t>
      </w:r>
    </w:p>
    <w:p w:rsidR="00792FA6" w:rsidRDefault="00792FA6" w:rsidP="00792FA6">
      <w:pPr>
        <w:pStyle w:val="Normal-nospacing"/>
      </w:pPr>
      <w:r>
        <w:t xml:space="preserve">The adjustment payment </w:t>
      </w:r>
      <w:r w:rsidR="0069251E">
        <w:t>is</w:t>
      </w:r>
      <w:r>
        <w:t xml:space="preserve"> 5.</w:t>
      </w:r>
      <w:r w:rsidR="00C617D8">
        <w:t>28</w:t>
      </w:r>
      <w:r>
        <w:t xml:space="preserve"> NWAUs</w:t>
      </w:r>
      <w:r w:rsidR="00683E39">
        <w:t>.</w:t>
      </w:r>
    </w:p>
    <w:p w:rsidR="00A1572E" w:rsidRDefault="00A1572E" w:rsidP="004A1979">
      <w:pPr>
        <w:pStyle w:val="Heading2"/>
      </w:pPr>
      <w:bookmarkStart w:id="50" w:name="_Toc2066826"/>
      <w:r>
        <w:t>The AN-ACC price</w:t>
      </w:r>
      <w:bookmarkEnd w:id="50"/>
    </w:p>
    <w:p w:rsidR="00847404" w:rsidRDefault="00D85712" w:rsidP="00D85712">
      <w:r>
        <w:t>Th</w:t>
      </w:r>
      <w:r w:rsidR="00847404">
        <w:t>e</w:t>
      </w:r>
      <w:r>
        <w:t xml:space="preserve"> price is set by the </w:t>
      </w:r>
      <w:r w:rsidR="00847404">
        <w:t xml:space="preserve">Commonwealth as </w:t>
      </w:r>
      <w:r>
        <w:t>funder</w:t>
      </w:r>
      <w:r w:rsidR="00847404">
        <w:t xml:space="preserve">. It </w:t>
      </w:r>
      <w:r>
        <w:t xml:space="preserve">is the </w:t>
      </w:r>
      <w:r w:rsidR="00847404">
        <w:t xml:space="preserve">standard national </w:t>
      </w:r>
      <w:r>
        <w:t xml:space="preserve">price for </w:t>
      </w:r>
      <w:r w:rsidR="00847404">
        <w:t>an</w:t>
      </w:r>
      <w:r>
        <w:t xml:space="preserve"> AN-ACC NWAU value of 1.00</w:t>
      </w:r>
      <w:r w:rsidR="00E82731">
        <w:t>.</w:t>
      </w:r>
    </w:p>
    <w:p w:rsidR="00847404" w:rsidRDefault="00847404" w:rsidP="00D85712"/>
    <w:p w:rsidR="00D85712" w:rsidRDefault="00370D0A" w:rsidP="00D85712">
      <w:r>
        <w:t>While AN-ACC Version 1.0 has been designed specifically for residential care, the AN-ACC has the potential for progressive expansion across the whole aged care sector.</w:t>
      </w:r>
      <w:r w:rsidR="00847404">
        <w:t xml:space="preserve"> If this were to occur, other AN-ACC classes would be progressively added to cover community aged care with the price for each new class also expressed as an NWAU.</w:t>
      </w:r>
    </w:p>
    <w:p w:rsidR="00AD5BA1" w:rsidRDefault="00AD5BA1">
      <w:pPr>
        <w:spacing w:after="200" w:line="276" w:lineRule="auto"/>
      </w:pPr>
      <w:r>
        <w:br w:type="page"/>
      </w:r>
    </w:p>
    <w:p w:rsidR="00792FA6" w:rsidRDefault="00500A13" w:rsidP="00500A13">
      <w:pPr>
        <w:pStyle w:val="Heading1"/>
      </w:pPr>
      <w:bookmarkStart w:id="51" w:name="_Toc2066827"/>
      <w:r>
        <w:lastRenderedPageBreak/>
        <w:t>The AN-ACC funding calculation</w:t>
      </w:r>
      <w:bookmarkEnd w:id="51"/>
    </w:p>
    <w:p w:rsidR="00503642" w:rsidRDefault="00683E39" w:rsidP="0043278D">
      <w:pPr>
        <w:pStyle w:val="Normal-nospacing"/>
        <w:spacing w:after="240"/>
      </w:pPr>
      <w:r>
        <w:t xml:space="preserve">The funding amount allocated </w:t>
      </w:r>
      <w:r w:rsidR="00610F8F">
        <w:t xml:space="preserve">under the AN-ACC model is based on a simple calculation. The </w:t>
      </w:r>
      <w:r w:rsidR="00602C5C">
        <w:t xml:space="preserve">total </w:t>
      </w:r>
      <w:r w:rsidR="00610F8F">
        <w:t>resident care bed days to be funded are converted into N</w:t>
      </w:r>
      <w:r w:rsidR="00602C5C">
        <w:t>WAU weighted care days and the t</w:t>
      </w:r>
      <w:r w:rsidR="00610F8F">
        <w:t xml:space="preserve">otal weighted days figure is multiplied by </w:t>
      </w:r>
      <w:r w:rsidR="0068515F">
        <w:t>the</w:t>
      </w:r>
      <w:r w:rsidR="00610F8F">
        <w:t xml:space="preserve"> standard </w:t>
      </w:r>
      <w:r w:rsidR="0068515F">
        <w:t xml:space="preserve">NWAU </w:t>
      </w:r>
      <w:r w:rsidR="00610F8F">
        <w:t xml:space="preserve">price per day. </w:t>
      </w:r>
      <w:r w:rsidR="00602C5C">
        <w:t xml:space="preserve">As noted earlier, the total weighted care days comprises three components. A summary of these components </w:t>
      </w:r>
      <w:r w:rsidR="00610F8F">
        <w:t xml:space="preserve">and an explanation of the </w:t>
      </w:r>
      <w:r w:rsidR="00602C5C">
        <w:t xml:space="preserve">total </w:t>
      </w:r>
      <w:r w:rsidR="00610F8F">
        <w:t>NWAU calculation</w:t>
      </w:r>
      <w:r w:rsidR="00602C5C">
        <w:t xml:space="preserve"> is provided below</w:t>
      </w:r>
      <w:r w:rsidR="0074278F">
        <w:t>.</w:t>
      </w:r>
    </w:p>
    <w:p w:rsidR="00683E39" w:rsidRDefault="008639F8" w:rsidP="0043278D">
      <w:pPr>
        <w:pStyle w:val="Bullets"/>
        <w:numPr>
          <w:ilvl w:val="0"/>
          <w:numId w:val="0"/>
        </w:numPr>
        <w:spacing w:before="360"/>
      </w:pPr>
      <w:r w:rsidRPr="008639F8">
        <w:rPr>
          <w:rStyle w:val="Heading4Char"/>
        </w:rPr>
        <w:t>Components of the AN-ACC funding model</w:t>
      </w:r>
    </w:p>
    <w:p w:rsidR="00500A13" w:rsidRPr="0012740A" w:rsidRDefault="00500A13" w:rsidP="0043278D">
      <w:pPr>
        <w:pStyle w:val="Bullets"/>
        <w:ind w:left="567" w:hanging="567"/>
      </w:pPr>
      <w:r w:rsidRPr="008639F8">
        <w:rPr>
          <w:b/>
        </w:rPr>
        <w:t>The total base care tariff</w:t>
      </w:r>
      <w:r w:rsidR="008639F8" w:rsidRPr="008639F8">
        <w:rPr>
          <w:b/>
        </w:rPr>
        <w:t xml:space="preserve"> NWAU</w:t>
      </w:r>
      <w:r w:rsidRPr="0012740A">
        <w:t xml:space="preserve">. This </w:t>
      </w:r>
      <w:r w:rsidR="008639F8">
        <w:t>is the</w:t>
      </w:r>
      <w:r>
        <w:t xml:space="preserve"> </w:t>
      </w:r>
      <w:r w:rsidR="008639F8">
        <w:t xml:space="preserve">standard </w:t>
      </w:r>
      <w:r w:rsidRPr="0012740A">
        <w:t xml:space="preserve">daily </w:t>
      </w:r>
      <w:r w:rsidR="008639F8">
        <w:t xml:space="preserve">bed day </w:t>
      </w:r>
      <w:r w:rsidRPr="0012740A">
        <w:t>tariff determined for</w:t>
      </w:r>
      <w:r>
        <w:t xml:space="preserve"> each </w:t>
      </w:r>
      <w:r w:rsidRPr="0012740A">
        <w:t>different type</w:t>
      </w:r>
      <w:r>
        <w:t xml:space="preserve"> of facility</w:t>
      </w:r>
      <w:r w:rsidRPr="0012740A">
        <w:t xml:space="preserve"> </w:t>
      </w:r>
      <w:r w:rsidR="00602C5C">
        <w:t xml:space="preserve">related </w:t>
      </w:r>
      <w:r w:rsidR="008639F8">
        <w:t xml:space="preserve">to </w:t>
      </w:r>
      <w:r w:rsidRPr="0012740A">
        <w:t>fi</w:t>
      </w:r>
      <w:r>
        <w:t xml:space="preserve">xed care costs. </w:t>
      </w:r>
      <w:r w:rsidR="00602C5C">
        <w:t>This tariff is paid for every resident bed day</w:t>
      </w:r>
      <w:r w:rsidR="00692AAD">
        <w:t xml:space="preserve"> in the funding period</w:t>
      </w:r>
      <w:r w:rsidR="00602C5C">
        <w:t>.</w:t>
      </w:r>
    </w:p>
    <w:p w:rsidR="00500A13" w:rsidRDefault="00500A13" w:rsidP="0043278D">
      <w:pPr>
        <w:pStyle w:val="Bullets"/>
        <w:ind w:left="567" w:hanging="567"/>
      </w:pPr>
      <w:r w:rsidRPr="008639F8">
        <w:rPr>
          <w:b/>
        </w:rPr>
        <w:t>The total AN-ACC NWAU</w:t>
      </w:r>
      <w:r w:rsidRPr="0012740A">
        <w:t>.</w:t>
      </w:r>
      <w:r>
        <w:t xml:space="preserve"> This is the variable </w:t>
      </w:r>
      <w:r w:rsidR="0074278F">
        <w:t>component</w:t>
      </w:r>
      <w:r>
        <w:t xml:space="preserve"> </w:t>
      </w:r>
      <w:r w:rsidR="008639F8">
        <w:t xml:space="preserve">based on the AN-ACC class </w:t>
      </w:r>
      <w:r w:rsidR="0074278F">
        <w:t xml:space="preserve">for each resident in care. This </w:t>
      </w:r>
      <w:r w:rsidR="008639F8">
        <w:t xml:space="preserve">accounts for the </w:t>
      </w:r>
      <w:r w:rsidR="0074278F">
        <w:t xml:space="preserve">variable </w:t>
      </w:r>
      <w:r w:rsidR="008639F8">
        <w:t xml:space="preserve">care costs for residents with different individual care needs. </w:t>
      </w:r>
      <w:r w:rsidR="00602C5C">
        <w:t>An</w:t>
      </w:r>
      <w:r>
        <w:t xml:space="preserve"> AN-ACC NWAU </w:t>
      </w:r>
      <w:r w:rsidR="00602C5C">
        <w:t xml:space="preserve">is assigned </w:t>
      </w:r>
      <w:r w:rsidR="008639F8">
        <w:t xml:space="preserve">for each resident </w:t>
      </w:r>
      <w:r w:rsidR="00602C5C">
        <w:t xml:space="preserve">bed day based on the resident AN-ACC class. The total AN-ACC NWAU for the facility is the sum of NWAU </w:t>
      </w:r>
      <w:r w:rsidR="00692AAD">
        <w:t>across</w:t>
      </w:r>
      <w:r w:rsidR="00602C5C">
        <w:t xml:space="preserve"> </w:t>
      </w:r>
      <w:r w:rsidR="00692AAD">
        <w:t>all residents for th</w:t>
      </w:r>
      <w:r>
        <w:t>e</w:t>
      </w:r>
      <w:r w:rsidR="0074278F">
        <w:t>ir</w:t>
      </w:r>
      <w:r>
        <w:t xml:space="preserve"> </w:t>
      </w:r>
      <w:r w:rsidR="00692AAD">
        <w:t xml:space="preserve">total </w:t>
      </w:r>
      <w:r>
        <w:t xml:space="preserve">of days of stay </w:t>
      </w:r>
      <w:r w:rsidR="00692AAD">
        <w:t>within the funding period</w:t>
      </w:r>
      <w:r>
        <w:t>.</w:t>
      </w:r>
    </w:p>
    <w:p w:rsidR="008639F8" w:rsidRDefault="00500A13" w:rsidP="0043278D">
      <w:pPr>
        <w:pStyle w:val="Bullets"/>
        <w:ind w:left="567" w:hanging="567"/>
      </w:pPr>
      <w:r w:rsidRPr="008639F8">
        <w:rPr>
          <w:b/>
        </w:rPr>
        <w:t>The total adjustment NWAU</w:t>
      </w:r>
      <w:r>
        <w:t xml:space="preserve">. This is an additional calculated NWAU set at a standard rate for each new resident admitted for the first time during the </w:t>
      </w:r>
      <w:r w:rsidR="0074278F">
        <w:t xml:space="preserve">funding </w:t>
      </w:r>
      <w:r>
        <w:t>period</w:t>
      </w:r>
      <w:r w:rsidR="0074278F">
        <w:t xml:space="preserve">. </w:t>
      </w:r>
    </w:p>
    <w:p w:rsidR="00500A13" w:rsidRDefault="00503642" w:rsidP="0043278D">
      <w:pPr>
        <w:spacing w:before="360"/>
      </w:pPr>
      <w:r>
        <w:t xml:space="preserve">To determine the </w:t>
      </w:r>
      <w:r w:rsidR="00CD51DE">
        <w:t xml:space="preserve">total </w:t>
      </w:r>
      <w:r>
        <w:t xml:space="preserve">funding allocation </w:t>
      </w:r>
      <w:r w:rsidR="00CD51DE">
        <w:t xml:space="preserve">for a specific period, </w:t>
      </w:r>
      <w:r>
        <w:t>the total of these three component NWAU values is multiplied by the AN-ACC price</w:t>
      </w:r>
      <w:r w:rsidR="006E1504">
        <w:t>.</w:t>
      </w:r>
      <w:r>
        <w:rPr>
          <w:rStyle w:val="FootnoteReference"/>
        </w:rPr>
        <w:footnoteReference w:id="4"/>
      </w:r>
      <w:r>
        <w:t xml:space="preserve"> </w:t>
      </w:r>
      <w:r w:rsidR="00610F8F">
        <w:fldChar w:fldCharType="begin"/>
      </w:r>
      <w:r w:rsidR="00610F8F">
        <w:instrText xml:space="preserve"> REF _Ref534639946 \h </w:instrText>
      </w:r>
      <w:r w:rsidR="00610F8F">
        <w:fldChar w:fldCharType="separate"/>
      </w:r>
      <w:r w:rsidR="00847404">
        <w:t xml:space="preserve">Figure </w:t>
      </w:r>
      <w:r w:rsidR="00847404">
        <w:rPr>
          <w:noProof/>
        </w:rPr>
        <w:t>2</w:t>
      </w:r>
      <w:r w:rsidR="00610F8F">
        <w:fldChar w:fldCharType="end"/>
      </w:r>
      <w:r w:rsidR="00610F8F">
        <w:t xml:space="preserve"> provides an illustration of the model funding calculation.</w:t>
      </w:r>
    </w:p>
    <w:p w:rsidR="004A1979" w:rsidRDefault="004A1979" w:rsidP="004A1979">
      <w:pPr>
        <w:pStyle w:val="Caption"/>
      </w:pPr>
      <w:bookmarkStart w:id="52" w:name="_Ref534639946"/>
      <w:bookmarkStart w:id="53" w:name="_Toc2066843"/>
      <w:r>
        <w:t xml:space="preserve">Figure </w:t>
      </w:r>
      <w:r>
        <w:rPr>
          <w:noProof/>
        </w:rPr>
        <w:fldChar w:fldCharType="begin"/>
      </w:r>
      <w:r>
        <w:rPr>
          <w:noProof/>
        </w:rPr>
        <w:instrText xml:space="preserve"> SEQ Figure \* ARABIC </w:instrText>
      </w:r>
      <w:r>
        <w:rPr>
          <w:noProof/>
        </w:rPr>
        <w:fldChar w:fldCharType="separate"/>
      </w:r>
      <w:r w:rsidR="00847404">
        <w:rPr>
          <w:noProof/>
        </w:rPr>
        <w:t>2</w:t>
      </w:r>
      <w:r>
        <w:rPr>
          <w:noProof/>
        </w:rPr>
        <w:fldChar w:fldCharType="end"/>
      </w:r>
      <w:bookmarkEnd w:id="52"/>
      <w:r>
        <w:tab/>
        <w:t>Calculation of AN-ACC total funding based on NWAU and price</w:t>
      </w:r>
      <w:bookmarkEnd w:id="53"/>
    </w:p>
    <w:p w:rsidR="0043278D" w:rsidRPr="0043278D" w:rsidRDefault="0043278D" w:rsidP="0043278D">
      <w:r>
        <w:rPr>
          <w:noProof/>
        </w:rPr>
        <w:drawing>
          <wp:inline distT="0" distB="0" distL="0" distR="0" wp14:anchorId="01A9F98D" wp14:editId="70D7547C">
            <wp:extent cx="5731510" cy="2729230"/>
            <wp:effectExtent l="0" t="0" r="2540" b="0"/>
            <wp:docPr id="4" name="Picture 4" descr="Figure 3 presents an illustration of the model funding calculation.  To determine the total funding allocation for a specific period the total of: Fixed component (Facility base care tariff NWAU x bed days), Variable component (Sum(AN-ACC NWAU x Bed days) for all residents, and Adjustment component (Adj NWAU x N (New residents)) is multiplied by by the AN-ACC price." title="Figure 2 Calculation of AN-ACC total funding based on NWAU and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729230"/>
                    </a:xfrm>
                    <a:prstGeom prst="rect">
                      <a:avLst/>
                    </a:prstGeom>
                  </pic:spPr>
                </pic:pic>
              </a:graphicData>
            </a:graphic>
          </wp:inline>
        </w:drawing>
      </w:r>
    </w:p>
    <w:p w:rsidR="00997904" w:rsidRDefault="00503642" w:rsidP="00A1572E">
      <w:pPr>
        <w:pStyle w:val="Normal-nospacing"/>
        <w:spacing w:before="0"/>
      </w:pPr>
      <w:r>
        <w:t xml:space="preserve">This funding </w:t>
      </w:r>
      <w:r w:rsidR="00A1572E" w:rsidRPr="000B42C6">
        <w:t xml:space="preserve">concept is best illustrated by example. </w:t>
      </w:r>
      <w:r w:rsidR="00997904">
        <w:t>The</w:t>
      </w:r>
      <w:r w:rsidR="00847404">
        <w:t xml:space="preserve"> </w:t>
      </w:r>
      <w:r w:rsidR="00997904">
        <w:t xml:space="preserve">scenarios </w:t>
      </w:r>
      <w:r w:rsidR="00847404">
        <w:t xml:space="preserve">below </w:t>
      </w:r>
      <w:r w:rsidR="00997904">
        <w:t xml:space="preserve">are provided to illustrate the effect of the funding model for different types of facilities and </w:t>
      </w:r>
      <w:r w:rsidR="00692AAD">
        <w:t xml:space="preserve">for residents </w:t>
      </w:r>
      <w:r w:rsidR="00997904">
        <w:lastRenderedPageBreak/>
        <w:t>different care needs</w:t>
      </w:r>
      <w:r w:rsidR="00692AAD">
        <w:t xml:space="preserve"> represented by the AN-ACC class</w:t>
      </w:r>
      <w:r w:rsidR="00997904">
        <w:t xml:space="preserve">. In practice the total NWAU would be calculated for </w:t>
      </w:r>
      <w:r w:rsidR="00692AAD">
        <w:t xml:space="preserve">all resident bed days across </w:t>
      </w:r>
      <w:r w:rsidR="00997904">
        <w:t xml:space="preserve">the facility </w:t>
      </w:r>
      <w:r w:rsidR="00692AAD">
        <w:t>which</w:t>
      </w:r>
      <w:r w:rsidR="00997904">
        <w:t xml:space="preserve"> would then be </w:t>
      </w:r>
      <w:r w:rsidR="0043278D">
        <w:t>multiplied by the single price.</w:t>
      </w:r>
    </w:p>
    <w:p w:rsidR="00A1572E" w:rsidRDefault="00A1572E" w:rsidP="00A1572E">
      <w:pPr>
        <w:pStyle w:val="Normal-nospacing"/>
        <w:spacing w:before="0"/>
      </w:pPr>
      <w:r w:rsidRPr="000B42C6">
        <w:t>Imagine that the Commonwealth determined that the Commonwealth subsidy for an NWAU of 1.00 would be $100 per day.</w:t>
      </w:r>
      <w:r w:rsidRPr="000B42C6">
        <w:rPr>
          <w:rStyle w:val="FootnoteReference"/>
        </w:rPr>
        <w:footnoteReference w:id="5"/>
      </w:r>
      <w:r w:rsidRPr="000B42C6">
        <w:t xml:space="preserve"> In this example, the following rates would be payable:</w:t>
      </w:r>
    </w:p>
    <w:p w:rsidR="00A1572E" w:rsidRPr="000B42C6" w:rsidRDefault="00A1572E" w:rsidP="00997904">
      <w:pPr>
        <w:pStyle w:val="Heading4"/>
      </w:pPr>
      <w:r w:rsidRPr="002678C0">
        <w:t>Resident in a very remote (MMM=7) facility with indigenous specialisation is assigned to Class 13. That is, the resident is non-mobile, with low function, at high risk of a pressure sore and with other compounding factors</w:t>
      </w:r>
    </w:p>
    <w:p w:rsidR="00A1572E" w:rsidRPr="000B42C6" w:rsidRDefault="00A1572E" w:rsidP="00A1572E">
      <w:pPr>
        <w:pStyle w:val="Normal-nospacing"/>
      </w:pPr>
      <w:r w:rsidRPr="000B42C6">
        <w:t>Base care tariff = 1.</w:t>
      </w:r>
      <w:r>
        <w:t>80</w:t>
      </w:r>
      <w:r w:rsidRPr="000B42C6">
        <w:t xml:space="preserve"> x $100 = $1</w:t>
      </w:r>
      <w:r>
        <w:t>80</w:t>
      </w:r>
      <w:r w:rsidRPr="000B42C6">
        <w:t xml:space="preserve"> per day</w:t>
      </w:r>
    </w:p>
    <w:p w:rsidR="00A1572E" w:rsidRPr="000B42C6" w:rsidRDefault="00A1572E" w:rsidP="00A1572E">
      <w:pPr>
        <w:pStyle w:val="Normal-nospacing"/>
      </w:pPr>
      <w:r w:rsidRPr="000B42C6">
        <w:t>AN-ACC funding = 0.96 x $100 = $96 per day</w:t>
      </w:r>
    </w:p>
    <w:p w:rsidR="00A1572E" w:rsidRPr="000B42C6" w:rsidRDefault="00A1572E" w:rsidP="00A1572E">
      <w:pPr>
        <w:pStyle w:val="Normal-nospacing"/>
      </w:pPr>
      <w:r w:rsidRPr="000B42C6">
        <w:t>Total NWAU = 1.</w:t>
      </w:r>
      <w:r>
        <w:t>80</w:t>
      </w:r>
      <w:r w:rsidRPr="000B42C6">
        <w:t>+0.96 = 2.</w:t>
      </w:r>
      <w:r>
        <w:t>76</w:t>
      </w:r>
    </w:p>
    <w:p w:rsidR="00A1572E" w:rsidRPr="000B42C6" w:rsidRDefault="00A1572E" w:rsidP="00A1572E">
      <w:pPr>
        <w:pStyle w:val="Normal-nospacing"/>
      </w:pPr>
      <w:r w:rsidRPr="000B42C6">
        <w:t>Total funding = $2</w:t>
      </w:r>
      <w:r>
        <w:t>76</w:t>
      </w:r>
      <w:r w:rsidRPr="000B42C6">
        <w:t xml:space="preserve"> per day</w:t>
      </w:r>
    </w:p>
    <w:p w:rsidR="00A1572E" w:rsidRPr="000B42C6" w:rsidRDefault="00A1572E" w:rsidP="00A1572E">
      <w:pPr>
        <w:pStyle w:val="Heading4"/>
      </w:pPr>
      <w:r w:rsidRPr="000B42C6">
        <w:t>Resident in a RACF that receives base care tariff 6 and who is in Class 2. That is, the resident is a home in a non-remote area and the resident is independent and without compounding factors</w:t>
      </w:r>
    </w:p>
    <w:p w:rsidR="00A1572E" w:rsidRPr="000B42C6" w:rsidRDefault="00A1572E" w:rsidP="00A1572E">
      <w:pPr>
        <w:pStyle w:val="Normal-nospacing"/>
      </w:pPr>
      <w:r w:rsidRPr="000B42C6">
        <w:t>Base care tariff = 0.4</w:t>
      </w:r>
      <w:r>
        <w:t>9</w:t>
      </w:r>
      <w:r w:rsidRPr="000B42C6">
        <w:t xml:space="preserve"> x $100 = $4</w:t>
      </w:r>
      <w:r>
        <w:t>9</w:t>
      </w:r>
      <w:r w:rsidRPr="000B42C6">
        <w:t xml:space="preserve"> per day</w:t>
      </w:r>
    </w:p>
    <w:p w:rsidR="00A1572E" w:rsidRPr="000B42C6" w:rsidRDefault="00A1572E" w:rsidP="00A1572E">
      <w:pPr>
        <w:pStyle w:val="Normal-nospacing"/>
      </w:pPr>
      <w:r w:rsidRPr="000B42C6">
        <w:t>AN-ACC funding = 0.18 x $100 = $18 per day</w:t>
      </w:r>
    </w:p>
    <w:p w:rsidR="00A1572E" w:rsidRPr="000B42C6" w:rsidRDefault="00A1572E" w:rsidP="00A1572E">
      <w:pPr>
        <w:pStyle w:val="Normal-nospacing"/>
      </w:pPr>
      <w:r w:rsidRPr="000B42C6">
        <w:t>Total NWAU = 0.4</w:t>
      </w:r>
      <w:r>
        <w:t>9</w:t>
      </w:r>
      <w:r w:rsidRPr="000B42C6">
        <w:t>+0.18 = 0.6</w:t>
      </w:r>
      <w:r>
        <w:t>7</w:t>
      </w:r>
    </w:p>
    <w:p w:rsidR="00A1572E" w:rsidRDefault="00A1572E" w:rsidP="00A1572E">
      <w:pPr>
        <w:pStyle w:val="Normal-nospacing"/>
      </w:pPr>
      <w:r w:rsidRPr="000B42C6">
        <w:t>Total funding = $6</w:t>
      </w:r>
      <w:r>
        <w:t>7</w:t>
      </w:r>
      <w:r w:rsidRPr="000B42C6">
        <w:t xml:space="preserve"> per day</w:t>
      </w:r>
    </w:p>
    <w:p w:rsidR="0007126F" w:rsidRDefault="0007126F" w:rsidP="00DE42F7">
      <w:pPr>
        <w:pStyle w:val="Normal-nospacing"/>
        <w:spacing w:before="360"/>
      </w:pPr>
      <w:r>
        <w:t xml:space="preserve">The consolidated table of NWAUs for Version 1.0 of the AN-ACC funding model </w:t>
      </w:r>
      <w:r w:rsidR="00847404">
        <w:t>is</w:t>
      </w:r>
      <w:r>
        <w:t xml:space="preserve"> included in </w:t>
      </w:r>
      <w:r w:rsidR="007B3AC5">
        <w:fldChar w:fldCharType="begin"/>
      </w:r>
      <w:r w:rsidR="007B3AC5">
        <w:instrText xml:space="preserve"> REF _Ref534803179 \h </w:instrText>
      </w:r>
      <w:r w:rsidR="007B3AC5">
        <w:fldChar w:fldCharType="separate"/>
      </w:r>
      <w:r w:rsidR="000441E8" w:rsidRPr="00792FA6">
        <w:t xml:space="preserve">Appendix </w:t>
      </w:r>
      <w:r w:rsidR="000441E8">
        <w:rPr>
          <w:noProof/>
        </w:rPr>
        <w:t>2</w:t>
      </w:r>
      <w:r w:rsidR="007B3AC5">
        <w:fldChar w:fldCharType="end"/>
      </w:r>
      <w:r w:rsidR="0043278D">
        <w:t>.</w:t>
      </w:r>
    </w:p>
    <w:p w:rsidR="00500A13" w:rsidRDefault="00A1572E" w:rsidP="00A1572E">
      <w:pPr>
        <w:spacing w:after="200" w:line="276" w:lineRule="auto"/>
      </w:pPr>
      <w:r>
        <w:br w:type="page"/>
      </w:r>
    </w:p>
    <w:p w:rsidR="00BF2F9F" w:rsidRDefault="00BF2F9F" w:rsidP="00BF2F9F">
      <w:pPr>
        <w:pStyle w:val="Heading1"/>
      </w:pPr>
      <w:bookmarkStart w:id="54" w:name="_Toc2066828"/>
      <w:r>
        <w:lastRenderedPageBreak/>
        <w:t xml:space="preserve">Commonwealth payments and supplements </w:t>
      </w:r>
      <w:r w:rsidR="00DD01F0">
        <w:t>under</w:t>
      </w:r>
      <w:r>
        <w:t xml:space="preserve"> the new AN-ACC funding model</w:t>
      </w:r>
      <w:bookmarkEnd w:id="54"/>
    </w:p>
    <w:p w:rsidR="009E04A8" w:rsidRPr="00DB5846" w:rsidRDefault="00CE2F69" w:rsidP="003F1D37">
      <w:r w:rsidRPr="00DB5846">
        <w:t>Under t</w:t>
      </w:r>
      <w:r w:rsidR="009E04A8" w:rsidRPr="00DB5846">
        <w:t xml:space="preserve">he </w:t>
      </w:r>
      <w:r w:rsidR="00847404">
        <w:t xml:space="preserve">current </w:t>
      </w:r>
      <w:r w:rsidR="009E04A8" w:rsidRPr="00DB5846">
        <w:t xml:space="preserve">ACFI system a number of additional supplements and </w:t>
      </w:r>
      <w:r w:rsidRPr="00DB5846">
        <w:t xml:space="preserve">funding </w:t>
      </w:r>
      <w:r w:rsidR="009E04A8" w:rsidRPr="00DB5846">
        <w:t>adjustment</w:t>
      </w:r>
      <w:r w:rsidR="00AB5255" w:rsidRPr="00DB5846">
        <w:t xml:space="preserve">s </w:t>
      </w:r>
      <w:r w:rsidRPr="00DB5846">
        <w:t>are applied for specific conditions. These</w:t>
      </w:r>
      <w:r w:rsidR="00AB5255" w:rsidRPr="00DB5846">
        <w:t xml:space="preserve"> </w:t>
      </w:r>
      <w:r w:rsidRPr="00DB5846">
        <w:t>adjustments</w:t>
      </w:r>
      <w:r w:rsidR="00AB5255" w:rsidRPr="00DB5846">
        <w:t xml:space="preserve"> relate to differences between facilities and residents that are not able to be addressed by the </w:t>
      </w:r>
      <w:r w:rsidR="00DB5846" w:rsidRPr="00DB5846">
        <w:t xml:space="preserve">ACFI </w:t>
      </w:r>
      <w:r w:rsidR="00847404">
        <w:t>model</w:t>
      </w:r>
      <w:r w:rsidR="0043278D">
        <w:t>.</w:t>
      </w:r>
    </w:p>
    <w:p w:rsidR="00DD01F0" w:rsidRPr="00114CB1" w:rsidRDefault="00F94095" w:rsidP="00DB5846">
      <w:pPr>
        <w:spacing w:before="240"/>
      </w:pPr>
      <w:r>
        <w:t>The fact that t</w:t>
      </w:r>
      <w:r w:rsidR="00DD01F0" w:rsidRPr="00DB5846">
        <w:t xml:space="preserve">he AN-ACC model is </w:t>
      </w:r>
      <w:r w:rsidR="00DB5846" w:rsidRPr="00DB5846">
        <w:t xml:space="preserve">more explicitly aligned </w:t>
      </w:r>
      <w:r w:rsidR="00DD01F0" w:rsidRPr="00DB5846">
        <w:t xml:space="preserve">with </w:t>
      </w:r>
      <w:r w:rsidR="00DB5846" w:rsidRPr="00DB5846">
        <w:t xml:space="preserve">the different </w:t>
      </w:r>
      <w:r w:rsidR="00DD01F0" w:rsidRPr="00DB5846">
        <w:t>drivers of cost</w:t>
      </w:r>
      <w:r w:rsidR="00C350D2">
        <w:t>,</w:t>
      </w:r>
      <w:r w:rsidR="00DD01F0" w:rsidRPr="00DB5846">
        <w:t xml:space="preserve"> and funds costs that relate to facility and resident characteristics</w:t>
      </w:r>
      <w:r w:rsidR="00DB5846" w:rsidRPr="00DB5846">
        <w:t xml:space="preserve"> through separate mechanisms</w:t>
      </w:r>
      <w:r w:rsidR="00C350D2">
        <w:t>,</w:t>
      </w:r>
      <w:r>
        <w:t xml:space="preserve"> enables s</w:t>
      </w:r>
      <w:r w:rsidR="00847404">
        <w:t>everal</w:t>
      </w:r>
      <w:r>
        <w:t xml:space="preserve"> </w:t>
      </w:r>
      <w:r w:rsidR="00424664">
        <w:t xml:space="preserve">current </w:t>
      </w:r>
      <w:r w:rsidR="00DB5846" w:rsidRPr="00DB5846">
        <w:t>funding adjustments to be incorporated in</w:t>
      </w:r>
      <w:r>
        <w:t>to</w:t>
      </w:r>
      <w:r w:rsidR="00DB5846" w:rsidRPr="00DB5846">
        <w:t xml:space="preserve"> the core model. </w:t>
      </w:r>
      <w:r w:rsidR="00847404">
        <w:t xml:space="preserve">However some </w:t>
      </w:r>
      <w:r w:rsidR="00DB5846" w:rsidRPr="00DB5846">
        <w:t>require further investigation</w:t>
      </w:r>
      <w:r w:rsidR="00B6738A">
        <w:t xml:space="preserve">. These are </w:t>
      </w:r>
      <w:r w:rsidR="00847404">
        <w:t>discussed below</w:t>
      </w:r>
      <w:r w:rsidR="00DB5846" w:rsidRPr="00DB5846">
        <w:t>.</w:t>
      </w:r>
    </w:p>
    <w:p w:rsidR="00CE2F69" w:rsidRPr="00CE2F69" w:rsidRDefault="00CE2F69" w:rsidP="00CE2F69">
      <w:pPr>
        <w:pStyle w:val="Heading2"/>
      </w:pPr>
      <w:bookmarkStart w:id="55" w:name="_Toc2066829"/>
      <w:r w:rsidRPr="00CE2F69">
        <w:t>Payments related to facility characteristics</w:t>
      </w:r>
      <w:bookmarkEnd w:id="55"/>
    </w:p>
    <w:p w:rsidR="00CE2F69" w:rsidRDefault="00CE2F69" w:rsidP="00CE2F69">
      <w:pPr>
        <w:pStyle w:val="Heading4"/>
      </w:pPr>
      <w:r>
        <w:t>Viability supplements</w:t>
      </w:r>
    </w:p>
    <w:p w:rsidR="00CD51DE" w:rsidRDefault="00DD01F0" w:rsidP="00CD51DE">
      <w:pPr>
        <w:pStyle w:val="Normal-nospacing"/>
      </w:pPr>
      <w:r>
        <w:t xml:space="preserve">The viability supplement is currently paid to remote and regional facilities based on the understanding that the overall costs of operations for these facilities is higher than in metropolitan areas. The fixed care cost analysis found that there are clearly </w:t>
      </w:r>
      <w:r w:rsidR="007766CE">
        <w:t xml:space="preserve">higher costs of providing care in remote facilities that </w:t>
      </w:r>
      <w:r w:rsidR="00CD51DE">
        <w:t>are</w:t>
      </w:r>
      <w:r w:rsidR="007766CE">
        <w:t xml:space="preserve"> not related to the care</w:t>
      </w:r>
      <w:r w:rsidR="0043278D">
        <w:t xml:space="preserve"> needs of individual residents.</w:t>
      </w:r>
    </w:p>
    <w:p w:rsidR="007766CE" w:rsidRDefault="007766CE" w:rsidP="00CD51DE">
      <w:pPr>
        <w:pStyle w:val="Normal-nospacing"/>
      </w:pPr>
      <w:r>
        <w:t xml:space="preserve">Within remote facilities there are also </w:t>
      </w:r>
      <w:r w:rsidR="00C350D2">
        <w:t xml:space="preserve">further </w:t>
      </w:r>
      <w:r w:rsidR="00CD51DE">
        <w:t xml:space="preserve">additional </w:t>
      </w:r>
      <w:r>
        <w:t xml:space="preserve">costs </w:t>
      </w:r>
      <w:r w:rsidR="00B6534A">
        <w:t>related to</w:t>
      </w:r>
      <w:r>
        <w:t xml:space="preserve"> the provision of specialised indigenous services and </w:t>
      </w:r>
      <w:r w:rsidR="00C350D2">
        <w:t xml:space="preserve">small </w:t>
      </w:r>
      <w:r>
        <w:t>facility size</w:t>
      </w:r>
      <w:r w:rsidR="00C350D2">
        <w:t xml:space="preserve">. </w:t>
      </w:r>
      <w:r w:rsidR="00A5258F">
        <w:t>The base care tariff in the AN-ACC funding model addresses the additional fixed care</w:t>
      </w:r>
      <w:r w:rsidR="00B6738A">
        <w:t>-</w:t>
      </w:r>
      <w:r w:rsidR="00A5258F">
        <w:t xml:space="preserve">related costs for remote </w:t>
      </w:r>
      <w:r w:rsidR="00C350D2">
        <w:t>and indigenous facilities</w:t>
      </w:r>
      <w:r w:rsidR="0043278D">
        <w:t>.</w:t>
      </w:r>
    </w:p>
    <w:p w:rsidR="00A5258F" w:rsidRDefault="00C350D2" w:rsidP="00CD51DE">
      <w:pPr>
        <w:pStyle w:val="Normal-nospacing"/>
      </w:pPr>
      <w:r>
        <w:t>Higher h</w:t>
      </w:r>
      <w:r w:rsidR="00A5258F">
        <w:t xml:space="preserve">otel costs </w:t>
      </w:r>
      <w:r>
        <w:t xml:space="preserve">are also addressed by the viability supplement but these costs </w:t>
      </w:r>
      <w:r w:rsidR="00A5258F">
        <w:t>are not care related</w:t>
      </w:r>
      <w:r w:rsidR="0043278D">
        <w:t xml:space="preserve">. </w:t>
      </w:r>
      <w:r w:rsidR="00B6738A">
        <w:t>They</w:t>
      </w:r>
      <w:r w:rsidR="00A5258F">
        <w:t xml:space="preserve"> are </w:t>
      </w:r>
      <w:r w:rsidR="00B6738A">
        <w:t xml:space="preserve">thus </w:t>
      </w:r>
      <w:r w:rsidR="00A5258F">
        <w:t>out of scop</w:t>
      </w:r>
      <w:r w:rsidR="0043278D">
        <w:t>e for the AN-ACC funding model.</w:t>
      </w:r>
    </w:p>
    <w:p w:rsidR="00A5258F" w:rsidRDefault="00C350D2" w:rsidP="00CD51DE">
      <w:pPr>
        <w:pStyle w:val="Normal-nospacing"/>
      </w:pPr>
      <w:r>
        <w:t>The current v</w:t>
      </w:r>
      <w:r w:rsidR="0039006F">
        <w:t xml:space="preserve">iability supplements </w:t>
      </w:r>
      <w:r w:rsidR="00CD51DE">
        <w:t xml:space="preserve">that relate to additional care costs </w:t>
      </w:r>
      <w:r w:rsidR="0039006F">
        <w:t>may be discontinued once the AN-ACC model is introduced</w:t>
      </w:r>
      <w:r w:rsidR="00CD51DE">
        <w:t xml:space="preserve">. However, </w:t>
      </w:r>
      <w:r w:rsidR="00424664">
        <w:t xml:space="preserve">the additional structural costs associated with </w:t>
      </w:r>
      <w:r w:rsidR="00CD51DE">
        <w:t xml:space="preserve">hotel-type services would still need to be </w:t>
      </w:r>
      <w:r w:rsidR="00424664">
        <w:t>addressed</w:t>
      </w:r>
      <w:r w:rsidR="0043278D">
        <w:t>.</w:t>
      </w:r>
    </w:p>
    <w:p w:rsidR="00CE2F69" w:rsidRDefault="00CE2F69" w:rsidP="00CE2F69">
      <w:pPr>
        <w:pStyle w:val="Heading4"/>
      </w:pPr>
      <w:r>
        <w:t>Adjusted Subsidy Reduction</w:t>
      </w:r>
    </w:p>
    <w:p w:rsidR="00CE2F69" w:rsidRDefault="00421591" w:rsidP="0039006F">
      <w:r w:rsidRPr="00243C85">
        <w:t xml:space="preserve">This subsidy </w:t>
      </w:r>
      <w:r w:rsidR="0090395E" w:rsidRPr="00243C85">
        <w:t xml:space="preserve">reduction </w:t>
      </w:r>
      <w:r w:rsidRPr="00243C85">
        <w:t>is</w:t>
      </w:r>
      <w:r w:rsidR="0090395E" w:rsidRPr="00243C85">
        <w:t xml:space="preserve"> currently applied to services operated by state or territory governments. </w:t>
      </w:r>
      <w:r w:rsidR="00C573AB" w:rsidRPr="00243C85">
        <w:t xml:space="preserve">A sample of government-run facilities was included in the AN-ACC </w:t>
      </w:r>
      <w:r w:rsidR="00C350D2">
        <w:t>fixed cost analysis</w:t>
      </w:r>
      <w:r w:rsidR="00C573AB" w:rsidRPr="00243C85">
        <w:t xml:space="preserve"> and the raw cost results for these facilities were analysed. Those facilities reported substantially different costs and care staff mix and data</w:t>
      </w:r>
      <w:r w:rsidR="00243C85" w:rsidRPr="00243C85">
        <w:t xml:space="preserve"> and were therefore excluded from further analysis. The</w:t>
      </w:r>
      <w:r w:rsidR="00C350D2">
        <w:t xml:space="preserve"> </w:t>
      </w:r>
      <w:r w:rsidR="000735AE">
        <w:t xml:space="preserve">review of </w:t>
      </w:r>
      <w:r w:rsidR="00C350D2">
        <w:t>raw</w:t>
      </w:r>
      <w:r w:rsidR="00243C85" w:rsidRPr="00243C85">
        <w:t xml:space="preserve"> cost data for these facilities </w:t>
      </w:r>
      <w:r w:rsidR="00C573AB" w:rsidRPr="00243C85">
        <w:t>did not support the continuation of the adjusted subsidy reduction.</w:t>
      </w:r>
      <w:r w:rsidR="00243C85" w:rsidRPr="00243C85">
        <w:t xml:space="preserve"> It is proposed that this subsidy reduction be d</w:t>
      </w:r>
      <w:r w:rsidR="00CE2F69" w:rsidRPr="00243C85">
        <w:t>iscontinue</w:t>
      </w:r>
      <w:r w:rsidR="00243C85" w:rsidRPr="00243C85">
        <w:t>d</w:t>
      </w:r>
      <w:r w:rsidR="00CE2F69" w:rsidRPr="00243C85">
        <w:t xml:space="preserve"> and </w:t>
      </w:r>
      <w:r w:rsidR="00243C85" w:rsidRPr="00243C85">
        <w:t xml:space="preserve">the care homes be </w:t>
      </w:r>
      <w:r w:rsidR="00CE2F69" w:rsidRPr="00243C85">
        <w:t>fund</w:t>
      </w:r>
      <w:r w:rsidR="00243C85" w:rsidRPr="00243C85">
        <w:t>ed</w:t>
      </w:r>
      <w:r w:rsidR="00CE2F69" w:rsidRPr="00243C85">
        <w:t xml:space="preserve"> </w:t>
      </w:r>
      <w:r w:rsidR="00243C85" w:rsidRPr="00243C85">
        <w:t>in the same wa</w:t>
      </w:r>
      <w:r w:rsidR="0043278D">
        <w:t>y as non-government facilities.</w:t>
      </w:r>
    </w:p>
    <w:p w:rsidR="00CE2F69" w:rsidRDefault="00CE2F69" w:rsidP="00CE2F69">
      <w:pPr>
        <w:pStyle w:val="Heading4"/>
      </w:pPr>
      <w:r>
        <w:t>Homeless Supplement</w:t>
      </w:r>
    </w:p>
    <w:p w:rsidR="005A3299" w:rsidRDefault="009160E3" w:rsidP="005A3299">
      <w:pPr>
        <w:pStyle w:val="Normal-nospacing"/>
      </w:pPr>
      <w:r>
        <w:t>A</w:t>
      </w:r>
      <w:r w:rsidR="00CE2F69">
        <w:t xml:space="preserve"> homeless supplement</w:t>
      </w:r>
      <w:r>
        <w:t xml:space="preserve"> of $16.16 per day</w:t>
      </w:r>
      <w:r w:rsidR="00CE2F69">
        <w:t xml:space="preserve"> </w:t>
      </w:r>
      <w:r w:rsidR="0039006F">
        <w:t xml:space="preserve">is currently paid to facilities that provide specialised services to homeless people. This payment recognises that there are costs of providing care in these facilities that are </w:t>
      </w:r>
      <w:r w:rsidR="005A3299">
        <w:t xml:space="preserve">driven by </w:t>
      </w:r>
      <w:r w:rsidR="00424664">
        <w:t>structural factors</w:t>
      </w:r>
      <w:r w:rsidR="005A3299">
        <w:t xml:space="preserve"> and the model of care rather than the </w:t>
      </w:r>
      <w:r w:rsidR="0039006F">
        <w:t>individual residents’ need for activities of da</w:t>
      </w:r>
      <w:r w:rsidR="00355E06">
        <w:t>ily living</w:t>
      </w:r>
      <w:r w:rsidR="004C5098">
        <w:t xml:space="preserve"> (ADL)</w:t>
      </w:r>
      <w:r w:rsidR="0043278D">
        <w:t xml:space="preserve"> and clinical support.</w:t>
      </w:r>
    </w:p>
    <w:p w:rsidR="005A3299" w:rsidRDefault="00B6738A" w:rsidP="005A3299">
      <w:pPr>
        <w:pStyle w:val="Normal-nospacing"/>
      </w:pPr>
      <w:r>
        <w:lastRenderedPageBreak/>
        <w:t xml:space="preserve">The </w:t>
      </w:r>
      <w:r w:rsidR="005A3299">
        <w:t xml:space="preserve">results of the AN-ACC classification study (see Report </w:t>
      </w:r>
      <w:r w:rsidR="00A14DBB">
        <w:t>1</w:t>
      </w:r>
      <w:r w:rsidR="005A3299">
        <w:t xml:space="preserve">) are consistent with this.  It found that the </w:t>
      </w:r>
      <w:r>
        <w:t>c</w:t>
      </w:r>
      <w:r w:rsidR="00355E06">
        <w:t xml:space="preserve">are needs </w:t>
      </w:r>
      <w:r>
        <w:t xml:space="preserve">of </w:t>
      </w:r>
      <w:r w:rsidR="00355E06">
        <w:t xml:space="preserve">residents </w:t>
      </w:r>
      <w:r w:rsidR="005A3299">
        <w:t xml:space="preserve">in these specialised facilities </w:t>
      </w:r>
      <w:r w:rsidR="00355E06">
        <w:t xml:space="preserve">are </w:t>
      </w:r>
      <w:r>
        <w:t xml:space="preserve">different and not well captured through standard </w:t>
      </w:r>
      <w:r w:rsidR="00355E06">
        <w:t xml:space="preserve">measures of </w:t>
      </w:r>
      <w:r>
        <w:t xml:space="preserve">physical </w:t>
      </w:r>
      <w:r w:rsidR="00355E06">
        <w:t>mobility</w:t>
      </w:r>
      <w:r>
        <w:t xml:space="preserve"> and related domains. </w:t>
      </w:r>
      <w:r w:rsidR="005A3299">
        <w:t xml:space="preserve"> </w:t>
      </w:r>
      <w:r>
        <w:t>A</w:t>
      </w:r>
      <w:r w:rsidR="005A3299">
        <w:t>n important finding is that</w:t>
      </w:r>
      <w:r>
        <w:t xml:space="preserve"> </w:t>
      </w:r>
      <w:r w:rsidR="005A3299">
        <w:t xml:space="preserve">a </w:t>
      </w:r>
      <w:r>
        <w:t xml:space="preserve">significantly greater proportion of care costs </w:t>
      </w:r>
      <w:r w:rsidR="009647AC">
        <w:t xml:space="preserve">in specialised facilities for homeless people </w:t>
      </w:r>
      <w:r>
        <w:t>are shared care rather than individualised care.</w:t>
      </w:r>
    </w:p>
    <w:p w:rsidR="0039006F" w:rsidRDefault="00B6738A" w:rsidP="005A3299">
      <w:pPr>
        <w:pStyle w:val="Normal-nospacing"/>
      </w:pPr>
      <w:r>
        <w:t>In consequence, the</w:t>
      </w:r>
      <w:r w:rsidR="00355E06">
        <w:t xml:space="preserve"> f</w:t>
      </w:r>
      <w:r w:rsidR="00C80870">
        <w:t xml:space="preserve">ixed care cost analysis </w:t>
      </w:r>
      <w:r>
        <w:t xml:space="preserve">found that there are </w:t>
      </w:r>
      <w:r w:rsidR="00C80870">
        <w:t>additional costs</w:t>
      </w:r>
      <w:r w:rsidR="00355E06">
        <w:t xml:space="preserve"> </w:t>
      </w:r>
      <w:r w:rsidR="000735AE">
        <w:t xml:space="preserve">for homeless care </w:t>
      </w:r>
      <w:r>
        <w:t xml:space="preserve">that are </w:t>
      </w:r>
      <w:r w:rsidR="00355E06">
        <w:t>facility</w:t>
      </w:r>
      <w:r>
        <w:t>-</w:t>
      </w:r>
      <w:r w:rsidR="00424664">
        <w:t>related</w:t>
      </w:r>
      <w:r w:rsidR="0043278D">
        <w:t xml:space="preserve">. </w:t>
      </w:r>
      <w:r>
        <w:t xml:space="preserve">This has resulted in </w:t>
      </w:r>
      <w:r w:rsidR="004C5098">
        <w:t xml:space="preserve">an increased </w:t>
      </w:r>
      <w:r w:rsidR="00C80870">
        <w:t>base care tariff for</w:t>
      </w:r>
      <w:r w:rsidR="004C5098">
        <w:t xml:space="preserve"> </w:t>
      </w:r>
      <w:r w:rsidR="00C80870">
        <w:t>fa</w:t>
      </w:r>
      <w:r w:rsidR="000735AE">
        <w:t>cilities providing these</w:t>
      </w:r>
      <w:r w:rsidR="00C80870">
        <w:t xml:space="preserve"> services</w:t>
      </w:r>
      <w:r w:rsidR="004C5098" w:rsidRPr="004C5098">
        <w:t xml:space="preserve"> </w:t>
      </w:r>
      <w:r w:rsidR="004C5098">
        <w:t>i</w:t>
      </w:r>
      <w:r>
        <w:t>n</w:t>
      </w:r>
      <w:r w:rsidR="004C5098">
        <w:t xml:space="preserve"> the AN-ACC model</w:t>
      </w:r>
      <w:r w:rsidR="00C80870">
        <w:t>.</w:t>
      </w:r>
    </w:p>
    <w:p w:rsidR="00CE2F69" w:rsidRDefault="004C5098" w:rsidP="005A3299">
      <w:pPr>
        <w:pStyle w:val="Normal-nospacing"/>
        <w:rPr>
          <w:highlight w:val="yellow"/>
        </w:rPr>
      </w:pPr>
      <w:r>
        <w:t>The current homeless</w:t>
      </w:r>
      <w:r w:rsidR="00CE2F69">
        <w:t xml:space="preserve"> supplement </w:t>
      </w:r>
      <w:r w:rsidR="00C80870">
        <w:t>may be discontinued once t</w:t>
      </w:r>
      <w:r>
        <w:t>h</w:t>
      </w:r>
      <w:r w:rsidR="000735AE">
        <w:t>e AN-ACC model is introduced as</w:t>
      </w:r>
      <w:r>
        <w:t xml:space="preserve"> the</w:t>
      </w:r>
      <w:r w:rsidR="00C80870">
        <w:t xml:space="preserve"> a</w:t>
      </w:r>
      <w:r>
        <w:t>ppropriate</w:t>
      </w:r>
      <w:r w:rsidR="00C80870">
        <w:t xml:space="preserve"> funding </w:t>
      </w:r>
      <w:r w:rsidR="000735AE">
        <w:t xml:space="preserve">is included </w:t>
      </w:r>
      <w:r w:rsidR="0043278D">
        <w:t>in the base care tariff.</w:t>
      </w:r>
    </w:p>
    <w:p w:rsidR="00CE2F69" w:rsidRDefault="00CE2F69" w:rsidP="00CE2F69">
      <w:pPr>
        <w:pStyle w:val="Heading2"/>
      </w:pPr>
      <w:bookmarkStart w:id="56" w:name="_Toc2066830"/>
      <w:r w:rsidRPr="00CE2F69">
        <w:t xml:space="preserve">Payments related to </w:t>
      </w:r>
      <w:r>
        <w:t>resident</w:t>
      </w:r>
      <w:r w:rsidRPr="00CE2F69">
        <w:t xml:space="preserve"> characteristics</w:t>
      </w:r>
      <w:bookmarkEnd w:id="56"/>
    </w:p>
    <w:p w:rsidR="006B5343" w:rsidRDefault="009160E3" w:rsidP="009160E3">
      <w:r>
        <w:t xml:space="preserve">All of the following supplements and subsidies relate to the characteristics of individual residents in care. </w:t>
      </w:r>
      <w:r w:rsidR="004C5098">
        <w:t>For each of these items t</w:t>
      </w:r>
      <w:r>
        <w:t>here were in</w:t>
      </w:r>
      <w:r w:rsidR="004C5098">
        <w:t>sufficient numbers of residents</w:t>
      </w:r>
      <w:r>
        <w:t xml:space="preserve"> within the study sample to be able to fully understand the costs and therefore to recommend a funding approach under the AN-ACC model. A recommended course of action is proposed for each of</w:t>
      </w:r>
      <w:r w:rsidR="004C5098">
        <w:t xml:space="preserve"> the supplements and subsidies</w:t>
      </w:r>
      <w:r w:rsidR="0043278D">
        <w:t xml:space="preserve"> below.</w:t>
      </w:r>
    </w:p>
    <w:p w:rsidR="000735AE" w:rsidRPr="009160E3" w:rsidRDefault="006B5343" w:rsidP="000735AE">
      <w:pPr>
        <w:pStyle w:val="Normal-nospacing"/>
      </w:pPr>
      <w:r w:rsidRPr="009160E3">
        <w:rPr>
          <w:rStyle w:val="Heading4Char"/>
        </w:rPr>
        <w:t>Daily residential respite subsidies</w:t>
      </w:r>
      <w:r>
        <w:t>:</w:t>
      </w:r>
      <w:r w:rsidRPr="009160E3">
        <w:t xml:space="preserve"> </w:t>
      </w:r>
      <w:r>
        <w:t>R</w:t>
      </w:r>
      <w:r w:rsidRPr="00822D6A">
        <w:t xml:space="preserve">espite care was not in scope for the AN-ACC study with respite residents excluded from the </w:t>
      </w:r>
      <w:r w:rsidR="000735AE">
        <w:t xml:space="preserve">resource utilisation and </w:t>
      </w:r>
      <w:r w:rsidRPr="00822D6A">
        <w:t>classification development study</w:t>
      </w:r>
      <w:r w:rsidR="000735AE">
        <w:t>.</w:t>
      </w:r>
      <w:r w:rsidRPr="00822D6A">
        <w:t xml:space="preserve">  </w:t>
      </w:r>
      <w:r w:rsidR="000735AE">
        <w:t xml:space="preserve">A RUCS </w:t>
      </w:r>
      <w:r w:rsidR="000735AE" w:rsidRPr="00822D6A">
        <w:t>supplementary study on respite care</w:t>
      </w:r>
      <w:r w:rsidR="000735AE">
        <w:t xml:space="preserve"> is required</w:t>
      </w:r>
      <w:r w:rsidR="000735AE" w:rsidRPr="00822D6A">
        <w:t xml:space="preserve">. The </w:t>
      </w:r>
      <w:r w:rsidR="000735AE">
        <w:t xml:space="preserve">goal of such a </w:t>
      </w:r>
      <w:r w:rsidR="000735AE" w:rsidRPr="00822D6A">
        <w:t xml:space="preserve">study </w:t>
      </w:r>
      <w:r w:rsidR="000735AE">
        <w:t>w</w:t>
      </w:r>
      <w:r w:rsidR="000735AE" w:rsidRPr="00822D6A">
        <w:t xml:space="preserve">ould be to </w:t>
      </w:r>
      <w:r w:rsidR="000735AE">
        <w:t xml:space="preserve">assess respite residents using the AN-ACC assessment tool, to allocate respite residents to one or more AN-ACC classes and to </w:t>
      </w:r>
      <w:r w:rsidR="000735AE" w:rsidRPr="00822D6A">
        <w:t xml:space="preserve">determine the NWAU </w:t>
      </w:r>
      <w:r w:rsidR="000735AE">
        <w:t xml:space="preserve">or NWAUs </w:t>
      </w:r>
      <w:r w:rsidR="000735AE" w:rsidRPr="00822D6A">
        <w:t>that should apply to respite care.</w:t>
      </w:r>
    </w:p>
    <w:p w:rsidR="006B5343" w:rsidRDefault="006B5343" w:rsidP="006B5343">
      <w:pPr>
        <w:pStyle w:val="Normal-nospacing"/>
      </w:pPr>
      <w:r>
        <w:t>There are currently two subsidy rates for respite care</w:t>
      </w:r>
      <w:r w:rsidR="009E51CD">
        <w:t>;</w:t>
      </w:r>
      <w:r w:rsidR="00D0722F">
        <w:t xml:space="preserve"> $46.74 for low care and $131.0</w:t>
      </w:r>
      <w:r w:rsidR="009E51CD">
        <w:t>5 for high care needs.</w:t>
      </w:r>
      <w:r>
        <w:t xml:space="preserve"> </w:t>
      </w:r>
      <w:r w:rsidR="00D0722F">
        <w:t xml:space="preserve">For high care respite an additional supplement is paid to facilities when specified proportions of approved respite care services are provided. </w:t>
      </w:r>
      <w:r w:rsidRPr="00822D6A">
        <w:t xml:space="preserve">Given </w:t>
      </w:r>
      <w:r w:rsidR="00D0722F">
        <w:t xml:space="preserve">that </w:t>
      </w:r>
      <w:r w:rsidR="000735AE">
        <w:t>specific respite care data w</w:t>
      </w:r>
      <w:r w:rsidR="00CD51DE">
        <w:t>ere</w:t>
      </w:r>
      <w:r w:rsidR="000735AE">
        <w:t xml:space="preserve"> not collected as part of the RUCS</w:t>
      </w:r>
      <w:r w:rsidRPr="00822D6A">
        <w:t xml:space="preserve">, </w:t>
      </w:r>
      <w:r>
        <w:t xml:space="preserve">there is no justification to change current funding arrangements </w:t>
      </w:r>
      <w:r w:rsidRPr="00822D6A">
        <w:t>in the short-term</w:t>
      </w:r>
      <w:r w:rsidR="00254772">
        <w:t>.</w:t>
      </w:r>
    </w:p>
    <w:p w:rsidR="00CB3AE9" w:rsidRDefault="00CE2F69" w:rsidP="00CB3AE9">
      <w:pPr>
        <w:pStyle w:val="Normal-nospacing"/>
      </w:pPr>
      <w:r w:rsidRPr="009160E3">
        <w:rPr>
          <w:rStyle w:val="Heading4Char"/>
        </w:rPr>
        <w:t>Oxygen Supplement</w:t>
      </w:r>
      <w:r w:rsidR="009160E3">
        <w:t xml:space="preserve">: </w:t>
      </w:r>
      <w:r w:rsidR="004C5098">
        <w:t>The current supplement of $11.57 is alloca</w:t>
      </w:r>
      <w:r w:rsidR="000735AE">
        <w:t>ted to address the costs of</w:t>
      </w:r>
      <w:r w:rsidR="004C5098">
        <w:t xml:space="preserve"> the additional staff time and materials associated with delivering technical nursing care to residents requiring oxygen. </w:t>
      </w:r>
      <w:r w:rsidR="00CB3AE9">
        <w:t>It is proposed that grandparenting arrangements be introduced for</w:t>
      </w:r>
      <w:r w:rsidR="00254772">
        <w:t xml:space="preserve"> current recipients.</w:t>
      </w:r>
    </w:p>
    <w:p w:rsidR="00A9082B" w:rsidRDefault="00CB3AE9" w:rsidP="00CB3AE9">
      <w:pPr>
        <w:pStyle w:val="Normal-nospacing"/>
      </w:pPr>
      <w:r>
        <w:t>It is also proposed that a suppleme</w:t>
      </w:r>
      <w:r w:rsidRPr="0044093F">
        <w:t xml:space="preserve">ntary </w:t>
      </w:r>
      <w:r w:rsidR="006B5343">
        <w:t xml:space="preserve">costing </w:t>
      </w:r>
      <w:r w:rsidRPr="0044093F">
        <w:t xml:space="preserve">study </w:t>
      </w:r>
      <w:r>
        <w:t xml:space="preserve">be undertaken to determine </w:t>
      </w:r>
      <w:r w:rsidRPr="0044093F">
        <w:t>the costs of care associated with oxygen</w:t>
      </w:r>
      <w:r>
        <w:t xml:space="preserve">, whether </w:t>
      </w:r>
      <w:r w:rsidR="000735AE">
        <w:t xml:space="preserve">or not </w:t>
      </w:r>
      <w:r>
        <w:t>these costs are covered by the AN-ACC class,</w:t>
      </w:r>
      <w:r w:rsidRPr="0044093F">
        <w:t xml:space="preserve"> </w:t>
      </w:r>
      <w:r>
        <w:t xml:space="preserve">and </w:t>
      </w:r>
      <w:r w:rsidRPr="0044093F">
        <w:t xml:space="preserve">whether </w:t>
      </w:r>
      <w:r>
        <w:t>an additional payment should be</w:t>
      </w:r>
      <w:r w:rsidRPr="0044093F">
        <w:t xml:space="preserve"> continue</w:t>
      </w:r>
      <w:r w:rsidR="00254772">
        <w:t>d.</w:t>
      </w:r>
    </w:p>
    <w:p w:rsidR="00CE2F69" w:rsidRDefault="00CB3AE9" w:rsidP="00CB3AE9">
      <w:pPr>
        <w:pStyle w:val="Normal-nospacing"/>
      </w:pPr>
      <w:r>
        <w:t>If additional funding i</w:t>
      </w:r>
      <w:r w:rsidR="00CD51DE">
        <w:t>s</w:t>
      </w:r>
      <w:r>
        <w:t xml:space="preserve"> justified</w:t>
      </w:r>
      <w:r w:rsidR="00CD51DE">
        <w:t>,</w:t>
      </w:r>
      <w:r>
        <w:t xml:space="preserve"> this should be </w:t>
      </w:r>
      <w:r w:rsidR="00A9082B">
        <w:t>calibrated to the NWAU value and added to the AN-ACC</w:t>
      </w:r>
      <w:r>
        <w:t xml:space="preserve"> NWAU f</w:t>
      </w:r>
      <w:r w:rsidR="00A9082B">
        <w:t>or each eligible</w:t>
      </w:r>
      <w:r>
        <w:t xml:space="preserve"> resident</w:t>
      </w:r>
      <w:r w:rsidR="000735AE">
        <w:t>. The additional funding would</w:t>
      </w:r>
      <w:r w:rsidR="00A9082B">
        <w:t xml:space="preserve"> then be incorporated into </w:t>
      </w:r>
      <w:r>
        <w:t xml:space="preserve">the </w:t>
      </w:r>
      <w:r w:rsidR="00A9082B">
        <w:t xml:space="preserve">AN-ACC </w:t>
      </w:r>
      <w:r w:rsidR="00254772">
        <w:t>variable payment.</w:t>
      </w:r>
    </w:p>
    <w:p w:rsidR="00A9082B" w:rsidRDefault="00CE2F69" w:rsidP="009160E3">
      <w:pPr>
        <w:pStyle w:val="Normal-nospacing"/>
      </w:pPr>
      <w:r w:rsidRPr="009160E3">
        <w:rPr>
          <w:rStyle w:val="Heading4Char"/>
        </w:rPr>
        <w:t>Enteral Feeding Supplement</w:t>
      </w:r>
      <w:r w:rsidR="009160E3">
        <w:t xml:space="preserve">: </w:t>
      </w:r>
      <w:r w:rsidR="00CB3AE9">
        <w:t xml:space="preserve">There are currently two separate subsidy rates for enteral feeding; a daily payment of $18.33 for bolus delivery and </w:t>
      </w:r>
      <w:r w:rsidR="00A9082B">
        <w:t>$20.59 for</w:t>
      </w:r>
      <w:r w:rsidR="00CB3AE9">
        <w:t xml:space="preserve"> </w:t>
      </w:r>
      <w:r w:rsidR="00A9082B">
        <w:t>n</w:t>
      </w:r>
      <w:r w:rsidR="00CB3AE9">
        <w:t xml:space="preserve">on-bolus. </w:t>
      </w:r>
      <w:r w:rsidR="00A9082B">
        <w:t xml:space="preserve">As with the oxygen supplement, grandparenting arrangements should be introduced until a </w:t>
      </w:r>
      <w:r w:rsidR="00A9082B">
        <w:lastRenderedPageBreak/>
        <w:t xml:space="preserve">supplementary </w:t>
      </w:r>
      <w:r w:rsidR="006B5343">
        <w:t xml:space="preserve">costing </w:t>
      </w:r>
      <w:r w:rsidR="00A9082B">
        <w:t xml:space="preserve">study is completed to identify both the cost of materials and the technical nursing </w:t>
      </w:r>
      <w:r w:rsidR="00254772">
        <w:t>care costs for these residents.</w:t>
      </w:r>
    </w:p>
    <w:p w:rsidR="00BF156D" w:rsidRPr="009160E3" w:rsidRDefault="00A9082B" w:rsidP="009160E3">
      <w:pPr>
        <w:pStyle w:val="Normal-nospacing"/>
      </w:pPr>
      <w:r>
        <w:t>Any justifiable additional funding for enteral feeding</w:t>
      </w:r>
      <w:r w:rsidR="006B5343">
        <w:t xml:space="preserve">, identified as a result of a supplementary study, </w:t>
      </w:r>
      <w:r>
        <w:t>should also be calibrated to the NWAU value</w:t>
      </w:r>
      <w:r w:rsidR="006B5343">
        <w:t>. As with the oxygen supplement</w:t>
      </w:r>
      <w:r w:rsidR="00CD51DE">
        <w:t>,</w:t>
      </w:r>
      <w:r w:rsidR="006B5343">
        <w:t xml:space="preserve"> this </w:t>
      </w:r>
      <w:r w:rsidR="000735AE">
        <w:t>w</w:t>
      </w:r>
      <w:r w:rsidR="006B5343">
        <w:t>ould then be added</w:t>
      </w:r>
      <w:r>
        <w:t xml:space="preserve"> to the resident AN-ACC NWAU </w:t>
      </w:r>
      <w:r w:rsidR="006B5343">
        <w:t xml:space="preserve">for </w:t>
      </w:r>
      <w:r>
        <w:t>inc</w:t>
      </w:r>
      <w:r w:rsidR="006B5343">
        <w:t xml:space="preserve">lusion </w:t>
      </w:r>
      <w:r>
        <w:t xml:space="preserve">in the </w:t>
      </w:r>
      <w:r w:rsidR="006B5343">
        <w:t xml:space="preserve">AN-ACC </w:t>
      </w:r>
      <w:r w:rsidR="00254772">
        <w:t>variable payment</w:t>
      </w:r>
    </w:p>
    <w:p w:rsidR="003C01E0" w:rsidRDefault="00BF2F9F" w:rsidP="00AE4033">
      <w:pPr>
        <w:pStyle w:val="Normal-nospacing"/>
      </w:pPr>
      <w:r w:rsidRPr="00AE4033">
        <w:rPr>
          <w:rStyle w:val="Heading4Char"/>
        </w:rPr>
        <w:t>Veterans’ Supplement</w:t>
      </w:r>
      <w:r w:rsidR="00AE4033">
        <w:t xml:space="preserve">: </w:t>
      </w:r>
      <w:r w:rsidR="003C01E0">
        <w:t xml:space="preserve">This supplement of $7.08 per day is paid for veterans who have </w:t>
      </w:r>
      <w:r w:rsidR="003C01E0" w:rsidRPr="003C01E0">
        <w:t>a mental health condition which</w:t>
      </w:r>
      <w:r w:rsidR="003C01E0" w:rsidRPr="004B7D4B">
        <w:t xml:space="preserve"> </w:t>
      </w:r>
      <w:r w:rsidR="004B7D4B" w:rsidRPr="004B7D4B">
        <w:rPr>
          <w:rFonts w:ascii="Calibri" w:hAnsi="Calibri" w:cs="Calibri"/>
          <w:color w:val="000000"/>
        </w:rPr>
        <w:t>Department of Veterans’ Affairs</w:t>
      </w:r>
      <w:r w:rsidR="004B7D4B" w:rsidRPr="003C01E0">
        <w:t xml:space="preserve"> </w:t>
      </w:r>
      <w:r w:rsidR="004B7D4B">
        <w:t>(</w:t>
      </w:r>
      <w:r w:rsidR="003C01E0" w:rsidRPr="003C01E0">
        <w:t>DVA</w:t>
      </w:r>
      <w:r w:rsidR="004B7D4B">
        <w:t>)</w:t>
      </w:r>
      <w:r w:rsidR="003C01E0" w:rsidRPr="003C01E0">
        <w:t xml:space="preserve"> has determined is related to their service</w:t>
      </w:r>
      <w:r w:rsidR="00925E89">
        <w:t xml:space="preserve"> in the defence forces</w:t>
      </w:r>
      <w:r w:rsidR="003C01E0">
        <w:t>.</w:t>
      </w:r>
      <w:r w:rsidR="003C01E0" w:rsidRPr="003C01E0">
        <w:t xml:space="preserve"> </w:t>
      </w:r>
      <w:r w:rsidR="003C01E0">
        <w:t xml:space="preserve">This </w:t>
      </w:r>
      <w:r w:rsidR="00925E89">
        <w:t xml:space="preserve">supplement </w:t>
      </w:r>
      <w:r w:rsidR="003C01E0">
        <w:t xml:space="preserve">is in recognition of </w:t>
      </w:r>
      <w:r w:rsidR="006A3B18">
        <w:t>the increased cost of mental heal</w:t>
      </w:r>
      <w:r w:rsidR="00925E89">
        <w:t xml:space="preserve">th care and to ensure that their mental health </w:t>
      </w:r>
      <w:r w:rsidR="003C01E0" w:rsidRPr="003C01E0">
        <w:t>condition does not act as a barrier to accessing appropriate</w:t>
      </w:r>
      <w:r w:rsidR="00925E89">
        <w:t xml:space="preserve"> aged</w:t>
      </w:r>
      <w:r w:rsidR="003C01E0" w:rsidRPr="003C01E0">
        <w:t xml:space="preserve"> care.</w:t>
      </w:r>
    </w:p>
    <w:p w:rsidR="00A04ECC" w:rsidRDefault="00BF2F9F" w:rsidP="00AE4033">
      <w:pPr>
        <w:pStyle w:val="Normal-nospacing"/>
      </w:pPr>
      <w:r>
        <w:t xml:space="preserve">The RUCS did not capture </w:t>
      </w:r>
      <w:r w:rsidR="006A3B18">
        <w:t>data on</w:t>
      </w:r>
      <w:r w:rsidR="00A04ECC">
        <w:t xml:space="preserve"> </w:t>
      </w:r>
      <w:r w:rsidR="005A3299">
        <w:t xml:space="preserve">the </w:t>
      </w:r>
      <w:r w:rsidR="00A04ECC">
        <w:t xml:space="preserve">mental health </w:t>
      </w:r>
      <w:r w:rsidR="005A3299">
        <w:t>needs of veterans wi</w:t>
      </w:r>
      <w:r w:rsidR="00925E89">
        <w:t>thin residential facilities</w:t>
      </w:r>
      <w:r w:rsidR="00A04ECC">
        <w:t xml:space="preserve"> or</w:t>
      </w:r>
      <w:r w:rsidR="006A3B18">
        <w:t xml:space="preserve"> the care provided </w:t>
      </w:r>
      <w:r w:rsidR="00925E89">
        <w:t xml:space="preserve">specifically </w:t>
      </w:r>
      <w:r w:rsidR="006A3B18">
        <w:t>to veterans</w:t>
      </w:r>
      <w:r w:rsidR="00A04ECC">
        <w:t xml:space="preserve">. It is therefore proposed that grandparenting arrangements be introduced for current recipients in </w:t>
      </w:r>
      <w:r w:rsidR="00925E89">
        <w:t xml:space="preserve">the </w:t>
      </w:r>
      <w:r w:rsidR="00980AC3">
        <w:t>initial implementation</w:t>
      </w:r>
      <w:r w:rsidR="00254772">
        <w:t>.</w:t>
      </w:r>
    </w:p>
    <w:p w:rsidR="003C01E0" w:rsidRDefault="00A04ECC" w:rsidP="00AE4033">
      <w:pPr>
        <w:pStyle w:val="Normal-nospacing"/>
      </w:pPr>
      <w:r>
        <w:t>A</w:t>
      </w:r>
      <w:r w:rsidR="00BF2F9F">
        <w:t xml:space="preserve"> RUCS supplementary </w:t>
      </w:r>
      <w:r w:rsidR="00925E89">
        <w:t xml:space="preserve">study </w:t>
      </w:r>
      <w:r>
        <w:t xml:space="preserve">should be undertaken with a focus on mental health services and services provided to </w:t>
      </w:r>
      <w:r w:rsidR="00BF2F9F">
        <w:t>veterans</w:t>
      </w:r>
      <w:r>
        <w:t>. This study would identify any costs associated with mental health care for veterans and inform future decis</w:t>
      </w:r>
      <w:r w:rsidR="00254772">
        <w:t>ions regarding this supplement.</w:t>
      </w:r>
    </w:p>
    <w:p w:rsidR="00A04ECC" w:rsidRDefault="00AE4033" w:rsidP="00A04ECC">
      <w:pPr>
        <w:pStyle w:val="Normal-nospacing"/>
      </w:pPr>
      <w:r w:rsidRPr="00AE4033">
        <w:rPr>
          <w:rStyle w:val="Heading4Char"/>
        </w:rPr>
        <w:t>RCS payments for grandparented residents</w:t>
      </w:r>
      <w:r>
        <w:t xml:space="preserve">: </w:t>
      </w:r>
      <w:r w:rsidR="00A04ECC">
        <w:t xml:space="preserve">The continued payment of residential care subsidies </w:t>
      </w:r>
      <w:r w:rsidR="00A04ECC" w:rsidRPr="0036206F">
        <w:t>based on a Resident Classification System (RCS</w:t>
      </w:r>
      <w:r w:rsidR="00A04ECC">
        <w:t>) i</w:t>
      </w:r>
      <w:r w:rsidR="00114317">
        <w:t>nvolves</w:t>
      </w:r>
      <w:r w:rsidR="00A04ECC">
        <w:t xml:space="preserve"> only those residents who were in care p</w:t>
      </w:r>
      <w:r w:rsidR="00A04ECC" w:rsidRPr="0036206F">
        <w:t>rior to the introduction of the ACFI</w:t>
      </w:r>
      <w:r w:rsidR="00A04ECC">
        <w:t xml:space="preserve"> in 2008.</w:t>
      </w:r>
      <w:r w:rsidR="00A04ECC" w:rsidRPr="0036206F">
        <w:t xml:space="preserve"> With the transition to the ACFI, grandparenting arrangements were introduced whereby existing residents contin</w:t>
      </w:r>
      <w:r w:rsidR="00254772">
        <w:t>ued to be funded under the RCS.</w:t>
      </w:r>
    </w:p>
    <w:p w:rsidR="00C80870" w:rsidRDefault="00B91707" w:rsidP="00114317">
      <w:pPr>
        <w:pStyle w:val="Normal-nospacing"/>
      </w:pPr>
      <w:r>
        <w:t xml:space="preserve">It is </w:t>
      </w:r>
      <w:r w:rsidR="00A04ECC" w:rsidRPr="0036206F">
        <w:t xml:space="preserve">proposed </w:t>
      </w:r>
      <w:r>
        <w:t xml:space="preserve">that resident assessment, classification and subsidy payments </w:t>
      </w:r>
      <w:r w:rsidRPr="0036206F">
        <w:t xml:space="preserve">transition from the ACFI to the AN-ACC </w:t>
      </w:r>
      <w:r>
        <w:t xml:space="preserve">over a </w:t>
      </w:r>
      <w:r w:rsidR="00A04ECC" w:rsidRPr="0036206F">
        <w:t xml:space="preserve">two year </w:t>
      </w:r>
      <w:r>
        <w:t xml:space="preserve">period </w:t>
      </w:r>
      <w:r w:rsidR="00A04ECC" w:rsidRPr="0036206F">
        <w:t xml:space="preserve">(see Section </w:t>
      </w:r>
      <w:r w:rsidR="00925E89">
        <w:fldChar w:fldCharType="begin"/>
      </w:r>
      <w:r w:rsidR="00925E89">
        <w:instrText xml:space="preserve"> REF _Ref535238972 \r \h </w:instrText>
      </w:r>
      <w:r w:rsidR="00925E89">
        <w:fldChar w:fldCharType="separate"/>
      </w:r>
      <w:r w:rsidR="00847404">
        <w:t>6</w:t>
      </w:r>
      <w:r w:rsidR="00925E89">
        <w:fldChar w:fldCharType="end"/>
      </w:r>
      <w:r w:rsidR="00A04ECC" w:rsidRPr="0036206F">
        <w:t>)</w:t>
      </w:r>
      <w:r>
        <w:t>. To ensure that the bulk of care funding is transition</w:t>
      </w:r>
      <w:r w:rsidR="00114317">
        <w:t xml:space="preserve">ed to AN-ACC within the transition period, current residents should be reassessed using the AN-ACC assessment tool and assigned to an AN-ACC class as </w:t>
      </w:r>
      <w:r w:rsidR="00A04ECC">
        <w:t>the</w:t>
      </w:r>
      <w:r w:rsidR="00114317">
        <w:t>ir</w:t>
      </w:r>
      <w:r w:rsidR="00A04ECC">
        <w:t xml:space="preserve"> </w:t>
      </w:r>
      <w:r w:rsidR="00925E89">
        <w:t xml:space="preserve">care </w:t>
      </w:r>
      <w:r w:rsidR="00A04ECC">
        <w:t xml:space="preserve">needs </w:t>
      </w:r>
      <w:r w:rsidR="00114317">
        <w:t>change.</w:t>
      </w:r>
      <w:r w:rsidR="00A04ECC">
        <w:t xml:space="preserve">  Any resident still funded under the RCS </w:t>
      </w:r>
      <w:r w:rsidR="00114317">
        <w:t xml:space="preserve">after the two year transition period </w:t>
      </w:r>
      <w:r w:rsidR="00A04ECC">
        <w:t xml:space="preserve">should be reassessed and </w:t>
      </w:r>
      <w:r w:rsidR="00A04ECC" w:rsidRPr="0036206F">
        <w:t>funded under AN-ACC</w:t>
      </w:r>
      <w:r w:rsidR="00114317">
        <w:t xml:space="preserve"> and the</w:t>
      </w:r>
      <w:r w:rsidR="00925E89">
        <w:t>ir</w:t>
      </w:r>
      <w:r w:rsidR="00114317">
        <w:t xml:space="preserve"> RCS</w:t>
      </w:r>
      <w:r w:rsidR="00925E89">
        <w:t>-based</w:t>
      </w:r>
      <w:r w:rsidR="00114317">
        <w:t xml:space="preserve"> funding ceased.</w:t>
      </w:r>
    </w:p>
    <w:p w:rsidR="00C573AB" w:rsidRDefault="00980AC3" w:rsidP="00114317">
      <w:pPr>
        <w:pStyle w:val="Normal-nospacing"/>
      </w:pPr>
      <w:r w:rsidRPr="00980AC3">
        <w:rPr>
          <w:rStyle w:val="Heading4Char"/>
        </w:rPr>
        <w:t>Resident specific subsidy reductions</w:t>
      </w:r>
      <w:r>
        <w:t xml:space="preserve">: There are a number of subsidy reductions related to resident factors such as compensable status and means testing. The RUCS did not capture any specific cost data for residents that would inform changes to these subsidy reductions. It is proposed that these reductions be </w:t>
      </w:r>
      <w:r w:rsidR="00243C85">
        <w:t>retained in the initial implementation and reviewed in a supplementary costing study.</w:t>
      </w:r>
    </w:p>
    <w:p w:rsidR="009E04A8" w:rsidRDefault="009E04A8" w:rsidP="009E04A8">
      <w:pPr>
        <w:spacing w:after="200" w:line="276" w:lineRule="auto"/>
      </w:pPr>
      <w:r>
        <w:br w:type="page"/>
      </w:r>
    </w:p>
    <w:p w:rsidR="00BF2F9F" w:rsidRDefault="00D30C18" w:rsidP="00BF2F9F">
      <w:pPr>
        <w:pStyle w:val="Heading1"/>
      </w:pPr>
      <w:bookmarkStart w:id="57" w:name="_Ref535238972"/>
      <w:bookmarkStart w:id="58" w:name="_Toc2066831"/>
      <w:r>
        <w:lastRenderedPageBreak/>
        <w:t xml:space="preserve">AN-ACC </w:t>
      </w:r>
      <w:r w:rsidR="00BF2F9F">
        <w:t>Implementation</w:t>
      </w:r>
      <w:bookmarkEnd w:id="57"/>
      <w:bookmarkEnd w:id="58"/>
    </w:p>
    <w:p w:rsidR="005A3299" w:rsidRDefault="00332705" w:rsidP="00AE4033">
      <w:pPr>
        <w:pStyle w:val="Normal-nospacing"/>
      </w:pPr>
      <w:r>
        <w:t xml:space="preserve">The introduction of the AN-ACC represents very </w:t>
      </w:r>
      <w:r w:rsidR="008844F2">
        <w:t xml:space="preserve">real funding reform and </w:t>
      </w:r>
      <w:r>
        <w:t xml:space="preserve">significant change for the Australian aged care sector. This new approach will be associated not only with changes in the funding allocation for </w:t>
      </w:r>
      <w:r w:rsidR="00DE42F7">
        <w:t xml:space="preserve">care homes but with the introduction of </w:t>
      </w:r>
      <w:r w:rsidR="00402647">
        <w:t xml:space="preserve">new </w:t>
      </w:r>
      <w:r w:rsidR="00DE42F7">
        <w:t>terms and concepts</w:t>
      </w:r>
      <w:r w:rsidR="00402647">
        <w:t xml:space="preserve">. However </w:t>
      </w:r>
      <w:r w:rsidR="00DE42F7">
        <w:t xml:space="preserve">commonplace they are within health, </w:t>
      </w:r>
      <w:r w:rsidR="00402647">
        <w:t xml:space="preserve">these concepts are new and very different </w:t>
      </w:r>
      <w:r w:rsidR="00CD51DE">
        <w:t xml:space="preserve">to </w:t>
      </w:r>
      <w:r w:rsidR="00402647">
        <w:t>those</w:t>
      </w:r>
      <w:r w:rsidR="00DE42F7">
        <w:t xml:space="preserve"> </w:t>
      </w:r>
      <w:r w:rsidR="00402647">
        <w:t>currently used in</w:t>
      </w:r>
      <w:r w:rsidR="00254772">
        <w:t xml:space="preserve"> aged care.</w:t>
      </w:r>
    </w:p>
    <w:p w:rsidR="00DE42F7" w:rsidRDefault="00402647" w:rsidP="00AE4033">
      <w:pPr>
        <w:pStyle w:val="Normal-nospacing"/>
      </w:pPr>
      <w:r>
        <w:t xml:space="preserve">The </w:t>
      </w:r>
      <w:r w:rsidR="005A3299">
        <w:t xml:space="preserve">successful </w:t>
      </w:r>
      <w:r>
        <w:t xml:space="preserve">introduction of these reforms </w:t>
      </w:r>
      <w:r w:rsidR="00DE42F7">
        <w:t>will require</w:t>
      </w:r>
      <w:r>
        <w:t xml:space="preserve"> a </w:t>
      </w:r>
      <w:r w:rsidR="005A3299">
        <w:t xml:space="preserve">significant </w:t>
      </w:r>
      <w:r>
        <w:t>change management strategy including</w:t>
      </w:r>
      <w:r w:rsidR="00DE42F7">
        <w:t xml:space="preserve"> education</w:t>
      </w:r>
      <w:r>
        <w:t xml:space="preserve">, </w:t>
      </w:r>
      <w:r w:rsidR="00DE42F7">
        <w:t>clear communication and a transition</w:t>
      </w:r>
      <w:r w:rsidR="00CD51DE">
        <w:t xml:space="preserve"> plan</w:t>
      </w:r>
      <w:r w:rsidR="00254772">
        <w:t>.</w:t>
      </w:r>
    </w:p>
    <w:p w:rsidR="00BF2F9F" w:rsidRDefault="00DE42F7" w:rsidP="00AE4033">
      <w:pPr>
        <w:pStyle w:val="Normal-nospacing"/>
      </w:pPr>
      <w:r>
        <w:t xml:space="preserve">The implementation should commence with a single </w:t>
      </w:r>
      <w:r w:rsidR="00AE4033">
        <w:t xml:space="preserve">starting date </w:t>
      </w:r>
      <w:r>
        <w:t xml:space="preserve">across the system but with </w:t>
      </w:r>
      <w:r w:rsidR="008844F2">
        <w:t>progressive transition</w:t>
      </w:r>
      <w:r w:rsidR="00BF2F9F">
        <w:t xml:space="preserve"> </w:t>
      </w:r>
      <w:r w:rsidR="008844F2">
        <w:t>in terms</w:t>
      </w:r>
      <w:r w:rsidR="00254772">
        <w:t xml:space="preserve"> of the actual funding impact. </w:t>
      </w:r>
      <w:r w:rsidR="008844F2">
        <w:t xml:space="preserve">This gradual implementation </w:t>
      </w:r>
      <w:r w:rsidR="00320594">
        <w:t xml:space="preserve">is required to </w:t>
      </w:r>
      <w:r w:rsidR="008844F2">
        <w:t>address key concern</w:t>
      </w:r>
      <w:r w:rsidR="00320594">
        <w:t xml:space="preserve">s around </w:t>
      </w:r>
      <w:r w:rsidR="00402647">
        <w:t xml:space="preserve">funding </w:t>
      </w:r>
      <w:r w:rsidR="008844F2">
        <w:t>stability</w:t>
      </w:r>
      <w:r w:rsidR="00320594">
        <w:t xml:space="preserve">. There </w:t>
      </w:r>
      <w:r w:rsidR="00402647">
        <w:t xml:space="preserve">should </w:t>
      </w:r>
      <w:r w:rsidR="00320594">
        <w:t xml:space="preserve">be </w:t>
      </w:r>
      <w:r w:rsidR="008844F2">
        <w:t xml:space="preserve">‘no surprises’ </w:t>
      </w:r>
      <w:r w:rsidR="00402647">
        <w:t>during</w:t>
      </w:r>
      <w:r w:rsidR="008844F2">
        <w:t xml:space="preserve"> transition for </w:t>
      </w:r>
      <w:r w:rsidR="00320594">
        <w:t xml:space="preserve">either </w:t>
      </w:r>
      <w:r w:rsidR="008844F2">
        <w:t xml:space="preserve">the Commonwealth </w:t>
      </w:r>
      <w:r w:rsidR="00320594">
        <w:t xml:space="preserve">or </w:t>
      </w:r>
      <w:r w:rsidR="00721000">
        <w:t xml:space="preserve">for </w:t>
      </w:r>
      <w:r w:rsidR="00402647">
        <w:t>providers</w:t>
      </w:r>
      <w:r w:rsidR="00254772">
        <w:t>.</w:t>
      </w:r>
    </w:p>
    <w:p w:rsidR="00866E82" w:rsidRDefault="00CD51DE" w:rsidP="00DE42F7">
      <w:pPr>
        <w:pStyle w:val="Normal-nospacing"/>
      </w:pPr>
      <w:r>
        <w:t>The AN-ACC funding model does not, per se, determine the size of the residential aged care funding pool.  Rather, the Commonwealth determines the total system-level funding pool and</w:t>
      </w:r>
      <w:r w:rsidR="00254772">
        <w:t xml:space="preserve"> the price of an NWAU of 1.00.</w:t>
      </w:r>
    </w:p>
    <w:p w:rsidR="00DE42F7" w:rsidRDefault="00721000" w:rsidP="00866E82">
      <w:pPr>
        <w:pStyle w:val="Normal-nospacing"/>
      </w:pPr>
      <w:r>
        <w:t>However, i</w:t>
      </w:r>
      <w:r w:rsidR="00866E82">
        <w:t>r</w:t>
      </w:r>
      <w:r w:rsidR="00CD51DE">
        <w:t xml:space="preserve">respective of the size of the funding pool, there will inevitably </w:t>
      </w:r>
      <w:r w:rsidR="008844F2">
        <w:t xml:space="preserve">be a </w:t>
      </w:r>
      <w:r w:rsidR="00DE42F7">
        <w:t xml:space="preserve">redistribution of funding </w:t>
      </w:r>
      <w:r w:rsidR="008844F2">
        <w:t xml:space="preserve">with some increases and decreases across facilities. The recommended implementation program is that the </w:t>
      </w:r>
      <w:r w:rsidR="00BD2098">
        <w:t>transition to full AN-ACC funding occurs</w:t>
      </w:r>
      <w:r w:rsidR="008844F2">
        <w:t xml:space="preserve"> over a two year period with stop-loss protections in place to ensure that no facility experiences sudden loss of income</w:t>
      </w:r>
      <w:r w:rsidR="00402647">
        <w:t xml:space="preserve">. </w:t>
      </w:r>
      <w:r w:rsidR="008844F2">
        <w:t>At the end of this two year period, care homes will have a further six months to transition all remaining r</w:t>
      </w:r>
      <w:r w:rsidR="00254772">
        <w:t>esidents to the AN-ACC system.</w:t>
      </w:r>
    </w:p>
    <w:p w:rsidR="00DF749E" w:rsidRDefault="00462A0A" w:rsidP="00866E82">
      <w:pPr>
        <w:pStyle w:val="Normal-nospacing"/>
      </w:pPr>
      <w:r>
        <w:t xml:space="preserve">At the start of the two year period funding arrangements for all residents </w:t>
      </w:r>
      <w:r w:rsidR="00866E82">
        <w:t xml:space="preserve">(both ACFI and RCS funded) </w:t>
      </w:r>
      <w:r>
        <w:t xml:space="preserve">will be grandparented. From that date all new resident assessments and reassessments for funding will be conducted using the AN-ACC tool and AN-ACC funding will be allocated. This includes existing residents </w:t>
      </w:r>
      <w:r w:rsidR="00DF749E">
        <w:t>being reassessed and transitioned to AN-ACC funding as their care needs charge</w:t>
      </w:r>
      <w:r w:rsidR="00866E82">
        <w:t xml:space="preserve">. The important implication is that there would be </w:t>
      </w:r>
      <w:r>
        <w:t>no further ACFI assessments, reassessments, reporting or validation from the AN-</w:t>
      </w:r>
      <w:r w:rsidR="00254772">
        <w:t>ACC start date.</w:t>
      </w:r>
    </w:p>
    <w:p w:rsidR="00BF2F9F" w:rsidRDefault="00DF749E" w:rsidP="00866E82">
      <w:pPr>
        <w:pStyle w:val="Normal-nospacing"/>
      </w:pPr>
      <w:r>
        <w:t xml:space="preserve">This </w:t>
      </w:r>
      <w:r w:rsidR="00BF2F9F">
        <w:t>progressive</w:t>
      </w:r>
      <w:r>
        <w:t xml:space="preserve"> introduction means that at the</w:t>
      </w:r>
      <w:r w:rsidR="00BF2F9F">
        <w:t xml:space="preserve"> </w:t>
      </w:r>
      <w:r>
        <w:t xml:space="preserve">end of the two year period there should be very few residents to be reassessed for funding under the AN-ACC in the additional six month </w:t>
      </w:r>
      <w:r w:rsidR="00402647">
        <w:t xml:space="preserve">transition </w:t>
      </w:r>
      <w:r w:rsidR="00254772">
        <w:t>period.</w:t>
      </w:r>
    </w:p>
    <w:p w:rsidR="00D30C18" w:rsidRDefault="00DF749E" w:rsidP="00D30C18">
      <w:pPr>
        <w:pStyle w:val="Heading2"/>
      </w:pPr>
      <w:bookmarkStart w:id="59" w:name="_Toc2066832"/>
      <w:r>
        <w:t>Implications for the s</w:t>
      </w:r>
      <w:r w:rsidR="00D30C18">
        <w:t>ector</w:t>
      </w:r>
      <w:bookmarkEnd w:id="59"/>
    </w:p>
    <w:p w:rsidR="003E4554" w:rsidRDefault="003E4554" w:rsidP="003E4554">
      <w:pPr>
        <w:pStyle w:val="Heading4"/>
      </w:pPr>
      <w:r>
        <w:t>Fixed care and variable payments</w:t>
      </w:r>
    </w:p>
    <w:p w:rsidR="003E4554" w:rsidRPr="003E4554" w:rsidRDefault="00871BA5" w:rsidP="003E4554">
      <w:r>
        <w:t>The blended funding model</w:t>
      </w:r>
      <w:r w:rsidR="00402647">
        <w:t>,</w:t>
      </w:r>
      <w:r>
        <w:t xml:space="preserve"> which pays at a fixed rate for shared care and care management costs and at a variable level based on resident care needs</w:t>
      </w:r>
      <w:r w:rsidR="00402647">
        <w:t>,</w:t>
      </w:r>
      <w:r>
        <w:t xml:space="preserve"> will provide more certainty and stability for facilities. This is particularly important for small remote facilities with variable occupancy where the fixed care payment is recommended to be on the basis of bed capacity rather than occupancy.</w:t>
      </w:r>
    </w:p>
    <w:p w:rsidR="00B13176" w:rsidRDefault="00B13176" w:rsidP="00B13176">
      <w:pPr>
        <w:pStyle w:val="Heading4"/>
      </w:pPr>
      <w:r>
        <w:lastRenderedPageBreak/>
        <w:t>Stop-loss thresholds and transition payments</w:t>
      </w:r>
    </w:p>
    <w:p w:rsidR="00871BA5" w:rsidRDefault="00871BA5" w:rsidP="00871BA5">
      <w:pPr>
        <w:spacing w:before="240"/>
      </w:pPr>
      <w:r>
        <w:t>As noted above, no home should experience the sudden loss of significant income as the result of the new funding model. To ensure that this is the case both gradual transition and stop-loss measures are recommended.</w:t>
      </w:r>
    </w:p>
    <w:p w:rsidR="00B13176" w:rsidRDefault="00B13176" w:rsidP="00B13176">
      <w:pPr>
        <w:pStyle w:val="Normal-nospacing"/>
      </w:pPr>
      <w:r>
        <w:t xml:space="preserve">The gradual transition to full AN-ACC funding will occur over a two year period with the new funding allocation only relating to new residents arriving after the implementation start date or on the basis of reassessment as care needs change. This allows the facility to </w:t>
      </w:r>
      <w:r w:rsidR="008B4CCA">
        <w:t>understand the funding impact without</w:t>
      </w:r>
      <w:r w:rsidR="00553726">
        <w:t xml:space="preserve"> experiencing</w:t>
      </w:r>
      <w:r w:rsidR="008B4CCA">
        <w:t xml:space="preserve"> the full effect of the changes</w:t>
      </w:r>
      <w:r w:rsidR="00E55B21">
        <w:t xml:space="preserve"> immediately. If the funding level is to</w:t>
      </w:r>
      <w:r w:rsidR="008B4CCA">
        <w:t xml:space="preserve"> be reduced under the new model</w:t>
      </w:r>
      <w:r w:rsidR="00866E82">
        <w:t>,</w:t>
      </w:r>
      <w:r w:rsidR="008B4CCA">
        <w:t xml:space="preserve"> the facility will be able to use this time to make the </w:t>
      </w:r>
      <w:r>
        <w:t>necessary adjustments</w:t>
      </w:r>
      <w:r w:rsidR="008B4CCA">
        <w:t xml:space="preserve">. The supplements that are currently in place will also be retained during this period and only modified or removed based on </w:t>
      </w:r>
      <w:r w:rsidR="00E55B21">
        <w:t xml:space="preserve">new cost </w:t>
      </w:r>
      <w:r w:rsidR="008B4CCA">
        <w:t>evidence.</w:t>
      </w:r>
    </w:p>
    <w:p w:rsidR="008B4CCA" w:rsidRDefault="008B4CCA" w:rsidP="00866E82">
      <w:pPr>
        <w:pStyle w:val="Normal-nospacing"/>
      </w:pPr>
      <w:r>
        <w:t xml:space="preserve">The stop-loss mechanism </w:t>
      </w:r>
      <w:r w:rsidR="00E55B21">
        <w:t>is an additional safeguard</w:t>
      </w:r>
      <w:r>
        <w:t xml:space="preserve"> to ensure that any significant reduction in funding as a result of the AN-ACC model will be experienced gradually giving</w:t>
      </w:r>
      <w:r w:rsidR="00254772">
        <w:t xml:space="preserve"> the homes some time to adjust.</w:t>
      </w:r>
    </w:p>
    <w:p w:rsidR="00B13176" w:rsidRDefault="00B13176" w:rsidP="00866E82">
      <w:pPr>
        <w:pStyle w:val="Normal-nospacing"/>
      </w:pPr>
      <w:r>
        <w:t xml:space="preserve">The stop-loss threshold </w:t>
      </w:r>
      <w:r w:rsidR="00E55B21">
        <w:t>should</w:t>
      </w:r>
      <w:r>
        <w:t xml:space="preserve"> be 5%. Any income reduction less than this will be carried by the home. Any loss greater than 5% will make a home eligible for a transition payment up to the 95% threshold for </w:t>
      </w:r>
      <w:r w:rsidR="008B4CCA">
        <w:t>the two year</w:t>
      </w:r>
      <w:r>
        <w:t xml:space="preserve"> </w:t>
      </w:r>
      <w:r w:rsidR="008B4CCA">
        <w:t xml:space="preserve">transition </w:t>
      </w:r>
      <w:r>
        <w:t>period</w:t>
      </w:r>
      <w:r w:rsidR="008B4CCA">
        <w:t>.</w:t>
      </w:r>
    </w:p>
    <w:p w:rsidR="00B13176" w:rsidRDefault="00B13176" w:rsidP="00866E82">
      <w:pPr>
        <w:pStyle w:val="Normal-nospacing"/>
      </w:pPr>
      <w:r>
        <w:t xml:space="preserve">This threshold applies at the level of the home as a whole rather than the individual resident.  Every home will have some residents who </w:t>
      </w:r>
      <w:r w:rsidR="00E55B21">
        <w:t>attract</w:t>
      </w:r>
      <w:r>
        <w:t xml:space="preserve"> more </w:t>
      </w:r>
      <w:r w:rsidR="00E55B21">
        <w:t xml:space="preserve">funding </w:t>
      </w:r>
      <w:r>
        <w:t>under</w:t>
      </w:r>
      <w:r w:rsidR="00E55B21">
        <w:t xml:space="preserve"> AN-ACC than ACFI and others who would attract less</w:t>
      </w:r>
      <w:r>
        <w:t>.  The transition payment strategy applies only to homes where the net effect is ne</w:t>
      </w:r>
      <w:r w:rsidR="00254772">
        <w:t>gative for the home as a whole.</w:t>
      </w:r>
    </w:p>
    <w:p w:rsidR="00B13176" w:rsidRDefault="00B13176" w:rsidP="00866E82">
      <w:pPr>
        <w:pStyle w:val="Normal-nospacing"/>
      </w:pPr>
      <w:r>
        <w:t>Given that implementation of AN-ACC will be incremental, homes cannot apply for a trans</w:t>
      </w:r>
      <w:r w:rsidR="00E55B21">
        <w:t>ition payment until</w:t>
      </w:r>
      <w:r>
        <w:t xml:space="preserve"> at least 25% of their residents have transitioned to AN-ACC funding</w:t>
      </w:r>
      <w:r w:rsidR="00E55B21">
        <w:t>.</w:t>
      </w:r>
    </w:p>
    <w:p w:rsidR="00B13176" w:rsidRDefault="008B4CCA" w:rsidP="00866E82">
      <w:pPr>
        <w:pStyle w:val="Normal-nospacing"/>
      </w:pPr>
      <w:r>
        <w:t xml:space="preserve">It will also be the case that many facilities will be allocated a higher level </w:t>
      </w:r>
      <w:r w:rsidR="00E55B21">
        <w:t xml:space="preserve">of total </w:t>
      </w:r>
      <w:r>
        <w:t xml:space="preserve">funding under the AN-ACC model. These facilities will </w:t>
      </w:r>
      <w:r w:rsidR="003E4554">
        <w:t xml:space="preserve">receive the </w:t>
      </w:r>
      <w:r>
        <w:t xml:space="preserve">AN-ACC based funding allocation </w:t>
      </w:r>
      <w:r w:rsidR="003E4554">
        <w:t xml:space="preserve">for new residents from the implementation start date and as </w:t>
      </w:r>
      <w:r w:rsidR="00871BA5">
        <w:t xml:space="preserve">existing </w:t>
      </w:r>
      <w:r w:rsidR="003E4554">
        <w:t>residents are reassessed</w:t>
      </w:r>
      <w:r w:rsidR="00E55B21">
        <w:t>.</w:t>
      </w:r>
      <w:r w:rsidR="003E4554">
        <w:t xml:space="preserve"> </w:t>
      </w:r>
      <w:r w:rsidR="00E55B21">
        <w:t>N</w:t>
      </w:r>
      <w:r w:rsidR="003E4554">
        <w:t xml:space="preserve">o facility level funding adjustments will be </w:t>
      </w:r>
      <w:r w:rsidR="00931091">
        <w:t>made</w:t>
      </w:r>
      <w:r w:rsidR="00E55B21">
        <w:t xml:space="preserve"> for these facilities and they will retain</w:t>
      </w:r>
      <w:r w:rsidR="003E4554">
        <w:t xml:space="preserve"> </w:t>
      </w:r>
      <w:r w:rsidR="00E55B21">
        <w:t xml:space="preserve">the full value </w:t>
      </w:r>
      <w:r w:rsidR="00931091">
        <w:t xml:space="preserve">of </w:t>
      </w:r>
      <w:r w:rsidR="00E55B21">
        <w:t>increases due to AN-ACC funding.</w:t>
      </w:r>
    </w:p>
    <w:p w:rsidR="003E4554" w:rsidRDefault="003E4554" w:rsidP="003E4554">
      <w:pPr>
        <w:pStyle w:val="Heading4"/>
      </w:pPr>
      <w:r>
        <w:t xml:space="preserve">Care planning assessments </w:t>
      </w:r>
    </w:p>
    <w:p w:rsidR="00C42C06" w:rsidRDefault="00D30C18" w:rsidP="00D30C18">
      <w:pPr>
        <w:spacing w:before="240"/>
      </w:pPr>
      <w:r>
        <w:t xml:space="preserve">Although </w:t>
      </w:r>
      <w:r w:rsidR="00B13176">
        <w:t xml:space="preserve">AN-ACC </w:t>
      </w:r>
      <w:r>
        <w:t xml:space="preserve">assessments for funding will be undertaken by clinicians </w:t>
      </w:r>
      <w:r w:rsidR="00866E82">
        <w:t>who</w:t>
      </w:r>
      <w:r>
        <w:t xml:space="preserve"> are external to the facility, detailed assessments </w:t>
      </w:r>
      <w:r w:rsidR="00B13176">
        <w:t xml:space="preserve">for care planning remain the responsibility of the residential aged care facility. </w:t>
      </w:r>
      <w:r w:rsidR="003E4554">
        <w:t xml:space="preserve">Savings that may be realised by facilities no longer undertaking internal </w:t>
      </w:r>
      <w:r w:rsidR="003E4554" w:rsidRPr="003E4554">
        <w:t xml:space="preserve">ACFI assessments should be </w:t>
      </w:r>
      <w:r w:rsidR="00931091">
        <w:t>re</w:t>
      </w:r>
      <w:r w:rsidR="003E4554" w:rsidRPr="003E4554">
        <w:t xml:space="preserve">directed towards improvements in </w:t>
      </w:r>
      <w:r w:rsidR="00721000">
        <w:t>individualised</w:t>
      </w:r>
      <w:r w:rsidR="003E4554" w:rsidRPr="003E4554">
        <w:t xml:space="preserve"> care planning that involves best practice needs identification and consumer choice.</w:t>
      </w:r>
    </w:p>
    <w:p w:rsidR="00BF2F9F" w:rsidRDefault="00421591" w:rsidP="00421591">
      <w:pPr>
        <w:pStyle w:val="Heading2"/>
      </w:pPr>
      <w:bookmarkStart w:id="60" w:name="_Toc2066833"/>
      <w:r>
        <w:t xml:space="preserve">Implications for </w:t>
      </w:r>
      <w:r w:rsidR="00BF2F9F">
        <w:t>government</w:t>
      </w:r>
      <w:bookmarkEnd w:id="60"/>
    </w:p>
    <w:p w:rsidR="00866E82" w:rsidRDefault="009C66BD" w:rsidP="003B0AAF">
      <w:pPr>
        <w:pStyle w:val="Normal-nospacing"/>
      </w:pPr>
      <w:r>
        <w:t>T</w:t>
      </w:r>
      <w:r w:rsidR="00871BA5">
        <w:t xml:space="preserve">he AN-ACC </w:t>
      </w:r>
      <w:r>
        <w:t xml:space="preserve">funding </w:t>
      </w:r>
      <w:r w:rsidR="00871BA5">
        <w:t xml:space="preserve">model </w:t>
      </w:r>
      <w:r>
        <w:t xml:space="preserve">is designed as a funding distribution model which applies price weightings (NWAU) </w:t>
      </w:r>
      <w:r w:rsidR="00931091">
        <w:t xml:space="preserve">to </w:t>
      </w:r>
      <w:r>
        <w:t xml:space="preserve">different types of facilities and residents. </w:t>
      </w:r>
      <w:r w:rsidR="00B0715E">
        <w:t xml:space="preserve">It does not determine the price that the Commonwealth pays. The price is a policy decision for government. The government could decide to </w:t>
      </w:r>
      <w:r>
        <w:t>implement</w:t>
      </w:r>
      <w:r w:rsidR="00B0715E">
        <w:t xml:space="preserve"> the AN-ACC funding system so that it is </w:t>
      </w:r>
      <w:r>
        <w:t xml:space="preserve">cost neutral </w:t>
      </w:r>
      <w:r w:rsidR="00B0715E">
        <w:lastRenderedPageBreak/>
        <w:t>at the system level. Likewise, the government could use the AN-ACC to distribute a growth budget</w:t>
      </w:r>
      <w:r w:rsidR="00931091">
        <w:t>.</w:t>
      </w:r>
    </w:p>
    <w:p w:rsidR="00BF2F9F" w:rsidRDefault="00B0715E" w:rsidP="003B0AAF">
      <w:pPr>
        <w:pStyle w:val="Normal-nospacing"/>
      </w:pPr>
      <w:r>
        <w:t>Either way</w:t>
      </w:r>
      <w:r w:rsidR="009C66BD">
        <w:t xml:space="preserve">, </w:t>
      </w:r>
      <w:r>
        <w:t xml:space="preserve">this is </w:t>
      </w:r>
      <w:r w:rsidR="009C66BD">
        <w:t>a</w:t>
      </w:r>
      <w:r w:rsidR="00BF2F9F">
        <w:t xml:space="preserve"> significant reform process for government</w:t>
      </w:r>
      <w:r w:rsidR="009C66BD">
        <w:t xml:space="preserve"> which </w:t>
      </w:r>
      <w:r w:rsidR="00BF2F9F">
        <w:t xml:space="preserve">will require upfront </w:t>
      </w:r>
      <w:r w:rsidR="009C66BD">
        <w:t>investments</w:t>
      </w:r>
      <w:r w:rsidR="00BF2F9F">
        <w:t xml:space="preserve"> to </w:t>
      </w:r>
      <w:r w:rsidR="009C66BD">
        <w:t>introduce changes in the information systems,</w:t>
      </w:r>
      <w:r w:rsidR="00BF2F9F">
        <w:t xml:space="preserve"> payment processes, policies and, potentially, legislation</w:t>
      </w:r>
      <w:r w:rsidR="009C66BD">
        <w:t>. There will</w:t>
      </w:r>
      <w:r w:rsidR="00931091">
        <w:t xml:space="preserve"> </w:t>
      </w:r>
      <w:r w:rsidR="003471B4">
        <w:t xml:space="preserve">be some opportunities to offset some of these costs through the system efficiencies of the AN-ACC model. An example of this is that the </w:t>
      </w:r>
      <w:r w:rsidR="00931091">
        <w:t xml:space="preserve">new </w:t>
      </w:r>
      <w:r w:rsidR="003471B4">
        <w:t>costs of operating the</w:t>
      </w:r>
      <w:r w:rsidR="00BF2F9F">
        <w:t xml:space="preserve"> </w:t>
      </w:r>
      <w:r w:rsidR="00931091">
        <w:t xml:space="preserve">AN-ACC </w:t>
      </w:r>
      <w:r w:rsidR="00BF2F9F">
        <w:t xml:space="preserve">assessment workforce </w:t>
      </w:r>
      <w:r w:rsidR="003471B4">
        <w:t xml:space="preserve">should </w:t>
      </w:r>
      <w:r w:rsidR="00BF2F9F">
        <w:t>be offset by r</w:t>
      </w:r>
      <w:r w:rsidR="00931091">
        <w:t xml:space="preserve">educed government investment in audit and </w:t>
      </w:r>
      <w:r w:rsidR="005A1C87">
        <w:t>compliance</w:t>
      </w:r>
      <w:r w:rsidR="00BF2F9F">
        <w:t xml:space="preserve"> functions</w:t>
      </w:r>
      <w:r w:rsidR="003471B4">
        <w:t>.</w:t>
      </w:r>
    </w:p>
    <w:p w:rsidR="003471B4" w:rsidRDefault="003471B4" w:rsidP="003471B4">
      <w:pPr>
        <w:pStyle w:val="Normal-nospacing"/>
      </w:pPr>
      <w:r>
        <w:t xml:space="preserve">The gradual transition process will also enable the government to make the necessary adjustments to the model over the first two years. Although the stop loss payments will increase the </w:t>
      </w:r>
      <w:r w:rsidR="006065DA">
        <w:t>cost</w:t>
      </w:r>
      <w:r w:rsidR="00931091">
        <w:t xml:space="preserve"> of </w:t>
      </w:r>
      <w:r>
        <w:t xml:space="preserve">funding </w:t>
      </w:r>
      <w:r w:rsidR="00931091">
        <w:t>in the short term, t</w:t>
      </w:r>
      <w:r w:rsidR="006065DA">
        <w:t xml:space="preserve">he </w:t>
      </w:r>
      <w:r w:rsidR="00931091">
        <w:t>impact</w:t>
      </w:r>
      <w:r>
        <w:t xml:space="preserve"> </w:t>
      </w:r>
      <w:r w:rsidR="00931091">
        <w:t xml:space="preserve">will </w:t>
      </w:r>
      <w:r w:rsidR="006065DA">
        <w:t>lessened</w:t>
      </w:r>
      <w:r>
        <w:t xml:space="preserve"> by </w:t>
      </w:r>
      <w:r w:rsidR="006065DA">
        <w:t>the gradual funding transition, particularly where facilities would be entitled to higher subsidies under the AN-ACC</w:t>
      </w:r>
      <w:r>
        <w:t>.</w:t>
      </w:r>
    </w:p>
    <w:p w:rsidR="00BF2F9F" w:rsidRDefault="003471B4" w:rsidP="003B0AAF">
      <w:pPr>
        <w:pStyle w:val="Normal-nospacing"/>
      </w:pPr>
      <w:r>
        <w:t>There is likely to be little or no impact for the jurisdictions as a result of the introduction of the external assessment model. The role of the</w:t>
      </w:r>
      <w:r w:rsidR="00BF2F9F">
        <w:t xml:space="preserve"> ACAT program </w:t>
      </w:r>
      <w:r w:rsidR="006065DA">
        <w:t xml:space="preserve">is </w:t>
      </w:r>
      <w:r w:rsidR="00BF2F9F">
        <w:t xml:space="preserve">likely to be unchanged </w:t>
      </w:r>
      <w:r>
        <w:t xml:space="preserve">as they may </w:t>
      </w:r>
      <w:r w:rsidR="00BF2F9F">
        <w:t xml:space="preserve">still retain role of ‘gatekeeper’ to aged care across </w:t>
      </w:r>
      <w:r>
        <w:t xml:space="preserve">the </w:t>
      </w:r>
      <w:r w:rsidR="00BF2F9F">
        <w:t>community and residential</w:t>
      </w:r>
      <w:r>
        <w:t xml:space="preserve"> services.</w:t>
      </w:r>
    </w:p>
    <w:p w:rsidR="00BF2F9F" w:rsidRDefault="006E71C7" w:rsidP="00A140E5">
      <w:pPr>
        <w:pStyle w:val="Heading4"/>
      </w:pPr>
      <w:r>
        <w:t>Annual costing studies to inform</w:t>
      </w:r>
      <w:r w:rsidR="00BF2F9F">
        <w:t xml:space="preserve"> price</w:t>
      </w:r>
    </w:p>
    <w:p w:rsidR="00514AE4" w:rsidRDefault="00514AE4" w:rsidP="003471B4">
      <w:pPr>
        <w:pStyle w:val="Normal-nospacing"/>
      </w:pPr>
      <w:r>
        <w:t xml:space="preserve">Government subsidies for residential aged care are a policy decision of government. Under the proposed new funding model, the government makes an annual determination about the funding price </w:t>
      </w:r>
      <w:r w:rsidRPr="008C154D">
        <w:t xml:space="preserve">determined </w:t>
      </w:r>
      <w:r>
        <w:t>based</w:t>
      </w:r>
      <w:r w:rsidRPr="008C154D">
        <w:t xml:space="preserve"> </w:t>
      </w:r>
      <w:r>
        <w:t>on</w:t>
      </w:r>
      <w:r w:rsidRPr="008C154D">
        <w:t xml:space="preserve"> a costing study</w:t>
      </w:r>
      <w:r>
        <w:t>. This price would be standard across fixed care and individualised components</w:t>
      </w:r>
      <w:r w:rsidRPr="00514AE4">
        <w:t xml:space="preserve"> </w:t>
      </w:r>
      <w:r>
        <w:t xml:space="preserve">of the funding model and the adjustment payment. For </w:t>
      </w:r>
      <w:r w:rsidR="00866E82">
        <w:t xml:space="preserve">funding </w:t>
      </w:r>
      <w:r>
        <w:t xml:space="preserve">allocation </w:t>
      </w:r>
      <w:r w:rsidR="00866E82">
        <w:t xml:space="preserve">purposes, </w:t>
      </w:r>
      <w:r>
        <w:t xml:space="preserve">this price </w:t>
      </w:r>
      <w:r w:rsidR="00866E82">
        <w:t xml:space="preserve">is </w:t>
      </w:r>
      <w:r>
        <w:t>the value of an NWAU of 1.00</w:t>
      </w:r>
      <w:r w:rsidRPr="00514AE4">
        <w:t>.</w:t>
      </w:r>
    </w:p>
    <w:p w:rsidR="00A140E5" w:rsidRDefault="00A140E5" w:rsidP="00A140E5">
      <w:pPr>
        <w:pStyle w:val="Normal-nospacing"/>
      </w:pPr>
      <w:r w:rsidRPr="00A140E5">
        <w:t>This model is based on the precedent established by the national hospital funding model. In this model, there is an explicit relationship between cost and price and the price is set based on a program of annual costing studies. In the hospital context the price is termed the ‘National Efficient Price’ and the results of the costing study in one year are used to inform the price and the NWAU</w:t>
      </w:r>
      <w:r w:rsidR="006065DA">
        <w:t>s for different types of care</w:t>
      </w:r>
      <w:r w:rsidRPr="00A140E5">
        <w:t xml:space="preserve"> in the following year.</w:t>
      </w:r>
    </w:p>
    <w:p w:rsidR="00BF2F9F" w:rsidRDefault="00D236EE" w:rsidP="003B0AAF">
      <w:pPr>
        <w:pStyle w:val="Normal-nospacing"/>
      </w:pPr>
      <w:r>
        <w:t>In t</w:t>
      </w:r>
      <w:r w:rsidR="00514AE4">
        <w:t>h</w:t>
      </w:r>
      <w:r w:rsidR="003471B4" w:rsidRPr="008C154D">
        <w:t>e</w:t>
      </w:r>
      <w:r w:rsidR="00514AE4">
        <w:t xml:space="preserve"> </w:t>
      </w:r>
      <w:r>
        <w:t xml:space="preserve">annual </w:t>
      </w:r>
      <w:r w:rsidR="00514AE4">
        <w:t xml:space="preserve">costing study </w:t>
      </w:r>
      <w:r>
        <w:t>for residential aged care</w:t>
      </w:r>
      <w:r w:rsidR="00866E82">
        <w:t>,</w:t>
      </w:r>
      <w:r>
        <w:t xml:space="preserve"> </w:t>
      </w:r>
      <w:r w:rsidR="00514AE4">
        <w:t xml:space="preserve">the </w:t>
      </w:r>
      <w:r w:rsidR="00A140E5">
        <w:t>proportion</w:t>
      </w:r>
      <w:r w:rsidR="003471B4" w:rsidRPr="008C154D">
        <w:t xml:space="preserve"> of costs that relate to services provided to all residents</w:t>
      </w:r>
      <w:r w:rsidR="00A140E5">
        <w:t xml:space="preserve"> (fixed care)</w:t>
      </w:r>
      <w:r w:rsidR="003471B4" w:rsidRPr="008C154D">
        <w:t xml:space="preserve"> versus the relative costs of care provided to residents in different care need groupings</w:t>
      </w:r>
      <w:r w:rsidR="00A140E5">
        <w:t xml:space="preserve"> (individualised care)</w:t>
      </w:r>
      <w:r w:rsidR="003471B4" w:rsidRPr="008C154D">
        <w:t xml:space="preserve"> would be identified.</w:t>
      </w:r>
      <w:r w:rsidR="00514AE4">
        <w:t xml:space="preserve"> </w:t>
      </w:r>
      <w:r>
        <w:t>Whereas for hospital services the Independent Hospital Pricing Authority (IHPA) set</w:t>
      </w:r>
      <w:r w:rsidR="00866E82">
        <w:t>s</w:t>
      </w:r>
      <w:r>
        <w:t xml:space="preserve"> the price equal to the ‘efficient cost’, in the aged </w:t>
      </w:r>
      <w:r w:rsidR="00866E82">
        <w:t>c</w:t>
      </w:r>
      <w:r>
        <w:t>are sector the price should be informed by cost but also include a reasonable return on investment.</w:t>
      </w:r>
    </w:p>
    <w:p w:rsidR="00BF2F9F" w:rsidRDefault="00BF2F9F" w:rsidP="003B0AAF">
      <w:pPr>
        <w:pStyle w:val="Normal-nospacing"/>
      </w:pPr>
      <w:r>
        <w:t xml:space="preserve">If this approach is adopted, the </w:t>
      </w:r>
      <w:r w:rsidR="00866E82">
        <w:t xml:space="preserve">Department of Health or the </w:t>
      </w:r>
      <w:r>
        <w:t xml:space="preserve">IHPA could be tasked with undertaking a national costing study each year with the Commonwealth using those results to inform the </w:t>
      </w:r>
      <w:r w:rsidR="00D236EE">
        <w:t xml:space="preserve">residential aged care price for the </w:t>
      </w:r>
      <w:r>
        <w:t>following year.</w:t>
      </w:r>
      <w:r w:rsidR="00B97A4F">
        <w:t xml:space="preserve"> This concept of cost informing price also delivers a system that is self-regulating and creates minimal incentives for gaming.</w:t>
      </w:r>
      <w:r w:rsidR="00B90D70">
        <w:t xml:space="preserve"> (i.e.</w:t>
      </w:r>
      <w:r w:rsidR="00B97A4F">
        <w:t xml:space="preserve"> </w:t>
      </w:r>
      <w:r w:rsidR="00866E82">
        <w:t>i</w:t>
      </w:r>
      <w:r w:rsidR="00B97A4F">
        <w:t>f residents are assessed as being in a high paying AN-ACC class but do not receive high cost care</w:t>
      </w:r>
      <w:r w:rsidR="00B90D70">
        <w:t>,</w:t>
      </w:r>
      <w:r w:rsidR="00B97A4F">
        <w:t xml:space="preserve"> the average cost of the high paying class, </w:t>
      </w:r>
      <w:r w:rsidR="00B90D70">
        <w:t>hence</w:t>
      </w:r>
      <w:r w:rsidR="00B97A4F">
        <w:t xml:space="preserve"> the future payment, </w:t>
      </w:r>
      <w:r w:rsidR="00B90D70">
        <w:t>may be</w:t>
      </w:r>
      <w:r w:rsidR="00B97A4F">
        <w:t xml:space="preserve"> reduced.</w:t>
      </w:r>
      <w:r w:rsidR="00B90D70">
        <w:t>)</w:t>
      </w:r>
    </w:p>
    <w:p w:rsidR="00D323E6" w:rsidRDefault="00D323E6" w:rsidP="00A140E5">
      <w:pPr>
        <w:pStyle w:val="Heading4"/>
      </w:pPr>
      <w:r>
        <w:lastRenderedPageBreak/>
        <w:t>Assessment workforce</w:t>
      </w:r>
    </w:p>
    <w:p w:rsidR="00DE0F02" w:rsidRDefault="00DE0F02" w:rsidP="003B0AAF">
      <w:pPr>
        <w:pStyle w:val="Normal-nospacing"/>
      </w:pPr>
      <w:r>
        <w:t>The</w:t>
      </w:r>
      <w:r w:rsidR="00465935">
        <w:t xml:space="preserve"> AN-ACC</w:t>
      </w:r>
      <w:r>
        <w:t xml:space="preserve"> model involves</w:t>
      </w:r>
      <w:r w:rsidR="00BF2F9F">
        <w:t xml:space="preserve"> the development of a workforce of accredited assessors </w:t>
      </w:r>
      <w:r w:rsidR="00EC5C11">
        <w:t>who</w:t>
      </w:r>
      <w:r w:rsidR="00BF2F9F">
        <w:t xml:space="preserve"> are external to the aged care homes. </w:t>
      </w:r>
      <w:r>
        <w:t>This requires an AN-ACC assessment workforce model and strategy which include</w:t>
      </w:r>
      <w:r w:rsidR="00EC5C11">
        <w:t xml:space="preserve">s </w:t>
      </w:r>
      <w:r w:rsidR="005A1C87">
        <w:t>systems for recruitment, training</w:t>
      </w:r>
      <w:r w:rsidR="00465935">
        <w:t>,</w:t>
      </w:r>
      <w:r w:rsidR="005A1C87">
        <w:t xml:space="preserve"> credentialing and ongoing professional support. The AN-ACC workforce requirements are </w:t>
      </w:r>
      <w:r w:rsidR="00EC5C11">
        <w:t xml:space="preserve">discussed </w:t>
      </w:r>
      <w:r w:rsidR="005A1C87">
        <w:t xml:space="preserve">in </w:t>
      </w:r>
      <w:r w:rsidR="00866E82">
        <w:t>R</w:t>
      </w:r>
      <w:r w:rsidR="005A1C87">
        <w:t>eport</w:t>
      </w:r>
      <w:r w:rsidR="00866E82">
        <w:t xml:space="preserve"> </w:t>
      </w:r>
      <w:r w:rsidR="00A14DBB">
        <w:t>2</w:t>
      </w:r>
      <w:r w:rsidR="005A1C87">
        <w:t>.</w:t>
      </w:r>
    </w:p>
    <w:p w:rsidR="00D323E6" w:rsidRDefault="00D323E6" w:rsidP="00A140E5">
      <w:pPr>
        <w:pStyle w:val="Heading4"/>
      </w:pPr>
      <w:r>
        <w:t>Information technology</w:t>
      </w:r>
    </w:p>
    <w:p w:rsidR="005A1C87" w:rsidRDefault="005A1C87" w:rsidP="005A1C87">
      <w:pPr>
        <w:pStyle w:val="Normal-nospacing"/>
      </w:pPr>
      <w:r>
        <w:t xml:space="preserve">The </w:t>
      </w:r>
      <w:r w:rsidR="00866E82">
        <w:t xml:space="preserve">IT system to support the AN-ACC funding system needs </w:t>
      </w:r>
      <w:r>
        <w:t>to be determined by the government. The AN-ACC assessment can be recorded by the assessor using a paper or digital form. Either way, th</w:t>
      </w:r>
      <w:r w:rsidR="00F672A9">
        <w:t>e results of each</w:t>
      </w:r>
      <w:r>
        <w:t xml:space="preserve"> assessment </w:t>
      </w:r>
      <w:r w:rsidR="00866E82">
        <w:t xml:space="preserve">then </w:t>
      </w:r>
      <w:r>
        <w:t xml:space="preserve">need to be fed into a software ‘grouper’, a software program that assigns each resident to one of the thirteen AN-ACC classes. </w:t>
      </w:r>
      <w:r w:rsidR="00F672A9">
        <w:t xml:space="preserve">The grouper should be installed and managed centrally within the </w:t>
      </w:r>
      <w:r w:rsidR="00E43D53" w:rsidRPr="00E43D53">
        <w:t xml:space="preserve">Department of Human Services </w:t>
      </w:r>
      <w:r w:rsidR="00E43D53">
        <w:t>(</w:t>
      </w:r>
      <w:r w:rsidR="00F672A9">
        <w:t>DHS</w:t>
      </w:r>
      <w:r w:rsidR="00E43D53">
        <w:t>)</w:t>
      </w:r>
      <w:r w:rsidR="00F672A9">
        <w:t xml:space="preserve">, either integrated within the DHS system or as a standalone system that may transfer </w:t>
      </w:r>
      <w:r w:rsidR="00254772">
        <w:t>data to the DHS payment system.</w:t>
      </w:r>
    </w:p>
    <w:p w:rsidR="00BF2F9F" w:rsidRDefault="005A1C87" w:rsidP="003B0AAF">
      <w:pPr>
        <w:pStyle w:val="Normal-nospacing"/>
      </w:pPr>
      <w:r>
        <w:t>Although the volume of assessment and compliance related data required to be collected under the AN-ACC model is substantially less than under the ACFI system</w:t>
      </w:r>
      <w:r w:rsidR="00866E82">
        <w:t>,</w:t>
      </w:r>
      <w:r>
        <w:t xml:space="preserve"> there will still be information system changes required. </w:t>
      </w:r>
      <w:r w:rsidR="00465935">
        <w:t>The</w:t>
      </w:r>
      <w:r w:rsidR="00F672A9">
        <w:t xml:space="preserve"> data for each facility will include the AN-ACC assessment data and class assignment</w:t>
      </w:r>
      <w:r w:rsidR="00BF2F9F">
        <w:t xml:space="preserve">, along with the </w:t>
      </w:r>
      <w:r w:rsidR="00F672A9">
        <w:t xml:space="preserve">AN-ACC and base care tariff NWAUs. </w:t>
      </w:r>
    </w:p>
    <w:p w:rsidR="00BF2F9F" w:rsidRDefault="00BF2F9F" w:rsidP="003B0AAF">
      <w:pPr>
        <w:pStyle w:val="Normal-nospacing"/>
      </w:pPr>
      <w:r>
        <w:t xml:space="preserve">Once the AN-ACC data </w:t>
      </w:r>
      <w:r w:rsidR="00F672A9">
        <w:t xml:space="preserve">are included within </w:t>
      </w:r>
      <w:r>
        <w:t xml:space="preserve">the DHS system, </w:t>
      </w:r>
      <w:r w:rsidR="002A2D54">
        <w:t xml:space="preserve">the </w:t>
      </w:r>
      <w:r>
        <w:t xml:space="preserve">payment </w:t>
      </w:r>
      <w:r w:rsidR="002A2D54">
        <w:t xml:space="preserve">mechanism and </w:t>
      </w:r>
      <w:r>
        <w:t xml:space="preserve">issues </w:t>
      </w:r>
      <w:r w:rsidR="002A2D54">
        <w:t>should be</w:t>
      </w:r>
      <w:r>
        <w:t xml:space="preserve"> </w:t>
      </w:r>
      <w:r w:rsidR="002A2D54">
        <w:t>managed</w:t>
      </w:r>
      <w:r>
        <w:t xml:space="preserve"> in the same way as the current system.</w:t>
      </w:r>
    </w:p>
    <w:p w:rsidR="00D323E6" w:rsidRDefault="00D323E6" w:rsidP="00A140E5">
      <w:pPr>
        <w:pStyle w:val="Heading4"/>
      </w:pPr>
      <w:r>
        <w:t>Change management and education</w:t>
      </w:r>
    </w:p>
    <w:p w:rsidR="003B0AAF" w:rsidRDefault="002A2D54" w:rsidP="003B0AAF">
      <w:r>
        <w:t>As this model represents s</w:t>
      </w:r>
      <w:r w:rsidR="003B0AAF">
        <w:t>ignificant change</w:t>
      </w:r>
      <w:r>
        <w:t xml:space="preserve"> for the sector</w:t>
      </w:r>
      <w:r w:rsidR="003B0AAF">
        <w:t>,</w:t>
      </w:r>
      <w:r>
        <w:t xml:space="preserve"> it is critical that planning for change and a communication and education strategy is developed as early as possible.</w:t>
      </w:r>
      <w:r w:rsidR="003B0AAF">
        <w:t xml:space="preserve"> </w:t>
      </w:r>
    </w:p>
    <w:p w:rsidR="003B0AAF" w:rsidRDefault="003B0AAF" w:rsidP="002A2D54">
      <w:pPr>
        <w:spacing w:before="240"/>
      </w:pPr>
      <w:r>
        <w:t xml:space="preserve">The government will need to have the systems in place </w:t>
      </w:r>
      <w:r w:rsidR="002A2D54">
        <w:t>for</w:t>
      </w:r>
      <w:r>
        <w:t xml:space="preserve"> continuing engagement with the sector and to enable fine tuning of the system over time in partnership with the sector.</w:t>
      </w:r>
      <w:r w:rsidR="002A2D54">
        <w:t xml:space="preserve"> The ability for the sector to participate in some of the fine tuning decisions will help to build trust, enhance the transparency and prom</w:t>
      </w:r>
      <w:r w:rsidR="00254772">
        <w:t>ote ‘ownership’ of the system.</w:t>
      </w:r>
    </w:p>
    <w:p w:rsidR="003B0AAF" w:rsidRPr="003B0AAF" w:rsidRDefault="003B0AAF" w:rsidP="002A2D54">
      <w:pPr>
        <w:spacing w:before="240"/>
      </w:pPr>
      <w:r>
        <w:t xml:space="preserve">This engagement should include strategies for how the AN-ACC data may be used to benefit </w:t>
      </w:r>
      <w:r w:rsidR="00465935">
        <w:t xml:space="preserve">both </w:t>
      </w:r>
      <w:r>
        <w:t>the sector and the government</w:t>
      </w:r>
      <w:r w:rsidR="005168D9">
        <w:t xml:space="preserve">. In time, the discussion could </w:t>
      </w:r>
      <w:r>
        <w:t xml:space="preserve">extend </w:t>
      </w:r>
      <w:r w:rsidR="005168D9">
        <w:t xml:space="preserve">beyond </w:t>
      </w:r>
      <w:r>
        <w:t xml:space="preserve">the allocation of funding to the measurement and review of </w:t>
      </w:r>
      <w:r w:rsidR="00866E82">
        <w:t xml:space="preserve">resident </w:t>
      </w:r>
      <w:r>
        <w:t>outcomes</w:t>
      </w:r>
      <w:r w:rsidR="005168D9">
        <w:t>,</w:t>
      </w:r>
      <w:r>
        <w:t xml:space="preserve"> the use of data to de</w:t>
      </w:r>
      <w:r w:rsidR="005168D9">
        <w:t xml:space="preserve">scribe changes in resident profile </w:t>
      </w:r>
      <w:r>
        <w:t>and predict</w:t>
      </w:r>
      <w:r w:rsidR="005168D9">
        <w:t>ing</w:t>
      </w:r>
      <w:r w:rsidR="00254772">
        <w:t xml:space="preserve"> future demand.</w:t>
      </w:r>
    </w:p>
    <w:p w:rsidR="00D323E6" w:rsidRDefault="00D323E6">
      <w:pPr>
        <w:spacing w:after="200" w:line="276" w:lineRule="auto"/>
      </w:pPr>
      <w:r>
        <w:br w:type="page"/>
      </w:r>
    </w:p>
    <w:p w:rsidR="00BF2F9F" w:rsidRDefault="00BF2F9F" w:rsidP="00BF2F9F">
      <w:pPr>
        <w:pStyle w:val="Heading1"/>
      </w:pPr>
      <w:bookmarkStart w:id="61" w:name="_Toc2066834"/>
      <w:r>
        <w:lastRenderedPageBreak/>
        <w:t>Conclusion</w:t>
      </w:r>
      <w:bookmarkEnd w:id="61"/>
    </w:p>
    <w:p w:rsidR="00302D1E" w:rsidRPr="00B90D70" w:rsidRDefault="00BF2F9F" w:rsidP="00866E82">
      <w:pPr>
        <w:pStyle w:val="Normal-nospacing"/>
      </w:pPr>
      <w:r>
        <w:t xml:space="preserve">This funding model represents a significant change for the residential aged care sector and planning for its incremental implementation needs to commence as soon as government announcements are made. </w:t>
      </w:r>
      <w:r w:rsidR="00B97A4F" w:rsidRPr="00B90D70">
        <w:t>I</w:t>
      </w:r>
      <w:r w:rsidR="00302D1E" w:rsidRPr="00B90D70">
        <w:t xml:space="preserve">nitially, this model may be perceived as complex </w:t>
      </w:r>
      <w:r w:rsidR="00B97A4F" w:rsidRPr="00B90D70">
        <w:t>by the sector with a new language and concepts</w:t>
      </w:r>
      <w:r w:rsidR="00302D1E" w:rsidRPr="00B90D70">
        <w:t xml:space="preserve">. </w:t>
      </w:r>
      <w:r w:rsidR="00B97A4F" w:rsidRPr="00B90D70">
        <w:t xml:space="preserve">These concepts are </w:t>
      </w:r>
      <w:r w:rsidR="00BD2098" w:rsidRPr="00B90D70">
        <w:t>sophisticated</w:t>
      </w:r>
      <w:r w:rsidR="00866E82">
        <w:t>. H</w:t>
      </w:r>
      <w:r w:rsidR="00B97A4F" w:rsidRPr="00B90D70">
        <w:t>owever, they are at the same time clinically m</w:t>
      </w:r>
      <w:r w:rsidR="00254772">
        <w:t>eaningful and easily explained.</w:t>
      </w:r>
    </w:p>
    <w:p w:rsidR="00BF2F9F" w:rsidRDefault="00B97A4F" w:rsidP="00866E82">
      <w:pPr>
        <w:pStyle w:val="Normal-nospacing"/>
      </w:pPr>
      <w:r w:rsidRPr="00B90D70">
        <w:t>However conceptually sophisticated</w:t>
      </w:r>
      <w:r w:rsidR="00465935">
        <w:t>,</w:t>
      </w:r>
      <w:r w:rsidRPr="00B90D70">
        <w:t xml:space="preserve"> these ABF type models are </w:t>
      </w:r>
      <w:r w:rsidR="00302D1E" w:rsidRPr="00B90D70">
        <w:t>administrative</w:t>
      </w:r>
      <w:r w:rsidRPr="00B90D70">
        <w:t xml:space="preserve">ly </w:t>
      </w:r>
      <w:r w:rsidR="00302D1E" w:rsidRPr="00B90D70">
        <w:t>simple, str</w:t>
      </w:r>
      <w:r w:rsidR="00465935">
        <w:t>aightforward</w:t>
      </w:r>
      <w:r w:rsidR="00302D1E" w:rsidRPr="00B90D70">
        <w:t xml:space="preserve"> and </w:t>
      </w:r>
      <w:r w:rsidR="00B90D70" w:rsidRPr="00B90D70">
        <w:t xml:space="preserve">do not require complex </w:t>
      </w:r>
      <w:r w:rsidR="00E43D53">
        <w:t>information</w:t>
      </w:r>
      <w:r w:rsidR="00302D1E" w:rsidRPr="00B90D70">
        <w:t xml:space="preserve"> systems</w:t>
      </w:r>
      <w:r w:rsidR="00B90D70" w:rsidRPr="00B90D70">
        <w:t xml:space="preserve">. </w:t>
      </w:r>
      <w:r w:rsidR="00302D1E" w:rsidRPr="00B90D70">
        <w:t>In contrast, the current ACFI system is conceptually straightforward but time—consuming and expensive to administer</w:t>
      </w:r>
      <w:r w:rsidR="00866E82">
        <w:t>.</w:t>
      </w:r>
    </w:p>
    <w:p w:rsidR="00BF2F9F" w:rsidRDefault="00BF2F9F" w:rsidP="00866E82">
      <w:pPr>
        <w:pStyle w:val="Normal-nospacing"/>
      </w:pPr>
      <w:r>
        <w:t>Planning for the technical implementation of the model needs to be accompanied by an in</w:t>
      </w:r>
      <w:r w:rsidR="00254772">
        <w:t xml:space="preserve">vestment in change management. </w:t>
      </w:r>
      <w:r>
        <w:t xml:space="preserve">The government </w:t>
      </w:r>
      <w:r w:rsidR="00302D1E">
        <w:t xml:space="preserve">should </w:t>
      </w:r>
      <w:r>
        <w:t xml:space="preserve">enter into a partnership </w:t>
      </w:r>
      <w:r w:rsidR="00302D1E">
        <w:t xml:space="preserve">with the sector </w:t>
      </w:r>
      <w:r>
        <w:t>to implement the new model, recognising that this is in the interests of reside</w:t>
      </w:r>
      <w:r w:rsidR="00254772">
        <w:t>nts, providers and government.</w:t>
      </w:r>
    </w:p>
    <w:p w:rsidR="00BF2F9F" w:rsidRDefault="00BF2F9F" w:rsidP="00866E82">
      <w:pPr>
        <w:pStyle w:val="Normal-nospacing"/>
      </w:pPr>
      <w:r>
        <w:t>At the same time, there will inevitably be the need to fine-tune the model as implementation progresses.  The Department will need systems in place for sector engagement and consultation as implementation progresses</w:t>
      </w:r>
      <w:r w:rsidR="00465935">
        <w:t>,</w:t>
      </w:r>
      <w:r>
        <w:t xml:space="preserve"> as well as </w:t>
      </w:r>
      <w:r w:rsidR="00465935">
        <w:t xml:space="preserve">ongoing </w:t>
      </w:r>
      <w:r w:rsidR="00254772">
        <w:t>access to technical expertise.</w:t>
      </w:r>
    </w:p>
    <w:p w:rsidR="00BF2F9F" w:rsidRDefault="00302D1E" w:rsidP="00866E82">
      <w:pPr>
        <w:pStyle w:val="Normal-nospacing"/>
      </w:pPr>
      <w:r>
        <w:t xml:space="preserve">As the system becomes embedded the government should both access external, and begin to develop internal, </w:t>
      </w:r>
      <w:r w:rsidR="00BF2F9F">
        <w:t xml:space="preserve">expertise </w:t>
      </w:r>
      <w:r w:rsidR="00465935">
        <w:t>in using</w:t>
      </w:r>
      <w:r w:rsidR="00BF2F9F">
        <w:t xml:space="preserve"> the data to better measure the needs </w:t>
      </w:r>
      <w:r>
        <w:t>of residents a</w:t>
      </w:r>
      <w:r w:rsidR="00BF2F9F">
        <w:t>nd changing needs</w:t>
      </w:r>
      <w:r>
        <w:t xml:space="preserve"> over time</w:t>
      </w:r>
      <w:r w:rsidR="00BF2F9F">
        <w:t xml:space="preserve"> </w:t>
      </w:r>
      <w:r w:rsidR="00465935">
        <w:t xml:space="preserve">and to review </w:t>
      </w:r>
      <w:r w:rsidR="00BF2F9F">
        <w:t>resident outcomes and adverse events</w:t>
      </w:r>
      <w:r>
        <w:t xml:space="preserve">. The data </w:t>
      </w:r>
      <w:r w:rsidR="00A45052">
        <w:t xml:space="preserve">should </w:t>
      </w:r>
      <w:r>
        <w:t xml:space="preserve">also </w:t>
      </w:r>
      <w:r w:rsidR="00A45052">
        <w:t xml:space="preserve">be </w:t>
      </w:r>
      <w:r w:rsidR="00BF2F9F">
        <w:t>use</w:t>
      </w:r>
      <w:r>
        <w:t xml:space="preserve">d in future </w:t>
      </w:r>
      <w:r w:rsidR="00465935">
        <w:t xml:space="preserve">planning to </w:t>
      </w:r>
      <w:r w:rsidR="00BF2F9F">
        <w:t xml:space="preserve">predict </w:t>
      </w:r>
      <w:r w:rsidR="00A45052">
        <w:t xml:space="preserve">ongoing </w:t>
      </w:r>
      <w:r w:rsidR="00BF2F9F">
        <w:t>dem</w:t>
      </w:r>
      <w:r w:rsidR="00465935">
        <w:t>and f</w:t>
      </w:r>
      <w:r w:rsidR="00254772">
        <w:t>or residential aged care.</w:t>
      </w:r>
    </w:p>
    <w:p w:rsidR="00BF2F9F" w:rsidRDefault="00BF2F9F" w:rsidP="00866E82">
      <w:pPr>
        <w:pStyle w:val="Normal-nospacing"/>
      </w:pPr>
      <w:r>
        <w:t xml:space="preserve">Funding reform is not an end in itself. </w:t>
      </w:r>
      <w:r w:rsidR="00465935">
        <w:t xml:space="preserve">As well as being </w:t>
      </w:r>
      <w:r>
        <w:t xml:space="preserve">a more efficient and equitable funding model, this funding reform provides an important opportunity to drive fundamental improvements in resident experiences and outcomes. It also provides the evidence base necessary to evaluate the value for money that the sector </w:t>
      </w:r>
      <w:r w:rsidR="00465935">
        <w:t>delivers</w:t>
      </w:r>
      <w:r w:rsidR="00254772">
        <w:t>.</w:t>
      </w:r>
    </w:p>
    <w:p w:rsidR="00003E81" w:rsidRDefault="00003E81" w:rsidP="00003E81">
      <w:pPr>
        <w:rPr>
          <w:rFonts w:eastAsiaTheme="minorHAnsi" w:cstheme="minorHAnsi"/>
          <w:lang w:eastAsia="zh-CN" w:bidi="th-TH"/>
        </w:rPr>
      </w:pPr>
      <w:r>
        <w:rPr>
          <w:rFonts w:eastAsiaTheme="minorHAnsi" w:cstheme="minorHAnsi"/>
          <w:lang w:eastAsia="zh-CN" w:bidi="th-TH"/>
        </w:rPr>
        <w:br w:type="page"/>
      </w:r>
    </w:p>
    <w:p w:rsidR="00FA1232" w:rsidRDefault="00FA1232" w:rsidP="00FA1232">
      <w:pPr>
        <w:pStyle w:val="Heading1"/>
        <w:numPr>
          <w:ilvl w:val="0"/>
          <w:numId w:val="0"/>
        </w:numPr>
      </w:pPr>
      <w:bookmarkStart w:id="62" w:name="_Toc528953020"/>
      <w:bookmarkStart w:id="63" w:name="_Toc2066835"/>
      <w:bookmarkStart w:id="64" w:name="_Ref528325443"/>
      <w:r>
        <w:lastRenderedPageBreak/>
        <w:t xml:space="preserve">Appendix </w:t>
      </w:r>
      <w:r>
        <w:rPr>
          <w:noProof/>
        </w:rPr>
        <w:fldChar w:fldCharType="begin"/>
      </w:r>
      <w:r>
        <w:rPr>
          <w:noProof/>
        </w:rPr>
        <w:instrText xml:space="preserve"> SEQ Appendix \* ARABIC </w:instrText>
      </w:r>
      <w:r>
        <w:rPr>
          <w:noProof/>
        </w:rPr>
        <w:fldChar w:fldCharType="separate"/>
      </w:r>
      <w:r w:rsidR="00E72E6D">
        <w:rPr>
          <w:noProof/>
        </w:rPr>
        <w:t>1</w:t>
      </w:r>
      <w:bookmarkEnd w:id="62"/>
      <w:bookmarkEnd w:id="63"/>
      <w:r>
        <w:rPr>
          <w:noProof/>
        </w:rPr>
        <w:fldChar w:fldCharType="end"/>
      </w:r>
      <w:bookmarkEnd w:id="64"/>
    </w:p>
    <w:p w:rsidR="00FA1232" w:rsidRPr="00F25EE9" w:rsidRDefault="00FA1232" w:rsidP="00FA1232">
      <w:pPr>
        <w:pStyle w:val="Heading2"/>
        <w:numPr>
          <w:ilvl w:val="0"/>
          <w:numId w:val="0"/>
        </w:numPr>
      </w:pPr>
      <w:bookmarkStart w:id="65" w:name="_Toc528953021"/>
      <w:bookmarkStart w:id="66" w:name="_Toc2066836"/>
      <w:r w:rsidRPr="00F25EE9">
        <w:t xml:space="preserve">Overview of </w:t>
      </w:r>
      <w:r>
        <w:t xml:space="preserve">the </w:t>
      </w:r>
      <w:r w:rsidRPr="00F25EE9">
        <w:t>Resource Utilisation and Classification</w:t>
      </w:r>
      <w:r w:rsidR="004B7D4B">
        <w:t xml:space="preserve"> </w:t>
      </w:r>
      <w:r w:rsidRPr="00F25EE9">
        <w:t>Study (RUCS)</w:t>
      </w:r>
      <w:bookmarkEnd w:id="65"/>
      <w:bookmarkEnd w:id="66"/>
    </w:p>
    <w:p w:rsidR="00FA1232" w:rsidRDefault="00FA1232" w:rsidP="00FA1232">
      <w:pPr>
        <w:spacing w:before="120" w:after="120"/>
        <w:rPr>
          <w:rFonts w:eastAsiaTheme="minorHAnsi" w:cstheme="minorHAnsi"/>
          <w:lang w:eastAsia="zh-CN" w:bidi="th-TH"/>
        </w:rPr>
      </w:pPr>
      <w:bookmarkStart w:id="67" w:name="_Ref491183063"/>
      <w:r>
        <w:t>In summary, RUCS comprised four separate but closely related studies. Each study included separate data collection and analysis elements that have been synthesised to produce a classification and associated funding model that is suitable for implementation across the Australian residential aged care sector.</w:t>
      </w:r>
    </w:p>
    <w:bookmarkEnd w:id="67"/>
    <w:p w:rsidR="00FA1232" w:rsidRPr="00A14DBB" w:rsidRDefault="00FA1232" w:rsidP="00BF2F9F">
      <w:pPr>
        <w:keepNext/>
        <w:keepLines/>
        <w:numPr>
          <w:ilvl w:val="0"/>
          <w:numId w:val="9"/>
        </w:numPr>
        <w:spacing w:before="120" w:after="120"/>
        <w:ind w:left="0" w:firstLine="0"/>
        <w:outlineLvl w:val="3"/>
        <w:rPr>
          <w:rFonts w:ascii="Calibri" w:eastAsiaTheme="majorEastAsia" w:hAnsi="Calibri" w:cstheme="majorBidi"/>
          <w:b/>
          <w:bCs/>
          <w:i/>
        </w:rPr>
      </w:pPr>
      <w:r w:rsidRPr="00A14DBB">
        <w:rPr>
          <w:rFonts w:ascii="Calibri" w:eastAsiaTheme="majorEastAsia" w:hAnsi="Calibri" w:cstheme="majorBidi"/>
          <w:b/>
          <w:bCs/>
          <w:i/>
        </w:rPr>
        <w:t>Study One – Service utilisation and c</w:t>
      </w:r>
      <w:r w:rsidR="00FC702F">
        <w:rPr>
          <w:rFonts w:ascii="Calibri" w:eastAsiaTheme="majorEastAsia" w:hAnsi="Calibri" w:cstheme="majorBidi"/>
          <w:b/>
          <w:bCs/>
          <w:i/>
        </w:rPr>
        <w:t>lassification development study</w:t>
      </w:r>
    </w:p>
    <w:p w:rsidR="00FA1232" w:rsidRDefault="00FA1232" w:rsidP="00FA1232">
      <w:pPr>
        <w:pStyle w:val="Normal-nospacing"/>
      </w:pPr>
      <w:r>
        <w:t xml:space="preserve">Study One involved a prospective and comprehensive collection of resident assessment, service utilisation and financial data which was analysed to develop a casemix classification. Study </w:t>
      </w:r>
      <w:r w:rsidR="00DF23C3">
        <w:t>O</w:t>
      </w:r>
      <w:r>
        <w:t>ne involved 30 facilities clustered in three geographic regions in Queensland</w:t>
      </w:r>
      <w:r w:rsidR="00254772">
        <w:t>, New South Wales and Victoria.</w:t>
      </w:r>
    </w:p>
    <w:p w:rsidR="00FA1232" w:rsidRDefault="00FA1232" w:rsidP="00FA1232">
      <w:pPr>
        <w:spacing w:before="120" w:after="120"/>
        <w:rPr>
          <w:rFonts w:eastAsiaTheme="minorHAnsi" w:cstheme="minorHAnsi"/>
          <w:lang w:eastAsia="zh-CN" w:bidi="th-TH"/>
        </w:rPr>
      </w:pPr>
      <w:r>
        <w:t>Study One was completed between October 2017 and October 2018.</w:t>
      </w:r>
    </w:p>
    <w:p w:rsidR="00FA1232" w:rsidRPr="00A14DBB" w:rsidRDefault="00FA1232" w:rsidP="00BF2F9F">
      <w:pPr>
        <w:keepNext/>
        <w:keepLines/>
        <w:numPr>
          <w:ilvl w:val="0"/>
          <w:numId w:val="9"/>
        </w:numPr>
        <w:spacing w:before="120" w:after="120"/>
        <w:ind w:left="0" w:firstLine="0"/>
        <w:outlineLvl w:val="3"/>
        <w:rPr>
          <w:rFonts w:ascii="Calibri" w:eastAsiaTheme="majorEastAsia" w:hAnsi="Calibri" w:cstheme="majorBidi"/>
          <w:b/>
          <w:bCs/>
          <w:i/>
        </w:rPr>
      </w:pPr>
      <w:r w:rsidRPr="00A14DBB">
        <w:rPr>
          <w:rFonts w:ascii="Calibri" w:eastAsiaTheme="majorEastAsia" w:hAnsi="Calibri" w:cstheme="majorBidi"/>
          <w:b/>
          <w:bCs/>
          <w:i/>
        </w:rPr>
        <w:t>Study Two – Fixed and variable cost analysis study</w:t>
      </w:r>
    </w:p>
    <w:p w:rsidR="00FA1232" w:rsidRPr="001D1798" w:rsidRDefault="00FA1232" w:rsidP="00FA1232">
      <w:pPr>
        <w:spacing w:before="120" w:after="120"/>
        <w:rPr>
          <w:rFonts w:eastAsiaTheme="minorHAnsi" w:cstheme="minorHAnsi"/>
          <w:lang w:eastAsia="zh-CN" w:bidi="th-TH"/>
        </w:rPr>
      </w:pPr>
      <w:r w:rsidRPr="001D1798">
        <w:rPr>
          <w:rFonts w:eastAsiaTheme="minorHAnsi" w:cstheme="minorHAnsi"/>
          <w:lang w:eastAsia="zh-CN" w:bidi="th-TH"/>
        </w:rPr>
        <w:t>Study Two involved a larger nationally representative sample of 110 facilities. The purpose of this study was to understand differences in cost drivers between different types of facilities (including facility size, location) as well as differences that may result from seasonal effects. This analysis will inform the design of the funding model. Study Two will examine facility, rather than resident level costs from a nationally representative sample of facilities across Australia.</w:t>
      </w:r>
    </w:p>
    <w:p w:rsidR="00FA1232" w:rsidRDefault="00FA1232" w:rsidP="00FA1232">
      <w:pPr>
        <w:spacing w:before="120" w:after="120"/>
        <w:rPr>
          <w:rFonts w:eastAsiaTheme="minorHAnsi" w:cstheme="minorHAnsi"/>
          <w:lang w:eastAsia="zh-CN" w:bidi="th-TH"/>
        </w:rPr>
      </w:pPr>
      <w:r w:rsidRPr="001D1798">
        <w:rPr>
          <w:rFonts w:eastAsiaTheme="minorHAnsi" w:cstheme="minorHAnsi"/>
          <w:lang w:eastAsia="zh-CN" w:bidi="th-TH"/>
        </w:rPr>
        <w:t>Study Two was completed between November 2017 and October 2018.</w:t>
      </w:r>
    </w:p>
    <w:p w:rsidR="00FA1232" w:rsidRPr="00A14DBB" w:rsidRDefault="00FA1232" w:rsidP="00BF2F9F">
      <w:pPr>
        <w:keepNext/>
        <w:keepLines/>
        <w:numPr>
          <w:ilvl w:val="0"/>
          <w:numId w:val="9"/>
        </w:numPr>
        <w:spacing w:before="120" w:after="120"/>
        <w:ind w:left="0" w:firstLine="0"/>
        <w:outlineLvl w:val="3"/>
        <w:rPr>
          <w:rFonts w:ascii="Calibri" w:eastAsiaTheme="majorEastAsia" w:hAnsi="Calibri" w:cstheme="majorBidi"/>
          <w:b/>
          <w:bCs/>
          <w:i/>
        </w:rPr>
      </w:pPr>
      <w:r w:rsidRPr="00A14DBB">
        <w:rPr>
          <w:rFonts w:ascii="Calibri" w:eastAsiaTheme="majorEastAsia" w:hAnsi="Calibri" w:cstheme="majorBidi"/>
          <w:b/>
          <w:bCs/>
          <w:i/>
        </w:rPr>
        <w:t>Study Three – Casemix profiling study</w:t>
      </w:r>
    </w:p>
    <w:p w:rsidR="00FA1232" w:rsidRDefault="00FA1232" w:rsidP="00FA1232">
      <w:pPr>
        <w:pStyle w:val="Normal-nospacing"/>
      </w:pPr>
      <w:r>
        <w:t>Study Three involved the collection of variables included in the classification from an additional nationally representative sample of 80 facilities. The primary purpose of Study Three was to develop a national casemix profile of resid</w:t>
      </w:r>
      <w:r w:rsidR="00254772">
        <w:t>ents in aged care in Australia.</w:t>
      </w:r>
    </w:p>
    <w:p w:rsidR="00FA1232" w:rsidRDefault="00FA1232" w:rsidP="00FA1232">
      <w:pPr>
        <w:spacing w:before="120" w:after="120"/>
        <w:rPr>
          <w:rFonts w:eastAsiaTheme="minorHAnsi" w:cstheme="minorHAnsi"/>
          <w:lang w:eastAsia="zh-CN" w:bidi="th-TH"/>
        </w:rPr>
      </w:pPr>
      <w:r>
        <w:t>Study Three was completed between September 2018 and December 2018.</w:t>
      </w:r>
    </w:p>
    <w:p w:rsidR="00FA1232" w:rsidRPr="00A14DBB" w:rsidRDefault="00FA1232" w:rsidP="00BF2F9F">
      <w:pPr>
        <w:keepNext/>
        <w:keepLines/>
        <w:numPr>
          <w:ilvl w:val="0"/>
          <w:numId w:val="9"/>
        </w:numPr>
        <w:spacing w:before="120" w:after="120"/>
        <w:ind w:left="0" w:firstLine="0"/>
        <w:outlineLvl w:val="3"/>
        <w:rPr>
          <w:rFonts w:ascii="Calibri" w:eastAsiaTheme="majorEastAsia" w:hAnsi="Calibri" w:cstheme="majorBidi"/>
          <w:b/>
          <w:bCs/>
          <w:i/>
        </w:rPr>
      </w:pPr>
      <w:r w:rsidRPr="00A14DBB">
        <w:rPr>
          <w:rFonts w:ascii="Calibri" w:eastAsiaTheme="majorEastAsia" w:hAnsi="Calibri" w:cstheme="majorBidi"/>
          <w:b/>
          <w:bCs/>
          <w:i/>
        </w:rPr>
        <w:t>Study Four – Reassessment study</w:t>
      </w:r>
    </w:p>
    <w:p w:rsidR="00FA1232" w:rsidRPr="00F25EE9" w:rsidRDefault="00FA1232" w:rsidP="00FA1232">
      <w:pPr>
        <w:spacing w:before="120" w:after="120"/>
        <w:rPr>
          <w:rFonts w:eastAsiaTheme="minorHAnsi" w:cstheme="minorHAnsi"/>
          <w:lang w:eastAsia="zh-CN" w:bidi="th-TH"/>
        </w:rPr>
      </w:pPr>
      <w:r w:rsidRPr="00F25EE9">
        <w:rPr>
          <w:rFonts w:eastAsiaTheme="minorHAnsi" w:cstheme="minorHAnsi"/>
          <w:lang w:eastAsia="zh-CN" w:bidi="th-TH"/>
        </w:rPr>
        <w:t>Study Four was added to the RUCS work program in mid-2018 in recognition of value that could be added by collecting additional information about the rate and extent of change in residents’ care needs over time. Study Four involved conducting re-assessments of approximately 1,000 residents assessed as part of Study One four to six months af</w:t>
      </w:r>
      <w:r w:rsidR="00254772">
        <w:rPr>
          <w:rFonts w:eastAsiaTheme="minorHAnsi" w:cstheme="minorHAnsi"/>
          <w:lang w:eastAsia="zh-CN" w:bidi="th-TH"/>
        </w:rPr>
        <w:t>ter their initial assessment.</w:t>
      </w:r>
    </w:p>
    <w:p w:rsidR="00FA1232" w:rsidRDefault="00FA1232" w:rsidP="00FA1232">
      <w:pPr>
        <w:spacing w:before="120" w:after="120"/>
        <w:rPr>
          <w:rFonts w:eastAsiaTheme="minorHAnsi" w:cstheme="minorHAnsi"/>
          <w:lang w:eastAsia="zh-CN" w:bidi="th-TH"/>
        </w:rPr>
      </w:pPr>
      <w:r w:rsidRPr="00F25EE9">
        <w:rPr>
          <w:rFonts w:eastAsiaTheme="minorHAnsi" w:cstheme="minorHAnsi"/>
          <w:lang w:eastAsia="zh-CN" w:bidi="th-TH"/>
        </w:rPr>
        <w:t>Study Four was completed between August 2018 and December 2018</w:t>
      </w:r>
      <w:r>
        <w:rPr>
          <w:rFonts w:eastAsiaTheme="minorHAnsi" w:cstheme="minorHAnsi"/>
          <w:lang w:eastAsia="zh-CN" w:bidi="th-TH"/>
        </w:rPr>
        <w:t>.</w:t>
      </w:r>
    </w:p>
    <w:p w:rsidR="00767414" w:rsidRDefault="00767414">
      <w:pPr>
        <w:spacing w:after="200" w:line="276" w:lineRule="auto"/>
      </w:pPr>
      <w:r>
        <w:br w:type="page"/>
      </w:r>
    </w:p>
    <w:p w:rsidR="00767414" w:rsidRPr="000B42C6" w:rsidRDefault="00767414" w:rsidP="00792FA6">
      <w:pPr>
        <w:pStyle w:val="Heading2"/>
        <w:numPr>
          <w:ilvl w:val="0"/>
          <w:numId w:val="0"/>
        </w:numPr>
      </w:pPr>
      <w:bookmarkStart w:id="68" w:name="_Toc533150125"/>
      <w:bookmarkStart w:id="69" w:name="_Toc2066837"/>
      <w:r w:rsidRPr="000B42C6">
        <w:lastRenderedPageBreak/>
        <w:t>The RUCS reports</w:t>
      </w:r>
      <w:bookmarkEnd w:id="68"/>
      <w:bookmarkEnd w:id="69"/>
    </w:p>
    <w:p w:rsidR="00767414" w:rsidRPr="000B42C6" w:rsidRDefault="00767414" w:rsidP="00767414">
      <w:r w:rsidRPr="000B42C6">
        <w:t>Given the complexity of RUCS, it has been written up in a series of reports as follows:</w:t>
      </w:r>
    </w:p>
    <w:p w:rsidR="00767414" w:rsidRPr="000B42C6" w:rsidRDefault="00767414" w:rsidP="00792FA6">
      <w:pPr>
        <w:pStyle w:val="Bullet"/>
      </w:pPr>
      <w:bookmarkStart w:id="70" w:name="_Toc533150126"/>
      <w:r w:rsidRPr="00792FA6">
        <w:rPr>
          <w:b/>
        </w:rPr>
        <w:t xml:space="preserve">Report </w:t>
      </w:r>
      <w:r w:rsidR="00A14DBB">
        <w:rPr>
          <w:b/>
        </w:rPr>
        <w:t>1</w:t>
      </w:r>
      <w:r w:rsidRPr="00792FA6">
        <w:rPr>
          <w:b/>
        </w:rPr>
        <w:t>: The Australian National Aged Care Classification (AN-ACC)</w:t>
      </w:r>
      <w:bookmarkEnd w:id="70"/>
    </w:p>
    <w:p w:rsidR="00767414" w:rsidRPr="000B42C6" w:rsidRDefault="00767414" w:rsidP="00792FA6">
      <w:pPr>
        <w:pStyle w:val="Bullet"/>
        <w:numPr>
          <w:ilvl w:val="0"/>
          <w:numId w:val="0"/>
        </w:numPr>
        <w:ind w:left="357"/>
      </w:pPr>
      <w:r w:rsidRPr="000B42C6">
        <w:t xml:space="preserve">Report </w:t>
      </w:r>
      <w:r w:rsidR="00A14DBB">
        <w:t xml:space="preserve">1 </w:t>
      </w:r>
      <w:r w:rsidRPr="000B42C6">
        <w:t>covers the design and conduct of the study undertaken to develop the Australian National Aged Care Classification (AN-ACC) Version 1</w:t>
      </w:r>
      <w:r w:rsidR="00DF23C3">
        <w:t>.0 (Study One)</w:t>
      </w:r>
      <w:r w:rsidRPr="000B42C6">
        <w:t>. It covers the design and use of the AN-ACC assessment tool and the resource utilisation study undertaken to develop AN-ACC Version 1, including the preparation and analysis of the data collection. It discusses the results, the classification development process and key outcomes including the statistical an</w:t>
      </w:r>
      <w:r w:rsidR="00254772">
        <w:t>alysis and clinical validation.</w:t>
      </w:r>
    </w:p>
    <w:p w:rsidR="00767414" w:rsidRPr="00792FA6" w:rsidRDefault="00767414" w:rsidP="00792FA6">
      <w:pPr>
        <w:pStyle w:val="Bullet"/>
        <w:rPr>
          <w:b/>
        </w:rPr>
      </w:pPr>
      <w:bookmarkStart w:id="71" w:name="_Toc533150127"/>
      <w:r w:rsidRPr="00792FA6">
        <w:rPr>
          <w:b/>
        </w:rPr>
        <w:t xml:space="preserve">Report </w:t>
      </w:r>
      <w:r w:rsidR="00A14DBB">
        <w:rPr>
          <w:b/>
        </w:rPr>
        <w:t>2</w:t>
      </w:r>
      <w:r w:rsidRPr="00792FA6">
        <w:rPr>
          <w:b/>
        </w:rPr>
        <w:t>: The AN-ACC assessment model</w:t>
      </w:r>
      <w:bookmarkEnd w:id="71"/>
    </w:p>
    <w:p w:rsidR="00767414" w:rsidRPr="000B42C6" w:rsidRDefault="00767414" w:rsidP="00792FA6">
      <w:pPr>
        <w:pStyle w:val="Bullet"/>
        <w:numPr>
          <w:ilvl w:val="0"/>
          <w:numId w:val="0"/>
        </w:numPr>
        <w:ind w:left="357"/>
      </w:pPr>
      <w:r w:rsidRPr="000B42C6">
        <w:t xml:space="preserve">Report </w:t>
      </w:r>
      <w:r w:rsidR="00A14DBB">
        <w:t>2</w:t>
      </w:r>
      <w:r w:rsidRPr="000B42C6">
        <w:t xml:space="preserve"> presents detailed findings relating to the external assessment tool and assessment process</w:t>
      </w:r>
      <w:r w:rsidR="00DF23C3">
        <w:t xml:space="preserve"> (informed by Studies One, Three and Four)</w:t>
      </w:r>
      <w:r w:rsidR="00254772">
        <w:t xml:space="preserve">. </w:t>
      </w:r>
      <w:r w:rsidRPr="000B42C6">
        <w:t>This includes the development of the assessment tool using expert clinical panels and a summary of feedback from assessors regarding the use of the tool and the suitability of individual instruments. The skills and competencies required for the assessment workforce and other implications for implementation of the external assessment model are considered as well as triggers and protocols for reassessment.</w:t>
      </w:r>
    </w:p>
    <w:p w:rsidR="00767414" w:rsidRPr="00792FA6" w:rsidRDefault="00767414" w:rsidP="00792FA6">
      <w:pPr>
        <w:pStyle w:val="Bullet"/>
        <w:rPr>
          <w:b/>
        </w:rPr>
      </w:pPr>
      <w:bookmarkStart w:id="72" w:name="_Toc533150128"/>
      <w:r w:rsidRPr="00792FA6">
        <w:rPr>
          <w:b/>
        </w:rPr>
        <w:t xml:space="preserve">Report </w:t>
      </w:r>
      <w:r w:rsidR="00A14DBB">
        <w:rPr>
          <w:b/>
        </w:rPr>
        <w:t>3</w:t>
      </w:r>
      <w:r w:rsidRPr="00792FA6">
        <w:rPr>
          <w:b/>
        </w:rPr>
        <w:t>: Structural and individual costs of residential aged care services in Australia</w:t>
      </w:r>
      <w:bookmarkEnd w:id="72"/>
    </w:p>
    <w:p w:rsidR="00767414" w:rsidRPr="000B42C6" w:rsidRDefault="00767414" w:rsidP="00792FA6">
      <w:pPr>
        <w:pStyle w:val="Bullet"/>
        <w:numPr>
          <w:ilvl w:val="0"/>
          <w:numId w:val="0"/>
        </w:numPr>
        <w:ind w:left="357"/>
      </w:pPr>
      <w:r w:rsidRPr="000B42C6">
        <w:t xml:space="preserve">Report </w:t>
      </w:r>
      <w:r w:rsidR="00A14DBB">
        <w:t>3</w:t>
      </w:r>
      <w:r w:rsidRPr="000B42C6">
        <w:t xml:space="preserve"> presents the analysis and findings of Study Two which identified the proportions of total care costs that are fixed (including shared </w:t>
      </w:r>
      <w:r w:rsidR="00BD2098" w:rsidRPr="000B42C6">
        <w:t>care)</w:t>
      </w:r>
      <w:r w:rsidRPr="000B42C6">
        <w:t xml:space="preserve"> and variable (relating to individualised resident care). The analysis focused on the differences in fixed costs between different types of facilities, characterised by ownership, size, remoteness and service specialisation.  It includes an analysis of the drivers of fixed care costs.</w:t>
      </w:r>
    </w:p>
    <w:p w:rsidR="00767414" w:rsidRPr="00792FA6" w:rsidRDefault="00767414" w:rsidP="00792FA6">
      <w:pPr>
        <w:pStyle w:val="Bullet"/>
        <w:rPr>
          <w:b/>
        </w:rPr>
      </w:pPr>
      <w:bookmarkStart w:id="73" w:name="_Toc533150129"/>
      <w:r w:rsidRPr="00792FA6">
        <w:rPr>
          <w:b/>
        </w:rPr>
        <w:t xml:space="preserve">Report </w:t>
      </w:r>
      <w:r w:rsidR="00A14DBB">
        <w:rPr>
          <w:b/>
        </w:rPr>
        <w:t>4</w:t>
      </w:r>
      <w:r w:rsidRPr="00792FA6">
        <w:rPr>
          <w:b/>
        </w:rPr>
        <w:t>: Modelling the impact of the AN-ACC in Australia</w:t>
      </w:r>
      <w:bookmarkEnd w:id="73"/>
    </w:p>
    <w:p w:rsidR="00767414" w:rsidRPr="000B42C6" w:rsidRDefault="00767414" w:rsidP="00792FA6">
      <w:pPr>
        <w:pStyle w:val="Bullet"/>
        <w:numPr>
          <w:ilvl w:val="0"/>
          <w:numId w:val="0"/>
        </w:numPr>
        <w:ind w:left="357"/>
      </w:pPr>
      <w:r w:rsidRPr="000B42C6">
        <w:t xml:space="preserve">Report </w:t>
      </w:r>
      <w:r w:rsidR="00A14DBB">
        <w:t>4</w:t>
      </w:r>
      <w:r w:rsidRPr="000B42C6">
        <w:t xml:space="preserve"> presents an analysis of modelling the introduction of the AN-ACC across Australia. This is based on the findings of Study Three. The sampling and assessment data collection process and the casemix of residents in aged care across Australia are described. The focus of this report is on modelling the introduction of the AN-ACC to replace the ACFI.</w:t>
      </w:r>
    </w:p>
    <w:p w:rsidR="00767414" w:rsidRPr="00792FA6" w:rsidRDefault="00767414" w:rsidP="00792FA6">
      <w:pPr>
        <w:pStyle w:val="Bullet"/>
        <w:rPr>
          <w:b/>
        </w:rPr>
      </w:pPr>
      <w:bookmarkStart w:id="74" w:name="_Toc533150130"/>
      <w:r w:rsidRPr="00792FA6">
        <w:rPr>
          <w:b/>
        </w:rPr>
        <w:t xml:space="preserve">Report </w:t>
      </w:r>
      <w:r w:rsidR="00A14DBB">
        <w:rPr>
          <w:b/>
        </w:rPr>
        <w:t>5</w:t>
      </w:r>
      <w:r w:rsidRPr="00792FA6">
        <w:rPr>
          <w:b/>
        </w:rPr>
        <w:t>: AN-ACC: A funding model for the residential aged care sector</w:t>
      </w:r>
      <w:bookmarkEnd w:id="74"/>
    </w:p>
    <w:p w:rsidR="00A45052" w:rsidRDefault="00767414" w:rsidP="00792FA6">
      <w:pPr>
        <w:pStyle w:val="Bullet"/>
        <w:numPr>
          <w:ilvl w:val="0"/>
          <w:numId w:val="0"/>
        </w:numPr>
        <w:ind w:left="357"/>
      </w:pPr>
      <w:r w:rsidRPr="000B42C6">
        <w:t xml:space="preserve">Report </w:t>
      </w:r>
      <w:r w:rsidR="00A14DBB">
        <w:t>5</w:t>
      </w:r>
      <w:r w:rsidRPr="000B42C6">
        <w:t xml:space="preserve"> presents the design of a new fund</w:t>
      </w:r>
      <w:r w:rsidR="00254772">
        <w:t xml:space="preserve">ing model based on the AN-ACC. </w:t>
      </w:r>
      <w:r w:rsidRPr="000B42C6">
        <w:t xml:space="preserve">It includes a consideration of other payment issues such as existing payment supplements, a discussion of incentives in funding model design and key issues </w:t>
      </w:r>
      <w:r w:rsidR="00254772">
        <w:t>in implementing the new model.</w:t>
      </w:r>
      <w:r w:rsidR="00A45052">
        <w:br w:type="page"/>
      </w:r>
    </w:p>
    <w:p w:rsidR="00767414" w:rsidRPr="000B42C6" w:rsidRDefault="00767414" w:rsidP="00792FA6">
      <w:pPr>
        <w:pStyle w:val="Bullet"/>
        <w:numPr>
          <w:ilvl w:val="0"/>
          <w:numId w:val="0"/>
        </w:numPr>
        <w:ind w:left="357"/>
      </w:pPr>
    </w:p>
    <w:p w:rsidR="00767414" w:rsidRPr="00792FA6" w:rsidRDefault="00767414" w:rsidP="00792FA6">
      <w:pPr>
        <w:pStyle w:val="Bullet"/>
        <w:rPr>
          <w:b/>
        </w:rPr>
      </w:pPr>
      <w:bookmarkStart w:id="75" w:name="_Toc533150131"/>
      <w:r w:rsidRPr="00792FA6">
        <w:rPr>
          <w:b/>
        </w:rPr>
        <w:t xml:space="preserve">Report </w:t>
      </w:r>
      <w:r w:rsidR="00A14DBB">
        <w:rPr>
          <w:b/>
        </w:rPr>
        <w:t>6</w:t>
      </w:r>
      <w:r w:rsidRPr="00792FA6">
        <w:rPr>
          <w:b/>
        </w:rPr>
        <w:t>: AN-ACC: A national classification and funding model for residential aged care: synthesis and consolidated recommendations</w:t>
      </w:r>
      <w:bookmarkEnd w:id="75"/>
    </w:p>
    <w:p w:rsidR="00767414" w:rsidRPr="000B42C6" w:rsidRDefault="00767414" w:rsidP="00792FA6">
      <w:pPr>
        <w:pStyle w:val="Bullet"/>
        <w:numPr>
          <w:ilvl w:val="0"/>
          <w:numId w:val="0"/>
        </w:numPr>
        <w:ind w:left="357"/>
      </w:pPr>
      <w:r w:rsidRPr="000B42C6">
        <w:t>This report syntheses and consolidates the findings presented in other reports and provides a consolidated set of recommendations.</w:t>
      </w:r>
    </w:p>
    <w:p w:rsidR="00767414" w:rsidRPr="00792FA6" w:rsidRDefault="00767414" w:rsidP="00792FA6">
      <w:pPr>
        <w:pStyle w:val="Bullet"/>
        <w:rPr>
          <w:b/>
        </w:rPr>
      </w:pPr>
      <w:bookmarkStart w:id="76" w:name="_Toc533150132"/>
      <w:r w:rsidRPr="00792FA6">
        <w:rPr>
          <w:b/>
        </w:rPr>
        <w:t xml:space="preserve">Report </w:t>
      </w:r>
      <w:r w:rsidR="00A14DBB">
        <w:rPr>
          <w:b/>
        </w:rPr>
        <w:t>7</w:t>
      </w:r>
      <w:r w:rsidRPr="00792FA6">
        <w:rPr>
          <w:b/>
        </w:rPr>
        <w:t>: AN-ACC Technical appendices</w:t>
      </w:r>
      <w:bookmarkEnd w:id="76"/>
    </w:p>
    <w:p w:rsidR="00767414" w:rsidRPr="000B42C6" w:rsidRDefault="00767414" w:rsidP="00792FA6">
      <w:pPr>
        <w:pStyle w:val="Bullet"/>
        <w:numPr>
          <w:ilvl w:val="0"/>
          <w:numId w:val="0"/>
        </w:numPr>
        <w:ind w:left="357"/>
      </w:pPr>
      <w:r w:rsidRPr="000B42C6">
        <w:t>This report is a series of technical appendices that contain detailed data for reference purposes.</w:t>
      </w:r>
    </w:p>
    <w:p w:rsidR="00767414" w:rsidRDefault="007B3AC5" w:rsidP="007B3AC5">
      <w:pPr>
        <w:spacing w:after="200" w:line="276" w:lineRule="auto"/>
      </w:pPr>
      <w:r>
        <w:br w:type="page"/>
      </w:r>
    </w:p>
    <w:p w:rsidR="007B3AC5" w:rsidRDefault="007B3AC5" w:rsidP="007B3AC5">
      <w:pPr>
        <w:pStyle w:val="Heading1"/>
        <w:numPr>
          <w:ilvl w:val="0"/>
          <w:numId w:val="0"/>
        </w:numPr>
        <w:rPr>
          <w:noProof/>
        </w:rPr>
      </w:pPr>
      <w:bookmarkStart w:id="77" w:name="_Toc2066838"/>
      <w:bookmarkStart w:id="78" w:name="_Ref534803179"/>
      <w:r w:rsidRPr="00792FA6">
        <w:lastRenderedPageBreak/>
        <w:t xml:space="preserve">Appendix </w:t>
      </w:r>
      <w:r>
        <w:rPr>
          <w:noProof/>
        </w:rPr>
        <w:fldChar w:fldCharType="begin"/>
      </w:r>
      <w:r>
        <w:rPr>
          <w:noProof/>
        </w:rPr>
        <w:instrText xml:space="preserve"> SEQ Appendix \* ARABIC </w:instrText>
      </w:r>
      <w:r>
        <w:rPr>
          <w:noProof/>
        </w:rPr>
        <w:fldChar w:fldCharType="separate"/>
      </w:r>
      <w:r w:rsidR="00E72E6D">
        <w:rPr>
          <w:noProof/>
        </w:rPr>
        <w:t>2</w:t>
      </w:r>
      <w:bookmarkEnd w:id="77"/>
      <w:r>
        <w:rPr>
          <w:noProof/>
        </w:rPr>
        <w:fldChar w:fldCharType="end"/>
      </w:r>
      <w:bookmarkEnd w:id="78"/>
    </w:p>
    <w:p w:rsidR="005E73EE" w:rsidRDefault="005E73EE" w:rsidP="005E73EE">
      <w:pPr>
        <w:pStyle w:val="Heading2"/>
        <w:numPr>
          <w:ilvl w:val="0"/>
          <w:numId w:val="0"/>
        </w:numPr>
      </w:pPr>
      <w:bookmarkStart w:id="79" w:name="_Toc2066839"/>
      <w:r>
        <w:t>The consolidated set of AN-ACC Version 1.0 NWAUs</w:t>
      </w:r>
      <w:bookmarkEnd w:id="79"/>
    </w:p>
    <w:p w:rsidR="00254772" w:rsidRPr="00D608A9" w:rsidRDefault="00254772" w:rsidP="00254772">
      <w:pPr>
        <w:spacing w:after="120"/>
      </w:pPr>
      <w:r w:rsidRPr="005E73EE">
        <w:rPr>
          <w:b/>
          <w:sz w:val="22"/>
          <w:szCs w:val="22"/>
        </w:rPr>
        <w:t>Adjustment payment</w:t>
      </w:r>
      <w:r w:rsidRPr="005E73EE">
        <w:rPr>
          <w:sz w:val="22"/>
          <w:szCs w:val="22"/>
        </w:rPr>
        <w:t xml:space="preserve"> – payable once for each new resident</w:t>
      </w:r>
    </w:p>
    <w:tbl>
      <w:tblPr>
        <w:tblW w:w="9229" w:type="dxa"/>
        <w:tblInd w:w="93" w:type="dxa"/>
        <w:tblLook w:val="04A0" w:firstRow="1" w:lastRow="0" w:firstColumn="1" w:lastColumn="0" w:noHBand="0" w:noVBand="1"/>
        <w:tblCaption w:val="Adjustment payment – payable once for each new resident"/>
        <w:tblDescription w:val="This table shows the Fund Code, description of payment and NWAU for the Adjustment payment. This table is to be read as a series of rows from left to right ('fund code' then 'description of payment' then 'NWAU'), top to bottom."/>
      </w:tblPr>
      <w:tblGrid>
        <w:gridCol w:w="1291"/>
        <w:gridCol w:w="6095"/>
        <w:gridCol w:w="1843"/>
      </w:tblGrid>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tcPr>
          <w:p w:rsidR="00254772" w:rsidRPr="005E73EE" w:rsidRDefault="00254772" w:rsidP="00714609">
            <w:pPr>
              <w:spacing w:beforeLines="30" w:before="72" w:afterLines="30" w:after="72"/>
              <w:jc w:val="center"/>
              <w:rPr>
                <w:rFonts w:cstheme="minorHAnsi"/>
                <w:b/>
                <w:sz w:val="22"/>
                <w:szCs w:val="22"/>
              </w:rPr>
            </w:pPr>
            <w:r>
              <w:rPr>
                <w:rFonts w:cstheme="minorHAnsi"/>
                <w:b/>
                <w:sz w:val="22"/>
                <w:szCs w:val="22"/>
              </w:rPr>
              <w:t xml:space="preserve">Fund </w:t>
            </w:r>
            <w:r w:rsidRPr="005E73EE">
              <w:rPr>
                <w:rFonts w:cstheme="minorHAnsi"/>
                <w:b/>
                <w:sz w:val="22"/>
                <w:szCs w:val="22"/>
              </w:rPr>
              <w:t>Code</w:t>
            </w:r>
          </w:p>
        </w:tc>
        <w:tc>
          <w:tcPr>
            <w:tcW w:w="6095" w:type="dxa"/>
            <w:tcBorders>
              <w:top w:val="single" w:sz="4" w:space="0" w:color="auto"/>
              <w:left w:val="nil"/>
              <w:bottom w:val="single" w:sz="4" w:space="0" w:color="auto"/>
              <w:right w:val="single" w:sz="4" w:space="0" w:color="auto"/>
            </w:tcBorders>
            <w:shd w:val="clear" w:color="auto" w:fill="auto"/>
          </w:tcPr>
          <w:p w:rsidR="00254772" w:rsidRPr="005E73EE" w:rsidRDefault="00254772" w:rsidP="00714609">
            <w:pPr>
              <w:spacing w:beforeLines="30" w:before="72" w:afterLines="30" w:after="72"/>
              <w:rPr>
                <w:rFonts w:cstheme="minorHAnsi"/>
                <w:b/>
                <w:sz w:val="22"/>
                <w:szCs w:val="22"/>
              </w:rPr>
            </w:pPr>
            <w:r w:rsidRPr="005E73EE">
              <w:rPr>
                <w:rFonts w:cstheme="minorHAnsi"/>
                <w:b/>
                <w:sz w:val="22"/>
                <w:szCs w:val="22"/>
              </w:rPr>
              <w:t>Description of payment</w:t>
            </w:r>
          </w:p>
        </w:tc>
        <w:tc>
          <w:tcPr>
            <w:tcW w:w="1843" w:type="dxa"/>
            <w:tcBorders>
              <w:top w:val="single" w:sz="4" w:space="0" w:color="auto"/>
              <w:left w:val="nil"/>
              <w:bottom w:val="single" w:sz="4" w:space="0" w:color="auto"/>
              <w:right w:val="single" w:sz="4" w:space="0" w:color="auto"/>
            </w:tcBorders>
            <w:shd w:val="clear" w:color="auto" w:fill="auto"/>
          </w:tcPr>
          <w:p w:rsidR="00254772" w:rsidRPr="005E73EE" w:rsidRDefault="00254772" w:rsidP="00714609">
            <w:pPr>
              <w:spacing w:beforeLines="30" w:before="72" w:afterLines="30" w:after="72"/>
              <w:jc w:val="center"/>
              <w:rPr>
                <w:rFonts w:cstheme="minorHAnsi"/>
                <w:b/>
                <w:bCs/>
                <w:color w:val="000000"/>
                <w:sz w:val="22"/>
                <w:szCs w:val="22"/>
              </w:rPr>
            </w:pPr>
            <w:r w:rsidRPr="005E73EE">
              <w:rPr>
                <w:rFonts w:cstheme="minorHAnsi"/>
                <w:b/>
                <w:bCs/>
                <w:color w:val="000000"/>
                <w:sz w:val="22"/>
                <w:szCs w:val="22"/>
              </w:rPr>
              <w:t>NWAU</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tcPr>
          <w:p w:rsidR="00254772" w:rsidRPr="005E73EE" w:rsidRDefault="00254772" w:rsidP="00714609">
            <w:pPr>
              <w:spacing w:beforeLines="30" w:before="72" w:afterLines="30" w:after="72"/>
              <w:jc w:val="center"/>
              <w:rPr>
                <w:rFonts w:cstheme="minorHAnsi"/>
                <w:sz w:val="22"/>
                <w:szCs w:val="22"/>
              </w:rPr>
            </w:pPr>
            <w:r w:rsidRPr="005E73EE">
              <w:rPr>
                <w:rFonts w:cstheme="minorHAnsi"/>
                <w:sz w:val="22"/>
                <w:szCs w:val="22"/>
              </w:rPr>
              <w:t>Adj</w:t>
            </w:r>
          </w:p>
        </w:tc>
        <w:tc>
          <w:tcPr>
            <w:tcW w:w="6095" w:type="dxa"/>
            <w:tcBorders>
              <w:top w:val="nil"/>
              <w:left w:val="nil"/>
              <w:bottom w:val="single" w:sz="4" w:space="0" w:color="auto"/>
              <w:right w:val="single" w:sz="4" w:space="0" w:color="auto"/>
            </w:tcBorders>
            <w:shd w:val="clear" w:color="auto" w:fill="auto"/>
          </w:tcPr>
          <w:p w:rsidR="00254772" w:rsidRPr="005E73EE" w:rsidRDefault="00254772" w:rsidP="00714609">
            <w:pPr>
              <w:spacing w:beforeLines="30" w:before="72" w:afterLines="30" w:after="72"/>
              <w:rPr>
                <w:rFonts w:cstheme="minorHAnsi"/>
                <w:sz w:val="22"/>
                <w:szCs w:val="22"/>
              </w:rPr>
            </w:pPr>
            <w:r w:rsidRPr="005E73EE">
              <w:rPr>
                <w:rFonts w:cstheme="minorHAnsi"/>
                <w:sz w:val="22"/>
                <w:szCs w:val="22"/>
              </w:rPr>
              <w:t>Resident entering residential care for the first time</w:t>
            </w:r>
          </w:p>
        </w:tc>
        <w:tc>
          <w:tcPr>
            <w:tcW w:w="1843" w:type="dxa"/>
            <w:tcBorders>
              <w:top w:val="nil"/>
              <w:left w:val="nil"/>
              <w:bottom w:val="single" w:sz="4" w:space="0" w:color="auto"/>
              <w:right w:val="single" w:sz="4" w:space="0" w:color="auto"/>
            </w:tcBorders>
            <w:shd w:val="clear" w:color="auto" w:fill="auto"/>
          </w:tcPr>
          <w:p w:rsidR="00254772" w:rsidRPr="005E73EE" w:rsidRDefault="00254772" w:rsidP="00714609">
            <w:pPr>
              <w:spacing w:beforeLines="30" w:before="72" w:afterLines="30" w:after="72"/>
              <w:jc w:val="center"/>
              <w:rPr>
                <w:rFonts w:cstheme="minorHAnsi"/>
                <w:sz w:val="22"/>
                <w:szCs w:val="22"/>
              </w:rPr>
            </w:pPr>
            <w:r w:rsidRPr="005E73EE">
              <w:rPr>
                <w:rFonts w:cstheme="minorHAnsi"/>
                <w:sz w:val="22"/>
                <w:szCs w:val="22"/>
              </w:rPr>
              <w:t>5.28</w:t>
            </w:r>
          </w:p>
        </w:tc>
      </w:tr>
    </w:tbl>
    <w:p w:rsidR="00254772" w:rsidRDefault="00254772" w:rsidP="00254772">
      <w:pPr>
        <w:spacing w:before="120" w:after="120"/>
      </w:pPr>
      <w:r w:rsidRPr="005E73EE">
        <w:rPr>
          <w:b/>
          <w:sz w:val="22"/>
          <w:szCs w:val="22"/>
        </w:rPr>
        <w:t>Base care tariff</w:t>
      </w:r>
      <w:r w:rsidRPr="005E73EE">
        <w:rPr>
          <w:sz w:val="22"/>
          <w:szCs w:val="22"/>
        </w:rPr>
        <w:t xml:space="preserve"> – payable by facility total resident bed days</w:t>
      </w:r>
    </w:p>
    <w:tbl>
      <w:tblPr>
        <w:tblW w:w="9229" w:type="dxa"/>
        <w:tblInd w:w="93" w:type="dxa"/>
        <w:tblLook w:val="04A0" w:firstRow="1" w:lastRow="0" w:firstColumn="1" w:lastColumn="0" w:noHBand="0" w:noVBand="1"/>
        <w:tblCaption w:val="Base care tariff – payable by facility total resident bed days"/>
        <w:tblDescription w:val="This table shows tarrifs, facility descriptions and NWAUs for the Base care tariff. This table is to be read as a series of rows from left to right ('tariff' then 'facility description' then 'NWAU')."/>
      </w:tblPr>
      <w:tblGrid>
        <w:gridCol w:w="1291"/>
        <w:gridCol w:w="6095"/>
        <w:gridCol w:w="1843"/>
      </w:tblGrid>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rFonts w:cs="Arial"/>
                <w:b/>
                <w:bCs/>
                <w:color w:val="000000"/>
                <w:sz w:val="22"/>
                <w:szCs w:val="22"/>
              </w:rPr>
            </w:pPr>
            <w:r w:rsidRPr="005E73EE">
              <w:rPr>
                <w:rFonts w:cs="Arial"/>
                <w:b/>
                <w:bCs/>
                <w:color w:val="000000"/>
                <w:sz w:val="22"/>
                <w:szCs w:val="22"/>
              </w:rPr>
              <w:t>Tariff</w:t>
            </w:r>
          </w:p>
        </w:tc>
        <w:tc>
          <w:tcPr>
            <w:tcW w:w="6095" w:type="dxa"/>
            <w:tcBorders>
              <w:top w:val="single" w:sz="4" w:space="0" w:color="auto"/>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rFonts w:cs="Arial"/>
                <w:b/>
                <w:bCs/>
                <w:color w:val="000000"/>
                <w:sz w:val="22"/>
                <w:szCs w:val="22"/>
              </w:rPr>
            </w:pPr>
            <w:r w:rsidRPr="005E73EE">
              <w:rPr>
                <w:rFonts w:cs="Arial"/>
                <w:b/>
                <w:bCs/>
                <w:color w:val="000000"/>
                <w:sz w:val="22"/>
                <w:szCs w:val="22"/>
              </w:rPr>
              <w:t>Facility description</w:t>
            </w:r>
          </w:p>
        </w:tc>
        <w:tc>
          <w:tcPr>
            <w:tcW w:w="1843" w:type="dxa"/>
            <w:tcBorders>
              <w:top w:val="single" w:sz="4" w:space="0" w:color="auto"/>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rFonts w:cs="Arial"/>
                <w:b/>
                <w:bCs/>
                <w:color w:val="000000"/>
                <w:sz w:val="22"/>
                <w:szCs w:val="22"/>
              </w:rPr>
            </w:pPr>
            <w:r w:rsidRPr="005E73EE">
              <w:rPr>
                <w:rFonts w:cs="Arial"/>
                <w:b/>
                <w:bCs/>
                <w:color w:val="000000"/>
                <w:sz w:val="22"/>
                <w:szCs w:val="22"/>
              </w:rPr>
              <w:t>NWAU</w:t>
            </w:r>
          </w:p>
        </w:tc>
      </w:tr>
      <w:tr w:rsidR="00254772" w:rsidRPr="000B42C6" w:rsidTr="00714609">
        <w:trPr>
          <w:tblHeader/>
        </w:trPr>
        <w:tc>
          <w:tcPr>
            <w:tcW w:w="1291" w:type="dxa"/>
            <w:tcBorders>
              <w:top w:val="nil"/>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1</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rFonts w:cs="Arial"/>
                <w:sz w:val="22"/>
                <w:szCs w:val="22"/>
              </w:rPr>
            </w:pPr>
            <w:r w:rsidRPr="005E73EE">
              <w:rPr>
                <w:rFonts w:cs="Arial"/>
                <w:sz w:val="22"/>
                <w:szCs w:val="22"/>
              </w:rPr>
              <w:t>Indigenous, MMM=7</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sz w:val="22"/>
                <w:szCs w:val="22"/>
              </w:rPr>
            </w:pPr>
            <w:r w:rsidRPr="005E73EE">
              <w:rPr>
                <w:sz w:val="22"/>
                <w:szCs w:val="22"/>
              </w:rPr>
              <w:t>1.80</w:t>
            </w:r>
          </w:p>
        </w:tc>
      </w:tr>
      <w:tr w:rsidR="00254772" w:rsidRPr="000B42C6" w:rsidTr="00714609">
        <w:trPr>
          <w:tblHeader/>
        </w:trPr>
        <w:tc>
          <w:tcPr>
            <w:tcW w:w="1291" w:type="dxa"/>
            <w:tcBorders>
              <w:top w:val="nil"/>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2</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rFonts w:cs="Arial"/>
                <w:color w:val="000000"/>
                <w:sz w:val="22"/>
                <w:szCs w:val="22"/>
              </w:rPr>
            </w:pPr>
            <w:r w:rsidRPr="005E73EE">
              <w:rPr>
                <w:rFonts w:cs="Arial"/>
                <w:color w:val="000000"/>
                <w:sz w:val="22"/>
                <w:szCs w:val="22"/>
              </w:rPr>
              <w:t>Indigenous, MMM=6</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rFonts w:cs="Arial"/>
                <w:color w:val="000000"/>
                <w:sz w:val="22"/>
                <w:szCs w:val="22"/>
              </w:rPr>
            </w:pPr>
            <w:r w:rsidRPr="005E73EE">
              <w:rPr>
                <w:rFonts w:cs="Arial"/>
                <w:color w:val="000000"/>
                <w:sz w:val="22"/>
                <w:szCs w:val="22"/>
              </w:rPr>
              <w:t>0.78</w:t>
            </w:r>
          </w:p>
        </w:tc>
      </w:tr>
      <w:tr w:rsidR="00254772" w:rsidRPr="000B42C6" w:rsidTr="00714609">
        <w:trPr>
          <w:tblHeader/>
        </w:trPr>
        <w:tc>
          <w:tcPr>
            <w:tcW w:w="1291" w:type="dxa"/>
            <w:tcBorders>
              <w:top w:val="nil"/>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3</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rFonts w:cs="Arial"/>
                <w:color w:val="000000"/>
                <w:sz w:val="22"/>
                <w:szCs w:val="22"/>
              </w:rPr>
            </w:pPr>
            <w:r w:rsidRPr="005E73EE">
              <w:rPr>
                <w:rFonts w:cs="Arial"/>
                <w:color w:val="000000"/>
                <w:sz w:val="22"/>
                <w:szCs w:val="22"/>
              </w:rPr>
              <w:t>Non-indigenous, MMM=6-7, &lt; 30 beds</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rFonts w:cs="Arial"/>
                <w:color w:val="000000"/>
                <w:sz w:val="22"/>
                <w:szCs w:val="22"/>
              </w:rPr>
            </w:pPr>
            <w:r w:rsidRPr="005E73EE">
              <w:rPr>
                <w:rFonts w:cs="Arial"/>
                <w:color w:val="000000"/>
                <w:sz w:val="22"/>
                <w:szCs w:val="22"/>
              </w:rPr>
              <w:t>0.68</w:t>
            </w:r>
          </w:p>
        </w:tc>
      </w:tr>
      <w:tr w:rsidR="00254772" w:rsidRPr="000B42C6" w:rsidTr="00714609">
        <w:trPr>
          <w:tblHeader/>
        </w:trPr>
        <w:tc>
          <w:tcPr>
            <w:tcW w:w="1291" w:type="dxa"/>
            <w:tcBorders>
              <w:top w:val="nil"/>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4</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rFonts w:cs="Arial"/>
                <w:color w:val="000000"/>
                <w:sz w:val="22"/>
                <w:szCs w:val="22"/>
              </w:rPr>
            </w:pPr>
            <w:r w:rsidRPr="005E73EE">
              <w:rPr>
                <w:rFonts w:cs="Arial"/>
                <w:color w:val="000000"/>
                <w:sz w:val="22"/>
                <w:szCs w:val="22"/>
              </w:rPr>
              <w:t>Non-indigenous, MMM=6-7, 30+ beds</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rFonts w:cs="Arial"/>
                <w:color w:val="000000"/>
                <w:sz w:val="22"/>
                <w:szCs w:val="22"/>
              </w:rPr>
            </w:pPr>
            <w:r w:rsidRPr="005E73EE">
              <w:rPr>
                <w:rFonts w:cs="Arial"/>
                <w:color w:val="000000"/>
                <w:sz w:val="22"/>
                <w:szCs w:val="22"/>
              </w:rPr>
              <w:t>0.52</w:t>
            </w:r>
          </w:p>
        </w:tc>
      </w:tr>
      <w:tr w:rsidR="00254772" w:rsidRPr="000B42C6" w:rsidTr="00714609">
        <w:trPr>
          <w:tblHeader/>
        </w:trPr>
        <w:tc>
          <w:tcPr>
            <w:tcW w:w="1291" w:type="dxa"/>
            <w:tcBorders>
              <w:top w:val="nil"/>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5</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623CBA" w:rsidP="00714609">
            <w:pPr>
              <w:spacing w:beforeLines="30" w:before="72" w:afterLines="30" w:after="72"/>
              <w:rPr>
                <w:rFonts w:cs="Arial"/>
                <w:color w:val="000000"/>
                <w:sz w:val="22"/>
                <w:szCs w:val="22"/>
              </w:rPr>
            </w:pPr>
            <w:r>
              <w:rPr>
                <w:rFonts w:cs="Arial"/>
                <w:color w:val="000000"/>
                <w:sz w:val="22"/>
                <w:szCs w:val="22"/>
              </w:rPr>
              <w:t>S</w:t>
            </w:r>
            <w:bookmarkStart w:id="80" w:name="_GoBack"/>
            <w:bookmarkEnd w:id="80"/>
            <w:r w:rsidR="00254772">
              <w:rPr>
                <w:rFonts w:cs="Arial"/>
                <w:color w:val="000000"/>
                <w:sz w:val="22"/>
                <w:szCs w:val="22"/>
              </w:rPr>
              <w:t>pecialised homeless</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rFonts w:cs="Arial"/>
                <w:color w:val="000000"/>
                <w:sz w:val="22"/>
                <w:szCs w:val="22"/>
              </w:rPr>
            </w:pPr>
            <w:r w:rsidRPr="005E73EE">
              <w:rPr>
                <w:rFonts w:cs="Arial"/>
                <w:color w:val="000000"/>
                <w:sz w:val="22"/>
                <w:szCs w:val="22"/>
              </w:rPr>
              <w:t>0.92</w:t>
            </w:r>
          </w:p>
        </w:tc>
      </w:tr>
      <w:tr w:rsidR="00254772" w:rsidRPr="000B42C6" w:rsidTr="00714609">
        <w:trPr>
          <w:tblHeader/>
        </w:trPr>
        <w:tc>
          <w:tcPr>
            <w:tcW w:w="1291" w:type="dxa"/>
            <w:tcBorders>
              <w:top w:val="nil"/>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6</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rFonts w:cs="Arial"/>
                <w:color w:val="000000"/>
                <w:sz w:val="22"/>
                <w:szCs w:val="22"/>
              </w:rPr>
            </w:pPr>
            <w:r w:rsidRPr="005E73EE">
              <w:rPr>
                <w:rFonts w:cs="Arial"/>
                <w:color w:val="000000"/>
                <w:sz w:val="22"/>
                <w:szCs w:val="22"/>
              </w:rPr>
              <w:t>All other RACFs</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rFonts w:cs="Arial"/>
                <w:color w:val="000000"/>
                <w:sz w:val="22"/>
                <w:szCs w:val="22"/>
              </w:rPr>
            </w:pPr>
            <w:r w:rsidRPr="005E73EE">
              <w:rPr>
                <w:rFonts w:cs="Arial"/>
                <w:color w:val="000000"/>
                <w:sz w:val="22"/>
                <w:szCs w:val="22"/>
              </w:rPr>
              <w:t>0.49</w:t>
            </w:r>
          </w:p>
        </w:tc>
      </w:tr>
    </w:tbl>
    <w:p w:rsidR="00254772" w:rsidRDefault="00254772" w:rsidP="00254772">
      <w:pPr>
        <w:spacing w:before="120" w:after="120"/>
      </w:pPr>
      <w:r w:rsidRPr="005E73EE">
        <w:rPr>
          <w:b/>
          <w:sz w:val="22"/>
          <w:szCs w:val="22"/>
        </w:rPr>
        <w:t>AN-ACC class payment</w:t>
      </w:r>
      <w:r w:rsidRPr="005E73EE">
        <w:rPr>
          <w:sz w:val="22"/>
          <w:szCs w:val="22"/>
        </w:rPr>
        <w:t xml:space="preserve"> – payable by bed day for each resident</w:t>
      </w:r>
    </w:p>
    <w:tbl>
      <w:tblPr>
        <w:tblW w:w="9229" w:type="dxa"/>
        <w:tblInd w:w="93" w:type="dxa"/>
        <w:tblLook w:val="04A0" w:firstRow="1" w:lastRow="0" w:firstColumn="1" w:lastColumn="0" w:noHBand="0" w:noVBand="1"/>
        <w:tblCaption w:val="AN-ACC class payment – payable by bed day for each resident"/>
        <w:tblDescription w:val="This table shows classes, resident descriptions and NWAUs for the AN-ACC class payment. This table is to be read as a series of rows from left to right ('class' then 'resident description' then 'NWAU')."/>
      </w:tblPr>
      <w:tblGrid>
        <w:gridCol w:w="1291"/>
        <w:gridCol w:w="6095"/>
        <w:gridCol w:w="1843"/>
      </w:tblGrid>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rFonts w:cs="Arial"/>
                <w:b/>
                <w:bCs/>
                <w:color w:val="000000"/>
                <w:sz w:val="22"/>
                <w:szCs w:val="22"/>
              </w:rPr>
            </w:pPr>
            <w:r w:rsidRPr="005E73EE">
              <w:rPr>
                <w:rFonts w:cs="Arial"/>
                <w:b/>
                <w:bCs/>
                <w:color w:val="000000"/>
                <w:sz w:val="22"/>
                <w:szCs w:val="22"/>
              </w:rPr>
              <w:t>Class</w:t>
            </w:r>
          </w:p>
        </w:tc>
        <w:tc>
          <w:tcPr>
            <w:tcW w:w="6095" w:type="dxa"/>
            <w:tcBorders>
              <w:top w:val="single" w:sz="4" w:space="0" w:color="auto"/>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rFonts w:cs="Arial"/>
                <w:b/>
                <w:bCs/>
                <w:color w:val="000000"/>
                <w:sz w:val="22"/>
                <w:szCs w:val="22"/>
              </w:rPr>
            </w:pPr>
            <w:r w:rsidRPr="005E73EE">
              <w:rPr>
                <w:rFonts w:cs="Arial"/>
                <w:b/>
                <w:bCs/>
                <w:color w:val="000000"/>
                <w:sz w:val="22"/>
                <w:szCs w:val="22"/>
              </w:rPr>
              <w:t>Resident description</w:t>
            </w:r>
          </w:p>
        </w:tc>
        <w:tc>
          <w:tcPr>
            <w:tcW w:w="1843" w:type="dxa"/>
            <w:tcBorders>
              <w:top w:val="single" w:sz="4" w:space="0" w:color="auto"/>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rFonts w:cs="Arial"/>
                <w:b/>
                <w:bCs/>
                <w:color w:val="000000"/>
                <w:sz w:val="22"/>
                <w:szCs w:val="22"/>
              </w:rPr>
            </w:pPr>
            <w:r w:rsidRPr="005E73EE">
              <w:rPr>
                <w:rFonts w:cs="Arial"/>
                <w:b/>
                <w:bCs/>
                <w:color w:val="000000"/>
                <w:sz w:val="22"/>
                <w:szCs w:val="22"/>
              </w:rPr>
              <w:t>NWAU</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sz w:val="22"/>
                <w:szCs w:val="22"/>
              </w:rPr>
            </w:pPr>
            <w:r w:rsidRPr="005E73EE">
              <w:rPr>
                <w:sz w:val="22"/>
                <w:szCs w:val="22"/>
              </w:rPr>
              <w:t>Class 1</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sz w:val="22"/>
                <w:szCs w:val="22"/>
              </w:rPr>
            </w:pPr>
            <w:r w:rsidRPr="005E73EE">
              <w:rPr>
                <w:sz w:val="22"/>
                <w:szCs w:val="22"/>
              </w:rPr>
              <w:t>Admit for palliative care</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0.96</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2</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Independent without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0.18</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3</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Independent with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0.30</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4</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Assisted mobility, high cognition, without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0.20</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5</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Assisted mobility, high cognition, with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0.36</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6</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Assisted mobility, medium cognition, without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0.34</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7</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Assisted mobility, medium cognition, with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0.47</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8</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Assisted mobility, low cognition</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0.51</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9</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Not mobile, higher function, without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0.52</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10</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Not mobile, higher function, with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0.83</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11</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Not mobile, lower function, lower pressure sore risk</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0.80</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12</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Not mobile, lower function, higher pressure sore risk, without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0.78</w:t>
            </w:r>
          </w:p>
        </w:tc>
      </w:tr>
      <w:tr w:rsidR="00254772" w:rsidRPr="000B42C6" w:rsidTr="00714609">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Class 13</w:t>
            </w:r>
          </w:p>
        </w:tc>
        <w:tc>
          <w:tcPr>
            <w:tcW w:w="6095"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rPr>
                <w:color w:val="000000"/>
                <w:sz w:val="22"/>
                <w:szCs w:val="22"/>
              </w:rPr>
            </w:pPr>
            <w:r w:rsidRPr="005E73EE">
              <w:rPr>
                <w:color w:val="000000"/>
                <w:sz w:val="22"/>
                <w:szCs w:val="22"/>
              </w:rPr>
              <w:t>Not mobile, lower function, higher pressure sore risk, with CF</w:t>
            </w:r>
          </w:p>
        </w:tc>
        <w:tc>
          <w:tcPr>
            <w:tcW w:w="1843" w:type="dxa"/>
            <w:tcBorders>
              <w:top w:val="nil"/>
              <w:left w:val="nil"/>
              <w:bottom w:val="single" w:sz="4" w:space="0" w:color="auto"/>
              <w:right w:val="single" w:sz="4" w:space="0" w:color="auto"/>
            </w:tcBorders>
            <w:shd w:val="clear" w:color="auto" w:fill="auto"/>
            <w:hideMark/>
          </w:tcPr>
          <w:p w:rsidR="00254772" w:rsidRPr="005E73EE" w:rsidRDefault="00254772" w:rsidP="00714609">
            <w:pPr>
              <w:spacing w:beforeLines="30" w:before="72" w:afterLines="30" w:after="72"/>
              <w:jc w:val="center"/>
              <w:rPr>
                <w:color w:val="000000"/>
                <w:sz w:val="22"/>
                <w:szCs w:val="22"/>
              </w:rPr>
            </w:pPr>
            <w:r w:rsidRPr="005E73EE">
              <w:rPr>
                <w:color w:val="000000"/>
                <w:sz w:val="22"/>
                <w:szCs w:val="22"/>
              </w:rPr>
              <w:t>0.96</w:t>
            </w:r>
          </w:p>
        </w:tc>
      </w:tr>
    </w:tbl>
    <w:p w:rsidR="00254772" w:rsidRDefault="00254772" w:rsidP="00254772">
      <w:pPr>
        <w:pStyle w:val="Normal-nospacing"/>
        <w:spacing w:before="0" w:after="0"/>
        <w:rPr>
          <w:sz w:val="18"/>
          <w:szCs w:val="18"/>
        </w:rPr>
      </w:pPr>
      <w:r w:rsidRPr="000B42C6">
        <w:rPr>
          <w:sz w:val="18"/>
          <w:szCs w:val="18"/>
        </w:rPr>
        <w:t>CF = Compounding Factors (see Report One)</w:t>
      </w:r>
    </w:p>
    <w:p w:rsidR="00254772" w:rsidRPr="007113A0" w:rsidRDefault="00254772" w:rsidP="00254772">
      <w:pPr>
        <w:pStyle w:val="Normal-nospacing"/>
        <w:spacing w:before="0" w:after="0"/>
      </w:pPr>
      <w:r>
        <w:rPr>
          <w:sz w:val="18"/>
          <w:szCs w:val="18"/>
        </w:rPr>
        <w:t xml:space="preserve">MMM = </w:t>
      </w:r>
      <w:r w:rsidRPr="007C41FE">
        <w:rPr>
          <w:sz w:val="18"/>
          <w:szCs w:val="18"/>
        </w:rPr>
        <w:t>Modified Monash Model</w:t>
      </w:r>
      <w:r>
        <w:rPr>
          <w:sz w:val="18"/>
          <w:szCs w:val="18"/>
        </w:rPr>
        <w:t>. A measure of geographic remoteness where 7=most remote and 1=major metropolitan</w:t>
      </w:r>
    </w:p>
    <w:sectPr w:rsidR="00254772" w:rsidRPr="007113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09" w:rsidRDefault="00714609" w:rsidP="00003E81">
      <w:r>
        <w:separator/>
      </w:r>
    </w:p>
  </w:endnote>
  <w:endnote w:type="continuationSeparator" w:id="0">
    <w:p w:rsidR="00714609" w:rsidRDefault="00714609" w:rsidP="0000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09" w:rsidRPr="006E49DF" w:rsidRDefault="00714609" w:rsidP="00FC7E73">
    <w:pPr>
      <w:pStyle w:val="Footer"/>
    </w:pPr>
    <w:r w:rsidRPr="006E49D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09" w:rsidRPr="006E49DF" w:rsidRDefault="00714609" w:rsidP="00FC7E73">
    <w:pPr>
      <w:pStyle w:val="Footer"/>
    </w:pPr>
    <w:r w:rsidRPr="006E49D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09" w:rsidRPr="00995BB9" w:rsidRDefault="00714609" w:rsidP="00FC7E73">
    <w:pPr>
      <w:pStyle w:val="Footer"/>
      <w:rPr>
        <w:sz w:val="22"/>
        <w:szCs w:val="22"/>
      </w:rPr>
    </w:pPr>
  </w:p>
  <w:p w:rsidR="00714609" w:rsidRPr="006E49DF" w:rsidRDefault="00714609" w:rsidP="00EB5B06">
    <w:pPr>
      <w:pStyle w:val="Footer"/>
      <w:pBdr>
        <w:top w:val="single" w:sz="4" w:space="1" w:color="auto"/>
      </w:pBdr>
      <w:tabs>
        <w:tab w:val="right" w:pos="9214"/>
      </w:tabs>
      <w:rPr>
        <w:sz w:val="20"/>
        <w:szCs w:val="20"/>
      </w:rPr>
    </w:pPr>
    <w:r w:rsidRPr="00995BB9">
      <w:rPr>
        <w:sz w:val="22"/>
        <w:szCs w:val="22"/>
      </w:rPr>
      <w:t>Report 5: Funding model for residential aged care sector</w:t>
    </w:r>
    <w:r>
      <w:rP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09" w:rsidRPr="00995BB9" w:rsidRDefault="00714609" w:rsidP="009927C8">
    <w:pPr>
      <w:pStyle w:val="Footer"/>
      <w:rPr>
        <w:sz w:val="22"/>
        <w:szCs w:val="22"/>
      </w:rPr>
    </w:pPr>
  </w:p>
  <w:p w:rsidR="00EB5B06" w:rsidRDefault="00714609" w:rsidP="00EB5B06">
    <w:pPr>
      <w:pStyle w:val="Footer"/>
      <w:pBdr>
        <w:top w:val="single" w:sz="4" w:space="1" w:color="auto"/>
      </w:pBdr>
      <w:rPr>
        <w:sz w:val="22"/>
        <w:szCs w:val="22"/>
      </w:rPr>
    </w:pPr>
    <w:r w:rsidRPr="00995BB9">
      <w:rPr>
        <w:sz w:val="22"/>
        <w:szCs w:val="22"/>
      </w:rPr>
      <w:t>Report 5: Funding model f</w:t>
    </w:r>
    <w:r w:rsidR="00EB5B06">
      <w:rPr>
        <w:sz w:val="22"/>
        <w:szCs w:val="22"/>
      </w:rPr>
      <w:t>or residential aged care sector</w:t>
    </w:r>
  </w:p>
  <w:p w:rsidR="00714609" w:rsidRPr="00995BB9" w:rsidRDefault="00714609" w:rsidP="00EB5B06">
    <w:pPr>
      <w:pStyle w:val="Footer"/>
      <w:pBdr>
        <w:top w:val="single" w:sz="4" w:space="1" w:color="auto"/>
      </w:pBdr>
      <w:jc w:val="right"/>
      <w:rPr>
        <w:sz w:val="22"/>
        <w:szCs w:val="22"/>
      </w:rPr>
    </w:pPr>
    <w:r w:rsidRPr="00995BB9">
      <w:rPr>
        <w:sz w:val="22"/>
        <w:szCs w:val="22"/>
      </w:rPr>
      <w:t xml:space="preserve">Page </w:t>
    </w:r>
    <w:sdt>
      <w:sdtPr>
        <w:rPr>
          <w:sz w:val="22"/>
          <w:szCs w:val="22"/>
        </w:rPr>
        <w:id w:val="-1381158711"/>
        <w:docPartObj>
          <w:docPartGallery w:val="Page Numbers (Bottom of Page)"/>
          <w:docPartUnique/>
        </w:docPartObj>
      </w:sdtPr>
      <w:sdtEndPr>
        <w:rPr>
          <w:noProof/>
        </w:rPr>
      </w:sdtEndPr>
      <w:sdtContent>
        <w:r w:rsidRPr="00995BB9">
          <w:rPr>
            <w:sz w:val="22"/>
            <w:szCs w:val="22"/>
          </w:rPr>
          <w:fldChar w:fldCharType="begin"/>
        </w:r>
        <w:r w:rsidRPr="00995BB9">
          <w:rPr>
            <w:sz w:val="22"/>
            <w:szCs w:val="22"/>
          </w:rPr>
          <w:instrText xml:space="preserve"> PAGE   \* MERGEFORMAT </w:instrText>
        </w:r>
        <w:r w:rsidRPr="00995BB9">
          <w:rPr>
            <w:sz w:val="22"/>
            <w:szCs w:val="22"/>
          </w:rPr>
          <w:fldChar w:fldCharType="separate"/>
        </w:r>
        <w:r w:rsidR="00623CBA">
          <w:rPr>
            <w:noProof/>
            <w:sz w:val="22"/>
            <w:szCs w:val="22"/>
          </w:rPr>
          <w:t>iv</w:t>
        </w:r>
        <w:r w:rsidRPr="00995BB9">
          <w:rPr>
            <w:noProof/>
            <w:sz w:val="22"/>
            <w:szCs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09" w:rsidRPr="00995BB9" w:rsidRDefault="00714609" w:rsidP="009927C8">
    <w:pPr>
      <w:pStyle w:val="Footer"/>
      <w:rPr>
        <w:sz w:val="22"/>
        <w:szCs w:val="22"/>
      </w:rPr>
    </w:pPr>
  </w:p>
  <w:p w:rsidR="00EB5B06" w:rsidRDefault="00714609" w:rsidP="00EB5B06">
    <w:pPr>
      <w:pStyle w:val="Footer"/>
      <w:pBdr>
        <w:top w:val="single" w:sz="4" w:space="1" w:color="auto"/>
      </w:pBdr>
      <w:jc w:val="right"/>
      <w:rPr>
        <w:sz w:val="22"/>
        <w:szCs w:val="22"/>
      </w:rPr>
    </w:pPr>
    <w:r w:rsidRPr="00995BB9">
      <w:rPr>
        <w:sz w:val="22"/>
        <w:szCs w:val="22"/>
      </w:rPr>
      <w:t>Report 5: Funding model for residential aged care sector</w:t>
    </w:r>
    <w:r w:rsidRPr="00995BB9">
      <w:rPr>
        <w:sz w:val="22"/>
        <w:szCs w:val="22"/>
      </w:rPr>
      <w:tab/>
    </w:r>
  </w:p>
  <w:p w:rsidR="00714609" w:rsidRPr="00995BB9" w:rsidRDefault="00714609" w:rsidP="00EB5B06">
    <w:pPr>
      <w:pStyle w:val="Footer"/>
      <w:pBdr>
        <w:top w:val="single" w:sz="4" w:space="1" w:color="auto"/>
      </w:pBdr>
      <w:jc w:val="right"/>
      <w:rPr>
        <w:b w:val="0"/>
        <w:i w:val="0"/>
        <w:noProof/>
        <w:sz w:val="22"/>
        <w:szCs w:val="22"/>
      </w:rPr>
    </w:pPr>
    <w:r>
      <w:rPr>
        <w:sz w:val="22"/>
        <w:szCs w:val="22"/>
      </w:rPr>
      <w:t>P</w:t>
    </w:r>
    <w:r w:rsidRPr="00995BB9">
      <w:rPr>
        <w:sz w:val="22"/>
        <w:szCs w:val="22"/>
      </w:rPr>
      <w:t xml:space="preserve">age </w:t>
    </w:r>
    <w:sdt>
      <w:sdtPr>
        <w:rPr>
          <w:sz w:val="22"/>
          <w:szCs w:val="22"/>
        </w:rPr>
        <w:id w:val="-828356405"/>
        <w:docPartObj>
          <w:docPartGallery w:val="Page Numbers (Bottom of Page)"/>
          <w:docPartUnique/>
        </w:docPartObj>
      </w:sdtPr>
      <w:sdtEndPr>
        <w:rPr>
          <w:noProof/>
        </w:rPr>
      </w:sdtEndPr>
      <w:sdtContent>
        <w:r w:rsidRPr="00995BB9">
          <w:rPr>
            <w:sz w:val="22"/>
            <w:szCs w:val="22"/>
          </w:rPr>
          <w:fldChar w:fldCharType="begin"/>
        </w:r>
        <w:r w:rsidRPr="00995BB9">
          <w:rPr>
            <w:sz w:val="22"/>
            <w:szCs w:val="22"/>
          </w:rPr>
          <w:instrText xml:space="preserve"> PAGE   \* MERGEFORMAT </w:instrText>
        </w:r>
        <w:r w:rsidRPr="00995BB9">
          <w:rPr>
            <w:sz w:val="22"/>
            <w:szCs w:val="22"/>
          </w:rPr>
          <w:fldChar w:fldCharType="separate"/>
        </w:r>
        <w:r w:rsidR="00623CBA">
          <w:rPr>
            <w:noProof/>
            <w:sz w:val="22"/>
            <w:szCs w:val="22"/>
          </w:rPr>
          <w:t>27</w:t>
        </w:r>
        <w:r w:rsidRPr="00995BB9">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09" w:rsidRDefault="00714609" w:rsidP="00003E81">
      <w:r>
        <w:separator/>
      </w:r>
    </w:p>
  </w:footnote>
  <w:footnote w:type="continuationSeparator" w:id="0">
    <w:p w:rsidR="00714609" w:rsidRDefault="00714609" w:rsidP="00003E81">
      <w:r>
        <w:continuationSeparator/>
      </w:r>
    </w:p>
  </w:footnote>
  <w:footnote w:id="1">
    <w:p w:rsidR="00714609" w:rsidRPr="004236D5" w:rsidRDefault="00714609">
      <w:pPr>
        <w:pStyle w:val="FootnoteText"/>
      </w:pPr>
      <w:r>
        <w:rPr>
          <w:rStyle w:val="FootnoteReference"/>
        </w:rPr>
        <w:footnoteRef/>
      </w:r>
      <w:r>
        <w:t xml:space="preserve"> W</w:t>
      </w:r>
      <w:r w:rsidRPr="004236D5">
        <w:t>here a facility potentially qualifies for two base care tariffs (e</w:t>
      </w:r>
      <w:r>
        <w:t>.</w:t>
      </w:r>
      <w:r w:rsidRPr="004236D5">
        <w:t>g</w:t>
      </w:r>
      <w:r>
        <w:t>.</w:t>
      </w:r>
      <w:r w:rsidRPr="004236D5">
        <w:t xml:space="preserve"> a specialised homeless facility in MMM 6-7) it will be paid on the basis of whichever tariff is higher.</w:t>
      </w:r>
    </w:p>
  </w:footnote>
  <w:footnote w:id="2">
    <w:p w:rsidR="00714609" w:rsidRDefault="00714609">
      <w:pPr>
        <w:pStyle w:val="FootnoteText"/>
      </w:pPr>
      <w:r>
        <w:rPr>
          <w:rStyle w:val="FootnoteReference"/>
        </w:rPr>
        <w:footnoteRef/>
      </w:r>
      <w:r>
        <w:t xml:space="preserve"> The </w:t>
      </w:r>
      <w:r w:rsidRPr="007000B3">
        <w:t>RV</w:t>
      </w:r>
      <w:r>
        <w:t>U</w:t>
      </w:r>
      <w:r w:rsidRPr="007000B3">
        <w:t xml:space="preserve"> </w:t>
      </w:r>
      <w:r>
        <w:t xml:space="preserve">(cost) statistics reported in Report 3 are </w:t>
      </w:r>
      <w:r w:rsidRPr="007000B3">
        <w:t>based on occup</w:t>
      </w:r>
      <w:r>
        <w:t xml:space="preserve">ied bed days </w:t>
      </w:r>
      <w:r w:rsidRPr="007000B3">
        <w:t xml:space="preserve">for all facilities (include </w:t>
      </w:r>
      <w:r>
        <w:t xml:space="preserve">facilities located in MMM 6 and 7). In contrast, </w:t>
      </w:r>
      <w:r w:rsidRPr="007000B3">
        <w:t xml:space="preserve">NWAU </w:t>
      </w:r>
      <w:r>
        <w:t xml:space="preserve">statistics used in the funding model are </w:t>
      </w:r>
      <w:r w:rsidRPr="007000B3">
        <w:t>based on occup</w:t>
      </w:r>
      <w:r>
        <w:t xml:space="preserve">ied bed days </w:t>
      </w:r>
      <w:r w:rsidRPr="007000B3">
        <w:t xml:space="preserve">for MMM=1-5 and </w:t>
      </w:r>
      <w:r>
        <w:t xml:space="preserve">on </w:t>
      </w:r>
      <w:r w:rsidRPr="007000B3">
        <w:t xml:space="preserve">capacity </w:t>
      </w:r>
      <w:r>
        <w:t xml:space="preserve">(approved beds) </w:t>
      </w:r>
      <w:r w:rsidRPr="007000B3">
        <w:t>for MMM</w:t>
      </w:r>
      <w:r>
        <w:t xml:space="preserve"> </w:t>
      </w:r>
      <w:r w:rsidRPr="007000B3">
        <w:t>6</w:t>
      </w:r>
      <w:r>
        <w:t xml:space="preserve"> and </w:t>
      </w:r>
      <w:r w:rsidRPr="007000B3">
        <w:t xml:space="preserve">7. </w:t>
      </w:r>
      <w:r>
        <w:t>If NWAU for remote facilities were to be based on occupancy rather than capacity</w:t>
      </w:r>
      <w:r w:rsidRPr="007000B3">
        <w:t xml:space="preserve">, the NWAU would have to be recalibrated (increased) based on the </w:t>
      </w:r>
      <w:r>
        <w:t>RVU for o</w:t>
      </w:r>
      <w:r w:rsidRPr="007000B3">
        <w:t>ccup</w:t>
      </w:r>
      <w:r>
        <w:t>ied bed days rather than approved bed days.</w:t>
      </w:r>
    </w:p>
  </w:footnote>
  <w:footnote w:id="3">
    <w:p w:rsidR="00714609" w:rsidRDefault="00714609" w:rsidP="00472BCC">
      <w:r>
        <w:rPr>
          <w:rStyle w:val="FootnoteReference"/>
        </w:rPr>
        <w:footnoteRef/>
      </w:r>
      <w:r w:rsidRPr="00272FF4">
        <w:rPr>
          <w:lang w:val="pt-PT"/>
        </w:rPr>
        <w:t xml:space="preserve"> </w:t>
      </w:r>
      <w:r w:rsidRPr="00181384">
        <w:rPr>
          <w:rFonts w:cstheme="minorHAnsi"/>
          <w:sz w:val="16"/>
          <w:szCs w:val="16"/>
          <w:lang w:val="pt-PT"/>
        </w:rPr>
        <w:t xml:space="preserve">McNamee J, Poulos C, Seraji H et al. </w:t>
      </w:r>
      <w:r w:rsidRPr="00B7655A">
        <w:rPr>
          <w:rFonts w:cstheme="minorHAnsi"/>
          <w:sz w:val="16"/>
          <w:szCs w:val="16"/>
        </w:rPr>
        <w:t xml:space="preserve">(2017) </w:t>
      </w:r>
      <w:r w:rsidRPr="00B7655A">
        <w:rPr>
          <w:rFonts w:cstheme="minorHAnsi"/>
          <w:i/>
          <w:sz w:val="16"/>
          <w:szCs w:val="16"/>
        </w:rPr>
        <w:t xml:space="preserve">Alternative Aged Care Assessment, Classification System and Funding Models Final Report. </w:t>
      </w:r>
      <w:r w:rsidRPr="00B7655A">
        <w:rPr>
          <w:rFonts w:cstheme="minorHAnsi"/>
          <w:sz w:val="16"/>
          <w:szCs w:val="16"/>
        </w:rPr>
        <w:t>Centre for Health Service Development, Australian Health Services Research Institute, University of Wollongong.</w:t>
      </w:r>
    </w:p>
  </w:footnote>
  <w:footnote w:id="4">
    <w:p w:rsidR="00714609" w:rsidRDefault="00714609">
      <w:pPr>
        <w:pStyle w:val="FootnoteText"/>
      </w:pPr>
      <w:r>
        <w:rPr>
          <w:rStyle w:val="FootnoteReference"/>
        </w:rPr>
        <w:footnoteRef/>
      </w:r>
      <w:r>
        <w:t xml:space="preserve"> The price is set by the Commonwealth government (funder) and is the price paid for one NWAU.</w:t>
      </w:r>
    </w:p>
  </w:footnote>
  <w:footnote w:id="5">
    <w:p w:rsidR="00714609" w:rsidRDefault="00714609" w:rsidP="00A1572E">
      <w:pPr>
        <w:pStyle w:val="FootnoteText"/>
      </w:pPr>
      <w:r>
        <w:rPr>
          <w:rStyle w:val="FootnoteReference"/>
        </w:rPr>
        <w:footnoteRef/>
      </w:r>
      <w:r>
        <w:t xml:space="preserve"> $100 has been used in this example to make it easy to understand the idea. There is no intention to suggest that the Commonwealth would pay this as a subsidy.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09" w:rsidRDefault="00714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09" w:rsidRDefault="00714609" w:rsidP="00F001F1">
    <w:pPr>
      <w:pStyle w:val="Footer"/>
      <w:jc w:val="right"/>
    </w:pPr>
    <w:r w:rsidRPr="00684B6F">
      <w:rPr>
        <w:noProof/>
        <w:sz w:val="24"/>
      </w:rPr>
      <w:drawing>
        <wp:inline distT="0" distB="0" distL="0" distR="0" wp14:anchorId="49CEDE82" wp14:editId="203AFCCB">
          <wp:extent cx="800100" cy="374650"/>
          <wp:effectExtent l="0" t="0" r="0" b="6350"/>
          <wp:docPr id="2" name="Picture 8" descr="Ahsri_Logo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hsri_Logo_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4650"/>
                  </a:xfrm>
                  <a:prstGeom prst="rect">
                    <a:avLst/>
                  </a:prstGeom>
                  <a:noFill/>
                  <a:ln>
                    <a:noFill/>
                  </a:ln>
                </pic:spPr>
              </pic:pic>
            </a:graphicData>
          </a:graphic>
        </wp:inline>
      </w:drawing>
    </w:r>
  </w:p>
  <w:p w:rsidR="00F001F1" w:rsidRPr="00F001F1" w:rsidRDefault="00F001F1" w:rsidP="00F001F1">
    <w:pPr>
      <w:pStyle w:val="Footer"/>
      <w:pBdr>
        <w:top w:val="single" w:sz="4" w:space="1" w:color="auto"/>
      </w:pBd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626C24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5C456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A5496"/>
    <w:multiLevelType w:val="multilevel"/>
    <w:tmpl w:val="B16E72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5A0A84"/>
    <w:multiLevelType w:val="hybridMultilevel"/>
    <w:tmpl w:val="2C4E1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74C43"/>
    <w:multiLevelType w:val="hybridMultilevel"/>
    <w:tmpl w:val="CA162750"/>
    <w:lvl w:ilvl="0" w:tplc="616AB72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6" w15:restartNumberingAfterBreak="0">
    <w:nsid w:val="0C7A5B7A"/>
    <w:multiLevelType w:val="multilevel"/>
    <w:tmpl w:val="2A7A021C"/>
    <w:lvl w:ilvl="0">
      <w:start w:val="1"/>
      <w:numFmt w:val="decimal"/>
      <w:lvlText w:val="%1"/>
      <w:lvlJc w:val="left"/>
      <w:pPr>
        <w:ind w:left="432"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131" w:hanging="720"/>
      </w:pPr>
      <w:rPr>
        <w:rFonts w:hint="default"/>
      </w:rPr>
    </w:lvl>
    <w:lvl w:ilvl="3">
      <w:start w:val="1"/>
      <w:numFmt w:val="decimal"/>
      <w:lvlText w:val="%1.%2.%3.%4"/>
      <w:lvlJc w:val="left"/>
      <w:pPr>
        <w:ind w:left="13" w:hanging="864"/>
      </w:pPr>
      <w:rPr>
        <w:rFonts w:hint="default"/>
      </w:rPr>
    </w:lvl>
    <w:lvl w:ilvl="4">
      <w:start w:val="1"/>
      <w:numFmt w:val="decimal"/>
      <w:lvlText w:val="%1.%2.%3.%4.%5"/>
      <w:lvlJc w:val="left"/>
      <w:pPr>
        <w:ind w:left="157" w:hanging="1008"/>
      </w:pPr>
      <w:rPr>
        <w:rFonts w:hint="default"/>
      </w:rPr>
    </w:lvl>
    <w:lvl w:ilvl="5">
      <w:start w:val="1"/>
      <w:numFmt w:val="decimal"/>
      <w:lvlText w:val="%1.%2.%3.%4.%5.%6"/>
      <w:lvlJc w:val="left"/>
      <w:pPr>
        <w:ind w:left="301" w:hanging="1152"/>
      </w:pPr>
      <w:rPr>
        <w:rFonts w:hint="default"/>
      </w:rPr>
    </w:lvl>
    <w:lvl w:ilvl="6">
      <w:start w:val="1"/>
      <w:numFmt w:val="decimal"/>
      <w:lvlText w:val="%1.%2.%3.%4.%5.%6.%7"/>
      <w:lvlJc w:val="left"/>
      <w:pPr>
        <w:ind w:left="445" w:hanging="1296"/>
      </w:pPr>
      <w:rPr>
        <w:rFonts w:hint="default"/>
      </w:rPr>
    </w:lvl>
    <w:lvl w:ilvl="7">
      <w:start w:val="1"/>
      <w:numFmt w:val="decimal"/>
      <w:lvlText w:val="%1.%2.%3.%4.%5.%6.%7.%8"/>
      <w:lvlJc w:val="left"/>
      <w:pPr>
        <w:ind w:left="589" w:hanging="1440"/>
      </w:pPr>
      <w:rPr>
        <w:rFonts w:hint="default"/>
      </w:rPr>
    </w:lvl>
    <w:lvl w:ilvl="8">
      <w:start w:val="1"/>
      <w:numFmt w:val="decimal"/>
      <w:lvlText w:val="%1.%2.%3.%4.%5.%6.%7.%8.%9"/>
      <w:lvlJc w:val="left"/>
      <w:pPr>
        <w:ind w:left="733" w:hanging="1584"/>
      </w:pPr>
      <w:rPr>
        <w:rFonts w:hint="default"/>
      </w:rPr>
    </w:lvl>
  </w:abstractNum>
  <w:abstractNum w:abstractNumId="7" w15:restartNumberingAfterBreak="0">
    <w:nsid w:val="0FA67341"/>
    <w:multiLevelType w:val="singleLevel"/>
    <w:tmpl w:val="1854A824"/>
    <w:lvl w:ilvl="0">
      <w:start w:val="1"/>
      <w:numFmt w:val="bullet"/>
      <w:pStyle w:val="1AutoList1"/>
      <w:lvlText w:val=""/>
      <w:lvlJc w:val="left"/>
      <w:pPr>
        <w:tabs>
          <w:tab w:val="num" w:pos="360"/>
        </w:tabs>
        <w:ind w:left="360" w:hanging="360"/>
      </w:pPr>
      <w:rPr>
        <w:rFonts w:ascii="Wingdings" w:hAnsi="Wingdings" w:hint="default"/>
      </w:rPr>
    </w:lvl>
  </w:abstractNum>
  <w:abstractNum w:abstractNumId="8" w15:restartNumberingAfterBreak="0">
    <w:nsid w:val="10182751"/>
    <w:multiLevelType w:val="hybridMultilevel"/>
    <w:tmpl w:val="3970D40C"/>
    <w:lvl w:ilvl="0" w:tplc="BD888A90">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231885"/>
    <w:multiLevelType w:val="hybridMultilevel"/>
    <w:tmpl w:val="C5F866B0"/>
    <w:lvl w:ilvl="0" w:tplc="0C090001">
      <w:start w:val="1"/>
      <w:numFmt w:val="bullet"/>
      <w:lvlText w:val=""/>
      <w:lvlJc w:val="left"/>
      <w:pPr>
        <w:ind w:left="1669" w:hanging="360"/>
      </w:pPr>
      <w:rPr>
        <w:rFonts w:ascii="Symbol" w:hAnsi="Symbol" w:hint="default"/>
      </w:rPr>
    </w:lvl>
    <w:lvl w:ilvl="1" w:tplc="0C090003">
      <w:start w:val="1"/>
      <w:numFmt w:val="bullet"/>
      <w:lvlText w:val="o"/>
      <w:lvlJc w:val="left"/>
      <w:pPr>
        <w:ind w:left="2389" w:hanging="360"/>
      </w:pPr>
      <w:rPr>
        <w:rFonts w:ascii="Courier New" w:hAnsi="Courier New" w:cs="Courier New" w:hint="default"/>
      </w:rPr>
    </w:lvl>
    <w:lvl w:ilvl="2" w:tplc="0C090005" w:tentative="1">
      <w:start w:val="1"/>
      <w:numFmt w:val="bullet"/>
      <w:lvlText w:val=""/>
      <w:lvlJc w:val="left"/>
      <w:pPr>
        <w:ind w:left="3109" w:hanging="360"/>
      </w:pPr>
      <w:rPr>
        <w:rFonts w:ascii="Wingdings" w:hAnsi="Wingdings" w:hint="default"/>
      </w:rPr>
    </w:lvl>
    <w:lvl w:ilvl="3" w:tplc="0C090001" w:tentative="1">
      <w:start w:val="1"/>
      <w:numFmt w:val="bullet"/>
      <w:lvlText w:val=""/>
      <w:lvlJc w:val="left"/>
      <w:pPr>
        <w:ind w:left="3829" w:hanging="360"/>
      </w:pPr>
      <w:rPr>
        <w:rFonts w:ascii="Symbol" w:hAnsi="Symbol" w:hint="default"/>
      </w:rPr>
    </w:lvl>
    <w:lvl w:ilvl="4" w:tplc="0C090003" w:tentative="1">
      <w:start w:val="1"/>
      <w:numFmt w:val="bullet"/>
      <w:lvlText w:val="o"/>
      <w:lvlJc w:val="left"/>
      <w:pPr>
        <w:ind w:left="4549" w:hanging="360"/>
      </w:pPr>
      <w:rPr>
        <w:rFonts w:ascii="Courier New" w:hAnsi="Courier New" w:cs="Courier New" w:hint="default"/>
      </w:rPr>
    </w:lvl>
    <w:lvl w:ilvl="5" w:tplc="0C090005" w:tentative="1">
      <w:start w:val="1"/>
      <w:numFmt w:val="bullet"/>
      <w:lvlText w:val=""/>
      <w:lvlJc w:val="left"/>
      <w:pPr>
        <w:ind w:left="5269" w:hanging="360"/>
      </w:pPr>
      <w:rPr>
        <w:rFonts w:ascii="Wingdings" w:hAnsi="Wingdings" w:hint="default"/>
      </w:rPr>
    </w:lvl>
    <w:lvl w:ilvl="6" w:tplc="0C090001" w:tentative="1">
      <w:start w:val="1"/>
      <w:numFmt w:val="bullet"/>
      <w:lvlText w:val=""/>
      <w:lvlJc w:val="left"/>
      <w:pPr>
        <w:ind w:left="5989" w:hanging="360"/>
      </w:pPr>
      <w:rPr>
        <w:rFonts w:ascii="Symbol" w:hAnsi="Symbol" w:hint="default"/>
      </w:rPr>
    </w:lvl>
    <w:lvl w:ilvl="7" w:tplc="0C090003" w:tentative="1">
      <w:start w:val="1"/>
      <w:numFmt w:val="bullet"/>
      <w:lvlText w:val="o"/>
      <w:lvlJc w:val="left"/>
      <w:pPr>
        <w:ind w:left="6709" w:hanging="360"/>
      </w:pPr>
      <w:rPr>
        <w:rFonts w:ascii="Courier New" w:hAnsi="Courier New" w:cs="Courier New" w:hint="default"/>
      </w:rPr>
    </w:lvl>
    <w:lvl w:ilvl="8" w:tplc="0C090005" w:tentative="1">
      <w:start w:val="1"/>
      <w:numFmt w:val="bullet"/>
      <w:lvlText w:val=""/>
      <w:lvlJc w:val="left"/>
      <w:pPr>
        <w:ind w:left="7429" w:hanging="360"/>
      </w:pPr>
      <w:rPr>
        <w:rFonts w:ascii="Wingdings" w:hAnsi="Wingdings" w:hint="default"/>
      </w:rPr>
    </w:lvl>
  </w:abstractNum>
  <w:abstractNum w:abstractNumId="10" w15:restartNumberingAfterBreak="0">
    <w:nsid w:val="19D70726"/>
    <w:multiLevelType w:val="hybridMultilevel"/>
    <w:tmpl w:val="DAB84F36"/>
    <w:lvl w:ilvl="0" w:tplc="E75C7966">
      <w:start w:val="1"/>
      <w:numFmt w:val="bullet"/>
      <w:lvlText w:val="-"/>
      <w:lvlJc w:val="left"/>
      <w:pPr>
        <w:ind w:left="720" w:hanging="360"/>
      </w:pPr>
      <w:rPr>
        <w:rFonts w:ascii="Courier New" w:hAnsi="Courier Ne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F24E75"/>
    <w:multiLevelType w:val="multilevel"/>
    <w:tmpl w:val="3970D40C"/>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1C5C2B4C"/>
    <w:multiLevelType w:val="hybridMultilevel"/>
    <w:tmpl w:val="C276D712"/>
    <w:lvl w:ilvl="0" w:tplc="0C090001">
      <w:start w:val="1"/>
      <w:numFmt w:val="bullet"/>
      <w:lvlText w:val=""/>
      <w:lvlJc w:val="left"/>
      <w:pPr>
        <w:ind w:left="360" w:hanging="360"/>
      </w:pPr>
      <w:rPr>
        <w:rFonts w:ascii="Symbol" w:hAnsi="Symbol" w:hint="default"/>
      </w:rPr>
    </w:lvl>
    <w:lvl w:ilvl="1" w:tplc="2730D902">
      <w:start w:val="1"/>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C404BC"/>
    <w:multiLevelType w:val="hybridMultilevel"/>
    <w:tmpl w:val="8CC28124"/>
    <w:lvl w:ilvl="0" w:tplc="E75C7966">
      <w:start w:val="1"/>
      <w:numFmt w:val="bullet"/>
      <w:lvlText w:val="-"/>
      <w:lvlJc w:val="left"/>
      <w:pPr>
        <w:ind w:left="7590" w:hanging="360"/>
      </w:pPr>
      <w:rPr>
        <w:rFonts w:ascii="Courier New" w:hAnsi="Courier New" w:cs="Times New Roman"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FA387C"/>
    <w:multiLevelType w:val="hybridMultilevel"/>
    <w:tmpl w:val="9A60E752"/>
    <w:lvl w:ilvl="0" w:tplc="74C047BC">
      <w:start w:val="1"/>
      <w:numFmt w:val="bullet"/>
      <w:pStyle w:val="Bullets"/>
      <w:lvlText w:val=""/>
      <w:lvlJc w:val="left"/>
      <w:pPr>
        <w:ind w:left="7590" w:hanging="360"/>
      </w:pPr>
      <w:rPr>
        <w:rFonts w:ascii="Wingdings" w:hAnsi="Wingdings"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261331"/>
    <w:multiLevelType w:val="multilevel"/>
    <w:tmpl w:val="CCD456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63744FB"/>
    <w:multiLevelType w:val="hybridMultilevel"/>
    <w:tmpl w:val="F1364D16"/>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7" w15:restartNumberingAfterBreak="0">
    <w:nsid w:val="34C23CCF"/>
    <w:multiLevelType w:val="hybridMultilevel"/>
    <w:tmpl w:val="3F9CD13E"/>
    <w:lvl w:ilvl="0" w:tplc="36F482B8">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AE3C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A96D60"/>
    <w:multiLevelType w:val="hybridMultilevel"/>
    <w:tmpl w:val="79C0199C"/>
    <w:lvl w:ilvl="0" w:tplc="E75C7966">
      <w:start w:val="1"/>
      <w:numFmt w:val="bullet"/>
      <w:lvlText w:val="-"/>
      <w:lvlJc w:val="left"/>
      <w:pPr>
        <w:ind w:left="7590" w:hanging="360"/>
      </w:pPr>
      <w:rPr>
        <w:rFonts w:ascii="Courier New" w:hAnsi="Courier New" w:cs="Times New Roman"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EA47D0"/>
    <w:multiLevelType w:val="hybridMultilevel"/>
    <w:tmpl w:val="8C7266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D0B7445"/>
    <w:multiLevelType w:val="hybridMultilevel"/>
    <w:tmpl w:val="AE824EAA"/>
    <w:lvl w:ilvl="0" w:tplc="E9A27344">
      <w:start w:val="1"/>
      <w:numFmt w:val="decimal"/>
      <w:lvlText w:val="Report %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4F4644"/>
    <w:multiLevelType w:val="hybridMultilevel"/>
    <w:tmpl w:val="A27E5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25B68"/>
    <w:multiLevelType w:val="hybridMultilevel"/>
    <w:tmpl w:val="7F0ECF34"/>
    <w:lvl w:ilvl="0" w:tplc="A6384F78">
      <w:start w:val="1"/>
      <w:numFmt w:val="bullet"/>
      <w:pStyle w:val="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767A61"/>
    <w:multiLevelType w:val="hybridMultilevel"/>
    <w:tmpl w:val="C7D4CC44"/>
    <w:lvl w:ilvl="0" w:tplc="C15C9A56">
      <w:start w:val="1"/>
      <w:numFmt w:val="decimal"/>
      <w:pStyle w:val="Recommendations"/>
      <w:lvlText w:val="Recommendation %1"/>
      <w:lvlJc w:val="left"/>
      <w:pPr>
        <w:ind w:left="2203" w:hanging="360"/>
      </w:pPr>
      <w:rPr>
        <w:rFonts w:hint="default"/>
        <w:b/>
        <w:i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286F53"/>
    <w:multiLevelType w:val="hybridMultilevel"/>
    <w:tmpl w:val="2C90F506"/>
    <w:lvl w:ilvl="0" w:tplc="A038F3C8">
      <w:start w:val="1"/>
      <w:numFmt w:val="lowerLetter"/>
      <w:pStyle w:val="CCS-NumericNumberedList"/>
      <w:lvlText w:val="%1)"/>
      <w:lvlJc w:val="left"/>
      <w:pPr>
        <w:ind w:left="360" w:hanging="360"/>
      </w:pPr>
      <w:rPr>
        <w:rFonts w:hint="default"/>
      </w:rPr>
    </w:lvl>
    <w:lvl w:ilvl="1" w:tplc="F41A5474" w:tentative="1">
      <w:start w:val="1"/>
      <w:numFmt w:val="lowerLetter"/>
      <w:lvlText w:val="%2."/>
      <w:lvlJc w:val="left"/>
      <w:pPr>
        <w:ind w:left="1080" w:hanging="360"/>
      </w:pPr>
    </w:lvl>
    <w:lvl w:ilvl="2" w:tplc="3678FA12" w:tentative="1">
      <w:start w:val="1"/>
      <w:numFmt w:val="lowerRoman"/>
      <w:lvlText w:val="%3."/>
      <w:lvlJc w:val="right"/>
      <w:pPr>
        <w:ind w:left="1800" w:hanging="180"/>
      </w:pPr>
    </w:lvl>
    <w:lvl w:ilvl="3" w:tplc="06D8D3D4" w:tentative="1">
      <w:start w:val="1"/>
      <w:numFmt w:val="decimal"/>
      <w:lvlText w:val="%4."/>
      <w:lvlJc w:val="left"/>
      <w:pPr>
        <w:ind w:left="2520" w:hanging="360"/>
      </w:pPr>
    </w:lvl>
    <w:lvl w:ilvl="4" w:tplc="F7C4D3AC" w:tentative="1">
      <w:start w:val="1"/>
      <w:numFmt w:val="lowerLetter"/>
      <w:lvlText w:val="%5."/>
      <w:lvlJc w:val="left"/>
      <w:pPr>
        <w:ind w:left="3240" w:hanging="360"/>
      </w:pPr>
    </w:lvl>
    <w:lvl w:ilvl="5" w:tplc="EC263354" w:tentative="1">
      <w:start w:val="1"/>
      <w:numFmt w:val="lowerRoman"/>
      <w:lvlText w:val="%6."/>
      <w:lvlJc w:val="right"/>
      <w:pPr>
        <w:ind w:left="3960" w:hanging="180"/>
      </w:pPr>
    </w:lvl>
    <w:lvl w:ilvl="6" w:tplc="6DDAB9AE" w:tentative="1">
      <w:start w:val="1"/>
      <w:numFmt w:val="decimal"/>
      <w:lvlText w:val="%7."/>
      <w:lvlJc w:val="left"/>
      <w:pPr>
        <w:ind w:left="4680" w:hanging="360"/>
      </w:pPr>
    </w:lvl>
    <w:lvl w:ilvl="7" w:tplc="BB460B5C" w:tentative="1">
      <w:start w:val="1"/>
      <w:numFmt w:val="lowerLetter"/>
      <w:lvlText w:val="%8."/>
      <w:lvlJc w:val="left"/>
      <w:pPr>
        <w:ind w:left="5400" w:hanging="360"/>
      </w:pPr>
    </w:lvl>
    <w:lvl w:ilvl="8" w:tplc="29BA4FE2" w:tentative="1">
      <w:start w:val="1"/>
      <w:numFmt w:val="lowerRoman"/>
      <w:lvlText w:val="%9."/>
      <w:lvlJc w:val="right"/>
      <w:pPr>
        <w:ind w:left="6120" w:hanging="180"/>
      </w:pPr>
    </w:lvl>
  </w:abstractNum>
  <w:abstractNum w:abstractNumId="26" w15:restartNumberingAfterBreak="0">
    <w:nsid w:val="64EB4642"/>
    <w:multiLevelType w:val="hybridMultilevel"/>
    <w:tmpl w:val="0186C5FA"/>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27" w15:restartNumberingAfterBreak="0">
    <w:nsid w:val="6D0B0F0B"/>
    <w:multiLevelType w:val="singleLevel"/>
    <w:tmpl w:val="32D6C89A"/>
    <w:lvl w:ilvl="0">
      <w:start w:val="1"/>
      <w:numFmt w:val="bullet"/>
      <w:pStyle w:val="1BulletList"/>
      <w:lvlText w:val=""/>
      <w:lvlJc w:val="left"/>
      <w:pPr>
        <w:tabs>
          <w:tab w:val="num" w:pos="360"/>
        </w:tabs>
        <w:ind w:left="360" w:hanging="360"/>
      </w:pPr>
      <w:rPr>
        <w:rFonts w:ascii="Wingdings" w:hAnsi="Wingdings" w:hint="default"/>
      </w:rPr>
    </w:lvl>
  </w:abstractNum>
  <w:abstractNum w:abstractNumId="28" w15:restartNumberingAfterBreak="0">
    <w:nsid w:val="733C0FFA"/>
    <w:multiLevelType w:val="multilevel"/>
    <w:tmpl w:val="3970D40C"/>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7A1E1E6B"/>
    <w:multiLevelType w:val="hybridMultilevel"/>
    <w:tmpl w:val="666498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15"/>
  </w:num>
  <w:num w:numId="6">
    <w:abstractNumId w:val="1"/>
  </w:num>
  <w:num w:numId="7">
    <w:abstractNumId w:val="21"/>
  </w:num>
  <w:num w:numId="8">
    <w:abstractNumId w:val="25"/>
  </w:num>
  <w:num w:numId="9">
    <w:abstractNumId w:val="23"/>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16"/>
  </w:num>
  <w:num w:numId="15">
    <w:abstractNumId w:val="26"/>
  </w:num>
  <w:num w:numId="16">
    <w:abstractNumId w:val="20"/>
  </w:num>
  <w:num w:numId="17">
    <w:abstractNumId w:val="9"/>
  </w:num>
  <w:num w:numId="18">
    <w:abstractNumId w:val="3"/>
  </w:num>
  <w:num w:numId="19">
    <w:abstractNumId w:val="22"/>
  </w:num>
  <w:num w:numId="20">
    <w:abstractNumId w:val="12"/>
  </w:num>
  <w:num w:numId="21">
    <w:abstractNumId w:val="29"/>
  </w:num>
  <w:num w:numId="22">
    <w:abstractNumId w:val="24"/>
  </w:num>
  <w:num w:numId="23">
    <w:abstractNumId w:val="6"/>
  </w:num>
  <w:num w:numId="24">
    <w:abstractNumId w:val="15"/>
  </w:num>
  <w:num w:numId="25">
    <w:abstractNumId w:val="8"/>
  </w:num>
  <w:num w:numId="26">
    <w:abstractNumId w:val="11"/>
  </w:num>
  <w:num w:numId="27">
    <w:abstractNumId w:val="14"/>
  </w:num>
  <w:num w:numId="28">
    <w:abstractNumId w:val="28"/>
  </w:num>
  <w:num w:numId="29">
    <w:abstractNumId w:val="1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
  </w:num>
  <w:num w:numId="33">
    <w:abstractNumId w:val="13"/>
  </w:num>
  <w:num w:numId="34">
    <w:abstractNumId w:val="19"/>
  </w:num>
  <w:num w:numId="35">
    <w:abstractNumId w:val="10"/>
  </w:num>
  <w:num w:numId="3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81"/>
    <w:rsid w:val="0000306F"/>
    <w:rsid w:val="00003E81"/>
    <w:rsid w:val="00003F55"/>
    <w:rsid w:val="00013593"/>
    <w:rsid w:val="00013ADE"/>
    <w:rsid w:val="00013C55"/>
    <w:rsid w:val="00015455"/>
    <w:rsid w:val="00015505"/>
    <w:rsid w:val="00015C6A"/>
    <w:rsid w:val="00026A0D"/>
    <w:rsid w:val="000277F9"/>
    <w:rsid w:val="00027C4E"/>
    <w:rsid w:val="000301F7"/>
    <w:rsid w:val="00031277"/>
    <w:rsid w:val="0003151A"/>
    <w:rsid w:val="00040859"/>
    <w:rsid w:val="00042F02"/>
    <w:rsid w:val="000441E8"/>
    <w:rsid w:val="0004575B"/>
    <w:rsid w:val="000457D8"/>
    <w:rsid w:val="00046574"/>
    <w:rsid w:val="00050F85"/>
    <w:rsid w:val="00052EDB"/>
    <w:rsid w:val="0005621A"/>
    <w:rsid w:val="000623DA"/>
    <w:rsid w:val="00062DC7"/>
    <w:rsid w:val="00063371"/>
    <w:rsid w:val="000651DA"/>
    <w:rsid w:val="00065292"/>
    <w:rsid w:val="00066284"/>
    <w:rsid w:val="00066CD1"/>
    <w:rsid w:val="00066FC5"/>
    <w:rsid w:val="00070F08"/>
    <w:rsid w:val="0007126F"/>
    <w:rsid w:val="00071B06"/>
    <w:rsid w:val="000735AE"/>
    <w:rsid w:val="00075624"/>
    <w:rsid w:val="00081052"/>
    <w:rsid w:val="000869BF"/>
    <w:rsid w:val="000874D4"/>
    <w:rsid w:val="000901B5"/>
    <w:rsid w:val="0009151A"/>
    <w:rsid w:val="00091BD9"/>
    <w:rsid w:val="00091C92"/>
    <w:rsid w:val="00094720"/>
    <w:rsid w:val="000A080C"/>
    <w:rsid w:val="000A6630"/>
    <w:rsid w:val="000B28BC"/>
    <w:rsid w:val="000B2EC2"/>
    <w:rsid w:val="000B423E"/>
    <w:rsid w:val="000B7D19"/>
    <w:rsid w:val="000D0509"/>
    <w:rsid w:val="000D0716"/>
    <w:rsid w:val="000D0E1E"/>
    <w:rsid w:val="000D16C6"/>
    <w:rsid w:val="000D1D50"/>
    <w:rsid w:val="000D4F54"/>
    <w:rsid w:val="000D66CE"/>
    <w:rsid w:val="000D6E2F"/>
    <w:rsid w:val="000E0A1B"/>
    <w:rsid w:val="000E2E5F"/>
    <w:rsid w:val="000E3AF4"/>
    <w:rsid w:val="000E4429"/>
    <w:rsid w:val="000E5338"/>
    <w:rsid w:val="000E54C2"/>
    <w:rsid w:val="000E682B"/>
    <w:rsid w:val="000F0123"/>
    <w:rsid w:val="000F1E85"/>
    <w:rsid w:val="000F39B9"/>
    <w:rsid w:val="000F5457"/>
    <w:rsid w:val="000F62DB"/>
    <w:rsid w:val="000F6C4A"/>
    <w:rsid w:val="000F7185"/>
    <w:rsid w:val="000F7E00"/>
    <w:rsid w:val="000F7F92"/>
    <w:rsid w:val="00103AC8"/>
    <w:rsid w:val="00105AC8"/>
    <w:rsid w:val="00106358"/>
    <w:rsid w:val="00106657"/>
    <w:rsid w:val="00106CEA"/>
    <w:rsid w:val="00106E5E"/>
    <w:rsid w:val="00111C15"/>
    <w:rsid w:val="00114317"/>
    <w:rsid w:val="00114754"/>
    <w:rsid w:val="00114CB1"/>
    <w:rsid w:val="00114F5D"/>
    <w:rsid w:val="001214C0"/>
    <w:rsid w:val="001238A9"/>
    <w:rsid w:val="001243B7"/>
    <w:rsid w:val="00126A32"/>
    <w:rsid w:val="0012740A"/>
    <w:rsid w:val="00127C58"/>
    <w:rsid w:val="00130FB7"/>
    <w:rsid w:val="001316E9"/>
    <w:rsid w:val="001325EF"/>
    <w:rsid w:val="001371DF"/>
    <w:rsid w:val="00137A72"/>
    <w:rsid w:val="0014007B"/>
    <w:rsid w:val="00141EFA"/>
    <w:rsid w:val="00142CFE"/>
    <w:rsid w:val="00144CD6"/>
    <w:rsid w:val="00145774"/>
    <w:rsid w:val="00146F8F"/>
    <w:rsid w:val="0015027F"/>
    <w:rsid w:val="0015206C"/>
    <w:rsid w:val="00152F40"/>
    <w:rsid w:val="00157990"/>
    <w:rsid w:val="00160088"/>
    <w:rsid w:val="001606FE"/>
    <w:rsid w:val="0016276F"/>
    <w:rsid w:val="00162E25"/>
    <w:rsid w:val="001655D8"/>
    <w:rsid w:val="00166030"/>
    <w:rsid w:val="00171DA7"/>
    <w:rsid w:val="001741B4"/>
    <w:rsid w:val="00175B5C"/>
    <w:rsid w:val="00177774"/>
    <w:rsid w:val="00180AC8"/>
    <w:rsid w:val="0018265C"/>
    <w:rsid w:val="00182991"/>
    <w:rsid w:val="00184F5A"/>
    <w:rsid w:val="001878B8"/>
    <w:rsid w:val="00191C33"/>
    <w:rsid w:val="0019296D"/>
    <w:rsid w:val="001931C0"/>
    <w:rsid w:val="00193F8A"/>
    <w:rsid w:val="00196C53"/>
    <w:rsid w:val="001A02B4"/>
    <w:rsid w:val="001A083A"/>
    <w:rsid w:val="001A2768"/>
    <w:rsid w:val="001A38C0"/>
    <w:rsid w:val="001B3B2D"/>
    <w:rsid w:val="001B5846"/>
    <w:rsid w:val="001B7011"/>
    <w:rsid w:val="001C0662"/>
    <w:rsid w:val="001C2822"/>
    <w:rsid w:val="001C4C9B"/>
    <w:rsid w:val="001C598D"/>
    <w:rsid w:val="001C5CDE"/>
    <w:rsid w:val="001D066A"/>
    <w:rsid w:val="001D0743"/>
    <w:rsid w:val="001D1EF1"/>
    <w:rsid w:val="001D2F72"/>
    <w:rsid w:val="001D6721"/>
    <w:rsid w:val="001E23ED"/>
    <w:rsid w:val="001E5F06"/>
    <w:rsid w:val="001F4339"/>
    <w:rsid w:val="001F518D"/>
    <w:rsid w:val="001F5460"/>
    <w:rsid w:val="001F5FE1"/>
    <w:rsid w:val="0020372A"/>
    <w:rsid w:val="002054B8"/>
    <w:rsid w:val="002061DD"/>
    <w:rsid w:val="00206D88"/>
    <w:rsid w:val="00207D94"/>
    <w:rsid w:val="00210AA5"/>
    <w:rsid w:val="00212EB3"/>
    <w:rsid w:val="0021584C"/>
    <w:rsid w:val="002165E0"/>
    <w:rsid w:val="00217B68"/>
    <w:rsid w:val="002230D7"/>
    <w:rsid w:val="00223B13"/>
    <w:rsid w:val="002253DF"/>
    <w:rsid w:val="00226559"/>
    <w:rsid w:val="00227800"/>
    <w:rsid w:val="00231A37"/>
    <w:rsid w:val="00233201"/>
    <w:rsid w:val="00234A53"/>
    <w:rsid w:val="002412CA"/>
    <w:rsid w:val="00243C85"/>
    <w:rsid w:val="002468B2"/>
    <w:rsid w:val="0024783F"/>
    <w:rsid w:val="00251C4B"/>
    <w:rsid w:val="00254772"/>
    <w:rsid w:val="002550D7"/>
    <w:rsid w:val="002554A5"/>
    <w:rsid w:val="00260AC2"/>
    <w:rsid w:val="002628D3"/>
    <w:rsid w:val="00264FFB"/>
    <w:rsid w:val="00265868"/>
    <w:rsid w:val="00266216"/>
    <w:rsid w:val="002667F7"/>
    <w:rsid w:val="00266920"/>
    <w:rsid w:val="00266A77"/>
    <w:rsid w:val="002701ED"/>
    <w:rsid w:val="00270DAA"/>
    <w:rsid w:val="00272FF4"/>
    <w:rsid w:val="00274C78"/>
    <w:rsid w:val="00274CDA"/>
    <w:rsid w:val="0027697D"/>
    <w:rsid w:val="002813C3"/>
    <w:rsid w:val="002841B9"/>
    <w:rsid w:val="00284A77"/>
    <w:rsid w:val="002865CC"/>
    <w:rsid w:val="00287592"/>
    <w:rsid w:val="00287D89"/>
    <w:rsid w:val="00291B09"/>
    <w:rsid w:val="002A0288"/>
    <w:rsid w:val="002A2D54"/>
    <w:rsid w:val="002A5E5D"/>
    <w:rsid w:val="002A7314"/>
    <w:rsid w:val="002C0D5D"/>
    <w:rsid w:val="002C2D28"/>
    <w:rsid w:val="002C4091"/>
    <w:rsid w:val="002C433F"/>
    <w:rsid w:val="002C768A"/>
    <w:rsid w:val="002D0561"/>
    <w:rsid w:val="002D06AD"/>
    <w:rsid w:val="002D1AF1"/>
    <w:rsid w:val="002D1E31"/>
    <w:rsid w:val="002D3C07"/>
    <w:rsid w:val="002D3FF8"/>
    <w:rsid w:val="002D4A4E"/>
    <w:rsid w:val="002D4EAB"/>
    <w:rsid w:val="002E1AA4"/>
    <w:rsid w:val="002E30B7"/>
    <w:rsid w:val="002E45D6"/>
    <w:rsid w:val="002E6981"/>
    <w:rsid w:val="002F28A7"/>
    <w:rsid w:val="002F2F37"/>
    <w:rsid w:val="002F3801"/>
    <w:rsid w:val="002F4031"/>
    <w:rsid w:val="002F56AF"/>
    <w:rsid w:val="002F5954"/>
    <w:rsid w:val="003002C4"/>
    <w:rsid w:val="00301397"/>
    <w:rsid w:val="00301BD2"/>
    <w:rsid w:val="00301C8F"/>
    <w:rsid w:val="00302D1E"/>
    <w:rsid w:val="00306A95"/>
    <w:rsid w:val="00310A1E"/>
    <w:rsid w:val="00310FC8"/>
    <w:rsid w:val="00315497"/>
    <w:rsid w:val="00315E85"/>
    <w:rsid w:val="00316BDB"/>
    <w:rsid w:val="003178AE"/>
    <w:rsid w:val="00317E6A"/>
    <w:rsid w:val="003204BF"/>
    <w:rsid w:val="00320594"/>
    <w:rsid w:val="00322476"/>
    <w:rsid w:val="00325E39"/>
    <w:rsid w:val="003272CC"/>
    <w:rsid w:val="00327D41"/>
    <w:rsid w:val="003316DD"/>
    <w:rsid w:val="00332705"/>
    <w:rsid w:val="00336917"/>
    <w:rsid w:val="00336FD0"/>
    <w:rsid w:val="003414AD"/>
    <w:rsid w:val="00344DA9"/>
    <w:rsid w:val="003471B4"/>
    <w:rsid w:val="00351FC8"/>
    <w:rsid w:val="00353B2D"/>
    <w:rsid w:val="00355C3F"/>
    <w:rsid w:val="00355E06"/>
    <w:rsid w:val="00357F29"/>
    <w:rsid w:val="0036031D"/>
    <w:rsid w:val="00360D59"/>
    <w:rsid w:val="0036145C"/>
    <w:rsid w:val="003616E7"/>
    <w:rsid w:val="003634B1"/>
    <w:rsid w:val="00364330"/>
    <w:rsid w:val="003646A3"/>
    <w:rsid w:val="003650DD"/>
    <w:rsid w:val="00370D0A"/>
    <w:rsid w:val="00373519"/>
    <w:rsid w:val="00373B3C"/>
    <w:rsid w:val="00375885"/>
    <w:rsid w:val="00377242"/>
    <w:rsid w:val="00386A60"/>
    <w:rsid w:val="00386CA0"/>
    <w:rsid w:val="00386D5F"/>
    <w:rsid w:val="00387236"/>
    <w:rsid w:val="003877E2"/>
    <w:rsid w:val="0039006F"/>
    <w:rsid w:val="00390FE3"/>
    <w:rsid w:val="00393A51"/>
    <w:rsid w:val="00393C7F"/>
    <w:rsid w:val="00393E7E"/>
    <w:rsid w:val="00396FF8"/>
    <w:rsid w:val="003978C6"/>
    <w:rsid w:val="003A0F95"/>
    <w:rsid w:val="003A2FA2"/>
    <w:rsid w:val="003A7706"/>
    <w:rsid w:val="003B0AAF"/>
    <w:rsid w:val="003B189B"/>
    <w:rsid w:val="003B27FC"/>
    <w:rsid w:val="003B552C"/>
    <w:rsid w:val="003C01E0"/>
    <w:rsid w:val="003C0A96"/>
    <w:rsid w:val="003C3FAA"/>
    <w:rsid w:val="003C73B1"/>
    <w:rsid w:val="003D044C"/>
    <w:rsid w:val="003D2275"/>
    <w:rsid w:val="003D4E8D"/>
    <w:rsid w:val="003D709D"/>
    <w:rsid w:val="003D77A5"/>
    <w:rsid w:val="003E0139"/>
    <w:rsid w:val="003E08FA"/>
    <w:rsid w:val="003E111B"/>
    <w:rsid w:val="003E41EA"/>
    <w:rsid w:val="003E4554"/>
    <w:rsid w:val="003E5137"/>
    <w:rsid w:val="003E5344"/>
    <w:rsid w:val="003F1D37"/>
    <w:rsid w:val="003F4552"/>
    <w:rsid w:val="003F49C8"/>
    <w:rsid w:val="003F6ABA"/>
    <w:rsid w:val="00400841"/>
    <w:rsid w:val="00402647"/>
    <w:rsid w:val="00404C5E"/>
    <w:rsid w:val="00410D6C"/>
    <w:rsid w:val="00411DBC"/>
    <w:rsid w:val="00411EBA"/>
    <w:rsid w:val="00414243"/>
    <w:rsid w:val="0041467E"/>
    <w:rsid w:val="00416815"/>
    <w:rsid w:val="00421006"/>
    <w:rsid w:val="004211F3"/>
    <w:rsid w:val="00421591"/>
    <w:rsid w:val="00422C82"/>
    <w:rsid w:val="004236D5"/>
    <w:rsid w:val="00423A57"/>
    <w:rsid w:val="00424664"/>
    <w:rsid w:val="00426124"/>
    <w:rsid w:val="004264F3"/>
    <w:rsid w:val="004268C3"/>
    <w:rsid w:val="0043278D"/>
    <w:rsid w:val="00432B62"/>
    <w:rsid w:val="004359F2"/>
    <w:rsid w:val="004417FF"/>
    <w:rsid w:val="00442A39"/>
    <w:rsid w:val="0044359D"/>
    <w:rsid w:val="00443927"/>
    <w:rsid w:val="0044683F"/>
    <w:rsid w:val="004473BB"/>
    <w:rsid w:val="004500EB"/>
    <w:rsid w:val="00451160"/>
    <w:rsid w:val="00452D08"/>
    <w:rsid w:val="00454B24"/>
    <w:rsid w:val="00456561"/>
    <w:rsid w:val="00456602"/>
    <w:rsid w:val="00457EB4"/>
    <w:rsid w:val="00462770"/>
    <w:rsid w:val="00462A0A"/>
    <w:rsid w:val="00465935"/>
    <w:rsid w:val="004659B6"/>
    <w:rsid w:val="00471AAC"/>
    <w:rsid w:val="00472BCC"/>
    <w:rsid w:val="00472F6A"/>
    <w:rsid w:val="0047789E"/>
    <w:rsid w:val="0048111A"/>
    <w:rsid w:val="00482005"/>
    <w:rsid w:val="0048308E"/>
    <w:rsid w:val="004846E1"/>
    <w:rsid w:val="00492A48"/>
    <w:rsid w:val="00497D0E"/>
    <w:rsid w:val="004A07E4"/>
    <w:rsid w:val="004A09EC"/>
    <w:rsid w:val="004A0D01"/>
    <w:rsid w:val="004A1979"/>
    <w:rsid w:val="004A24D7"/>
    <w:rsid w:val="004A2C35"/>
    <w:rsid w:val="004A312B"/>
    <w:rsid w:val="004A5B22"/>
    <w:rsid w:val="004A7519"/>
    <w:rsid w:val="004B1002"/>
    <w:rsid w:val="004B35DC"/>
    <w:rsid w:val="004B379A"/>
    <w:rsid w:val="004B5133"/>
    <w:rsid w:val="004B6910"/>
    <w:rsid w:val="004B7D4B"/>
    <w:rsid w:val="004C1BC5"/>
    <w:rsid w:val="004C477E"/>
    <w:rsid w:val="004C4D83"/>
    <w:rsid w:val="004C4F81"/>
    <w:rsid w:val="004C5098"/>
    <w:rsid w:val="004C6BE6"/>
    <w:rsid w:val="004D119D"/>
    <w:rsid w:val="004D295A"/>
    <w:rsid w:val="004D3424"/>
    <w:rsid w:val="004D673F"/>
    <w:rsid w:val="004E11EC"/>
    <w:rsid w:val="004E4E61"/>
    <w:rsid w:val="004E6A52"/>
    <w:rsid w:val="004F2624"/>
    <w:rsid w:val="004F2DD1"/>
    <w:rsid w:val="004F31A2"/>
    <w:rsid w:val="004F68EA"/>
    <w:rsid w:val="00500A13"/>
    <w:rsid w:val="00501E13"/>
    <w:rsid w:val="00502B3F"/>
    <w:rsid w:val="00503642"/>
    <w:rsid w:val="005074BB"/>
    <w:rsid w:val="005103F8"/>
    <w:rsid w:val="00511FAA"/>
    <w:rsid w:val="00514827"/>
    <w:rsid w:val="00514AE4"/>
    <w:rsid w:val="0051563F"/>
    <w:rsid w:val="00516218"/>
    <w:rsid w:val="005168D9"/>
    <w:rsid w:val="00517130"/>
    <w:rsid w:val="00517BAF"/>
    <w:rsid w:val="005209CE"/>
    <w:rsid w:val="0052311E"/>
    <w:rsid w:val="005250D1"/>
    <w:rsid w:val="00525421"/>
    <w:rsid w:val="0053101F"/>
    <w:rsid w:val="00531FAD"/>
    <w:rsid w:val="0053726F"/>
    <w:rsid w:val="00540589"/>
    <w:rsid w:val="0054064C"/>
    <w:rsid w:val="00544296"/>
    <w:rsid w:val="00547736"/>
    <w:rsid w:val="00551325"/>
    <w:rsid w:val="00553726"/>
    <w:rsid w:val="00553D75"/>
    <w:rsid w:val="00557A45"/>
    <w:rsid w:val="00561B55"/>
    <w:rsid w:val="00561FC7"/>
    <w:rsid w:val="0056569A"/>
    <w:rsid w:val="00565D03"/>
    <w:rsid w:val="0056620C"/>
    <w:rsid w:val="005672F5"/>
    <w:rsid w:val="00572E47"/>
    <w:rsid w:val="005744DC"/>
    <w:rsid w:val="00575CF9"/>
    <w:rsid w:val="005818AB"/>
    <w:rsid w:val="00581D34"/>
    <w:rsid w:val="00582B06"/>
    <w:rsid w:val="00584523"/>
    <w:rsid w:val="0058586C"/>
    <w:rsid w:val="00586E4B"/>
    <w:rsid w:val="00590D5B"/>
    <w:rsid w:val="005926D5"/>
    <w:rsid w:val="00592872"/>
    <w:rsid w:val="00593397"/>
    <w:rsid w:val="00594829"/>
    <w:rsid w:val="0059587C"/>
    <w:rsid w:val="00597CEF"/>
    <w:rsid w:val="00597E98"/>
    <w:rsid w:val="005A1C87"/>
    <w:rsid w:val="005A21E1"/>
    <w:rsid w:val="005A3299"/>
    <w:rsid w:val="005A6144"/>
    <w:rsid w:val="005A64C1"/>
    <w:rsid w:val="005A6C65"/>
    <w:rsid w:val="005B1241"/>
    <w:rsid w:val="005B21A8"/>
    <w:rsid w:val="005B2C8D"/>
    <w:rsid w:val="005C45E6"/>
    <w:rsid w:val="005C6230"/>
    <w:rsid w:val="005C6EF6"/>
    <w:rsid w:val="005D22D0"/>
    <w:rsid w:val="005D3F74"/>
    <w:rsid w:val="005D4145"/>
    <w:rsid w:val="005D52A6"/>
    <w:rsid w:val="005D7725"/>
    <w:rsid w:val="005E0189"/>
    <w:rsid w:val="005E38E9"/>
    <w:rsid w:val="005E3D5E"/>
    <w:rsid w:val="005E73EE"/>
    <w:rsid w:val="005E755B"/>
    <w:rsid w:val="005E771B"/>
    <w:rsid w:val="005E7D81"/>
    <w:rsid w:val="005F262B"/>
    <w:rsid w:val="005F2B72"/>
    <w:rsid w:val="00601485"/>
    <w:rsid w:val="00601B8B"/>
    <w:rsid w:val="00601DF4"/>
    <w:rsid w:val="00602C5C"/>
    <w:rsid w:val="006065DA"/>
    <w:rsid w:val="006104BE"/>
    <w:rsid w:val="00610F8F"/>
    <w:rsid w:val="00611DA7"/>
    <w:rsid w:val="006126F1"/>
    <w:rsid w:val="00614169"/>
    <w:rsid w:val="00614272"/>
    <w:rsid w:val="00614809"/>
    <w:rsid w:val="00614F63"/>
    <w:rsid w:val="0061575C"/>
    <w:rsid w:val="00615CEA"/>
    <w:rsid w:val="006201F1"/>
    <w:rsid w:val="00622002"/>
    <w:rsid w:val="006221A2"/>
    <w:rsid w:val="00623CBA"/>
    <w:rsid w:val="0062650C"/>
    <w:rsid w:val="00630C54"/>
    <w:rsid w:val="00637005"/>
    <w:rsid w:val="00640902"/>
    <w:rsid w:val="00641E8C"/>
    <w:rsid w:val="00642B85"/>
    <w:rsid w:val="0064378E"/>
    <w:rsid w:val="00643C5B"/>
    <w:rsid w:val="00647853"/>
    <w:rsid w:val="0065079A"/>
    <w:rsid w:val="00652373"/>
    <w:rsid w:val="006534E0"/>
    <w:rsid w:val="0065469D"/>
    <w:rsid w:val="00654A90"/>
    <w:rsid w:val="00656175"/>
    <w:rsid w:val="006569A7"/>
    <w:rsid w:val="00664471"/>
    <w:rsid w:val="00664809"/>
    <w:rsid w:val="00664F64"/>
    <w:rsid w:val="00666C1F"/>
    <w:rsid w:val="0066729B"/>
    <w:rsid w:val="00671981"/>
    <w:rsid w:val="006721A4"/>
    <w:rsid w:val="00672CF7"/>
    <w:rsid w:val="0067350F"/>
    <w:rsid w:val="0067643A"/>
    <w:rsid w:val="00683E39"/>
    <w:rsid w:val="00684016"/>
    <w:rsid w:val="0068515F"/>
    <w:rsid w:val="00685546"/>
    <w:rsid w:val="0068579C"/>
    <w:rsid w:val="00690001"/>
    <w:rsid w:val="00691072"/>
    <w:rsid w:val="006913E6"/>
    <w:rsid w:val="0069251E"/>
    <w:rsid w:val="00692AAD"/>
    <w:rsid w:val="00693929"/>
    <w:rsid w:val="006953E1"/>
    <w:rsid w:val="0069731B"/>
    <w:rsid w:val="00697514"/>
    <w:rsid w:val="006A04BC"/>
    <w:rsid w:val="006A3B18"/>
    <w:rsid w:val="006A3C42"/>
    <w:rsid w:val="006A40B2"/>
    <w:rsid w:val="006A4815"/>
    <w:rsid w:val="006A49C9"/>
    <w:rsid w:val="006A67C4"/>
    <w:rsid w:val="006B09BA"/>
    <w:rsid w:val="006B2010"/>
    <w:rsid w:val="006B3635"/>
    <w:rsid w:val="006B5343"/>
    <w:rsid w:val="006B58DC"/>
    <w:rsid w:val="006B6484"/>
    <w:rsid w:val="006B6A8C"/>
    <w:rsid w:val="006B6E99"/>
    <w:rsid w:val="006C3DD0"/>
    <w:rsid w:val="006C6F4A"/>
    <w:rsid w:val="006C7397"/>
    <w:rsid w:val="006D2CE5"/>
    <w:rsid w:val="006D3CD5"/>
    <w:rsid w:val="006E12FC"/>
    <w:rsid w:val="006E1504"/>
    <w:rsid w:val="006E2814"/>
    <w:rsid w:val="006E2BE6"/>
    <w:rsid w:val="006E2C60"/>
    <w:rsid w:val="006E2FA1"/>
    <w:rsid w:val="006E373B"/>
    <w:rsid w:val="006E50C0"/>
    <w:rsid w:val="006E71C7"/>
    <w:rsid w:val="006F1A3E"/>
    <w:rsid w:val="006F2A74"/>
    <w:rsid w:val="006F49BB"/>
    <w:rsid w:val="006F6A79"/>
    <w:rsid w:val="006F6CCB"/>
    <w:rsid w:val="006F720C"/>
    <w:rsid w:val="007000B3"/>
    <w:rsid w:val="00700BBA"/>
    <w:rsid w:val="00701711"/>
    <w:rsid w:val="00702524"/>
    <w:rsid w:val="007036F4"/>
    <w:rsid w:val="007039DE"/>
    <w:rsid w:val="007042A3"/>
    <w:rsid w:val="007042C1"/>
    <w:rsid w:val="00710F75"/>
    <w:rsid w:val="007110A7"/>
    <w:rsid w:val="007113A0"/>
    <w:rsid w:val="00712626"/>
    <w:rsid w:val="00712BC2"/>
    <w:rsid w:val="00713F3C"/>
    <w:rsid w:val="00714609"/>
    <w:rsid w:val="00715284"/>
    <w:rsid w:val="00721000"/>
    <w:rsid w:val="0072150C"/>
    <w:rsid w:val="00725192"/>
    <w:rsid w:val="00726B62"/>
    <w:rsid w:val="00727616"/>
    <w:rsid w:val="0073042A"/>
    <w:rsid w:val="00730982"/>
    <w:rsid w:val="0073417B"/>
    <w:rsid w:val="007369C5"/>
    <w:rsid w:val="00736A13"/>
    <w:rsid w:val="00736D5B"/>
    <w:rsid w:val="007373A2"/>
    <w:rsid w:val="00737914"/>
    <w:rsid w:val="00737F36"/>
    <w:rsid w:val="00741B89"/>
    <w:rsid w:val="0074278F"/>
    <w:rsid w:val="00744091"/>
    <w:rsid w:val="0074599E"/>
    <w:rsid w:val="00745DBE"/>
    <w:rsid w:val="007461E2"/>
    <w:rsid w:val="00746E54"/>
    <w:rsid w:val="00751454"/>
    <w:rsid w:val="00753EA0"/>
    <w:rsid w:val="00754D04"/>
    <w:rsid w:val="007559EB"/>
    <w:rsid w:val="00761A1F"/>
    <w:rsid w:val="0076388E"/>
    <w:rsid w:val="00765F4E"/>
    <w:rsid w:val="00766A6D"/>
    <w:rsid w:val="00767414"/>
    <w:rsid w:val="00770932"/>
    <w:rsid w:val="00771504"/>
    <w:rsid w:val="00771946"/>
    <w:rsid w:val="00775EA7"/>
    <w:rsid w:val="00775FB0"/>
    <w:rsid w:val="007766CE"/>
    <w:rsid w:val="00780370"/>
    <w:rsid w:val="00783EBB"/>
    <w:rsid w:val="007911DA"/>
    <w:rsid w:val="00791C57"/>
    <w:rsid w:val="00792FA6"/>
    <w:rsid w:val="007949A5"/>
    <w:rsid w:val="007956B5"/>
    <w:rsid w:val="00796D12"/>
    <w:rsid w:val="007977CE"/>
    <w:rsid w:val="007A14E0"/>
    <w:rsid w:val="007A17F9"/>
    <w:rsid w:val="007A1B69"/>
    <w:rsid w:val="007A1EAA"/>
    <w:rsid w:val="007B1296"/>
    <w:rsid w:val="007B1742"/>
    <w:rsid w:val="007B2760"/>
    <w:rsid w:val="007B2FAC"/>
    <w:rsid w:val="007B3758"/>
    <w:rsid w:val="007B3AC5"/>
    <w:rsid w:val="007B4366"/>
    <w:rsid w:val="007B5CD2"/>
    <w:rsid w:val="007C1D81"/>
    <w:rsid w:val="007C2CE3"/>
    <w:rsid w:val="007C4DC4"/>
    <w:rsid w:val="007C4FD2"/>
    <w:rsid w:val="007C54C5"/>
    <w:rsid w:val="007C6668"/>
    <w:rsid w:val="007C77E6"/>
    <w:rsid w:val="007D0A05"/>
    <w:rsid w:val="007D0D87"/>
    <w:rsid w:val="007D28C3"/>
    <w:rsid w:val="007D362B"/>
    <w:rsid w:val="007D4634"/>
    <w:rsid w:val="007D53B5"/>
    <w:rsid w:val="007D60E2"/>
    <w:rsid w:val="007E21E0"/>
    <w:rsid w:val="007E428E"/>
    <w:rsid w:val="007E46A4"/>
    <w:rsid w:val="007F1EF6"/>
    <w:rsid w:val="007F2604"/>
    <w:rsid w:val="007F3B4B"/>
    <w:rsid w:val="00801B51"/>
    <w:rsid w:val="00801B97"/>
    <w:rsid w:val="00802A80"/>
    <w:rsid w:val="008037DE"/>
    <w:rsid w:val="00804C11"/>
    <w:rsid w:val="008110C8"/>
    <w:rsid w:val="00812DB3"/>
    <w:rsid w:val="00813ECE"/>
    <w:rsid w:val="008175BC"/>
    <w:rsid w:val="00817A73"/>
    <w:rsid w:val="00817D9B"/>
    <w:rsid w:val="008231C2"/>
    <w:rsid w:val="00823856"/>
    <w:rsid w:val="008258BC"/>
    <w:rsid w:val="00827DDF"/>
    <w:rsid w:val="00831E2F"/>
    <w:rsid w:val="008346AC"/>
    <w:rsid w:val="00836D03"/>
    <w:rsid w:val="00847404"/>
    <w:rsid w:val="00853F33"/>
    <w:rsid w:val="00857004"/>
    <w:rsid w:val="008639F8"/>
    <w:rsid w:val="00863A81"/>
    <w:rsid w:val="00864880"/>
    <w:rsid w:val="00864BBA"/>
    <w:rsid w:val="008650A0"/>
    <w:rsid w:val="00866426"/>
    <w:rsid w:val="008664B2"/>
    <w:rsid w:val="00866E82"/>
    <w:rsid w:val="008710A3"/>
    <w:rsid w:val="00871BA5"/>
    <w:rsid w:val="008774BF"/>
    <w:rsid w:val="00883413"/>
    <w:rsid w:val="008834F7"/>
    <w:rsid w:val="00883B68"/>
    <w:rsid w:val="008844F2"/>
    <w:rsid w:val="00886A4A"/>
    <w:rsid w:val="00886C17"/>
    <w:rsid w:val="00890092"/>
    <w:rsid w:val="00892A27"/>
    <w:rsid w:val="008A1FFA"/>
    <w:rsid w:val="008A3C3B"/>
    <w:rsid w:val="008A42A5"/>
    <w:rsid w:val="008A7AF9"/>
    <w:rsid w:val="008B19FE"/>
    <w:rsid w:val="008B2ABA"/>
    <w:rsid w:val="008B314C"/>
    <w:rsid w:val="008B35D3"/>
    <w:rsid w:val="008B4CCA"/>
    <w:rsid w:val="008B5827"/>
    <w:rsid w:val="008B583F"/>
    <w:rsid w:val="008B5863"/>
    <w:rsid w:val="008B5951"/>
    <w:rsid w:val="008B6E53"/>
    <w:rsid w:val="008C0650"/>
    <w:rsid w:val="008C1003"/>
    <w:rsid w:val="008C154D"/>
    <w:rsid w:val="008C1C48"/>
    <w:rsid w:val="008C28FB"/>
    <w:rsid w:val="008C4414"/>
    <w:rsid w:val="008C5C26"/>
    <w:rsid w:val="008C6E4C"/>
    <w:rsid w:val="008C7E9E"/>
    <w:rsid w:val="008D3C15"/>
    <w:rsid w:val="008E1328"/>
    <w:rsid w:val="008E173B"/>
    <w:rsid w:val="008E3503"/>
    <w:rsid w:val="008E400F"/>
    <w:rsid w:val="008E46D0"/>
    <w:rsid w:val="008E5130"/>
    <w:rsid w:val="008F070F"/>
    <w:rsid w:val="008F116B"/>
    <w:rsid w:val="008F1191"/>
    <w:rsid w:val="008F23EB"/>
    <w:rsid w:val="008F58B9"/>
    <w:rsid w:val="008F615A"/>
    <w:rsid w:val="00900A48"/>
    <w:rsid w:val="00900AD5"/>
    <w:rsid w:val="00901635"/>
    <w:rsid w:val="00901951"/>
    <w:rsid w:val="00901A02"/>
    <w:rsid w:val="00901C06"/>
    <w:rsid w:val="0090306F"/>
    <w:rsid w:val="0090395E"/>
    <w:rsid w:val="00904200"/>
    <w:rsid w:val="00905DF1"/>
    <w:rsid w:val="00913FCA"/>
    <w:rsid w:val="009142BE"/>
    <w:rsid w:val="00914EBA"/>
    <w:rsid w:val="00915B26"/>
    <w:rsid w:val="009160E3"/>
    <w:rsid w:val="00916805"/>
    <w:rsid w:val="009169E0"/>
    <w:rsid w:val="00916E16"/>
    <w:rsid w:val="00916F9A"/>
    <w:rsid w:val="00922B59"/>
    <w:rsid w:val="00924631"/>
    <w:rsid w:val="0092586C"/>
    <w:rsid w:val="00925E89"/>
    <w:rsid w:val="00926187"/>
    <w:rsid w:val="009271FE"/>
    <w:rsid w:val="00930FE2"/>
    <w:rsid w:val="00931091"/>
    <w:rsid w:val="00934250"/>
    <w:rsid w:val="00936648"/>
    <w:rsid w:val="00936E1A"/>
    <w:rsid w:val="00937772"/>
    <w:rsid w:val="00941280"/>
    <w:rsid w:val="00941B95"/>
    <w:rsid w:val="00944E95"/>
    <w:rsid w:val="00945A54"/>
    <w:rsid w:val="00952C36"/>
    <w:rsid w:val="00953D60"/>
    <w:rsid w:val="00954AD6"/>
    <w:rsid w:val="0096028C"/>
    <w:rsid w:val="00960FAE"/>
    <w:rsid w:val="0096185C"/>
    <w:rsid w:val="009647AC"/>
    <w:rsid w:val="00965E42"/>
    <w:rsid w:val="00967FF7"/>
    <w:rsid w:val="009704C3"/>
    <w:rsid w:val="00971DE7"/>
    <w:rsid w:val="009729AE"/>
    <w:rsid w:val="0097391F"/>
    <w:rsid w:val="00974842"/>
    <w:rsid w:val="00977289"/>
    <w:rsid w:val="00980AC3"/>
    <w:rsid w:val="009855A0"/>
    <w:rsid w:val="009927C8"/>
    <w:rsid w:val="0099326C"/>
    <w:rsid w:val="009936DC"/>
    <w:rsid w:val="00993ADD"/>
    <w:rsid w:val="009956E7"/>
    <w:rsid w:val="0099592A"/>
    <w:rsid w:val="00995BB9"/>
    <w:rsid w:val="00997904"/>
    <w:rsid w:val="009A32C6"/>
    <w:rsid w:val="009B0264"/>
    <w:rsid w:val="009B1666"/>
    <w:rsid w:val="009B46E5"/>
    <w:rsid w:val="009C1D81"/>
    <w:rsid w:val="009C2621"/>
    <w:rsid w:val="009C2CD1"/>
    <w:rsid w:val="009C4C44"/>
    <w:rsid w:val="009C66BD"/>
    <w:rsid w:val="009D0429"/>
    <w:rsid w:val="009D1876"/>
    <w:rsid w:val="009D1E00"/>
    <w:rsid w:val="009D2106"/>
    <w:rsid w:val="009D224A"/>
    <w:rsid w:val="009D2E8A"/>
    <w:rsid w:val="009D59C3"/>
    <w:rsid w:val="009E04A8"/>
    <w:rsid w:val="009E10B0"/>
    <w:rsid w:val="009E51CD"/>
    <w:rsid w:val="009F0EF3"/>
    <w:rsid w:val="009F29A3"/>
    <w:rsid w:val="009F32F3"/>
    <w:rsid w:val="009F72CE"/>
    <w:rsid w:val="009F7463"/>
    <w:rsid w:val="00A001CF"/>
    <w:rsid w:val="00A0134E"/>
    <w:rsid w:val="00A039E0"/>
    <w:rsid w:val="00A0449B"/>
    <w:rsid w:val="00A04ECC"/>
    <w:rsid w:val="00A05025"/>
    <w:rsid w:val="00A05A7F"/>
    <w:rsid w:val="00A05DA5"/>
    <w:rsid w:val="00A127D0"/>
    <w:rsid w:val="00A140E5"/>
    <w:rsid w:val="00A14DBB"/>
    <w:rsid w:val="00A1572E"/>
    <w:rsid w:val="00A172E5"/>
    <w:rsid w:val="00A23942"/>
    <w:rsid w:val="00A25258"/>
    <w:rsid w:val="00A25354"/>
    <w:rsid w:val="00A305A0"/>
    <w:rsid w:val="00A319F1"/>
    <w:rsid w:val="00A337D8"/>
    <w:rsid w:val="00A34820"/>
    <w:rsid w:val="00A35E81"/>
    <w:rsid w:val="00A36D35"/>
    <w:rsid w:val="00A42693"/>
    <w:rsid w:val="00A43151"/>
    <w:rsid w:val="00A43BBD"/>
    <w:rsid w:val="00A44907"/>
    <w:rsid w:val="00A45052"/>
    <w:rsid w:val="00A45745"/>
    <w:rsid w:val="00A466F7"/>
    <w:rsid w:val="00A47CD8"/>
    <w:rsid w:val="00A5258F"/>
    <w:rsid w:val="00A57040"/>
    <w:rsid w:val="00A61005"/>
    <w:rsid w:val="00A613C1"/>
    <w:rsid w:val="00A63810"/>
    <w:rsid w:val="00A67EB2"/>
    <w:rsid w:val="00A728E3"/>
    <w:rsid w:val="00A72986"/>
    <w:rsid w:val="00A7343F"/>
    <w:rsid w:val="00A83DC9"/>
    <w:rsid w:val="00A87BD2"/>
    <w:rsid w:val="00A9016D"/>
    <w:rsid w:val="00A9082B"/>
    <w:rsid w:val="00A90A58"/>
    <w:rsid w:val="00A90DEB"/>
    <w:rsid w:val="00A91585"/>
    <w:rsid w:val="00A9294B"/>
    <w:rsid w:val="00A92D19"/>
    <w:rsid w:val="00A939D1"/>
    <w:rsid w:val="00AA1F0E"/>
    <w:rsid w:val="00AA366E"/>
    <w:rsid w:val="00AA3C1A"/>
    <w:rsid w:val="00AB25A7"/>
    <w:rsid w:val="00AB3DF4"/>
    <w:rsid w:val="00AB5255"/>
    <w:rsid w:val="00AB7592"/>
    <w:rsid w:val="00AC0AF7"/>
    <w:rsid w:val="00AC40E6"/>
    <w:rsid w:val="00AC57A9"/>
    <w:rsid w:val="00AC5E06"/>
    <w:rsid w:val="00AD0185"/>
    <w:rsid w:val="00AD2417"/>
    <w:rsid w:val="00AD5BA1"/>
    <w:rsid w:val="00AD7AAE"/>
    <w:rsid w:val="00AD7E8D"/>
    <w:rsid w:val="00AE0F37"/>
    <w:rsid w:val="00AE128C"/>
    <w:rsid w:val="00AE3E66"/>
    <w:rsid w:val="00AE4033"/>
    <w:rsid w:val="00AE475D"/>
    <w:rsid w:val="00AE48FD"/>
    <w:rsid w:val="00AE5601"/>
    <w:rsid w:val="00AE6722"/>
    <w:rsid w:val="00AF0B69"/>
    <w:rsid w:val="00AF12EC"/>
    <w:rsid w:val="00AF1BA4"/>
    <w:rsid w:val="00AF3335"/>
    <w:rsid w:val="00AF334F"/>
    <w:rsid w:val="00AF6E66"/>
    <w:rsid w:val="00AF7402"/>
    <w:rsid w:val="00B00DF6"/>
    <w:rsid w:val="00B03F2B"/>
    <w:rsid w:val="00B04F33"/>
    <w:rsid w:val="00B0519E"/>
    <w:rsid w:val="00B0715E"/>
    <w:rsid w:val="00B13078"/>
    <w:rsid w:val="00B13176"/>
    <w:rsid w:val="00B13345"/>
    <w:rsid w:val="00B17611"/>
    <w:rsid w:val="00B20FCC"/>
    <w:rsid w:val="00B22AE4"/>
    <w:rsid w:val="00B23472"/>
    <w:rsid w:val="00B348E1"/>
    <w:rsid w:val="00B34D7B"/>
    <w:rsid w:val="00B352BC"/>
    <w:rsid w:val="00B360A5"/>
    <w:rsid w:val="00B3710E"/>
    <w:rsid w:val="00B421F1"/>
    <w:rsid w:val="00B43503"/>
    <w:rsid w:val="00B443A4"/>
    <w:rsid w:val="00B45040"/>
    <w:rsid w:val="00B4716C"/>
    <w:rsid w:val="00B50B2F"/>
    <w:rsid w:val="00B50E1D"/>
    <w:rsid w:val="00B51AB6"/>
    <w:rsid w:val="00B529E5"/>
    <w:rsid w:val="00B54169"/>
    <w:rsid w:val="00B5433A"/>
    <w:rsid w:val="00B54F9B"/>
    <w:rsid w:val="00B55459"/>
    <w:rsid w:val="00B5556F"/>
    <w:rsid w:val="00B60EA5"/>
    <w:rsid w:val="00B624D0"/>
    <w:rsid w:val="00B6399E"/>
    <w:rsid w:val="00B64968"/>
    <w:rsid w:val="00B6534A"/>
    <w:rsid w:val="00B66479"/>
    <w:rsid w:val="00B6738A"/>
    <w:rsid w:val="00B678C4"/>
    <w:rsid w:val="00B72BA6"/>
    <w:rsid w:val="00B73576"/>
    <w:rsid w:val="00B746A9"/>
    <w:rsid w:val="00B75999"/>
    <w:rsid w:val="00B7664A"/>
    <w:rsid w:val="00B81469"/>
    <w:rsid w:val="00B83686"/>
    <w:rsid w:val="00B847CF"/>
    <w:rsid w:val="00B85BE9"/>
    <w:rsid w:val="00B86DB7"/>
    <w:rsid w:val="00B87EB5"/>
    <w:rsid w:val="00B90D70"/>
    <w:rsid w:val="00B91707"/>
    <w:rsid w:val="00B91E44"/>
    <w:rsid w:val="00B953DC"/>
    <w:rsid w:val="00B97A4F"/>
    <w:rsid w:val="00B97B9C"/>
    <w:rsid w:val="00BA08F7"/>
    <w:rsid w:val="00BA123F"/>
    <w:rsid w:val="00BA1B64"/>
    <w:rsid w:val="00BA230E"/>
    <w:rsid w:val="00BA51C4"/>
    <w:rsid w:val="00BB2120"/>
    <w:rsid w:val="00BB495A"/>
    <w:rsid w:val="00BC0578"/>
    <w:rsid w:val="00BC0F2E"/>
    <w:rsid w:val="00BC10D6"/>
    <w:rsid w:val="00BC2A8F"/>
    <w:rsid w:val="00BC4680"/>
    <w:rsid w:val="00BC5330"/>
    <w:rsid w:val="00BC59B7"/>
    <w:rsid w:val="00BD04F4"/>
    <w:rsid w:val="00BD0FEC"/>
    <w:rsid w:val="00BD1A61"/>
    <w:rsid w:val="00BD2098"/>
    <w:rsid w:val="00BD2EA8"/>
    <w:rsid w:val="00BD4E71"/>
    <w:rsid w:val="00BE2142"/>
    <w:rsid w:val="00BE518D"/>
    <w:rsid w:val="00BE652A"/>
    <w:rsid w:val="00BF156D"/>
    <w:rsid w:val="00BF1A1B"/>
    <w:rsid w:val="00BF2B3F"/>
    <w:rsid w:val="00BF2F9F"/>
    <w:rsid w:val="00BF4101"/>
    <w:rsid w:val="00BF480E"/>
    <w:rsid w:val="00BF55BB"/>
    <w:rsid w:val="00BF63CC"/>
    <w:rsid w:val="00BF6BA3"/>
    <w:rsid w:val="00BF6D4F"/>
    <w:rsid w:val="00C076A6"/>
    <w:rsid w:val="00C1006A"/>
    <w:rsid w:val="00C11005"/>
    <w:rsid w:val="00C12877"/>
    <w:rsid w:val="00C135FE"/>
    <w:rsid w:val="00C13FF6"/>
    <w:rsid w:val="00C1582B"/>
    <w:rsid w:val="00C16026"/>
    <w:rsid w:val="00C250AE"/>
    <w:rsid w:val="00C3061C"/>
    <w:rsid w:val="00C31CC1"/>
    <w:rsid w:val="00C32E97"/>
    <w:rsid w:val="00C33A7F"/>
    <w:rsid w:val="00C350D2"/>
    <w:rsid w:val="00C35732"/>
    <w:rsid w:val="00C36F36"/>
    <w:rsid w:val="00C42625"/>
    <w:rsid w:val="00C42C06"/>
    <w:rsid w:val="00C468E6"/>
    <w:rsid w:val="00C5159F"/>
    <w:rsid w:val="00C5205A"/>
    <w:rsid w:val="00C55104"/>
    <w:rsid w:val="00C55856"/>
    <w:rsid w:val="00C55BAD"/>
    <w:rsid w:val="00C55E4E"/>
    <w:rsid w:val="00C573AB"/>
    <w:rsid w:val="00C5763F"/>
    <w:rsid w:val="00C5795B"/>
    <w:rsid w:val="00C606E5"/>
    <w:rsid w:val="00C617D8"/>
    <w:rsid w:val="00C61AE4"/>
    <w:rsid w:val="00C70746"/>
    <w:rsid w:val="00C7500F"/>
    <w:rsid w:val="00C7632D"/>
    <w:rsid w:val="00C76359"/>
    <w:rsid w:val="00C80870"/>
    <w:rsid w:val="00C80E4D"/>
    <w:rsid w:val="00C826E5"/>
    <w:rsid w:val="00C829B1"/>
    <w:rsid w:val="00C83300"/>
    <w:rsid w:val="00C83530"/>
    <w:rsid w:val="00C8492C"/>
    <w:rsid w:val="00C8518B"/>
    <w:rsid w:val="00C87ECA"/>
    <w:rsid w:val="00C92669"/>
    <w:rsid w:val="00C94D78"/>
    <w:rsid w:val="00C95BD5"/>
    <w:rsid w:val="00CA0F10"/>
    <w:rsid w:val="00CA1952"/>
    <w:rsid w:val="00CA201C"/>
    <w:rsid w:val="00CA5B86"/>
    <w:rsid w:val="00CA74E2"/>
    <w:rsid w:val="00CB3AE9"/>
    <w:rsid w:val="00CB5E8E"/>
    <w:rsid w:val="00CC2B92"/>
    <w:rsid w:val="00CC2F38"/>
    <w:rsid w:val="00CC308E"/>
    <w:rsid w:val="00CC3645"/>
    <w:rsid w:val="00CD225F"/>
    <w:rsid w:val="00CD51DE"/>
    <w:rsid w:val="00CE1D0C"/>
    <w:rsid w:val="00CE2120"/>
    <w:rsid w:val="00CE257F"/>
    <w:rsid w:val="00CE2F69"/>
    <w:rsid w:val="00CE430E"/>
    <w:rsid w:val="00CF1146"/>
    <w:rsid w:val="00CF183F"/>
    <w:rsid w:val="00CF187F"/>
    <w:rsid w:val="00CF3F2B"/>
    <w:rsid w:val="00CF6878"/>
    <w:rsid w:val="00CF6E4B"/>
    <w:rsid w:val="00CF7C51"/>
    <w:rsid w:val="00D01379"/>
    <w:rsid w:val="00D01E72"/>
    <w:rsid w:val="00D0203A"/>
    <w:rsid w:val="00D02847"/>
    <w:rsid w:val="00D0379D"/>
    <w:rsid w:val="00D0686B"/>
    <w:rsid w:val="00D0722F"/>
    <w:rsid w:val="00D07788"/>
    <w:rsid w:val="00D108B8"/>
    <w:rsid w:val="00D116A7"/>
    <w:rsid w:val="00D11B69"/>
    <w:rsid w:val="00D1287E"/>
    <w:rsid w:val="00D12AD6"/>
    <w:rsid w:val="00D143C1"/>
    <w:rsid w:val="00D1582D"/>
    <w:rsid w:val="00D2057D"/>
    <w:rsid w:val="00D22EB9"/>
    <w:rsid w:val="00D236EE"/>
    <w:rsid w:val="00D23AF2"/>
    <w:rsid w:val="00D23E68"/>
    <w:rsid w:val="00D2655A"/>
    <w:rsid w:val="00D30013"/>
    <w:rsid w:val="00D301F1"/>
    <w:rsid w:val="00D3082E"/>
    <w:rsid w:val="00D30C18"/>
    <w:rsid w:val="00D310BC"/>
    <w:rsid w:val="00D3229E"/>
    <w:rsid w:val="00D323E6"/>
    <w:rsid w:val="00D332DB"/>
    <w:rsid w:val="00D353C9"/>
    <w:rsid w:val="00D35C1F"/>
    <w:rsid w:val="00D36A85"/>
    <w:rsid w:val="00D413F6"/>
    <w:rsid w:val="00D4166A"/>
    <w:rsid w:val="00D43CFF"/>
    <w:rsid w:val="00D44F4E"/>
    <w:rsid w:val="00D45D8B"/>
    <w:rsid w:val="00D467DE"/>
    <w:rsid w:val="00D510A1"/>
    <w:rsid w:val="00D510CB"/>
    <w:rsid w:val="00D52399"/>
    <w:rsid w:val="00D52D20"/>
    <w:rsid w:val="00D541C3"/>
    <w:rsid w:val="00D55459"/>
    <w:rsid w:val="00D64C00"/>
    <w:rsid w:val="00D65FD6"/>
    <w:rsid w:val="00D67B38"/>
    <w:rsid w:val="00D70CFE"/>
    <w:rsid w:val="00D73AC9"/>
    <w:rsid w:val="00D73CBC"/>
    <w:rsid w:val="00D76787"/>
    <w:rsid w:val="00D77B49"/>
    <w:rsid w:val="00D80627"/>
    <w:rsid w:val="00D85712"/>
    <w:rsid w:val="00D8733C"/>
    <w:rsid w:val="00D939E2"/>
    <w:rsid w:val="00D95D67"/>
    <w:rsid w:val="00D9677A"/>
    <w:rsid w:val="00D96B7E"/>
    <w:rsid w:val="00D970BE"/>
    <w:rsid w:val="00DA0D09"/>
    <w:rsid w:val="00DA193D"/>
    <w:rsid w:val="00DA528A"/>
    <w:rsid w:val="00DA544E"/>
    <w:rsid w:val="00DA607F"/>
    <w:rsid w:val="00DB18EE"/>
    <w:rsid w:val="00DB5846"/>
    <w:rsid w:val="00DC0DA2"/>
    <w:rsid w:val="00DC2767"/>
    <w:rsid w:val="00DC4BDE"/>
    <w:rsid w:val="00DC67AB"/>
    <w:rsid w:val="00DC7262"/>
    <w:rsid w:val="00DC75AC"/>
    <w:rsid w:val="00DC7B90"/>
    <w:rsid w:val="00DD01F0"/>
    <w:rsid w:val="00DD17DC"/>
    <w:rsid w:val="00DD4FE6"/>
    <w:rsid w:val="00DE0F02"/>
    <w:rsid w:val="00DE1B09"/>
    <w:rsid w:val="00DE209C"/>
    <w:rsid w:val="00DE23E3"/>
    <w:rsid w:val="00DE296D"/>
    <w:rsid w:val="00DE42F7"/>
    <w:rsid w:val="00DE4F8A"/>
    <w:rsid w:val="00DE6ADA"/>
    <w:rsid w:val="00DF15F1"/>
    <w:rsid w:val="00DF23C3"/>
    <w:rsid w:val="00DF2A69"/>
    <w:rsid w:val="00DF2BD7"/>
    <w:rsid w:val="00DF3BC0"/>
    <w:rsid w:val="00DF42B1"/>
    <w:rsid w:val="00DF4D39"/>
    <w:rsid w:val="00DF6BE8"/>
    <w:rsid w:val="00DF749E"/>
    <w:rsid w:val="00E02B2C"/>
    <w:rsid w:val="00E06C97"/>
    <w:rsid w:val="00E073EA"/>
    <w:rsid w:val="00E11D81"/>
    <w:rsid w:val="00E1226E"/>
    <w:rsid w:val="00E16FC0"/>
    <w:rsid w:val="00E22E8D"/>
    <w:rsid w:val="00E2346C"/>
    <w:rsid w:val="00E263EF"/>
    <w:rsid w:val="00E30E00"/>
    <w:rsid w:val="00E375E5"/>
    <w:rsid w:val="00E40104"/>
    <w:rsid w:val="00E418AD"/>
    <w:rsid w:val="00E41E57"/>
    <w:rsid w:val="00E4346B"/>
    <w:rsid w:val="00E43D53"/>
    <w:rsid w:val="00E43DF3"/>
    <w:rsid w:val="00E4664E"/>
    <w:rsid w:val="00E47D1A"/>
    <w:rsid w:val="00E50589"/>
    <w:rsid w:val="00E520E1"/>
    <w:rsid w:val="00E53319"/>
    <w:rsid w:val="00E54FA5"/>
    <w:rsid w:val="00E55B21"/>
    <w:rsid w:val="00E56AE8"/>
    <w:rsid w:val="00E6070F"/>
    <w:rsid w:val="00E614F2"/>
    <w:rsid w:val="00E617F6"/>
    <w:rsid w:val="00E63BDA"/>
    <w:rsid w:val="00E6416D"/>
    <w:rsid w:val="00E65556"/>
    <w:rsid w:val="00E65F58"/>
    <w:rsid w:val="00E663DE"/>
    <w:rsid w:val="00E66E29"/>
    <w:rsid w:val="00E7134B"/>
    <w:rsid w:val="00E72E6D"/>
    <w:rsid w:val="00E72EBD"/>
    <w:rsid w:val="00E82731"/>
    <w:rsid w:val="00E867C0"/>
    <w:rsid w:val="00E87DC8"/>
    <w:rsid w:val="00E93BBC"/>
    <w:rsid w:val="00E94810"/>
    <w:rsid w:val="00E94CDA"/>
    <w:rsid w:val="00E95E8E"/>
    <w:rsid w:val="00E9609B"/>
    <w:rsid w:val="00E973AB"/>
    <w:rsid w:val="00E97542"/>
    <w:rsid w:val="00EA2068"/>
    <w:rsid w:val="00EA4261"/>
    <w:rsid w:val="00EA480E"/>
    <w:rsid w:val="00EA56C9"/>
    <w:rsid w:val="00EA5938"/>
    <w:rsid w:val="00EB2B1A"/>
    <w:rsid w:val="00EB393C"/>
    <w:rsid w:val="00EB3C7F"/>
    <w:rsid w:val="00EB46CA"/>
    <w:rsid w:val="00EB5B06"/>
    <w:rsid w:val="00EB66C6"/>
    <w:rsid w:val="00EB74DD"/>
    <w:rsid w:val="00EC2260"/>
    <w:rsid w:val="00EC4A96"/>
    <w:rsid w:val="00EC5C11"/>
    <w:rsid w:val="00ED1BB1"/>
    <w:rsid w:val="00ED3659"/>
    <w:rsid w:val="00ED3898"/>
    <w:rsid w:val="00ED55F1"/>
    <w:rsid w:val="00ED5EB6"/>
    <w:rsid w:val="00EE00E4"/>
    <w:rsid w:val="00EE0215"/>
    <w:rsid w:val="00EE043E"/>
    <w:rsid w:val="00EE491D"/>
    <w:rsid w:val="00EE53AC"/>
    <w:rsid w:val="00EE754F"/>
    <w:rsid w:val="00EE7DB5"/>
    <w:rsid w:val="00EF0F56"/>
    <w:rsid w:val="00EF2F1C"/>
    <w:rsid w:val="00EF33FE"/>
    <w:rsid w:val="00EF3DFB"/>
    <w:rsid w:val="00EF42FE"/>
    <w:rsid w:val="00EF76BD"/>
    <w:rsid w:val="00EF7DBB"/>
    <w:rsid w:val="00F001F1"/>
    <w:rsid w:val="00F025C2"/>
    <w:rsid w:val="00F02A5D"/>
    <w:rsid w:val="00F039D0"/>
    <w:rsid w:val="00F04FBE"/>
    <w:rsid w:val="00F05657"/>
    <w:rsid w:val="00F06899"/>
    <w:rsid w:val="00F10ACB"/>
    <w:rsid w:val="00F10B96"/>
    <w:rsid w:val="00F1221A"/>
    <w:rsid w:val="00F13D6D"/>
    <w:rsid w:val="00F16069"/>
    <w:rsid w:val="00F21B77"/>
    <w:rsid w:val="00F22208"/>
    <w:rsid w:val="00F243BF"/>
    <w:rsid w:val="00F25A94"/>
    <w:rsid w:val="00F2726A"/>
    <w:rsid w:val="00F27776"/>
    <w:rsid w:val="00F303D7"/>
    <w:rsid w:val="00F30BC5"/>
    <w:rsid w:val="00F318B3"/>
    <w:rsid w:val="00F32DB5"/>
    <w:rsid w:val="00F358F5"/>
    <w:rsid w:val="00F3648B"/>
    <w:rsid w:val="00F375D6"/>
    <w:rsid w:val="00F408AD"/>
    <w:rsid w:val="00F420AF"/>
    <w:rsid w:val="00F46E0E"/>
    <w:rsid w:val="00F52C95"/>
    <w:rsid w:val="00F52E5B"/>
    <w:rsid w:val="00F54E1B"/>
    <w:rsid w:val="00F566F9"/>
    <w:rsid w:val="00F57A30"/>
    <w:rsid w:val="00F66068"/>
    <w:rsid w:val="00F66969"/>
    <w:rsid w:val="00F671B8"/>
    <w:rsid w:val="00F672A9"/>
    <w:rsid w:val="00F711DE"/>
    <w:rsid w:val="00F743C9"/>
    <w:rsid w:val="00F745AC"/>
    <w:rsid w:val="00F74BD6"/>
    <w:rsid w:val="00F752BD"/>
    <w:rsid w:val="00F829B5"/>
    <w:rsid w:val="00F839F3"/>
    <w:rsid w:val="00F84490"/>
    <w:rsid w:val="00F93CD0"/>
    <w:rsid w:val="00F94095"/>
    <w:rsid w:val="00F94A70"/>
    <w:rsid w:val="00F9506C"/>
    <w:rsid w:val="00F965CA"/>
    <w:rsid w:val="00FA0815"/>
    <w:rsid w:val="00FA1232"/>
    <w:rsid w:val="00FA1887"/>
    <w:rsid w:val="00FB0B0D"/>
    <w:rsid w:val="00FB1045"/>
    <w:rsid w:val="00FB1F3D"/>
    <w:rsid w:val="00FB6C69"/>
    <w:rsid w:val="00FB6D73"/>
    <w:rsid w:val="00FC0D22"/>
    <w:rsid w:val="00FC0FD9"/>
    <w:rsid w:val="00FC1CBE"/>
    <w:rsid w:val="00FC22F3"/>
    <w:rsid w:val="00FC28A1"/>
    <w:rsid w:val="00FC5518"/>
    <w:rsid w:val="00FC5862"/>
    <w:rsid w:val="00FC62D0"/>
    <w:rsid w:val="00FC702F"/>
    <w:rsid w:val="00FC7BD0"/>
    <w:rsid w:val="00FC7E73"/>
    <w:rsid w:val="00FD052B"/>
    <w:rsid w:val="00FD53C0"/>
    <w:rsid w:val="00FE00A3"/>
    <w:rsid w:val="00FE1F4A"/>
    <w:rsid w:val="00FE350B"/>
    <w:rsid w:val="00FE3B7A"/>
    <w:rsid w:val="00FE4165"/>
    <w:rsid w:val="00FE44DA"/>
    <w:rsid w:val="00FE584E"/>
    <w:rsid w:val="00FE58EC"/>
    <w:rsid w:val="00FF007F"/>
    <w:rsid w:val="00FF1EE2"/>
    <w:rsid w:val="00FF4D37"/>
    <w:rsid w:val="00FF6159"/>
    <w:rsid w:val="00FF7019"/>
    <w:rsid w:val="00FF7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15A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E81"/>
    <w:pPr>
      <w:spacing w:after="0" w:line="240" w:lineRule="auto"/>
    </w:pPr>
    <w:rPr>
      <w:rFonts w:eastAsia="Times New Roman" w:cs="Times New Roman"/>
      <w:sz w:val="24"/>
      <w:szCs w:val="24"/>
      <w:lang w:eastAsia="en-AU"/>
    </w:rPr>
  </w:style>
  <w:style w:type="paragraph" w:styleId="Heading1">
    <w:name w:val="heading 1"/>
    <w:basedOn w:val="Normal"/>
    <w:next w:val="Normal"/>
    <w:link w:val="Heading1Char"/>
    <w:qFormat/>
    <w:rsid w:val="00003E81"/>
    <w:pPr>
      <w:keepNext/>
      <w:keepLines/>
      <w:numPr>
        <w:numId w:val="5"/>
      </w:numPr>
      <w:spacing w:before="240" w:after="240"/>
      <w:outlineLvl w:val="0"/>
    </w:pPr>
    <w:rPr>
      <w:rFonts w:ascii="Calibri" w:eastAsiaTheme="majorEastAsia" w:hAnsi="Calibri" w:cstheme="majorBidi"/>
      <w:b/>
      <w:bCs/>
      <w:sz w:val="28"/>
      <w:szCs w:val="28"/>
    </w:rPr>
  </w:style>
  <w:style w:type="paragraph" w:styleId="Heading2">
    <w:name w:val="heading 2"/>
    <w:basedOn w:val="Normal"/>
    <w:next w:val="Normal"/>
    <w:link w:val="Heading2Char"/>
    <w:unhideWhenUsed/>
    <w:qFormat/>
    <w:rsid w:val="003E41EA"/>
    <w:pPr>
      <w:keepNext/>
      <w:keepLines/>
      <w:numPr>
        <w:ilvl w:val="1"/>
        <w:numId w:val="5"/>
      </w:numPr>
      <w:spacing w:before="240" w:after="240"/>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003E81"/>
    <w:pPr>
      <w:keepNext/>
      <w:keepLines/>
      <w:numPr>
        <w:ilvl w:val="2"/>
        <w:numId w:val="5"/>
      </w:numPr>
      <w:spacing w:before="200" w:after="12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C31CC1"/>
    <w:pPr>
      <w:keepNext/>
      <w:keepLines/>
      <w:spacing w:before="200" w:after="120"/>
      <w:ind w:left="720"/>
      <w:outlineLvl w:val="3"/>
    </w:pPr>
    <w:rPr>
      <w:rFonts w:ascii="Calibri" w:eastAsiaTheme="majorEastAsia" w:hAnsi="Calibri" w:cstheme="majorBidi"/>
      <w:b/>
      <w:bCs/>
      <w:i/>
      <w:iCs/>
      <w:snapToGrid w:val="0"/>
    </w:rPr>
  </w:style>
  <w:style w:type="paragraph" w:styleId="Heading5">
    <w:name w:val="heading 5"/>
    <w:basedOn w:val="Normal"/>
    <w:next w:val="Normal"/>
    <w:link w:val="Heading5Char"/>
    <w:unhideWhenUsed/>
    <w:qFormat/>
    <w:rsid w:val="00003E81"/>
    <w:pPr>
      <w:keepNext/>
      <w:keepLines/>
      <w:numPr>
        <w:ilvl w:val="4"/>
        <w:numId w:val="5"/>
      </w:numPr>
      <w:spacing w:before="200"/>
      <w:outlineLvl w:val="4"/>
    </w:pPr>
    <w:rPr>
      <w:rFonts w:asciiTheme="majorHAnsi" w:eastAsiaTheme="majorEastAsia" w:hAnsiTheme="majorHAnsi" w:cstheme="majorBidi"/>
      <w:color w:val="1C464B" w:themeColor="accent1" w:themeShade="7F"/>
    </w:rPr>
  </w:style>
  <w:style w:type="paragraph" w:styleId="Heading6">
    <w:name w:val="heading 6"/>
    <w:basedOn w:val="Normal"/>
    <w:next w:val="Normal"/>
    <w:link w:val="Heading6Char"/>
    <w:unhideWhenUsed/>
    <w:qFormat/>
    <w:rsid w:val="00003E81"/>
    <w:pPr>
      <w:keepNext/>
      <w:keepLines/>
      <w:numPr>
        <w:ilvl w:val="5"/>
        <w:numId w:val="5"/>
      </w:numPr>
      <w:spacing w:before="200"/>
      <w:outlineLvl w:val="5"/>
    </w:pPr>
    <w:rPr>
      <w:rFonts w:asciiTheme="majorHAnsi" w:eastAsiaTheme="majorEastAsia" w:hAnsiTheme="majorHAnsi" w:cstheme="majorBidi"/>
      <w:i/>
      <w:iCs/>
      <w:color w:val="1C464B" w:themeColor="accent1" w:themeShade="7F"/>
    </w:rPr>
  </w:style>
  <w:style w:type="paragraph" w:styleId="Heading7">
    <w:name w:val="heading 7"/>
    <w:basedOn w:val="Normal"/>
    <w:next w:val="Normal"/>
    <w:link w:val="Heading7Char"/>
    <w:uiPriority w:val="99"/>
    <w:unhideWhenUsed/>
    <w:qFormat/>
    <w:rsid w:val="00003E8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003E8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003E8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E81"/>
    <w:rPr>
      <w:rFonts w:ascii="Calibri" w:eastAsiaTheme="majorEastAsia" w:hAnsi="Calibri" w:cstheme="majorBidi"/>
      <w:b/>
      <w:bCs/>
      <w:sz w:val="28"/>
      <w:szCs w:val="28"/>
      <w:lang w:eastAsia="en-AU"/>
    </w:rPr>
  </w:style>
  <w:style w:type="character" w:customStyle="1" w:styleId="Heading2Char">
    <w:name w:val="Heading 2 Char"/>
    <w:basedOn w:val="DefaultParagraphFont"/>
    <w:link w:val="Heading2"/>
    <w:rsid w:val="003E41EA"/>
    <w:rPr>
      <w:rFonts w:ascii="Calibri" w:eastAsiaTheme="majorEastAsia" w:hAnsi="Calibri" w:cstheme="majorBidi"/>
      <w:b/>
      <w:bCs/>
      <w:sz w:val="26"/>
      <w:szCs w:val="26"/>
      <w:lang w:eastAsia="en-AU"/>
    </w:rPr>
  </w:style>
  <w:style w:type="character" w:customStyle="1" w:styleId="Heading3Char">
    <w:name w:val="Heading 3 Char"/>
    <w:basedOn w:val="DefaultParagraphFont"/>
    <w:link w:val="Heading3"/>
    <w:rsid w:val="00003E81"/>
    <w:rPr>
      <w:rFonts w:ascii="Calibri" w:eastAsiaTheme="majorEastAsia" w:hAnsi="Calibri" w:cstheme="majorBidi"/>
      <w:b/>
      <w:bCs/>
      <w:sz w:val="24"/>
      <w:szCs w:val="24"/>
      <w:lang w:eastAsia="en-AU"/>
    </w:rPr>
  </w:style>
  <w:style w:type="character" w:customStyle="1" w:styleId="Heading4Char">
    <w:name w:val="Heading 4 Char"/>
    <w:basedOn w:val="DefaultParagraphFont"/>
    <w:link w:val="Heading4"/>
    <w:rsid w:val="00C31CC1"/>
    <w:rPr>
      <w:rFonts w:ascii="Calibri" w:eastAsiaTheme="majorEastAsia" w:hAnsi="Calibri" w:cstheme="majorBidi"/>
      <w:b/>
      <w:bCs/>
      <w:i/>
      <w:iCs/>
      <w:snapToGrid w:val="0"/>
      <w:sz w:val="24"/>
      <w:szCs w:val="24"/>
      <w:lang w:eastAsia="en-AU"/>
    </w:rPr>
  </w:style>
  <w:style w:type="character" w:customStyle="1" w:styleId="Heading5Char">
    <w:name w:val="Heading 5 Char"/>
    <w:basedOn w:val="DefaultParagraphFont"/>
    <w:link w:val="Heading5"/>
    <w:rsid w:val="00003E81"/>
    <w:rPr>
      <w:rFonts w:asciiTheme="majorHAnsi" w:eastAsiaTheme="majorEastAsia" w:hAnsiTheme="majorHAnsi" w:cstheme="majorBidi"/>
      <w:color w:val="1C464B" w:themeColor="accent1" w:themeShade="7F"/>
      <w:sz w:val="24"/>
      <w:szCs w:val="24"/>
      <w:lang w:eastAsia="en-AU"/>
    </w:rPr>
  </w:style>
  <w:style w:type="character" w:customStyle="1" w:styleId="Heading6Char">
    <w:name w:val="Heading 6 Char"/>
    <w:basedOn w:val="DefaultParagraphFont"/>
    <w:link w:val="Heading6"/>
    <w:rsid w:val="00003E81"/>
    <w:rPr>
      <w:rFonts w:asciiTheme="majorHAnsi" w:eastAsiaTheme="majorEastAsia" w:hAnsiTheme="majorHAnsi" w:cstheme="majorBidi"/>
      <w:i/>
      <w:iCs/>
      <w:color w:val="1C464B" w:themeColor="accent1" w:themeShade="7F"/>
      <w:sz w:val="24"/>
      <w:szCs w:val="24"/>
      <w:lang w:eastAsia="en-AU"/>
    </w:rPr>
  </w:style>
  <w:style w:type="character" w:customStyle="1" w:styleId="Heading7Char">
    <w:name w:val="Heading 7 Char"/>
    <w:basedOn w:val="DefaultParagraphFont"/>
    <w:link w:val="Heading7"/>
    <w:uiPriority w:val="99"/>
    <w:rsid w:val="00003E81"/>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9"/>
    <w:semiHidden/>
    <w:rsid w:val="00003E81"/>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9"/>
    <w:semiHidden/>
    <w:rsid w:val="00003E81"/>
    <w:rPr>
      <w:rFonts w:asciiTheme="majorHAnsi" w:eastAsiaTheme="majorEastAsia" w:hAnsiTheme="majorHAnsi"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003E81"/>
    <w:pPr>
      <w:spacing w:line="276" w:lineRule="auto"/>
      <w:ind w:left="0" w:firstLine="0"/>
      <w:outlineLvl w:val="9"/>
    </w:pPr>
    <w:rPr>
      <w:lang w:val="en-US" w:eastAsia="ja-JP"/>
    </w:rPr>
  </w:style>
  <w:style w:type="paragraph" w:styleId="TOC1">
    <w:name w:val="toc 1"/>
    <w:basedOn w:val="Normal"/>
    <w:next w:val="Normal"/>
    <w:autoRedefine/>
    <w:uiPriority w:val="39"/>
    <w:rsid w:val="00003E81"/>
    <w:pPr>
      <w:tabs>
        <w:tab w:val="left" w:pos="480"/>
        <w:tab w:val="right" w:leader="dot" w:pos="9344"/>
      </w:tabs>
      <w:spacing w:after="100"/>
    </w:pPr>
    <w:rPr>
      <w:b/>
      <w:noProof/>
      <w:sz w:val="22"/>
      <w:szCs w:val="22"/>
    </w:rPr>
  </w:style>
  <w:style w:type="paragraph" w:styleId="TOC2">
    <w:name w:val="toc 2"/>
    <w:basedOn w:val="Normal"/>
    <w:next w:val="Normal"/>
    <w:autoRedefine/>
    <w:uiPriority w:val="39"/>
    <w:rsid w:val="00003E81"/>
    <w:pPr>
      <w:tabs>
        <w:tab w:val="left" w:pos="960"/>
        <w:tab w:val="right" w:leader="dot" w:pos="9344"/>
      </w:tabs>
      <w:spacing w:after="100"/>
      <w:ind w:left="240"/>
    </w:pPr>
    <w:rPr>
      <w:noProof/>
      <w:sz w:val="20"/>
      <w:szCs w:val="20"/>
    </w:rPr>
  </w:style>
  <w:style w:type="paragraph" w:styleId="TOC3">
    <w:name w:val="toc 3"/>
    <w:basedOn w:val="Normal"/>
    <w:next w:val="Normal"/>
    <w:autoRedefine/>
    <w:uiPriority w:val="39"/>
    <w:rsid w:val="00003E81"/>
    <w:pPr>
      <w:spacing w:after="100"/>
      <w:ind w:left="480"/>
    </w:pPr>
  </w:style>
  <w:style w:type="character" w:styleId="Hyperlink">
    <w:name w:val="Hyperlink"/>
    <w:basedOn w:val="DefaultParagraphFont"/>
    <w:uiPriority w:val="99"/>
    <w:unhideWhenUsed/>
    <w:rsid w:val="00003E81"/>
    <w:rPr>
      <w:color w:val="6B9F25" w:themeColor="hyperlink"/>
      <w:u w:val="single"/>
    </w:rPr>
  </w:style>
  <w:style w:type="paragraph" w:styleId="BalloonText">
    <w:name w:val="Balloon Text"/>
    <w:basedOn w:val="Normal"/>
    <w:link w:val="BalloonTextChar"/>
    <w:uiPriority w:val="99"/>
    <w:rsid w:val="00003E81"/>
    <w:rPr>
      <w:rFonts w:ascii="Tahoma" w:hAnsi="Tahoma" w:cs="Tahoma"/>
      <w:sz w:val="16"/>
      <w:szCs w:val="16"/>
    </w:rPr>
  </w:style>
  <w:style w:type="character" w:customStyle="1" w:styleId="BalloonTextChar">
    <w:name w:val="Balloon Text Char"/>
    <w:basedOn w:val="DefaultParagraphFont"/>
    <w:link w:val="BalloonText"/>
    <w:uiPriority w:val="99"/>
    <w:rsid w:val="00003E81"/>
    <w:rPr>
      <w:rFonts w:ascii="Tahoma" w:eastAsia="Times New Roman" w:hAnsi="Tahoma" w:cs="Tahoma"/>
      <w:sz w:val="16"/>
      <w:szCs w:val="16"/>
      <w:lang w:eastAsia="en-AU"/>
    </w:rPr>
  </w:style>
  <w:style w:type="paragraph" w:styleId="Header">
    <w:name w:val="header"/>
    <w:basedOn w:val="Normal"/>
    <w:link w:val="HeaderChar"/>
    <w:rsid w:val="00003E81"/>
    <w:pPr>
      <w:tabs>
        <w:tab w:val="center" w:pos="4513"/>
        <w:tab w:val="right" w:pos="9026"/>
      </w:tabs>
    </w:pPr>
  </w:style>
  <w:style w:type="character" w:customStyle="1" w:styleId="HeaderChar">
    <w:name w:val="Header Char"/>
    <w:basedOn w:val="DefaultParagraphFont"/>
    <w:link w:val="Header"/>
    <w:rsid w:val="00003E81"/>
    <w:rPr>
      <w:rFonts w:eastAsia="Times New Roman" w:cs="Times New Roman"/>
      <w:sz w:val="24"/>
      <w:szCs w:val="24"/>
      <w:lang w:eastAsia="en-AU"/>
    </w:rPr>
  </w:style>
  <w:style w:type="paragraph" w:styleId="Footer">
    <w:name w:val="footer"/>
    <w:basedOn w:val="Normal"/>
    <w:link w:val="FooterChar"/>
    <w:uiPriority w:val="99"/>
    <w:rsid w:val="00003E81"/>
    <w:pPr>
      <w:tabs>
        <w:tab w:val="center" w:pos="4513"/>
        <w:tab w:val="right" w:pos="9026"/>
      </w:tabs>
    </w:pPr>
    <w:rPr>
      <w:b/>
      <w:i/>
      <w:sz w:val="16"/>
    </w:rPr>
  </w:style>
  <w:style w:type="character" w:customStyle="1" w:styleId="FooterChar">
    <w:name w:val="Footer Char"/>
    <w:basedOn w:val="DefaultParagraphFont"/>
    <w:link w:val="Footer"/>
    <w:uiPriority w:val="99"/>
    <w:rsid w:val="00003E81"/>
    <w:rPr>
      <w:rFonts w:eastAsia="Times New Roman" w:cs="Times New Roman"/>
      <w:b/>
      <w:i/>
      <w:sz w:val="16"/>
      <w:szCs w:val="24"/>
      <w:lang w:eastAsia="en-AU"/>
    </w:rPr>
  </w:style>
  <w:style w:type="paragraph" w:styleId="NoSpacing">
    <w:name w:val="No Spacing"/>
    <w:link w:val="NoSpacingChar"/>
    <w:uiPriority w:val="1"/>
    <w:qFormat/>
    <w:rsid w:val="00003E8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3E81"/>
    <w:rPr>
      <w:rFonts w:eastAsiaTheme="minorEastAsia"/>
      <w:lang w:val="en-US" w:eastAsia="ja-JP"/>
    </w:rPr>
  </w:style>
  <w:style w:type="paragraph" w:styleId="Title">
    <w:name w:val="Title"/>
    <w:basedOn w:val="Normal"/>
    <w:next w:val="Normal"/>
    <w:link w:val="TitleChar"/>
    <w:qFormat/>
    <w:rsid w:val="00003E81"/>
    <w:pPr>
      <w:pBdr>
        <w:bottom w:val="single" w:sz="8" w:space="4" w:color="398F98" w:themeColor="accent1"/>
      </w:pBdr>
      <w:spacing w:after="300"/>
      <w:contextualSpacing/>
    </w:pPr>
    <w:rPr>
      <w:rFonts w:ascii="Calibri" w:eastAsiaTheme="majorEastAsia" w:hAnsi="Calibri" w:cstheme="majorBidi"/>
      <w:b/>
      <w:spacing w:val="5"/>
      <w:kern w:val="28"/>
      <w:sz w:val="52"/>
      <w:szCs w:val="52"/>
    </w:rPr>
  </w:style>
  <w:style w:type="character" w:customStyle="1" w:styleId="TitleChar">
    <w:name w:val="Title Char"/>
    <w:basedOn w:val="DefaultParagraphFont"/>
    <w:link w:val="Title"/>
    <w:rsid w:val="00003E81"/>
    <w:rPr>
      <w:rFonts w:ascii="Calibri" w:eastAsiaTheme="majorEastAsia" w:hAnsi="Calibri" w:cstheme="majorBidi"/>
      <w:b/>
      <w:spacing w:val="5"/>
      <w:kern w:val="28"/>
      <w:sz w:val="52"/>
      <w:szCs w:val="52"/>
      <w:lang w:eastAsia="en-AU"/>
    </w:rPr>
  </w:style>
  <w:style w:type="paragraph" w:customStyle="1" w:styleId="Bullets">
    <w:name w:val="Bullets"/>
    <w:basedOn w:val="Normal"/>
    <w:link w:val="BulletsChar"/>
    <w:qFormat/>
    <w:rsid w:val="00A25354"/>
    <w:pPr>
      <w:numPr>
        <w:numId w:val="1"/>
      </w:numPr>
      <w:spacing w:before="120" w:after="120"/>
      <w:ind w:left="357" w:hanging="357"/>
    </w:pPr>
  </w:style>
  <w:style w:type="character" w:customStyle="1" w:styleId="BulletsChar">
    <w:name w:val="Bullets Char"/>
    <w:basedOn w:val="DefaultParagraphFont"/>
    <w:link w:val="Bullets"/>
    <w:rsid w:val="00A25354"/>
    <w:rPr>
      <w:rFonts w:eastAsia="Times New Roman" w:cs="Times New Roman"/>
      <w:sz w:val="24"/>
      <w:szCs w:val="24"/>
      <w:lang w:eastAsia="en-AU"/>
    </w:rPr>
  </w:style>
  <w:style w:type="paragraph" w:styleId="Quote">
    <w:name w:val="Quote"/>
    <w:basedOn w:val="Normal"/>
    <w:next w:val="Normal"/>
    <w:link w:val="QuoteChar"/>
    <w:uiPriority w:val="29"/>
    <w:qFormat/>
    <w:rsid w:val="00003E81"/>
    <w:pPr>
      <w:ind w:left="567" w:right="567"/>
    </w:pPr>
    <w:rPr>
      <w:iCs/>
      <w:color w:val="000000" w:themeColor="text1"/>
    </w:rPr>
  </w:style>
  <w:style w:type="character" w:customStyle="1" w:styleId="QuoteChar">
    <w:name w:val="Quote Char"/>
    <w:basedOn w:val="DefaultParagraphFont"/>
    <w:link w:val="Quote"/>
    <w:uiPriority w:val="29"/>
    <w:rsid w:val="00003E81"/>
    <w:rPr>
      <w:rFonts w:eastAsia="Times New Roman" w:cs="Times New Roman"/>
      <w:iCs/>
      <w:color w:val="000000" w:themeColor="text1"/>
      <w:sz w:val="24"/>
      <w:szCs w:val="24"/>
      <w:lang w:eastAsia="en-AU"/>
    </w:rPr>
  </w:style>
  <w:style w:type="paragraph" w:customStyle="1" w:styleId="Quotebyparticipants">
    <w:name w:val="Quote by participants"/>
    <w:basedOn w:val="Normal"/>
    <w:qFormat/>
    <w:rsid w:val="00003E81"/>
    <w:pPr>
      <w:spacing w:before="240" w:after="240"/>
      <w:ind w:left="567" w:right="567"/>
    </w:pPr>
    <w:rPr>
      <w:i/>
      <w:color w:val="808080" w:themeColor="background1" w:themeShade="80"/>
    </w:rPr>
  </w:style>
  <w:style w:type="character" w:styleId="Emphasis">
    <w:name w:val="Emphasis"/>
    <w:basedOn w:val="DefaultParagraphFont"/>
    <w:rsid w:val="00003E81"/>
    <w:rPr>
      <w:i/>
      <w:iCs/>
    </w:rPr>
  </w:style>
  <w:style w:type="character" w:styleId="Strong">
    <w:name w:val="Strong"/>
    <w:basedOn w:val="DefaultParagraphFont"/>
    <w:rsid w:val="00003E81"/>
    <w:rPr>
      <w:b/>
      <w:bCs/>
    </w:rPr>
  </w:style>
  <w:style w:type="paragraph" w:styleId="Subtitle">
    <w:name w:val="Subtitle"/>
    <w:basedOn w:val="Normal"/>
    <w:next w:val="Normal"/>
    <w:link w:val="SubtitleChar"/>
    <w:rsid w:val="00003E81"/>
    <w:pPr>
      <w:numPr>
        <w:ilvl w:val="1"/>
      </w:numPr>
    </w:pPr>
    <w:rPr>
      <w:rFonts w:asciiTheme="majorHAnsi" w:eastAsiaTheme="majorEastAsia" w:hAnsiTheme="majorHAnsi" w:cstheme="majorBidi"/>
      <w:i/>
      <w:iCs/>
      <w:color w:val="398F98" w:themeColor="accent1"/>
      <w:spacing w:val="15"/>
    </w:rPr>
  </w:style>
  <w:style w:type="character" w:customStyle="1" w:styleId="SubtitleChar">
    <w:name w:val="Subtitle Char"/>
    <w:basedOn w:val="DefaultParagraphFont"/>
    <w:link w:val="Subtitle"/>
    <w:rsid w:val="00003E81"/>
    <w:rPr>
      <w:rFonts w:asciiTheme="majorHAnsi" w:eastAsiaTheme="majorEastAsia" w:hAnsiTheme="majorHAnsi" w:cstheme="majorBidi"/>
      <w:i/>
      <w:iCs/>
      <w:color w:val="398F98" w:themeColor="accent1"/>
      <w:spacing w:val="15"/>
      <w:sz w:val="24"/>
      <w:szCs w:val="24"/>
      <w:lang w:eastAsia="en-AU"/>
    </w:rPr>
  </w:style>
  <w:style w:type="character" w:styleId="SubtleEmphasis">
    <w:name w:val="Subtle Emphasis"/>
    <w:basedOn w:val="DefaultParagraphFont"/>
    <w:uiPriority w:val="19"/>
    <w:rsid w:val="00003E81"/>
    <w:rPr>
      <w:i/>
      <w:iCs/>
      <w:color w:val="808080" w:themeColor="text1" w:themeTint="7F"/>
    </w:rPr>
  </w:style>
  <w:style w:type="character" w:styleId="IntenseEmphasis">
    <w:name w:val="Intense Emphasis"/>
    <w:basedOn w:val="DefaultParagraphFont"/>
    <w:uiPriority w:val="21"/>
    <w:rsid w:val="00003E81"/>
    <w:rPr>
      <w:b/>
      <w:bCs/>
      <w:i/>
      <w:iCs/>
      <w:color w:val="398F98" w:themeColor="accent1"/>
    </w:rPr>
  </w:style>
  <w:style w:type="paragraph" w:styleId="IntenseQuote">
    <w:name w:val="Intense Quote"/>
    <w:basedOn w:val="Normal"/>
    <w:next w:val="Normal"/>
    <w:link w:val="IntenseQuoteChar"/>
    <w:uiPriority w:val="30"/>
    <w:rsid w:val="00003E81"/>
    <w:pPr>
      <w:pBdr>
        <w:bottom w:val="single" w:sz="4" w:space="4" w:color="398F98" w:themeColor="accent1"/>
      </w:pBdr>
      <w:spacing w:before="200" w:after="280"/>
      <w:ind w:left="936" w:right="936"/>
    </w:pPr>
    <w:rPr>
      <w:b/>
      <w:bCs/>
      <w:i/>
      <w:iCs/>
      <w:color w:val="398F98" w:themeColor="accent1"/>
    </w:rPr>
  </w:style>
  <w:style w:type="character" w:customStyle="1" w:styleId="IntenseQuoteChar">
    <w:name w:val="Intense Quote Char"/>
    <w:basedOn w:val="DefaultParagraphFont"/>
    <w:link w:val="IntenseQuote"/>
    <w:uiPriority w:val="30"/>
    <w:rsid w:val="00003E81"/>
    <w:rPr>
      <w:rFonts w:eastAsia="Times New Roman" w:cs="Times New Roman"/>
      <w:b/>
      <w:bCs/>
      <w:i/>
      <w:iCs/>
      <w:color w:val="398F98" w:themeColor="accent1"/>
      <w:sz w:val="24"/>
      <w:szCs w:val="24"/>
      <w:lang w:eastAsia="en-AU"/>
    </w:rPr>
  </w:style>
  <w:style w:type="character" w:styleId="SubtleReference">
    <w:name w:val="Subtle Reference"/>
    <w:basedOn w:val="DefaultParagraphFont"/>
    <w:uiPriority w:val="31"/>
    <w:rsid w:val="00003E81"/>
    <w:rPr>
      <w:smallCaps/>
      <w:color w:val="58B6C0" w:themeColor="accent2"/>
      <w:u w:val="single"/>
    </w:rPr>
  </w:style>
  <w:style w:type="character" w:styleId="IntenseReference">
    <w:name w:val="Intense Reference"/>
    <w:basedOn w:val="DefaultParagraphFont"/>
    <w:uiPriority w:val="32"/>
    <w:rsid w:val="00003E81"/>
    <w:rPr>
      <w:b/>
      <w:bCs/>
      <w:smallCaps/>
      <w:color w:val="58B6C0" w:themeColor="accent2"/>
      <w:spacing w:val="5"/>
      <w:u w:val="single"/>
    </w:rPr>
  </w:style>
  <w:style w:type="character" w:styleId="BookTitle">
    <w:name w:val="Book Title"/>
    <w:basedOn w:val="DefaultParagraphFont"/>
    <w:uiPriority w:val="33"/>
    <w:rsid w:val="00003E81"/>
    <w:rPr>
      <w:b/>
      <w:bCs/>
      <w:smallCaps/>
      <w:spacing w:val="5"/>
    </w:rPr>
  </w:style>
  <w:style w:type="table" w:styleId="TableGrid">
    <w:name w:val="Table Grid"/>
    <w:basedOn w:val="TableNormal"/>
    <w:rsid w:val="00003E8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3E81"/>
    <w:pPr>
      <w:spacing w:before="120" w:after="200"/>
    </w:pPr>
    <w:rPr>
      <w:b/>
      <w:bCs/>
      <w:szCs w:val="18"/>
    </w:rPr>
  </w:style>
  <w:style w:type="paragraph" w:styleId="FootnoteText">
    <w:name w:val="footnote text"/>
    <w:basedOn w:val="Normal"/>
    <w:link w:val="FootnoteTextChar"/>
    <w:rsid w:val="00003E81"/>
    <w:rPr>
      <w:sz w:val="20"/>
      <w:szCs w:val="20"/>
    </w:rPr>
  </w:style>
  <w:style w:type="character" w:customStyle="1" w:styleId="FootnoteTextChar">
    <w:name w:val="Footnote Text Char"/>
    <w:basedOn w:val="DefaultParagraphFont"/>
    <w:link w:val="FootnoteText"/>
    <w:rsid w:val="00003E81"/>
    <w:rPr>
      <w:rFonts w:eastAsia="Times New Roman" w:cs="Times New Roman"/>
      <w:sz w:val="20"/>
      <w:szCs w:val="20"/>
      <w:lang w:eastAsia="en-AU"/>
    </w:rPr>
  </w:style>
  <w:style w:type="character" w:styleId="FootnoteReference">
    <w:name w:val="footnote reference"/>
    <w:basedOn w:val="DefaultParagraphFont"/>
    <w:rsid w:val="00003E81"/>
    <w:rPr>
      <w:vertAlign w:val="superscript"/>
    </w:rPr>
  </w:style>
  <w:style w:type="paragraph" w:styleId="TableofFigures">
    <w:name w:val="table of figures"/>
    <w:basedOn w:val="Normal"/>
    <w:next w:val="Normal"/>
    <w:uiPriority w:val="99"/>
    <w:rsid w:val="00003E81"/>
  </w:style>
  <w:style w:type="table" w:styleId="TableContemporary">
    <w:name w:val="Table Contemporary"/>
    <w:basedOn w:val="TableNormal"/>
    <w:rsid w:val="00003E81"/>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erChar1">
    <w:name w:val="Header Char1"/>
    <w:uiPriority w:val="99"/>
    <w:semiHidden/>
    <w:rsid w:val="00003E81"/>
    <w:rPr>
      <w:sz w:val="22"/>
      <w:szCs w:val="22"/>
      <w:lang w:eastAsia="en-US"/>
    </w:rPr>
  </w:style>
  <w:style w:type="character" w:customStyle="1" w:styleId="FooterChar1">
    <w:name w:val="Footer Char1"/>
    <w:uiPriority w:val="99"/>
    <w:rsid w:val="00003E81"/>
    <w:rPr>
      <w:sz w:val="22"/>
      <w:szCs w:val="22"/>
      <w:lang w:eastAsia="en-US"/>
    </w:rPr>
  </w:style>
  <w:style w:type="paragraph" w:styleId="ListParagraph">
    <w:name w:val="List Paragraph"/>
    <w:basedOn w:val="Normal"/>
    <w:uiPriority w:val="34"/>
    <w:qFormat/>
    <w:rsid w:val="00003E81"/>
    <w:pPr>
      <w:ind w:left="720"/>
      <w:contextualSpacing/>
    </w:pPr>
  </w:style>
  <w:style w:type="character" w:customStyle="1" w:styleId="name">
    <w:name w:val="name"/>
    <w:basedOn w:val="DefaultParagraphFont"/>
    <w:rsid w:val="00003E81"/>
  </w:style>
  <w:style w:type="character" w:customStyle="1" w:styleId="apple-converted-space">
    <w:name w:val="apple-converted-space"/>
    <w:basedOn w:val="DefaultParagraphFont"/>
    <w:rsid w:val="00003E81"/>
  </w:style>
  <w:style w:type="paragraph" w:styleId="NormalWeb">
    <w:name w:val="Normal (Web)"/>
    <w:basedOn w:val="Normal"/>
    <w:uiPriority w:val="99"/>
    <w:unhideWhenUsed/>
    <w:rsid w:val="00003E81"/>
    <w:pPr>
      <w:spacing w:before="100" w:beforeAutospacing="1" w:after="100" w:afterAutospacing="1"/>
    </w:pPr>
    <w:rPr>
      <w:rFonts w:ascii="Times New Roman" w:hAnsi="Times New Roman"/>
    </w:rPr>
  </w:style>
  <w:style w:type="paragraph" w:customStyle="1" w:styleId="Bullet">
    <w:name w:val="Bullet"/>
    <w:basedOn w:val="Bullets"/>
    <w:link w:val="BulletChar"/>
    <w:qFormat/>
    <w:rsid w:val="00003E81"/>
    <w:pPr>
      <w:tabs>
        <w:tab w:val="num" w:pos="360"/>
      </w:tabs>
      <w:autoSpaceDE w:val="0"/>
      <w:autoSpaceDN w:val="0"/>
    </w:pPr>
    <w:rPr>
      <w:rFonts w:ascii="Calibri" w:hAnsi="Calibri" w:cs="Calibri"/>
    </w:rPr>
  </w:style>
  <w:style w:type="character" w:customStyle="1" w:styleId="BulletChar">
    <w:name w:val="Bullet Char"/>
    <w:basedOn w:val="BulletsChar"/>
    <w:link w:val="Bullet"/>
    <w:rsid w:val="00003E81"/>
    <w:rPr>
      <w:rFonts w:ascii="Calibri" w:eastAsia="Times New Roman" w:hAnsi="Calibri" w:cs="Calibri"/>
      <w:sz w:val="24"/>
      <w:szCs w:val="24"/>
      <w:lang w:eastAsia="en-AU"/>
    </w:rPr>
  </w:style>
  <w:style w:type="character" w:styleId="CommentReference">
    <w:name w:val="annotation reference"/>
    <w:basedOn w:val="DefaultParagraphFont"/>
    <w:rsid w:val="00003E81"/>
    <w:rPr>
      <w:sz w:val="16"/>
      <w:szCs w:val="16"/>
    </w:rPr>
  </w:style>
  <w:style w:type="paragraph" w:styleId="CommentText">
    <w:name w:val="annotation text"/>
    <w:basedOn w:val="Normal"/>
    <w:link w:val="CommentTextChar"/>
    <w:rsid w:val="00003E81"/>
    <w:rPr>
      <w:sz w:val="20"/>
      <w:szCs w:val="20"/>
    </w:rPr>
  </w:style>
  <w:style w:type="character" w:customStyle="1" w:styleId="CommentTextChar">
    <w:name w:val="Comment Text Char"/>
    <w:basedOn w:val="DefaultParagraphFont"/>
    <w:link w:val="CommentText"/>
    <w:rsid w:val="00003E81"/>
    <w:rPr>
      <w:rFonts w:eastAsia="Times New Roman" w:cs="Times New Roman"/>
      <w:sz w:val="20"/>
      <w:szCs w:val="20"/>
      <w:lang w:eastAsia="en-AU"/>
    </w:rPr>
  </w:style>
  <w:style w:type="paragraph" w:styleId="CommentSubject">
    <w:name w:val="annotation subject"/>
    <w:basedOn w:val="CommentText"/>
    <w:next w:val="CommentText"/>
    <w:link w:val="CommentSubjectChar"/>
    <w:rsid w:val="00003E81"/>
    <w:rPr>
      <w:b/>
      <w:bCs/>
    </w:rPr>
  </w:style>
  <w:style w:type="character" w:customStyle="1" w:styleId="CommentSubjectChar">
    <w:name w:val="Comment Subject Char"/>
    <w:basedOn w:val="CommentTextChar"/>
    <w:link w:val="CommentSubject"/>
    <w:rsid w:val="00003E81"/>
    <w:rPr>
      <w:rFonts w:eastAsia="Times New Roman" w:cs="Times New Roman"/>
      <w:b/>
      <w:bCs/>
      <w:sz w:val="20"/>
      <w:szCs w:val="20"/>
      <w:lang w:eastAsia="en-AU"/>
    </w:rPr>
  </w:style>
  <w:style w:type="paragraph" w:styleId="DocumentMap">
    <w:name w:val="Document Map"/>
    <w:basedOn w:val="Normal"/>
    <w:link w:val="DocumentMapChar"/>
    <w:rsid w:val="00003E81"/>
    <w:rPr>
      <w:rFonts w:ascii="Lucida Grande" w:hAnsi="Lucida Grande"/>
    </w:rPr>
  </w:style>
  <w:style w:type="character" w:customStyle="1" w:styleId="DocumentMapChar">
    <w:name w:val="Document Map Char"/>
    <w:basedOn w:val="DefaultParagraphFont"/>
    <w:link w:val="DocumentMap"/>
    <w:rsid w:val="00003E81"/>
    <w:rPr>
      <w:rFonts w:ascii="Lucida Grande" w:eastAsia="Times New Roman" w:hAnsi="Lucida Grande" w:cs="Times New Roman"/>
      <w:sz w:val="24"/>
      <w:szCs w:val="24"/>
      <w:lang w:eastAsia="en-AU"/>
    </w:rPr>
  </w:style>
  <w:style w:type="character" w:styleId="FollowedHyperlink">
    <w:name w:val="FollowedHyperlink"/>
    <w:basedOn w:val="DefaultParagraphFont"/>
    <w:uiPriority w:val="99"/>
    <w:rsid w:val="00003E81"/>
    <w:rPr>
      <w:color w:val="9F6715" w:themeColor="followedHyperlink"/>
      <w:u w:val="single"/>
    </w:rPr>
  </w:style>
  <w:style w:type="paragraph" w:customStyle="1" w:styleId="PFNumLevel2">
    <w:name w:val="PF (Num) Level 2"/>
    <w:basedOn w:val="Normal"/>
    <w:rsid w:val="00003E81"/>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3">
    <w:name w:val="PF (Num) Level 3"/>
    <w:basedOn w:val="Normal"/>
    <w:rsid w:val="00003E81"/>
    <w:pPr>
      <w:numPr>
        <w:ilvl w:val="2"/>
        <w:numId w:val="2"/>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4">
    <w:name w:val="PF (Num) Level 4"/>
    <w:basedOn w:val="Normal"/>
    <w:rsid w:val="00003E81"/>
    <w:pPr>
      <w:numPr>
        <w:ilvl w:val="3"/>
        <w:numId w:val="2"/>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5">
    <w:name w:val="PF (Num) Level 5"/>
    <w:basedOn w:val="Normal"/>
    <w:rsid w:val="00003E81"/>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Heading1A">
    <w:name w:val="Heading 1A"/>
    <w:basedOn w:val="Heading1"/>
    <w:next w:val="Normal"/>
    <w:rsid w:val="00003E81"/>
    <w:pPr>
      <w:keepLines w:val="0"/>
      <w:numPr>
        <w:numId w:val="2"/>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eastAsia="Times New Roman" w:hAnsi="Arial" w:cs="Times New Roman"/>
      <w:bCs w:val="0"/>
      <w:color w:val="000000"/>
      <w:kern w:val="28"/>
      <w:lang w:eastAsia="en-US"/>
    </w:rPr>
  </w:style>
  <w:style w:type="paragraph" w:customStyle="1" w:styleId="PFNumLevel6">
    <w:name w:val="PF (Num) Level 6"/>
    <w:basedOn w:val="PFNumLevel4"/>
    <w:rsid w:val="00003E81"/>
    <w:pPr>
      <w:numPr>
        <w:ilvl w:val="5"/>
      </w:numPr>
    </w:pPr>
  </w:style>
  <w:style w:type="paragraph" w:customStyle="1" w:styleId="Table">
    <w:name w:val="Table"/>
    <w:basedOn w:val="Normal"/>
    <w:rsid w:val="00003E81"/>
    <w:pPr>
      <w:spacing w:before="60" w:after="60"/>
    </w:pPr>
    <w:rPr>
      <w:rFonts w:ascii="Arial" w:hAnsi="Arial"/>
      <w:snapToGrid w:val="0"/>
      <w:sz w:val="18"/>
      <w:szCs w:val="20"/>
    </w:rPr>
  </w:style>
  <w:style w:type="table" w:customStyle="1" w:styleId="AABlackTable1">
    <w:name w:val="AABlackTable1"/>
    <w:basedOn w:val="TableNormal"/>
    <w:uiPriority w:val="99"/>
    <w:rsid w:val="00003E81"/>
    <w:pPr>
      <w:spacing w:before="110" w:after="110" w:line="264" w:lineRule="auto"/>
    </w:pPr>
    <w:rPr>
      <w:rFonts w:ascii="Verdana" w:hAnsi="Verdana"/>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styleId="TOC4">
    <w:name w:val="toc 4"/>
    <w:basedOn w:val="Normal"/>
    <w:next w:val="Normal"/>
    <w:autoRedefine/>
    <w:uiPriority w:val="39"/>
    <w:rsid w:val="00003E81"/>
    <w:pPr>
      <w:ind w:left="720"/>
    </w:pPr>
  </w:style>
  <w:style w:type="paragraph" w:styleId="TOC5">
    <w:name w:val="toc 5"/>
    <w:basedOn w:val="Normal"/>
    <w:next w:val="Normal"/>
    <w:autoRedefine/>
    <w:uiPriority w:val="39"/>
    <w:rsid w:val="00003E81"/>
    <w:pPr>
      <w:ind w:left="960"/>
    </w:pPr>
  </w:style>
  <w:style w:type="paragraph" w:styleId="TOC6">
    <w:name w:val="toc 6"/>
    <w:basedOn w:val="Normal"/>
    <w:next w:val="Normal"/>
    <w:autoRedefine/>
    <w:uiPriority w:val="39"/>
    <w:rsid w:val="00003E81"/>
    <w:pPr>
      <w:ind w:left="1200"/>
    </w:pPr>
  </w:style>
  <w:style w:type="paragraph" w:styleId="TOC7">
    <w:name w:val="toc 7"/>
    <w:basedOn w:val="Normal"/>
    <w:next w:val="Normal"/>
    <w:autoRedefine/>
    <w:uiPriority w:val="39"/>
    <w:rsid w:val="00003E81"/>
    <w:pPr>
      <w:ind w:left="1440"/>
    </w:pPr>
  </w:style>
  <w:style w:type="paragraph" w:styleId="TOC8">
    <w:name w:val="toc 8"/>
    <w:basedOn w:val="Normal"/>
    <w:next w:val="Normal"/>
    <w:autoRedefine/>
    <w:uiPriority w:val="39"/>
    <w:rsid w:val="00003E81"/>
    <w:pPr>
      <w:ind w:left="1680"/>
    </w:pPr>
  </w:style>
  <w:style w:type="paragraph" w:styleId="TOC9">
    <w:name w:val="toc 9"/>
    <w:basedOn w:val="Normal"/>
    <w:next w:val="Normal"/>
    <w:autoRedefine/>
    <w:uiPriority w:val="39"/>
    <w:rsid w:val="00003E81"/>
    <w:pPr>
      <w:ind w:left="1920"/>
    </w:pPr>
  </w:style>
  <w:style w:type="paragraph" w:customStyle="1" w:styleId="Default">
    <w:name w:val="Default"/>
    <w:rsid w:val="00003E8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1BulletList">
    <w:name w:val="1Bullet List"/>
    <w:rsid w:val="00003E81"/>
    <w:pPr>
      <w:numPr>
        <w:numId w:val="3"/>
      </w:numPr>
      <w:tabs>
        <w:tab w:val="left" w:pos="720"/>
      </w:tabs>
      <w:spacing w:after="0" w:line="240" w:lineRule="auto"/>
    </w:pPr>
    <w:rPr>
      <w:rFonts w:ascii="Arial" w:eastAsia="Times New Roman" w:hAnsi="Arial" w:cs="Times New Roman"/>
      <w:snapToGrid w:val="0"/>
      <w:sz w:val="24"/>
      <w:szCs w:val="20"/>
      <w:lang w:val="en-US"/>
    </w:rPr>
  </w:style>
  <w:style w:type="character" w:styleId="PageNumber">
    <w:name w:val="page number"/>
    <w:basedOn w:val="DefaultParagraphFont"/>
    <w:rsid w:val="00003E81"/>
  </w:style>
  <w:style w:type="paragraph" w:customStyle="1" w:styleId="a">
    <w:name w:val="_"/>
    <w:basedOn w:val="Normal"/>
    <w:rsid w:val="00003E81"/>
    <w:pPr>
      <w:widowControl w:val="0"/>
      <w:tabs>
        <w:tab w:val="left" w:pos="720"/>
      </w:tabs>
      <w:ind w:left="720" w:hanging="720"/>
    </w:pPr>
    <w:rPr>
      <w:rFonts w:ascii="Arial" w:hAnsi="Arial"/>
      <w:snapToGrid w:val="0"/>
      <w:sz w:val="20"/>
      <w:szCs w:val="20"/>
      <w:lang w:val="en-US" w:eastAsia="en-US"/>
    </w:rPr>
  </w:style>
  <w:style w:type="paragraph" w:styleId="BodyTextIndent">
    <w:name w:val="Body Text Indent"/>
    <w:basedOn w:val="Normal"/>
    <w:link w:val="BodyTextIndentChar"/>
    <w:rsid w:val="00003E81"/>
    <w:pPr>
      <w:tabs>
        <w:tab w:val="left" w:pos="1440"/>
      </w:tabs>
      <w:suppressAutoHyphens/>
      <w:ind w:left="720"/>
    </w:pPr>
    <w:rPr>
      <w:rFonts w:ascii="Arial" w:hAnsi="Arial"/>
      <w:sz w:val="20"/>
      <w:szCs w:val="20"/>
      <w:lang w:eastAsia="en-US"/>
    </w:rPr>
  </w:style>
  <w:style w:type="character" w:customStyle="1" w:styleId="BodyTextIndentChar">
    <w:name w:val="Body Text Indent Char"/>
    <w:basedOn w:val="DefaultParagraphFont"/>
    <w:link w:val="BodyTextIndent"/>
    <w:rsid w:val="00003E81"/>
    <w:rPr>
      <w:rFonts w:ascii="Arial" w:eastAsia="Times New Roman" w:hAnsi="Arial" w:cs="Times New Roman"/>
      <w:sz w:val="20"/>
      <w:szCs w:val="20"/>
    </w:rPr>
  </w:style>
  <w:style w:type="paragraph" w:customStyle="1" w:styleId="1AutoList1">
    <w:name w:val="1AutoList1"/>
    <w:basedOn w:val="Normal"/>
    <w:rsid w:val="00003E81"/>
    <w:pPr>
      <w:numPr>
        <w:numId w:val="4"/>
      </w:numPr>
    </w:pPr>
    <w:rPr>
      <w:rFonts w:ascii="Arial" w:hAnsi="Arial"/>
      <w:sz w:val="20"/>
      <w:szCs w:val="20"/>
      <w:lang w:eastAsia="en-US"/>
    </w:rPr>
  </w:style>
  <w:style w:type="paragraph" w:styleId="BodyTextIndent2">
    <w:name w:val="Body Text Indent 2"/>
    <w:basedOn w:val="Normal"/>
    <w:link w:val="BodyTextIndent2Char"/>
    <w:rsid w:val="00003E81"/>
    <w:pPr>
      <w:ind w:left="720" w:hanging="360"/>
    </w:pPr>
    <w:rPr>
      <w:rFonts w:ascii="Arial" w:hAnsi="Arial"/>
      <w:sz w:val="20"/>
      <w:szCs w:val="20"/>
      <w:lang w:eastAsia="en-US"/>
    </w:rPr>
  </w:style>
  <w:style w:type="character" w:customStyle="1" w:styleId="BodyTextIndent2Char">
    <w:name w:val="Body Text Indent 2 Char"/>
    <w:basedOn w:val="DefaultParagraphFont"/>
    <w:link w:val="BodyTextIndent2"/>
    <w:rsid w:val="00003E81"/>
    <w:rPr>
      <w:rFonts w:ascii="Arial" w:eastAsia="Times New Roman" w:hAnsi="Arial" w:cs="Times New Roman"/>
      <w:sz w:val="20"/>
      <w:szCs w:val="20"/>
    </w:rPr>
  </w:style>
  <w:style w:type="paragraph" w:styleId="BodyText">
    <w:name w:val="Body Text"/>
    <w:basedOn w:val="Normal"/>
    <w:link w:val="BodyTextChar"/>
    <w:rsid w:val="00003E81"/>
    <w:pPr>
      <w:suppressAutoHyphens/>
      <w:jc w:val="both"/>
    </w:pPr>
    <w:rPr>
      <w:rFonts w:ascii="Arial" w:hAnsi="Arial"/>
      <w:sz w:val="20"/>
      <w:szCs w:val="20"/>
      <w:lang w:eastAsia="en-US"/>
    </w:rPr>
  </w:style>
  <w:style w:type="character" w:customStyle="1" w:styleId="BodyTextChar">
    <w:name w:val="Body Text Char"/>
    <w:basedOn w:val="DefaultParagraphFont"/>
    <w:link w:val="BodyText"/>
    <w:rsid w:val="00003E81"/>
    <w:rPr>
      <w:rFonts w:ascii="Arial" w:eastAsia="Times New Roman" w:hAnsi="Arial" w:cs="Times New Roman"/>
      <w:sz w:val="20"/>
      <w:szCs w:val="20"/>
    </w:rPr>
  </w:style>
  <w:style w:type="paragraph" w:styleId="PlainText">
    <w:name w:val="Plain Text"/>
    <w:basedOn w:val="Normal"/>
    <w:link w:val="PlainTextChar"/>
    <w:rsid w:val="00003E81"/>
    <w:rPr>
      <w:rFonts w:ascii="Courier New" w:hAnsi="Courier New"/>
      <w:sz w:val="20"/>
      <w:szCs w:val="20"/>
      <w:lang w:eastAsia="en-US"/>
    </w:rPr>
  </w:style>
  <w:style w:type="character" w:customStyle="1" w:styleId="PlainTextChar">
    <w:name w:val="Plain Text Char"/>
    <w:basedOn w:val="DefaultParagraphFont"/>
    <w:link w:val="PlainText"/>
    <w:rsid w:val="00003E81"/>
    <w:rPr>
      <w:rFonts w:ascii="Courier New" w:eastAsia="Times New Roman" w:hAnsi="Courier New" w:cs="Times New Roman"/>
      <w:sz w:val="20"/>
      <w:szCs w:val="20"/>
    </w:rPr>
  </w:style>
  <w:style w:type="paragraph" w:styleId="BodyText2">
    <w:name w:val="Body Text 2"/>
    <w:basedOn w:val="Normal"/>
    <w:link w:val="BodyText2Char"/>
    <w:rsid w:val="00003E81"/>
    <w:rPr>
      <w:rFonts w:ascii="Arial" w:hAnsi="Arial"/>
      <w:sz w:val="16"/>
      <w:szCs w:val="20"/>
      <w:lang w:eastAsia="en-US"/>
    </w:rPr>
  </w:style>
  <w:style w:type="character" w:customStyle="1" w:styleId="BodyText2Char">
    <w:name w:val="Body Text 2 Char"/>
    <w:basedOn w:val="DefaultParagraphFont"/>
    <w:link w:val="BodyText2"/>
    <w:rsid w:val="00003E81"/>
    <w:rPr>
      <w:rFonts w:ascii="Arial" w:eastAsia="Times New Roman" w:hAnsi="Arial" w:cs="Times New Roman"/>
      <w:sz w:val="16"/>
      <w:szCs w:val="20"/>
    </w:rPr>
  </w:style>
  <w:style w:type="paragraph" w:customStyle="1" w:styleId="table0">
    <w:name w:val="table"/>
    <w:basedOn w:val="Normal"/>
    <w:rsid w:val="00003E81"/>
    <w:rPr>
      <w:rFonts w:ascii="Arial" w:hAnsi="Arial"/>
      <w:sz w:val="18"/>
      <w:szCs w:val="20"/>
      <w:lang w:eastAsia="en-US"/>
    </w:rPr>
  </w:style>
  <w:style w:type="paragraph" w:styleId="BodyText3">
    <w:name w:val="Body Text 3"/>
    <w:basedOn w:val="Normal"/>
    <w:link w:val="BodyText3Char"/>
    <w:rsid w:val="00003E81"/>
    <w:pPr>
      <w:ind w:right="3982"/>
      <w:jc w:val="both"/>
    </w:pPr>
    <w:rPr>
      <w:rFonts w:ascii="Arial" w:hAnsi="Arial"/>
      <w:sz w:val="16"/>
      <w:szCs w:val="20"/>
      <w:lang w:val="en-US" w:eastAsia="en-US"/>
    </w:rPr>
  </w:style>
  <w:style w:type="character" w:customStyle="1" w:styleId="BodyText3Char">
    <w:name w:val="Body Text 3 Char"/>
    <w:basedOn w:val="DefaultParagraphFont"/>
    <w:link w:val="BodyText3"/>
    <w:rsid w:val="00003E81"/>
    <w:rPr>
      <w:rFonts w:ascii="Arial" w:eastAsia="Times New Roman" w:hAnsi="Arial" w:cs="Times New Roman"/>
      <w:sz w:val="16"/>
      <w:szCs w:val="20"/>
      <w:lang w:val="en-US"/>
    </w:rPr>
  </w:style>
  <w:style w:type="paragraph" w:styleId="BlockText">
    <w:name w:val="Block Text"/>
    <w:basedOn w:val="Normal"/>
    <w:rsid w:val="00003E81"/>
    <w:pPr>
      <w:ind w:left="720" w:right="-25"/>
    </w:pPr>
    <w:rPr>
      <w:rFonts w:ascii="Arial" w:hAnsi="Arial"/>
      <w:i/>
      <w:sz w:val="22"/>
      <w:szCs w:val="20"/>
      <w:lang w:val="en-US" w:eastAsia="en-US"/>
    </w:rPr>
  </w:style>
  <w:style w:type="paragraph" w:customStyle="1" w:styleId="wfxRecipient">
    <w:name w:val="wfxRecipient"/>
    <w:basedOn w:val="Normal"/>
    <w:rsid w:val="00003E81"/>
    <w:rPr>
      <w:rFonts w:ascii="Arial" w:hAnsi="Arial"/>
      <w:sz w:val="22"/>
      <w:szCs w:val="20"/>
      <w:lang w:eastAsia="en-US"/>
    </w:rPr>
  </w:style>
  <w:style w:type="table" w:styleId="TableClassic1">
    <w:name w:val="Table Classic 1"/>
    <w:basedOn w:val="TableNormal"/>
    <w:rsid w:val="00003E81"/>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03E81"/>
    <w:rPr>
      <w:rFonts w:ascii="Calibri" w:hAnsi="Calibri" w:cs="Calibri"/>
      <w:noProof/>
    </w:rPr>
  </w:style>
  <w:style w:type="character" w:customStyle="1" w:styleId="EndNoteBibliographyChar">
    <w:name w:val="EndNote Bibliography Char"/>
    <w:basedOn w:val="DefaultParagraphFont"/>
    <w:link w:val="EndNoteBibliography"/>
    <w:rsid w:val="00003E81"/>
    <w:rPr>
      <w:rFonts w:ascii="Calibri" w:eastAsia="Times New Roman" w:hAnsi="Calibri" w:cs="Calibri"/>
      <w:noProof/>
      <w:sz w:val="24"/>
      <w:szCs w:val="24"/>
      <w:lang w:eastAsia="en-AU"/>
    </w:rPr>
  </w:style>
  <w:style w:type="table" w:customStyle="1" w:styleId="TableGrid2">
    <w:name w:val="Table Grid2"/>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03E81"/>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03E81"/>
    <w:rPr>
      <w:rFonts w:ascii="Calibri" w:eastAsia="Times New Roman" w:hAnsi="Calibri" w:cs="Calibri"/>
      <w:noProof/>
      <w:sz w:val="24"/>
      <w:szCs w:val="24"/>
      <w:lang w:eastAsia="en-AU"/>
    </w:rPr>
  </w:style>
  <w:style w:type="table" w:customStyle="1" w:styleId="TableGrid5">
    <w:name w:val="Table Grid5"/>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3E81"/>
    <w:pPr>
      <w:spacing w:after="0" w:line="240" w:lineRule="auto"/>
    </w:pPr>
    <w:rPr>
      <w:rFonts w:eastAsia="Times New Roman" w:cs="Times New Roman"/>
      <w:sz w:val="24"/>
      <w:szCs w:val="24"/>
      <w:lang w:eastAsia="en-AU"/>
    </w:rPr>
  </w:style>
  <w:style w:type="paragraph" w:styleId="ListBullet">
    <w:name w:val="List Bullet"/>
    <w:basedOn w:val="Normal"/>
    <w:rsid w:val="00003E81"/>
    <w:pPr>
      <w:numPr>
        <w:numId w:val="6"/>
      </w:numPr>
      <w:contextualSpacing/>
    </w:pPr>
  </w:style>
  <w:style w:type="table" w:customStyle="1" w:styleId="TableGrid51">
    <w:name w:val="Table Grid51"/>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ew">
    <w:name w:val="Bullets - new"/>
    <w:basedOn w:val="Normal"/>
    <w:qFormat/>
    <w:rsid w:val="00003E81"/>
    <w:pPr>
      <w:autoSpaceDE w:val="0"/>
      <w:autoSpaceDN w:val="0"/>
      <w:spacing w:before="120" w:after="120"/>
      <w:ind w:left="360" w:hanging="360"/>
    </w:pPr>
    <w:rPr>
      <w:rFonts w:eastAsia="Calibri"/>
      <w:szCs w:val="20"/>
      <w:lang w:eastAsia="en-US"/>
    </w:rPr>
  </w:style>
  <w:style w:type="paragraph" w:styleId="EndnoteText">
    <w:name w:val="endnote text"/>
    <w:basedOn w:val="Normal"/>
    <w:link w:val="EndnoteTextChar"/>
    <w:semiHidden/>
    <w:unhideWhenUsed/>
    <w:rsid w:val="00003E81"/>
    <w:rPr>
      <w:sz w:val="20"/>
      <w:szCs w:val="20"/>
    </w:rPr>
  </w:style>
  <w:style w:type="character" w:customStyle="1" w:styleId="EndnoteTextChar">
    <w:name w:val="Endnote Text Char"/>
    <w:basedOn w:val="DefaultParagraphFont"/>
    <w:link w:val="EndnoteText"/>
    <w:semiHidden/>
    <w:rsid w:val="00003E81"/>
    <w:rPr>
      <w:rFonts w:eastAsia="Times New Roman" w:cs="Times New Roman"/>
      <w:sz w:val="20"/>
      <w:szCs w:val="20"/>
      <w:lang w:eastAsia="en-AU"/>
    </w:rPr>
  </w:style>
  <w:style w:type="character" w:styleId="EndnoteReference">
    <w:name w:val="endnote reference"/>
    <w:basedOn w:val="DefaultParagraphFont"/>
    <w:semiHidden/>
    <w:unhideWhenUsed/>
    <w:rsid w:val="00003E81"/>
    <w:rPr>
      <w:vertAlign w:val="superscript"/>
    </w:rPr>
  </w:style>
  <w:style w:type="paragraph" w:customStyle="1" w:styleId="CCS-NumericNumberedList">
    <w:name w:val="CCS-Numeric Numbered List"/>
    <w:basedOn w:val="Normal"/>
    <w:rsid w:val="00003E81"/>
    <w:pPr>
      <w:numPr>
        <w:numId w:val="8"/>
      </w:numPr>
      <w:spacing w:before="120" w:after="120"/>
    </w:pPr>
    <w:rPr>
      <w:rFonts w:eastAsiaTheme="minorHAnsi" w:cstheme="minorHAnsi"/>
      <w:sz w:val="22"/>
      <w:szCs w:val="20"/>
      <w:lang w:eastAsia="zh-CN" w:bidi="th-TH"/>
    </w:rPr>
  </w:style>
  <w:style w:type="paragraph" w:customStyle="1" w:styleId="Normal-nospacing">
    <w:name w:val="Normal - no spacing"/>
    <w:basedOn w:val="Normal"/>
    <w:qFormat/>
    <w:rsid w:val="00003E81"/>
    <w:pPr>
      <w:spacing w:before="120" w:after="120"/>
    </w:pPr>
    <w:rPr>
      <w:rFonts w:eastAsiaTheme="minorHAnsi" w:cstheme="minorHAnsi"/>
      <w:lang w:eastAsia="zh-CN" w:bidi="th-TH"/>
    </w:rPr>
  </w:style>
  <w:style w:type="paragraph" w:customStyle="1" w:styleId="BulletPoints">
    <w:name w:val="Bullet Points"/>
    <w:basedOn w:val="ListParagraph"/>
    <w:rsid w:val="00003E81"/>
    <w:pPr>
      <w:numPr>
        <w:numId w:val="9"/>
      </w:numPr>
      <w:spacing w:after="120"/>
      <w:ind w:left="426" w:hanging="357"/>
      <w:contextualSpacing w:val="0"/>
    </w:pPr>
    <w:rPr>
      <w:rFonts w:eastAsiaTheme="minorHAnsi" w:cstheme="minorHAnsi"/>
      <w:szCs w:val="20"/>
      <w:lang w:eastAsia="zh-CN" w:bidi="th-TH"/>
    </w:rPr>
  </w:style>
  <w:style w:type="paragraph" w:styleId="ListBullet3">
    <w:name w:val="List Bullet 3"/>
    <w:basedOn w:val="Normal"/>
    <w:autoRedefine/>
    <w:rsid w:val="00003E81"/>
    <w:pPr>
      <w:numPr>
        <w:numId w:val="10"/>
      </w:numPr>
    </w:pPr>
    <w:rPr>
      <w:rFonts w:ascii="Arial" w:hAnsi="Arial"/>
      <w:sz w:val="18"/>
      <w:szCs w:val="20"/>
      <w:lang w:eastAsia="en-US"/>
    </w:rPr>
  </w:style>
  <w:style w:type="table" w:customStyle="1" w:styleId="TableGrid6">
    <w:name w:val="Table Grid6"/>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CS">
    <w:name w:val="RUCS"/>
    <w:basedOn w:val="Heading3"/>
    <w:link w:val="RUCSChar"/>
    <w:qFormat/>
    <w:rsid w:val="00003E81"/>
  </w:style>
  <w:style w:type="character" w:customStyle="1" w:styleId="RUCSChar">
    <w:name w:val="RUCS Char"/>
    <w:basedOn w:val="Heading3Char"/>
    <w:link w:val="RUCS"/>
    <w:rsid w:val="00003E81"/>
    <w:rPr>
      <w:rFonts w:ascii="Calibri" w:eastAsiaTheme="majorEastAsia" w:hAnsi="Calibri" w:cstheme="majorBidi"/>
      <w:b/>
      <w:bCs/>
      <w:sz w:val="24"/>
      <w:szCs w:val="24"/>
      <w:lang w:eastAsia="en-AU"/>
    </w:rPr>
  </w:style>
  <w:style w:type="paragraph" w:customStyle="1" w:styleId="Recommendations">
    <w:name w:val="Recommendations"/>
    <w:basedOn w:val="Title"/>
    <w:next w:val="Normal"/>
    <w:autoRedefine/>
    <w:qFormat/>
    <w:rsid w:val="004E6A52"/>
    <w:pPr>
      <w:numPr>
        <w:numId w:val="22"/>
      </w:numPr>
      <w:spacing w:before="300"/>
      <w:ind w:left="357" w:hanging="357"/>
      <w:contextualSpacing w:val="0"/>
    </w:pPr>
    <w:rPr>
      <w:sz w:val="28"/>
      <w:szCs w:val="28"/>
    </w:rPr>
  </w:style>
  <w:style w:type="table" w:customStyle="1" w:styleId="TableGrid7">
    <w:name w:val="Table Grid7"/>
    <w:basedOn w:val="TableNormal"/>
    <w:next w:val="TableGrid"/>
    <w:uiPriority w:val="39"/>
    <w:rsid w:val="00472BC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190">
      <w:bodyDiv w:val="1"/>
      <w:marLeft w:val="0"/>
      <w:marRight w:val="0"/>
      <w:marTop w:val="0"/>
      <w:marBottom w:val="0"/>
      <w:divBdr>
        <w:top w:val="none" w:sz="0" w:space="0" w:color="auto"/>
        <w:left w:val="none" w:sz="0" w:space="0" w:color="auto"/>
        <w:bottom w:val="none" w:sz="0" w:space="0" w:color="auto"/>
        <w:right w:val="none" w:sz="0" w:space="0" w:color="auto"/>
      </w:divBdr>
      <w:divsChild>
        <w:div w:id="500318837">
          <w:marLeft w:val="547"/>
          <w:marRight w:val="0"/>
          <w:marTop w:val="0"/>
          <w:marBottom w:val="0"/>
          <w:divBdr>
            <w:top w:val="none" w:sz="0" w:space="0" w:color="auto"/>
            <w:left w:val="none" w:sz="0" w:space="0" w:color="auto"/>
            <w:bottom w:val="none" w:sz="0" w:space="0" w:color="auto"/>
            <w:right w:val="none" w:sz="0" w:space="0" w:color="auto"/>
          </w:divBdr>
        </w:div>
        <w:div w:id="241990403">
          <w:marLeft w:val="1166"/>
          <w:marRight w:val="0"/>
          <w:marTop w:val="0"/>
          <w:marBottom w:val="0"/>
          <w:divBdr>
            <w:top w:val="none" w:sz="0" w:space="0" w:color="auto"/>
            <w:left w:val="none" w:sz="0" w:space="0" w:color="auto"/>
            <w:bottom w:val="none" w:sz="0" w:space="0" w:color="auto"/>
            <w:right w:val="none" w:sz="0" w:space="0" w:color="auto"/>
          </w:divBdr>
        </w:div>
        <w:div w:id="1583644458">
          <w:marLeft w:val="1800"/>
          <w:marRight w:val="0"/>
          <w:marTop w:val="0"/>
          <w:marBottom w:val="0"/>
          <w:divBdr>
            <w:top w:val="none" w:sz="0" w:space="0" w:color="auto"/>
            <w:left w:val="none" w:sz="0" w:space="0" w:color="auto"/>
            <w:bottom w:val="none" w:sz="0" w:space="0" w:color="auto"/>
            <w:right w:val="none" w:sz="0" w:space="0" w:color="auto"/>
          </w:divBdr>
        </w:div>
        <w:div w:id="963270823">
          <w:marLeft w:val="1166"/>
          <w:marRight w:val="0"/>
          <w:marTop w:val="0"/>
          <w:marBottom w:val="0"/>
          <w:divBdr>
            <w:top w:val="none" w:sz="0" w:space="0" w:color="auto"/>
            <w:left w:val="none" w:sz="0" w:space="0" w:color="auto"/>
            <w:bottom w:val="none" w:sz="0" w:space="0" w:color="auto"/>
            <w:right w:val="none" w:sz="0" w:space="0" w:color="auto"/>
          </w:divBdr>
        </w:div>
        <w:div w:id="2080401257">
          <w:marLeft w:val="1800"/>
          <w:marRight w:val="0"/>
          <w:marTop w:val="0"/>
          <w:marBottom w:val="0"/>
          <w:divBdr>
            <w:top w:val="none" w:sz="0" w:space="0" w:color="auto"/>
            <w:left w:val="none" w:sz="0" w:space="0" w:color="auto"/>
            <w:bottom w:val="none" w:sz="0" w:space="0" w:color="auto"/>
            <w:right w:val="none" w:sz="0" w:space="0" w:color="auto"/>
          </w:divBdr>
        </w:div>
        <w:div w:id="1713576535">
          <w:marLeft w:val="2520"/>
          <w:marRight w:val="0"/>
          <w:marTop w:val="0"/>
          <w:marBottom w:val="0"/>
          <w:divBdr>
            <w:top w:val="none" w:sz="0" w:space="0" w:color="auto"/>
            <w:left w:val="none" w:sz="0" w:space="0" w:color="auto"/>
            <w:bottom w:val="none" w:sz="0" w:space="0" w:color="auto"/>
            <w:right w:val="none" w:sz="0" w:space="0" w:color="auto"/>
          </w:divBdr>
        </w:div>
        <w:div w:id="683555399">
          <w:marLeft w:val="2520"/>
          <w:marRight w:val="0"/>
          <w:marTop w:val="0"/>
          <w:marBottom w:val="0"/>
          <w:divBdr>
            <w:top w:val="none" w:sz="0" w:space="0" w:color="auto"/>
            <w:left w:val="none" w:sz="0" w:space="0" w:color="auto"/>
            <w:bottom w:val="none" w:sz="0" w:space="0" w:color="auto"/>
            <w:right w:val="none" w:sz="0" w:space="0" w:color="auto"/>
          </w:divBdr>
        </w:div>
        <w:div w:id="692731243">
          <w:marLeft w:val="1800"/>
          <w:marRight w:val="0"/>
          <w:marTop w:val="0"/>
          <w:marBottom w:val="0"/>
          <w:divBdr>
            <w:top w:val="none" w:sz="0" w:space="0" w:color="auto"/>
            <w:left w:val="none" w:sz="0" w:space="0" w:color="auto"/>
            <w:bottom w:val="none" w:sz="0" w:space="0" w:color="auto"/>
            <w:right w:val="none" w:sz="0" w:space="0" w:color="auto"/>
          </w:divBdr>
        </w:div>
        <w:div w:id="1219055347">
          <w:marLeft w:val="2520"/>
          <w:marRight w:val="0"/>
          <w:marTop w:val="0"/>
          <w:marBottom w:val="0"/>
          <w:divBdr>
            <w:top w:val="none" w:sz="0" w:space="0" w:color="auto"/>
            <w:left w:val="none" w:sz="0" w:space="0" w:color="auto"/>
            <w:bottom w:val="none" w:sz="0" w:space="0" w:color="auto"/>
            <w:right w:val="none" w:sz="0" w:space="0" w:color="auto"/>
          </w:divBdr>
        </w:div>
        <w:div w:id="1512838367">
          <w:marLeft w:val="2520"/>
          <w:marRight w:val="0"/>
          <w:marTop w:val="0"/>
          <w:marBottom w:val="0"/>
          <w:divBdr>
            <w:top w:val="none" w:sz="0" w:space="0" w:color="auto"/>
            <w:left w:val="none" w:sz="0" w:space="0" w:color="auto"/>
            <w:bottom w:val="none" w:sz="0" w:space="0" w:color="auto"/>
            <w:right w:val="none" w:sz="0" w:space="0" w:color="auto"/>
          </w:divBdr>
        </w:div>
        <w:div w:id="820267813">
          <w:marLeft w:val="1800"/>
          <w:marRight w:val="0"/>
          <w:marTop w:val="0"/>
          <w:marBottom w:val="0"/>
          <w:divBdr>
            <w:top w:val="none" w:sz="0" w:space="0" w:color="auto"/>
            <w:left w:val="none" w:sz="0" w:space="0" w:color="auto"/>
            <w:bottom w:val="none" w:sz="0" w:space="0" w:color="auto"/>
            <w:right w:val="none" w:sz="0" w:space="0" w:color="auto"/>
          </w:divBdr>
        </w:div>
        <w:div w:id="1196042865">
          <w:marLeft w:val="1166"/>
          <w:marRight w:val="0"/>
          <w:marTop w:val="0"/>
          <w:marBottom w:val="0"/>
          <w:divBdr>
            <w:top w:val="none" w:sz="0" w:space="0" w:color="auto"/>
            <w:left w:val="none" w:sz="0" w:space="0" w:color="auto"/>
            <w:bottom w:val="none" w:sz="0" w:space="0" w:color="auto"/>
            <w:right w:val="none" w:sz="0" w:space="0" w:color="auto"/>
          </w:divBdr>
        </w:div>
        <w:div w:id="1469938289">
          <w:marLeft w:val="1800"/>
          <w:marRight w:val="0"/>
          <w:marTop w:val="0"/>
          <w:marBottom w:val="0"/>
          <w:divBdr>
            <w:top w:val="none" w:sz="0" w:space="0" w:color="auto"/>
            <w:left w:val="none" w:sz="0" w:space="0" w:color="auto"/>
            <w:bottom w:val="none" w:sz="0" w:space="0" w:color="auto"/>
            <w:right w:val="none" w:sz="0" w:space="0" w:color="auto"/>
          </w:divBdr>
        </w:div>
        <w:div w:id="315846440">
          <w:marLeft w:val="2520"/>
          <w:marRight w:val="0"/>
          <w:marTop w:val="0"/>
          <w:marBottom w:val="0"/>
          <w:divBdr>
            <w:top w:val="none" w:sz="0" w:space="0" w:color="auto"/>
            <w:left w:val="none" w:sz="0" w:space="0" w:color="auto"/>
            <w:bottom w:val="none" w:sz="0" w:space="0" w:color="auto"/>
            <w:right w:val="none" w:sz="0" w:space="0" w:color="auto"/>
          </w:divBdr>
        </w:div>
        <w:div w:id="272828262">
          <w:marLeft w:val="2520"/>
          <w:marRight w:val="0"/>
          <w:marTop w:val="0"/>
          <w:marBottom w:val="0"/>
          <w:divBdr>
            <w:top w:val="none" w:sz="0" w:space="0" w:color="auto"/>
            <w:left w:val="none" w:sz="0" w:space="0" w:color="auto"/>
            <w:bottom w:val="none" w:sz="0" w:space="0" w:color="auto"/>
            <w:right w:val="none" w:sz="0" w:space="0" w:color="auto"/>
          </w:divBdr>
        </w:div>
        <w:div w:id="876428212">
          <w:marLeft w:val="1800"/>
          <w:marRight w:val="0"/>
          <w:marTop w:val="0"/>
          <w:marBottom w:val="0"/>
          <w:divBdr>
            <w:top w:val="none" w:sz="0" w:space="0" w:color="auto"/>
            <w:left w:val="none" w:sz="0" w:space="0" w:color="auto"/>
            <w:bottom w:val="none" w:sz="0" w:space="0" w:color="auto"/>
            <w:right w:val="none" w:sz="0" w:space="0" w:color="auto"/>
          </w:divBdr>
        </w:div>
        <w:div w:id="724377861">
          <w:marLeft w:val="1800"/>
          <w:marRight w:val="0"/>
          <w:marTop w:val="0"/>
          <w:marBottom w:val="0"/>
          <w:divBdr>
            <w:top w:val="none" w:sz="0" w:space="0" w:color="auto"/>
            <w:left w:val="none" w:sz="0" w:space="0" w:color="auto"/>
            <w:bottom w:val="none" w:sz="0" w:space="0" w:color="auto"/>
            <w:right w:val="none" w:sz="0" w:space="0" w:color="auto"/>
          </w:divBdr>
        </w:div>
        <w:div w:id="1837109033">
          <w:marLeft w:val="2520"/>
          <w:marRight w:val="0"/>
          <w:marTop w:val="0"/>
          <w:marBottom w:val="0"/>
          <w:divBdr>
            <w:top w:val="none" w:sz="0" w:space="0" w:color="auto"/>
            <w:left w:val="none" w:sz="0" w:space="0" w:color="auto"/>
            <w:bottom w:val="none" w:sz="0" w:space="0" w:color="auto"/>
            <w:right w:val="none" w:sz="0" w:space="0" w:color="auto"/>
          </w:divBdr>
        </w:div>
        <w:div w:id="981233605">
          <w:marLeft w:val="547"/>
          <w:marRight w:val="0"/>
          <w:marTop w:val="0"/>
          <w:marBottom w:val="0"/>
          <w:divBdr>
            <w:top w:val="none" w:sz="0" w:space="0" w:color="auto"/>
            <w:left w:val="none" w:sz="0" w:space="0" w:color="auto"/>
            <w:bottom w:val="none" w:sz="0" w:space="0" w:color="auto"/>
            <w:right w:val="none" w:sz="0" w:space="0" w:color="auto"/>
          </w:divBdr>
        </w:div>
      </w:divsChild>
    </w:div>
    <w:div w:id="501821952">
      <w:bodyDiv w:val="1"/>
      <w:marLeft w:val="0"/>
      <w:marRight w:val="0"/>
      <w:marTop w:val="0"/>
      <w:marBottom w:val="0"/>
      <w:divBdr>
        <w:top w:val="none" w:sz="0" w:space="0" w:color="auto"/>
        <w:left w:val="none" w:sz="0" w:space="0" w:color="auto"/>
        <w:bottom w:val="none" w:sz="0" w:space="0" w:color="auto"/>
        <w:right w:val="none" w:sz="0" w:space="0" w:color="auto"/>
      </w:divBdr>
      <w:divsChild>
        <w:div w:id="1624456661">
          <w:marLeft w:val="547"/>
          <w:marRight w:val="0"/>
          <w:marTop w:val="0"/>
          <w:marBottom w:val="0"/>
          <w:divBdr>
            <w:top w:val="none" w:sz="0" w:space="0" w:color="auto"/>
            <w:left w:val="none" w:sz="0" w:space="0" w:color="auto"/>
            <w:bottom w:val="none" w:sz="0" w:space="0" w:color="auto"/>
            <w:right w:val="none" w:sz="0" w:space="0" w:color="auto"/>
          </w:divBdr>
        </w:div>
      </w:divsChild>
    </w:div>
    <w:div w:id="630789202">
      <w:bodyDiv w:val="1"/>
      <w:marLeft w:val="0"/>
      <w:marRight w:val="0"/>
      <w:marTop w:val="0"/>
      <w:marBottom w:val="0"/>
      <w:divBdr>
        <w:top w:val="none" w:sz="0" w:space="0" w:color="auto"/>
        <w:left w:val="none" w:sz="0" w:space="0" w:color="auto"/>
        <w:bottom w:val="none" w:sz="0" w:space="0" w:color="auto"/>
        <w:right w:val="none" w:sz="0" w:space="0" w:color="auto"/>
      </w:divBdr>
      <w:divsChild>
        <w:div w:id="2135560964">
          <w:marLeft w:val="547"/>
          <w:marRight w:val="0"/>
          <w:marTop w:val="0"/>
          <w:marBottom w:val="0"/>
          <w:divBdr>
            <w:top w:val="none" w:sz="0" w:space="0" w:color="auto"/>
            <w:left w:val="none" w:sz="0" w:space="0" w:color="auto"/>
            <w:bottom w:val="none" w:sz="0" w:space="0" w:color="auto"/>
            <w:right w:val="none" w:sz="0" w:space="0" w:color="auto"/>
          </w:divBdr>
        </w:div>
        <w:div w:id="237596382">
          <w:marLeft w:val="1166"/>
          <w:marRight w:val="0"/>
          <w:marTop w:val="0"/>
          <w:marBottom w:val="0"/>
          <w:divBdr>
            <w:top w:val="none" w:sz="0" w:space="0" w:color="auto"/>
            <w:left w:val="none" w:sz="0" w:space="0" w:color="auto"/>
            <w:bottom w:val="none" w:sz="0" w:space="0" w:color="auto"/>
            <w:right w:val="none" w:sz="0" w:space="0" w:color="auto"/>
          </w:divBdr>
        </w:div>
        <w:div w:id="1384716577">
          <w:marLeft w:val="1800"/>
          <w:marRight w:val="0"/>
          <w:marTop w:val="0"/>
          <w:marBottom w:val="0"/>
          <w:divBdr>
            <w:top w:val="none" w:sz="0" w:space="0" w:color="auto"/>
            <w:left w:val="none" w:sz="0" w:space="0" w:color="auto"/>
            <w:bottom w:val="none" w:sz="0" w:space="0" w:color="auto"/>
            <w:right w:val="none" w:sz="0" w:space="0" w:color="auto"/>
          </w:divBdr>
        </w:div>
        <w:div w:id="210651743">
          <w:marLeft w:val="1166"/>
          <w:marRight w:val="0"/>
          <w:marTop w:val="0"/>
          <w:marBottom w:val="0"/>
          <w:divBdr>
            <w:top w:val="none" w:sz="0" w:space="0" w:color="auto"/>
            <w:left w:val="none" w:sz="0" w:space="0" w:color="auto"/>
            <w:bottom w:val="none" w:sz="0" w:space="0" w:color="auto"/>
            <w:right w:val="none" w:sz="0" w:space="0" w:color="auto"/>
          </w:divBdr>
        </w:div>
        <w:div w:id="1321616739">
          <w:marLeft w:val="1800"/>
          <w:marRight w:val="0"/>
          <w:marTop w:val="0"/>
          <w:marBottom w:val="0"/>
          <w:divBdr>
            <w:top w:val="none" w:sz="0" w:space="0" w:color="auto"/>
            <w:left w:val="none" w:sz="0" w:space="0" w:color="auto"/>
            <w:bottom w:val="none" w:sz="0" w:space="0" w:color="auto"/>
            <w:right w:val="none" w:sz="0" w:space="0" w:color="auto"/>
          </w:divBdr>
        </w:div>
        <w:div w:id="1693218039">
          <w:marLeft w:val="2520"/>
          <w:marRight w:val="0"/>
          <w:marTop w:val="0"/>
          <w:marBottom w:val="0"/>
          <w:divBdr>
            <w:top w:val="none" w:sz="0" w:space="0" w:color="auto"/>
            <w:left w:val="none" w:sz="0" w:space="0" w:color="auto"/>
            <w:bottom w:val="none" w:sz="0" w:space="0" w:color="auto"/>
            <w:right w:val="none" w:sz="0" w:space="0" w:color="auto"/>
          </w:divBdr>
        </w:div>
        <w:div w:id="9531231">
          <w:marLeft w:val="2520"/>
          <w:marRight w:val="0"/>
          <w:marTop w:val="0"/>
          <w:marBottom w:val="0"/>
          <w:divBdr>
            <w:top w:val="none" w:sz="0" w:space="0" w:color="auto"/>
            <w:left w:val="none" w:sz="0" w:space="0" w:color="auto"/>
            <w:bottom w:val="none" w:sz="0" w:space="0" w:color="auto"/>
            <w:right w:val="none" w:sz="0" w:space="0" w:color="auto"/>
          </w:divBdr>
        </w:div>
        <w:div w:id="250820563">
          <w:marLeft w:val="1800"/>
          <w:marRight w:val="0"/>
          <w:marTop w:val="0"/>
          <w:marBottom w:val="0"/>
          <w:divBdr>
            <w:top w:val="none" w:sz="0" w:space="0" w:color="auto"/>
            <w:left w:val="none" w:sz="0" w:space="0" w:color="auto"/>
            <w:bottom w:val="none" w:sz="0" w:space="0" w:color="auto"/>
            <w:right w:val="none" w:sz="0" w:space="0" w:color="auto"/>
          </w:divBdr>
        </w:div>
        <w:div w:id="520900522">
          <w:marLeft w:val="2520"/>
          <w:marRight w:val="0"/>
          <w:marTop w:val="0"/>
          <w:marBottom w:val="0"/>
          <w:divBdr>
            <w:top w:val="none" w:sz="0" w:space="0" w:color="auto"/>
            <w:left w:val="none" w:sz="0" w:space="0" w:color="auto"/>
            <w:bottom w:val="none" w:sz="0" w:space="0" w:color="auto"/>
            <w:right w:val="none" w:sz="0" w:space="0" w:color="auto"/>
          </w:divBdr>
        </w:div>
        <w:div w:id="71513227">
          <w:marLeft w:val="2520"/>
          <w:marRight w:val="0"/>
          <w:marTop w:val="0"/>
          <w:marBottom w:val="0"/>
          <w:divBdr>
            <w:top w:val="none" w:sz="0" w:space="0" w:color="auto"/>
            <w:left w:val="none" w:sz="0" w:space="0" w:color="auto"/>
            <w:bottom w:val="none" w:sz="0" w:space="0" w:color="auto"/>
            <w:right w:val="none" w:sz="0" w:space="0" w:color="auto"/>
          </w:divBdr>
        </w:div>
        <w:div w:id="152333692">
          <w:marLeft w:val="1800"/>
          <w:marRight w:val="0"/>
          <w:marTop w:val="0"/>
          <w:marBottom w:val="0"/>
          <w:divBdr>
            <w:top w:val="none" w:sz="0" w:space="0" w:color="auto"/>
            <w:left w:val="none" w:sz="0" w:space="0" w:color="auto"/>
            <w:bottom w:val="none" w:sz="0" w:space="0" w:color="auto"/>
            <w:right w:val="none" w:sz="0" w:space="0" w:color="auto"/>
          </w:divBdr>
        </w:div>
        <w:div w:id="879708780">
          <w:marLeft w:val="1166"/>
          <w:marRight w:val="0"/>
          <w:marTop w:val="0"/>
          <w:marBottom w:val="0"/>
          <w:divBdr>
            <w:top w:val="none" w:sz="0" w:space="0" w:color="auto"/>
            <w:left w:val="none" w:sz="0" w:space="0" w:color="auto"/>
            <w:bottom w:val="none" w:sz="0" w:space="0" w:color="auto"/>
            <w:right w:val="none" w:sz="0" w:space="0" w:color="auto"/>
          </w:divBdr>
        </w:div>
        <w:div w:id="550266965">
          <w:marLeft w:val="1800"/>
          <w:marRight w:val="0"/>
          <w:marTop w:val="0"/>
          <w:marBottom w:val="0"/>
          <w:divBdr>
            <w:top w:val="none" w:sz="0" w:space="0" w:color="auto"/>
            <w:left w:val="none" w:sz="0" w:space="0" w:color="auto"/>
            <w:bottom w:val="none" w:sz="0" w:space="0" w:color="auto"/>
            <w:right w:val="none" w:sz="0" w:space="0" w:color="auto"/>
          </w:divBdr>
        </w:div>
        <w:div w:id="554122658">
          <w:marLeft w:val="2520"/>
          <w:marRight w:val="0"/>
          <w:marTop w:val="0"/>
          <w:marBottom w:val="0"/>
          <w:divBdr>
            <w:top w:val="none" w:sz="0" w:space="0" w:color="auto"/>
            <w:left w:val="none" w:sz="0" w:space="0" w:color="auto"/>
            <w:bottom w:val="none" w:sz="0" w:space="0" w:color="auto"/>
            <w:right w:val="none" w:sz="0" w:space="0" w:color="auto"/>
          </w:divBdr>
        </w:div>
        <w:div w:id="1914780419">
          <w:marLeft w:val="2520"/>
          <w:marRight w:val="0"/>
          <w:marTop w:val="0"/>
          <w:marBottom w:val="0"/>
          <w:divBdr>
            <w:top w:val="none" w:sz="0" w:space="0" w:color="auto"/>
            <w:left w:val="none" w:sz="0" w:space="0" w:color="auto"/>
            <w:bottom w:val="none" w:sz="0" w:space="0" w:color="auto"/>
            <w:right w:val="none" w:sz="0" w:space="0" w:color="auto"/>
          </w:divBdr>
        </w:div>
        <w:div w:id="1805002052">
          <w:marLeft w:val="1800"/>
          <w:marRight w:val="0"/>
          <w:marTop w:val="0"/>
          <w:marBottom w:val="0"/>
          <w:divBdr>
            <w:top w:val="none" w:sz="0" w:space="0" w:color="auto"/>
            <w:left w:val="none" w:sz="0" w:space="0" w:color="auto"/>
            <w:bottom w:val="none" w:sz="0" w:space="0" w:color="auto"/>
            <w:right w:val="none" w:sz="0" w:space="0" w:color="auto"/>
          </w:divBdr>
        </w:div>
        <w:div w:id="420295465">
          <w:marLeft w:val="1800"/>
          <w:marRight w:val="0"/>
          <w:marTop w:val="0"/>
          <w:marBottom w:val="0"/>
          <w:divBdr>
            <w:top w:val="none" w:sz="0" w:space="0" w:color="auto"/>
            <w:left w:val="none" w:sz="0" w:space="0" w:color="auto"/>
            <w:bottom w:val="none" w:sz="0" w:space="0" w:color="auto"/>
            <w:right w:val="none" w:sz="0" w:space="0" w:color="auto"/>
          </w:divBdr>
        </w:div>
        <w:div w:id="1311792421">
          <w:marLeft w:val="2520"/>
          <w:marRight w:val="0"/>
          <w:marTop w:val="0"/>
          <w:marBottom w:val="0"/>
          <w:divBdr>
            <w:top w:val="none" w:sz="0" w:space="0" w:color="auto"/>
            <w:left w:val="none" w:sz="0" w:space="0" w:color="auto"/>
            <w:bottom w:val="none" w:sz="0" w:space="0" w:color="auto"/>
            <w:right w:val="none" w:sz="0" w:space="0" w:color="auto"/>
          </w:divBdr>
        </w:div>
        <w:div w:id="1253709533">
          <w:marLeft w:val="547"/>
          <w:marRight w:val="0"/>
          <w:marTop w:val="0"/>
          <w:marBottom w:val="0"/>
          <w:divBdr>
            <w:top w:val="none" w:sz="0" w:space="0" w:color="auto"/>
            <w:left w:val="none" w:sz="0" w:space="0" w:color="auto"/>
            <w:bottom w:val="none" w:sz="0" w:space="0" w:color="auto"/>
            <w:right w:val="none" w:sz="0" w:space="0" w:color="auto"/>
          </w:divBdr>
        </w:div>
      </w:divsChild>
    </w:div>
    <w:div w:id="898784061">
      <w:bodyDiv w:val="1"/>
      <w:marLeft w:val="0"/>
      <w:marRight w:val="0"/>
      <w:marTop w:val="0"/>
      <w:marBottom w:val="0"/>
      <w:divBdr>
        <w:top w:val="none" w:sz="0" w:space="0" w:color="auto"/>
        <w:left w:val="none" w:sz="0" w:space="0" w:color="auto"/>
        <w:bottom w:val="none" w:sz="0" w:space="0" w:color="auto"/>
        <w:right w:val="none" w:sz="0" w:space="0" w:color="auto"/>
      </w:divBdr>
    </w:div>
    <w:div w:id="10978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urquiose">
      <a:dk1>
        <a:sysClr val="windowText" lastClr="000000"/>
      </a:dk1>
      <a:lt1>
        <a:sysClr val="window" lastClr="FFFFFF"/>
      </a:lt1>
      <a:dk2>
        <a:srgbClr val="373545"/>
      </a:dk2>
      <a:lt2>
        <a:srgbClr val="CEDBE6"/>
      </a:lt2>
      <a:accent1>
        <a:srgbClr val="398F98"/>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12C0-7F76-46E4-9E5D-20C0A237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9981</Words>
  <Characters>56896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2019-04-08T00:59:00Z</dcterms:created>
  <dcterms:modified xsi:type="dcterms:W3CDTF">2019-09-02T06:16:00Z</dcterms:modified>
</cp:coreProperties>
</file>