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E81" w:rsidRDefault="007B54AA" w:rsidP="00B911CD">
      <w:pPr>
        <w:spacing w:before="2000"/>
      </w:pPr>
      <w:r>
        <w:rPr>
          <w:noProof/>
        </w:rPr>
        <w:drawing>
          <wp:inline distT="0" distB="0" distL="0" distR="0" wp14:anchorId="13DD87DE" wp14:editId="34B21376">
            <wp:extent cx="3633275" cy="648000"/>
            <wp:effectExtent l="0" t="0" r="5715" b="0"/>
            <wp:docPr id="16" name="Picture 16" descr="Australian Health Services Research Institute (AHSRI) University of Wollongong logo" title="AHSI and U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hsri-UowLonghandLandscapeColourPositive.png"/>
                    <pic:cNvPicPr/>
                  </pic:nvPicPr>
                  <pic:blipFill>
                    <a:blip r:embed="rId7">
                      <a:extLst>
                        <a:ext uri="{28A0092B-C50C-407E-A947-70E740481C1C}">
                          <a14:useLocalDpi xmlns:a14="http://schemas.microsoft.com/office/drawing/2010/main" val="0"/>
                        </a:ext>
                      </a:extLst>
                    </a:blip>
                    <a:stretch>
                      <a:fillRect/>
                    </a:stretch>
                  </pic:blipFill>
                  <pic:spPr>
                    <a:xfrm>
                      <a:off x="0" y="0"/>
                      <a:ext cx="3633275" cy="648000"/>
                    </a:xfrm>
                    <a:prstGeom prst="rect">
                      <a:avLst/>
                    </a:prstGeom>
                  </pic:spPr>
                </pic:pic>
              </a:graphicData>
            </a:graphic>
          </wp:inline>
        </w:drawing>
      </w:r>
    </w:p>
    <w:p w:rsidR="00003E81" w:rsidRPr="00574C88" w:rsidRDefault="00E002F4" w:rsidP="00B911CD">
      <w:pPr>
        <w:pStyle w:val="Title"/>
        <w:pBdr>
          <w:bottom w:val="none" w:sz="0" w:space="0" w:color="auto"/>
        </w:pBdr>
        <w:spacing w:before="3000" w:after="2000"/>
      </w:pPr>
      <w:r>
        <w:t>Modelling the impact of the AN-ACC in Australia</w:t>
      </w:r>
    </w:p>
    <w:p w:rsidR="00003E81" w:rsidRPr="00B911CD" w:rsidRDefault="00003E81" w:rsidP="00B911CD">
      <w:pPr>
        <w:pStyle w:val="Title"/>
        <w:pBdr>
          <w:bottom w:val="none" w:sz="0" w:space="0" w:color="auto"/>
        </w:pBdr>
        <w:tabs>
          <w:tab w:val="left" w:pos="1418"/>
        </w:tabs>
        <w:spacing w:before="3000" w:after="2760"/>
        <w:contextualSpacing w:val="0"/>
        <w:rPr>
          <w:sz w:val="44"/>
          <w:szCs w:val="44"/>
        </w:rPr>
      </w:pPr>
      <w:r w:rsidRPr="00B911CD">
        <w:rPr>
          <w:sz w:val="44"/>
          <w:szCs w:val="44"/>
        </w:rPr>
        <w:t>The Resource Utilisation and Classification Study: Report 4</w:t>
      </w:r>
    </w:p>
    <w:p w:rsidR="00C7431E" w:rsidRDefault="00C83397" w:rsidP="00B911CD">
      <w:pPr>
        <w:spacing w:before="720"/>
        <w:rPr>
          <w:b/>
          <w:sz w:val="32"/>
          <w:szCs w:val="32"/>
        </w:rPr>
      </w:pPr>
      <w:r>
        <w:rPr>
          <w:b/>
          <w:sz w:val="32"/>
          <w:szCs w:val="32"/>
        </w:rPr>
        <w:t>February</w:t>
      </w:r>
      <w:r w:rsidR="00A83610">
        <w:rPr>
          <w:b/>
          <w:sz w:val="32"/>
          <w:szCs w:val="32"/>
        </w:rPr>
        <w:t xml:space="preserve"> 2019</w:t>
      </w:r>
    </w:p>
    <w:p w:rsidR="00003E81" w:rsidRDefault="00003E81" w:rsidP="00C7431E">
      <w:r>
        <w:br w:type="page"/>
      </w:r>
    </w:p>
    <w:p w:rsidR="00003E81" w:rsidRPr="00C7613C" w:rsidRDefault="00003E81" w:rsidP="00003E81">
      <w:pPr>
        <w:spacing w:after="600"/>
        <w:jc w:val="right"/>
        <w:rPr>
          <w:sz w:val="36"/>
          <w:szCs w:val="36"/>
        </w:rPr>
      </w:pPr>
      <w:r w:rsidRPr="00C7613C">
        <w:rPr>
          <w:sz w:val="36"/>
          <w:szCs w:val="36"/>
        </w:rPr>
        <w:lastRenderedPageBreak/>
        <w:t>Kathy Eagar</w:t>
      </w:r>
    </w:p>
    <w:p w:rsidR="00003E81" w:rsidRPr="00C7613C" w:rsidRDefault="00003E81" w:rsidP="00003E81">
      <w:pPr>
        <w:spacing w:after="600"/>
        <w:jc w:val="right"/>
        <w:rPr>
          <w:sz w:val="36"/>
          <w:szCs w:val="36"/>
        </w:rPr>
      </w:pPr>
      <w:r w:rsidRPr="00C7613C">
        <w:rPr>
          <w:sz w:val="36"/>
          <w:szCs w:val="36"/>
        </w:rPr>
        <w:t>Jenny McNamee</w:t>
      </w:r>
    </w:p>
    <w:p w:rsidR="009E2CE6" w:rsidRDefault="009E2CE6" w:rsidP="00003E81">
      <w:pPr>
        <w:spacing w:after="600"/>
        <w:jc w:val="right"/>
        <w:rPr>
          <w:sz w:val="36"/>
          <w:szCs w:val="36"/>
        </w:rPr>
      </w:pPr>
      <w:r>
        <w:rPr>
          <w:sz w:val="36"/>
          <w:szCs w:val="36"/>
        </w:rPr>
        <w:t>Conrad Kobel</w:t>
      </w:r>
    </w:p>
    <w:p w:rsidR="009E2CE6" w:rsidRDefault="009E2CE6" w:rsidP="00003E81">
      <w:pPr>
        <w:spacing w:after="600"/>
        <w:jc w:val="right"/>
        <w:rPr>
          <w:sz w:val="36"/>
          <w:szCs w:val="36"/>
        </w:rPr>
      </w:pPr>
      <w:r>
        <w:rPr>
          <w:sz w:val="36"/>
          <w:szCs w:val="36"/>
        </w:rPr>
        <w:t>Nicole Rankin</w:t>
      </w:r>
    </w:p>
    <w:p w:rsidR="009E2CE6" w:rsidRDefault="009E2CE6" w:rsidP="00003E81">
      <w:pPr>
        <w:spacing w:after="600"/>
        <w:jc w:val="right"/>
        <w:rPr>
          <w:sz w:val="36"/>
          <w:szCs w:val="36"/>
        </w:rPr>
      </w:pPr>
      <w:r>
        <w:rPr>
          <w:sz w:val="36"/>
          <w:szCs w:val="36"/>
        </w:rPr>
        <w:t>Karen Quinsey</w:t>
      </w:r>
    </w:p>
    <w:p w:rsidR="00003E81" w:rsidRPr="00C7613C" w:rsidRDefault="00003E81" w:rsidP="00003E81">
      <w:pPr>
        <w:spacing w:after="600"/>
        <w:jc w:val="right"/>
        <w:rPr>
          <w:sz w:val="36"/>
          <w:szCs w:val="36"/>
        </w:rPr>
      </w:pPr>
      <w:r w:rsidRPr="00C7613C">
        <w:rPr>
          <w:sz w:val="36"/>
          <w:szCs w:val="36"/>
        </w:rPr>
        <w:t>Milena Snoek</w:t>
      </w:r>
    </w:p>
    <w:p w:rsidR="00003E81" w:rsidRPr="00C7613C" w:rsidRDefault="00003E81" w:rsidP="00003E81">
      <w:pPr>
        <w:spacing w:after="600"/>
        <w:ind w:firstLine="720"/>
        <w:jc w:val="right"/>
        <w:rPr>
          <w:sz w:val="36"/>
          <w:szCs w:val="36"/>
        </w:rPr>
      </w:pPr>
      <w:r w:rsidRPr="00C7613C">
        <w:rPr>
          <w:sz w:val="36"/>
          <w:szCs w:val="36"/>
        </w:rPr>
        <w:t>Cathy Duncan</w:t>
      </w:r>
    </w:p>
    <w:p w:rsidR="00003E81" w:rsidRPr="00C7613C" w:rsidRDefault="00003E81" w:rsidP="00003E81">
      <w:pPr>
        <w:spacing w:after="600"/>
        <w:jc w:val="right"/>
        <w:rPr>
          <w:sz w:val="36"/>
          <w:szCs w:val="36"/>
        </w:rPr>
      </w:pPr>
      <w:r w:rsidRPr="00C7613C">
        <w:rPr>
          <w:sz w:val="36"/>
          <w:szCs w:val="36"/>
        </w:rPr>
        <w:t>Peter Samsa</w:t>
      </w:r>
    </w:p>
    <w:p w:rsidR="00003E81" w:rsidRPr="00C7613C" w:rsidRDefault="00003E81" w:rsidP="00003E81">
      <w:pPr>
        <w:spacing w:after="600"/>
        <w:jc w:val="right"/>
        <w:rPr>
          <w:sz w:val="36"/>
          <w:szCs w:val="36"/>
        </w:rPr>
      </w:pPr>
      <w:r w:rsidRPr="00C7613C">
        <w:rPr>
          <w:sz w:val="36"/>
          <w:szCs w:val="36"/>
        </w:rPr>
        <w:t>Carol Loggie</w:t>
      </w:r>
    </w:p>
    <w:p w:rsidR="00C519BE" w:rsidRDefault="00C519BE" w:rsidP="00003E81">
      <w:pPr>
        <w:spacing w:after="60"/>
        <w:rPr>
          <w:b/>
          <w:sz w:val="28"/>
          <w:szCs w:val="28"/>
        </w:rPr>
        <w:sectPr w:rsidR="00C519BE" w:rsidSect="00003E81">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021" w:left="1418" w:header="709" w:footer="709" w:gutter="0"/>
          <w:pgNumType w:start="1"/>
          <w:cols w:space="708"/>
          <w:docGrid w:linePitch="360"/>
        </w:sectPr>
      </w:pPr>
    </w:p>
    <w:p w:rsidR="00955555" w:rsidRDefault="00003E81" w:rsidP="00B911CD">
      <w:pPr>
        <w:spacing w:after="240"/>
      </w:pPr>
      <w:r>
        <w:lastRenderedPageBreak/>
        <w:t xml:space="preserve">This </w:t>
      </w:r>
      <w:r w:rsidRPr="00877115">
        <w:t xml:space="preserve">series of </w:t>
      </w:r>
      <w:r>
        <w:t xml:space="preserve">papers reports on different aspects of a major national study into needs, costs and classification of residential aged care called </w:t>
      </w:r>
      <w:r w:rsidR="00A545E5">
        <w:t>t</w:t>
      </w:r>
      <w:r>
        <w:t xml:space="preserve">he Resource Utilisation </w:t>
      </w:r>
      <w:r w:rsidR="00526F8A">
        <w:t xml:space="preserve">and Classification </w:t>
      </w:r>
      <w:r>
        <w:t>Study</w:t>
      </w:r>
      <w:r w:rsidR="00F66D72">
        <w:t xml:space="preserve"> (RUCS)</w:t>
      </w:r>
      <w:r w:rsidR="00B911CD">
        <w:t xml:space="preserve">. </w:t>
      </w:r>
      <w:r>
        <w:t xml:space="preserve">The RUCS was undertaken during 2018. </w:t>
      </w:r>
    </w:p>
    <w:p w:rsidR="00003E81" w:rsidRDefault="00CA5BD0" w:rsidP="00B911CD">
      <w:pPr>
        <w:spacing w:after="240"/>
      </w:pPr>
      <w:r>
        <w:t>This report (Report 4</w:t>
      </w:r>
      <w:r w:rsidR="00003E81">
        <w:t xml:space="preserve">) </w:t>
      </w:r>
      <w:r w:rsidR="00341AF1">
        <w:t>mo</w:t>
      </w:r>
      <w:r w:rsidR="00341AF1" w:rsidRPr="00341AF1">
        <w:t xml:space="preserve">dels </w:t>
      </w:r>
      <w:r w:rsidR="00383363" w:rsidRPr="00341AF1">
        <w:t>the impact of introducing the Australian National Aged Care Classification</w:t>
      </w:r>
      <w:r w:rsidR="00003E81" w:rsidRPr="00341AF1">
        <w:t xml:space="preserve"> (AN-ACC)</w:t>
      </w:r>
      <w:r w:rsidR="00383363" w:rsidRPr="00341AF1">
        <w:t xml:space="preserve"> funding model nationally</w:t>
      </w:r>
      <w:r w:rsidR="00003E81" w:rsidRPr="00341AF1">
        <w:t>.</w:t>
      </w:r>
    </w:p>
    <w:p w:rsidR="00F27399" w:rsidRDefault="00A9242A" w:rsidP="00B911CD">
      <w:pPr>
        <w:pStyle w:val="Normal-nospacing"/>
        <w:spacing w:after="480"/>
      </w:pPr>
      <w:r>
        <w:t>A summary of the overall RUCS work program and associated reports is provided in</w:t>
      </w:r>
      <w:r w:rsidR="00F27399">
        <w:t xml:space="preserve"> </w:t>
      </w:r>
      <w:r w:rsidR="00F27399">
        <w:fldChar w:fldCharType="begin"/>
      </w:r>
      <w:r w:rsidR="00F27399">
        <w:instrText xml:space="preserve"> REF _Ref535598613 \h </w:instrText>
      </w:r>
      <w:r w:rsidR="00F27399">
        <w:fldChar w:fldCharType="separate"/>
      </w:r>
      <w:r w:rsidR="00785B04" w:rsidRPr="003224C7">
        <w:t>Appendix 1</w:t>
      </w:r>
      <w:r w:rsidR="00F27399">
        <w:fldChar w:fldCharType="end"/>
      </w:r>
      <w:r w:rsidR="00F27399">
        <w:t>.</w:t>
      </w:r>
    </w:p>
    <w:p w:rsidR="00003E81" w:rsidRPr="00CA5BD0" w:rsidRDefault="00003E81" w:rsidP="00B911CD">
      <w:pPr>
        <w:pStyle w:val="ListParagraph"/>
        <w:numPr>
          <w:ilvl w:val="0"/>
          <w:numId w:val="7"/>
        </w:numPr>
        <w:spacing w:after="120"/>
        <w:ind w:left="1418" w:hanging="1418"/>
        <w:contextualSpacing w:val="0"/>
        <w:rPr>
          <w:lang w:val="sv-SE"/>
        </w:rPr>
      </w:pPr>
      <w:r w:rsidRPr="00CA5BD0">
        <w:rPr>
          <w:lang w:val="sv-SE"/>
        </w:rPr>
        <w:t xml:space="preserve">The Australian National Aged Care Classification (AN-ACC) </w:t>
      </w:r>
    </w:p>
    <w:p w:rsidR="00CA5BD0" w:rsidRDefault="00CA5BD0" w:rsidP="00B911CD">
      <w:pPr>
        <w:pStyle w:val="ListParagraph"/>
        <w:numPr>
          <w:ilvl w:val="0"/>
          <w:numId w:val="7"/>
        </w:numPr>
        <w:spacing w:after="120"/>
        <w:ind w:left="1418" w:hanging="1418"/>
        <w:contextualSpacing w:val="0"/>
        <w:rPr>
          <w:lang w:val="sv-SE"/>
        </w:rPr>
      </w:pPr>
      <w:r w:rsidRPr="00CA5BD0">
        <w:rPr>
          <w:lang w:val="sv-SE"/>
        </w:rPr>
        <w:t xml:space="preserve">The AN-ACC assessment model </w:t>
      </w:r>
    </w:p>
    <w:p w:rsidR="00003E81" w:rsidRPr="00CA5BD0" w:rsidRDefault="00003E81" w:rsidP="00B911CD">
      <w:pPr>
        <w:pStyle w:val="ListParagraph"/>
        <w:numPr>
          <w:ilvl w:val="0"/>
          <w:numId w:val="7"/>
        </w:numPr>
        <w:spacing w:after="120"/>
        <w:ind w:left="1418" w:hanging="1418"/>
        <w:contextualSpacing w:val="0"/>
        <w:rPr>
          <w:lang w:val="sv-SE"/>
        </w:rPr>
      </w:pPr>
      <w:r w:rsidRPr="00CA5BD0">
        <w:rPr>
          <w:lang w:val="sv-SE"/>
        </w:rPr>
        <w:t>Structural and individual costs of residential aged care services in Australia</w:t>
      </w:r>
    </w:p>
    <w:p w:rsidR="00003E81" w:rsidRPr="00CA5BD0" w:rsidRDefault="00003E81" w:rsidP="00B911CD">
      <w:pPr>
        <w:pStyle w:val="ListParagraph"/>
        <w:numPr>
          <w:ilvl w:val="0"/>
          <w:numId w:val="7"/>
        </w:numPr>
        <w:spacing w:after="120"/>
        <w:ind w:left="1418" w:hanging="1418"/>
        <w:contextualSpacing w:val="0"/>
        <w:rPr>
          <w:b/>
          <w:lang w:val="sv-SE"/>
        </w:rPr>
      </w:pPr>
      <w:r w:rsidRPr="00CA5BD0">
        <w:rPr>
          <w:b/>
          <w:lang w:val="sv-SE"/>
        </w:rPr>
        <w:t xml:space="preserve">Modelling the impact of the AN-ACC in Australia </w:t>
      </w:r>
      <w:r w:rsidR="000948F3">
        <w:rPr>
          <w:lang w:val="sv-SE"/>
        </w:rPr>
        <w:t>(this report)</w:t>
      </w:r>
    </w:p>
    <w:p w:rsidR="00003E81" w:rsidRPr="00F730E6" w:rsidRDefault="00F022D0" w:rsidP="00B911CD">
      <w:pPr>
        <w:pStyle w:val="ListParagraph"/>
        <w:numPr>
          <w:ilvl w:val="0"/>
          <w:numId w:val="7"/>
        </w:numPr>
        <w:spacing w:after="120"/>
        <w:ind w:left="1418" w:hanging="1418"/>
        <w:contextualSpacing w:val="0"/>
        <w:rPr>
          <w:lang w:val="sv-SE"/>
        </w:rPr>
      </w:pPr>
      <w:r>
        <w:rPr>
          <w:lang w:val="sv-SE"/>
        </w:rPr>
        <w:t>AN-ACC: A f</w:t>
      </w:r>
      <w:r w:rsidR="00003E81" w:rsidRPr="00F730E6">
        <w:rPr>
          <w:lang w:val="sv-SE"/>
        </w:rPr>
        <w:t xml:space="preserve">unding model for the residential aged care sector </w:t>
      </w:r>
    </w:p>
    <w:p w:rsidR="00003E81" w:rsidRDefault="00003E81" w:rsidP="00B911CD">
      <w:pPr>
        <w:pStyle w:val="ListParagraph"/>
        <w:numPr>
          <w:ilvl w:val="0"/>
          <w:numId w:val="7"/>
        </w:numPr>
        <w:spacing w:after="120"/>
        <w:ind w:left="1418" w:hanging="1418"/>
        <w:contextualSpacing w:val="0"/>
        <w:rPr>
          <w:lang w:val="sv-SE"/>
        </w:rPr>
      </w:pPr>
      <w:r w:rsidRPr="00F730E6">
        <w:rPr>
          <w:lang w:val="sv-SE"/>
        </w:rPr>
        <w:t xml:space="preserve">AN-ACC: A national classification and funding model for residential aged care: </w:t>
      </w:r>
      <w:r>
        <w:rPr>
          <w:lang w:val="sv-SE"/>
        </w:rPr>
        <w:t>s</w:t>
      </w:r>
      <w:r w:rsidRPr="00F730E6">
        <w:rPr>
          <w:lang w:val="sv-SE"/>
        </w:rPr>
        <w:t>ynthesis and consolidated recommendations</w:t>
      </w:r>
    </w:p>
    <w:p w:rsidR="00003E81" w:rsidRDefault="00003E81" w:rsidP="00B911CD">
      <w:pPr>
        <w:pStyle w:val="ListParagraph"/>
        <w:numPr>
          <w:ilvl w:val="0"/>
          <w:numId w:val="7"/>
        </w:numPr>
        <w:spacing w:after="120"/>
        <w:ind w:left="1418" w:hanging="1418"/>
        <w:contextualSpacing w:val="0"/>
        <w:rPr>
          <w:lang w:val="sv-SE"/>
        </w:rPr>
      </w:pPr>
      <w:r w:rsidRPr="00F730E6">
        <w:rPr>
          <w:lang w:val="sv-SE"/>
        </w:rPr>
        <w:t>AN-ACC Technical appendices</w:t>
      </w:r>
    </w:p>
    <w:p w:rsidR="00A9242A" w:rsidRDefault="00B911CD" w:rsidP="00B911CD">
      <w:pPr>
        <w:spacing w:before="2040" w:after="240"/>
        <w:rPr>
          <w:lang w:val="sv-SE"/>
        </w:rPr>
      </w:pPr>
      <w:r w:rsidRPr="00574C88">
        <w:rPr>
          <w:b/>
          <w:lang w:val="sv-SE"/>
        </w:rPr>
        <w:t>Sugges</w:t>
      </w:r>
      <w:r>
        <w:rPr>
          <w:b/>
          <w:lang w:val="sv-SE"/>
        </w:rPr>
        <w:t>t</w:t>
      </w:r>
      <w:r w:rsidRPr="00574C88">
        <w:rPr>
          <w:b/>
          <w:lang w:val="sv-SE"/>
        </w:rPr>
        <w:t>ed citation:</w:t>
      </w:r>
    </w:p>
    <w:p w:rsidR="00A9242A" w:rsidRDefault="00B911CD" w:rsidP="00003E81">
      <w:pPr>
        <w:rPr>
          <w:lang w:val="sv-SE"/>
        </w:rPr>
      </w:pPr>
      <w:r w:rsidRPr="00341AF1">
        <w:rPr>
          <w:lang w:val="sv-SE"/>
        </w:rPr>
        <w:t>Eagar K</w:t>
      </w:r>
      <w:r>
        <w:rPr>
          <w:lang w:val="sv-SE"/>
        </w:rPr>
        <w:t xml:space="preserve"> et al</w:t>
      </w:r>
      <w:r w:rsidRPr="00341AF1">
        <w:rPr>
          <w:lang w:val="sv-SE"/>
        </w:rPr>
        <w:t xml:space="preserve"> (2019)</w:t>
      </w:r>
      <w:r w:rsidRPr="00341AF1">
        <w:rPr>
          <w:i/>
          <w:lang w:val="sv-SE"/>
        </w:rPr>
        <w:t>. Modelling the impact of the AN-ACC in Australia.The Resource Utilisation and Classification Study: Report 4</w:t>
      </w:r>
      <w:r w:rsidRPr="00341AF1">
        <w:rPr>
          <w:lang w:val="sv-SE"/>
        </w:rPr>
        <w:t>. Australian Health Services Research Ins</w:t>
      </w:r>
      <w:r w:rsidRPr="00527574">
        <w:rPr>
          <w:lang w:val="sv-SE"/>
        </w:rPr>
        <w:t>titute, University of Wollongong.</w:t>
      </w:r>
      <w:r>
        <w:rPr>
          <w:lang w:val="sv-SE"/>
        </w:rPr>
        <w:t xml:space="preserve"> ISBN: 978-1-74128-298-6</w:t>
      </w:r>
    </w:p>
    <w:p w:rsidR="00003E81" w:rsidRDefault="00003E81" w:rsidP="00003E81"/>
    <w:p w:rsidR="00003E81" w:rsidRDefault="00003E81" w:rsidP="00003E81">
      <w:pPr>
        <w:sectPr w:rsidR="00003E81" w:rsidSect="00003E81">
          <w:headerReference w:type="default" r:id="rId14"/>
          <w:footerReference w:type="default" r:id="rId15"/>
          <w:pgSz w:w="11906" w:h="16838"/>
          <w:pgMar w:top="1134" w:right="1134" w:bottom="1021" w:left="1418" w:header="709" w:footer="709" w:gutter="0"/>
          <w:pgNumType w:start="1"/>
          <w:cols w:space="708"/>
          <w:docGrid w:linePitch="360"/>
        </w:sectPr>
      </w:pPr>
    </w:p>
    <w:bookmarkStart w:id="0" w:name="_Toc455046509" w:displacedByCustomXml="next"/>
    <w:bookmarkStart w:id="1" w:name="_Toc454984416" w:displacedByCustomXml="next"/>
    <w:bookmarkStart w:id="2" w:name="_Toc420883505" w:displacedByCustomXml="next"/>
    <w:bookmarkStart w:id="3" w:name="_Toc420884055" w:displacedByCustomXml="next"/>
    <w:bookmarkStart w:id="4" w:name="_Toc420921206" w:displacedByCustomXml="next"/>
    <w:bookmarkStart w:id="5" w:name="_Toc420928744" w:displacedByCustomXml="next"/>
    <w:bookmarkStart w:id="6" w:name="_Toc454355989" w:displacedByCustomXml="next"/>
    <w:sdt>
      <w:sdtPr>
        <w:rPr>
          <w:rFonts w:ascii="Times New Roman" w:hAnsi="Times New Roman"/>
          <w:b w:val="0"/>
          <w:bCs/>
          <w:noProof w:val="0"/>
          <w:sz w:val="24"/>
          <w:szCs w:val="24"/>
        </w:rPr>
        <w:id w:val="-1505884234"/>
        <w:docPartObj>
          <w:docPartGallery w:val="Table of Contents"/>
          <w:docPartUnique/>
        </w:docPartObj>
      </w:sdtPr>
      <w:sdtEndPr>
        <w:rPr>
          <w:rFonts w:asciiTheme="minorHAnsi" w:hAnsiTheme="minorHAnsi"/>
          <w:bCs w:val="0"/>
        </w:rPr>
      </w:sdtEndPr>
      <w:sdtContent>
        <w:p w:rsidR="00003E81" w:rsidRPr="00B911CD" w:rsidRDefault="00003E81" w:rsidP="00090434">
          <w:pPr>
            <w:pStyle w:val="TOC1"/>
            <w:rPr>
              <w:sz w:val="40"/>
              <w:szCs w:val="40"/>
            </w:rPr>
          </w:pPr>
          <w:r w:rsidRPr="00B911CD">
            <w:rPr>
              <w:sz w:val="40"/>
              <w:szCs w:val="40"/>
            </w:rPr>
            <w:t>Contents</w:t>
          </w:r>
          <w:bookmarkEnd w:id="6"/>
          <w:bookmarkEnd w:id="5"/>
          <w:bookmarkEnd w:id="4"/>
          <w:bookmarkEnd w:id="3"/>
          <w:bookmarkEnd w:id="2"/>
          <w:bookmarkEnd w:id="1"/>
          <w:bookmarkEnd w:id="0"/>
        </w:p>
        <w:p w:rsidR="00B91B7F" w:rsidRDefault="00003E81">
          <w:pPr>
            <w:pStyle w:val="TOC1"/>
            <w:rPr>
              <w:rFonts w:eastAsiaTheme="minorEastAsia" w:cstheme="minorBidi"/>
              <w:b w:val="0"/>
            </w:rPr>
          </w:pPr>
          <w:r w:rsidRPr="007734A2">
            <w:rPr>
              <w:b w:val="0"/>
              <w:sz w:val="20"/>
              <w:szCs w:val="20"/>
            </w:rPr>
            <w:fldChar w:fldCharType="begin"/>
          </w:r>
          <w:r w:rsidRPr="007734A2">
            <w:rPr>
              <w:b w:val="0"/>
              <w:sz w:val="20"/>
              <w:szCs w:val="20"/>
            </w:rPr>
            <w:instrText xml:space="preserve"> TOC \o "1-2" </w:instrText>
          </w:r>
          <w:r w:rsidRPr="007734A2">
            <w:rPr>
              <w:b w:val="0"/>
              <w:sz w:val="20"/>
              <w:szCs w:val="20"/>
            </w:rPr>
            <w:fldChar w:fldCharType="separate"/>
          </w:r>
          <w:r w:rsidR="00B91B7F">
            <w:t>Acknowledgements</w:t>
          </w:r>
          <w:r w:rsidR="00B91B7F">
            <w:tab/>
          </w:r>
          <w:r w:rsidR="00B91B7F">
            <w:fldChar w:fldCharType="begin"/>
          </w:r>
          <w:r w:rsidR="00B91B7F">
            <w:instrText xml:space="preserve"> PAGEREF _Toc2083364 \h </w:instrText>
          </w:r>
          <w:r w:rsidR="00B91B7F">
            <w:fldChar w:fldCharType="separate"/>
          </w:r>
          <w:r w:rsidR="00DD7E02">
            <w:t>i</w:t>
          </w:r>
          <w:r w:rsidR="00B91B7F">
            <w:fldChar w:fldCharType="end"/>
          </w:r>
        </w:p>
        <w:p w:rsidR="00B91B7F" w:rsidRDefault="00B91B7F">
          <w:pPr>
            <w:pStyle w:val="TOC1"/>
            <w:rPr>
              <w:rFonts w:eastAsiaTheme="minorEastAsia" w:cstheme="minorBidi"/>
              <w:b w:val="0"/>
            </w:rPr>
          </w:pPr>
          <w:r>
            <w:t>Abbreviations</w:t>
          </w:r>
          <w:r>
            <w:tab/>
          </w:r>
          <w:r>
            <w:fldChar w:fldCharType="begin"/>
          </w:r>
          <w:r>
            <w:instrText xml:space="preserve"> PAGEREF _Toc2083365 \h </w:instrText>
          </w:r>
          <w:r>
            <w:fldChar w:fldCharType="separate"/>
          </w:r>
          <w:r w:rsidR="00DD7E02">
            <w:t>ii</w:t>
          </w:r>
          <w:r>
            <w:fldChar w:fldCharType="end"/>
          </w:r>
        </w:p>
        <w:p w:rsidR="00B91B7F" w:rsidRDefault="00B91B7F">
          <w:pPr>
            <w:pStyle w:val="TOC1"/>
            <w:rPr>
              <w:rFonts w:eastAsiaTheme="minorEastAsia" w:cstheme="minorBidi"/>
              <w:b w:val="0"/>
            </w:rPr>
          </w:pPr>
          <w:r>
            <w:t>Glossary of Terms</w:t>
          </w:r>
          <w:r>
            <w:tab/>
          </w:r>
          <w:r>
            <w:fldChar w:fldCharType="begin"/>
          </w:r>
          <w:r>
            <w:instrText xml:space="preserve"> PAGEREF _Toc2083366 \h </w:instrText>
          </w:r>
          <w:r>
            <w:fldChar w:fldCharType="separate"/>
          </w:r>
          <w:r w:rsidR="00DD7E02">
            <w:t>iii</w:t>
          </w:r>
          <w:r>
            <w:fldChar w:fldCharType="end"/>
          </w:r>
        </w:p>
        <w:p w:rsidR="00B91B7F" w:rsidRDefault="00B91B7F">
          <w:pPr>
            <w:pStyle w:val="TOC1"/>
            <w:rPr>
              <w:rFonts w:eastAsiaTheme="minorEastAsia" w:cstheme="minorBidi"/>
              <w:b w:val="0"/>
            </w:rPr>
          </w:pPr>
          <w:r>
            <w:t>Key Messages</w:t>
          </w:r>
          <w:r>
            <w:tab/>
          </w:r>
          <w:r>
            <w:fldChar w:fldCharType="begin"/>
          </w:r>
          <w:r>
            <w:instrText xml:space="preserve"> PAGEREF _Toc2083367 \h </w:instrText>
          </w:r>
          <w:r>
            <w:fldChar w:fldCharType="separate"/>
          </w:r>
          <w:r w:rsidR="00DD7E02">
            <w:t>1</w:t>
          </w:r>
          <w:r>
            <w:fldChar w:fldCharType="end"/>
          </w:r>
        </w:p>
        <w:p w:rsidR="00B91B7F" w:rsidRDefault="00B91B7F">
          <w:pPr>
            <w:pStyle w:val="TOC1"/>
            <w:rPr>
              <w:rFonts w:eastAsiaTheme="minorEastAsia" w:cstheme="minorBidi"/>
              <w:b w:val="0"/>
            </w:rPr>
          </w:pPr>
          <w:r>
            <w:t>1</w:t>
          </w:r>
          <w:r>
            <w:rPr>
              <w:rFonts w:eastAsiaTheme="minorEastAsia" w:cstheme="minorBidi"/>
              <w:b w:val="0"/>
            </w:rPr>
            <w:tab/>
          </w:r>
          <w:r>
            <w:t>Introduction and background</w:t>
          </w:r>
          <w:r>
            <w:tab/>
          </w:r>
          <w:r>
            <w:fldChar w:fldCharType="begin"/>
          </w:r>
          <w:r>
            <w:instrText xml:space="preserve"> PAGEREF _Toc2083368 \h </w:instrText>
          </w:r>
          <w:r>
            <w:fldChar w:fldCharType="separate"/>
          </w:r>
          <w:r w:rsidR="00DD7E02">
            <w:t>2</w:t>
          </w:r>
          <w:r>
            <w:fldChar w:fldCharType="end"/>
          </w:r>
        </w:p>
        <w:p w:rsidR="00B91B7F" w:rsidRDefault="00B91B7F">
          <w:pPr>
            <w:pStyle w:val="TOC2"/>
            <w:rPr>
              <w:rFonts w:eastAsiaTheme="minorEastAsia" w:cstheme="minorBidi"/>
              <w:sz w:val="22"/>
              <w:szCs w:val="22"/>
            </w:rPr>
          </w:pPr>
          <w:r>
            <w:t>1.1</w:t>
          </w:r>
          <w:r>
            <w:rPr>
              <w:rFonts w:eastAsiaTheme="minorEastAsia" w:cstheme="minorBidi"/>
              <w:sz w:val="22"/>
              <w:szCs w:val="22"/>
            </w:rPr>
            <w:tab/>
          </w:r>
          <w:r>
            <w:t>Ethics</w:t>
          </w:r>
          <w:r>
            <w:tab/>
          </w:r>
          <w:r>
            <w:fldChar w:fldCharType="begin"/>
          </w:r>
          <w:r>
            <w:instrText xml:space="preserve"> PAGEREF _Toc2083369 \h </w:instrText>
          </w:r>
          <w:r>
            <w:fldChar w:fldCharType="separate"/>
          </w:r>
          <w:r w:rsidR="00DD7E02">
            <w:t>2</w:t>
          </w:r>
          <w:r>
            <w:fldChar w:fldCharType="end"/>
          </w:r>
        </w:p>
        <w:p w:rsidR="00B91B7F" w:rsidRDefault="00B91B7F">
          <w:pPr>
            <w:pStyle w:val="TOC1"/>
            <w:rPr>
              <w:rFonts w:eastAsiaTheme="minorEastAsia" w:cstheme="minorBidi"/>
              <w:b w:val="0"/>
            </w:rPr>
          </w:pPr>
          <w:r>
            <w:t>2</w:t>
          </w:r>
          <w:r>
            <w:rPr>
              <w:rFonts w:eastAsiaTheme="minorEastAsia" w:cstheme="minorBidi"/>
              <w:b w:val="0"/>
            </w:rPr>
            <w:tab/>
          </w:r>
          <w:r>
            <w:t>Selection and recruitment of study sites</w:t>
          </w:r>
          <w:r>
            <w:tab/>
          </w:r>
          <w:r>
            <w:fldChar w:fldCharType="begin"/>
          </w:r>
          <w:r>
            <w:instrText xml:space="preserve"> PAGEREF _Toc2083370 \h </w:instrText>
          </w:r>
          <w:r>
            <w:fldChar w:fldCharType="separate"/>
          </w:r>
          <w:r w:rsidR="00DD7E02">
            <w:t>3</w:t>
          </w:r>
          <w:r>
            <w:fldChar w:fldCharType="end"/>
          </w:r>
        </w:p>
        <w:p w:rsidR="00B91B7F" w:rsidRDefault="00B91B7F">
          <w:pPr>
            <w:pStyle w:val="TOC2"/>
            <w:rPr>
              <w:rFonts w:eastAsiaTheme="minorEastAsia" w:cstheme="minorBidi"/>
              <w:sz w:val="22"/>
              <w:szCs w:val="22"/>
            </w:rPr>
          </w:pPr>
          <w:r>
            <w:t>2.1</w:t>
          </w:r>
          <w:r>
            <w:rPr>
              <w:rFonts w:eastAsiaTheme="minorEastAsia" w:cstheme="minorBidi"/>
              <w:sz w:val="22"/>
              <w:szCs w:val="22"/>
            </w:rPr>
            <w:tab/>
          </w:r>
          <w:r>
            <w:t>Sampling strategy</w:t>
          </w:r>
          <w:r>
            <w:tab/>
          </w:r>
          <w:r>
            <w:fldChar w:fldCharType="begin"/>
          </w:r>
          <w:r>
            <w:instrText xml:space="preserve"> PAGEREF _Toc2083371 \h </w:instrText>
          </w:r>
          <w:r>
            <w:fldChar w:fldCharType="separate"/>
          </w:r>
          <w:r w:rsidR="00DD7E02">
            <w:t>3</w:t>
          </w:r>
          <w:r>
            <w:fldChar w:fldCharType="end"/>
          </w:r>
        </w:p>
        <w:p w:rsidR="00B91B7F" w:rsidRDefault="00B91B7F">
          <w:pPr>
            <w:pStyle w:val="TOC2"/>
            <w:rPr>
              <w:rFonts w:eastAsiaTheme="minorEastAsia" w:cstheme="minorBidi"/>
              <w:sz w:val="22"/>
              <w:szCs w:val="22"/>
            </w:rPr>
          </w:pPr>
          <w:r>
            <w:t>2.2</w:t>
          </w:r>
          <w:r>
            <w:rPr>
              <w:rFonts w:eastAsiaTheme="minorEastAsia" w:cstheme="minorBidi"/>
              <w:sz w:val="22"/>
              <w:szCs w:val="22"/>
            </w:rPr>
            <w:tab/>
          </w:r>
          <w:r>
            <w:t>Site selection and recruitment</w:t>
          </w:r>
          <w:r>
            <w:tab/>
          </w:r>
          <w:r>
            <w:fldChar w:fldCharType="begin"/>
          </w:r>
          <w:r>
            <w:instrText xml:space="preserve"> PAGEREF _Toc2083372 \h </w:instrText>
          </w:r>
          <w:r>
            <w:fldChar w:fldCharType="separate"/>
          </w:r>
          <w:r w:rsidR="00DD7E02">
            <w:t>3</w:t>
          </w:r>
          <w:r>
            <w:fldChar w:fldCharType="end"/>
          </w:r>
        </w:p>
        <w:p w:rsidR="00B91B7F" w:rsidRDefault="00B91B7F">
          <w:pPr>
            <w:pStyle w:val="TOC1"/>
            <w:rPr>
              <w:rFonts w:eastAsiaTheme="minorEastAsia" w:cstheme="minorBidi"/>
              <w:b w:val="0"/>
            </w:rPr>
          </w:pPr>
          <w:r>
            <w:t>3</w:t>
          </w:r>
          <w:r>
            <w:rPr>
              <w:rFonts w:eastAsiaTheme="minorEastAsia" w:cstheme="minorBidi"/>
              <w:b w:val="0"/>
            </w:rPr>
            <w:tab/>
          </w:r>
          <w:r>
            <w:t>Study design</w:t>
          </w:r>
          <w:r>
            <w:tab/>
          </w:r>
          <w:r>
            <w:fldChar w:fldCharType="begin"/>
          </w:r>
          <w:r>
            <w:instrText xml:space="preserve"> PAGEREF _Toc2083373 \h </w:instrText>
          </w:r>
          <w:r>
            <w:fldChar w:fldCharType="separate"/>
          </w:r>
          <w:r w:rsidR="00DD7E02">
            <w:t>6</w:t>
          </w:r>
          <w:r>
            <w:fldChar w:fldCharType="end"/>
          </w:r>
        </w:p>
        <w:p w:rsidR="00B91B7F" w:rsidRDefault="00B91B7F">
          <w:pPr>
            <w:pStyle w:val="TOC1"/>
            <w:rPr>
              <w:rFonts w:eastAsiaTheme="minorEastAsia" w:cstheme="minorBidi"/>
              <w:b w:val="0"/>
            </w:rPr>
          </w:pPr>
          <w:r>
            <w:t>4</w:t>
          </w:r>
          <w:r>
            <w:rPr>
              <w:rFonts w:eastAsiaTheme="minorEastAsia" w:cstheme="minorBidi"/>
              <w:b w:val="0"/>
            </w:rPr>
            <w:tab/>
          </w:r>
          <w:r>
            <w:t>Data collection and analysis methodology</w:t>
          </w:r>
          <w:r>
            <w:tab/>
          </w:r>
          <w:r>
            <w:fldChar w:fldCharType="begin"/>
          </w:r>
          <w:r>
            <w:instrText xml:space="preserve"> PAGEREF _Toc2083374 \h </w:instrText>
          </w:r>
          <w:r>
            <w:fldChar w:fldCharType="separate"/>
          </w:r>
          <w:r w:rsidR="00DD7E02">
            <w:t>7</w:t>
          </w:r>
          <w:r>
            <w:fldChar w:fldCharType="end"/>
          </w:r>
        </w:p>
        <w:p w:rsidR="00B91B7F" w:rsidRDefault="00B91B7F">
          <w:pPr>
            <w:pStyle w:val="TOC2"/>
            <w:rPr>
              <w:rFonts w:eastAsiaTheme="minorEastAsia" w:cstheme="minorBidi"/>
              <w:sz w:val="22"/>
              <w:szCs w:val="22"/>
            </w:rPr>
          </w:pPr>
          <w:r>
            <w:t>4.1</w:t>
          </w:r>
          <w:r>
            <w:rPr>
              <w:rFonts w:eastAsiaTheme="minorEastAsia" w:cstheme="minorBidi"/>
              <w:sz w:val="22"/>
              <w:szCs w:val="22"/>
            </w:rPr>
            <w:tab/>
          </w:r>
          <w:r>
            <w:t>Data collection and quality review process</w:t>
          </w:r>
          <w:r>
            <w:tab/>
          </w:r>
          <w:r>
            <w:fldChar w:fldCharType="begin"/>
          </w:r>
          <w:r>
            <w:instrText xml:space="preserve"> PAGEREF _Toc2083375 \h </w:instrText>
          </w:r>
          <w:r>
            <w:fldChar w:fldCharType="separate"/>
          </w:r>
          <w:r w:rsidR="00DD7E02">
            <w:t>7</w:t>
          </w:r>
          <w:r>
            <w:fldChar w:fldCharType="end"/>
          </w:r>
        </w:p>
        <w:p w:rsidR="00B91B7F" w:rsidRDefault="00B91B7F">
          <w:pPr>
            <w:pStyle w:val="TOC2"/>
            <w:rPr>
              <w:rFonts w:eastAsiaTheme="minorEastAsia" w:cstheme="minorBidi"/>
              <w:sz w:val="22"/>
              <w:szCs w:val="22"/>
            </w:rPr>
          </w:pPr>
          <w:r>
            <w:t>4.2</w:t>
          </w:r>
          <w:r>
            <w:rPr>
              <w:rFonts w:eastAsiaTheme="minorEastAsia" w:cstheme="minorBidi"/>
              <w:sz w:val="22"/>
              <w:szCs w:val="22"/>
            </w:rPr>
            <w:tab/>
          </w:r>
          <w:r>
            <w:t>Data analysis methodology</w:t>
          </w:r>
          <w:r>
            <w:tab/>
          </w:r>
          <w:r>
            <w:fldChar w:fldCharType="begin"/>
          </w:r>
          <w:r>
            <w:instrText xml:space="preserve"> PAGEREF _Toc2083376 \h </w:instrText>
          </w:r>
          <w:r>
            <w:fldChar w:fldCharType="separate"/>
          </w:r>
          <w:r w:rsidR="00DD7E02">
            <w:t>7</w:t>
          </w:r>
          <w:r>
            <w:fldChar w:fldCharType="end"/>
          </w:r>
        </w:p>
        <w:p w:rsidR="00B91B7F" w:rsidRDefault="00B91B7F">
          <w:pPr>
            <w:pStyle w:val="TOC1"/>
            <w:rPr>
              <w:rFonts w:eastAsiaTheme="minorEastAsia" w:cstheme="minorBidi"/>
              <w:b w:val="0"/>
            </w:rPr>
          </w:pPr>
          <w:r>
            <w:t>5</w:t>
          </w:r>
          <w:r>
            <w:rPr>
              <w:rFonts w:eastAsiaTheme="minorEastAsia" w:cstheme="minorBidi"/>
              <w:b w:val="0"/>
            </w:rPr>
            <w:tab/>
          </w:r>
          <w:r>
            <w:t>The profile of residents by class, clinical specialisation and resident characteristics</w:t>
          </w:r>
          <w:r>
            <w:tab/>
          </w:r>
          <w:r>
            <w:fldChar w:fldCharType="begin"/>
          </w:r>
          <w:r>
            <w:instrText xml:space="preserve"> PAGEREF _Toc2083377 \h </w:instrText>
          </w:r>
          <w:r>
            <w:fldChar w:fldCharType="separate"/>
          </w:r>
          <w:r w:rsidR="00DD7E02">
            <w:t>9</w:t>
          </w:r>
          <w:r>
            <w:fldChar w:fldCharType="end"/>
          </w:r>
        </w:p>
        <w:p w:rsidR="00B91B7F" w:rsidRDefault="00B91B7F">
          <w:pPr>
            <w:pStyle w:val="TOC2"/>
            <w:rPr>
              <w:rFonts w:eastAsiaTheme="minorEastAsia" w:cstheme="minorBidi"/>
              <w:sz w:val="22"/>
              <w:szCs w:val="22"/>
            </w:rPr>
          </w:pPr>
          <w:r>
            <w:t>5.1</w:t>
          </w:r>
          <w:r>
            <w:rPr>
              <w:rFonts w:eastAsiaTheme="minorEastAsia" w:cstheme="minorBidi"/>
              <w:sz w:val="22"/>
              <w:szCs w:val="22"/>
            </w:rPr>
            <w:tab/>
          </w:r>
          <w:r>
            <w:t>Classes by state/territory</w:t>
          </w:r>
          <w:r>
            <w:tab/>
          </w:r>
          <w:r>
            <w:fldChar w:fldCharType="begin"/>
          </w:r>
          <w:r>
            <w:instrText xml:space="preserve"> PAGEREF _Toc2083378 \h </w:instrText>
          </w:r>
          <w:r>
            <w:fldChar w:fldCharType="separate"/>
          </w:r>
          <w:r w:rsidR="00DD7E02">
            <w:t>9</w:t>
          </w:r>
          <w:r>
            <w:fldChar w:fldCharType="end"/>
          </w:r>
        </w:p>
        <w:p w:rsidR="00B91B7F" w:rsidRDefault="00B91B7F">
          <w:pPr>
            <w:pStyle w:val="TOC2"/>
            <w:rPr>
              <w:rFonts w:eastAsiaTheme="minorEastAsia" w:cstheme="minorBidi"/>
              <w:sz w:val="22"/>
              <w:szCs w:val="22"/>
            </w:rPr>
          </w:pPr>
          <w:r>
            <w:t>5.2</w:t>
          </w:r>
          <w:r>
            <w:rPr>
              <w:rFonts w:eastAsiaTheme="minorEastAsia" w:cstheme="minorBidi"/>
              <w:sz w:val="22"/>
              <w:szCs w:val="22"/>
            </w:rPr>
            <w:tab/>
          </w:r>
          <w:r>
            <w:t>Clinical specialisation</w:t>
          </w:r>
          <w:bookmarkStart w:id="7" w:name="_GoBack"/>
          <w:bookmarkEnd w:id="7"/>
          <w:r>
            <w:tab/>
          </w:r>
          <w:r>
            <w:fldChar w:fldCharType="begin"/>
          </w:r>
          <w:r>
            <w:instrText xml:space="preserve"> PAGEREF _Toc2083379 \h </w:instrText>
          </w:r>
          <w:r>
            <w:fldChar w:fldCharType="separate"/>
          </w:r>
          <w:r w:rsidR="00DD7E02">
            <w:t>10</w:t>
          </w:r>
          <w:r>
            <w:fldChar w:fldCharType="end"/>
          </w:r>
        </w:p>
        <w:p w:rsidR="00B91B7F" w:rsidRDefault="00B91B7F">
          <w:pPr>
            <w:pStyle w:val="TOC2"/>
            <w:rPr>
              <w:rFonts w:eastAsiaTheme="minorEastAsia" w:cstheme="minorBidi"/>
              <w:sz w:val="22"/>
              <w:szCs w:val="22"/>
            </w:rPr>
          </w:pPr>
          <w:r>
            <w:t>5.3</w:t>
          </w:r>
          <w:r>
            <w:rPr>
              <w:rFonts w:eastAsiaTheme="minorEastAsia" w:cstheme="minorBidi"/>
              <w:sz w:val="22"/>
              <w:szCs w:val="22"/>
            </w:rPr>
            <w:tab/>
          </w:r>
          <w:r>
            <w:t>Resident level variables</w:t>
          </w:r>
          <w:r>
            <w:tab/>
          </w:r>
          <w:r>
            <w:fldChar w:fldCharType="begin"/>
          </w:r>
          <w:r>
            <w:instrText xml:space="preserve"> PAGEREF _Toc2083380 \h </w:instrText>
          </w:r>
          <w:r>
            <w:fldChar w:fldCharType="separate"/>
          </w:r>
          <w:r w:rsidR="00DD7E02">
            <w:t>12</w:t>
          </w:r>
          <w:r>
            <w:fldChar w:fldCharType="end"/>
          </w:r>
        </w:p>
        <w:p w:rsidR="00B91B7F" w:rsidRDefault="00B91B7F">
          <w:pPr>
            <w:pStyle w:val="TOC2"/>
            <w:rPr>
              <w:rFonts w:eastAsiaTheme="minorEastAsia" w:cstheme="minorBidi"/>
              <w:sz w:val="22"/>
              <w:szCs w:val="22"/>
            </w:rPr>
          </w:pPr>
          <w:r>
            <w:t>5.4</w:t>
          </w:r>
          <w:r>
            <w:rPr>
              <w:rFonts w:eastAsiaTheme="minorEastAsia" w:cstheme="minorBidi"/>
              <w:sz w:val="22"/>
              <w:szCs w:val="22"/>
            </w:rPr>
            <w:tab/>
          </w:r>
          <w:r>
            <w:t>Measuring clinical complexity</w:t>
          </w:r>
          <w:r>
            <w:tab/>
          </w:r>
          <w:r>
            <w:fldChar w:fldCharType="begin"/>
          </w:r>
          <w:r>
            <w:instrText xml:space="preserve"> PAGEREF _Toc2083381 \h </w:instrText>
          </w:r>
          <w:r>
            <w:fldChar w:fldCharType="separate"/>
          </w:r>
          <w:r w:rsidR="00DD7E02">
            <w:t>16</w:t>
          </w:r>
          <w:r>
            <w:fldChar w:fldCharType="end"/>
          </w:r>
        </w:p>
        <w:p w:rsidR="00B91B7F" w:rsidRDefault="00B91B7F">
          <w:pPr>
            <w:pStyle w:val="TOC1"/>
            <w:rPr>
              <w:rFonts w:eastAsiaTheme="minorEastAsia" w:cstheme="minorBidi"/>
              <w:b w:val="0"/>
            </w:rPr>
          </w:pPr>
          <w:r>
            <w:t>6</w:t>
          </w:r>
          <w:r>
            <w:rPr>
              <w:rFonts w:eastAsiaTheme="minorEastAsia" w:cstheme="minorBidi"/>
              <w:b w:val="0"/>
            </w:rPr>
            <w:tab/>
          </w:r>
          <w:r>
            <w:t>Population estimates</w:t>
          </w:r>
          <w:r>
            <w:tab/>
          </w:r>
          <w:r>
            <w:fldChar w:fldCharType="begin"/>
          </w:r>
          <w:r>
            <w:instrText xml:space="preserve"> PAGEREF _Toc2083382 \h </w:instrText>
          </w:r>
          <w:r>
            <w:fldChar w:fldCharType="separate"/>
          </w:r>
          <w:r w:rsidR="00DD7E02">
            <w:t>19</w:t>
          </w:r>
          <w:r>
            <w:fldChar w:fldCharType="end"/>
          </w:r>
        </w:p>
        <w:p w:rsidR="00B91B7F" w:rsidRDefault="00B91B7F">
          <w:pPr>
            <w:pStyle w:val="TOC2"/>
            <w:rPr>
              <w:rFonts w:eastAsiaTheme="minorEastAsia" w:cstheme="minorBidi"/>
              <w:sz w:val="22"/>
              <w:szCs w:val="22"/>
            </w:rPr>
          </w:pPr>
          <w:r>
            <w:t>6.1</w:t>
          </w:r>
          <w:r>
            <w:rPr>
              <w:rFonts w:eastAsiaTheme="minorEastAsia" w:cstheme="minorBidi"/>
              <w:sz w:val="22"/>
              <w:szCs w:val="22"/>
            </w:rPr>
            <w:tab/>
          </w:r>
          <w:r>
            <w:t>National casemix profile</w:t>
          </w:r>
          <w:r>
            <w:tab/>
          </w:r>
          <w:r>
            <w:fldChar w:fldCharType="begin"/>
          </w:r>
          <w:r>
            <w:instrText xml:space="preserve"> PAGEREF _Toc2083383 \h </w:instrText>
          </w:r>
          <w:r>
            <w:fldChar w:fldCharType="separate"/>
          </w:r>
          <w:r w:rsidR="00DD7E02">
            <w:t>19</w:t>
          </w:r>
          <w:r>
            <w:fldChar w:fldCharType="end"/>
          </w:r>
        </w:p>
        <w:p w:rsidR="00B91B7F" w:rsidRDefault="00B91B7F">
          <w:pPr>
            <w:pStyle w:val="TOC2"/>
            <w:rPr>
              <w:rFonts w:eastAsiaTheme="minorEastAsia" w:cstheme="minorBidi"/>
              <w:sz w:val="22"/>
              <w:szCs w:val="22"/>
            </w:rPr>
          </w:pPr>
          <w:r>
            <w:t>6.2</w:t>
          </w:r>
          <w:r>
            <w:rPr>
              <w:rFonts w:eastAsiaTheme="minorEastAsia" w:cstheme="minorBidi"/>
              <w:sz w:val="22"/>
              <w:szCs w:val="22"/>
            </w:rPr>
            <w:tab/>
          </w:r>
          <w:r>
            <w:t>Comparison of effect of the two funding arrangements</w:t>
          </w:r>
          <w:r>
            <w:tab/>
          </w:r>
          <w:r>
            <w:fldChar w:fldCharType="begin"/>
          </w:r>
          <w:r>
            <w:instrText xml:space="preserve"> PAGEREF _Toc2083384 \h </w:instrText>
          </w:r>
          <w:r>
            <w:fldChar w:fldCharType="separate"/>
          </w:r>
          <w:r w:rsidR="00DD7E02">
            <w:t>21</w:t>
          </w:r>
          <w:r>
            <w:fldChar w:fldCharType="end"/>
          </w:r>
        </w:p>
        <w:p w:rsidR="00B91B7F" w:rsidRDefault="00B91B7F">
          <w:pPr>
            <w:pStyle w:val="TOC1"/>
            <w:rPr>
              <w:rFonts w:eastAsiaTheme="minorEastAsia" w:cstheme="minorBidi"/>
              <w:b w:val="0"/>
            </w:rPr>
          </w:pPr>
          <w:r>
            <w:t>7</w:t>
          </w:r>
          <w:r>
            <w:rPr>
              <w:rFonts w:eastAsiaTheme="minorEastAsia" w:cstheme="minorBidi"/>
              <w:b w:val="0"/>
            </w:rPr>
            <w:tab/>
          </w:r>
          <w:r>
            <w:t>Conclusion</w:t>
          </w:r>
          <w:r>
            <w:tab/>
          </w:r>
          <w:r>
            <w:fldChar w:fldCharType="begin"/>
          </w:r>
          <w:r>
            <w:instrText xml:space="preserve"> PAGEREF _Toc2083385 \h </w:instrText>
          </w:r>
          <w:r>
            <w:fldChar w:fldCharType="separate"/>
          </w:r>
          <w:r w:rsidR="00DD7E02">
            <w:t>23</w:t>
          </w:r>
          <w:r>
            <w:fldChar w:fldCharType="end"/>
          </w:r>
        </w:p>
        <w:p w:rsidR="00B91B7F" w:rsidRDefault="00B91B7F">
          <w:pPr>
            <w:pStyle w:val="TOC1"/>
            <w:rPr>
              <w:rFonts w:eastAsiaTheme="minorEastAsia" w:cstheme="minorBidi"/>
              <w:b w:val="0"/>
            </w:rPr>
          </w:pPr>
          <w:r>
            <w:t>Appendix 1</w:t>
          </w:r>
          <w:r>
            <w:tab/>
          </w:r>
          <w:r>
            <w:fldChar w:fldCharType="begin"/>
          </w:r>
          <w:r>
            <w:instrText xml:space="preserve"> PAGEREF _Toc2083386 \h </w:instrText>
          </w:r>
          <w:r>
            <w:fldChar w:fldCharType="separate"/>
          </w:r>
          <w:r w:rsidR="00DD7E02">
            <w:t>24</w:t>
          </w:r>
          <w:r>
            <w:fldChar w:fldCharType="end"/>
          </w:r>
        </w:p>
        <w:p w:rsidR="00B91B7F" w:rsidRDefault="00B91B7F">
          <w:pPr>
            <w:pStyle w:val="TOC2"/>
            <w:rPr>
              <w:rFonts w:eastAsiaTheme="minorEastAsia" w:cstheme="minorBidi"/>
              <w:sz w:val="22"/>
              <w:szCs w:val="22"/>
            </w:rPr>
          </w:pPr>
          <w:r>
            <w:t>Overview of the Resource Utilisation and Classification Study (RUCS)</w:t>
          </w:r>
          <w:r>
            <w:tab/>
          </w:r>
          <w:r>
            <w:fldChar w:fldCharType="begin"/>
          </w:r>
          <w:r>
            <w:instrText xml:space="preserve"> PAGEREF _Toc2083387 \h </w:instrText>
          </w:r>
          <w:r>
            <w:fldChar w:fldCharType="separate"/>
          </w:r>
          <w:r w:rsidR="00DD7E02">
            <w:t>24</w:t>
          </w:r>
          <w:r>
            <w:fldChar w:fldCharType="end"/>
          </w:r>
        </w:p>
        <w:p w:rsidR="00B91B7F" w:rsidRDefault="00B91B7F">
          <w:pPr>
            <w:pStyle w:val="TOC1"/>
            <w:rPr>
              <w:rFonts w:eastAsiaTheme="minorEastAsia" w:cstheme="minorBidi"/>
              <w:b w:val="0"/>
            </w:rPr>
          </w:pPr>
          <w:r>
            <w:t>Appendix 2</w:t>
          </w:r>
          <w:r>
            <w:tab/>
          </w:r>
          <w:r>
            <w:fldChar w:fldCharType="begin"/>
          </w:r>
          <w:r>
            <w:instrText xml:space="preserve"> PAGEREF _Toc2083388 \h </w:instrText>
          </w:r>
          <w:r>
            <w:fldChar w:fldCharType="separate"/>
          </w:r>
          <w:r w:rsidR="00DD7E02">
            <w:t>26</w:t>
          </w:r>
          <w:r>
            <w:fldChar w:fldCharType="end"/>
          </w:r>
        </w:p>
        <w:p w:rsidR="00B91B7F" w:rsidRDefault="00B91B7F">
          <w:pPr>
            <w:pStyle w:val="TOC2"/>
            <w:rPr>
              <w:rFonts w:eastAsiaTheme="minorEastAsia" w:cstheme="minorBidi"/>
              <w:sz w:val="22"/>
              <w:szCs w:val="22"/>
            </w:rPr>
          </w:pPr>
          <w:r>
            <w:t>Study Sites</w:t>
          </w:r>
          <w:r>
            <w:tab/>
          </w:r>
          <w:r>
            <w:fldChar w:fldCharType="begin"/>
          </w:r>
          <w:r>
            <w:instrText xml:space="preserve"> PAGEREF _Toc2083389 \h </w:instrText>
          </w:r>
          <w:r>
            <w:fldChar w:fldCharType="separate"/>
          </w:r>
          <w:r w:rsidR="00DD7E02">
            <w:t>26</w:t>
          </w:r>
          <w:r>
            <w:fldChar w:fldCharType="end"/>
          </w:r>
        </w:p>
        <w:p w:rsidR="00003E81" w:rsidRDefault="00003E81" w:rsidP="00003E81">
          <w:r w:rsidRPr="007734A2">
            <w:rPr>
              <w:sz w:val="20"/>
              <w:szCs w:val="20"/>
            </w:rPr>
            <w:fldChar w:fldCharType="end"/>
          </w:r>
        </w:p>
      </w:sdtContent>
    </w:sdt>
    <w:p w:rsidR="00003E81" w:rsidRDefault="00003E81" w:rsidP="00003E81">
      <w:r>
        <w:br w:type="page"/>
      </w:r>
    </w:p>
    <w:p w:rsidR="00722965" w:rsidRDefault="00003E81" w:rsidP="00003E81">
      <w:pPr>
        <w:pStyle w:val="Caption"/>
        <w:rPr>
          <w:noProof/>
        </w:rPr>
      </w:pPr>
      <w:r w:rsidRPr="00B911CD">
        <w:rPr>
          <w:sz w:val="36"/>
          <w:szCs w:val="36"/>
        </w:rPr>
        <w:lastRenderedPageBreak/>
        <w:t>List of tables</w:t>
      </w:r>
      <w:r>
        <w:rPr>
          <w:sz w:val="36"/>
          <w:szCs w:val="36"/>
        </w:rPr>
        <w:fldChar w:fldCharType="begin"/>
      </w:r>
      <w:r>
        <w:rPr>
          <w:sz w:val="36"/>
          <w:szCs w:val="36"/>
        </w:rPr>
        <w:instrText xml:space="preserve"> TOC \h \z \c "Table" </w:instrText>
      </w:r>
      <w:r>
        <w:rPr>
          <w:sz w:val="36"/>
          <w:szCs w:val="36"/>
        </w:rPr>
        <w:fldChar w:fldCharType="separate"/>
      </w:r>
    </w:p>
    <w:p w:rsidR="00722965" w:rsidRDefault="00DD7E02">
      <w:pPr>
        <w:pStyle w:val="TableofFigures"/>
        <w:tabs>
          <w:tab w:val="left" w:pos="1200"/>
          <w:tab w:val="right" w:leader="dot" w:pos="9060"/>
        </w:tabs>
        <w:rPr>
          <w:rFonts w:eastAsiaTheme="minorEastAsia" w:cstheme="minorBidi"/>
          <w:noProof/>
          <w:sz w:val="22"/>
          <w:szCs w:val="22"/>
        </w:rPr>
      </w:pPr>
      <w:hyperlink w:anchor="_Toc953893" w:history="1">
        <w:r w:rsidR="00722965" w:rsidRPr="006A0926">
          <w:rPr>
            <w:rStyle w:val="Hyperlink"/>
            <w:rFonts w:ascii="Calibri" w:eastAsiaTheme="majorEastAsia" w:hAnsi="Calibri"/>
            <w:noProof/>
          </w:rPr>
          <w:t xml:space="preserve">Table 1 </w:t>
        </w:r>
        <w:r w:rsidR="00722965">
          <w:rPr>
            <w:rFonts w:eastAsiaTheme="minorEastAsia" w:cstheme="minorBidi"/>
            <w:noProof/>
            <w:sz w:val="22"/>
            <w:szCs w:val="22"/>
          </w:rPr>
          <w:tab/>
        </w:r>
        <w:r w:rsidR="00722965" w:rsidRPr="006A0926">
          <w:rPr>
            <w:rStyle w:val="Hyperlink"/>
            <w:rFonts w:eastAsiaTheme="majorEastAsia"/>
            <w:noProof/>
          </w:rPr>
          <w:t>The stratified sample – number of facilities by strata</w:t>
        </w:r>
        <w:r w:rsidR="00722965">
          <w:rPr>
            <w:noProof/>
            <w:webHidden/>
          </w:rPr>
          <w:tab/>
        </w:r>
        <w:r w:rsidR="00722965">
          <w:rPr>
            <w:noProof/>
            <w:webHidden/>
          </w:rPr>
          <w:fldChar w:fldCharType="begin"/>
        </w:r>
        <w:r w:rsidR="00722965">
          <w:rPr>
            <w:noProof/>
            <w:webHidden/>
          </w:rPr>
          <w:instrText xml:space="preserve"> PAGEREF _Toc953893 \h </w:instrText>
        </w:r>
        <w:r w:rsidR="00722965">
          <w:rPr>
            <w:noProof/>
            <w:webHidden/>
          </w:rPr>
        </w:r>
        <w:r w:rsidR="00722965">
          <w:rPr>
            <w:noProof/>
            <w:webHidden/>
          </w:rPr>
          <w:fldChar w:fldCharType="separate"/>
        </w:r>
        <w:r w:rsidR="00E949FA">
          <w:rPr>
            <w:noProof/>
            <w:webHidden/>
          </w:rPr>
          <w:t>4</w:t>
        </w:r>
        <w:r w:rsidR="00722965">
          <w:rPr>
            <w:noProof/>
            <w:webHidden/>
          </w:rPr>
          <w:fldChar w:fldCharType="end"/>
        </w:r>
      </w:hyperlink>
    </w:p>
    <w:p w:rsidR="00722965" w:rsidRDefault="00DD7E02">
      <w:pPr>
        <w:pStyle w:val="TableofFigures"/>
        <w:tabs>
          <w:tab w:val="left" w:pos="1200"/>
          <w:tab w:val="right" w:leader="dot" w:pos="9060"/>
        </w:tabs>
        <w:rPr>
          <w:rFonts w:eastAsiaTheme="minorEastAsia" w:cstheme="minorBidi"/>
          <w:noProof/>
          <w:sz w:val="22"/>
          <w:szCs w:val="22"/>
        </w:rPr>
      </w:pPr>
      <w:hyperlink w:anchor="_Toc953894" w:history="1">
        <w:r w:rsidR="00722965" w:rsidRPr="006A0926">
          <w:rPr>
            <w:rStyle w:val="Hyperlink"/>
            <w:rFonts w:ascii="Calibri" w:eastAsiaTheme="majorEastAsia" w:hAnsi="Calibri"/>
            <w:noProof/>
          </w:rPr>
          <w:t xml:space="preserve">Table 2 </w:t>
        </w:r>
        <w:r w:rsidR="00722965">
          <w:rPr>
            <w:rFonts w:eastAsiaTheme="minorEastAsia" w:cstheme="minorBidi"/>
            <w:noProof/>
            <w:sz w:val="22"/>
            <w:szCs w:val="22"/>
          </w:rPr>
          <w:tab/>
        </w:r>
        <w:r w:rsidR="00722965" w:rsidRPr="006A0926">
          <w:rPr>
            <w:rStyle w:val="Hyperlink"/>
            <w:rFonts w:eastAsiaTheme="majorEastAsia"/>
            <w:noProof/>
          </w:rPr>
          <w:t>The AN-ACC classes</w:t>
        </w:r>
        <w:r w:rsidR="00722965">
          <w:rPr>
            <w:noProof/>
            <w:webHidden/>
          </w:rPr>
          <w:tab/>
        </w:r>
        <w:r w:rsidR="00722965">
          <w:rPr>
            <w:noProof/>
            <w:webHidden/>
          </w:rPr>
          <w:fldChar w:fldCharType="begin"/>
        </w:r>
        <w:r w:rsidR="00722965">
          <w:rPr>
            <w:noProof/>
            <w:webHidden/>
          </w:rPr>
          <w:instrText xml:space="preserve"> PAGEREF _Toc953894 \h </w:instrText>
        </w:r>
        <w:r w:rsidR="00722965">
          <w:rPr>
            <w:noProof/>
            <w:webHidden/>
          </w:rPr>
        </w:r>
        <w:r w:rsidR="00722965">
          <w:rPr>
            <w:noProof/>
            <w:webHidden/>
          </w:rPr>
          <w:fldChar w:fldCharType="separate"/>
        </w:r>
        <w:r w:rsidR="00E949FA">
          <w:rPr>
            <w:noProof/>
            <w:webHidden/>
          </w:rPr>
          <w:t>9</w:t>
        </w:r>
        <w:r w:rsidR="00722965">
          <w:rPr>
            <w:noProof/>
            <w:webHidden/>
          </w:rPr>
          <w:fldChar w:fldCharType="end"/>
        </w:r>
      </w:hyperlink>
    </w:p>
    <w:p w:rsidR="00722965" w:rsidRDefault="00DD7E02">
      <w:pPr>
        <w:pStyle w:val="TableofFigures"/>
        <w:tabs>
          <w:tab w:val="left" w:pos="1200"/>
          <w:tab w:val="right" w:leader="dot" w:pos="9060"/>
        </w:tabs>
        <w:rPr>
          <w:rFonts w:eastAsiaTheme="minorEastAsia" w:cstheme="minorBidi"/>
          <w:noProof/>
          <w:sz w:val="22"/>
          <w:szCs w:val="22"/>
        </w:rPr>
      </w:pPr>
      <w:hyperlink w:anchor="_Toc953895" w:history="1">
        <w:r w:rsidR="00722965" w:rsidRPr="006A0926">
          <w:rPr>
            <w:rStyle w:val="Hyperlink"/>
            <w:rFonts w:eastAsiaTheme="majorEastAsia"/>
            <w:noProof/>
          </w:rPr>
          <w:t xml:space="preserve">Table 3 </w:t>
        </w:r>
        <w:r w:rsidR="00722965">
          <w:rPr>
            <w:rFonts w:eastAsiaTheme="minorEastAsia" w:cstheme="minorBidi"/>
            <w:noProof/>
            <w:sz w:val="22"/>
            <w:szCs w:val="22"/>
          </w:rPr>
          <w:tab/>
        </w:r>
        <w:r w:rsidR="00722965" w:rsidRPr="006A0926">
          <w:rPr>
            <w:rStyle w:val="Hyperlink"/>
            <w:rFonts w:eastAsiaTheme="majorEastAsia"/>
            <w:noProof/>
          </w:rPr>
          <w:t>Specialised units - payment per occupied bed day</w:t>
        </w:r>
        <w:r w:rsidR="00722965">
          <w:rPr>
            <w:noProof/>
            <w:webHidden/>
          </w:rPr>
          <w:tab/>
        </w:r>
        <w:r w:rsidR="00722965">
          <w:rPr>
            <w:noProof/>
            <w:webHidden/>
          </w:rPr>
          <w:fldChar w:fldCharType="begin"/>
        </w:r>
        <w:r w:rsidR="00722965">
          <w:rPr>
            <w:noProof/>
            <w:webHidden/>
          </w:rPr>
          <w:instrText xml:space="preserve"> PAGEREF _Toc953895 \h </w:instrText>
        </w:r>
        <w:r w:rsidR="00722965">
          <w:rPr>
            <w:noProof/>
            <w:webHidden/>
          </w:rPr>
        </w:r>
        <w:r w:rsidR="00722965">
          <w:rPr>
            <w:noProof/>
            <w:webHidden/>
          </w:rPr>
          <w:fldChar w:fldCharType="separate"/>
        </w:r>
        <w:r w:rsidR="00E949FA">
          <w:rPr>
            <w:noProof/>
            <w:webHidden/>
          </w:rPr>
          <w:t>11</w:t>
        </w:r>
        <w:r w:rsidR="00722965">
          <w:rPr>
            <w:noProof/>
            <w:webHidden/>
          </w:rPr>
          <w:fldChar w:fldCharType="end"/>
        </w:r>
      </w:hyperlink>
    </w:p>
    <w:p w:rsidR="00722965" w:rsidRDefault="00DD7E02">
      <w:pPr>
        <w:pStyle w:val="TableofFigures"/>
        <w:tabs>
          <w:tab w:val="left" w:pos="1200"/>
          <w:tab w:val="right" w:leader="dot" w:pos="9060"/>
        </w:tabs>
        <w:rPr>
          <w:rFonts w:eastAsiaTheme="minorEastAsia" w:cstheme="minorBidi"/>
          <w:noProof/>
          <w:sz w:val="22"/>
          <w:szCs w:val="22"/>
        </w:rPr>
      </w:pPr>
      <w:hyperlink w:anchor="_Toc953896" w:history="1">
        <w:r w:rsidR="00722965" w:rsidRPr="006A0926">
          <w:rPr>
            <w:rStyle w:val="Hyperlink"/>
            <w:rFonts w:eastAsiaTheme="majorEastAsia"/>
            <w:noProof/>
          </w:rPr>
          <w:t xml:space="preserve">Table 4 </w:t>
        </w:r>
        <w:r w:rsidR="00722965">
          <w:rPr>
            <w:rFonts w:eastAsiaTheme="minorEastAsia" w:cstheme="minorBidi"/>
            <w:noProof/>
            <w:sz w:val="22"/>
            <w:szCs w:val="22"/>
          </w:rPr>
          <w:tab/>
        </w:r>
        <w:r w:rsidR="00722965" w:rsidRPr="006A0926">
          <w:rPr>
            <w:rStyle w:val="Hyperlink"/>
            <w:rFonts w:eastAsiaTheme="majorEastAsia"/>
            <w:noProof/>
          </w:rPr>
          <w:t>Payment relativities by age group</w:t>
        </w:r>
        <w:r w:rsidR="00722965">
          <w:rPr>
            <w:noProof/>
            <w:webHidden/>
          </w:rPr>
          <w:tab/>
        </w:r>
        <w:r w:rsidR="00722965">
          <w:rPr>
            <w:noProof/>
            <w:webHidden/>
          </w:rPr>
          <w:fldChar w:fldCharType="begin"/>
        </w:r>
        <w:r w:rsidR="00722965">
          <w:rPr>
            <w:noProof/>
            <w:webHidden/>
          </w:rPr>
          <w:instrText xml:space="preserve"> PAGEREF _Toc953896 \h </w:instrText>
        </w:r>
        <w:r w:rsidR="00722965">
          <w:rPr>
            <w:noProof/>
            <w:webHidden/>
          </w:rPr>
        </w:r>
        <w:r w:rsidR="00722965">
          <w:rPr>
            <w:noProof/>
            <w:webHidden/>
          </w:rPr>
          <w:fldChar w:fldCharType="separate"/>
        </w:r>
        <w:r w:rsidR="00E949FA">
          <w:rPr>
            <w:noProof/>
            <w:webHidden/>
          </w:rPr>
          <w:t>13</w:t>
        </w:r>
        <w:r w:rsidR="00722965">
          <w:rPr>
            <w:noProof/>
            <w:webHidden/>
          </w:rPr>
          <w:fldChar w:fldCharType="end"/>
        </w:r>
      </w:hyperlink>
    </w:p>
    <w:p w:rsidR="00722965" w:rsidRDefault="00DD7E02">
      <w:pPr>
        <w:pStyle w:val="TableofFigures"/>
        <w:tabs>
          <w:tab w:val="left" w:pos="1200"/>
          <w:tab w:val="right" w:leader="dot" w:pos="9060"/>
        </w:tabs>
        <w:rPr>
          <w:rFonts w:eastAsiaTheme="minorEastAsia" w:cstheme="minorBidi"/>
          <w:noProof/>
          <w:sz w:val="22"/>
          <w:szCs w:val="22"/>
        </w:rPr>
      </w:pPr>
      <w:hyperlink w:anchor="_Toc953897" w:history="1">
        <w:r w:rsidR="00722965" w:rsidRPr="006A0926">
          <w:rPr>
            <w:rStyle w:val="Hyperlink"/>
            <w:rFonts w:eastAsiaTheme="majorEastAsia"/>
            <w:noProof/>
          </w:rPr>
          <w:t xml:space="preserve">Table 5 </w:t>
        </w:r>
        <w:r w:rsidR="00722965">
          <w:rPr>
            <w:rFonts w:eastAsiaTheme="minorEastAsia" w:cstheme="minorBidi"/>
            <w:noProof/>
            <w:sz w:val="22"/>
            <w:szCs w:val="22"/>
          </w:rPr>
          <w:tab/>
        </w:r>
        <w:r w:rsidR="00722965" w:rsidRPr="006A0926">
          <w:rPr>
            <w:rStyle w:val="Hyperlink"/>
            <w:rFonts w:eastAsiaTheme="majorEastAsia"/>
            <w:noProof/>
          </w:rPr>
          <w:t>Payment relativities by time in care</w:t>
        </w:r>
        <w:r w:rsidR="00722965">
          <w:rPr>
            <w:noProof/>
            <w:webHidden/>
          </w:rPr>
          <w:tab/>
        </w:r>
        <w:r w:rsidR="00722965">
          <w:rPr>
            <w:noProof/>
            <w:webHidden/>
          </w:rPr>
          <w:fldChar w:fldCharType="begin"/>
        </w:r>
        <w:r w:rsidR="00722965">
          <w:rPr>
            <w:noProof/>
            <w:webHidden/>
          </w:rPr>
          <w:instrText xml:space="preserve"> PAGEREF _Toc953897 \h </w:instrText>
        </w:r>
        <w:r w:rsidR="00722965">
          <w:rPr>
            <w:noProof/>
            <w:webHidden/>
          </w:rPr>
        </w:r>
        <w:r w:rsidR="00722965">
          <w:rPr>
            <w:noProof/>
            <w:webHidden/>
          </w:rPr>
          <w:fldChar w:fldCharType="separate"/>
        </w:r>
        <w:r w:rsidR="00E949FA">
          <w:rPr>
            <w:noProof/>
            <w:webHidden/>
          </w:rPr>
          <w:t>14</w:t>
        </w:r>
        <w:r w:rsidR="00722965">
          <w:rPr>
            <w:noProof/>
            <w:webHidden/>
          </w:rPr>
          <w:fldChar w:fldCharType="end"/>
        </w:r>
      </w:hyperlink>
    </w:p>
    <w:p w:rsidR="00722965" w:rsidRDefault="00DD7E02">
      <w:pPr>
        <w:pStyle w:val="TableofFigures"/>
        <w:tabs>
          <w:tab w:val="left" w:pos="1200"/>
          <w:tab w:val="right" w:leader="dot" w:pos="9060"/>
        </w:tabs>
        <w:rPr>
          <w:rFonts w:eastAsiaTheme="minorEastAsia" w:cstheme="minorBidi"/>
          <w:noProof/>
          <w:sz w:val="22"/>
          <w:szCs w:val="22"/>
        </w:rPr>
      </w:pPr>
      <w:hyperlink w:anchor="_Toc953898" w:history="1">
        <w:r w:rsidR="00722965" w:rsidRPr="006A0926">
          <w:rPr>
            <w:rStyle w:val="Hyperlink"/>
            <w:rFonts w:eastAsiaTheme="majorEastAsia"/>
            <w:noProof/>
          </w:rPr>
          <w:t xml:space="preserve">Table 6 </w:t>
        </w:r>
        <w:r w:rsidR="00722965">
          <w:rPr>
            <w:rFonts w:eastAsiaTheme="minorEastAsia" w:cstheme="minorBidi"/>
            <w:noProof/>
            <w:sz w:val="22"/>
            <w:szCs w:val="22"/>
          </w:rPr>
          <w:tab/>
        </w:r>
        <w:r w:rsidR="00722965" w:rsidRPr="006A0926">
          <w:rPr>
            <w:rStyle w:val="Hyperlink"/>
            <w:rFonts w:eastAsiaTheme="majorEastAsia"/>
            <w:noProof/>
          </w:rPr>
          <w:t>Payment relativities by indigenous status</w:t>
        </w:r>
        <w:r w:rsidR="00722965">
          <w:rPr>
            <w:noProof/>
            <w:webHidden/>
          </w:rPr>
          <w:tab/>
        </w:r>
        <w:r w:rsidR="00722965">
          <w:rPr>
            <w:noProof/>
            <w:webHidden/>
          </w:rPr>
          <w:fldChar w:fldCharType="begin"/>
        </w:r>
        <w:r w:rsidR="00722965">
          <w:rPr>
            <w:noProof/>
            <w:webHidden/>
          </w:rPr>
          <w:instrText xml:space="preserve"> PAGEREF _Toc953898 \h </w:instrText>
        </w:r>
        <w:r w:rsidR="00722965">
          <w:rPr>
            <w:noProof/>
            <w:webHidden/>
          </w:rPr>
        </w:r>
        <w:r w:rsidR="00722965">
          <w:rPr>
            <w:noProof/>
            <w:webHidden/>
          </w:rPr>
          <w:fldChar w:fldCharType="separate"/>
        </w:r>
        <w:r w:rsidR="00E949FA">
          <w:rPr>
            <w:noProof/>
            <w:webHidden/>
          </w:rPr>
          <w:t>14</w:t>
        </w:r>
        <w:r w:rsidR="00722965">
          <w:rPr>
            <w:noProof/>
            <w:webHidden/>
          </w:rPr>
          <w:fldChar w:fldCharType="end"/>
        </w:r>
      </w:hyperlink>
    </w:p>
    <w:p w:rsidR="00722965" w:rsidRDefault="00DD7E02">
      <w:pPr>
        <w:pStyle w:val="TableofFigures"/>
        <w:tabs>
          <w:tab w:val="left" w:pos="1200"/>
          <w:tab w:val="right" w:leader="dot" w:pos="9060"/>
        </w:tabs>
        <w:rPr>
          <w:rFonts w:eastAsiaTheme="minorEastAsia" w:cstheme="minorBidi"/>
          <w:noProof/>
          <w:sz w:val="22"/>
          <w:szCs w:val="22"/>
        </w:rPr>
      </w:pPr>
      <w:hyperlink w:anchor="_Toc953899" w:history="1">
        <w:r w:rsidR="00722965" w:rsidRPr="006A0926">
          <w:rPr>
            <w:rStyle w:val="Hyperlink"/>
            <w:rFonts w:eastAsiaTheme="majorEastAsia"/>
            <w:noProof/>
          </w:rPr>
          <w:t xml:space="preserve">Table 7 </w:t>
        </w:r>
        <w:r w:rsidR="00722965">
          <w:rPr>
            <w:rFonts w:eastAsiaTheme="minorEastAsia" w:cstheme="minorBidi"/>
            <w:noProof/>
            <w:sz w:val="22"/>
            <w:szCs w:val="22"/>
          </w:rPr>
          <w:tab/>
        </w:r>
        <w:r w:rsidR="00722965" w:rsidRPr="006A0926">
          <w:rPr>
            <w:rStyle w:val="Hyperlink"/>
            <w:rFonts w:eastAsiaTheme="majorEastAsia"/>
            <w:noProof/>
          </w:rPr>
          <w:t>Payment relativities by preferred language</w:t>
        </w:r>
        <w:r w:rsidR="00722965">
          <w:rPr>
            <w:noProof/>
            <w:webHidden/>
          </w:rPr>
          <w:tab/>
        </w:r>
        <w:r w:rsidR="00722965">
          <w:rPr>
            <w:noProof/>
            <w:webHidden/>
          </w:rPr>
          <w:fldChar w:fldCharType="begin"/>
        </w:r>
        <w:r w:rsidR="00722965">
          <w:rPr>
            <w:noProof/>
            <w:webHidden/>
          </w:rPr>
          <w:instrText xml:space="preserve"> PAGEREF _Toc953899 \h </w:instrText>
        </w:r>
        <w:r w:rsidR="00722965">
          <w:rPr>
            <w:noProof/>
            <w:webHidden/>
          </w:rPr>
        </w:r>
        <w:r w:rsidR="00722965">
          <w:rPr>
            <w:noProof/>
            <w:webHidden/>
          </w:rPr>
          <w:fldChar w:fldCharType="separate"/>
        </w:r>
        <w:r w:rsidR="00E949FA">
          <w:rPr>
            <w:noProof/>
            <w:webHidden/>
          </w:rPr>
          <w:t>15</w:t>
        </w:r>
        <w:r w:rsidR="00722965">
          <w:rPr>
            <w:noProof/>
            <w:webHidden/>
          </w:rPr>
          <w:fldChar w:fldCharType="end"/>
        </w:r>
      </w:hyperlink>
    </w:p>
    <w:p w:rsidR="00722965" w:rsidRDefault="00DD7E02">
      <w:pPr>
        <w:pStyle w:val="TableofFigures"/>
        <w:tabs>
          <w:tab w:val="left" w:pos="1200"/>
          <w:tab w:val="right" w:leader="dot" w:pos="9060"/>
        </w:tabs>
        <w:rPr>
          <w:rFonts w:eastAsiaTheme="minorEastAsia" w:cstheme="minorBidi"/>
          <w:noProof/>
          <w:sz w:val="22"/>
          <w:szCs w:val="22"/>
        </w:rPr>
      </w:pPr>
      <w:hyperlink w:anchor="_Toc953900" w:history="1">
        <w:r w:rsidR="00722965" w:rsidRPr="006A0926">
          <w:rPr>
            <w:rStyle w:val="Hyperlink"/>
            <w:rFonts w:eastAsiaTheme="majorEastAsia"/>
            <w:noProof/>
          </w:rPr>
          <w:t xml:space="preserve">Table 8 </w:t>
        </w:r>
        <w:r w:rsidR="00722965">
          <w:rPr>
            <w:rFonts w:eastAsiaTheme="minorEastAsia" w:cstheme="minorBidi"/>
            <w:noProof/>
            <w:sz w:val="22"/>
            <w:szCs w:val="22"/>
          </w:rPr>
          <w:tab/>
        </w:r>
        <w:r w:rsidR="00722965" w:rsidRPr="006A0926">
          <w:rPr>
            <w:rStyle w:val="Hyperlink"/>
            <w:rFonts w:eastAsiaTheme="majorEastAsia"/>
            <w:noProof/>
          </w:rPr>
          <w:t>Capturing clinical complexity by AN-ACC class</w:t>
        </w:r>
        <w:r w:rsidR="00722965">
          <w:rPr>
            <w:noProof/>
            <w:webHidden/>
          </w:rPr>
          <w:tab/>
        </w:r>
        <w:r w:rsidR="00722965">
          <w:rPr>
            <w:noProof/>
            <w:webHidden/>
          </w:rPr>
          <w:fldChar w:fldCharType="begin"/>
        </w:r>
        <w:r w:rsidR="00722965">
          <w:rPr>
            <w:noProof/>
            <w:webHidden/>
          </w:rPr>
          <w:instrText xml:space="preserve"> PAGEREF _Toc953900 \h </w:instrText>
        </w:r>
        <w:r w:rsidR="00722965">
          <w:rPr>
            <w:noProof/>
            <w:webHidden/>
          </w:rPr>
        </w:r>
        <w:r w:rsidR="00722965">
          <w:rPr>
            <w:noProof/>
            <w:webHidden/>
          </w:rPr>
          <w:fldChar w:fldCharType="separate"/>
        </w:r>
        <w:r w:rsidR="00E949FA">
          <w:rPr>
            <w:noProof/>
            <w:webHidden/>
          </w:rPr>
          <w:t>17</w:t>
        </w:r>
        <w:r w:rsidR="00722965">
          <w:rPr>
            <w:noProof/>
            <w:webHidden/>
          </w:rPr>
          <w:fldChar w:fldCharType="end"/>
        </w:r>
      </w:hyperlink>
    </w:p>
    <w:p w:rsidR="00722965" w:rsidRDefault="00DD7E02">
      <w:pPr>
        <w:pStyle w:val="TableofFigures"/>
        <w:tabs>
          <w:tab w:val="left" w:pos="1200"/>
          <w:tab w:val="right" w:leader="dot" w:pos="9060"/>
        </w:tabs>
        <w:rPr>
          <w:rFonts w:eastAsiaTheme="minorEastAsia" w:cstheme="minorBidi"/>
          <w:noProof/>
          <w:sz w:val="22"/>
          <w:szCs w:val="22"/>
        </w:rPr>
      </w:pPr>
      <w:hyperlink w:anchor="_Toc953901" w:history="1">
        <w:r w:rsidR="00722965" w:rsidRPr="006A0926">
          <w:rPr>
            <w:rStyle w:val="Hyperlink"/>
            <w:rFonts w:eastAsiaTheme="majorEastAsia"/>
            <w:noProof/>
          </w:rPr>
          <w:t xml:space="preserve">Table 9 </w:t>
        </w:r>
        <w:r w:rsidR="00722965">
          <w:rPr>
            <w:rFonts w:eastAsiaTheme="minorEastAsia" w:cstheme="minorBidi"/>
            <w:noProof/>
            <w:sz w:val="22"/>
            <w:szCs w:val="22"/>
          </w:rPr>
          <w:tab/>
        </w:r>
        <w:r w:rsidR="00722965" w:rsidRPr="006A0926">
          <w:rPr>
            <w:rStyle w:val="Hyperlink"/>
            <w:rFonts w:eastAsiaTheme="majorEastAsia"/>
            <w:noProof/>
          </w:rPr>
          <w:t>Capturing clinical complexity by ACFI category groups</w:t>
        </w:r>
        <w:r w:rsidR="00722965">
          <w:rPr>
            <w:noProof/>
            <w:webHidden/>
          </w:rPr>
          <w:tab/>
        </w:r>
        <w:r w:rsidR="00722965">
          <w:rPr>
            <w:noProof/>
            <w:webHidden/>
          </w:rPr>
          <w:fldChar w:fldCharType="begin"/>
        </w:r>
        <w:r w:rsidR="00722965">
          <w:rPr>
            <w:noProof/>
            <w:webHidden/>
          </w:rPr>
          <w:instrText xml:space="preserve"> PAGEREF _Toc953901 \h </w:instrText>
        </w:r>
        <w:r w:rsidR="00722965">
          <w:rPr>
            <w:noProof/>
            <w:webHidden/>
          </w:rPr>
        </w:r>
        <w:r w:rsidR="00722965">
          <w:rPr>
            <w:noProof/>
            <w:webHidden/>
          </w:rPr>
          <w:fldChar w:fldCharType="separate"/>
        </w:r>
        <w:r w:rsidR="00E949FA">
          <w:rPr>
            <w:noProof/>
            <w:webHidden/>
          </w:rPr>
          <w:t>17</w:t>
        </w:r>
        <w:r w:rsidR="00722965">
          <w:rPr>
            <w:noProof/>
            <w:webHidden/>
          </w:rPr>
          <w:fldChar w:fldCharType="end"/>
        </w:r>
      </w:hyperlink>
    </w:p>
    <w:p w:rsidR="00722965" w:rsidRDefault="00DD7E02">
      <w:pPr>
        <w:pStyle w:val="TableofFigures"/>
        <w:tabs>
          <w:tab w:val="left" w:pos="1200"/>
          <w:tab w:val="right" w:leader="dot" w:pos="9060"/>
        </w:tabs>
        <w:rPr>
          <w:rFonts w:eastAsiaTheme="minorEastAsia" w:cstheme="minorBidi"/>
          <w:noProof/>
          <w:sz w:val="22"/>
          <w:szCs w:val="22"/>
        </w:rPr>
      </w:pPr>
      <w:hyperlink w:anchor="_Toc953902" w:history="1">
        <w:r w:rsidR="00722965" w:rsidRPr="006A0926">
          <w:rPr>
            <w:rStyle w:val="Hyperlink"/>
            <w:rFonts w:eastAsiaTheme="majorEastAsia"/>
            <w:noProof/>
          </w:rPr>
          <w:t>Table 10</w:t>
        </w:r>
        <w:r w:rsidR="00722965">
          <w:rPr>
            <w:rFonts w:eastAsiaTheme="minorEastAsia" w:cstheme="minorBidi"/>
            <w:noProof/>
            <w:sz w:val="22"/>
            <w:szCs w:val="22"/>
          </w:rPr>
          <w:tab/>
        </w:r>
        <w:r w:rsidR="00722965" w:rsidRPr="006A0926">
          <w:rPr>
            <w:rStyle w:val="Hyperlink"/>
            <w:rFonts w:eastAsiaTheme="majorEastAsia"/>
            <w:noProof/>
          </w:rPr>
          <w:t>Relative funding impact by ownership type</w:t>
        </w:r>
        <w:r w:rsidR="00722965">
          <w:rPr>
            <w:noProof/>
            <w:webHidden/>
          </w:rPr>
          <w:tab/>
        </w:r>
        <w:r w:rsidR="00722965">
          <w:rPr>
            <w:noProof/>
            <w:webHidden/>
          </w:rPr>
          <w:fldChar w:fldCharType="begin"/>
        </w:r>
        <w:r w:rsidR="00722965">
          <w:rPr>
            <w:noProof/>
            <w:webHidden/>
          </w:rPr>
          <w:instrText xml:space="preserve"> PAGEREF _Toc953902 \h </w:instrText>
        </w:r>
        <w:r w:rsidR="00722965">
          <w:rPr>
            <w:noProof/>
            <w:webHidden/>
          </w:rPr>
        </w:r>
        <w:r w:rsidR="00722965">
          <w:rPr>
            <w:noProof/>
            <w:webHidden/>
          </w:rPr>
          <w:fldChar w:fldCharType="separate"/>
        </w:r>
        <w:r w:rsidR="00E949FA">
          <w:rPr>
            <w:noProof/>
            <w:webHidden/>
          </w:rPr>
          <w:t>21</w:t>
        </w:r>
        <w:r w:rsidR="00722965">
          <w:rPr>
            <w:noProof/>
            <w:webHidden/>
          </w:rPr>
          <w:fldChar w:fldCharType="end"/>
        </w:r>
      </w:hyperlink>
    </w:p>
    <w:p w:rsidR="00722965" w:rsidRDefault="00DD7E02">
      <w:pPr>
        <w:pStyle w:val="TableofFigures"/>
        <w:tabs>
          <w:tab w:val="left" w:pos="1200"/>
          <w:tab w:val="right" w:leader="dot" w:pos="9060"/>
        </w:tabs>
        <w:rPr>
          <w:rFonts w:eastAsiaTheme="minorEastAsia" w:cstheme="minorBidi"/>
          <w:noProof/>
          <w:sz w:val="22"/>
          <w:szCs w:val="22"/>
        </w:rPr>
      </w:pPr>
      <w:hyperlink w:anchor="_Toc953903" w:history="1">
        <w:r w:rsidR="00722965" w:rsidRPr="006A0926">
          <w:rPr>
            <w:rStyle w:val="Hyperlink"/>
            <w:rFonts w:eastAsiaTheme="majorEastAsia"/>
            <w:noProof/>
          </w:rPr>
          <w:t>Table 11</w:t>
        </w:r>
        <w:r w:rsidR="00722965">
          <w:rPr>
            <w:rFonts w:eastAsiaTheme="minorEastAsia" w:cstheme="minorBidi"/>
            <w:noProof/>
            <w:sz w:val="22"/>
            <w:szCs w:val="22"/>
          </w:rPr>
          <w:tab/>
        </w:r>
        <w:r w:rsidR="00722965" w:rsidRPr="006A0926">
          <w:rPr>
            <w:rStyle w:val="Hyperlink"/>
            <w:rFonts w:eastAsiaTheme="majorEastAsia"/>
            <w:noProof/>
          </w:rPr>
          <w:t>Relative funding impact by remoteness</w:t>
        </w:r>
        <w:r w:rsidR="00722965">
          <w:rPr>
            <w:noProof/>
            <w:webHidden/>
          </w:rPr>
          <w:tab/>
        </w:r>
        <w:r w:rsidR="00722965">
          <w:rPr>
            <w:noProof/>
            <w:webHidden/>
          </w:rPr>
          <w:fldChar w:fldCharType="begin"/>
        </w:r>
        <w:r w:rsidR="00722965">
          <w:rPr>
            <w:noProof/>
            <w:webHidden/>
          </w:rPr>
          <w:instrText xml:space="preserve"> PAGEREF _Toc953903 \h </w:instrText>
        </w:r>
        <w:r w:rsidR="00722965">
          <w:rPr>
            <w:noProof/>
            <w:webHidden/>
          </w:rPr>
        </w:r>
        <w:r w:rsidR="00722965">
          <w:rPr>
            <w:noProof/>
            <w:webHidden/>
          </w:rPr>
          <w:fldChar w:fldCharType="separate"/>
        </w:r>
        <w:r w:rsidR="00E949FA">
          <w:rPr>
            <w:noProof/>
            <w:webHidden/>
          </w:rPr>
          <w:t>21</w:t>
        </w:r>
        <w:r w:rsidR="00722965">
          <w:rPr>
            <w:noProof/>
            <w:webHidden/>
          </w:rPr>
          <w:fldChar w:fldCharType="end"/>
        </w:r>
      </w:hyperlink>
    </w:p>
    <w:p w:rsidR="00722965" w:rsidRDefault="00DD7E02">
      <w:pPr>
        <w:pStyle w:val="TableofFigures"/>
        <w:tabs>
          <w:tab w:val="left" w:pos="1200"/>
          <w:tab w:val="right" w:leader="dot" w:pos="9060"/>
        </w:tabs>
        <w:rPr>
          <w:rFonts w:eastAsiaTheme="minorEastAsia" w:cstheme="minorBidi"/>
          <w:noProof/>
          <w:sz w:val="22"/>
          <w:szCs w:val="22"/>
        </w:rPr>
      </w:pPr>
      <w:hyperlink w:anchor="_Toc953904" w:history="1">
        <w:r w:rsidR="00722965" w:rsidRPr="006A0926">
          <w:rPr>
            <w:rStyle w:val="Hyperlink"/>
            <w:rFonts w:eastAsiaTheme="majorEastAsia"/>
            <w:noProof/>
          </w:rPr>
          <w:t>Table 12</w:t>
        </w:r>
        <w:r w:rsidR="00722965">
          <w:rPr>
            <w:rFonts w:eastAsiaTheme="minorEastAsia" w:cstheme="minorBidi"/>
            <w:noProof/>
            <w:sz w:val="22"/>
            <w:szCs w:val="22"/>
          </w:rPr>
          <w:tab/>
        </w:r>
        <w:r w:rsidR="00722965" w:rsidRPr="006A0926">
          <w:rPr>
            <w:rStyle w:val="Hyperlink"/>
            <w:rFonts w:eastAsiaTheme="majorEastAsia"/>
            <w:noProof/>
          </w:rPr>
          <w:t>Relative funding impact by size</w:t>
        </w:r>
        <w:r w:rsidR="00722965">
          <w:rPr>
            <w:noProof/>
            <w:webHidden/>
          </w:rPr>
          <w:tab/>
        </w:r>
        <w:r w:rsidR="00722965">
          <w:rPr>
            <w:noProof/>
            <w:webHidden/>
          </w:rPr>
          <w:fldChar w:fldCharType="begin"/>
        </w:r>
        <w:r w:rsidR="00722965">
          <w:rPr>
            <w:noProof/>
            <w:webHidden/>
          </w:rPr>
          <w:instrText xml:space="preserve"> PAGEREF _Toc953904 \h </w:instrText>
        </w:r>
        <w:r w:rsidR="00722965">
          <w:rPr>
            <w:noProof/>
            <w:webHidden/>
          </w:rPr>
        </w:r>
        <w:r w:rsidR="00722965">
          <w:rPr>
            <w:noProof/>
            <w:webHidden/>
          </w:rPr>
          <w:fldChar w:fldCharType="separate"/>
        </w:r>
        <w:r w:rsidR="00E949FA">
          <w:rPr>
            <w:noProof/>
            <w:webHidden/>
          </w:rPr>
          <w:t>22</w:t>
        </w:r>
        <w:r w:rsidR="00722965">
          <w:rPr>
            <w:noProof/>
            <w:webHidden/>
          </w:rPr>
          <w:fldChar w:fldCharType="end"/>
        </w:r>
      </w:hyperlink>
    </w:p>
    <w:p w:rsidR="00003E81" w:rsidRPr="00F03C73" w:rsidRDefault="00003E81" w:rsidP="00F03C73">
      <w:pPr>
        <w:pStyle w:val="Caption"/>
        <w:spacing w:before="480"/>
        <w:rPr>
          <w:sz w:val="36"/>
          <w:szCs w:val="36"/>
        </w:rPr>
      </w:pPr>
      <w:r>
        <w:rPr>
          <w:sz w:val="36"/>
          <w:szCs w:val="36"/>
        </w:rPr>
        <w:fldChar w:fldCharType="end"/>
      </w:r>
      <w:r w:rsidRPr="00F03C73">
        <w:rPr>
          <w:sz w:val="36"/>
          <w:szCs w:val="36"/>
        </w:rPr>
        <w:t>List of figures</w:t>
      </w:r>
    </w:p>
    <w:p w:rsidR="00722965" w:rsidRDefault="00003E81">
      <w:pPr>
        <w:pStyle w:val="TableofFigures"/>
        <w:tabs>
          <w:tab w:val="left" w:pos="1200"/>
          <w:tab w:val="right" w:leader="dot" w:pos="9060"/>
        </w:tabs>
        <w:rPr>
          <w:rFonts w:eastAsiaTheme="minorEastAsia" w:cstheme="minorBidi"/>
          <w:noProof/>
          <w:sz w:val="22"/>
          <w:szCs w:val="22"/>
        </w:rPr>
      </w:pPr>
      <w:r>
        <w:rPr>
          <w:rStyle w:val="Hyperlink"/>
          <w:rFonts w:eastAsiaTheme="majorEastAsia"/>
          <w:noProof/>
        </w:rPr>
        <w:fldChar w:fldCharType="begin"/>
      </w:r>
      <w:r w:rsidRPr="00F73247">
        <w:rPr>
          <w:rStyle w:val="Hyperlink"/>
          <w:rFonts w:eastAsiaTheme="majorEastAsia"/>
          <w:noProof/>
        </w:rPr>
        <w:instrText xml:space="preserve"> TOC \h \z \c "Figure" </w:instrText>
      </w:r>
      <w:r>
        <w:rPr>
          <w:rStyle w:val="Hyperlink"/>
          <w:rFonts w:eastAsiaTheme="majorEastAsia"/>
          <w:noProof/>
        </w:rPr>
        <w:fldChar w:fldCharType="separate"/>
      </w:r>
      <w:hyperlink w:anchor="_Toc953905" w:history="1">
        <w:r w:rsidR="00722965" w:rsidRPr="00E714FA">
          <w:rPr>
            <w:rStyle w:val="Hyperlink"/>
            <w:rFonts w:eastAsiaTheme="majorEastAsia"/>
            <w:noProof/>
          </w:rPr>
          <w:t xml:space="preserve">Figure 1 </w:t>
        </w:r>
        <w:r w:rsidR="00722965">
          <w:rPr>
            <w:rFonts w:eastAsiaTheme="minorEastAsia" w:cstheme="minorBidi"/>
            <w:noProof/>
            <w:sz w:val="22"/>
            <w:szCs w:val="22"/>
          </w:rPr>
          <w:tab/>
        </w:r>
        <w:r w:rsidR="00722965" w:rsidRPr="00E714FA">
          <w:rPr>
            <w:rStyle w:val="Hyperlink"/>
            <w:rFonts w:eastAsiaTheme="majorEastAsia"/>
            <w:noProof/>
          </w:rPr>
          <w:t>AN-ACC class by jurisdiction</w:t>
        </w:r>
        <w:r w:rsidR="00722965">
          <w:rPr>
            <w:noProof/>
            <w:webHidden/>
          </w:rPr>
          <w:tab/>
        </w:r>
        <w:r w:rsidR="00722965">
          <w:rPr>
            <w:noProof/>
            <w:webHidden/>
          </w:rPr>
          <w:fldChar w:fldCharType="begin"/>
        </w:r>
        <w:r w:rsidR="00722965">
          <w:rPr>
            <w:noProof/>
            <w:webHidden/>
          </w:rPr>
          <w:instrText xml:space="preserve"> PAGEREF _Toc953905 \h </w:instrText>
        </w:r>
        <w:r w:rsidR="00722965">
          <w:rPr>
            <w:noProof/>
            <w:webHidden/>
          </w:rPr>
        </w:r>
        <w:r w:rsidR="00722965">
          <w:rPr>
            <w:noProof/>
            <w:webHidden/>
          </w:rPr>
          <w:fldChar w:fldCharType="separate"/>
        </w:r>
        <w:r w:rsidR="00E949FA">
          <w:rPr>
            <w:noProof/>
            <w:webHidden/>
          </w:rPr>
          <w:t>10</w:t>
        </w:r>
        <w:r w:rsidR="00722965">
          <w:rPr>
            <w:noProof/>
            <w:webHidden/>
          </w:rPr>
          <w:fldChar w:fldCharType="end"/>
        </w:r>
      </w:hyperlink>
    </w:p>
    <w:p w:rsidR="00722965" w:rsidRDefault="00DD7E02">
      <w:pPr>
        <w:pStyle w:val="TableofFigures"/>
        <w:tabs>
          <w:tab w:val="left" w:pos="1200"/>
          <w:tab w:val="right" w:leader="dot" w:pos="9060"/>
        </w:tabs>
        <w:rPr>
          <w:rFonts w:eastAsiaTheme="minorEastAsia" w:cstheme="minorBidi"/>
          <w:noProof/>
          <w:sz w:val="22"/>
          <w:szCs w:val="22"/>
        </w:rPr>
      </w:pPr>
      <w:hyperlink w:anchor="_Toc953906" w:history="1">
        <w:r w:rsidR="00722965" w:rsidRPr="00E714FA">
          <w:rPr>
            <w:rStyle w:val="Hyperlink"/>
            <w:rFonts w:eastAsiaTheme="majorEastAsia"/>
            <w:noProof/>
          </w:rPr>
          <w:t xml:space="preserve">Figure 2 </w:t>
        </w:r>
        <w:r w:rsidR="00722965">
          <w:rPr>
            <w:rFonts w:eastAsiaTheme="minorEastAsia" w:cstheme="minorBidi"/>
            <w:noProof/>
            <w:sz w:val="22"/>
            <w:szCs w:val="22"/>
          </w:rPr>
          <w:tab/>
        </w:r>
        <w:r w:rsidR="00722965" w:rsidRPr="00E714FA">
          <w:rPr>
            <w:rStyle w:val="Hyperlink"/>
            <w:rFonts w:eastAsiaTheme="majorEastAsia"/>
            <w:noProof/>
          </w:rPr>
          <w:t>Distribution of AN-ACC classes in specialist units</w:t>
        </w:r>
        <w:r w:rsidR="00722965">
          <w:rPr>
            <w:noProof/>
            <w:webHidden/>
          </w:rPr>
          <w:tab/>
        </w:r>
        <w:r w:rsidR="00722965">
          <w:rPr>
            <w:noProof/>
            <w:webHidden/>
          </w:rPr>
          <w:fldChar w:fldCharType="begin"/>
        </w:r>
        <w:r w:rsidR="00722965">
          <w:rPr>
            <w:noProof/>
            <w:webHidden/>
          </w:rPr>
          <w:instrText xml:space="preserve"> PAGEREF _Toc953906 \h </w:instrText>
        </w:r>
        <w:r w:rsidR="00722965">
          <w:rPr>
            <w:noProof/>
            <w:webHidden/>
          </w:rPr>
        </w:r>
        <w:r w:rsidR="00722965">
          <w:rPr>
            <w:noProof/>
            <w:webHidden/>
          </w:rPr>
          <w:fldChar w:fldCharType="separate"/>
        </w:r>
        <w:r w:rsidR="00E949FA">
          <w:rPr>
            <w:noProof/>
            <w:webHidden/>
          </w:rPr>
          <w:t>11</w:t>
        </w:r>
        <w:r w:rsidR="00722965">
          <w:rPr>
            <w:noProof/>
            <w:webHidden/>
          </w:rPr>
          <w:fldChar w:fldCharType="end"/>
        </w:r>
      </w:hyperlink>
    </w:p>
    <w:p w:rsidR="00722965" w:rsidRDefault="00DD7E02">
      <w:pPr>
        <w:pStyle w:val="TableofFigures"/>
        <w:tabs>
          <w:tab w:val="left" w:pos="1200"/>
          <w:tab w:val="right" w:leader="dot" w:pos="9060"/>
        </w:tabs>
        <w:rPr>
          <w:rFonts w:eastAsiaTheme="minorEastAsia" w:cstheme="minorBidi"/>
          <w:noProof/>
          <w:sz w:val="22"/>
          <w:szCs w:val="22"/>
        </w:rPr>
      </w:pPr>
      <w:hyperlink w:anchor="_Toc953907" w:history="1">
        <w:r w:rsidR="00722965" w:rsidRPr="00E714FA">
          <w:rPr>
            <w:rStyle w:val="Hyperlink"/>
            <w:rFonts w:eastAsiaTheme="majorEastAsia"/>
            <w:noProof/>
          </w:rPr>
          <w:t xml:space="preserve">Figure 3 </w:t>
        </w:r>
        <w:r w:rsidR="00722965">
          <w:rPr>
            <w:rFonts w:eastAsiaTheme="minorEastAsia" w:cstheme="minorBidi"/>
            <w:noProof/>
            <w:sz w:val="22"/>
            <w:szCs w:val="22"/>
          </w:rPr>
          <w:tab/>
        </w:r>
        <w:r w:rsidR="00722965" w:rsidRPr="00E714FA">
          <w:rPr>
            <w:rStyle w:val="Hyperlink"/>
            <w:rFonts w:eastAsiaTheme="majorEastAsia"/>
            <w:noProof/>
          </w:rPr>
          <w:t>Distribution of AN-ACC classes by age group</w:t>
        </w:r>
        <w:r w:rsidR="00722965">
          <w:rPr>
            <w:noProof/>
            <w:webHidden/>
          </w:rPr>
          <w:tab/>
        </w:r>
        <w:r w:rsidR="00722965">
          <w:rPr>
            <w:noProof/>
            <w:webHidden/>
          </w:rPr>
          <w:fldChar w:fldCharType="begin"/>
        </w:r>
        <w:r w:rsidR="00722965">
          <w:rPr>
            <w:noProof/>
            <w:webHidden/>
          </w:rPr>
          <w:instrText xml:space="preserve"> PAGEREF _Toc953907 \h </w:instrText>
        </w:r>
        <w:r w:rsidR="00722965">
          <w:rPr>
            <w:noProof/>
            <w:webHidden/>
          </w:rPr>
        </w:r>
        <w:r w:rsidR="00722965">
          <w:rPr>
            <w:noProof/>
            <w:webHidden/>
          </w:rPr>
          <w:fldChar w:fldCharType="separate"/>
        </w:r>
        <w:r w:rsidR="00E949FA">
          <w:rPr>
            <w:noProof/>
            <w:webHidden/>
          </w:rPr>
          <w:t>12</w:t>
        </w:r>
        <w:r w:rsidR="00722965">
          <w:rPr>
            <w:noProof/>
            <w:webHidden/>
          </w:rPr>
          <w:fldChar w:fldCharType="end"/>
        </w:r>
      </w:hyperlink>
    </w:p>
    <w:p w:rsidR="00722965" w:rsidRDefault="00DD7E02">
      <w:pPr>
        <w:pStyle w:val="TableofFigures"/>
        <w:tabs>
          <w:tab w:val="left" w:pos="1200"/>
          <w:tab w:val="right" w:leader="dot" w:pos="9060"/>
        </w:tabs>
        <w:rPr>
          <w:rFonts w:eastAsiaTheme="minorEastAsia" w:cstheme="minorBidi"/>
          <w:noProof/>
          <w:sz w:val="22"/>
          <w:szCs w:val="22"/>
        </w:rPr>
      </w:pPr>
      <w:hyperlink w:anchor="_Toc953908" w:history="1">
        <w:r w:rsidR="00722965" w:rsidRPr="00E714FA">
          <w:rPr>
            <w:rStyle w:val="Hyperlink"/>
            <w:rFonts w:eastAsiaTheme="majorEastAsia"/>
            <w:noProof/>
          </w:rPr>
          <w:t xml:space="preserve">Figure 4 </w:t>
        </w:r>
        <w:r w:rsidR="00722965">
          <w:rPr>
            <w:rFonts w:eastAsiaTheme="minorEastAsia" w:cstheme="minorBidi"/>
            <w:noProof/>
            <w:sz w:val="22"/>
            <w:szCs w:val="22"/>
          </w:rPr>
          <w:tab/>
        </w:r>
        <w:r w:rsidR="00722965" w:rsidRPr="00E714FA">
          <w:rPr>
            <w:rStyle w:val="Hyperlink"/>
            <w:rFonts w:eastAsiaTheme="majorEastAsia"/>
            <w:noProof/>
          </w:rPr>
          <w:t>Distribution of AN-ACC classes by time in care</w:t>
        </w:r>
        <w:r w:rsidR="00722965">
          <w:rPr>
            <w:noProof/>
            <w:webHidden/>
          </w:rPr>
          <w:tab/>
        </w:r>
        <w:r w:rsidR="00722965">
          <w:rPr>
            <w:noProof/>
            <w:webHidden/>
          </w:rPr>
          <w:fldChar w:fldCharType="begin"/>
        </w:r>
        <w:r w:rsidR="00722965">
          <w:rPr>
            <w:noProof/>
            <w:webHidden/>
          </w:rPr>
          <w:instrText xml:space="preserve"> PAGEREF _Toc953908 \h </w:instrText>
        </w:r>
        <w:r w:rsidR="00722965">
          <w:rPr>
            <w:noProof/>
            <w:webHidden/>
          </w:rPr>
        </w:r>
        <w:r w:rsidR="00722965">
          <w:rPr>
            <w:noProof/>
            <w:webHidden/>
          </w:rPr>
          <w:fldChar w:fldCharType="separate"/>
        </w:r>
        <w:r w:rsidR="00E949FA">
          <w:rPr>
            <w:noProof/>
            <w:webHidden/>
          </w:rPr>
          <w:t>13</w:t>
        </w:r>
        <w:r w:rsidR="00722965">
          <w:rPr>
            <w:noProof/>
            <w:webHidden/>
          </w:rPr>
          <w:fldChar w:fldCharType="end"/>
        </w:r>
      </w:hyperlink>
    </w:p>
    <w:p w:rsidR="00722965" w:rsidRDefault="00DD7E02">
      <w:pPr>
        <w:pStyle w:val="TableofFigures"/>
        <w:tabs>
          <w:tab w:val="left" w:pos="1200"/>
          <w:tab w:val="right" w:leader="dot" w:pos="9060"/>
        </w:tabs>
        <w:rPr>
          <w:rFonts w:eastAsiaTheme="minorEastAsia" w:cstheme="minorBidi"/>
          <w:noProof/>
          <w:sz w:val="22"/>
          <w:szCs w:val="22"/>
        </w:rPr>
      </w:pPr>
      <w:hyperlink w:anchor="_Toc953909" w:history="1">
        <w:r w:rsidR="00722965" w:rsidRPr="00E714FA">
          <w:rPr>
            <w:rStyle w:val="Hyperlink"/>
            <w:rFonts w:eastAsiaTheme="majorEastAsia"/>
            <w:noProof/>
          </w:rPr>
          <w:t xml:space="preserve">Figure 5 </w:t>
        </w:r>
        <w:r w:rsidR="00722965">
          <w:rPr>
            <w:rFonts w:eastAsiaTheme="minorEastAsia" w:cstheme="minorBidi"/>
            <w:noProof/>
            <w:sz w:val="22"/>
            <w:szCs w:val="22"/>
          </w:rPr>
          <w:tab/>
        </w:r>
        <w:r w:rsidR="00722965" w:rsidRPr="00E714FA">
          <w:rPr>
            <w:rStyle w:val="Hyperlink"/>
            <w:rFonts w:eastAsiaTheme="majorEastAsia"/>
            <w:noProof/>
          </w:rPr>
          <w:t>Distribution of AN-ACC classes by preferred language</w:t>
        </w:r>
        <w:r w:rsidR="00722965">
          <w:rPr>
            <w:noProof/>
            <w:webHidden/>
          </w:rPr>
          <w:tab/>
        </w:r>
        <w:r w:rsidR="00722965">
          <w:rPr>
            <w:noProof/>
            <w:webHidden/>
          </w:rPr>
          <w:fldChar w:fldCharType="begin"/>
        </w:r>
        <w:r w:rsidR="00722965">
          <w:rPr>
            <w:noProof/>
            <w:webHidden/>
          </w:rPr>
          <w:instrText xml:space="preserve"> PAGEREF _Toc953909 \h </w:instrText>
        </w:r>
        <w:r w:rsidR="00722965">
          <w:rPr>
            <w:noProof/>
            <w:webHidden/>
          </w:rPr>
        </w:r>
        <w:r w:rsidR="00722965">
          <w:rPr>
            <w:noProof/>
            <w:webHidden/>
          </w:rPr>
          <w:fldChar w:fldCharType="separate"/>
        </w:r>
        <w:r w:rsidR="00E949FA">
          <w:rPr>
            <w:noProof/>
            <w:webHidden/>
          </w:rPr>
          <w:t>15</w:t>
        </w:r>
        <w:r w:rsidR="00722965">
          <w:rPr>
            <w:noProof/>
            <w:webHidden/>
          </w:rPr>
          <w:fldChar w:fldCharType="end"/>
        </w:r>
      </w:hyperlink>
    </w:p>
    <w:p w:rsidR="00722965" w:rsidRDefault="00DD7E02">
      <w:pPr>
        <w:pStyle w:val="TableofFigures"/>
        <w:tabs>
          <w:tab w:val="left" w:pos="1200"/>
          <w:tab w:val="right" w:leader="dot" w:pos="9060"/>
        </w:tabs>
        <w:rPr>
          <w:rFonts w:eastAsiaTheme="minorEastAsia" w:cstheme="minorBidi"/>
          <w:noProof/>
          <w:sz w:val="22"/>
          <w:szCs w:val="22"/>
        </w:rPr>
      </w:pPr>
      <w:hyperlink w:anchor="_Toc953910" w:history="1">
        <w:r w:rsidR="00722965" w:rsidRPr="00E714FA">
          <w:rPr>
            <w:rStyle w:val="Hyperlink"/>
            <w:rFonts w:eastAsiaTheme="majorEastAsia"/>
            <w:noProof/>
          </w:rPr>
          <w:t xml:space="preserve">Figure 6 </w:t>
        </w:r>
        <w:r w:rsidR="00722965">
          <w:rPr>
            <w:rFonts w:eastAsiaTheme="minorEastAsia" w:cstheme="minorBidi"/>
            <w:noProof/>
            <w:sz w:val="22"/>
            <w:szCs w:val="22"/>
          </w:rPr>
          <w:tab/>
        </w:r>
        <w:r w:rsidR="00722965" w:rsidRPr="00E714FA">
          <w:rPr>
            <w:rStyle w:val="Hyperlink"/>
            <w:rFonts w:eastAsiaTheme="majorEastAsia"/>
            <w:noProof/>
          </w:rPr>
          <w:t>Distribution of AN-ACC classes by ownership type</w:t>
        </w:r>
        <w:r w:rsidR="00722965">
          <w:rPr>
            <w:noProof/>
            <w:webHidden/>
          </w:rPr>
          <w:tab/>
        </w:r>
        <w:r w:rsidR="00722965">
          <w:rPr>
            <w:noProof/>
            <w:webHidden/>
          </w:rPr>
          <w:fldChar w:fldCharType="begin"/>
        </w:r>
        <w:r w:rsidR="00722965">
          <w:rPr>
            <w:noProof/>
            <w:webHidden/>
          </w:rPr>
          <w:instrText xml:space="preserve"> PAGEREF _Toc953910 \h </w:instrText>
        </w:r>
        <w:r w:rsidR="00722965">
          <w:rPr>
            <w:noProof/>
            <w:webHidden/>
          </w:rPr>
        </w:r>
        <w:r w:rsidR="00722965">
          <w:rPr>
            <w:noProof/>
            <w:webHidden/>
          </w:rPr>
          <w:fldChar w:fldCharType="separate"/>
        </w:r>
        <w:r w:rsidR="00E949FA">
          <w:rPr>
            <w:noProof/>
            <w:webHidden/>
          </w:rPr>
          <w:t>19</w:t>
        </w:r>
        <w:r w:rsidR="00722965">
          <w:rPr>
            <w:noProof/>
            <w:webHidden/>
          </w:rPr>
          <w:fldChar w:fldCharType="end"/>
        </w:r>
      </w:hyperlink>
    </w:p>
    <w:p w:rsidR="00722965" w:rsidRDefault="00DD7E02">
      <w:pPr>
        <w:pStyle w:val="TableofFigures"/>
        <w:tabs>
          <w:tab w:val="left" w:pos="1200"/>
          <w:tab w:val="right" w:leader="dot" w:pos="9060"/>
        </w:tabs>
        <w:rPr>
          <w:rFonts w:eastAsiaTheme="minorEastAsia" w:cstheme="minorBidi"/>
          <w:noProof/>
          <w:sz w:val="22"/>
          <w:szCs w:val="22"/>
        </w:rPr>
      </w:pPr>
      <w:hyperlink w:anchor="_Toc953911" w:history="1">
        <w:r w:rsidR="00722965" w:rsidRPr="00E714FA">
          <w:rPr>
            <w:rStyle w:val="Hyperlink"/>
            <w:rFonts w:eastAsiaTheme="majorEastAsia"/>
            <w:noProof/>
          </w:rPr>
          <w:t xml:space="preserve">Figure 7 </w:t>
        </w:r>
        <w:r w:rsidR="00722965">
          <w:rPr>
            <w:rFonts w:eastAsiaTheme="minorEastAsia" w:cstheme="minorBidi"/>
            <w:noProof/>
            <w:sz w:val="22"/>
            <w:szCs w:val="22"/>
          </w:rPr>
          <w:tab/>
        </w:r>
        <w:r w:rsidR="00722965" w:rsidRPr="00E714FA">
          <w:rPr>
            <w:rStyle w:val="Hyperlink"/>
            <w:rFonts w:eastAsiaTheme="majorEastAsia"/>
            <w:noProof/>
          </w:rPr>
          <w:t>Distribution of AN-ACC classes by remoteness</w:t>
        </w:r>
        <w:r w:rsidR="00722965">
          <w:rPr>
            <w:noProof/>
            <w:webHidden/>
          </w:rPr>
          <w:tab/>
        </w:r>
        <w:r w:rsidR="00722965">
          <w:rPr>
            <w:noProof/>
            <w:webHidden/>
          </w:rPr>
          <w:fldChar w:fldCharType="begin"/>
        </w:r>
        <w:r w:rsidR="00722965">
          <w:rPr>
            <w:noProof/>
            <w:webHidden/>
          </w:rPr>
          <w:instrText xml:space="preserve"> PAGEREF _Toc953911 \h </w:instrText>
        </w:r>
        <w:r w:rsidR="00722965">
          <w:rPr>
            <w:noProof/>
            <w:webHidden/>
          </w:rPr>
        </w:r>
        <w:r w:rsidR="00722965">
          <w:rPr>
            <w:noProof/>
            <w:webHidden/>
          </w:rPr>
          <w:fldChar w:fldCharType="separate"/>
        </w:r>
        <w:r w:rsidR="00E949FA">
          <w:rPr>
            <w:noProof/>
            <w:webHidden/>
          </w:rPr>
          <w:t>20</w:t>
        </w:r>
        <w:r w:rsidR="00722965">
          <w:rPr>
            <w:noProof/>
            <w:webHidden/>
          </w:rPr>
          <w:fldChar w:fldCharType="end"/>
        </w:r>
      </w:hyperlink>
    </w:p>
    <w:p w:rsidR="00722965" w:rsidRDefault="00DD7E02">
      <w:pPr>
        <w:pStyle w:val="TableofFigures"/>
        <w:tabs>
          <w:tab w:val="left" w:pos="1200"/>
          <w:tab w:val="right" w:leader="dot" w:pos="9060"/>
        </w:tabs>
        <w:rPr>
          <w:rFonts w:eastAsiaTheme="minorEastAsia" w:cstheme="minorBidi"/>
          <w:noProof/>
          <w:sz w:val="22"/>
          <w:szCs w:val="22"/>
        </w:rPr>
      </w:pPr>
      <w:hyperlink w:anchor="_Toc953912" w:history="1">
        <w:r w:rsidR="00722965" w:rsidRPr="00E714FA">
          <w:rPr>
            <w:rStyle w:val="Hyperlink"/>
            <w:rFonts w:eastAsiaTheme="majorEastAsia"/>
            <w:noProof/>
          </w:rPr>
          <w:t xml:space="preserve">Figure 8 </w:t>
        </w:r>
        <w:r w:rsidR="00722965">
          <w:rPr>
            <w:rFonts w:eastAsiaTheme="minorEastAsia" w:cstheme="minorBidi"/>
            <w:noProof/>
            <w:sz w:val="22"/>
            <w:szCs w:val="22"/>
          </w:rPr>
          <w:tab/>
        </w:r>
        <w:r w:rsidR="00722965" w:rsidRPr="00E714FA">
          <w:rPr>
            <w:rStyle w:val="Hyperlink"/>
            <w:rFonts w:eastAsiaTheme="majorEastAsia"/>
            <w:noProof/>
          </w:rPr>
          <w:t>Distribution of AN-ACC classes by facility size</w:t>
        </w:r>
        <w:r w:rsidR="00722965">
          <w:rPr>
            <w:noProof/>
            <w:webHidden/>
          </w:rPr>
          <w:tab/>
        </w:r>
        <w:r w:rsidR="00722965">
          <w:rPr>
            <w:noProof/>
            <w:webHidden/>
          </w:rPr>
          <w:fldChar w:fldCharType="begin"/>
        </w:r>
        <w:r w:rsidR="00722965">
          <w:rPr>
            <w:noProof/>
            <w:webHidden/>
          </w:rPr>
          <w:instrText xml:space="preserve"> PAGEREF _Toc953912 \h </w:instrText>
        </w:r>
        <w:r w:rsidR="00722965">
          <w:rPr>
            <w:noProof/>
            <w:webHidden/>
          </w:rPr>
        </w:r>
        <w:r w:rsidR="00722965">
          <w:rPr>
            <w:noProof/>
            <w:webHidden/>
          </w:rPr>
          <w:fldChar w:fldCharType="separate"/>
        </w:r>
        <w:r w:rsidR="00E949FA">
          <w:rPr>
            <w:noProof/>
            <w:webHidden/>
          </w:rPr>
          <w:t>20</w:t>
        </w:r>
        <w:r w:rsidR="00722965">
          <w:rPr>
            <w:noProof/>
            <w:webHidden/>
          </w:rPr>
          <w:fldChar w:fldCharType="end"/>
        </w:r>
      </w:hyperlink>
    </w:p>
    <w:p w:rsidR="000973E6" w:rsidRDefault="00003E81" w:rsidP="000973E6">
      <w:r>
        <w:fldChar w:fldCharType="end"/>
      </w:r>
      <w:bookmarkStart w:id="8" w:name="_Ref467164317"/>
    </w:p>
    <w:p w:rsidR="00341AF1" w:rsidRDefault="00341AF1" w:rsidP="000973E6">
      <w:pPr>
        <w:tabs>
          <w:tab w:val="left" w:pos="2092"/>
        </w:tabs>
        <w:sectPr w:rsidR="00341AF1" w:rsidSect="007B54AA">
          <w:headerReference w:type="default" r:id="rId16"/>
          <w:footerReference w:type="default" r:id="rId17"/>
          <w:pgSz w:w="11906" w:h="16838"/>
          <w:pgMar w:top="1134" w:right="1418" w:bottom="1134" w:left="1418" w:header="709" w:footer="709" w:gutter="0"/>
          <w:pgNumType w:fmt="lowerRoman" w:start="1"/>
          <w:cols w:space="708"/>
          <w:docGrid w:linePitch="360"/>
        </w:sectPr>
      </w:pPr>
    </w:p>
    <w:p w:rsidR="00003E81" w:rsidRDefault="00003E81" w:rsidP="00003E81">
      <w:pPr>
        <w:pStyle w:val="Heading1"/>
        <w:numPr>
          <w:ilvl w:val="0"/>
          <w:numId w:val="0"/>
        </w:numPr>
      </w:pPr>
      <w:bookmarkStart w:id="9" w:name="_Toc473044038"/>
      <w:bookmarkStart w:id="10" w:name="_Toc473102110"/>
      <w:bookmarkStart w:id="11" w:name="_Toc473621430"/>
      <w:bookmarkStart w:id="12" w:name="_Toc473621507"/>
      <w:bookmarkStart w:id="13" w:name="_Toc473645586"/>
      <w:bookmarkStart w:id="14" w:name="_Toc473645974"/>
      <w:bookmarkStart w:id="15" w:name="_Toc473646166"/>
      <w:bookmarkStart w:id="16" w:name="_Toc473646548"/>
      <w:bookmarkStart w:id="17" w:name="_Toc473708202"/>
      <w:bookmarkStart w:id="18" w:name="_Toc473708249"/>
      <w:bookmarkStart w:id="19" w:name="_Toc473726070"/>
      <w:bookmarkStart w:id="20" w:name="_Toc473726182"/>
      <w:bookmarkStart w:id="21" w:name="_Toc473726287"/>
      <w:bookmarkStart w:id="22" w:name="_Toc515031462"/>
      <w:bookmarkStart w:id="23" w:name="_Toc515031512"/>
      <w:bookmarkStart w:id="24" w:name="_Toc528932676"/>
      <w:bookmarkStart w:id="25" w:name="_Toc529351921"/>
      <w:bookmarkStart w:id="26" w:name="_Toc2083364"/>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3A0B87">
        <w:lastRenderedPageBreak/>
        <w:t>Acknowledgements</w:t>
      </w:r>
      <w:bookmarkEnd w:id="24"/>
      <w:bookmarkEnd w:id="25"/>
      <w:bookmarkEnd w:id="26"/>
    </w:p>
    <w:p w:rsidR="00A43B16" w:rsidRPr="00A43B16" w:rsidRDefault="00A43B16" w:rsidP="00A43B16">
      <w:pPr>
        <w:spacing w:before="240"/>
        <w:rPr>
          <w:rFonts w:ascii="Calibri" w:hAnsi="Calibri"/>
        </w:rPr>
      </w:pPr>
      <w:r w:rsidRPr="00A43B16">
        <w:rPr>
          <w:rFonts w:ascii="Calibri" w:hAnsi="Calibri"/>
        </w:rPr>
        <w:t xml:space="preserve">We wish to acknowledge and thank all of those who supported this </w:t>
      </w:r>
      <w:r w:rsidR="002E04F1">
        <w:rPr>
          <w:rFonts w:ascii="Calibri" w:hAnsi="Calibri"/>
        </w:rPr>
        <w:t>s</w:t>
      </w:r>
      <w:r w:rsidRPr="00A43B16">
        <w:rPr>
          <w:rFonts w:ascii="Calibri" w:hAnsi="Calibri"/>
        </w:rPr>
        <w:t xml:space="preserve">tudy and </w:t>
      </w:r>
      <w:r>
        <w:rPr>
          <w:rFonts w:ascii="Calibri" w:hAnsi="Calibri"/>
        </w:rPr>
        <w:t>in particular the residents and management of the aged care provider organisations and facilities who allowed us to conduct this study</w:t>
      </w:r>
      <w:r w:rsidR="00F03C73">
        <w:rPr>
          <w:rFonts w:ascii="Calibri" w:hAnsi="Calibri"/>
        </w:rPr>
        <w:t>.</w:t>
      </w:r>
    </w:p>
    <w:p w:rsidR="00003E81" w:rsidRPr="00F03C73" w:rsidRDefault="00A43B16" w:rsidP="00F03C73">
      <w:pPr>
        <w:spacing w:before="240" w:after="240"/>
        <w:rPr>
          <w:rFonts w:ascii="Calibri" w:hAnsi="Calibri"/>
        </w:rPr>
      </w:pPr>
      <w:r w:rsidRPr="00A43B16">
        <w:rPr>
          <w:rFonts w:ascii="Calibri" w:hAnsi="Calibri"/>
        </w:rPr>
        <w:t>Thank you also to the members of our clinical expert panels and project advisory bodies, in particular the Sector Reference Group. The study design</w:t>
      </w:r>
      <w:r>
        <w:rPr>
          <w:rFonts w:ascii="Calibri" w:hAnsi="Calibri"/>
        </w:rPr>
        <w:t xml:space="preserve"> and data analysis </w:t>
      </w:r>
      <w:r w:rsidRPr="00A43B16">
        <w:rPr>
          <w:rFonts w:ascii="Calibri" w:hAnsi="Calibri"/>
        </w:rPr>
        <w:t>drew heavily on the advice received from those within the sector who are most familiar with the issues faced and the capacity of residential aged care facilities to parti</w:t>
      </w:r>
      <w:r w:rsidR="00F03C73">
        <w:rPr>
          <w:rFonts w:ascii="Calibri" w:hAnsi="Calibri"/>
        </w:rPr>
        <w:t>cipate in studies such as this.</w:t>
      </w:r>
    </w:p>
    <w:p w:rsidR="00003E81" w:rsidRPr="00574C88" w:rsidRDefault="00003E81" w:rsidP="00003E81">
      <w:r>
        <w:t xml:space="preserve">Finally, our </w:t>
      </w:r>
      <w:r w:rsidRPr="00F25EE9">
        <w:t xml:space="preserve">thanks go to Melissa </w:t>
      </w:r>
      <w:r>
        <w:t xml:space="preserve">Crampton, </w:t>
      </w:r>
      <w:r w:rsidR="00DA17D5">
        <w:t>Rob Montefiore-Gard</w:t>
      </w:r>
      <w:r w:rsidRPr="00F25EE9">
        <w:t xml:space="preserve">ner and the team in the </w:t>
      </w:r>
      <w:r>
        <w:t xml:space="preserve">Funding Reform Section within the Residential and Flexible Aged Care Division of the </w:t>
      </w:r>
      <w:r w:rsidR="00F66D72">
        <w:t xml:space="preserve">Commonwealth </w:t>
      </w:r>
      <w:r>
        <w:t>Department of Health for their ongoing support during this study.</w:t>
      </w:r>
    </w:p>
    <w:p w:rsidR="00003E81" w:rsidRDefault="00003E81" w:rsidP="00003E81">
      <w:pPr>
        <w:rPr>
          <w:rFonts w:ascii="Calibri" w:eastAsiaTheme="majorEastAsia" w:hAnsi="Calibri" w:cstheme="majorBidi"/>
          <w:b/>
          <w:bCs/>
          <w:sz w:val="28"/>
          <w:szCs w:val="28"/>
        </w:rPr>
      </w:pPr>
      <w:bookmarkStart w:id="27" w:name="_Toc528848520"/>
      <w:r>
        <w:br w:type="page"/>
      </w:r>
    </w:p>
    <w:p w:rsidR="00003E81" w:rsidRDefault="00003E81" w:rsidP="00003E81">
      <w:pPr>
        <w:pStyle w:val="Heading1"/>
        <w:numPr>
          <w:ilvl w:val="0"/>
          <w:numId w:val="0"/>
        </w:numPr>
      </w:pPr>
      <w:bookmarkStart w:id="28" w:name="_Toc529351922"/>
      <w:bookmarkStart w:id="29" w:name="_Toc2083365"/>
      <w:r w:rsidRPr="00E71949">
        <w:lastRenderedPageBreak/>
        <w:t>A</w:t>
      </w:r>
      <w:r>
        <w:t>bbreviations</w:t>
      </w:r>
      <w:bookmarkEnd w:id="27"/>
      <w:bookmarkEnd w:id="28"/>
      <w:bookmarkEnd w:id="29"/>
    </w:p>
    <w:tbl>
      <w:tblPr>
        <w:tblW w:w="8732" w:type="dxa"/>
        <w:tblLook w:val="04A0" w:firstRow="1" w:lastRow="0" w:firstColumn="1" w:lastColumn="0" w:noHBand="0" w:noVBand="1"/>
        <w:tblCaption w:val="Abbreviations"/>
        <w:tblDescription w:val="This table is a list of abbreviations used throughout the Resource Utilisation Classification Study (RUCS) report. This table is to be read left to right, top to bottom (abbreviation followed by full term)."/>
      </w:tblPr>
      <w:tblGrid>
        <w:gridCol w:w="1668"/>
        <w:gridCol w:w="7064"/>
      </w:tblGrid>
      <w:tr w:rsidR="00003E81" w:rsidRPr="00F03C73" w:rsidTr="00F03C73">
        <w:trPr>
          <w:trHeight w:val="300"/>
          <w:tblHeader/>
        </w:trPr>
        <w:tc>
          <w:tcPr>
            <w:tcW w:w="1668" w:type="dxa"/>
            <w:tcBorders>
              <w:top w:val="nil"/>
              <w:left w:val="nil"/>
              <w:bottom w:val="nil"/>
              <w:right w:val="nil"/>
            </w:tcBorders>
            <w:shd w:val="clear" w:color="auto" w:fill="auto"/>
            <w:noWrap/>
            <w:hideMark/>
          </w:tcPr>
          <w:p w:rsidR="00003E81" w:rsidRPr="00F03C73" w:rsidRDefault="00F03C73" w:rsidP="00DA17D5">
            <w:pPr>
              <w:rPr>
                <w:rFonts w:ascii="Calibri" w:hAnsi="Calibri" w:cs="Calibri"/>
                <w:b/>
                <w:color w:val="000000"/>
                <w:sz w:val="20"/>
                <w:szCs w:val="20"/>
              </w:rPr>
            </w:pPr>
            <w:r w:rsidRPr="00F03C73">
              <w:rPr>
                <w:rFonts w:ascii="Calibri" w:hAnsi="Calibri" w:cs="Calibri"/>
                <w:b/>
                <w:color w:val="000000"/>
                <w:sz w:val="20"/>
                <w:szCs w:val="20"/>
              </w:rPr>
              <w:t>Abbreviation</w:t>
            </w:r>
          </w:p>
        </w:tc>
        <w:tc>
          <w:tcPr>
            <w:tcW w:w="7064" w:type="dxa"/>
            <w:tcBorders>
              <w:top w:val="nil"/>
              <w:left w:val="nil"/>
              <w:bottom w:val="nil"/>
              <w:right w:val="nil"/>
            </w:tcBorders>
            <w:shd w:val="clear" w:color="auto" w:fill="auto"/>
            <w:noWrap/>
            <w:hideMark/>
          </w:tcPr>
          <w:p w:rsidR="00003E81" w:rsidRPr="00F03C73" w:rsidRDefault="00F03C73" w:rsidP="00DA17D5">
            <w:pPr>
              <w:rPr>
                <w:rFonts w:ascii="Calibri" w:hAnsi="Calibri" w:cs="Calibri"/>
                <w:b/>
                <w:color w:val="000000"/>
                <w:sz w:val="20"/>
                <w:szCs w:val="20"/>
              </w:rPr>
            </w:pPr>
            <w:r w:rsidRPr="00F03C73">
              <w:rPr>
                <w:rFonts w:ascii="Calibri" w:hAnsi="Calibri" w:cs="Calibri"/>
                <w:b/>
                <w:color w:val="000000"/>
                <w:sz w:val="20"/>
                <w:szCs w:val="20"/>
              </w:rPr>
              <w:t>Full term</w:t>
            </w:r>
          </w:p>
        </w:tc>
      </w:tr>
      <w:tr w:rsidR="00F03C73" w:rsidRPr="00CB56BC" w:rsidTr="00803F39">
        <w:trPr>
          <w:trHeight w:val="300"/>
        </w:trPr>
        <w:tc>
          <w:tcPr>
            <w:tcW w:w="1668" w:type="dxa"/>
            <w:tcBorders>
              <w:top w:val="nil"/>
              <w:left w:val="nil"/>
              <w:bottom w:val="nil"/>
              <w:right w:val="nil"/>
            </w:tcBorders>
            <w:shd w:val="clear" w:color="auto" w:fill="auto"/>
            <w:noWrap/>
          </w:tcPr>
          <w:p w:rsidR="00F03C73" w:rsidRPr="00CB56BC" w:rsidRDefault="00F03C73" w:rsidP="00F03C73">
            <w:pPr>
              <w:rPr>
                <w:rFonts w:ascii="Calibri" w:hAnsi="Calibri" w:cs="Calibri"/>
                <w:color w:val="000000"/>
                <w:sz w:val="20"/>
                <w:szCs w:val="20"/>
              </w:rPr>
            </w:pPr>
            <w:r w:rsidRPr="00CB56BC">
              <w:rPr>
                <w:rFonts w:ascii="Calibri" w:hAnsi="Calibri" w:cs="Calibri"/>
                <w:color w:val="000000"/>
                <w:sz w:val="20"/>
                <w:szCs w:val="20"/>
              </w:rPr>
              <w:t>ACFI</w:t>
            </w:r>
          </w:p>
        </w:tc>
        <w:tc>
          <w:tcPr>
            <w:tcW w:w="7064" w:type="dxa"/>
            <w:tcBorders>
              <w:top w:val="nil"/>
              <w:left w:val="nil"/>
              <w:bottom w:val="nil"/>
              <w:right w:val="nil"/>
            </w:tcBorders>
            <w:shd w:val="clear" w:color="auto" w:fill="auto"/>
            <w:noWrap/>
          </w:tcPr>
          <w:p w:rsidR="00F03C73" w:rsidRPr="00CB56BC" w:rsidRDefault="00F03C73" w:rsidP="00F03C73">
            <w:pPr>
              <w:rPr>
                <w:rFonts w:ascii="Calibri" w:hAnsi="Calibri" w:cs="Calibri"/>
                <w:color w:val="000000"/>
                <w:sz w:val="20"/>
                <w:szCs w:val="20"/>
              </w:rPr>
            </w:pPr>
            <w:r w:rsidRPr="00CB56BC">
              <w:rPr>
                <w:rFonts w:ascii="Calibri" w:hAnsi="Calibri" w:cs="Calibri"/>
                <w:color w:val="000000"/>
                <w:sz w:val="20"/>
                <w:szCs w:val="20"/>
              </w:rPr>
              <w:t>Aged Care Funding Instrument</w:t>
            </w:r>
          </w:p>
        </w:tc>
      </w:tr>
      <w:tr w:rsidR="00F03C73" w:rsidRPr="00CB56BC" w:rsidTr="00803F39">
        <w:trPr>
          <w:trHeight w:val="300"/>
        </w:trPr>
        <w:tc>
          <w:tcPr>
            <w:tcW w:w="1668" w:type="dxa"/>
            <w:tcBorders>
              <w:top w:val="nil"/>
              <w:left w:val="nil"/>
              <w:bottom w:val="nil"/>
              <w:right w:val="nil"/>
            </w:tcBorders>
            <w:shd w:val="clear" w:color="auto" w:fill="auto"/>
            <w:noWrap/>
          </w:tcPr>
          <w:p w:rsidR="00F03C73" w:rsidRPr="00CB56BC" w:rsidRDefault="00F03C73" w:rsidP="00F03C73">
            <w:pPr>
              <w:rPr>
                <w:rFonts w:ascii="Calibri" w:hAnsi="Calibri" w:cs="Calibri"/>
                <w:color w:val="000000"/>
                <w:sz w:val="20"/>
                <w:szCs w:val="20"/>
              </w:rPr>
            </w:pPr>
            <w:r>
              <w:rPr>
                <w:rFonts w:ascii="Calibri" w:hAnsi="Calibri" w:cs="Calibri"/>
                <w:color w:val="000000"/>
                <w:sz w:val="20"/>
                <w:szCs w:val="20"/>
              </w:rPr>
              <w:t>AN-ACC</w:t>
            </w:r>
          </w:p>
        </w:tc>
        <w:tc>
          <w:tcPr>
            <w:tcW w:w="7064" w:type="dxa"/>
            <w:tcBorders>
              <w:top w:val="nil"/>
              <w:left w:val="nil"/>
              <w:bottom w:val="nil"/>
              <w:right w:val="nil"/>
            </w:tcBorders>
            <w:shd w:val="clear" w:color="auto" w:fill="auto"/>
            <w:noWrap/>
          </w:tcPr>
          <w:p w:rsidR="00F03C73" w:rsidRPr="00CB56BC" w:rsidRDefault="00F03C73" w:rsidP="00F03C73">
            <w:pPr>
              <w:rPr>
                <w:rFonts w:ascii="Calibri" w:hAnsi="Calibri" w:cs="Calibri"/>
                <w:color w:val="000000"/>
                <w:sz w:val="20"/>
                <w:szCs w:val="20"/>
              </w:rPr>
            </w:pPr>
            <w:r>
              <w:rPr>
                <w:rFonts w:ascii="Calibri" w:hAnsi="Calibri" w:cs="Calibri"/>
                <w:color w:val="000000"/>
                <w:sz w:val="20"/>
                <w:szCs w:val="20"/>
              </w:rPr>
              <w:t>Australian National Aged Care Classification</w:t>
            </w:r>
          </w:p>
        </w:tc>
      </w:tr>
      <w:tr w:rsidR="00F03C73" w:rsidRPr="00CB56BC" w:rsidTr="00803F39">
        <w:trPr>
          <w:trHeight w:val="300"/>
        </w:trPr>
        <w:tc>
          <w:tcPr>
            <w:tcW w:w="1668" w:type="dxa"/>
            <w:tcBorders>
              <w:top w:val="nil"/>
              <w:left w:val="nil"/>
              <w:bottom w:val="nil"/>
              <w:right w:val="nil"/>
            </w:tcBorders>
            <w:shd w:val="clear" w:color="auto" w:fill="auto"/>
            <w:noWrap/>
            <w:hideMark/>
          </w:tcPr>
          <w:p w:rsidR="00F03C73" w:rsidRPr="00CB56BC" w:rsidRDefault="00F03C73" w:rsidP="00F03C73">
            <w:pPr>
              <w:rPr>
                <w:rFonts w:ascii="Calibri" w:hAnsi="Calibri" w:cs="Calibri"/>
                <w:color w:val="000000"/>
                <w:sz w:val="20"/>
                <w:szCs w:val="20"/>
              </w:rPr>
            </w:pPr>
            <w:r w:rsidRPr="00CB56BC">
              <w:rPr>
                <w:rFonts w:ascii="Calibri" w:hAnsi="Calibri" w:cs="Calibri"/>
                <w:color w:val="000000"/>
                <w:sz w:val="20"/>
                <w:szCs w:val="20"/>
              </w:rPr>
              <w:t>CALD</w:t>
            </w:r>
          </w:p>
        </w:tc>
        <w:tc>
          <w:tcPr>
            <w:tcW w:w="7064" w:type="dxa"/>
            <w:tcBorders>
              <w:top w:val="nil"/>
              <w:left w:val="nil"/>
              <w:bottom w:val="nil"/>
              <w:right w:val="nil"/>
            </w:tcBorders>
            <w:shd w:val="clear" w:color="auto" w:fill="auto"/>
            <w:noWrap/>
            <w:hideMark/>
          </w:tcPr>
          <w:p w:rsidR="00F03C73" w:rsidRPr="00CB56BC" w:rsidRDefault="00F03C73" w:rsidP="00F03C73">
            <w:pPr>
              <w:rPr>
                <w:rFonts w:ascii="Calibri" w:hAnsi="Calibri" w:cs="Calibri"/>
                <w:color w:val="000000"/>
                <w:sz w:val="20"/>
                <w:szCs w:val="20"/>
              </w:rPr>
            </w:pPr>
            <w:r w:rsidRPr="00CB56BC">
              <w:rPr>
                <w:rFonts w:ascii="Calibri" w:hAnsi="Calibri" w:cs="Calibri"/>
                <w:color w:val="000000"/>
                <w:sz w:val="20"/>
                <w:szCs w:val="20"/>
              </w:rPr>
              <w:t>Culturally and Linguistically Diverse</w:t>
            </w:r>
          </w:p>
        </w:tc>
      </w:tr>
      <w:tr w:rsidR="00F03C73" w:rsidRPr="00CB56BC" w:rsidTr="00803F39">
        <w:trPr>
          <w:trHeight w:val="300"/>
        </w:trPr>
        <w:tc>
          <w:tcPr>
            <w:tcW w:w="1668" w:type="dxa"/>
            <w:tcBorders>
              <w:top w:val="nil"/>
              <w:left w:val="nil"/>
              <w:bottom w:val="nil"/>
              <w:right w:val="nil"/>
            </w:tcBorders>
            <w:shd w:val="clear" w:color="auto" w:fill="auto"/>
            <w:noWrap/>
            <w:hideMark/>
          </w:tcPr>
          <w:p w:rsidR="00F03C73" w:rsidRPr="00CB56BC" w:rsidRDefault="00F03C73" w:rsidP="00F03C73">
            <w:pPr>
              <w:rPr>
                <w:rFonts w:ascii="Calibri" w:hAnsi="Calibri" w:cs="Calibri"/>
                <w:color w:val="000000"/>
                <w:sz w:val="20"/>
                <w:szCs w:val="20"/>
              </w:rPr>
            </w:pPr>
            <w:r>
              <w:rPr>
                <w:rFonts w:ascii="Calibri" w:hAnsi="Calibri" w:cs="Calibri"/>
                <w:color w:val="000000"/>
                <w:sz w:val="20"/>
                <w:szCs w:val="20"/>
              </w:rPr>
              <w:t>the Department</w:t>
            </w:r>
          </w:p>
        </w:tc>
        <w:tc>
          <w:tcPr>
            <w:tcW w:w="7064" w:type="dxa"/>
            <w:tcBorders>
              <w:top w:val="nil"/>
              <w:left w:val="nil"/>
              <w:bottom w:val="nil"/>
              <w:right w:val="nil"/>
            </w:tcBorders>
            <w:shd w:val="clear" w:color="auto" w:fill="auto"/>
            <w:noWrap/>
            <w:hideMark/>
          </w:tcPr>
          <w:p w:rsidR="00F03C73" w:rsidRPr="00CB56BC" w:rsidRDefault="00F03C73" w:rsidP="00F03C73">
            <w:pPr>
              <w:rPr>
                <w:rFonts w:ascii="Calibri" w:hAnsi="Calibri" w:cs="Calibri"/>
                <w:color w:val="000000"/>
                <w:sz w:val="20"/>
                <w:szCs w:val="20"/>
              </w:rPr>
            </w:pPr>
            <w:r>
              <w:rPr>
                <w:rFonts w:ascii="Calibri" w:hAnsi="Calibri" w:cs="Calibri"/>
                <w:color w:val="000000"/>
                <w:sz w:val="20"/>
                <w:szCs w:val="20"/>
              </w:rPr>
              <w:t xml:space="preserve">Commonwealth </w:t>
            </w:r>
            <w:r w:rsidRPr="00CB56BC">
              <w:rPr>
                <w:rFonts w:ascii="Calibri" w:hAnsi="Calibri" w:cs="Calibri"/>
                <w:color w:val="000000"/>
                <w:sz w:val="20"/>
                <w:szCs w:val="20"/>
              </w:rPr>
              <w:t>Department of Health</w:t>
            </w:r>
            <w:r>
              <w:rPr>
                <w:rFonts w:ascii="Calibri" w:hAnsi="Calibri" w:cs="Calibri"/>
                <w:color w:val="000000"/>
                <w:sz w:val="20"/>
                <w:szCs w:val="20"/>
              </w:rPr>
              <w:t xml:space="preserve"> </w:t>
            </w:r>
          </w:p>
        </w:tc>
      </w:tr>
      <w:tr w:rsidR="00F03C73" w:rsidRPr="000948F3" w:rsidTr="00803F39">
        <w:trPr>
          <w:trHeight w:val="300"/>
        </w:trPr>
        <w:tc>
          <w:tcPr>
            <w:tcW w:w="1668" w:type="dxa"/>
            <w:tcBorders>
              <w:top w:val="nil"/>
              <w:left w:val="nil"/>
              <w:bottom w:val="nil"/>
              <w:right w:val="nil"/>
            </w:tcBorders>
            <w:shd w:val="clear" w:color="auto" w:fill="auto"/>
            <w:noWrap/>
          </w:tcPr>
          <w:p w:rsidR="00F03C73" w:rsidRPr="000948F3" w:rsidRDefault="00F03C73" w:rsidP="00F03C73">
            <w:pPr>
              <w:rPr>
                <w:rFonts w:ascii="Calibri" w:hAnsi="Calibri" w:cs="Calibri"/>
                <w:color w:val="000000"/>
                <w:sz w:val="20"/>
                <w:szCs w:val="20"/>
              </w:rPr>
            </w:pPr>
            <w:r w:rsidRPr="000948F3">
              <w:rPr>
                <w:rFonts w:ascii="Calibri" w:hAnsi="Calibri" w:cs="Calibri"/>
                <w:color w:val="000000"/>
                <w:sz w:val="20"/>
                <w:szCs w:val="20"/>
              </w:rPr>
              <w:t>NWAU</w:t>
            </w:r>
          </w:p>
        </w:tc>
        <w:tc>
          <w:tcPr>
            <w:tcW w:w="7064" w:type="dxa"/>
            <w:tcBorders>
              <w:top w:val="nil"/>
              <w:left w:val="nil"/>
              <w:bottom w:val="nil"/>
              <w:right w:val="nil"/>
            </w:tcBorders>
            <w:shd w:val="clear" w:color="auto" w:fill="auto"/>
            <w:noWrap/>
          </w:tcPr>
          <w:p w:rsidR="00F03C73" w:rsidRPr="000948F3" w:rsidRDefault="00F03C73" w:rsidP="00F03C73">
            <w:pPr>
              <w:rPr>
                <w:rFonts w:ascii="Calibri" w:hAnsi="Calibri" w:cs="Calibri"/>
                <w:color w:val="000000"/>
                <w:sz w:val="20"/>
                <w:szCs w:val="20"/>
              </w:rPr>
            </w:pPr>
            <w:r w:rsidRPr="000948F3">
              <w:rPr>
                <w:rFonts w:ascii="Calibri" w:hAnsi="Calibri" w:cs="Calibri"/>
                <w:color w:val="000000"/>
                <w:sz w:val="20"/>
                <w:szCs w:val="20"/>
              </w:rPr>
              <w:t>National Weighted Activity Unit</w:t>
            </w:r>
          </w:p>
        </w:tc>
      </w:tr>
      <w:tr w:rsidR="00F03C73" w:rsidRPr="00CB56BC" w:rsidTr="00803F39">
        <w:trPr>
          <w:trHeight w:val="300"/>
        </w:trPr>
        <w:tc>
          <w:tcPr>
            <w:tcW w:w="1668" w:type="dxa"/>
            <w:tcBorders>
              <w:top w:val="nil"/>
              <w:left w:val="nil"/>
              <w:bottom w:val="nil"/>
              <w:right w:val="nil"/>
            </w:tcBorders>
            <w:shd w:val="clear" w:color="auto" w:fill="auto"/>
            <w:noWrap/>
          </w:tcPr>
          <w:p w:rsidR="00F03C73" w:rsidRPr="00CB56BC" w:rsidRDefault="00F03C73" w:rsidP="00F03C73">
            <w:pPr>
              <w:rPr>
                <w:rFonts w:ascii="Calibri" w:hAnsi="Calibri" w:cs="Calibri"/>
                <w:color w:val="000000"/>
                <w:sz w:val="20"/>
                <w:szCs w:val="20"/>
              </w:rPr>
            </w:pPr>
            <w:r>
              <w:rPr>
                <w:rFonts w:ascii="Calibri" w:hAnsi="Calibri" w:cs="Calibri"/>
                <w:color w:val="000000"/>
                <w:sz w:val="20"/>
                <w:szCs w:val="20"/>
              </w:rPr>
              <w:t>RUCS</w:t>
            </w:r>
          </w:p>
        </w:tc>
        <w:tc>
          <w:tcPr>
            <w:tcW w:w="7064" w:type="dxa"/>
            <w:tcBorders>
              <w:top w:val="nil"/>
              <w:left w:val="nil"/>
              <w:bottom w:val="nil"/>
              <w:right w:val="nil"/>
            </w:tcBorders>
            <w:shd w:val="clear" w:color="auto" w:fill="auto"/>
            <w:noWrap/>
          </w:tcPr>
          <w:p w:rsidR="00F03C73" w:rsidRPr="00CB56BC" w:rsidRDefault="00F03C73" w:rsidP="00F03C73">
            <w:pPr>
              <w:rPr>
                <w:rFonts w:ascii="Calibri" w:hAnsi="Calibri" w:cs="Calibri"/>
                <w:color w:val="000000"/>
                <w:sz w:val="20"/>
                <w:szCs w:val="20"/>
              </w:rPr>
            </w:pPr>
            <w:r>
              <w:rPr>
                <w:rFonts w:ascii="Calibri" w:hAnsi="Calibri" w:cs="Calibri"/>
                <w:color w:val="000000"/>
                <w:sz w:val="20"/>
                <w:szCs w:val="20"/>
              </w:rPr>
              <w:t>Resource Utilisation and Classification Study</w:t>
            </w:r>
          </w:p>
        </w:tc>
      </w:tr>
      <w:tr w:rsidR="00F03C73" w:rsidRPr="00CB56BC" w:rsidTr="00803F39">
        <w:trPr>
          <w:trHeight w:val="300"/>
        </w:trPr>
        <w:tc>
          <w:tcPr>
            <w:tcW w:w="1668" w:type="dxa"/>
            <w:tcBorders>
              <w:top w:val="nil"/>
              <w:left w:val="nil"/>
              <w:bottom w:val="nil"/>
              <w:right w:val="nil"/>
            </w:tcBorders>
            <w:shd w:val="clear" w:color="auto" w:fill="auto"/>
            <w:noWrap/>
            <w:hideMark/>
          </w:tcPr>
          <w:p w:rsidR="00F03C73" w:rsidRPr="00CB56BC" w:rsidRDefault="00F03C73" w:rsidP="00F03C73">
            <w:pPr>
              <w:rPr>
                <w:rFonts w:ascii="Calibri" w:hAnsi="Calibri" w:cs="Calibri"/>
                <w:color w:val="000000"/>
                <w:sz w:val="20"/>
                <w:szCs w:val="20"/>
              </w:rPr>
            </w:pPr>
            <w:r w:rsidRPr="00CB56BC">
              <w:rPr>
                <w:rFonts w:ascii="Calibri" w:hAnsi="Calibri" w:cs="Calibri"/>
                <w:color w:val="000000"/>
                <w:sz w:val="20"/>
                <w:szCs w:val="20"/>
              </w:rPr>
              <w:t>RVU</w:t>
            </w:r>
          </w:p>
        </w:tc>
        <w:tc>
          <w:tcPr>
            <w:tcW w:w="7064" w:type="dxa"/>
            <w:tcBorders>
              <w:top w:val="nil"/>
              <w:left w:val="nil"/>
              <w:bottom w:val="nil"/>
              <w:right w:val="nil"/>
            </w:tcBorders>
            <w:shd w:val="clear" w:color="auto" w:fill="auto"/>
            <w:noWrap/>
            <w:hideMark/>
          </w:tcPr>
          <w:p w:rsidR="00F03C73" w:rsidRPr="00CB56BC" w:rsidRDefault="00F03C73" w:rsidP="00F03C73">
            <w:pPr>
              <w:rPr>
                <w:rFonts w:ascii="Calibri" w:hAnsi="Calibri" w:cs="Calibri"/>
                <w:color w:val="000000"/>
                <w:sz w:val="20"/>
                <w:szCs w:val="20"/>
              </w:rPr>
            </w:pPr>
            <w:r w:rsidRPr="00CB56BC">
              <w:rPr>
                <w:rFonts w:ascii="Calibri" w:hAnsi="Calibri" w:cs="Calibri"/>
                <w:color w:val="000000"/>
                <w:sz w:val="20"/>
                <w:szCs w:val="20"/>
              </w:rPr>
              <w:t>Relative Value Unit</w:t>
            </w:r>
          </w:p>
        </w:tc>
      </w:tr>
    </w:tbl>
    <w:p w:rsidR="00003E81" w:rsidRDefault="00003E81" w:rsidP="00003E81">
      <w:pPr>
        <w:rPr>
          <w:b/>
        </w:rPr>
      </w:pPr>
      <w:r>
        <w:rPr>
          <w:b/>
        </w:rPr>
        <w:br w:type="page"/>
      </w:r>
    </w:p>
    <w:p w:rsidR="00003E81" w:rsidRPr="00E17993" w:rsidRDefault="00003E81" w:rsidP="00003E81">
      <w:pPr>
        <w:pStyle w:val="Heading1"/>
        <w:numPr>
          <w:ilvl w:val="0"/>
          <w:numId w:val="0"/>
        </w:numPr>
      </w:pPr>
      <w:bookmarkStart w:id="30" w:name="_Toc528848521"/>
      <w:bookmarkStart w:id="31" w:name="_Toc529351923"/>
      <w:bookmarkStart w:id="32" w:name="_Toc2083366"/>
      <w:r w:rsidRPr="006D508F">
        <w:lastRenderedPageBreak/>
        <w:t>Glossary of Terms</w:t>
      </w:r>
      <w:bookmarkEnd w:id="30"/>
      <w:bookmarkEnd w:id="31"/>
      <w:bookmarkEnd w:id="32"/>
    </w:p>
    <w:tbl>
      <w:tblPr>
        <w:tblStyle w:val="TableGrid"/>
        <w:tblW w:w="52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lossary of Terms"/>
        <w:tblDescription w:val="This table is a list of terms used throughout the Resource Utilisation Classification Study (RUCS) report. This table is to be read left to right, top to bottom (term followed by description)."/>
      </w:tblPr>
      <w:tblGrid>
        <w:gridCol w:w="2736"/>
        <w:gridCol w:w="6818"/>
      </w:tblGrid>
      <w:tr w:rsidR="00123FFA" w:rsidRPr="009341CA" w:rsidTr="00123FFA">
        <w:trPr>
          <w:tblHeader/>
        </w:trPr>
        <w:tc>
          <w:tcPr>
            <w:tcW w:w="1432" w:type="pct"/>
          </w:tcPr>
          <w:p w:rsidR="00123FFA" w:rsidRPr="00F03C73" w:rsidRDefault="00123FFA" w:rsidP="00123FFA">
            <w:pPr>
              <w:pStyle w:val="Normal-nospacing"/>
              <w:rPr>
                <w:rFonts w:asciiTheme="minorHAnsi" w:hAnsiTheme="minorHAnsi"/>
                <w:b/>
                <w:sz w:val="20"/>
                <w:szCs w:val="20"/>
              </w:rPr>
            </w:pPr>
            <w:r>
              <w:rPr>
                <w:rFonts w:asciiTheme="minorHAnsi" w:hAnsiTheme="minorHAnsi"/>
                <w:b/>
                <w:sz w:val="20"/>
                <w:szCs w:val="20"/>
              </w:rPr>
              <w:t>Term</w:t>
            </w:r>
          </w:p>
        </w:tc>
        <w:tc>
          <w:tcPr>
            <w:tcW w:w="3568" w:type="pct"/>
          </w:tcPr>
          <w:p w:rsidR="00123FFA" w:rsidRPr="00F03C73" w:rsidRDefault="00123FFA" w:rsidP="00123FFA">
            <w:pPr>
              <w:pStyle w:val="Normal-nospacing"/>
              <w:rPr>
                <w:rFonts w:asciiTheme="minorHAnsi" w:hAnsiTheme="minorHAnsi"/>
                <w:b/>
                <w:sz w:val="20"/>
                <w:szCs w:val="20"/>
              </w:rPr>
            </w:pPr>
            <w:r>
              <w:rPr>
                <w:rFonts w:asciiTheme="minorHAnsi" w:hAnsiTheme="minorHAnsi"/>
                <w:b/>
                <w:sz w:val="20"/>
                <w:szCs w:val="20"/>
              </w:rPr>
              <w:t>Description</w:t>
            </w:r>
          </w:p>
        </w:tc>
      </w:tr>
      <w:tr w:rsidR="00123FFA" w:rsidRPr="009341CA" w:rsidTr="009E6324">
        <w:tc>
          <w:tcPr>
            <w:tcW w:w="1432" w:type="pct"/>
          </w:tcPr>
          <w:p w:rsidR="00123FFA" w:rsidRPr="009341CA" w:rsidRDefault="00123FFA" w:rsidP="00123FFA">
            <w:pPr>
              <w:pStyle w:val="Normal-nospacing"/>
              <w:rPr>
                <w:rFonts w:asciiTheme="minorHAnsi" w:hAnsiTheme="minorHAnsi"/>
                <w:sz w:val="20"/>
                <w:szCs w:val="20"/>
              </w:rPr>
            </w:pPr>
            <w:r w:rsidRPr="009341CA">
              <w:rPr>
                <w:rFonts w:asciiTheme="minorHAnsi" w:hAnsiTheme="minorHAnsi"/>
                <w:sz w:val="20"/>
                <w:szCs w:val="20"/>
              </w:rPr>
              <w:t>Aged Care Funding Instrument (ACFI)</w:t>
            </w:r>
          </w:p>
        </w:tc>
        <w:tc>
          <w:tcPr>
            <w:tcW w:w="3568" w:type="pct"/>
          </w:tcPr>
          <w:p w:rsidR="00123FFA" w:rsidRPr="009341CA" w:rsidRDefault="00123FFA" w:rsidP="00123FFA">
            <w:pPr>
              <w:pStyle w:val="Normal-nospacing"/>
              <w:rPr>
                <w:rFonts w:asciiTheme="minorHAnsi" w:hAnsiTheme="minorHAnsi"/>
                <w:sz w:val="20"/>
                <w:szCs w:val="20"/>
              </w:rPr>
            </w:pPr>
            <w:r w:rsidRPr="009341CA">
              <w:rPr>
                <w:rFonts w:asciiTheme="minorHAnsi" w:hAnsiTheme="minorHAnsi"/>
                <w:sz w:val="20"/>
                <w:szCs w:val="20"/>
              </w:rPr>
              <w:t>The existing resource allocation instrument used to determine care subsidies in Australian residential aged care.</w:t>
            </w:r>
          </w:p>
        </w:tc>
      </w:tr>
      <w:tr w:rsidR="00123FFA" w:rsidRPr="009341CA" w:rsidTr="009E6324">
        <w:tc>
          <w:tcPr>
            <w:tcW w:w="1432" w:type="pct"/>
          </w:tcPr>
          <w:p w:rsidR="00123FFA" w:rsidRPr="009341CA" w:rsidRDefault="00123FFA" w:rsidP="00123FFA">
            <w:pPr>
              <w:spacing w:beforeLines="40" w:before="96" w:afterLines="40" w:after="96" w:line="276" w:lineRule="auto"/>
              <w:rPr>
                <w:rFonts w:asciiTheme="minorHAnsi" w:hAnsiTheme="minorHAnsi" w:cs="Arial"/>
                <w:sz w:val="20"/>
                <w:szCs w:val="20"/>
              </w:rPr>
            </w:pPr>
            <w:r w:rsidRPr="009341CA">
              <w:rPr>
                <w:rFonts w:asciiTheme="minorHAnsi" w:hAnsiTheme="minorHAnsi" w:cs="Arial"/>
                <w:sz w:val="20"/>
                <w:szCs w:val="20"/>
              </w:rPr>
              <w:t>Australian National Aged Care Classification (AN-ACC) system</w:t>
            </w:r>
          </w:p>
        </w:tc>
        <w:tc>
          <w:tcPr>
            <w:tcW w:w="3568" w:type="pct"/>
          </w:tcPr>
          <w:p w:rsidR="00123FFA" w:rsidRPr="009341CA" w:rsidRDefault="00123FFA" w:rsidP="00123FFA">
            <w:pPr>
              <w:spacing w:beforeLines="40" w:before="96" w:afterLines="40" w:after="96" w:line="276" w:lineRule="auto"/>
              <w:rPr>
                <w:rFonts w:asciiTheme="minorHAnsi" w:hAnsiTheme="minorHAnsi" w:cs="Arial"/>
                <w:sz w:val="20"/>
                <w:szCs w:val="20"/>
              </w:rPr>
            </w:pPr>
            <w:r w:rsidRPr="009341CA">
              <w:rPr>
                <w:rFonts w:asciiTheme="minorHAnsi" w:hAnsiTheme="minorHAnsi" w:cs="Arial"/>
                <w:sz w:val="20"/>
                <w:szCs w:val="20"/>
              </w:rPr>
              <w:t>Consists of the AN-ACC assessment, AN-ACC casemix classification and</w:t>
            </w:r>
            <w:r>
              <w:rPr>
                <w:rFonts w:asciiTheme="minorHAnsi" w:hAnsiTheme="minorHAnsi" w:cs="Arial"/>
                <w:sz w:val="20"/>
                <w:szCs w:val="20"/>
              </w:rPr>
              <w:t xml:space="preserve"> </w:t>
            </w:r>
            <w:r w:rsidRPr="009341CA">
              <w:rPr>
                <w:rFonts w:asciiTheme="minorHAnsi" w:hAnsiTheme="minorHAnsi" w:cs="Arial"/>
                <w:sz w:val="20"/>
                <w:szCs w:val="20"/>
              </w:rPr>
              <w:t>AN-ACC funding model.</w:t>
            </w:r>
          </w:p>
        </w:tc>
      </w:tr>
      <w:tr w:rsidR="00123FFA" w:rsidRPr="009341CA" w:rsidTr="009E6324">
        <w:tc>
          <w:tcPr>
            <w:tcW w:w="1432" w:type="pct"/>
          </w:tcPr>
          <w:p w:rsidR="00123FFA" w:rsidRPr="009341CA" w:rsidRDefault="00123FFA" w:rsidP="00123FFA">
            <w:pPr>
              <w:pStyle w:val="Normal-nospacing"/>
              <w:rPr>
                <w:rFonts w:asciiTheme="minorHAnsi" w:hAnsiTheme="minorHAnsi"/>
                <w:sz w:val="20"/>
                <w:szCs w:val="20"/>
              </w:rPr>
            </w:pPr>
            <w:r w:rsidRPr="009341CA">
              <w:rPr>
                <w:rFonts w:asciiTheme="minorHAnsi" w:hAnsiTheme="minorHAnsi"/>
                <w:sz w:val="20"/>
                <w:szCs w:val="20"/>
              </w:rPr>
              <w:t>Casemix</w:t>
            </w:r>
          </w:p>
        </w:tc>
        <w:tc>
          <w:tcPr>
            <w:tcW w:w="3568" w:type="pct"/>
          </w:tcPr>
          <w:p w:rsidR="00123FFA" w:rsidRPr="009341CA" w:rsidRDefault="00123FFA" w:rsidP="00123FFA">
            <w:pPr>
              <w:pStyle w:val="Normal-nospacing"/>
              <w:rPr>
                <w:rFonts w:asciiTheme="minorHAnsi" w:hAnsiTheme="minorHAnsi"/>
                <w:sz w:val="20"/>
                <w:szCs w:val="20"/>
              </w:rPr>
            </w:pPr>
            <w:r w:rsidRPr="009341CA">
              <w:rPr>
                <w:rFonts w:asciiTheme="minorHAnsi" w:hAnsiTheme="minorHAnsi"/>
                <w:sz w:val="20"/>
                <w:szCs w:val="20"/>
              </w:rPr>
              <w:t>A system that allocates service recip</w:t>
            </w:r>
            <w:r>
              <w:rPr>
                <w:rFonts w:asciiTheme="minorHAnsi" w:hAnsiTheme="minorHAnsi"/>
                <w:sz w:val="20"/>
                <w:szCs w:val="20"/>
              </w:rPr>
              <w:t xml:space="preserve">ients into classes. </w:t>
            </w:r>
            <w:r w:rsidRPr="009341CA">
              <w:rPr>
                <w:rFonts w:asciiTheme="minorHAnsi" w:hAnsiTheme="minorHAnsi"/>
                <w:sz w:val="20"/>
                <w:szCs w:val="20"/>
              </w:rPr>
              <w:t>Care recipients within a class will have similar clinical attributes and their care will involve similar levels of resource consumption.</w:t>
            </w:r>
          </w:p>
        </w:tc>
      </w:tr>
      <w:tr w:rsidR="00123FFA" w:rsidRPr="009341CA" w:rsidTr="009E6324">
        <w:tc>
          <w:tcPr>
            <w:tcW w:w="1432" w:type="pct"/>
          </w:tcPr>
          <w:p w:rsidR="00123FFA" w:rsidRPr="009341CA" w:rsidRDefault="00123FFA" w:rsidP="00123FFA">
            <w:pPr>
              <w:pStyle w:val="Normal-nospacing"/>
              <w:rPr>
                <w:rFonts w:asciiTheme="minorHAnsi" w:hAnsiTheme="minorHAnsi"/>
                <w:sz w:val="20"/>
                <w:szCs w:val="20"/>
              </w:rPr>
            </w:pPr>
            <w:r w:rsidRPr="009341CA">
              <w:rPr>
                <w:rFonts w:asciiTheme="minorHAnsi" w:hAnsiTheme="minorHAnsi"/>
                <w:sz w:val="20"/>
                <w:szCs w:val="20"/>
              </w:rPr>
              <w:t>Fixed care costs</w:t>
            </w:r>
          </w:p>
        </w:tc>
        <w:tc>
          <w:tcPr>
            <w:tcW w:w="3568" w:type="pct"/>
          </w:tcPr>
          <w:p w:rsidR="00123FFA" w:rsidRPr="009341CA" w:rsidRDefault="00123FFA" w:rsidP="00123FFA">
            <w:pPr>
              <w:pStyle w:val="Normal-nospacing"/>
              <w:rPr>
                <w:rFonts w:asciiTheme="minorHAnsi" w:hAnsiTheme="minorHAnsi"/>
                <w:sz w:val="20"/>
                <w:szCs w:val="20"/>
              </w:rPr>
            </w:pPr>
            <w:r w:rsidRPr="009341CA">
              <w:rPr>
                <w:rFonts w:asciiTheme="minorHAnsi" w:hAnsiTheme="minorHAnsi"/>
                <w:sz w:val="20"/>
                <w:szCs w:val="20"/>
              </w:rPr>
              <w:t xml:space="preserve">The costs of care-related services that are not driven by the care needs of individual residents but by care costs consumed equally by all residents plus facility characteristics. These include the costs of shared care and a proportion of the costs of facility management, care co-ordination, administration and education. In a blended funding model these costs are funded through a fixed payment </w:t>
            </w:r>
            <w:r>
              <w:rPr>
                <w:rFonts w:asciiTheme="minorHAnsi" w:hAnsiTheme="minorHAnsi"/>
                <w:sz w:val="20"/>
                <w:szCs w:val="20"/>
              </w:rPr>
              <w:t>per day for each facility type.</w:t>
            </w:r>
          </w:p>
        </w:tc>
      </w:tr>
      <w:tr w:rsidR="00123FFA" w:rsidRPr="009341CA" w:rsidTr="009E6324">
        <w:tc>
          <w:tcPr>
            <w:tcW w:w="1432" w:type="pct"/>
          </w:tcPr>
          <w:p w:rsidR="00123FFA" w:rsidRPr="009341CA" w:rsidRDefault="00123FFA" w:rsidP="00123FFA">
            <w:pPr>
              <w:pStyle w:val="Normal-nospacing"/>
              <w:rPr>
                <w:rFonts w:asciiTheme="minorHAnsi" w:hAnsiTheme="minorHAnsi"/>
                <w:sz w:val="20"/>
                <w:szCs w:val="20"/>
              </w:rPr>
            </w:pPr>
            <w:r w:rsidRPr="009341CA">
              <w:rPr>
                <w:rFonts w:asciiTheme="minorHAnsi" w:hAnsiTheme="minorHAnsi"/>
                <w:sz w:val="20"/>
                <w:szCs w:val="20"/>
              </w:rPr>
              <w:t>Individual care</w:t>
            </w:r>
          </w:p>
        </w:tc>
        <w:tc>
          <w:tcPr>
            <w:tcW w:w="3568" w:type="pct"/>
          </w:tcPr>
          <w:p w:rsidR="00123FFA" w:rsidRPr="009341CA" w:rsidRDefault="00123FFA" w:rsidP="00123FFA">
            <w:pPr>
              <w:pStyle w:val="Normal-nospacing"/>
              <w:rPr>
                <w:rFonts w:asciiTheme="minorHAnsi" w:hAnsiTheme="minorHAnsi"/>
                <w:sz w:val="20"/>
                <w:szCs w:val="20"/>
              </w:rPr>
            </w:pPr>
            <w:r w:rsidRPr="009341CA">
              <w:rPr>
                <w:rFonts w:asciiTheme="minorHAnsi" w:hAnsiTheme="minorHAnsi"/>
                <w:sz w:val="20"/>
                <w:szCs w:val="20"/>
              </w:rPr>
              <w:t xml:space="preserve">Care </w:t>
            </w:r>
            <w:r>
              <w:rPr>
                <w:rFonts w:asciiTheme="minorHAnsi" w:hAnsiTheme="minorHAnsi"/>
                <w:sz w:val="20"/>
                <w:szCs w:val="20"/>
              </w:rPr>
              <w:t xml:space="preserve">that is </w:t>
            </w:r>
            <w:r w:rsidRPr="009341CA">
              <w:rPr>
                <w:rFonts w:asciiTheme="minorHAnsi" w:hAnsiTheme="minorHAnsi"/>
                <w:sz w:val="20"/>
                <w:szCs w:val="20"/>
              </w:rPr>
              <w:t>tailored to the needs of an individual resident. Differences in individual care time between residents are likely to be associated with differences in assessed function, cognition, behaviour and health status.</w:t>
            </w:r>
          </w:p>
        </w:tc>
      </w:tr>
      <w:tr w:rsidR="00123FFA" w:rsidRPr="009341CA" w:rsidTr="009E6324">
        <w:tc>
          <w:tcPr>
            <w:tcW w:w="1432" w:type="pct"/>
          </w:tcPr>
          <w:p w:rsidR="00123FFA" w:rsidRPr="009341CA" w:rsidRDefault="00123FFA" w:rsidP="00123FFA">
            <w:pPr>
              <w:pStyle w:val="Normal-nospacing"/>
              <w:rPr>
                <w:rFonts w:asciiTheme="minorHAnsi" w:hAnsiTheme="minorHAnsi"/>
                <w:sz w:val="20"/>
                <w:szCs w:val="20"/>
              </w:rPr>
            </w:pPr>
            <w:r w:rsidRPr="009341CA">
              <w:rPr>
                <w:rFonts w:asciiTheme="minorHAnsi" w:hAnsiTheme="minorHAnsi" w:cs="Calibri"/>
                <w:sz w:val="20"/>
                <w:szCs w:val="20"/>
              </w:rPr>
              <w:t>National Weighted Activity Unit (NWAU)</w:t>
            </w:r>
          </w:p>
        </w:tc>
        <w:tc>
          <w:tcPr>
            <w:tcW w:w="3568" w:type="pct"/>
          </w:tcPr>
          <w:p w:rsidR="00123FFA" w:rsidRPr="009341CA" w:rsidRDefault="00123FFA" w:rsidP="00123FFA">
            <w:pPr>
              <w:pStyle w:val="Normal-nospacing"/>
              <w:rPr>
                <w:rFonts w:asciiTheme="minorHAnsi" w:hAnsiTheme="minorHAnsi"/>
                <w:sz w:val="20"/>
                <w:szCs w:val="20"/>
              </w:rPr>
            </w:pPr>
            <w:r w:rsidRPr="009341CA">
              <w:rPr>
                <w:rFonts w:asciiTheme="minorHAnsi" w:hAnsiTheme="minorHAnsi" w:cs="Calibri"/>
                <w:sz w:val="20"/>
                <w:szCs w:val="20"/>
              </w:rPr>
              <w:t>In the context of this study, a measure of relative price. An NWAU of 1.2 means that the price of the activity is 20% above the national average. An NWAU of 0.5 means that the price is 50% below national average.</w:t>
            </w:r>
          </w:p>
        </w:tc>
      </w:tr>
      <w:tr w:rsidR="00123FFA" w:rsidRPr="009341CA" w:rsidTr="009E6324">
        <w:tc>
          <w:tcPr>
            <w:tcW w:w="1432" w:type="pct"/>
          </w:tcPr>
          <w:p w:rsidR="00123FFA" w:rsidRPr="009341CA" w:rsidRDefault="00123FFA" w:rsidP="00123FFA">
            <w:pPr>
              <w:pStyle w:val="Normal-nospacing"/>
              <w:rPr>
                <w:rFonts w:asciiTheme="minorHAnsi" w:hAnsiTheme="minorHAnsi"/>
                <w:sz w:val="20"/>
                <w:szCs w:val="20"/>
              </w:rPr>
            </w:pPr>
            <w:r w:rsidRPr="009341CA">
              <w:rPr>
                <w:rFonts w:asciiTheme="minorHAnsi" w:hAnsiTheme="minorHAnsi"/>
                <w:sz w:val="20"/>
                <w:szCs w:val="20"/>
              </w:rPr>
              <w:t>Relative Value Unit (RVU)</w:t>
            </w:r>
          </w:p>
        </w:tc>
        <w:tc>
          <w:tcPr>
            <w:tcW w:w="3568" w:type="pct"/>
          </w:tcPr>
          <w:p w:rsidR="00123FFA" w:rsidRPr="009341CA" w:rsidRDefault="00123FFA" w:rsidP="00123FFA">
            <w:pPr>
              <w:pStyle w:val="Normal-nospacing"/>
              <w:rPr>
                <w:rFonts w:asciiTheme="minorHAnsi" w:hAnsiTheme="minorHAnsi"/>
                <w:sz w:val="20"/>
                <w:szCs w:val="20"/>
              </w:rPr>
            </w:pPr>
            <w:r w:rsidRPr="009341CA">
              <w:rPr>
                <w:rFonts w:asciiTheme="minorHAnsi" w:hAnsiTheme="minorHAnsi" w:cs="Calibri"/>
                <w:sz w:val="20"/>
                <w:szCs w:val="20"/>
              </w:rPr>
              <w:t>In the context of this study, a measure of relative resource consumption (staff time or dollars). An RVU of 1.2 means that the cost is 20% above the national average. An RVU of 0.5 means that the cost is 50% below national average.</w:t>
            </w:r>
          </w:p>
        </w:tc>
      </w:tr>
      <w:tr w:rsidR="00123FFA" w:rsidRPr="009341CA" w:rsidTr="009E6324">
        <w:tc>
          <w:tcPr>
            <w:tcW w:w="1432" w:type="pct"/>
          </w:tcPr>
          <w:p w:rsidR="00123FFA" w:rsidRPr="009341CA" w:rsidRDefault="00123FFA" w:rsidP="00123FFA">
            <w:pPr>
              <w:pStyle w:val="Normal-nospacing"/>
              <w:rPr>
                <w:rFonts w:asciiTheme="minorHAnsi" w:hAnsiTheme="minorHAnsi"/>
                <w:sz w:val="20"/>
                <w:szCs w:val="20"/>
              </w:rPr>
            </w:pPr>
            <w:r w:rsidRPr="009341CA">
              <w:rPr>
                <w:rFonts w:asciiTheme="minorHAnsi" w:hAnsiTheme="minorHAnsi"/>
                <w:sz w:val="20"/>
                <w:szCs w:val="20"/>
              </w:rPr>
              <w:t>Variable costs</w:t>
            </w:r>
          </w:p>
        </w:tc>
        <w:tc>
          <w:tcPr>
            <w:tcW w:w="3568" w:type="pct"/>
          </w:tcPr>
          <w:p w:rsidR="00123FFA" w:rsidRPr="009341CA" w:rsidRDefault="00123FFA" w:rsidP="00123FFA">
            <w:pPr>
              <w:pStyle w:val="Normal-nospacing"/>
              <w:rPr>
                <w:rFonts w:asciiTheme="minorHAnsi" w:hAnsiTheme="minorHAnsi"/>
                <w:sz w:val="20"/>
                <w:szCs w:val="20"/>
              </w:rPr>
            </w:pPr>
            <w:r w:rsidRPr="009341CA">
              <w:rPr>
                <w:rFonts w:asciiTheme="minorHAnsi" w:hAnsiTheme="minorHAnsi"/>
                <w:sz w:val="20"/>
                <w:szCs w:val="20"/>
              </w:rPr>
              <w:t>The costs of providing care that is in response to the assessed care needs of individual residents. These costs include a proportion of care staff salary costs that relate to individual care (as opposed to shared care) and the related costs of clinical supplies. In a blended funding model these costs are funded based on the</w:t>
            </w:r>
            <w:r>
              <w:rPr>
                <w:rFonts w:asciiTheme="minorHAnsi" w:hAnsiTheme="minorHAnsi"/>
                <w:sz w:val="20"/>
                <w:szCs w:val="20"/>
              </w:rPr>
              <w:t xml:space="preserve"> casemix class of the resident.</w:t>
            </w:r>
          </w:p>
        </w:tc>
      </w:tr>
    </w:tbl>
    <w:p w:rsidR="000973E6" w:rsidRDefault="000973E6" w:rsidP="00003E81">
      <w:pPr>
        <w:rPr>
          <w:highlight w:val="yellow"/>
        </w:rPr>
        <w:sectPr w:rsidR="000973E6" w:rsidSect="007B54AA">
          <w:footerReference w:type="default" r:id="rId18"/>
          <w:pgSz w:w="11906" w:h="16838"/>
          <w:pgMar w:top="1134" w:right="1418" w:bottom="1134" w:left="1418" w:header="709" w:footer="709" w:gutter="0"/>
          <w:pgNumType w:fmt="lowerRoman" w:start="1"/>
          <w:cols w:space="708"/>
          <w:docGrid w:linePitch="360"/>
        </w:sectPr>
      </w:pPr>
    </w:p>
    <w:p w:rsidR="00003E81" w:rsidRDefault="00003E81" w:rsidP="00697C6E">
      <w:pPr>
        <w:pStyle w:val="Heading1"/>
        <w:numPr>
          <w:ilvl w:val="0"/>
          <w:numId w:val="0"/>
        </w:numPr>
        <w:spacing w:before="0"/>
      </w:pPr>
      <w:bookmarkStart w:id="33" w:name="_Toc529351924"/>
      <w:bookmarkStart w:id="34" w:name="_Toc2083367"/>
      <w:r w:rsidRPr="00E53859">
        <w:lastRenderedPageBreak/>
        <w:t>Key Messages</w:t>
      </w:r>
      <w:bookmarkEnd w:id="33"/>
      <w:bookmarkEnd w:id="34"/>
    </w:p>
    <w:p w:rsidR="00003E81" w:rsidRDefault="00003E81" w:rsidP="00ED459C">
      <w:pPr>
        <w:pStyle w:val="Bullet"/>
      </w:pPr>
      <w:r w:rsidRPr="00ED459C">
        <w:t xml:space="preserve">This report presents key results from </w:t>
      </w:r>
      <w:r w:rsidR="008A2C50">
        <w:t xml:space="preserve">the third </w:t>
      </w:r>
      <w:r w:rsidRPr="00ED459C">
        <w:t>Resource Utilisation and Classification Study (RUCS)</w:t>
      </w:r>
      <w:r w:rsidR="008A2C50">
        <w:t xml:space="preserve">. This study </w:t>
      </w:r>
      <w:r w:rsidR="006C60A0" w:rsidRPr="00ED459C">
        <w:t xml:space="preserve">aimed </w:t>
      </w:r>
      <w:r w:rsidR="0001654F">
        <w:t xml:space="preserve">to </w:t>
      </w:r>
      <w:r w:rsidR="0001654F" w:rsidRPr="000B42C6">
        <w:t>model the introduction of the A</w:t>
      </w:r>
      <w:r w:rsidR="00F66D72">
        <w:t xml:space="preserve">ustralian </w:t>
      </w:r>
      <w:r w:rsidR="0001654F" w:rsidRPr="000B42C6">
        <w:t>N</w:t>
      </w:r>
      <w:r w:rsidR="00F66D72">
        <w:t xml:space="preserve">ational Aged Care Classification (AN-ACC) </w:t>
      </w:r>
      <w:r w:rsidR="0001654F" w:rsidRPr="000B42C6">
        <w:t xml:space="preserve">to replace the </w:t>
      </w:r>
      <w:r w:rsidR="00F66D72" w:rsidRPr="00F66D72">
        <w:t>Aged Care Funding Instrument</w:t>
      </w:r>
      <w:r w:rsidR="00F66D72" w:rsidRPr="000B42C6">
        <w:t xml:space="preserve"> </w:t>
      </w:r>
      <w:r w:rsidR="00F66D72">
        <w:t>(</w:t>
      </w:r>
      <w:r w:rsidR="0001654F" w:rsidRPr="000B42C6">
        <w:t>ACFI</w:t>
      </w:r>
      <w:r w:rsidR="00F66D72">
        <w:t>)</w:t>
      </w:r>
      <w:r w:rsidR="0001654F" w:rsidRPr="000B42C6">
        <w:t>.</w:t>
      </w:r>
    </w:p>
    <w:p w:rsidR="0001654F" w:rsidRDefault="00675042" w:rsidP="00ED459C">
      <w:pPr>
        <w:pStyle w:val="Bullet"/>
      </w:pPr>
      <w:r>
        <w:t>Data w</w:t>
      </w:r>
      <w:r w:rsidR="0001654F">
        <w:t>ere sampled from randomly selected facilities within strata defined by geographic location, size of care home as measured by available beds and the ownership type (government, not for profit</w:t>
      </w:r>
      <w:r w:rsidR="0001654F" w:rsidRPr="005A4E82">
        <w:t xml:space="preserve"> </w:t>
      </w:r>
      <w:r w:rsidR="0001654F">
        <w:t>or private for profit).</w:t>
      </w:r>
    </w:p>
    <w:p w:rsidR="008F74ED" w:rsidRDefault="00886A80" w:rsidP="00ED459C">
      <w:pPr>
        <w:pStyle w:val="Bullet"/>
      </w:pPr>
      <w:r>
        <w:t>D</w:t>
      </w:r>
      <w:r w:rsidR="0001654F">
        <w:t>ata</w:t>
      </w:r>
      <w:r>
        <w:t xml:space="preserve"> on 3,148 residents</w:t>
      </w:r>
      <w:r w:rsidR="0001654F">
        <w:t xml:space="preserve"> from 80</w:t>
      </w:r>
      <w:r w:rsidR="00675042">
        <w:t xml:space="preserve"> </w:t>
      </w:r>
      <w:r w:rsidR="0001654F">
        <w:t>facilities</w:t>
      </w:r>
      <w:r>
        <w:t xml:space="preserve"> were available for </w:t>
      </w:r>
      <w:r w:rsidR="00F05B4A">
        <w:t xml:space="preserve">the </w:t>
      </w:r>
      <w:r>
        <w:t>analysis</w:t>
      </w:r>
      <w:r w:rsidR="006C60A0">
        <w:t xml:space="preserve"> </w:t>
      </w:r>
      <w:r w:rsidR="00F05B4A">
        <w:t xml:space="preserve">which </w:t>
      </w:r>
      <w:r w:rsidR="006C60A0">
        <w:t>focussed on</w:t>
      </w:r>
      <w:r w:rsidR="008F74ED">
        <w:t xml:space="preserve"> the casemix </w:t>
      </w:r>
      <w:r w:rsidR="00F05B4A">
        <w:t xml:space="preserve">profile </w:t>
      </w:r>
      <w:r w:rsidR="008F74ED">
        <w:t>of residents as well as the relative distribution of funding under two funding models, one based on the AN-ACC and the other on the ACFI.</w:t>
      </w:r>
    </w:p>
    <w:p w:rsidR="00886A80" w:rsidRDefault="00886A80" w:rsidP="00ED459C">
      <w:pPr>
        <w:pStyle w:val="Bullet"/>
      </w:pPr>
      <w:r>
        <w:t xml:space="preserve">Some analysis was on the sample data but, where possible, </w:t>
      </w:r>
      <w:r w:rsidRPr="00A76019">
        <w:t xml:space="preserve">the sample data </w:t>
      </w:r>
      <w:r>
        <w:t>were</w:t>
      </w:r>
      <w:r w:rsidRPr="00A76019">
        <w:t xml:space="preserve"> </w:t>
      </w:r>
      <w:r>
        <w:t>projected to the national scale to produce population estimates.</w:t>
      </w:r>
    </w:p>
    <w:p w:rsidR="006C60A0" w:rsidRPr="00F05B4A" w:rsidRDefault="00AF5CE4" w:rsidP="00ED459C">
      <w:pPr>
        <w:pStyle w:val="Bullet"/>
      </w:pPr>
      <w:r>
        <w:t>S</w:t>
      </w:r>
      <w:r w:rsidRPr="00F05B4A">
        <w:t>ample results showed that:</w:t>
      </w:r>
    </w:p>
    <w:p w:rsidR="00CA7CD1" w:rsidRPr="00F05B4A" w:rsidRDefault="00ED459C" w:rsidP="00E178E8">
      <w:pPr>
        <w:pStyle w:val="Bullets"/>
        <w:numPr>
          <w:ilvl w:val="0"/>
          <w:numId w:val="11"/>
        </w:numPr>
      </w:pPr>
      <w:r>
        <w:t>P</w:t>
      </w:r>
      <w:r w:rsidR="00F05B4A" w:rsidRPr="00F05B4A">
        <w:t>ayment</w:t>
      </w:r>
      <w:r>
        <w:t>s</w:t>
      </w:r>
      <w:r w:rsidR="00F05B4A" w:rsidRPr="00F05B4A">
        <w:t xml:space="preserve"> under AN-ACC </w:t>
      </w:r>
      <w:r>
        <w:t xml:space="preserve">are </w:t>
      </w:r>
      <w:r w:rsidR="00F05B4A" w:rsidRPr="00F05B4A">
        <w:t>substan</w:t>
      </w:r>
      <w:r w:rsidR="00F05B4A">
        <w:t>tially more than under the current ACFI model</w:t>
      </w:r>
      <w:r w:rsidR="00F05B4A" w:rsidRPr="00F05B4A">
        <w:t xml:space="preserve"> </w:t>
      </w:r>
      <w:r w:rsidR="00F05B4A">
        <w:t xml:space="preserve">for </w:t>
      </w:r>
      <w:r>
        <w:t>homes</w:t>
      </w:r>
      <w:r w:rsidR="00F05B4A">
        <w:t xml:space="preserve"> that specialise in </w:t>
      </w:r>
      <w:r>
        <w:t xml:space="preserve">(a) </w:t>
      </w:r>
      <w:r w:rsidR="00CA7CD1" w:rsidRPr="00F05B4A">
        <w:t xml:space="preserve">homeless </w:t>
      </w:r>
      <w:r>
        <w:t xml:space="preserve">people </w:t>
      </w:r>
      <w:r w:rsidR="00CA7CD1" w:rsidRPr="00F05B4A">
        <w:t xml:space="preserve">and </w:t>
      </w:r>
      <w:r>
        <w:t xml:space="preserve">(b) </w:t>
      </w:r>
      <w:r w:rsidR="00CA7CD1" w:rsidRPr="00F05B4A">
        <w:t xml:space="preserve">indigenous </w:t>
      </w:r>
      <w:r w:rsidR="00F05B4A">
        <w:t>people</w:t>
      </w:r>
      <w:r w:rsidR="00CA7CD1">
        <w:t>.</w:t>
      </w:r>
    </w:p>
    <w:p w:rsidR="00CA7CD1" w:rsidRDefault="006C60A0" w:rsidP="00E178E8">
      <w:pPr>
        <w:pStyle w:val="Bullets"/>
        <w:numPr>
          <w:ilvl w:val="0"/>
          <w:numId w:val="11"/>
        </w:numPr>
      </w:pPr>
      <w:r>
        <w:t>P</w:t>
      </w:r>
      <w:r w:rsidR="008F74ED">
        <w:t xml:space="preserve">ayments </w:t>
      </w:r>
      <w:r w:rsidR="00CA7CD1">
        <w:t>u</w:t>
      </w:r>
      <w:r w:rsidR="00ED459C">
        <w:t>nder t</w:t>
      </w:r>
      <w:r w:rsidR="00CA7CD1">
        <w:t xml:space="preserve">he AN-ACC model </w:t>
      </w:r>
      <w:r w:rsidR="00ED459C">
        <w:t xml:space="preserve">are </w:t>
      </w:r>
      <w:r w:rsidR="00CA7CD1">
        <w:t xml:space="preserve">highest for the youngest age group </w:t>
      </w:r>
      <w:r w:rsidR="00AF5CE4">
        <w:t xml:space="preserve">(age 65 years or less) </w:t>
      </w:r>
      <w:r w:rsidR="00CA7CD1">
        <w:t xml:space="preserve">and </w:t>
      </w:r>
      <w:r w:rsidR="00AF5CE4">
        <w:t xml:space="preserve">lowest </w:t>
      </w:r>
      <w:r w:rsidR="00CA7CD1">
        <w:t>for the oldest group of residents</w:t>
      </w:r>
      <w:r w:rsidR="00AF5CE4">
        <w:t xml:space="preserve">. This is the </w:t>
      </w:r>
      <w:r w:rsidR="00CA7CD1">
        <w:t xml:space="preserve">reverse relationship </w:t>
      </w:r>
      <w:r w:rsidR="00AF5CE4">
        <w:t xml:space="preserve">to </w:t>
      </w:r>
      <w:r w:rsidR="00CA7CD1">
        <w:t xml:space="preserve">the </w:t>
      </w:r>
      <w:r w:rsidR="00F05B4A">
        <w:t xml:space="preserve">current </w:t>
      </w:r>
      <w:r w:rsidR="00CA7CD1">
        <w:t>ACFI funding model</w:t>
      </w:r>
      <w:r w:rsidR="008F74ED">
        <w:t>.</w:t>
      </w:r>
    </w:p>
    <w:p w:rsidR="00CA7CD1" w:rsidRDefault="00ED459C" w:rsidP="00E178E8">
      <w:pPr>
        <w:pStyle w:val="Bullets"/>
        <w:numPr>
          <w:ilvl w:val="0"/>
          <w:numId w:val="11"/>
        </w:numPr>
      </w:pPr>
      <w:r>
        <w:t>R</w:t>
      </w:r>
      <w:r w:rsidR="008F74ED">
        <w:t>esidents</w:t>
      </w:r>
      <w:r w:rsidR="00CA7CD1">
        <w:t xml:space="preserve"> </w:t>
      </w:r>
      <w:r w:rsidR="00F05B4A">
        <w:t xml:space="preserve">in care the </w:t>
      </w:r>
      <w:r w:rsidR="00CA7CD1">
        <w:t xml:space="preserve">longest </w:t>
      </w:r>
      <w:r>
        <w:t>are</w:t>
      </w:r>
      <w:r w:rsidR="00CA7CD1">
        <w:t xml:space="preserve"> more likely to fall into the more complex</w:t>
      </w:r>
      <w:r w:rsidR="008F74ED">
        <w:t xml:space="preserve"> </w:t>
      </w:r>
      <w:r w:rsidR="00F05B4A">
        <w:t xml:space="preserve">and costly </w:t>
      </w:r>
      <w:r w:rsidR="008F74ED">
        <w:t>AN-ACC</w:t>
      </w:r>
      <w:r w:rsidR="00CA7CD1">
        <w:t xml:space="preserve"> classes</w:t>
      </w:r>
      <w:r w:rsidR="008F74ED">
        <w:t>.</w:t>
      </w:r>
    </w:p>
    <w:p w:rsidR="00ED459C" w:rsidRDefault="00ED459C" w:rsidP="00E178E8">
      <w:pPr>
        <w:pStyle w:val="Bullets"/>
        <w:numPr>
          <w:ilvl w:val="0"/>
          <w:numId w:val="11"/>
        </w:numPr>
      </w:pPr>
      <w:r>
        <w:t>R</w:t>
      </w:r>
      <w:r w:rsidR="000423C3">
        <w:t xml:space="preserve">esidents who </w:t>
      </w:r>
      <w:r>
        <w:t xml:space="preserve">are </w:t>
      </w:r>
      <w:r w:rsidR="000423C3">
        <w:t>Aboriginal</w:t>
      </w:r>
      <w:r>
        <w:t xml:space="preserve"> and/or</w:t>
      </w:r>
      <w:r w:rsidR="000423C3">
        <w:t xml:space="preserve"> Torres Strait Islander attract an average payment </w:t>
      </w:r>
      <w:r>
        <w:t xml:space="preserve">under </w:t>
      </w:r>
      <w:r w:rsidR="006D7DD4">
        <w:t xml:space="preserve">the </w:t>
      </w:r>
      <w:r>
        <w:t xml:space="preserve">AN-ACC funding model that is </w:t>
      </w:r>
      <w:r w:rsidR="000423C3">
        <w:t>more than 20% higher than the sample average</w:t>
      </w:r>
      <w:r w:rsidR="00F05B4A">
        <w:t>. This c</w:t>
      </w:r>
      <w:r w:rsidR="00287055">
        <w:t>ompare</w:t>
      </w:r>
      <w:r w:rsidR="00F05B4A">
        <w:t xml:space="preserve">s </w:t>
      </w:r>
      <w:r w:rsidR="00287055">
        <w:t xml:space="preserve">with 8% lower than the sample average </w:t>
      </w:r>
      <w:r w:rsidR="00785B04">
        <w:t xml:space="preserve">they attract </w:t>
      </w:r>
      <w:r w:rsidR="000423C3">
        <w:t>under ACFI</w:t>
      </w:r>
      <w:r w:rsidR="00287055" w:rsidRPr="00287055">
        <w:t xml:space="preserve"> </w:t>
      </w:r>
      <w:r w:rsidR="00287055">
        <w:t>based funding</w:t>
      </w:r>
      <w:r w:rsidR="000423C3">
        <w:t>.</w:t>
      </w:r>
    </w:p>
    <w:p w:rsidR="00ED459C" w:rsidRDefault="00ED459C" w:rsidP="00E178E8">
      <w:pPr>
        <w:pStyle w:val="Bullets"/>
        <w:numPr>
          <w:ilvl w:val="0"/>
          <w:numId w:val="11"/>
        </w:numPr>
      </w:pPr>
      <w:r>
        <w:t>R</w:t>
      </w:r>
      <w:r w:rsidR="008F74ED">
        <w:t xml:space="preserve">esidents </w:t>
      </w:r>
      <w:r>
        <w:t xml:space="preserve">for whom </w:t>
      </w:r>
      <w:r w:rsidR="008F74ED">
        <w:t xml:space="preserve">English </w:t>
      </w:r>
      <w:r>
        <w:t>i</w:t>
      </w:r>
      <w:r w:rsidR="008F74ED">
        <w:t xml:space="preserve">s </w:t>
      </w:r>
      <w:r w:rsidR="00F05B4A">
        <w:t xml:space="preserve">the </w:t>
      </w:r>
      <w:r w:rsidR="008F74ED">
        <w:t xml:space="preserve">preferred language </w:t>
      </w:r>
      <w:r w:rsidR="008F0A4F">
        <w:t>f</w:t>
      </w:r>
      <w:r>
        <w:t>a</w:t>
      </w:r>
      <w:r w:rsidR="008F0A4F">
        <w:t xml:space="preserve">ll in the more independent classes more often than those for whom English </w:t>
      </w:r>
      <w:r>
        <w:t>is</w:t>
      </w:r>
      <w:r w:rsidR="008F0A4F">
        <w:t xml:space="preserve"> not their </w:t>
      </w:r>
      <w:r w:rsidR="00F05B4A">
        <w:t xml:space="preserve">preferred </w:t>
      </w:r>
      <w:r w:rsidR="008F0A4F">
        <w:t>language (46% vs 24%). The latter group attract 7-9% more funding that the average under both payment models.</w:t>
      </w:r>
    </w:p>
    <w:p w:rsidR="00886A80" w:rsidRDefault="008F0A4F" w:rsidP="00E178E8">
      <w:pPr>
        <w:pStyle w:val="Bullets"/>
        <w:numPr>
          <w:ilvl w:val="0"/>
          <w:numId w:val="11"/>
        </w:numPr>
      </w:pPr>
      <w:r>
        <w:t>C</w:t>
      </w:r>
      <w:r w:rsidR="00CA7CD1">
        <w:t xml:space="preserve">linical complexity is measured differently in the two systems. </w:t>
      </w:r>
      <w:r w:rsidR="00287055">
        <w:t>T</w:t>
      </w:r>
      <w:r w:rsidR="00CA7CD1">
        <w:t xml:space="preserve">he proportion of residents with at least one </w:t>
      </w:r>
      <w:r w:rsidR="00ED459C">
        <w:t>‘</w:t>
      </w:r>
      <w:r w:rsidR="00CA7CD1">
        <w:t>High</w:t>
      </w:r>
      <w:r w:rsidR="00ED459C">
        <w:t>’</w:t>
      </w:r>
      <w:r w:rsidR="00CA7CD1">
        <w:t xml:space="preserve"> rating on ACFI </w:t>
      </w:r>
      <w:r w:rsidR="00ED459C">
        <w:t>i</w:t>
      </w:r>
      <w:r w:rsidR="00CA7CD1">
        <w:t xml:space="preserve">s very high </w:t>
      </w:r>
      <w:r w:rsidR="00287055">
        <w:t>(</w:t>
      </w:r>
      <w:r w:rsidR="00CA7CD1">
        <w:t>85%</w:t>
      </w:r>
      <w:r w:rsidR="00287055">
        <w:t>)</w:t>
      </w:r>
      <w:r w:rsidR="00ED459C">
        <w:t xml:space="preserve"> in the sampled data</w:t>
      </w:r>
      <w:r w:rsidR="00CA7CD1">
        <w:t xml:space="preserve">, while a much smaller proportion </w:t>
      </w:r>
      <w:r w:rsidR="00697C6E">
        <w:t>a</w:t>
      </w:r>
      <w:r w:rsidR="00ED459C">
        <w:t>re</w:t>
      </w:r>
      <w:r w:rsidR="00CA7CD1">
        <w:t xml:space="preserve"> in the highest weighted AN-ACC classes</w:t>
      </w:r>
      <w:r>
        <w:t>.</w:t>
      </w:r>
    </w:p>
    <w:p w:rsidR="000423C3" w:rsidRPr="000423C3" w:rsidRDefault="008F0A4F" w:rsidP="006D7DD4">
      <w:pPr>
        <w:pStyle w:val="Bullet"/>
        <w:rPr>
          <w:b/>
        </w:rPr>
      </w:pPr>
      <w:r>
        <w:t xml:space="preserve">Population projections show </w:t>
      </w:r>
      <w:r w:rsidR="00ED459C">
        <w:t xml:space="preserve">less </w:t>
      </w:r>
      <w:r w:rsidR="00D76C07">
        <w:t>clinically complex residents in remote regions, but increased</w:t>
      </w:r>
      <w:r w:rsidR="000423C3">
        <w:t xml:space="preserve"> funding </w:t>
      </w:r>
      <w:r w:rsidR="00D76C07">
        <w:t>under AN-ACC (</w:t>
      </w:r>
      <w:r w:rsidR="000423C3">
        <w:t>0.</w:t>
      </w:r>
      <w:r w:rsidR="00D76C07">
        <w:t>8</w:t>
      </w:r>
      <w:r w:rsidR="000423C3">
        <w:t xml:space="preserve">% </w:t>
      </w:r>
      <w:r w:rsidR="00D76C07">
        <w:t>rather than</w:t>
      </w:r>
      <w:r w:rsidR="000423C3">
        <w:t xml:space="preserve"> 0.</w:t>
      </w:r>
      <w:r w:rsidR="00D76C07">
        <w:t>5</w:t>
      </w:r>
      <w:r w:rsidR="000423C3">
        <w:t xml:space="preserve">% of the </w:t>
      </w:r>
      <w:r w:rsidR="00D76C07">
        <w:t xml:space="preserve">total </w:t>
      </w:r>
      <w:r w:rsidR="000423C3">
        <w:t>budget</w:t>
      </w:r>
      <w:r w:rsidR="00D76C07">
        <w:t>)</w:t>
      </w:r>
      <w:r w:rsidR="000423C3">
        <w:t>.</w:t>
      </w:r>
    </w:p>
    <w:p w:rsidR="00ED459C" w:rsidRPr="00ED459C" w:rsidRDefault="00D76C07" w:rsidP="006D7DD4">
      <w:pPr>
        <w:pStyle w:val="Bullet"/>
        <w:rPr>
          <w:b/>
        </w:rPr>
      </w:pPr>
      <w:r>
        <w:t>Population projections show more clinically complex residents in government facilities, followed by not for profit facilities</w:t>
      </w:r>
      <w:r w:rsidR="006D7DD4">
        <w:t>.  T</w:t>
      </w:r>
      <w:r>
        <w:t xml:space="preserve">his </w:t>
      </w:r>
      <w:r w:rsidR="00ED459C">
        <w:t>is</w:t>
      </w:r>
      <w:r>
        <w:t xml:space="preserve"> reflected in </w:t>
      </w:r>
      <w:r w:rsidR="006C60A0">
        <w:t xml:space="preserve">a reduced </w:t>
      </w:r>
      <w:r w:rsidR="00ED459C">
        <w:t xml:space="preserve">proportional </w:t>
      </w:r>
      <w:r w:rsidR="006C60A0">
        <w:t xml:space="preserve">funding allocation to private for profit facilities under </w:t>
      </w:r>
      <w:r w:rsidR="000423C3">
        <w:t>AN-</w:t>
      </w:r>
      <w:r w:rsidR="006C60A0">
        <w:t>ACC</w:t>
      </w:r>
      <w:r w:rsidR="000423C3">
        <w:t>.</w:t>
      </w:r>
    </w:p>
    <w:p w:rsidR="00913B8E" w:rsidRPr="00ED459C" w:rsidRDefault="006C60A0" w:rsidP="006D7DD4">
      <w:pPr>
        <w:pStyle w:val="Bullet"/>
        <w:rPr>
          <w:b/>
        </w:rPr>
      </w:pPr>
      <w:r>
        <w:t xml:space="preserve">Population projections show </w:t>
      </w:r>
      <w:r w:rsidR="000423C3">
        <w:t>that small and medium facilities gain slightly at the expense of large facilities</w:t>
      </w:r>
      <w:r>
        <w:t xml:space="preserve"> under </w:t>
      </w:r>
      <w:r w:rsidR="006D7DD4">
        <w:t>the</w:t>
      </w:r>
      <w:r>
        <w:t xml:space="preserve"> AN-ACC funding model.</w:t>
      </w:r>
      <w:r w:rsidR="00913B8E" w:rsidRPr="00ED459C">
        <w:rPr>
          <w:b/>
        </w:rPr>
        <w:br w:type="page"/>
      </w:r>
    </w:p>
    <w:p w:rsidR="00003E81" w:rsidRDefault="00003E81" w:rsidP="00003E81">
      <w:pPr>
        <w:rPr>
          <w:b/>
        </w:rPr>
        <w:sectPr w:rsidR="00003E81" w:rsidSect="000973E6">
          <w:footerReference w:type="default" r:id="rId19"/>
          <w:pgSz w:w="11906" w:h="16838"/>
          <w:pgMar w:top="1134" w:right="1418" w:bottom="1134" w:left="1418" w:header="709" w:footer="709" w:gutter="0"/>
          <w:pgNumType w:start="1"/>
          <w:cols w:space="708"/>
          <w:docGrid w:linePitch="360"/>
        </w:sectPr>
      </w:pPr>
    </w:p>
    <w:p w:rsidR="00003E81" w:rsidRDefault="00003E81" w:rsidP="00A94309">
      <w:pPr>
        <w:pStyle w:val="Heading1"/>
      </w:pPr>
      <w:bookmarkStart w:id="35" w:name="_Toc2083368"/>
      <w:r w:rsidRPr="00A94309">
        <w:lastRenderedPageBreak/>
        <w:t>Introduction</w:t>
      </w:r>
      <w:r>
        <w:t xml:space="preserve"> and background</w:t>
      </w:r>
      <w:bookmarkEnd w:id="35"/>
    </w:p>
    <w:p w:rsidR="001612A9" w:rsidRDefault="008E241C" w:rsidP="001C4BC5">
      <w:pPr>
        <w:pStyle w:val="Normal-nospacing"/>
      </w:pPr>
      <w:r>
        <w:t>A</w:t>
      </w:r>
      <w:r w:rsidR="001C4BC5" w:rsidRPr="001C4BC5">
        <w:t xml:space="preserve"> </w:t>
      </w:r>
      <w:r>
        <w:t xml:space="preserve">national </w:t>
      </w:r>
      <w:r w:rsidR="001C4BC5" w:rsidRPr="001C4BC5">
        <w:t>study to develop a new methodology for determining appropriate funding for places in residential aged care homes</w:t>
      </w:r>
      <w:r>
        <w:t xml:space="preserve">, </w:t>
      </w:r>
      <w:r w:rsidRPr="001C4BC5">
        <w:t>the ‘Resource Utilisation and Classification Study’ (RUCS)</w:t>
      </w:r>
      <w:r>
        <w:t xml:space="preserve">, was </w:t>
      </w:r>
      <w:r w:rsidRPr="000B42C6">
        <w:t xml:space="preserve">commissioned by the </w:t>
      </w:r>
      <w:r w:rsidRPr="001C4BC5">
        <w:t xml:space="preserve">Commonwealth Department of Health </w:t>
      </w:r>
      <w:r>
        <w:t xml:space="preserve">(the </w:t>
      </w:r>
      <w:r w:rsidRPr="000B42C6">
        <w:t>Department</w:t>
      </w:r>
      <w:r>
        <w:t>)</w:t>
      </w:r>
      <w:r w:rsidRPr="008E241C">
        <w:t xml:space="preserve"> </w:t>
      </w:r>
      <w:r w:rsidRPr="001C4BC5">
        <w:t>in August 2017</w:t>
      </w:r>
      <w:r>
        <w:t xml:space="preserve"> and undertaken by the </w:t>
      </w:r>
      <w:r w:rsidRPr="001C4BC5">
        <w:t>Australian Health Services Research Institute (AHSRI) at the University of Wo</w:t>
      </w:r>
      <w:r>
        <w:t>llongong</w:t>
      </w:r>
      <w:r w:rsidR="001C4BC5" w:rsidRPr="001C4BC5">
        <w:t>.</w:t>
      </w:r>
    </w:p>
    <w:p w:rsidR="001C4BC5" w:rsidRDefault="00500CCE" w:rsidP="001C4BC5">
      <w:pPr>
        <w:pStyle w:val="Normal-nospacing"/>
      </w:pPr>
      <w:r w:rsidRPr="000B42C6">
        <w:t xml:space="preserve">This </w:t>
      </w:r>
      <w:r>
        <w:t xml:space="preserve">report is the fourth in a </w:t>
      </w:r>
      <w:r w:rsidRPr="000B42C6">
        <w:t>series</w:t>
      </w:r>
      <w:r>
        <w:t xml:space="preserve">, written to </w:t>
      </w:r>
      <w:r w:rsidRPr="000B42C6">
        <w:t xml:space="preserve">present the results of </w:t>
      </w:r>
      <w:r>
        <w:t>this</w:t>
      </w:r>
      <w:r w:rsidRPr="000B42C6">
        <w:t xml:space="preserve"> important national study</w:t>
      </w:r>
      <w:r>
        <w:t>.</w:t>
      </w:r>
      <w:r w:rsidRPr="000B42C6">
        <w:t xml:space="preserve"> </w:t>
      </w:r>
      <w:r>
        <w:t>Each report deals with a different aspect of the project</w:t>
      </w:r>
      <w:r w:rsidR="00AD3717">
        <w:t>, as described in</w:t>
      </w:r>
      <w:r w:rsidR="009341CA">
        <w:t xml:space="preserve"> </w:t>
      </w:r>
      <w:r w:rsidR="009341CA">
        <w:fldChar w:fldCharType="begin"/>
      </w:r>
      <w:r w:rsidR="009341CA">
        <w:instrText xml:space="preserve"> REF _Ref535598613 \h </w:instrText>
      </w:r>
      <w:r w:rsidR="009341CA">
        <w:fldChar w:fldCharType="separate"/>
      </w:r>
      <w:r w:rsidR="009341CA" w:rsidRPr="003224C7">
        <w:t>Appendix 1</w:t>
      </w:r>
      <w:r w:rsidR="009341CA">
        <w:fldChar w:fldCharType="end"/>
      </w:r>
      <w:r>
        <w:t xml:space="preserve">. In this report, Report </w:t>
      </w:r>
      <w:r w:rsidR="001830EB">
        <w:t>4</w:t>
      </w:r>
      <w:r>
        <w:t xml:space="preserve">, the findings from </w:t>
      </w:r>
      <w:r w:rsidR="009341CA">
        <w:t>Study Three of the</w:t>
      </w:r>
      <w:r>
        <w:t xml:space="preserve"> </w:t>
      </w:r>
      <w:r w:rsidR="00E832B5">
        <w:t xml:space="preserve">RUCS </w:t>
      </w:r>
      <w:r w:rsidR="009E6324">
        <w:t>are presented.</w:t>
      </w:r>
    </w:p>
    <w:p w:rsidR="00500CCE" w:rsidRDefault="00C61DA9" w:rsidP="00BB79A8">
      <w:pPr>
        <w:pStyle w:val="Normal-nospacing"/>
      </w:pPr>
      <w:r w:rsidRPr="009E2CE6">
        <w:t xml:space="preserve">The purpose of </w:t>
      </w:r>
      <w:r>
        <w:t xml:space="preserve">the casemix profiling study covered in this report </w:t>
      </w:r>
      <w:r w:rsidRPr="00B648E7">
        <w:t xml:space="preserve">was </w:t>
      </w:r>
      <w:r w:rsidR="0098085C" w:rsidRPr="00B648E7">
        <w:t>to develop a national casemix profile of residents in residential aged care facilities in Australia, to identify any differences in resident casemix by facility type (i.e. by location, ownership</w:t>
      </w:r>
      <w:r w:rsidR="0098085C" w:rsidRPr="00C338F8">
        <w:t xml:space="preserve"> </w:t>
      </w:r>
      <w:r w:rsidR="0098085C">
        <w:t>type</w:t>
      </w:r>
      <w:r w:rsidR="0098085C" w:rsidRPr="00C338F8">
        <w:t xml:space="preserve"> and size</w:t>
      </w:r>
      <w:r w:rsidR="0098085C">
        <w:t xml:space="preserve">), and to </w:t>
      </w:r>
      <w:r w:rsidRPr="009E2CE6">
        <w:t xml:space="preserve">model and test the likely </w:t>
      </w:r>
      <w:r w:rsidR="0098085C" w:rsidRPr="00C338F8">
        <w:t>financia</w:t>
      </w:r>
      <w:r w:rsidR="0098085C">
        <w:t>l</w:t>
      </w:r>
      <w:r w:rsidR="0098085C" w:rsidRPr="00C338F8">
        <w:t xml:space="preserve"> </w:t>
      </w:r>
      <w:r w:rsidRPr="009E2CE6">
        <w:t>impact of implementing the blended payment model nationally.</w:t>
      </w:r>
      <w:r>
        <w:t xml:space="preserve"> To do so, a nationally representative sample </w:t>
      </w:r>
      <w:r w:rsidR="00500CCE">
        <w:t>was</w:t>
      </w:r>
      <w:r>
        <w:t xml:space="preserve"> used to model patterns of resident need and to investigate the funding implications of a new payment m</w:t>
      </w:r>
      <w:r w:rsidR="009E6324">
        <w:t>odel based on resident casemix.</w:t>
      </w:r>
    </w:p>
    <w:p w:rsidR="00003E81" w:rsidRDefault="00003E81" w:rsidP="009E2CE6">
      <w:pPr>
        <w:pStyle w:val="Heading2"/>
      </w:pPr>
      <w:bookmarkStart w:id="36" w:name="_Toc2083369"/>
      <w:r>
        <w:t>Ethics</w:t>
      </w:r>
      <w:bookmarkEnd w:id="36"/>
    </w:p>
    <w:p w:rsidR="00003E81" w:rsidRDefault="00003E81" w:rsidP="009E6324">
      <w:pPr>
        <w:pStyle w:val="Normal-nospacing"/>
        <w:spacing w:after="600"/>
      </w:pPr>
      <w:r>
        <w:t>Ethical approval for all components of the RUCS was granted prior to its commencement by the University of Wollongong / Illawarra Shoalhaven Local Health District ethics committee (Approval date 21/02/2018, Ethics Number 2017/546).</w:t>
      </w:r>
    </w:p>
    <w:p w:rsidR="00206B48" w:rsidRDefault="00206B48">
      <w:pPr>
        <w:spacing w:after="200" w:line="276" w:lineRule="auto"/>
        <w:rPr>
          <w:rFonts w:eastAsiaTheme="minorHAnsi" w:cstheme="minorHAnsi"/>
          <w:lang w:eastAsia="zh-CN" w:bidi="th-TH"/>
        </w:rPr>
      </w:pPr>
      <w:r>
        <w:br w:type="page"/>
      </w:r>
    </w:p>
    <w:p w:rsidR="00A94309" w:rsidRDefault="0098085C" w:rsidP="00C20C03">
      <w:pPr>
        <w:pStyle w:val="Heading1"/>
        <w:ind w:left="431" w:hanging="431"/>
      </w:pPr>
      <w:bookmarkStart w:id="37" w:name="_Toc2083370"/>
      <w:bookmarkStart w:id="38" w:name="_Toc530165284"/>
      <w:r>
        <w:lastRenderedPageBreak/>
        <w:t xml:space="preserve">Selection and recruitment of </w:t>
      </w:r>
      <w:r w:rsidR="00192A24">
        <w:t>s</w:t>
      </w:r>
      <w:r w:rsidR="00AB37E5">
        <w:t>tudy</w:t>
      </w:r>
      <w:r w:rsidR="00604697">
        <w:t xml:space="preserve"> </w:t>
      </w:r>
      <w:r>
        <w:t>sites</w:t>
      </w:r>
      <w:bookmarkEnd w:id="37"/>
      <w:bookmarkEnd w:id="38"/>
    </w:p>
    <w:p w:rsidR="00C338F8" w:rsidRPr="00C338F8" w:rsidRDefault="006D7DD4" w:rsidP="00AF5CE4">
      <w:pPr>
        <w:pStyle w:val="Normal-nospacing"/>
      </w:pPr>
      <w:r>
        <w:t>A</w:t>
      </w:r>
      <w:r w:rsidR="00B11956">
        <w:t xml:space="preserve"> sampling strategy was devised to ensure that the sample </w:t>
      </w:r>
      <w:r>
        <w:t xml:space="preserve">in the national modelling study </w:t>
      </w:r>
      <w:r w:rsidR="00B11956">
        <w:t>would be representative of the strata defined by geographic location, size and ownership. Facilities were invited to participate in line with this sampling framework. In each participating facility</w:t>
      </w:r>
      <w:r w:rsidR="00B11956" w:rsidRPr="00C338F8">
        <w:t xml:space="preserve">, </w:t>
      </w:r>
      <w:r w:rsidR="00B11956">
        <w:t>50% of residents were assessed</w:t>
      </w:r>
      <w:r w:rsidR="00C338F8" w:rsidRPr="00C338F8">
        <w:t xml:space="preserve"> by qualified assessors with expertise in aged care</w:t>
      </w:r>
      <w:r w:rsidR="00065C6F">
        <w:t>, using the</w:t>
      </w:r>
      <w:r w:rsidR="00C338F8" w:rsidRPr="00C338F8">
        <w:t xml:space="preserve"> </w:t>
      </w:r>
      <w:r>
        <w:t xml:space="preserve">AN-ACC </w:t>
      </w:r>
      <w:r w:rsidR="00C338F8" w:rsidRPr="00C338F8">
        <w:t>assessm</w:t>
      </w:r>
      <w:r w:rsidR="009E6324">
        <w:t>ent tool.</w:t>
      </w:r>
    </w:p>
    <w:p w:rsidR="00A94309" w:rsidRDefault="00A94309" w:rsidP="00C20C03">
      <w:pPr>
        <w:pStyle w:val="Heading2"/>
      </w:pPr>
      <w:bookmarkStart w:id="39" w:name="_Toc530165286"/>
      <w:bookmarkStart w:id="40" w:name="_Toc2083371"/>
      <w:r w:rsidRPr="00434D22">
        <w:t>Sampl</w:t>
      </w:r>
      <w:bookmarkEnd w:id="39"/>
      <w:r w:rsidR="00AB37E5">
        <w:t>ing</w:t>
      </w:r>
      <w:r w:rsidR="00AA365D">
        <w:t xml:space="preserve"> strategy</w:t>
      </w:r>
      <w:bookmarkEnd w:id="40"/>
    </w:p>
    <w:p w:rsidR="00F7322D" w:rsidRPr="00F7322D" w:rsidRDefault="00F7322D" w:rsidP="00AF5CE4">
      <w:pPr>
        <w:pStyle w:val="Normal-nospacing"/>
      </w:pPr>
      <w:r w:rsidRPr="00F7322D">
        <w:t>This study was designed to include a nationally representative sample of residential aged care facilities, selected based on a stratified approach. The sample was stratified by state</w:t>
      </w:r>
      <w:r w:rsidR="00874A3B">
        <w:t>/territory</w:t>
      </w:r>
      <w:r w:rsidRPr="00F7322D">
        <w:t>, ‘Australian Standard Geographical Classification – Remoteness Areas’ and ‘Business Entity Type’ (i.e. ownership type)</w:t>
      </w:r>
      <w:r w:rsidR="00F96F6B">
        <w:t xml:space="preserve"> and facility size</w:t>
      </w:r>
      <w:r w:rsidRPr="00F7322D">
        <w:t>.</w:t>
      </w:r>
    </w:p>
    <w:p w:rsidR="00F7322D" w:rsidRPr="00F7322D" w:rsidRDefault="00F7322D" w:rsidP="00AF5CE4">
      <w:pPr>
        <w:pStyle w:val="Normal-nospacing"/>
      </w:pPr>
      <w:r w:rsidRPr="00F7322D">
        <w:t>To calculate the required sample size for this study, the following assumptions were applied:</w:t>
      </w:r>
    </w:p>
    <w:p w:rsidR="00F7322D" w:rsidRPr="00F7322D" w:rsidRDefault="00F7322D" w:rsidP="00AB27C4">
      <w:pPr>
        <w:pStyle w:val="Bullet"/>
      </w:pPr>
      <w:r w:rsidRPr="000E5032">
        <w:t>The statistic of interest was the average ACFI payment per</w:t>
      </w:r>
      <w:r w:rsidRPr="00F7322D">
        <w:t xml:space="preserve"> resident per day (as an indicator of resident care cost). The statistic was based on the 2014/15 Commonwealth daily funding allocation per facility. The average payment per day across all facilities for this period was $150 with a standard deviation of $35 (x ̅ </w:t>
      </w:r>
      <w:r w:rsidRPr="00F7322D">
        <w:rPr>
          <w:rFonts w:ascii="Cambria Math" w:hAnsi="Cambria Math" w:cs="Cambria Math"/>
        </w:rPr>
        <w:t>≅</w:t>
      </w:r>
      <w:r w:rsidRPr="00F7322D">
        <w:t xml:space="preserve"> $150, s </w:t>
      </w:r>
      <w:r w:rsidRPr="00F7322D">
        <w:rPr>
          <w:rFonts w:ascii="Cambria Math" w:hAnsi="Cambria Math" w:cs="Cambria Math"/>
        </w:rPr>
        <w:t>≅</w:t>
      </w:r>
      <w:r w:rsidRPr="00F7322D">
        <w:t xml:space="preserve"> $35).</w:t>
      </w:r>
    </w:p>
    <w:p w:rsidR="00F7322D" w:rsidRPr="00F7322D" w:rsidRDefault="00AA365D" w:rsidP="00AB27C4">
      <w:pPr>
        <w:pStyle w:val="Bullet"/>
      </w:pPr>
      <w:r>
        <w:t>The sample size was calculated to allow a</w:t>
      </w:r>
      <w:r w:rsidR="00F7322D" w:rsidRPr="00F7322D">
        <w:t xml:space="preserve"> 95% confidence interval </w:t>
      </w:r>
      <w:r>
        <w:t>for</w:t>
      </w:r>
      <w:r w:rsidR="00F7322D" w:rsidRPr="00F7322D">
        <w:t xml:space="preserve"> </w:t>
      </w:r>
      <w:r w:rsidR="000E5032">
        <w:t>projected payment</w:t>
      </w:r>
      <w:r>
        <w:t>.</w:t>
      </w:r>
    </w:p>
    <w:p w:rsidR="00F7322D" w:rsidRPr="00F7322D" w:rsidRDefault="00F7322D" w:rsidP="00AB27C4">
      <w:pPr>
        <w:pStyle w:val="Bullet"/>
      </w:pPr>
      <w:r w:rsidRPr="00F7322D">
        <w:t>It was determined that with a margin of error of $10.00 per day, the sample size required would be approximately 80 facilities.</w:t>
      </w:r>
    </w:p>
    <w:p w:rsidR="00F7322D" w:rsidRPr="00F7322D" w:rsidRDefault="00BD3C7C" w:rsidP="00AF5CE4">
      <w:pPr>
        <w:pStyle w:val="Normal-nospacing"/>
      </w:pPr>
      <w:r w:rsidRPr="00BD3C7C">
        <w:t>Our initial analysis suggest</w:t>
      </w:r>
      <w:r w:rsidR="00AA365D">
        <w:t>ed</w:t>
      </w:r>
      <w:r w:rsidRPr="00BD3C7C">
        <w:t xml:space="preserve"> that 80 facilities w</w:t>
      </w:r>
      <w:r w:rsidR="000E5032">
        <w:t>ould</w:t>
      </w:r>
      <w:r w:rsidRPr="00BD3C7C">
        <w:t xml:space="preserve"> include approximately 6,000 residents. We expect</w:t>
      </w:r>
      <w:r w:rsidR="00AA365D">
        <w:t>ed</w:t>
      </w:r>
      <w:r w:rsidRPr="00BD3C7C">
        <w:t xml:space="preserve"> that sampling 50% of these residents (3,000) for assessment w</w:t>
      </w:r>
      <w:r w:rsidR="00AA365D">
        <w:t xml:space="preserve">ould </w:t>
      </w:r>
      <w:r w:rsidRPr="00BD3C7C">
        <w:t>generate a dataset sufficient</w:t>
      </w:r>
      <w:r w:rsidR="00AA365D">
        <w:t>ly large</w:t>
      </w:r>
      <w:r w:rsidRPr="00BD3C7C">
        <w:t xml:space="preserve"> for analysis purposes. </w:t>
      </w:r>
      <w:r>
        <w:t>Random s</w:t>
      </w:r>
      <w:r w:rsidRPr="00BD3C7C">
        <w:t xml:space="preserve">election of residents for assessment within each facility </w:t>
      </w:r>
      <w:r w:rsidR="00AA365D">
        <w:t>would</w:t>
      </w:r>
      <w:r w:rsidRPr="00BD3C7C">
        <w:t xml:space="preserve"> ensure a mix of residents in terms of time in </w:t>
      </w:r>
      <w:r w:rsidRPr="005F4AD0">
        <w:t xml:space="preserve">care (&lt; </w:t>
      </w:r>
      <w:r w:rsidR="000E5032" w:rsidRPr="005F4AD0">
        <w:t>3</w:t>
      </w:r>
      <w:r w:rsidRPr="005F4AD0">
        <w:t xml:space="preserve"> months, </w:t>
      </w:r>
      <w:r w:rsidR="000E5032" w:rsidRPr="005F4AD0">
        <w:t>3 - 6 months</w:t>
      </w:r>
      <w:r w:rsidRPr="005F4AD0">
        <w:t xml:space="preserve">, &gt; </w:t>
      </w:r>
      <w:r w:rsidR="000E5032" w:rsidRPr="005F4AD0">
        <w:t>6 months</w:t>
      </w:r>
      <w:r w:rsidRPr="005F4AD0">
        <w:t>)</w:t>
      </w:r>
      <w:r w:rsidR="00AA365D" w:rsidRPr="005F4AD0">
        <w:t xml:space="preserve"> as well as age and other individual characteristics</w:t>
      </w:r>
      <w:r w:rsidRPr="005F4AD0">
        <w:t>.</w:t>
      </w:r>
    </w:p>
    <w:p w:rsidR="00F7322D" w:rsidRPr="00F7322D" w:rsidRDefault="00F7322D" w:rsidP="00AF5CE4">
      <w:pPr>
        <w:pStyle w:val="Normal-nospacing"/>
      </w:pPr>
      <w:r w:rsidRPr="00F7322D">
        <w:t>The levels of stratification identified within the sample included:</w:t>
      </w:r>
    </w:p>
    <w:p w:rsidR="00F7322D" w:rsidRPr="00F7322D" w:rsidRDefault="001830EB" w:rsidP="00AB27C4">
      <w:pPr>
        <w:pStyle w:val="Bullet"/>
      </w:pPr>
      <w:r>
        <w:t>l</w:t>
      </w:r>
      <w:r w:rsidR="00F7322D" w:rsidRPr="00F7322D">
        <w:t xml:space="preserve">arge (100+ beds), medium (50-99 beds) </w:t>
      </w:r>
      <w:r w:rsidR="009E6324">
        <w:t>and small (&lt;50 beds) facilities</w:t>
      </w:r>
    </w:p>
    <w:p w:rsidR="00F7322D" w:rsidRPr="00F7322D" w:rsidRDefault="001830EB" w:rsidP="00AB27C4">
      <w:pPr>
        <w:pStyle w:val="Bullet"/>
      </w:pPr>
      <w:r>
        <w:t>m</w:t>
      </w:r>
      <w:r w:rsidR="00F7322D" w:rsidRPr="00F7322D">
        <w:t>ajor city, inner regional, outer regional, re</w:t>
      </w:r>
      <w:r w:rsidR="009E6324">
        <w:t>mote and very remote facilities</w:t>
      </w:r>
    </w:p>
    <w:p w:rsidR="00F7322D" w:rsidRDefault="001830EB" w:rsidP="00AB27C4">
      <w:pPr>
        <w:pStyle w:val="Bullet"/>
      </w:pPr>
      <w:r>
        <w:t>p</w:t>
      </w:r>
      <w:r w:rsidR="00F7322D" w:rsidRPr="00F7322D">
        <w:t>rivate for profit, not for profit, and government run facilities.</w:t>
      </w:r>
    </w:p>
    <w:p w:rsidR="00A94309" w:rsidRDefault="00A94309" w:rsidP="00AA365D">
      <w:pPr>
        <w:pStyle w:val="Heading2"/>
      </w:pPr>
      <w:bookmarkStart w:id="41" w:name="_Toc2083372"/>
      <w:r>
        <w:t xml:space="preserve">Site </w:t>
      </w:r>
      <w:r w:rsidRPr="0016396F">
        <w:t>selection</w:t>
      </w:r>
      <w:r>
        <w:t xml:space="preserve"> and recruitment</w:t>
      </w:r>
      <w:bookmarkEnd w:id="41"/>
    </w:p>
    <w:p w:rsidR="003C2797" w:rsidRDefault="00AA365D" w:rsidP="00AF5CE4">
      <w:pPr>
        <w:pStyle w:val="Normal-nospacing"/>
      </w:pPr>
      <w:r w:rsidRPr="00F7322D">
        <w:t>Facilities were initially selected randomly within the stratification levels after excluding from the available pool any facilities subject to recent sanctions for issues of care quality. The overall selection was then reviewed to ensure that it contained a mix of facilities providing services to target populations such as indigeno</w:t>
      </w:r>
      <w:r w:rsidRPr="00803F39">
        <w:t xml:space="preserve">us, </w:t>
      </w:r>
      <w:r w:rsidR="00803F39" w:rsidRPr="00803F39">
        <w:t>c</w:t>
      </w:r>
      <w:r w:rsidR="00803F39" w:rsidRPr="00803F39">
        <w:rPr>
          <w:rFonts w:ascii="Calibri" w:hAnsi="Calibri" w:cs="Calibri"/>
          <w:color w:val="000000"/>
        </w:rPr>
        <w:t>ulturally and linguistically diverse</w:t>
      </w:r>
      <w:r w:rsidR="00803F39" w:rsidRPr="00F7322D">
        <w:t xml:space="preserve"> </w:t>
      </w:r>
      <w:r w:rsidR="00803F39">
        <w:t>(</w:t>
      </w:r>
      <w:r w:rsidRPr="00F7322D">
        <w:t>CALD</w:t>
      </w:r>
      <w:r w:rsidR="00803F39">
        <w:t>)</w:t>
      </w:r>
      <w:r w:rsidRPr="00F7322D">
        <w:t>, disability</w:t>
      </w:r>
      <w:r>
        <w:t>,</w:t>
      </w:r>
      <w:r w:rsidRPr="00F7322D">
        <w:t xml:space="preserve"> mental health and people with a history of homelessness and drug and alcohol issues. </w:t>
      </w:r>
      <w:r w:rsidR="000E5032">
        <w:t>It was also important to ensure</w:t>
      </w:r>
      <w:r w:rsidRPr="00F7322D">
        <w:t xml:space="preserve"> that the sample provided a reasonable mix of facilities operated by large and small provider organisations and stand-alone facilities. </w:t>
      </w:r>
    </w:p>
    <w:p w:rsidR="00AA365D" w:rsidRDefault="00AA365D" w:rsidP="00AF5CE4">
      <w:pPr>
        <w:pStyle w:val="Normal-nospacing"/>
      </w:pPr>
      <w:r w:rsidRPr="00F7322D">
        <w:lastRenderedPageBreak/>
        <w:t>The facility list was then provided to the D</w:t>
      </w:r>
      <w:r w:rsidR="008247DC">
        <w:t>epartment</w:t>
      </w:r>
      <w:r w:rsidRPr="00F7322D">
        <w:t xml:space="preserve"> for review. </w:t>
      </w:r>
      <w:r w:rsidR="008247DC">
        <w:t>T</w:t>
      </w:r>
      <w:r w:rsidRPr="00F7322D">
        <w:t xml:space="preserve">his review </w:t>
      </w:r>
      <w:r w:rsidR="008247DC">
        <w:t xml:space="preserve">resulted in </w:t>
      </w:r>
      <w:r w:rsidRPr="00F7322D">
        <w:t xml:space="preserve">a small number of facilities </w:t>
      </w:r>
      <w:r w:rsidR="008247DC">
        <w:t>being</w:t>
      </w:r>
      <w:r w:rsidRPr="00F7322D">
        <w:t xml:space="preserve"> removed due to concerns about care quality, financial viability or fina</w:t>
      </w:r>
      <w:r w:rsidR="009E6324">
        <w:t>ncial reporting irregularities.</w:t>
      </w:r>
    </w:p>
    <w:p w:rsidR="0011713F" w:rsidRDefault="0011713F" w:rsidP="00AF5CE4">
      <w:pPr>
        <w:pStyle w:val="Normal-nospacing"/>
      </w:pPr>
      <w:r w:rsidRPr="002B5454">
        <w:t xml:space="preserve">A </w:t>
      </w:r>
      <w:r>
        <w:t>formal letter of invitation from AHSRI was sent to the Facility Manager for e</w:t>
      </w:r>
      <w:r w:rsidR="00871F9F">
        <w:t>ach selected facility</w:t>
      </w:r>
      <w:r w:rsidRPr="002B5454">
        <w:t xml:space="preserve">. </w:t>
      </w:r>
      <w:r>
        <w:t>Where a facility declined or there was no response, another facility from the same sampling cell was invited to participate.</w:t>
      </w:r>
      <w:r w:rsidR="00874A3B">
        <w:t xml:space="preserve"> </w:t>
      </w:r>
      <w:r>
        <w:t>Some organisations required more detailed information such as study protocols and ethics approval be provided for the study for internal research governance processes.</w:t>
      </w:r>
      <w:r w:rsidR="00871F9F">
        <w:t xml:space="preserve"> </w:t>
      </w:r>
      <w:r w:rsidRPr="002B5454">
        <w:t xml:space="preserve">The recruitment process occurred over the period from </w:t>
      </w:r>
      <w:r>
        <w:t>August</w:t>
      </w:r>
      <w:r w:rsidRPr="002B5454">
        <w:t xml:space="preserve"> to</w:t>
      </w:r>
      <w:r>
        <w:t xml:space="preserve"> December</w:t>
      </w:r>
      <w:r w:rsidRPr="002B5454">
        <w:t xml:space="preserve"> 2018.</w:t>
      </w:r>
      <w:r w:rsidR="009E6324">
        <w:t xml:space="preserve"> </w:t>
      </w:r>
      <w:r w:rsidR="00874A3B" w:rsidRPr="002B5454">
        <w:t>Agreement to participate was confirmed in</w:t>
      </w:r>
      <w:r w:rsidR="00874A3B">
        <w:t xml:space="preserve"> writing.</w:t>
      </w:r>
    </w:p>
    <w:p w:rsidR="0011713F" w:rsidRDefault="00AA365D" w:rsidP="00AF5CE4">
      <w:pPr>
        <w:pStyle w:val="Normal-nospacing"/>
      </w:pPr>
      <w:r>
        <w:t>Using this approach, a total o</w:t>
      </w:r>
      <w:r w:rsidRPr="00AA365D">
        <w:t>f</w:t>
      </w:r>
      <w:r>
        <w:t xml:space="preserve"> 69 </w:t>
      </w:r>
      <w:r w:rsidR="0011713F" w:rsidRPr="00AA365D">
        <w:t>facili</w:t>
      </w:r>
      <w:r w:rsidR="0011713F" w:rsidRPr="002B5454">
        <w:t xml:space="preserve">ties </w:t>
      </w:r>
      <w:r>
        <w:t xml:space="preserve">were </w:t>
      </w:r>
      <w:r w:rsidR="0011713F" w:rsidRPr="002B5454">
        <w:t>recruited to the study</w:t>
      </w:r>
      <w:r>
        <w:t>.</w:t>
      </w:r>
      <w:r w:rsidR="0011713F" w:rsidRPr="002B5454">
        <w:t xml:space="preserve"> </w:t>
      </w:r>
      <w:r w:rsidR="00157274">
        <w:t>As this was less than the required sample size, data from 11 facilities that had been collected in Study One were also used in the analysis. This resulted in a sample that included 3,145 residents from 80 facilities.</w:t>
      </w:r>
      <w:r w:rsidR="00871F9F">
        <w:t xml:space="preserve"> </w:t>
      </w:r>
      <w:r w:rsidR="003C2797">
        <w:t>The number of facilities included within each of the stratified sampling groups is provided in</w:t>
      </w:r>
      <w:r w:rsidR="00874A3B">
        <w:t xml:space="preserve"> </w:t>
      </w:r>
      <w:r w:rsidR="00874A3B">
        <w:fldChar w:fldCharType="begin"/>
      </w:r>
      <w:r w:rsidR="00874A3B">
        <w:instrText xml:space="preserve"> REF _Ref535167094 \h </w:instrText>
      </w:r>
      <w:r w:rsidR="00874A3B">
        <w:fldChar w:fldCharType="separate"/>
      </w:r>
      <w:r w:rsidR="00785B04" w:rsidRPr="008D75A0">
        <w:rPr>
          <w:rFonts w:ascii="Calibri" w:hAnsi="Calibri"/>
        </w:rPr>
        <w:t xml:space="preserve">Table </w:t>
      </w:r>
      <w:r w:rsidR="00785B04">
        <w:rPr>
          <w:rFonts w:ascii="Calibri" w:hAnsi="Calibri"/>
          <w:noProof/>
        </w:rPr>
        <w:t>1</w:t>
      </w:r>
      <w:r w:rsidR="00874A3B">
        <w:fldChar w:fldCharType="end"/>
      </w:r>
      <w:r w:rsidR="003C2797">
        <w:t xml:space="preserve">. </w:t>
      </w:r>
      <w:r w:rsidR="00871F9F">
        <w:t>The final list of participating facilities is provided in</w:t>
      </w:r>
      <w:r w:rsidR="00E832B5">
        <w:t xml:space="preserve"> </w:t>
      </w:r>
      <w:r w:rsidR="00E832B5">
        <w:fldChar w:fldCharType="begin"/>
      </w:r>
      <w:r w:rsidR="00E832B5">
        <w:instrText xml:space="preserve"> REF _Ref535481753 \h </w:instrText>
      </w:r>
      <w:r w:rsidR="00AF5CE4">
        <w:instrText xml:space="preserve"> \* MERGEFORMAT </w:instrText>
      </w:r>
      <w:r w:rsidR="00E832B5">
        <w:fldChar w:fldCharType="separate"/>
      </w:r>
      <w:r w:rsidR="00785B04" w:rsidRPr="003224C7">
        <w:t xml:space="preserve">Appendix </w:t>
      </w:r>
      <w:r w:rsidR="00785B04">
        <w:t>2</w:t>
      </w:r>
      <w:r w:rsidR="00E832B5">
        <w:fldChar w:fldCharType="end"/>
      </w:r>
      <w:r w:rsidR="00871F9F">
        <w:t>.</w:t>
      </w:r>
    </w:p>
    <w:p w:rsidR="000E5032" w:rsidRDefault="000E5032" w:rsidP="000E5032">
      <w:pPr>
        <w:pStyle w:val="Caption"/>
      </w:pPr>
      <w:bookmarkStart w:id="42" w:name="_Ref535167094"/>
      <w:bookmarkStart w:id="43" w:name="_Toc532579827"/>
      <w:bookmarkStart w:id="44" w:name="_Toc953893"/>
      <w:r w:rsidRPr="008D75A0">
        <w:rPr>
          <w:rFonts w:ascii="Calibri" w:hAnsi="Calibri"/>
        </w:rPr>
        <w:t xml:space="preserve">Table </w:t>
      </w:r>
      <w:r w:rsidRPr="008D75A0">
        <w:rPr>
          <w:rFonts w:ascii="Calibri" w:hAnsi="Calibri"/>
        </w:rPr>
        <w:fldChar w:fldCharType="begin"/>
      </w:r>
      <w:r w:rsidRPr="008D75A0">
        <w:rPr>
          <w:rFonts w:ascii="Calibri" w:hAnsi="Calibri"/>
          <w:noProof/>
        </w:rPr>
        <w:instrText xml:space="preserve"> SEQ Table \* ARABIC </w:instrText>
      </w:r>
      <w:r w:rsidRPr="008D75A0">
        <w:rPr>
          <w:rFonts w:ascii="Calibri" w:hAnsi="Calibri"/>
        </w:rPr>
        <w:fldChar w:fldCharType="separate"/>
      </w:r>
      <w:r w:rsidR="00785B04">
        <w:rPr>
          <w:rFonts w:ascii="Calibri" w:hAnsi="Calibri"/>
          <w:noProof/>
        </w:rPr>
        <w:t>1</w:t>
      </w:r>
      <w:r w:rsidRPr="008D75A0">
        <w:rPr>
          <w:rFonts w:ascii="Calibri" w:hAnsi="Calibri"/>
        </w:rPr>
        <w:fldChar w:fldCharType="end"/>
      </w:r>
      <w:bookmarkEnd w:id="42"/>
      <w:r w:rsidR="00341AF1">
        <w:rPr>
          <w:rFonts w:ascii="Calibri" w:hAnsi="Calibri"/>
        </w:rPr>
        <w:t xml:space="preserve"> </w:t>
      </w:r>
      <w:r w:rsidRPr="008D75A0">
        <w:rPr>
          <w:rFonts w:ascii="Calibri" w:hAnsi="Calibri"/>
        </w:rPr>
        <w:tab/>
      </w:r>
      <w:bookmarkEnd w:id="43"/>
      <w:r w:rsidRPr="008D75A0">
        <w:t>The stratified samp</w:t>
      </w:r>
      <w:r w:rsidR="00635C72">
        <w:t>le – number of facilities by strata</w:t>
      </w:r>
      <w:bookmarkEnd w:id="44"/>
    </w:p>
    <w:p w:rsidR="009E6324" w:rsidRPr="009E6324" w:rsidRDefault="009E6324" w:rsidP="009E6324">
      <w:r>
        <w:rPr>
          <w:noProof/>
        </w:rPr>
        <w:drawing>
          <wp:inline distT="0" distB="0" distL="0" distR="0" wp14:anchorId="32B34060" wp14:editId="21B9785F">
            <wp:extent cx="5731510" cy="4355465"/>
            <wp:effectExtent l="0" t="0" r="2540" b="6985"/>
            <wp:docPr id="8" name="Picture 8" descr="Table 1 shows the type and size of facilities selected in specific regions.  ACT - All regions: 1 facility (type and size not applicable). NSW - Major City - Private for Profit: Medium 3, Large 2; Not for Profit: Small 2, Medium 4, Large 5; Government: 1 (size not applicable). NSW Regional - Private for Profit: 1 (size not applicable); Not for Profit: Small 4, Medium 2, Large 0; Government: 1 (size not applicable). NT Regional: 1 (type and size not applicable), Government category not applicable. QLD Major city - Private for Profit: Medium 1, Large 1; Not for profit: Medium 1, Large, 3; Government: not applicable. QLD - Regional: Private for Profit: 1 of any size; Not for profit: Small 3, Medium 2, Large 2; Government: not applicable. SA - Major City: Private for Profit: not applicable; Not for profit: Small 1, Medium 2, Large 1; Government 1 total for SA region (size not applicable). SA - Regional: Private for Profit and Private Not for profit 1 total (size not applicable). TAS - All Regions: Private for Profit: 1 (size not applicable); Not for Profit: Medium 2, Large 1; Government: not applicable. VIC Major City - Private for Profit: Medium 4, Large 2; Not for Profit: Small 2, Medium 4, Large 1; Government: 1 (size not applicable). VIC - Regional: Private for Profit: 2 (size not applicable); Private not for Profit: 1 (size not applicable); Government: 3 (size not applicable). WA Major City - Private for Profit: 1 (size not applicable); Not for Profit: Small 1, Medium 2, Large 1, Government: not applicable. WA - Regional: Private for Profit and Not for Profit: total 1 (size not applicable); Government: not applicable. Remote/ Very Remote - 4 (size and type not applicable)." title="Table 1 The stratified sample - number of facilities by str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4355465"/>
                    </a:xfrm>
                    <a:prstGeom prst="rect">
                      <a:avLst/>
                    </a:prstGeom>
                  </pic:spPr>
                </pic:pic>
              </a:graphicData>
            </a:graphic>
          </wp:inline>
        </w:drawing>
      </w:r>
    </w:p>
    <w:p w:rsidR="007125BF" w:rsidRDefault="007125BF">
      <w:pPr>
        <w:spacing w:after="200" w:line="276" w:lineRule="auto"/>
        <w:rPr>
          <w:rFonts w:eastAsiaTheme="minorHAnsi" w:cstheme="minorHAnsi"/>
          <w:lang w:eastAsia="zh-CN" w:bidi="th-TH"/>
        </w:rPr>
      </w:pPr>
      <w:r>
        <w:br w:type="page"/>
      </w:r>
    </w:p>
    <w:p w:rsidR="00AA365D" w:rsidRDefault="00157274" w:rsidP="00AF5CE4">
      <w:pPr>
        <w:pStyle w:val="Normal-nospacing"/>
      </w:pPr>
      <w:r>
        <w:lastRenderedPageBreak/>
        <w:t xml:space="preserve">Within each of the </w:t>
      </w:r>
      <w:r w:rsidR="00871F9F">
        <w:t>participating</w:t>
      </w:r>
      <w:r>
        <w:t xml:space="preserve"> facilities, 50% of residents were selected randomly.</w:t>
      </w:r>
      <w:r w:rsidR="00507708">
        <w:t xml:space="preserve"> </w:t>
      </w:r>
      <w:r w:rsidR="00871F9F">
        <w:t>De-</w:t>
      </w:r>
      <w:r w:rsidR="001612A9">
        <w:t>identified</w:t>
      </w:r>
      <w:r w:rsidR="00871F9F">
        <w:t xml:space="preserve"> l</w:t>
      </w:r>
      <w:r w:rsidR="00507708">
        <w:t xml:space="preserve">ists of residents were </w:t>
      </w:r>
      <w:r w:rsidR="00871F9F">
        <w:t>provided by each of the facilities</w:t>
      </w:r>
      <w:r w:rsidR="00507708">
        <w:t>. Where the care home had distinct wards</w:t>
      </w:r>
      <w:r w:rsidR="00871F9F">
        <w:t xml:space="preserve"> or units</w:t>
      </w:r>
      <w:r w:rsidR="00507708">
        <w:t xml:space="preserve">, the residents were listed separately by </w:t>
      </w:r>
      <w:r w:rsidR="00871F9F">
        <w:t>unit</w:t>
      </w:r>
      <w:r w:rsidR="00507708">
        <w:t xml:space="preserve"> to ensure r</w:t>
      </w:r>
      <w:r w:rsidR="00871F9F">
        <w:t>andom selection</w:t>
      </w:r>
      <w:r w:rsidR="000C087C">
        <w:t xml:space="preserve"> across the facility</w:t>
      </w:r>
      <w:r w:rsidR="00507708">
        <w:t xml:space="preserve">. </w:t>
      </w:r>
      <w:r w:rsidR="002C6DF8">
        <w:t>If a resident or their family refused consent, or w</w:t>
      </w:r>
      <w:r w:rsidR="000C087C">
        <w:t>as not able to be assessed for an</w:t>
      </w:r>
      <w:r w:rsidR="002C6DF8">
        <w:t>other reason, the next resident on the list took their place.</w:t>
      </w:r>
      <w:r w:rsidR="00507708">
        <w:t xml:space="preserve"> </w:t>
      </w:r>
      <w:r w:rsidR="000C087C">
        <w:t xml:space="preserve">This strategy ensured that the </w:t>
      </w:r>
      <w:r w:rsidR="002C6DF8">
        <w:t>sample</w:t>
      </w:r>
      <w:r w:rsidR="000C087C">
        <w:t xml:space="preserve"> was</w:t>
      </w:r>
      <w:r w:rsidR="002C6DF8">
        <w:t xml:space="preserve"> representative </w:t>
      </w:r>
      <w:r w:rsidR="000C087C">
        <w:t xml:space="preserve">of the profile </w:t>
      </w:r>
      <w:r w:rsidR="002C6DF8">
        <w:t xml:space="preserve">of </w:t>
      </w:r>
      <w:r w:rsidR="000C087C">
        <w:t xml:space="preserve">residents across </w:t>
      </w:r>
      <w:r w:rsidR="002C6DF8">
        <w:t>the facility</w:t>
      </w:r>
      <w:r w:rsidR="00507708">
        <w:t xml:space="preserve">. </w:t>
      </w:r>
    </w:p>
    <w:p w:rsidR="00EF7695" w:rsidRDefault="009D11EF" w:rsidP="00AF5CE4">
      <w:pPr>
        <w:pStyle w:val="Normal-nospacing"/>
      </w:pPr>
      <w:r>
        <w:t>T</w:t>
      </w:r>
      <w:r w:rsidR="00507708">
        <w:t>his strategy resulted in a 50% sample of occupied beds rather than 50% of available beds.</w:t>
      </w:r>
      <w:r w:rsidR="003C2797">
        <w:t xml:space="preserve"> </w:t>
      </w:r>
      <w:r w:rsidR="00192A24">
        <w:t>T</w:t>
      </w:r>
      <w:r>
        <w:t xml:space="preserve">his was not considered to be a material issue as </w:t>
      </w:r>
      <w:r w:rsidR="003C2797">
        <w:t xml:space="preserve">occupancy rates are typically high in </w:t>
      </w:r>
      <w:r>
        <w:t>residential aged care</w:t>
      </w:r>
      <w:r w:rsidR="003C2797">
        <w:t>.</w:t>
      </w:r>
    </w:p>
    <w:p w:rsidR="00EF7695" w:rsidRDefault="00EF7695">
      <w:pPr>
        <w:spacing w:after="200" w:line="276" w:lineRule="auto"/>
        <w:rPr>
          <w:rFonts w:eastAsiaTheme="minorHAnsi" w:cstheme="minorHAnsi"/>
          <w:lang w:eastAsia="zh-CN" w:bidi="th-TH"/>
        </w:rPr>
      </w:pPr>
      <w:r>
        <w:br w:type="page"/>
      </w:r>
    </w:p>
    <w:p w:rsidR="00A94309" w:rsidRDefault="000C087C" w:rsidP="000C087C">
      <w:pPr>
        <w:pStyle w:val="Heading1"/>
      </w:pPr>
      <w:bookmarkStart w:id="45" w:name="_Toc530165287"/>
      <w:bookmarkStart w:id="46" w:name="_Toc2083373"/>
      <w:r>
        <w:lastRenderedPageBreak/>
        <w:t>Study design</w:t>
      </w:r>
      <w:bookmarkEnd w:id="45"/>
      <w:bookmarkEnd w:id="46"/>
    </w:p>
    <w:p w:rsidR="00155848" w:rsidRDefault="009D11EF" w:rsidP="00AF5CE4">
      <w:pPr>
        <w:pStyle w:val="Normal-nospacing"/>
      </w:pPr>
      <w:r>
        <w:t>This s</w:t>
      </w:r>
      <w:r w:rsidR="00806572">
        <w:t xml:space="preserve">tudy was designed to </w:t>
      </w:r>
      <w:r w:rsidR="00EF7695">
        <w:t>collect</w:t>
      </w:r>
      <w:r>
        <w:t xml:space="preserve"> </w:t>
      </w:r>
      <w:r w:rsidR="00806572">
        <w:t>a national</w:t>
      </w:r>
      <w:r w:rsidR="00155848">
        <w:t xml:space="preserve"> sample of resident</w:t>
      </w:r>
      <w:r w:rsidR="00EF7695">
        <w:t xml:space="preserve"> data</w:t>
      </w:r>
      <w:r w:rsidR="00155848">
        <w:t xml:space="preserve"> from randomly selected facilities representing various strata in the population of residential aged care homes. These strata were defined by geographic location (including state or territory), size of care home as measured by available beds and ownership type (government, not for profit</w:t>
      </w:r>
      <w:r w:rsidR="005A4E82" w:rsidRPr="005A4E82">
        <w:t xml:space="preserve"> </w:t>
      </w:r>
      <w:r w:rsidR="005A4E82">
        <w:t>or private for profit</w:t>
      </w:r>
      <w:r w:rsidR="009E6324">
        <w:t>).</w:t>
      </w:r>
    </w:p>
    <w:p w:rsidR="00806572" w:rsidRDefault="00155848" w:rsidP="00AF5CE4">
      <w:pPr>
        <w:pStyle w:val="Normal-nospacing"/>
      </w:pPr>
      <w:r>
        <w:t xml:space="preserve">The </w:t>
      </w:r>
      <w:r w:rsidR="009D11EF">
        <w:t xml:space="preserve">purpose of </w:t>
      </w:r>
      <w:r>
        <w:t>this study w</w:t>
      </w:r>
      <w:r w:rsidR="009D11EF">
        <w:t>as</w:t>
      </w:r>
      <w:r>
        <w:t xml:space="preserve"> to estimate a national profile of residents and to investigate the redistribution of funding that would be likely to result from the introduction of the AN-ACC funding model to replace that currently ACFI</w:t>
      </w:r>
      <w:r w:rsidR="009D11EF">
        <w:t xml:space="preserve"> model</w:t>
      </w:r>
      <w:r w:rsidR="009E6324">
        <w:t>.</w:t>
      </w:r>
    </w:p>
    <w:p w:rsidR="00BB13CD" w:rsidRDefault="00F37BF2" w:rsidP="00AF5CE4">
      <w:pPr>
        <w:pStyle w:val="Normal-nospacing"/>
      </w:pPr>
      <w:r>
        <w:t>As per the initial assessment study</w:t>
      </w:r>
      <w:r w:rsidR="009D11EF">
        <w:t>, resident assessments were undertaken by expert</w:t>
      </w:r>
      <w:r>
        <w:t xml:space="preserve"> assessors </w:t>
      </w:r>
      <w:r w:rsidR="009D11EF">
        <w:t xml:space="preserve">independent of the care home.  Further information about the assessment process is included in Report </w:t>
      </w:r>
      <w:r w:rsidR="001830EB">
        <w:t>2</w:t>
      </w:r>
      <w:r w:rsidR="009D11EF">
        <w:t>.</w:t>
      </w:r>
    </w:p>
    <w:p w:rsidR="00F37BF2" w:rsidRDefault="00F37BF2" w:rsidP="00AF5CE4">
      <w:pPr>
        <w:pStyle w:val="Normal-nospacing"/>
      </w:pPr>
      <w:r>
        <w:t>The assessment component of the data collection was combined with profiling information about the facility in order to understand how the different facility characteristics and resident profiles affect the funding allocation. Facilities were categorised according to characteristics of</w:t>
      </w:r>
      <w:r w:rsidR="00AF5CE4">
        <w:t>:</w:t>
      </w:r>
    </w:p>
    <w:p w:rsidR="00F37BF2" w:rsidRDefault="009D11EF" w:rsidP="00ED459C">
      <w:pPr>
        <w:pStyle w:val="Bullet"/>
      </w:pPr>
      <w:r>
        <w:t>S</w:t>
      </w:r>
      <w:r w:rsidR="00F37BF2">
        <w:t>tate</w:t>
      </w:r>
      <w:r>
        <w:t>/Territory</w:t>
      </w:r>
    </w:p>
    <w:p w:rsidR="00F37BF2" w:rsidRDefault="001830EB" w:rsidP="00ED459C">
      <w:pPr>
        <w:pStyle w:val="Bullet"/>
      </w:pPr>
      <w:r>
        <w:t>g</w:t>
      </w:r>
      <w:r w:rsidR="00F37BF2">
        <w:t>eographical isolation</w:t>
      </w:r>
    </w:p>
    <w:p w:rsidR="00F37BF2" w:rsidRDefault="001830EB" w:rsidP="00ED459C">
      <w:pPr>
        <w:pStyle w:val="Bullet"/>
      </w:pPr>
      <w:r>
        <w:t>s</w:t>
      </w:r>
      <w:r w:rsidR="00F37BF2">
        <w:t>ize</w:t>
      </w:r>
    </w:p>
    <w:p w:rsidR="00F37BF2" w:rsidRDefault="001830EB" w:rsidP="00ED459C">
      <w:pPr>
        <w:pStyle w:val="Bullet"/>
      </w:pPr>
      <w:r>
        <w:t>o</w:t>
      </w:r>
      <w:r w:rsidR="00F37BF2">
        <w:t>wnership</w:t>
      </w:r>
    </w:p>
    <w:p w:rsidR="00EF7695" w:rsidRDefault="001830EB" w:rsidP="00EF7695">
      <w:pPr>
        <w:pStyle w:val="Bullet"/>
      </w:pPr>
      <w:r>
        <w:t>c</w:t>
      </w:r>
      <w:r w:rsidR="00F37BF2">
        <w:t xml:space="preserve">linical or target group specialisation (e.g. </w:t>
      </w:r>
      <w:r w:rsidR="00F32BE1">
        <w:t xml:space="preserve">palliative care, </w:t>
      </w:r>
      <w:r w:rsidR="00F37BF2" w:rsidRPr="003D0D8E">
        <w:t>specialis</w:t>
      </w:r>
      <w:r w:rsidR="00F32BE1">
        <w:t xml:space="preserve">t dementia, for the homeless </w:t>
      </w:r>
      <w:r w:rsidR="00F37BF2" w:rsidRPr="003D0D8E">
        <w:t>psychogeriatric</w:t>
      </w:r>
      <w:r w:rsidR="00F32BE1">
        <w:t xml:space="preserve">, mental health or </w:t>
      </w:r>
      <w:r w:rsidR="00F32BE1" w:rsidRPr="003D0D8E">
        <w:t>d</w:t>
      </w:r>
      <w:r w:rsidR="00F32BE1">
        <w:t>rug and alcohol</w:t>
      </w:r>
      <w:r w:rsidR="00F37BF2">
        <w:t xml:space="preserve">) </w:t>
      </w:r>
      <w:r w:rsidR="00F32BE1">
        <w:t>either related to the role of the whole facility or to the presence of specialist units within the facility</w:t>
      </w:r>
      <w:r w:rsidR="00F37BF2" w:rsidRPr="003D0D8E">
        <w:t>.</w:t>
      </w:r>
    </w:p>
    <w:p w:rsidR="00AF5CE4" w:rsidRDefault="00AF5CE4" w:rsidP="00157274">
      <w:pPr>
        <w:spacing w:before="120" w:after="120"/>
      </w:pPr>
      <w:r>
        <w:br w:type="page"/>
      </w:r>
    </w:p>
    <w:p w:rsidR="00BB13CD" w:rsidRDefault="00507708" w:rsidP="00507708">
      <w:pPr>
        <w:pStyle w:val="Heading1"/>
      </w:pPr>
      <w:bookmarkStart w:id="47" w:name="_Toc2083374"/>
      <w:r>
        <w:lastRenderedPageBreak/>
        <w:t>D</w:t>
      </w:r>
      <w:r w:rsidRPr="00507708">
        <w:t>ata collection</w:t>
      </w:r>
      <w:r>
        <w:t xml:space="preserve"> and analysis </w:t>
      </w:r>
      <w:r w:rsidR="001331FA">
        <w:t>methodology</w:t>
      </w:r>
      <w:bookmarkEnd w:id="47"/>
    </w:p>
    <w:p w:rsidR="00BB13CD" w:rsidRDefault="00157274" w:rsidP="00331160">
      <w:pPr>
        <w:spacing w:before="120" w:after="120"/>
      </w:pPr>
      <w:r>
        <w:t xml:space="preserve">The data were collected and entered into a database in preparation for analysis. They were checked for accuracy and </w:t>
      </w:r>
      <w:r w:rsidR="00507708">
        <w:t>consistency at several stages to help ensure that the data to be used were “clean”.</w:t>
      </w:r>
    </w:p>
    <w:p w:rsidR="00507708" w:rsidRDefault="00507708" w:rsidP="00331160">
      <w:pPr>
        <w:spacing w:before="120" w:after="120"/>
      </w:pPr>
      <w:r>
        <w:t xml:space="preserve">Once </w:t>
      </w:r>
      <w:r w:rsidR="003D50DD">
        <w:t>the data were considered to be of sufficient quality, a descriptive analysis was undertaken. Subsequently population estimates were calculated</w:t>
      </w:r>
      <w:r w:rsidR="00892F72">
        <w:t xml:space="preserve"> where appropriate</w:t>
      </w:r>
      <w:r w:rsidR="003D50DD">
        <w:t>, thereby providing an indication of the impa</w:t>
      </w:r>
      <w:r w:rsidR="009E6324">
        <w:t>ct of the proposed methodology.</w:t>
      </w:r>
    </w:p>
    <w:p w:rsidR="00507708" w:rsidRDefault="00507708" w:rsidP="00507708">
      <w:pPr>
        <w:pStyle w:val="Heading2"/>
      </w:pPr>
      <w:bookmarkStart w:id="48" w:name="_Toc2083375"/>
      <w:r>
        <w:t>Data collection and quality review process</w:t>
      </w:r>
      <w:bookmarkEnd w:id="48"/>
    </w:p>
    <w:p w:rsidR="00512277" w:rsidRDefault="00512277" w:rsidP="00507708">
      <w:pPr>
        <w:spacing w:before="120" w:after="120"/>
      </w:pPr>
      <w:r>
        <w:t>Assessors recorded the data for this collection on paper forms which were mailed to AHSRI. On receipt at AHSRI, the forms were checked for missing data. In addition, the forms underwent some high-level checks for clinical consistency.</w:t>
      </w:r>
    </w:p>
    <w:p w:rsidR="00512277" w:rsidRDefault="00512277" w:rsidP="00507708">
      <w:pPr>
        <w:spacing w:before="120" w:after="120"/>
      </w:pPr>
      <w:r>
        <w:t xml:space="preserve">If an error was detected, the form was scanned and sent back to the assessor for correction. Weekly teleconferences with assessors were held and this provided an opportunity to discuss ways to improve the accuracy of the data collection. </w:t>
      </w:r>
      <w:r w:rsidR="00EF7695">
        <w:t>C</w:t>
      </w:r>
      <w:r>
        <w:t>ase studies were presented</w:t>
      </w:r>
      <w:r w:rsidR="00EF7695">
        <w:t xml:space="preserve"> and f</w:t>
      </w:r>
      <w:r>
        <w:t>requently asked questions were circulated to help ensure the consistency of the data collection. In addition, assessors were encouraged to quality check each other’s work before mailing back the forms.</w:t>
      </w:r>
    </w:p>
    <w:p w:rsidR="00512277" w:rsidRDefault="00512277" w:rsidP="00507708">
      <w:pPr>
        <w:spacing w:before="120" w:after="120"/>
      </w:pPr>
      <w:r>
        <w:t xml:space="preserve">The data were entered by two specially recruited staff members. Once the records were entered in the database, fifteen records were randomly selected from a range of </w:t>
      </w:r>
      <w:r w:rsidRPr="00507708">
        <w:t xml:space="preserve">facilities </w:t>
      </w:r>
      <w:r>
        <w:t>and checked against the paper forms. Corrections were made when required.</w:t>
      </w:r>
    </w:p>
    <w:p w:rsidR="00512277" w:rsidRDefault="00512277" w:rsidP="00507708">
      <w:pPr>
        <w:spacing w:before="120" w:after="120"/>
      </w:pPr>
      <w:r>
        <w:t>Additional checks on the database included completeness of records and consistency between items. A set of “fatal errors” was devised. These were errors which called into question the integrity of the record, such as scores on two different items being clinically incompatible. When such an error was detected, it was corrected whenever possible, which was usually a data entry error, or the item could be corrected by the assessor. Records with fatal errors that were not corrected had to be dropped from the analysis data set. There were 34 of these.</w:t>
      </w:r>
    </w:p>
    <w:p w:rsidR="00BB13CD" w:rsidRDefault="003D50DD" w:rsidP="003D50DD">
      <w:pPr>
        <w:pStyle w:val="Heading2"/>
      </w:pPr>
      <w:bookmarkStart w:id="49" w:name="_Toc2083376"/>
      <w:r>
        <w:t xml:space="preserve">Data analysis </w:t>
      </w:r>
      <w:r w:rsidR="001331FA">
        <w:t>methodology</w:t>
      </w:r>
      <w:bookmarkEnd w:id="49"/>
      <w:r w:rsidR="00294657">
        <w:t xml:space="preserve"> </w:t>
      </w:r>
    </w:p>
    <w:p w:rsidR="00892F72" w:rsidRDefault="00892F72" w:rsidP="00892F72">
      <w:pPr>
        <w:spacing w:before="120" w:after="120"/>
      </w:pPr>
      <w:r>
        <w:t>The data analysis con</w:t>
      </w:r>
      <w:r w:rsidR="00EF7695">
        <w:t xml:space="preserve">sisted of </w:t>
      </w:r>
      <w:r>
        <w:t xml:space="preserve">a </w:t>
      </w:r>
      <w:r w:rsidRPr="004A643E">
        <w:t xml:space="preserve">descriptive analysis of the </w:t>
      </w:r>
      <w:r>
        <w:t xml:space="preserve">sample </w:t>
      </w:r>
      <w:r w:rsidRPr="004A643E">
        <w:t xml:space="preserve">data </w:t>
      </w:r>
      <w:r>
        <w:t>and a projection of selected results from the sample onto the national scale.</w:t>
      </w:r>
    </w:p>
    <w:p w:rsidR="00850C04" w:rsidRDefault="00892F72" w:rsidP="00892F72">
      <w:pPr>
        <w:spacing w:before="120" w:after="120"/>
      </w:pPr>
      <w:r>
        <w:t>The</w:t>
      </w:r>
      <w:r w:rsidR="004A643E">
        <w:t xml:space="preserve"> </w:t>
      </w:r>
      <w:r w:rsidR="004A643E" w:rsidRPr="004A643E">
        <w:t xml:space="preserve">descriptive analysis </w:t>
      </w:r>
      <w:r w:rsidR="00E15E28" w:rsidRPr="004A643E">
        <w:t xml:space="preserve">of the data was </w:t>
      </w:r>
      <w:r w:rsidR="004A643E">
        <w:t>undertaken to provide a</w:t>
      </w:r>
      <w:r w:rsidR="004A643E" w:rsidRPr="004A643E">
        <w:t xml:space="preserve">n overview </w:t>
      </w:r>
      <w:r w:rsidR="00E15E28" w:rsidRPr="004A643E">
        <w:t xml:space="preserve">of </w:t>
      </w:r>
      <w:r w:rsidR="004A643E">
        <w:t>the sample</w:t>
      </w:r>
      <w:r w:rsidR="00E15E28">
        <w:t>.</w:t>
      </w:r>
      <w:r w:rsidR="004A643E">
        <w:t xml:space="preserve"> </w:t>
      </w:r>
      <w:r w:rsidR="00850C04">
        <w:t>This demonstrated</w:t>
      </w:r>
      <w:r w:rsidR="004A643E">
        <w:t xml:space="preserve"> the </w:t>
      </w:r>
      <w:r w:rsidR="00850C04">
        <w:t xml:space="preserve">distribution of </w:t>
      </w:r>
      <w:r w:rsidR="00E15E28">
        <w:t xml:space="preserve">residents </w:t>
      </w:r>
      <w:r w:rsidR="00850C04">
        <w:t>across</w:t>
      </w:r>
      <w:r w:rsidR="00E15E28">
        <w:t xml:space="preserve"> </w:t>
      </w:r>
      <w:r w:rsidR="00850C04">
        <w:t>various strata:</w:t>
      </w:r>
    </w:p>
    <w:p w:rsidR="00850C04" w:rsidRDefault="00E15E28" w:rsidP="00EF7695">
      <w:pPr>
        <w:pStyle w:val="Bullet"/>
      </w:pPr>
      <w:r>
        <w:t>the classes of the AN-ACC classification</w:t>
      </w:r>
    </w:p>
    <w:p w:rsidR="00850C04" w:rsidRDefault="00850C04" w:rsidP="00EF7695">
      <w:pPr>
        <w:pStyle w:val="Bullet"/>
      </w:pPr>
      <w:r>
        <w:t>geographical location</w:t>
      </w:r>
    </w:p>
    <w:p w:rsidR="00850C04" w:rsidRDefault="00850C04" w:rsidP="00EF7695">
      <w:pPr>
        <w:pStyle w:val="Bullet"/>
      </w:pPr>
      <w:r>
        <w:t>size of facility</w:t>
      </w:r>
    </w:p>
    <w:p w:rsidR="00850C04" w:rsidRDefault="00850C04" w:rsidP="00EF7695">
      <w:pPr>
        <w:pStyle w:val="Bullet"/>
      </w:pPr>
      <w:r>
        <w:t>ownership of the facility</w:t>
      </w:r>
    </w:p>
    <w:p w:rsidR="00850C04" w:rsidRDefault="00850C04" w:rsidP="00EF7695">
      <w:pPr>
        <w:pStyle w:val="Bullet"/>
      </w:pPr>
      <w:r>
        <w:t>specialisation</w:t>
      </w:r>
    </w:p>
    <w:p w:rsidR="00850C04" w:rsidRDefault="00850C04" w:rsidP="00EF7695">
      <w:pPr>
        <w:pStyle w:val="Bullet"/>
      </w:pPr>
      <w:r>
        <w:lastRenderedPageBreak/>
        <w:t>resident age group</w:t>
      </w:r>
    </w:p>
    <w:p w:rsidR="00850C04" w:rsidRDefault="00850C04" w:rsidP="00EF7695">
      <w:pPr>
        <w:pStyle w:val="Bullet"/>
      </w:pPr>
      <w:r>
        <w:t>resident indigenous status</w:t>
      </w:r>
    </w:p>
    <w:p w:rsidR="00850C04" w:rsidRDefault="00850C04" w:rsidP="00EF7695">
      <w:pPr>
        <w:pStyle w:val="Bullet"/>
      </w:pPr>
      <w:r>
        <w:t>length of time the resident had been in care</w:t>
      </w:r>
    </w:p>
    <w:p w:rsidR="00BB13CD" w:rsidRDefault="00850C04" w:rsidP="00EF7695">
      <w:pPr>
        <w:pStyle w:val="Bullet"/>
      </w:pPr>
      <w:r>
        <w:t>whether English was the resident’s preferred language</w:t>
      </w:r>
      <w:r w:rsidR="00090434">
        <w:t>.</w:t>
      </w:r>
    </w:p>
    <w:p w:rsidR="00892F72" w:rsidRDefault="00892F72" w:rsidP="009341CA">
      <w:pPr>
        <w:pStyle w:val="Bullets"/>
        <w:numPr>
          <w:ilvl w:val="0"/>
          <w:numId w:val="0"/>
        </w:numPr>
      </w:pPr>
      <w:r>
        <w:t>T</w:t>
      </w:r>
      <w:r w:rsidRPr="00CA2394">
        <w:t>o estimate the impact of the funding, the sample data were used to project the national distribution of classes and the relative financial impact. Population estimates were calculated as weighted averages, with the weights based on the relative frequencies in the various strata defined by state, size of facility, geographical location and ownership</w:t>
      </w:r>
      <w:r w:rsidR="005A4E82" w:rsidRPr="00CA2394">
        <w:t>.</w:t>
      </w:r>
      <w:r w:rsidRPr="00CA2394">
        <w:t xml:space="preserve"> </w:t>
      </w:r>
      <w:r w:rsidR="00CA2394" w:rsidRPr="00CA2394">
        <w:t xml:space="preserve">Report </w:t>
      </w:r>
      <w:r w:rsidRPr="00CA2394">
        <w:t>7</w:t>
      </w:r>
      <w:r w:rsidR="00CA2394" w:rsidRPr="00CA2394">
        <w:t xml:space="preserve"> in this series provides m</w:t>
      </w:r>
      <w:r w:rsidRPr="00CA2394">
        <w:t>ore details on the weights.</w:t>
      </w:r>
    </w:p>
    <w:p w:rsidR="000A7344" w:rsidRDefault="00892F72" w:rsidP="00331160">
      <w:pPr>
        <w:spacing w:before="120" w:after="120"/>
      </w:pPr>
      <w:r w:rsidRPr="00CA2394">
        <w:t>For the calculation of total funding, additional occupancy rates were deriv</w:t>
      </w:r>
      <w:r w:rsidR="005A4E82" w:rsidRPr="00CA2394">
        <w:t>ed from secondary data sources (</w:t>
      </w:r>
      <w:r w:rsidRPr="00CA2394">
        <w:t xml:space="preserve">see </w:t>
      </w:r>
      <w:r w:rsidR="00CA2394" w:rsidRPr="00CA2394">
        <w:t xml:space="preserve">Report </w:t>
      </w:r>
      <w:r w:rsidR="001830EB">
        <w:t>7</w:t>
      </w:r>
      <w:r w:rsidR="005A4E82" w:rsidRPr="00CA2394">
        <w:t>)</w:t>
      </w:r>
      <w:r w:rsidRPr="00CA2394">
        <w:t xml:space="preserve">. The relative funding impact assessment included </w:t>
      </w:r>
      <w:r w:rsidR="005A4E82" w:rsidRPr="00CA2394">
        <w:t xml:space="preserve">a </w:t>
      </w:r>
      <w:r w:rsidRPr="00CA2394">
        <w:t xml:space="preserve">fixed component, </w:t>
      </w:r>
      <w:r w:rsidR="005A4E82" w:rsidRPr="00CA2394">
        <w:t xml:space="preserve">a </w:t>
      </w:r>
      <w:r w:rsidRPr="00CA2394">
        <w:t xml:space="preserve">variable component and a component for the adjustment period for new residents (a one-off payment equivalent to 5.28 NWAUs). </w:t>
      </w:r>
      <w:r w:rsidR="000A7344" w:rsidRPr="00CA2394">
        <w:t xml:space="preserve">The </w:t>
      </w:r>
      <w:r w:rsidR="00CA2394" w:rsidRPr="00CA2394">
        <w:t xml:space="preserve">funding </w:t>
      </w:r>
      <w:r w:rsidR="000A7344" w:rsidRPr="00CA2394">
        <w:t xml:space="preserve">model is described in detail in Report </w:t>
      </w:r>
      <w:r w:rsidR="001830EB">
        <w:t>5</w:t>
      </w:r>
      <w:r w:rsidR="000A7344" w:rsidRPr="00CA2394">
        <w:t>.</w:t>
      </w:r>
    </w:p>
    <w:p w:rsidR="00892F72" w:rsidRDefault="00892F72" w:rsidP="00892F72">
      <w:pPr>
        <w:spacing w:before="120" w:after="120"/>
      </w:pPr>
      <w:r>
        <w:t xml:space="preserve">Ideally, the </w:t>
      </w:r>
      <w:r w:rsidR="00EF7695">
        <w:t xml:space="preserve">total </w:t>
      </w:r>
      <w:r>
        <w:t>ACFI payment made to each facility would have been known. This could then be compared to the expected payment under the proposed funding arrangement using the AN-ACC. However, ACFI data were available to calculate the ACFI payment to sampled residents but no others. It was therefore necessary to project the ACFI-based payments as well.</w:t>
      </w:r>
    </w:p>
    <w:p w:rsidR="00892F72" w:rsidRDefault="00892F72" w:rsidP="00892F72">
      <w:pPr>
        <w:spacing w:before="120" w:after="120"/>
      </w:pPr>
      <w:r>
        <w:t xml:space="preserve">To enable comparisons between the AN-ACC </w:t>
      </w:r>
      <w:r w:rsidR="00CA2394">
        <w:t>funding model an</w:t>
      </w:r>
      <w:r>
        <w:t xml:space="preserve">d the </w:t>
      </w:r>
      <w:r w:rsidR="00CA2394">
        <w:t xml:space="preserve">current </w:t>
      </w:r>
      <w:r>
        <w:t xml:space="preserve">ACFI </w:t>
      </w:r>
      <w:r w:rsidR="00CA2394">
        <w:t xml:space="preserve">model, </w:t>
      </w:r>
      <w:r>
        <w:t xml:space="preserve">all values </w:t>
      </w:r>
      <w:r w:rsidR="00CA2394">
        <w:t xml:space="preserve">in each model </w:t>
      </w:r>
      <w:r>
        <w:t xml:space="preserve">were scaled to the respective average or total and </w:t>
      </w:r>
      <w:r w:rsidR="005A4E82">
        <w:t>should</w:t>
      </w:r>
      <w:r w:rsidR="009E6324">
        <w:t xml:space="preserve"> be interpreted accordingly.</w:t>
      </w:r>
    </w:p>
    <w:p w:rsidR="00892F72" w:rsidRDefault="00892F72">
      <w:pPr>
        <w:spacing w:after="200" w:line="276" w:lineRule="auto"/>
      </w:pPr>
    </w:p>
    <w:p w:rsidR="00E15E28" w:rsidRDefault="00E15E28">
      <w:pPr>
        <w:spacing w:after="200" w:line="276" w:lineRule="auto"/>
      </w:pPr>
      <w:r>
        <w:br w:type="page"/>
      </w:r>
    </w:p>
    <w:p w:rsidR="00512059" w:rsidRDefault="00512059" w:rsidP="00512059">
      <w:pPr>
        <w:pStyle w:val="Heading1"/>
      </w:pPr>
      <w:bookmarkStart w:id="50" w:name="_Toc2083377"/>
      <w:r>
        <w:lastRenderedPageBreak/>
        <w:t>The profile of residents by class, clinical specialisation and resident characteristics</w:t>
      </w:r>
      <w:bookmarkEnd w:id="50"/>
    </w:p>
    <w:p w:rsidR="00385452" w:rsidRDefault="003A0EA1" w:rsidP="00331160">
      <w:pPr>
        <w:spacing w:before="120" w:after="120"/>
      </w:pPr>
      <w:r>
        <w:t xml:space="preserve">The dataset comprised data on 3,148 residents </w:t>
      </w:r>
      <w:r w:rsidR="00385452">
        <w:t>from 80 facilities. There were residents from all states and territories, from each of three geographic location categories, from facilities falling into three size categories and having three ownership types. Facilities with specific specialisations, such as caring for homeless people or people with dementia, were represented in the data.</w:t>
      </w:r>
    </w:p>
    <w:p w:rsidR="003A0EA1" w:rsidRDefault="00385452" w:rsidP="00331160">
      <w:pPr>
        <w:spacing w:before="120" w:after="120"/>
      </w:pPr>
      <w:r>
        <w:t xml:space="preserve">Resident-level data items included resident age group, the time they had been in care, their indigenous status and whether or not English was their </w:t>
      </w:r>
      <w:r w:rsidR="00192A24">
        <w:t xml:space="preserve">preferred </w:t>
      </w:r>
      <w:r>
        <w:t>language.</w:t>
      </w:r>
    </w:p>
    <w:p w:rsidR="00E15E28" w:rsidRDefault="00B648E7" w:rsidP="00331160">
      <w:pPr>
        <w:spacing w:before="120" w:after="120"/>
      </w:pPr>
      <w:r>
        <w:t>A</w:t>
      </w:r>
      <w:r w:rsidR="000A7344">
        <w:t xml:space="preserve"> descriptive summary of the sample data</w:t>
      </w:r>
      <w:r w:rsidR="00385452">
        <w:t>, using these variables,</w:t>
      </w:r>
      <w:r w:rsidR="000A7344">
        <w:t xml:space="preserve"> provided insights into the characteristics of the residents of the randomly selected facilities</w:t>
      </w:r>
      <w:r>
        <w:t xml:space="preserve"> in the sample data</w:t>
      </w:r>
      <w:r w:rsidR="000A7344">
        <w:t xml:space="preserve">. </w:t>
      </w:r>
      <w:r>
        <w:t>Some results a</w:t>
      </w:r>
      <w:r w:rsidR="003A0EA1">
        <w:t>r</w:t>
      </w:r>
      <w:r>
        <w:t xml:space="preserve">e presented below. However, where it was possible and more informative to calculate population estimates, they </w:t>
      </w:r>
      <w:r w:rsidR="00EF7695">
        <w:t xml:space="preserve">are </w:t>
      </w:r>
      <w:r>
        <w:t xml:space="preserve">presented instead in Section </w:t>
      </w:r>
      <w:r>
        <w:fldChar w:fldCharType="begin"/>
      </w:r>
      <w:r>
        <w:instrText xml:space="preserve"> REF _Ref535424214 \r \h </w:instrText>
      </w:r>
      <w:r>
        <w:fldChar w:fldCharType="separate"/>
      </w:r>
      <w:r w:rsidR="00785B04">
        <w:t>6</w:t>
      </w:r>
      <w:r>
        <w:fldChar w:fldCharType="end"/>
      </w:r>
      <w:r w:rsidR="00635C72">
        <w:t>.</w:t>
      </w:r>
    </w:p>
    <w:p w:rsidR="00665DC3" w:rsidRDefault="00665DC3" w:rsidP="00665DC3">
      <w:pPr>
        <w:pStyle w:val="Heading2"/>
      </w:pPr>
      <w:bookmarkStart w:id="51" w:name="_Toc2083378"/>
      <w:r>
        <w:t>Classes by state/territory</w:t>
      </w:r>
      <w:bookmarkEnd w:id="51"/>
    </w:p>
    <w:p w:rsidR="003A0EA1" w:rsidRDefault="00385452" w:rsidP="00331160">
      <w:pPr>
        <w:spacing w:before="120" w:after="120"/>
      </w:pPr>
      <w:r>
        <w:t>As a first step, r</w:t>
      </w:r>
      <w:r w:rsidR="003A0EA1">
        <w:t>ecords in the dataset were group</w:t>
      </w:r>
      <w:r w:rsidR="002364E9">
        <w:t>ed</w:t>
      </w:r>
      <w:r w:rsidR="003A0EA1">
        <w:t xml:space="preserve"> to AN-ACC classes listed in </w:t>
      </w:r>
      <w:r w:rsidR="003A0EA1">
        <w:fldChar w:fldCharType="begin"/>
      </w:r>
      <w:r w:rsidR="003A0EA1">
        <w:instrText xml:space="preserve"> REF _Ref535440950 \h </w:instrText>
      </w:r>
      <w:r w:rsidR="003A0EA1">
        <w:fldChar w:fldCharType="separate"/>
      </w:r>
      <w:r w:rsidR="00785B04" w:rsidRPr="008D75A0">
        <w:rPr>
          <w:rFonts w:ascii="Calibri" w:hAnsi="Calibri"/>
        </w:rPr>
        <w:t xml:space="preserve">Table </w:t>
      </w:r>
      <w:r w:rsidR="00785B04">
        <w:rPr>
          <w:rFonts w:ascii="Calibri" w:hAnsi="Calibri"/>
          <w:noProof/>
        </w:rPr>
        <w:t>2</w:t>
      </w:r>
      <w:r w:rsidR="003A0EA1">
        <w:fldChar w:fldCharType="end"/>
      </w:r>
      <w:r w:rsidR="003A0EA1">
        <w:t xml:space="preserve"> below.</w:t>
      </w:r>
    </w:p>
    <w:p w:rsidR="003A0EA1" w:rsidRDefault="003A0EA1" w:rsidP="003A0EA1">
      <w:pPr>
        <w:pStyle w:val="Caption"/>
      </w:pPr>
      <w:bookmarkStart w:id="52" w:name="_Ref535440950"/>
      <w:bookmarkStart w:id="53" w:name="_Toc953894"/>
      <w:r w:rsidRPr="008D75A0">
        <w:rPr>
          <w:rFonts w:ascii="Calibri" w:hAnsi="Calibri"/>
        </w:rPr>
        <w:t xml:space="preserve">Table </w:t>
      </w:r>
      <w:r w:rsidRPr="008D75A0">
        <w:rPr>
          <w:rFonts w:ascii="Calibri" w:hAnsi="Calibri"/>
        </w:rPr>
        <w:fldChar w:fldCharType="begin"/>
      </w:r>
      <w:r w:rsidRPr="008D75A0">
        <w:rPr>
          <w:rFonts w:ascii="Calibri" w:hAnsi="Calibri"/>
          <w:noProof/>
        </w:rPr>
        <w:instrText xml:space="preserve"> SEQ Table \* ARABIC </w:instrText>
      </w:r>
      <w:r w:rsidRPr="008D75A0">
        <w:rPr>
          <w:rFonts w:ascii="Calibri" w:hAnsi="Calibri"/>
        </w:rPr>
        <w:fldChar w:fldCharType="separate"/>
      </w:r>
      <w:r w:rsidR="00785B04">
        <w:rPr>
          <w:rFonts w:ascii="Calibri" w:hAnsi="Calibri"/>
          <w:noProof/>
        </w:rPr>
        <w:t>2</w:t>
      </w:r>
      <w:r w:rsidRPr="008D75A0">
        <w:rPr>
          <w:rFonts w:ascii="Calibri" w:hAnsi="Calibri"/>
        </w:rPr>
        <w:fldChar w:fldCharType="end"/>
      </w:r>
      <w:bookmarkEnd w:id="52"/>
      <w:r w:rsidR="00341AF1">
        <w:rPr>
          <w:rFonts w:ascii="Calibri" w:hAnsi="Calibri"/>
        </w:rPr>
        <w:t xml:space="preserve"> </w:t>
      </w:r>
      <w:r w:rsidRPr="008D75A0">
        <w:rPr>
          <w:rFonts w:ascii="Calibri" w:hAnsi="Calibri"/>
        </w:rPr>
        <w:tab/>
      </w:r>
      <w:r>
        <w:t>The AN-ACC classes</w:t>
      </w:r>
      <w:bookmarkEnd w:id="53"/>
    </w:p>
    <w:tbl>
      <w:tblPr>
        <w:tblW w:w="8946" w:type="dxa"/>
        <w:tblInd w:w="93" w:type="dxa"/>
        <w:tblLook w:val="04A0" w:firstRow="1" w:lastRow="0" w:firstColumn="1" w:lastColumn="0" w:noHBand="0" w:noVBand="1"/>
        <w:tblCaption w:val="Table 2  The AN-ACC classes"/>
        <w:tblDescription w:val="Table 2 shows 13 of the AN-ACC classes and the descriptions of the residents who fit into those classess. This table is to be read as a series of rows from left to right ('AN-ACC class' then 'Resident description', top to bottom."/>
      </w:tblPr>
      <w:tblGrid>
        <w:gridCol w:w="1716"/>
        <w:gridCol w:w="7230"/>
      </w:tblGrid>
      <w:tr w:rsidR="000A5FF0" w:rsidTr="000A5FF0">
        <w:trPr>
          <w:tblHeader/>
        </w:trPr>
        <w:tc>
          <w:tcPr>
            <w:tcW w:w="1716" w:type="dxa"/>
            <w:tcBorders>
              <w:top w:val="single" w:sz="4" w:space="0" w:color="auto"/>
              <w:left w:val="single" w:sz="4" w:space="0" w:color="auto"/>
              <w:bottom w:val="single" w:sz="4" w:space="0" w:color="auto"/>
              <w:right w:val="single" w:sz="4" w:space="0" w:color="auto"/>
            </w:tcBorders>
          </w:tcPr>
          <w:p w:rsidR="000A5FF0" w:rsidRDefault="000A5FF0" w:rsidP="00EF7695">
            <w:pPr>
              <w:spacing w:before="80" w:after="80"/>
              <w:rPr>
                <w:rFonts w:cs="Arial"/>
                <w:b/>
                <w:bCs/>
                <w:color w:val="000000"/>
              </w:rPr>
            </w:pPr>
            <w:r>
              <w:rPr>
                <w:rFonts w:cs="Arial"/>
                <w:b/>
                <w:bCs/>
                <w:color w:val="000000"/>
              </w:rPr>
              <w:t>AN-ACC class</w:t>
            </w:r>
          </w:p>
        </w:tc>
        <w:tc>
          <w:tcPr>
            <w:tcW w:w="7230" w:type="dxa"/>
            <w:tcBorders>
              <w:top w:val="single" w:sz="4" w:space="0" w:color="auto"/>
              <w:left w:val="nil"/>
              <w:bottom w:val="single" w:sz="4" w:space="0" w:color="auto"/>
              <w:right w:val="single" w:sz="4" w:space="0" w:color="auto"/>
            </w:tcBorders>
          </w:tcPr>
          <w:p w:rsidR="000A5FF0" w:rsidRDefault="000A5FF0" w:rsidP="000A5FF0">
            <w:pPr>
              <w:spacing w:before="80" w:after="80"/>
              <w:rPr>
                <w:rFonts w:cs="Arial"/>
                <w:b/>
                <w:bCs/>
                <w:color w:val="000000"/>
              </w:rPr>
            </w:pPr>
            <w:r>
              <w:rPr>
                <w:rFonts w:cs="Arial"/>
                <w:b/>
                <w:bCs/>
                <w:color w:val="000000"/>
              </w:rPr>
              <w:t>Resident description</w:t>
            </w:r>
          </w:p>
        </w:tc>
      </w:tr>
      <w:tr w:rsidR="000A5FF0" w:rsidTr="000A5FF0">
        <w:trPr>
          <w:tblHeader/>
        </w:trPr>
        <w:tc>
          <w:tcPr>
            <w:tcW w:w="1716" w:type="dxa"/>
            <w:tcBorders>
              <w:top w:val="single" w:sz="4" w:space="0" w:color="auto"/>
              <w:left w:val="single" w:sz="4" w:space="0" w:color="auto"/>
              <w:bottom w:val="single" w:sz="4" w:space="0" w:color="auto"/>
              <w:right w:val="single" w:sz="4" w:space="0" w:color="auto"/>
            </w:tcBorders>
            <w:vAlign w:val="center"/>
          </w:tcPr>
          <w:p w:rsidR="000A5FF0" w:rsidRDefault="000A5FF0" w:rsidP="000A5FF0">
            <w:pPr>
              <w:spacing w:before="80" w:after="80"/>
            </w:pPr>
            <w:r>
              <w:t>Class 1</w:t>
            </w:r>
          </w:p>
        </w:tc>
        <w:tc>
          <w:tcPr>
            <w:tcW w:w="7230" w:type="dxa"/>
            <w:tcBorders>
              <w:top w:val="nil"/>
              <w:left w:val="nil"/>
              <w:bottom w:val="single" w:sz="4" w:space="0" w:color="auto"/>
              <w:right w:val="single" w:sz="4" w:space="0" w:color="auto"/>
            </w:tcBorders>
          </w:tcPr>
          <w:p w:rsidR="000A5FF0" w:rsidRDefault="000A5FF0" w:rsidP="000A5FF0">
            <w:pPr>
              <w:spacing w:before="80" w:after="80"/>
            </w:pPr>
            <w:r>
              <w:t>Admit for palliative care</w:t>
            </w:r>
          </w:p>
        </w:tc>
      </w:tr>
      <w:tr w:rsidR="000A5FF0" w:rsidTr="000A5FF0">
        <w:trPr>
          <w:tblHeader/>
        </w:trPr>
        <w:tc>
          <w:tcPr>
            <w:tcW w:w="1716" w:type="dxa"/>
            <w:tcBorders>
              <w:top w:val="single" w:sz="4" w:space="0" w:color="auto"/>
              <w:left w:val="single" w:sz="4" w:space="0" w:color="auto"/>
              <w:bottom w:val="single" w:sz="4" w:space="0" w:color="auto"/>
              <w:right w:val="single" w:sz="4" w:space="0" w:color="auto"/>
            </w:tcBorders>
            <w:vAlign w:val="center"/>
          </w:tcPr>
          <w:p w:rsidR="000A5FF0" w:rsidRDefault="000A5FF0" w:rsidP="000A5FF0">
            <w:pPr>
              <w:spacing w:before="80" w:after="80"/>
              <w:rPr>
                <w:color w:val="000000"/>
              </w:rPr>
            </w:pPr>
            <w:r>
              <w:rPr>
                <w:color w:val="000000"/>
              </w:rPr>
              <w:t>Class 2</w:t>
            </w:r>
          </w:p>
        </w:tc>
        <w:tc>
          <w:tcPr>
            <w:tcW w:w="7230" w:type="dxa"/>
            <w:tcBorders>
              <w:top w:val="nil"/>
              <w:left w:val="nil"/>
              <w:bottom w:val="single" w:sz="4" w:space="0" w:color="auto"/>
              <w:right w:val="single" w:sz="4" w:space="0" w:color="auto"/>
            </w:tcBorders>
          </w:tcPr>
          <w:p w:rsidR="000A5FF0" w:rsidRDefault="000A5FF0" w:rsidP="000A5FF0">
            <w:pPr>
              <w:spacing w:before="80" w:after="80"/>
              <w:rPr>
                <w:color w:val="000000"/>
              </w:rPr>
            </w:pPr>
            <w:r>
              <w:rPr>
                <w:color w:val="000000"/>
              </w:rPr>
              <w:t>Independent without CF</w:t>
            </w:r>
          </w:p>
        </w:tc>
      </w:tr>
      <w:tr w:rsidR="000A5FF0" w:rsidTr="000A5FF0">
        <w:trPr>
          <w:tblHeader/>
        </w:trPr>
        <w:tc>
          <w:tcPr>
            <w:tcW w:w="1716" w:type="dxa"/>
            <w:tcBorders>
              <w:top w:val="single" w:sz="4" w:space="0" w:color="auto"/>
              <w:left w:val="single" w:sz="4" w:space="0" w:color="auto"/>
              <w:bottom w:val="single" w:sz="4" w:space="0" w:color="auto"/>
              <w:right w:val="single" w:sz="4" w:space="0" w:color="auto"/>
            </w:tcBorders>
            <w:vAlign w:val="center"/>
          </w:tcPr>
          <w:p w:rsidR="000A5FF0" w:rsidRDefault="000A5FF0" w:rsidP="000A5FF0">
            <w:pPr>
              <w:spacing w:before="80" w:after="80"/>
              <w:rPr>
                <w:color w:val="000000"/>
              </w:rPr>
            </w:pPr>
            <w:r>
              <w:rPr>
                <w:color w:val="000000"/>
              </w:rPr>
              <w:t>Class 3</w:t>
            </w:r>
          </w:p>
        </w:tc>
        <w:tc>
          <w:tcPr>
            <w:tcW w:w="7230" w:type="dxa"/>
            <w:tcBorders>
              <w:top w:val="nil"/>
              <w:left w:val="nil"/>
              <w:bottom w:val="single" w:sz="4" w:space="0" w:color="auto"/>
              <w:right w:val="single" w:sz="4" w:space="0" w:color="auto"/>
            </w:tcBorders>
          </w:tcPr>
          <w:p w:rsidR="000A5FF0" w:rsidRDefault="000A5FF0" w:rsidP="000A5FF0">
            <w:pPr>
              <w:spacing w:before="80" w:after="80"/>
              <w:rPr>
                <w:color w:val="000000"/>
              </w:rPr>
            </w:pPr>
            <w:r>
              <w:rPr>
                <w:color w:val="000000"/>
              </w:rPr>
              <w:t>Independent with CF</w:t>
            </w:r>
          </w:p>
        </w:tc>
      </w:tr>
      <w:tr w:rsidR="000A5FF0" w:rsidTr="000A5FF0">
        <w:trPr>
          <w:tblHeader/>
        </w:trPr>
        <w:tc>
          <w:tcPr>
            <w:tcW w:w="1716" w:type="dxa"/>
            <w:tcBorders>
              <w:top w:val="single" w:sz="4" w:space="0" w:color="auto"/>
              <w:left w:val="single" w:sz="4" w:space="0" w:color="auto"/>
              <w:bottom w:val="single" w:sz="4" w:space="0" w:color="auto"/>
              <w:right w:val="single" w:sz="4" w:space="0" w:color="auto"/>
            </w:tcBorders>
            <w:vAlign w:val="center"/>
          </w:tcPr>
          <w:p w:rsidR="000A5FF0" w:rsidRDefault="000A5FF0" w:rsidP="000A5FF0">
            <w:pPr>
              <w:spacing w:before="80" w:after="80"/>
              <w:rPr>
                <w:color w:val="000000"/>
              </w:rPr>
            </w:pPr>
            <w:r>
              <w:rPr>
                <w:color w:val="000000"/>
              </w:rPr>
              <w:t>Class 4</w:t>
            </w:r>
          </w:p>
        </w:tc>
        <w:tc>
          <w:tcPr>
            <w:tcW w:w="7230" w:type="dxa"/>
            <w:tcBorders>
              <w:top w:val="nil"/>
              <w:left w:val="nil"/>
              <w:bottom w:val="single" w:sz="4" w:space="0" w:color="auto"/>
              <w:right w:val="single" w:sz="4" w:space="0" w:color="auto"/>
            </w:tcBorders>
          </w:tcPr>
          <w:p w:rsidR="000A5FF0" w:rsidRDefault="000A5FF0" w:rsidP="000A5FF0">
            <w:pPr>
              <w:spacing w:before="80" w:after="80"/>
              <w:rPr>
                <w:color w:val="000000"/>
              </w:rPr>
            </w:pPr>
            <w:r>
              <w:rPr>
                <w:color w:val="000000"/>
              </w:rPr>
              <w:t>Assisted mobility, high cognition, without CF</w:t>
            </w:r>
          </w:p>
        </w:tc>
      </w:tr>
      <w:tr w:rsidR="000A5FF0" w:rsidTr="000A5FF0">
        <w:trPr>
          <w:tblHeader/>
        </w:trPr>
        <w:tc>
          <w:tcPr>
            <w:tcW w:w="1716" w:type="dxa"/>
            <w:tcBorders>
              <w:top w:val="single" w:sz="4" w:space="0" w:color="auto"/>
              <w:left w:val="single" w:sz="4" w:space="0" w:color="auto"/>
              <w:bottom w:val="single" w:sz="4" w:space="0" w:color="auto"/>
              <w:right w:val="single" w:sz="4" w:space="0" w:color="auto"/>
            </w:tcBorders>
            <w:vAlign w:val="center"/>
          </w:tcPr>
          <w:p w:rsidR="000A5FF0" w:rsidRDefault="000A5FF0" w:rsidP="000A5FF0">
            <w:pPr>
              <w:spacing w:before="80" w:after="80"/>
              <w:rPr>
                <w:color w:val="000000"/>
              </w:rPr>
            </w:pPr>
            <w:r>
              <w:rPr>
                <w:color w:val="000000"/>
              </w:rPr>
              <w:t>Class 5</w:t>
            </w:r>
          </w:p>
        </w:tc>
        <w:tc>
          <w:tcPr>
            <w:tcW w:w="7230" w:type="dxa"/>
            <w:tcBorders>
              <w:top w:val="nil"/>
              <w:left w:val="nil"/>
              <w:bottom w:val="single" w:sz="4" w:space="0" w:color="auto"/>
              <w:right w:val="single" w:sz="4" w:space="0" w:color="auto"/>
            </w:tcBorders>
          </w:tcPr>
          <w:p w:rsidR="000A5FF0" w:rsidRDefault="000A5FF0" w:rsidP="000A5FF0">
            <w:pPr>
              <w:spacing w:before="80" w:after="80"/>
              <w:rPr>
                <w:color w:val="000000"/>
              </w:rPr>
            </w:pPr>
            <w:r>
              <w:rPr>
                <w:color w:val="000000"/>
              </w:rPr>
              <w:t>Assisted mobility, high cognition, with CF</w:t>
            </w:r>
          </w:p>
        </w:tc>
      </w:tr>
      <w:tr w:rsidR="000A5FF0" w:rsidTr="000A5FF0">
        <w:trPr>
          <w:tblHeader/>
        </w:trPr>
        <w:tc>
          <w:tcPr>
            <w:tcW w:w="1716" w:type="dxa"/>
            <w:tcBorders>
              <w:top w:val="single" w:sz="4" w:space="0" w:color="auto"/>
              <w:left w:val="single" w:sz="4" w:space="0" w:color="auto"/>
              <w:bottom w:val="single" w:sz="4" w:space="0" w:color="auto"/>
              <w:right w:val="single" w:sz="4" w:space="0" w:color="auto"/>
            </w:tcBorders>
            <w:vAlign w:val="center"/>
          </w:tcPr>
          <w:p w:rsidR="000A5FF0" w:rsidRDefault="000A5FF0" w:rsidP="000A5FF0">
            <w:pPr>
              <w:spacing w:before="80" w:after="80"/>
              <w:rPr>
                <w:color w:val="000000"/>
              </w:rPr>
            </w:pPr>
            <w:r>
              <w:rPr>
                <w:color w:val="000000"/>
              </w:rPr>
              <w:t>Class 6</w:t>
            </w:r>
          </w:p>
        </w:tc>
        <w:tc>
          <w:tcPr>
            <w:tcW w:w="7230" w:type="dxa"/>
            <w:tcBorders>
              <w:top w:val="nil"/>
              <w:left w:val="nil"/>
              <w:bottom w:val="single" w:sz="4" w:space="0" w:color="auto"/>
              <w:right w:val="single" w:sz="4" w:space="0" w:color="auto"/>
            </w:tcBorders>
          </w:tcPr>
          <w:p w:rsidR="000A5FF0" w:rsidRDefault="000A5FF0" w:rsidP="000A5FF0">
            <w:pPr>
              <w:spacing w:before="80" w:after="80"/>
              <w:rPr>
                <w:color w:val="000000"/>
              </w:rPr>
            </w:pPr>
            <w:r>
              <w:rPr>
                <w:color w:val="000000"/>
              </w:rPr>
              <w:t>Assisted mobility, medium cognition, without CF</w:t>
            </w:r>
          </w:p>
        </w:tc>
      </w:tr>
      <w:tr w:rsidR="000A5FF0" w:rsidTr="000A5FF0">
        <w:trPr>
          <w:tblHeader/>
        </w:trPr>
        <w:tc>
          <w:tcPr>
            <w:tcW w:w="1716" w:type="dxa"/>
            <w:tcBorders>
              <w:top w:val="single" w:sz="4" w:space="0" w:color="auto"/>
              <w:left w:val="single" w:sz="4" w:space="0" w:color="auto"/>
              <w:bottom w:val="single" w:sz="4" w:space="0" w:color="auto"/>
              <w:right w:val="single" w:sz="4" w:space="0" w:color="auto"/>
            </w:tcBorders>
            <w:vAlign w:val="center"/>
          </w:tcPr>
          <w:p w:rsidR="000A5FF0" w:rsidRDefault="000A5FF0" w:rsidP="000A5FF0">
            <w:pPr>
              <w:spacing w:before="80" w:after="80"/>
              <w:rPr>
                <w:color w:val="000000"/>
              </w:rPr>
            </w:pPr>
            <w:r>
              <w:rPr>
                <w:color w:val="000000"/>
              </w:rPr>
              <w:t>Class 7</w:t>
            </w:r>
          </w:p>
        </w:tc>
        <w:tc>
          <w:tcPr>
            <w:tcW w:w="7230" w:type="dxa"/>
            <w:tcBorders>
              <w:top w:val="nil"/>
              <w:left w:val="nil"/>
              <w:bottom w:val="single" w:sz="4" w:space="0" w:color="auto"/>
              <w:right w:val="single" w:sz="4" w:space="0" w:color="auto"/>
            </w:tcBorders>
          </w:tcPr>
          <w:p w:rsidR="000A5FF0" w:rsidRDefault="000A5FF0" w:rsidP="000A5FF0">
            <w:pPr>
              <w:spacing w:before="80" w:after="80"/>
              <w:rPr>
                <w:color w:val="000000"/>
              </w:rPr>
            </w:pPr>
            <w:r>
              <w:rPr>
                <w:color w:val="000000"/>
              </w:rPr>
              <w:t>Assisted mobility, medium cognition, with CF</w:t>
            </w:r>
          </w:p>
        </w:tc>
      </w:tr>
      <w:tr w:rsidR="000A5FF0" w:rsidTr="000A5FF0">
        <w:trPr>
          <w:tblHeader/>
        </w:trPr>
        <w:tc>
          <w:tcPr>
            <w:tcW w:w="1716" w:type="dxa"/>
            <w:tcBorders>
              <w:top w:val="single" w:sz="4" w:space="0" w:color="auto"/>
              <w:left w:val="single" w:sz="4" w:space="0" w:color="auto"/>
              <w:bottom w:val="single" w:sz="4" w:space="0" w:color="auto"/>
              <w:right w:val="single" w:sz="4" w:space="0" w:color="auto"/>
            </w:tcBorders>
            <w:vAlign w:val="center"/>
          </w:tcPr>
          <w:p w:rsidR="000A5FF0" w:rsidRDefault="000A5FF0" w:rsidP="000A5FF0">
            <w:pPr>
              <w:spacing w:before="80" w:after="80"/>
              <w:rPr>
                <w:color w:val="000000"/>
              </w:rPr>
            </w:pPr>
            <w:r>
              <w:rPr>
                <w:color w:val="000000"/>
              </w:rPr>
              <w:t>Class 8</w:t>
            </w:r>
          </w:p>
        </w:tc>
        <w:tc>
          <w:tcPr>
            <w:tcW w:w="7230" w:type="dxa"/>
            <w:tcBorders>
              <w:top w:val="nil"/>
              <w:left w:val="nil"/>
              <w:bottom w:val="single" w:sz="4" w:space="0" w:color="auto"/>
              <w:right w:val="single" w:sz="4" w:space="0" w:color="auto"/>
            </w:tcBorders>
          </w:tcPr>
          <w:p w:rsidR="000A5FF0" w:rsidRDefault="000A5FF0" w:rsidP="000A5FF0">
            <w:pPr>
              <w:spacing w:before="80" w:after="80"/>
              <w:rPr>
                <w:color w:val="000000"/>
              </w:rPr>
            </w:pPr>
            <w:r>
              <w:rPr>
                <w:color w:val="000000"/>
              </w:rPr>
              <w:t>Assisted mobility, low cognition</w:t>
            </w:r>
          </w:p>
        </w:tc>
      </w:tr>
      <w:tr w:rsidR="000A5FF0" w:rsidTr="000A5FF0">
        <w:trPr>
          <w:tblHeader/>
        </w:trPr>
        <w:tc>
          <w:tcPr>
            <w:tcW w:w="1716" w:type="dxa"/>
            <w:tcBorders>
              <w:top w:val="single" w:sz="4" w:space="0" w:color="auto"/>
              <w:left w:val="single" w:sz="4" w:space="0" w:color="auto"/>
              <w:bottom w:val="single" w:sz="4" w:space="0" w:color="auto"/>
              <w:right w:val="single" w:sz="4" w:space="0" w:color="auto"/>
            </w:tcBorders>
            <w:vAlign w:val="center"/>
          </w:tcPr>
          <w:p w:rsidR="000A5FF0" w:rsidRDefault="000A5FF0" w:rsidP="000A5FF0">
            <w:pPr>
              <w:spacing w:before="80" w:after="80"/>
              <w:rPr>
                <w:color w:val="000000"/>
              </w:rPr>
            </w:pPr>
            <w:r>
              <w:rPr>
                <w:color w:val="000000"/>
              </w:rPr>
              <w:t>Class 9</w:t>
            </w:r>
          </w:p>
        </w:tc>
        <w:tc>
          <w:tcPr>
            <w:tcW w:w="7230" w:type="dxa"/>
            <w:tcBorders>
              <w:top w:val="nil"/>
              <w:left w:val="nil"/>
              <w:bottom w:val="single" w:sz="4" w:space="0" w:color="auto"/>
              <w:right w:val="single" w:sz="4" w:space="0" w:color="auto"/>
            </w:tcBorders>
          </w:tcPr>
          <w:p w:rsidR="000A5FF0" w:rsidRDefault="000A5FF0" w:rsidP="000A5FF0">
            <w:pPr>
              <w:spacing w:before="80" w:after="80"/>
              <w:rPr>
                <w:color w:val="000000"/>
              </w:rPr>
            </w:pPr>
            <w:r>
              <w:rPr>
                <w:color w:val="000000"/>
              </w:rPr>
              <w:t>Not mobile, higher function, without CF</w:t>
            </w:r>
          </w:p>
        </w:tc>
      </w:tr>
      <w:tr w:rsidR="000A5FF0" w:rsidTr="000A5FF0">
        <w:trPr>
          <w:tblHeader/>
        </w:trPr>
        <w:tc>
          <w:tcPr>
            <w:tcW w:w="1716" w:type="dxa"/>
            <w:tcBorders>
              <w:top w:val="single" w:sz="4" w:space="0" w:color="auto"/>
              <w:left w:val="single" w:sz="4" w:space="0" w:color="auto"/>
              <w:bottom w:val="single" w:sz="4" w:space="0" w:color="auto"/>
              <w:right w:val="single" w:sz="4" w:space="0" w:color="auto"/>
            </w:tcBorders>
            <w:vAlign w:val="center"/>
          </w:tcPr>
          <w:p w:rsidR="000A5FF0" w:rsidRDefault="000A5FF0" w:rsidP="000A5FF0">
            <w:pPr>
              <w:spacing w:before="80" w:after="80"/>
              <w:rPr>
                <w:color w:val="000000"/>
              </w:rPr>
            </w:pPr>
            <w:r>
              <w:rPr>
                <w:color w:val="000000"/>
              </w:rPr>
              <w:t>Class 10</w:t>
            </w:r>
          </w:p>
        </w:tc>
        <w:tc>
          <w:tcPr>
            <w:tcW w:w="7230" w:type="dxa"/>
            <w:tcBorders>
              <w:top w:val="nil"/>
              <w:left w:val="nil"/>
              <w:bottom w:val="single" w:sz="4" w:space="0" w:color="auto"/>
              <w:right w:val="single" w:sz="4" w:space="0" w:color="auto"/>
            </w:tcBorders>
          </w:tcPr>
          <w:p w:rsidR="000A5FF0" w:rsidRDefault="000A5FF0" w:rsidP="000A5FF0">
            <w:pPr>
              <w:spacing w:before="80" w:after="80"/>
              <w:rPr>
                <w:color w:val="000000"/>
              </w:rPr>
            </w:pPr>
            <w:r>
              <w:rPr>
                <w:color w:val="000000"/>
              </w:rPr>
              <w:t>Not mobile, higher function, with CF</w:t>
            </w:r>
          </w:p>
        </w:tc>
      </w:tr>
      <w:tr w:rsidR="000A5FF0" w:rsidTr="000A5FF0">
        <w:trPr>
          <w:tblHeader/>
        </w:trPr>
        <w:tc>
          <w:tcPr>
            <w:tcW w:w="1716" w:type="dxa"/>
            <w:tcBorders>
              <w:top w:val="single" w:sz="4" w:space="0" w:color="auto"/>
              <w:left w:val="single" w:sz="4" w:space="0" w:color="auto"/>
              <w:bottom w:val="single" w:sz="4" w:space="0" w:color="auto"/>
              <w:right w:val="single" w:sz="4" w:space="0" w:color="auto"/>
            </w:tcBorders>
            <w:vAlign w:val="center"/>
          </w:tcPr>
          <w:p w:rsidR="000A5FF0" w:rsidRDefault="000A5FF0" w:rsidP="000A5FF0">
            <w:pPr>
              <w:spacing w:before="80" w:after="80"/>
              <w:rPr>
                <w:color w:val="000000"/>
              </w:rPr>
            </w:pPr>
            <w:r>
              <w:rPr>
                <w:color w:val="000000"/>
              </w:rPr>
              <w:t>Class 11</w:t>
            </w:r>
          </w:p>
        </w:tc>
        <w:tc>
          <w:tcPr>
            <w:tcW w:w="7230" w:type="dxa"/>
            <w:tcBorders>
              <w:top w:val="nil"/>
              <w:left w:val="nil"/>
              <w:bottom w:val="single" w:sz="4" w:space="0" w:color="auto"/>
              <w:right w:val="single" w:sz="4" w:space="0" w:color="auto"/>
            </w:tcBorders>
          </w:tcPr>
          <w:p w:rsidR="000A5FF0" w:rsidRDefault="000A5FF0" w:rsidP="000A5FF0">
            <w:pPr>
              <w:spacing w:before="80" w:after="80"/>
              <w:rPr>
                <w:color w:val="000000"/>
              </w:rPr>
            </w:pPr>
            <w:r>
              <w:rPr>
                <w:color w:val="000000"/>
              </w:rPr>
              <w:t>Not mobile, lower function, lower pressure sore risk</w:t>
            </w:r>
          </w:p>
        </w:tc>
      </w:tr>
      <w:tr w:rsidR="000A5FF0" w:rsidTr="000A5FF0">
        <w:trPr>
          <w:tblHeader/>
        </w:trPr>
        <w:tc>
          <w:tcPr>
            <w:tcW w:w="1716" w:type="dxa"/>
            <w:tcBorders>
              <w:top w:val="single" w:sz="4" w:space="0" w:color="auto"/>
              <w:left w:val="single" w:sz="4" w:space="0" w:color="auto"/>
              <w:bottom w:val="single" w:sz="4" w:space="0" w:color="auto"/>
              <w:right w:val="single" w:sz="4" w:space="0" w:color="auto"/>
            </w:tcBorders>
            <w:vAlign w:val="center"/>
          </w:tcPr>
          <w:p w:rsidR="000A5FF0" w:rsidRDefault="000A5FF0" w:rsidP="000A5FF0">
            <w:pPr>
              <w:spacing w:before="80" w:after="80"/>
              <w:rPr>
                <w:color w:val="000000"/>
              </w:rPr>
            </w:pPr>
            <w:r>
              <w:rPr>
                <w:color w:val="000000"/>
              </w:rPr>
              <w:t>Class 12</w:t>
            </w:r>
          </w:p>
        </w:tc>
        <w:tc>
          <w:tcPr>
            <w:tcW w:w="7230" w:type="dxa"/>
            <w:tcBorders>
              <w:top w:val="nil"/>
              <w:left w:val="nil"/>
              <w:bottom w:val="single" w:sz="4" w:space="0" w:color="auto"/>
              <w:right w:val="single" w:sz="4" w:space="0" w:color="auto"/>
            </w:tcBorders>
          </w:tcPr>
          <w:p w:rsidR="000A5FF0" w:rsidRDefault="000A5FF0" w:rsidP="000A5FF0">
            <w:pPr>
              <w:spacing w:before="80" w:after="80"/>
              <w:rPr>
                <w:color w:val="000000"/>
              </w:rPr>
            </w:pPr>
            <w:r>
              <w:rPr>
                <w:color w:val="000000"/>
              </w:rPr>
              <w:t>Not mobile, lower function, higher pressure sore risk, without CF</w:t>
            </w:r>
          </w:p>
        </w:tc>
      </w:tr>
      <w:tr w:rsidR="000A5FF0" w:rsidTr="000A5FF0">
        <w:trPr>
          <w:tblHeader/>
        </w:trPr>
        <w:tc>
          <w:tcPr>
            <w:tcW w:w="1716" w:type="dxa"/>
            <w:tcBorders>
              <w:top w:val="single" w:sz="4" w:space="0" w:color="auto"/>
              <w:left w:val="single" w:sz="4" w:space="0" w:color="auto"/>
              <w:bottom w:val="single" w:sz="4" w:space="0" w:color="auto"/>
              <w:right w:val="single" w:sz="4" w:space="0" w:color="auto"/>
            </w:tcBorders>
            <w:vAlign w:val="center"/>
          </w:tcPr>
          <w:p w:rsidR="000A5FF0" w:rsidRDefault="000A5FF0" w:rsidP="000A5FF0">
            <w:pPr>
              <w:spacing w:before="80" w:after="80"/>
              <w:rPr>
                <w:color w:val="000000"/>
              </w:rPr>
            </w:pPr>
            <w:r>
              <w:rPr>
                <w:color w:val="000000"/>
              </w:rPr>
              <w:t>Class 13</w:t>
            </w:r>
          </w:p>
        </w:tc>
        <w:tc>
          <w:tcPr>
            <w:tcW w:w="7230" w:type="dxa"/>
            <w:tcBorders>
              <w:top w:val="nil"/>
              <w:left w:val="nil"/>
              <w:bottom w:val="single" w:sz="4" w:space="0" w:color="auto"/>
              <w:right w:val="single" w:sz="4" w:space="0" w:color="auto"/>
            </w:tcBorders>
          </w:tcPr>
          <w:p w:rsidR="000A5FF0" w:rsidRDefault="000A5FF0" w:rsidP="000A5FF0">
            <w:pPr>
              <w:spacing w:before="80" w:after="80"/>
              <w:rPr>
                <w:color w:val="000000"/>
              </w:rPr>
            </w:pPr>
            <w:r>
              <w:rPr>
                <w:color w:val="000000"/>
              </w:rPr>
              <w:t>Not mobile, lower function, higher pressure sore risk, with CF</w:t>
            </w:r>
          </w:p>
        </w:tc>
      </w:tr>
    </w:tbl>
    <w:p w:rsidR="003A0EA1" w:rsidRDefault="00AB27C4" w:rsidP="003A0EA1">
      <w:pPr>
        <w:rPr>
          <w:sz w:val="20"/>
          <w:szCs w:val="20"/>
        </w:rPr>
      </w:pPr>
      <w:r>
        <w:rPr>
          <w:sz w:val="20"/>
          <w:szCs w:val="20"/>
        </w:rPr>
        <w:t>CF = C</w:t>
      </w:r>
      <w:r w:rsidR="003A0EA1">
        <w:rPr>
          <w:sz w:val="20"/>
          <w:szCs w:val="20"/>
        </w:rPr>
        <w:t xml:space="preserve">ompounding </w:t>
      </w:r>
      <w:r>
        <w:rPr>
          <w:sz w:val="20"/>
          <w:szCs w:val="20"/>
        </w:rPr>
        <w:t>F</w:t>
      </w:r>
      <w:r w:rsidR="003A0EA1">
        <w:rPr>
          <w:sz w:val="20"/>
          <w:szCs w:val="20"/>
        </w:rPr>
        <w:t>actors</w:t>
      </w:r>
    </w:p>
    <w:p w:rsidR="003A0EA1" w:rsidRDefault="00D22E64" w:rsidP="00D22E64">
      <w:pPr>
        <w:spacing w:before="120" w:after="120"/>
      </w:pPr>
      <w:r>
        <w:lastRenderedPageBreak/>
        <w:t xml:space="preserve">In </w:t>
      </w:r>
      <w:r>
        <w:fldChar w:fldCharType="begin"/>
      </w:r>
      <w:r>
        <w:instrText xml:space="preserve"> REF _Ref535442242 \h </w:instrText>
      </w:r>
      <w:r>
        <w:fldChar w:fldCharType="separate"/>
      </w:r>
      <w:r w:rsidR="00785B04">
        <w:t xml:space="preserve">Figure </w:t>
      </w:r>
      <w:r w:rsidR="00785B04">
        <w:rPr>
          <w:noProof/>
        </w:rPr>
        <w:t>1</w:t>
      </w:r>
      <w:r>
        <w:fldChar w:fldCharType="end"/>
      </w:r>
      <w:r>
        <w:t xml:space="preserve"> the distribution of classes amongst residents are presented by jurisdiction. </w:t>
      </w:r>
      <w:r w:rsidR="00B9442E">
        <w:t xml:space="preserve">The descriptions of the residents assigned to each AN-ACC class can be found in </w:t>
      </w:r>
      <w:r w:rsidR="00B9442E">
        <w:fldChar w:fldCharType="begin"/>
      </w:r>
      <w:r w:rsidR="00B9442E">
        <w:instrText xml:space="preserve"> REF _Ref535440950 \h </w:instrText>
      </w:r>
      <w:r w:rsidR="00B9442E">
        <w:fldChar w:fldCharType="separate"/>
      </w:r>
      <w:r w:rsidR="00785B04" w:rsidRPr="008D75A0">
        <w:rPr>
          <w:rFonts w:ascii="Calibri" w:hAnsi="Calibri"/>
        </w:rPr>
        <w:t xml:space="preserve">Table </w:t>
      </w:r>
      <w:r w:rsidR="00785B04">
        <w:rPr>
          <w:rFonts w:ascii="Calibri" w:hAnsi="Calibri"/>
          <w:noProof/>
        </w:rPr>
        <w:t>2</w:t>
      </w:r>
      <w:r w:rsidR="00B9442E">
        <w:fldChar w:fldCharType="end"/>
      </w:r>
      <w:r w:rsidR="00C12400">
        <w:t>.</w:t>
      </w:r>
      <w:r w:rsidR="00EF7695">
        <w:t xml:space="preserve"> Class 1 is excluded from this and all subsequent tables. This is because this study assessed residents already in care (and therefore unable to be assigned to Class 1). </w:t>
      </w:r>
      <w:r>
        <w:t>The ACT has been excluded from this display for confidentiality reasons; there was only one facility for the ACT in the study sample.</w:t>
      </w:r>
    </w:p>
    <w:p w:rsidR="003A0EA1" w:rsidRPr="003A0EA1" w:rsidRDefault="00D22E64" w:rsidP="003A0EA1">
      <w:pPr>
        <w:spacing w:before="120" w:after="120"/>
      </w:pPr>
      <w:r>
        <w:t>There are some similarities but also some clear differences in the mix of classes state by state</w:t>
      </w:r>
      <w:r w:rsidRPr="00050DB0">
        <w:t>.</w:t>
      </w:r>
      <w:r w:rsidR="003A0EA1" w:rsidRPr="00050DB0">
        <w:t xml:space="preserve"> Class 5</w:t>
      </w:r>
      <w:r w:rsidR="00050DB0" w:rsidRPr="00050DB0">
        <w:t>, (Assisted mobility, high cognition, with compounding factors)</w:t>
      </w:r>
      <w:r w:rsidR="003A0EA1" w:rsidRPr="00050DB0">
        <w:t xml:space="preserve"> is the mode</w:t>
      </w:r>
      <w:r w:rsidR="003A0EA1" w:rsidRPr="003A0EA1">
        <w:t xml:space="preserve"> in all jurisdictions other than South Australia where Class 13 </w:t>
      </w:r>
      <w:r w:rsidR="00EF7695">
        <w:t>i</w:t>
      </w:r>
      <w:r w:rsidR="003A0EA1" w:rsidRPr="003A0EA1">
        <w:t xml:space="preserve">s the mode. </w:t>
      </w:r>
      <w:r>
        <w:t>In the o</w:t>
      </w:r>
      <w:r w:rsidR="003A0EA1" w:rsidRPr="003A0EA1">
        <w:t>ther states and territories, the proportion of residents in Class 5 range</w:t>
      </w:r>
      <w:r w:rsidR="00EF7695">
        <w:t>s</w:t>
      </w:r>
      <w:r w:rsidR="003A0EA1" w:rsidRPr="003A0EA1">
        <w:t xml:space="preserve"> from 17% in NT to 45% in Tasmania.</w:t>
      </w:r>
    </w:p>
    <w:p w:rsidR="003A0EA1" w:rsidRDefault="00F2635C" w:rsidP="00331160">
      <w:pPr>
        <w:spacing w:before="120" w:after="120"/>
      </w:pPr>
      <w:r>
        <w:t xml:space="preserve">Apparent differences between the jurisdictions in their casemix as indicated by AN-ACC class are likely to have arisen from the other features of the sample. Within each jurisdiction, there is a mix of other characteristics such as remoteness, size and ownership type, factors which are likely to affect these results. The mix differs from jurisdiction to jurisdiction, so it is not surprising to </w:t>
      </w:r>
      <w:r w:rsidR="00C12400">
        <w:t>see this difference in casemix.</w:t>
      </w:r>
    </w:p>
    <w:p w:rsidR="00D22E64" w:rsidRDefault="00D22E64" w:rsidP="00D22E64">
      <w:pPr>
        <w:pStyle w:val="Caption"/>
      </w:pPr>
      <w:bookmarkStart w:id="54" w:name="_Ref535442242"/>
      <w:bookmarkStart w:id="55" w:name="_Toc953905"/>
      <w:r>
        <w:t xml:space="preserve">Figure </w:t>
      </w:r>
      <w:r w:rsidR="00635C72">
        <w:rPr>
          <w:noProof/>
        </w:rPr>
        <w:fldChar w:fldCharType="begin"/>
      </w:r>
      <w:r w:rsidR="00635C72">
        <w:rPr>
          <w:noProof/>
        </w:rPr>
        <w:instrText xml:space="preserve"> SEQ Figure \* ARABIC </w:instrText>
      </w:r>
      <w:r w:rsidR="00635C72">
        <w:rPr>
          <w:noProof/>
        </w:rPr>
        <w:fldChar w:fldCharType="separate"/>
      </w:r>
      <w:r w:rsidR="00785B04">
        <w:rPr>
          <w:noProof/>
        </w:rPr>
        <w:t>1</w:t>
      </w:r>
      <w:r w:rsidR="00635C72">
        <w:rPr>
          <w:noProof/>
        </w:rPr>
        <w:fldChar w:fldCharType="end"/>
      </w:r>
      <w:bookmarkEnd w:id="54"/>
      <w:r w:rsidR="00341AF1">
        <w:rPr>
          <w:noProof/>
        </w:rPr>
        <w:t xml:space="preserve"> </w:t>
      </w:r>
      <w:r>
        <w:tab/>
        <w:t>AN-ACC class by jurisdiction</w:t>
      </w:r>
      <w:bookmarkEnd w:id="55"/>
    </w:p>
    <w:p w:rsidR="00D22E64" w:rsidRDefault="00AD3717" w:rsidP="00331160">
      <w:pPr>
        <w:spacing w:before="120" w:after="120"/>
      </w:pPr>
      <w:r w:rsidRPr="00AD3717">
        <w:rPr>
          <w:noProof/>
        </w:rPr>
        <w:drawing>
          <wp:inline distT="0" distB="0" distL="0" distR="0" wp14:anchorId="541D89C9" wp14:editId="0C3BBE03">
            <wp:extent cx="5713200" cy="3078000"/>
            <wp:effectExtent l="0" t="0" r="1905" b="8255"/>
            <wp:docPr id="3" name="Picture 3" descr="Figure 1 presents the distribution of classes amongst residents by jurisdiction. Class 1 was excluded as this study only assessed residents already in care and ACT jurisdiction was excluded for confidentiality reasons. There are some similarities but also some clear differences in the mix of classes state by state. Class 5, (Assisted mobility, high cognition, with compounding factors) is the mode in all jurisdictions other than South Australia where Class 13 is the mode. In the other states and territories, the proportion of residents in Class 5 ranges from 17% in NT to 45% in Tasmania." title="Figure 1  AN-ACC class by juris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3200" cy="3078000"/>
                    </a:xfrm>
                    <a:prstGeom prst="rect">
                      <a:avLst/>
                    </a:prstGeom>
                    <a:noFill/>
                    <a:ln>
                      <a:noFill/>
                    </a:ln>
                  </pic:spPr>
                </pic:pic>
              </a:graphicData>
            </a:graphic>
          </wp:inline>
        </w:drawing>
      </w:r>
    </w:p>
    <w:p w:rsidR="00665DC3" w:rsidRDefault="00665DC3" w:rsidP="00665DC3">
      <w:pPr>
        <w:pStyle w:val="Heading2"/>
      </w:pPr>
      <w:bookmarkStart w:id="56" w:name="_Toc2083379"/>
      <w:r>
        <w:t>Clinical specialisation</w:t>
      </w:r>
      <w:bookmarkEnd w:id="56"/>
    </w:p>
    <w:p w:rsidR="00665DC3" w:rsidRDefault="009920EC" w:rsidP="00331160">
      <w:pPr>
        <w:spacing w:before="120" w:after="120"/>
      </w:pPr>
      <w:r>
        <w:t xml:space="preserve">Facilities participating in the study could nominate whether or not they were a </w:t>
      </w:r>
      <w:r w:rsidR="00380E4B">
        <w:t xml:space="preserve">specialisation </w:t>
      </w:r>
      <w:r>
        <w:t xml:space="preserve">home or had one or more specialised </w:t>
      </w:r>
      <w:r w:rsidR="00380E4B">
        <w:t>unit</w:t>
      </w:r>
      <w:r>
        <w:t>s</w:t>
      </w:r>
      <w:r w:rsidR="00380E4B">
        <w:t xml:space="preserve"> within </w:t>
      </w:r>
      <w:r>
        <w:t>the</w:t>
      </w:r>
      <w:r w:rsidR="00380E4B">
        <w:t xml:space="preserve"> facility. The options available </w:t>
      </w:r>
      <w:r w:rsidR="009C1980">
        <w:t>included</w:t>
      </w:r>
      <w:r w:rsidR="00380E4B">
        <w:t xml:space="preserve"> dementia, homelessness, palliative care and mental healt</w:t>
      </w:r>
      <w:r w:rsidR="00864C92">
        <w:t>h (including drug and alcohol).</w:t>
      </w:r>
    </w:p>
    <w:p w:rsidR="009A1E83" w:rsidRDefault="00033FB7" w:rsidP="00331160">
      <w:pPr>
        <w:spacing w:before="120" w:after="120"/>
      </w:pPr>
      <w:r>
        <w:t xml:space="preserve">A summary of the AN-ACC class distribution and payment weights for occupied bed days under the two funding models </w:t>
      </w:r>
      <w:r w:rsidR="00EF7695">
        <w:t>is</w:t>
      </w:r>
      <w:r>
        <w:t xml:space="preserve"> presented below. Projections for the national population have</w:t>
      </w:r>
      <w:r w:rsidR="00EF7695">
        <w:t xml:space="preserve"> </w:t>
      </w:r>
      <w:r>
        <w:t>n</w:t>
      </w:r>
      <w:r w:rsidR="00EF7695">
        <w:t>o</w:t>
      </w:r>
      <w:r>
        <w:t xml:space="preserve">t been calculated as the location of other </w:t>
      </w:r>
      <w:r w:rsidR="00864C92">
        <w:t>specialist units was not known.</w:t>
      </w:r>
    </w:p>
    <w:p w:rsidR="009A1E83" w:rsidRDefault="00033FB7" w:rsidP="00331160">
      <w:pPr>
        <w:spacing w:before="120" w:after="120"/>
      </w:pPr>
      <w:r>
        <w:lastRenderedPageBreak/>
        <w:t xml:space="preserve">In </w:t>
      </w:r>
      <w:r>
        <w:fldChar w:fldCharType="begin"/>
      </w:r>
      <w:r>
        <w:instrText xml:space="preserve"> REF _Ref535493597 \h </w:instrText>
      </w:r>
      <w:r>
        <w:fldChar w:fldCharType="separate"/>
      </w:r>
      <w:r w:rsidR="00785B04">
        <w:t xml:space="preserve">Figure </w:t>
      </w:r>
      <w:r w:rsidR="00785B04">
        <w:rPr>
          <w:noProof/>
        </w:rPr>
        <w:t>2</w:t>
      </w:r>
      <w:r>
        <w:fldChar w:fldCharType="end"/>
      </w:r>
      <w:r>
        <w:t>, the distribution of AN-ACC classes within specialised units is presented. Also in the figure is the equivalent result for the full sample, as a comparison. The biggest discrepancies appear to be in the homeless and indigenous units. Mental health units also appeared to be different, though the number of residents in mental health units is small and may be an underrepresentation of the national situation.</w:t>
      </w:r>
    </w:p>
    <w:p w:rsidR="00A23667" w:rsidRDefault="00954559" w:rsidP="00954559">
      <w:pPr>
        <w:pStyle w:val="Caption"/>
      </w:pPr>
      <w:bookmarkStart w:id="57" w:name="_Ref535493597"/>
      <w:bookmarkStart w:id="58" w:name="_Toc953906"/>
      <w:r>
        <w:t xml:space="preserve">Figure </w:t>
      </w:r>
      <w:r w:rsidR="00E949FA">
        <w:rPr>
          <w:noProof/>
        </w:rPr>
        <w:fldChar w:fldCharType="begin"/>
      </w:r>
      <w:r w:rsidR="00E949FA">
        <w:rPr>
          <w:noProof/>
        </w:rPr>
        <w:instrText xml:space="preserve"> SEQ Figure \* ARABIC </w:instrText>
      </w:r>
      <w:r w:rsidR="00E949FA">
        <w:rPr>
          <w:noProof/>
        </w:rPr>
        <w:fldChar w:fldCharType="separate"/>
      </w:r>
      <w:r w:rsidR="00785B04">
        <w:rPr>
          <w:noProof/>
        </w:rPr>
        <w:t>2</w:t>
      </w:r>
      <w:r w:rsidR="00E949FA">
        <w:rPr>
          <w:noProof/>
        </w:rPr>
        <w:fldChar w:fldCharType="end"/>
      </w:r>
      <w:bookmarkEnd w:id="57"/>
      <w:r w:rsidR="00341AF1">
        <w:rPr>
          <w:noProof/>
        </w:rPr>
        <w:t xml:space="preserve"> </w:t>
      </w:r>
      <w:r>
        <w:tab/>
        <w:t>Distribution of AN-ACC classes in specialist units</w:t>
      </w:r>
      <w:bookmarkEnd w:id="58"/>
    </w:p>
    <w:p w:rsidR="00954559" w:rsidRDefault="00954559" w:rsidP="00331160">
      <w:pPr>
        <w:spacing w:before="120" w:after="120"/>
      </w:pPr>
      <w:r w:rsidRPr="00954559">
        <w:rPr>
          <w:noProof/>
        </w:rPr>
        <w:drawing>
          <wp:inline distT="0" distB="0" distL="0" distR="0" wp14:anchorId="6AF53255" wp14:editId="5B98DE63">
            <wp:extent cx="5724000" cy="3430800"/>
            <wp:effectExtent l="0" t="0" r="0" b="0"/>
            <wp:docPr id="5" name="Picture 5" descr="In Figure 2, the distribution of AN-ACC classes within specialised units is presented. Also in the figure is the equivalent result for the full sample, as a comparison. The biggest discrepancies appear to be in the homeless and indigenous units. Mental health units also appeared to be different, though the number of residents in mental health units is small and may be an underrepresentation of the national situation." title="Figure 2 Distribution of AN-ACC classes in specialist units – the chart possibly needs to be redone.  Shades of colours really similar to each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24000" cy="3430800"/>
                    </a:xfrm>
                    <a:prstGeom prst="rect">
                      <a:avLst/>
                    </a:prstGeom>
                    <a:noFill/>
                    <a:ln>
                      <a:noFill/>
                    </a:ln>
                  </pic:spPr>
                </pic:pic>
              </a:graphicData>
            </a:graphic>
          </wp:inline>
        </w:drawing>
      </w:r>
    </w:p>
    <w:p w:rsidR="00A23667" w:rsidRDefault="00050DB0" w:rsidP="00050DB0">
      <w:pPr>
        <w:pStyle w:val="Caption"/>
        <w:keepNext/>
      </w:pPr>
      <w:bookmarkStart w:id="59" w:name="_Ref535493940"/>
      <w:bookmarkStart w:id="60" w:name="_Toc953895"/>
      <w:r>
        <w:t xml:space="preserve">Table </w:t>
      </w:r>
      <w:r w:rsidR="00E949FA">
        <w:rPr>
          <w:noProof/>
        </w:rPr>
        <w:fldChar w:fldCharType="begin"/>
      </w:r>
      <w:r w:rsidR="00E949FA">
        <w:rPr>
          <w:noProof/>
        </w:rPr>
        <w:instrText xml:space="preserve"> SEQ Table \* ARABIC </w:instrText>
      </w:r>
      <w:r w:rsidR="00E949FA">
        <w:rPr>
          <w:noProof/>
        </w:rPr>
        <w:fldChar w:fldCharType="separate"/>
      </w:r>
      <w:r w:rsidR="00785B04">
        <w:rPr>
          <w:noProof/>
        </w:rPr>
        <w:t>3</w:t>
      </w:r>
      <w:r w:rsidR="00E949FA">
        <w:rPr>
          <w:noProof/>
        </w:rPr>
        <w:fldChar w:fldCharType="end"/>
      </w:r>
      <w:bookmarkEnd w:id="59"/>
      <w:r w:rsidR="00341AF1">
        <w:rPr>
          <w:noProof/>
        </w:rPr>
        <w:t xml:space="preserve"> </w:t>
      </w:r>
      <w:r>
        <w:tab/>
        <w:t>Specialised units - payment</w:t>
      </w:r>
      <w:r w:rsidR="00024CC7">
        <w:t xml:space="preserve"> per occupied bed day</w:t>
      </w:r>
      <w:bookmarkEnd w:id="60"/>
    </w:p>
    <w:tbl>
      <w:tblPr>
        <w:tblW w:w="8926" w:type="dxa"/>
        <w:tblInd w:w="113" w:type="dxa"/>
        <w:tblLayout w:type="fixed"/>
        <w:tblLook w:val="04A0" w:firstRow="1" w:lastRow="0" w:firstColumn="1" w:lastColumn="0" w:noHBand="0" w:noVBand="1"/>
        <w:tblCaption w:val="Table 3 Specialised units - payment per occupied bed day"/>
        <w:tblDescription w:val="Table 3 presents relative payments per occupied bed day for both payment models.  The biggest differences are in the homeless and indigenous units. In both cases, the payment under ACFI is substantially less than that under AN-ACC. This table is to be read as a series of rows from left to right ('specialisation' then 'number of facilities' then 'number of residents' then 'AN-ACC NWAU per occupied bed day' then 'ACFI weight per occupied bed day'), top to bottom."/>
      </w:tblPr>
      <w:tblGrid>
        <w:gridCol w:w="1746"/>
        <w:gridCol w:w="1747"/>
        <w:gridCol w:w="1747"/>
        <w:gridCol w:w="1843"/>
        <w:gridCol w:w="1843"/>
      </w:tblGrid>
      <w:tr w:rsidR="00380E4B" w:rsidRPr="00050DB0" w:rsidTr="00864C92">
        <w:trPr>
          <w:trHeight w:val="900"/>
          <w:tblHeader/>
        </w:trPr>
        <w:tc>
          <w:tcPr>
            <w:tcW w:w="1746" w:type="dxa"/>
            <w:tcBorders>
              <w:top w:val="single" w:sz="4" w:space="0" w:color="auto"/>
              <w:left w:val="single" w:sz="4" w:space="0" w:color="auto"/>
              <w:bottom w:val="single" w:sz="4" w:space="0" w:color="auto"/>
              <w:right w:val="single" w:sz="4" w:space="0" w:color="auto"/>
            </w:tcBorders>
            <w:shd w:val="clear" w:color="auto" w:fill="auto"/>
            <w:noWrap/>
            <w:hideMark/>
          </w:tcPr>
          <w:p w:rsidR="00050DB0" w:rsidRPr="00050DB0" w:rsidRDefault="00050DB0" w:rsidP="002E6AC6">
            <w:pPr>
              <w:spacing w:before="80" w:after="80"/>
              <w:rPr>
                <w:rFonts w:ascii="Calibri" w:hAnsi="Calibri" w:cs="Calibri"/>
                <w:b/>
                <w:color w:val="000000"/>
                <w:sz w:val="22"/>
                <w:szCs w:val="22"/>
              </w:rPr>
            </w:pPr>
            <w:r w:rsidRPr="00050DB0">
              <w:rPr>
                <w:rFonts w:ascii="Calibri" w:hAnsi="Calibri" w:cs="Calibri"/>
                <w:b/>
                <w:color w:val="000000"/>
                <w:sz w:val="22"/>
                <w:szCs w:val="22"/>
              </w:rPr>
              <w:t>Specialisation</w:t>
            </w:r>
          </w:p>
        </w:tc>
        <w:tc>
          <w:tcPr>
            <w:tcW w:w="1747" w:type="dxa"/>
            <w:tcBorders>
              <w:top w:val="single" w:sz="4" w:space="0" w:color="auto"/>
              <w:left w:val="nil"/>
              <w:bottom w:val="single" w:sz="4" w:space="0" w:color="auto"/>
              <w:right w:val="single" w:sz="4" w:space="0" w:color="auto"/>
            </w:tcBorders>
            <w:shd w:val="clear" w:color="auto" w:fill="auto"/>
            <w:hideMark/>
          </w:tcPr>
          <w:p w:rsidR="00050DB0" w:rsidRPr="00050DB0" w:rsidRDefault="00050DB0" w:rsidP="002E6AC6">
            <w:pPr>
              <w:spacing w:before="80" w:after="80"/>
              <w:rPr>
                <w:rFonts w:ascii="Calibri" w:hAnsi="Calibri" w:cs="Calibri"/>
                <w:b/>
                <w:color w:val="000000"/>
                <w:sz w:val="22"/>
                <w:szCs w:val="22"/>
              </w:rPr>
            </w:pPr>
            <w:r w:rsidRPr="00050DB0">
              <w:rPr>
                <w:rFonts w:ascii="Calibri" w:hAnsi="Calibri" w:cs="Calibri"/>
                <w:b/>
                <w:color w:val="000000"/>
                <w:sz w:val="22"/>
                <w:szCs w:val="22"/>
              </w:rPr>
              <w:t>No. of Facilities</w:t>
            </w:r>
          </w:p>
        </w:tc>
        <w:tc>
          <w:tcPr>
            <w:tcW w:w="1747" w:type="dxa"/>
            <w:tcBorders>
              <w:top w:val="single" w:sz="4" w:space="0" w:color="auto"/>
              <w:left w:val="nil"/>
              <w:bottom w:val="single" w:sz="4" w:space="0" w:color="auto"/>
              <w:right w:val="single" w:sz="4" w:space="0" w:color="auto"/>
            </w:tcBorders>
            <w:shd w:val="clear" w:color="auto" w:fill="auto"/>
            <w:hideMark/>
          </w:tcPr>
          <w:p w:rsidR="00050DB0" w:rsidRPr="00050DB0" w:rsidRDefault="00050DB0" w:rsidP="002E6AC6">
            <w:pPr>
              <w:spacing w:before="80" w:after="80"/>
              <w:rPr>
                <w:rFonts w:ascii="Calibri" w:hAnsi="Calibri" w:cs="Calibri"/>
                <w:b/>
                <w:color w:val="000000"/>
                <w:sz w:val="22"/>
                <w:szCs w:val="22"/>
              </w:rPr>
            </w:pPr>
            <w:r w:rsidRPr="00050DB0">
              <w:rPr>
                <w:rFonts w:ascii="Calibri" w:hAnsi="Calibri" w:cs="Calibri"/>
                <w:b/>
                <w:color w:val="000000"/>
                <w:sz w:val="22"/>
                <w:szCs w:val="22"/>
              </w:rPr>
              <w:t>No. of Residents</w:t>
            </w:r>
          </w:p>
        </w:tc>
        <w:tc>
          <w:tcPr>
            <w:tcW w:w="1843" w:type="dxa"/>
            <w:tcBorders>
              <w:top w:val="single" w:sz="4" w:space="0" w:color="auto"/>
              <w:left w:val="nil"/>
              <w:bottom w:val="single" w:sz="4" w:space="0" w:color="auto"/>
              <w:right w:val="single" w:sz="4" w:space="0" w:color="auto"/>
            </w:tcBorders>
            <w:shd w:val="clear" w:color="auto" w:fill="auto"/>
            <w:hideMark/>
          </w:tcPr>
          <w:p w:rsidR="00050DB0" w:rsidRPr="00050DB0" w:rsidRDefault="00050DB0" w:rsidP="002E6AC6">
            <w:pPr>
              <w:spacing w:before="80" w:after="80"/>
              <w:rPr>
                <w:rFonts w:ascii="Calibri" w:hAnsi="Calibri" w:cs="Calibri"/>
                <w:b/>
                <w:color w:val="000000"/>
                <w:sz w:val="22"/>
                <w:szCs w:val="22"/>
              </w:rPr>
            </w:pPr>
            <w:r>
              <w:rPr>
                <w:rFonts w:ascii="Calibri" w:hAnsi="Calibri" w:cs="Calibri"/>
                <w:b/>
                <w:color w:val="000000"/>
                <w:sz w:val="22"/>
                <w:szCs w:val="22"/>
              </w:rPr>
              <w:t>AN-ACC</w:t>
            </w:r>
            <w:r w:rsidR="00380E4B">
              <w:rPr>
                <w:rFonts w:ascii="Calibri" w:hAnsi="Calibri" w:cs="Calibri"/>
                <w:b/>
                <w:color w:val="000000"/>
                <w:sz w:val="22"/>
                <w:szCs w:val="22"/>
              </w:rPr>
              <w:t>*</w:t>
            </w:r>
            <w:r w:rsidR="002E6AC6">
              <w:rPr>
                <w:rFonts w:ascii="Calibri" w:hAnsi="Calibri" w:cs="Calibri"/>
                <w:b/>
                <w:color w:val="000000"/>
                <w:sz w:val="22"/>
                <w:szCs w:val="22"/>
              </w:rPr>
              <w:t xml:space="preserve"> </w:t>
            </w:r>
            <w:r w:rsidRPr="00050DB0">
              <w:rPr>
                <w:rFonts w:ascii="Calibri" w:hAnsi="Calibri" w:cs="Calibri"/>
                <w:b/>
                <w:color w:val="000000"/>
                <w:sz w:val="22"/>
                <w:szCs w:val="22"/>
              </w:rPr>
              <w:t>NWAU per occupied bed day</w:t>
            </w:r>
          </w:p>
        </w:tc>
        <w:tc>
          <w:tcPr>
            <w:tcW w:w="1843" w:type="dxa"/>
            <w:tcBorders>
              <w:top w:val="single" w:sz="4" w:space="0" w:color="auto"/>
              <w:left w:val="nil"/>
              <w:bottom w:val="single" w:sz="4" w:space="0" w:color="auto"/>
              <w:right w:val="single" w:sz="4" w:space="0" w:color="auto"/>
            </w:tcBorders>
            <w:shd w:val="clear" w:color="auto" w:fill="auto"/>
            <w:hideMark/>
          </w:tcPr>
          <w:p w:rsidR="00050DB0" w:rsidRPr="00050DB0" w:rsidRDefault="00050DB0" w:rsidP="002E6AC6">
            <w:pPr>
              <w:spacing w:before="80" w:after="80"/>
              <w:rPr>
                <w:rFonts w:ascii="Calibri" w:hAnsi="Calibri" w:cs="Calibri"/>
                <w:b/>
                <w:color w:val="000000"/>
                <w:sz w:val="22"/>
                <w:szCs w:val="22"/>
              </w:rPr>
            </w:pPr>
            <w:r w:rsidRPr="00050DB0">
              <w:rPr>
                <w:rFonts w:ascii="Calibri" w:hAnsi="Calibri" w:cs="Calibri"/>
                <w:b/>
                <w:color w:val="000000"/>
                <w:sz w:val="22"/>
                <w:szCs w:val="22"/>
              </w:rPr>
              <w:t>ACFI Weight per occupied bed day</w:t>
            </w:r>
          </w:p>
        </w:tc>
      </w:tr>
      <w:tr w:rsidR="00C16D6F" w:rsidRPr="00050DB0" w:rsidTr="00380E4B">
        <w:trPr>
          <w:trHeight w:val="300"/>
        </w:trPr>
        <w:tc>
          <w:tcPr>
            <w:tcW w:w="1746" w:type="dxa"/>
            <w:tcBorders>
              <w:top w:val="nil"/>
              <w:left w:val="single" w:sz="4" w:space="0" w:color="auto"/>
              <w:bottom w:val="single" w:sz="4" w:space="0" w:color="auto"/>
              <w:right w:val="single" w:sz="4" w:space="0" w:color="auto"/>
            </w:tcBorders>
            <w:shd w:val="clear" w:color="auto" w:fill="auto"/>
            <w:noWrap/>
            <w:vAlign w:val="bottom"/>
            <w:hideMark/>
          </w:tcPr>
          <w:p w:rsidR="00C16D6F" w:rsidRPr="00050DB0" w:rsidRDefault="00C16D6F" w:rsidP="002E6AC6">
            <w:pPr>
              <w:spacing w:before="80" w:after="80"/>
              <w:rPr>
                <w:rFonts w:ascii="Calibri" w:hAnsi="Calibri" w:cs="Calibri"/>
                <w:color w:val="000000"/>
                <w:sz w:val="22"/>
                <w:szCs w:val="22"/>
              </w:rPr>
            </w:pPr>
            <w:r w:rsidRPr="00050DB0">
              <w:rPr>
                <w:rFonts w:ascii="Calibri" w:hAnsi="Calibri" w:cs="Calibri"/>
                <w:color w:val="000000"/>
                <w:sz w:val="22"/>
                <w:szCs w:val="22"/>
              </w:rPr>
              <w:t>CALD</w:t>
            </w:r>
          </w:p>
        </w:tc>
        <w:tc>
          <w:tcPr>
            <w:tcW w:w="1747" w:type="dxa"/>
            <w:tcBorders>
              <w:top w:val="nil"/>
              <w:left w:val="nil"/>
              <w:bottom w:val="single" w:sz="4" w:space="0" w:color="auto"/>
              <w:right w:val="single" w:sz="4" w:space="0" w:color="auto"/>
            </w:tcBorders>
            <w:shd w:val="clear" w:color="auto" w:fill="auto"/>
            <w:noWrap/>
            <w:vAlign w:val="bottom"/>
            <w:hideMark/>
          </w:tcPr>
          <w:p w:rsidR="00C16D6F" w:rsidRPr="00050DB0" w:rsidRDefault="00C16D6F" w:rsidP="002E6AC6">
            <w:pPr>
              <w:spacing w:before="80" w:after="80"/>
              <w:jc w:val="right"/>
              <w:rPr>
                <w:rFonts w:ascii="Calibri" w:hAnsi="Calibri" w:cs="Calibri"/>
                <w:color w:val="000000"/>
                <w:sz w:val="22"/>
                <w:szCs w:val="22"/>
              </w:rPr>
            </w:pPr>
            <w:r w:rsidRPr="00050DB0">
              <w:rPr>
                <w:rFonts w:ascii="Calibri" w:hAnsi="Calibri" w:cs="Calibri"/>
                <w:color w:val="000000"/>
                <w:sz w:val="22"/>
                <w:szCs w:val="22"/>
              </w:rPr>
              <w:t>3</w:t>
            </w:r>
          </w:p>
        </w:tc>
        <w:tc>
          <w:tcPr>
            <w:tcW w:w="1747" w:type="dxa"/>
            <w:tcBorders>
              <w:top w:val="nil"/>
              <w:left w:val="nil"/>
              <w:bottom w:val="single" w:sz="4" w:space="0" w:color="auto"/>
              <w:right w:val="single" w:sz="4" w:space="0" w:color="auto"/>
            </w:tcBorders>
            <w:shd w:val="clear" w:color="auto" w:fill="auto"/>
            <w:noWrap/>
            <w:vAlign w:val="bottom"/>
            <w:hideMark/>
          </w:tcPr>
          <w:p w:rsidR="00C16D6F" w:rsidRPr="00050DB0" w:rsidRDefault="00C16D6F" w:rsidP="002E6AC6">
            <w:pPr>
              <w:spacing w:before="80" w:after="80"/>
              <w:jc w:val="right"/>
              <w:rPr>
                <w:rFonts w:ascii="Calibri" w:hAnsi="Calibri" w:cs="Calibri"/>
                <w:color w:val="000000"/>
                <w:sz w:val="22"/>
                <w:szCs w:val="22"/>
              </w:rPr>
            </w:pPr>
            <w:r w:rsidRPr="00050DB0">
              <w:rPr>
                <w:rFonts w:ascii="Calibri" w:hAnsi="Calibri" w:cs="Calibri"/>
                <w:color w:val="000000"/>
                <w:sz w:val="22"/>
                <w:szCs w:val="22"/>
              </w:rPr>
              <w:t>179</w:t>
            </w:r>
          </w:p>
        </w:tc>
        <w:tc>
          <w:tcPr>
            <w:tcW w:w="1843" w:type="dxa"/>
            <w:tcBorders>
              <w:top w:val="nil"/>
              <w:left w:val="nil"/>
              <w:bottom w:val="single" w:sz="4" w:space="0" w:color="auto"/>
              <w:right w:val="single" w:sz="4" w:space="0" w:color="auto"/>
            </w:tcBorders>
            <w:shd w:val="clear" w:color="auto" w:fill="auto"/>
            <w:noWrap/>
            <w:vAlign w:val="bottom"/>
            <w:hideMark/>
          </w:tcPr>
          <w:p w:rsidR="00C16D6F" w:rsidRPr="00050DB0" w:rsidRDefault="00C16D6F" w:rsidP="002E6AC6">
            <w:pPr>
              <w:spacing w:before="80" w:after="80"/>
              <w:jc w:val="right"/>
              <w:rPr>
                <w:rFonts w:ascii="Calibri" w:hAnsi="Calibri" w:cs="Calibri"/>
                <w:color w:val="000000"/>
                <w:sz w:val="22"/>
                <w:szCs w:val="22"/>
              </w:rPr>
            </w:pPr>
            <w:r>
              <w:rPr>
                <w:rFonts w:ascii="Calibri" w:hAnsi="Calibri" w:cs="Calibri"/>
                <w:color w:val="000000"/>
                <w:sz w:val="22"/>
                <w:szCs w:val="22"/>
              </w:rPr>
              <w:t>1.01</w:t>
            </w:r>
          </w:p>
        </w:tc>
        <w:tc>
          <w:tcPr>
            <w:tcW w:w="1843" w:type="dxa"/>
            <w:tcBorders>
              <w:top w:val="nil"/>
              <w:left w:val="nil"/>
              <w:bottom w:val="single" w:sz="4" w:space="0" w:color="auto"/>
              <w:right w:val="single" w:sz="4" w:space="0" w:color="auto"/>
            </w:tcBorders>
            <w:shd w:val="clear" w:color="auto" w:fill="auto"/>
            <w:noWrap/>
            <w:vAlign w:val="bottom"/>
            <w:hideMark/>
          </w:tcPr>
          <w:p w:rsidR="00C16D6F" w:rsidRPr="00050DB0" w:rsidRDefault="00C16D6F" w:rsidP="002E6AC6">
            <w:pPr>
              <w:spacing w:before="80" w:after="80"/>
              <w:jc w:val="right"/>
              <w:rPr>
                <w:rFonts w:ascii="Calibri" w:hAnsi="Calibri" w:cs="Calibri"/>
                <w:color w:val="000000"/>
                <w:sz w:val="22"/>
                <w:szCs w:val="22"/>
              </w:rPr>
            </w:pPr>
            <w:r>
              <w:rPr>
                <w:rFonts w:ascii="Calibri" w:hAnsi="Calibri" w:cs="Calibri"/>
                <w:color w:val="000000"/>
                <w:sz w:val="22"/>
                <w:szCs w:val="22"/>
              </w:rPr>
              <w:t>0.98</w:t>
            </w:r>
          </w:p>
        </w:tc>
      </w:tr>
      <w:tr w:rsidR="00C16D6F" w:rsidRPr="00050DB0" w:rsidTr="00380E4B">
        <w:trPr>
          <w:trHeight w:val="300"/>
        </w:trPr>
        <w:tc>
          <w:tcPr>
            <w:tcW w:w="1746" w:type="dxa"/>
            <w:tcBorders>
              <w:top w:val="nil"/>
              <w:left w:val="single" w:sz="4" w:space="0" w:color="auto"/>
              <w:bottom w:val="single" w:sz="4" w:space="0" w:color="auto"/>
              <w:right w:val="single" w:sz="4" w:space="0" w:color="auto"/>
            </w:tcBorders>
            <w:shd w:val="clear" w:color="auto" w:fill="auto"/>
            <w:noWrap/>
            <w:vAlign w:val="bottom"/>
            <w:hideMark/>
          </w:tcPr>
          <w:p w:rsidR="00C16D6F" w:rsidRPr="00050DB0" w:rsidRDefault="00C16D6F" w:rsidP="002E6AC6">
            <w:pPr>
              <w:spacing w:before="80" w:after="80"/>
              <w:rPr>
                <w:rFonts w:ascii="Calibri" w:hAnsi="Calibri" w:cs="Calibri"/>
                <w:color w:val="000000"/>
                <w:sz w:val="22"/>
                <w:szCs w:val="22"/>
              </w:rPr>
            </w:pPr>
            <w:r w:rsidRPr="00050DB0">
              <w:rPr>
                <w:rFonts w:ascii="Calibri" w:hAnsi="Calibri" w:cs="Calibri"/>
                <w:color w:val="000000"/>
                <w:sz w:val="22"/>
                <w:szCs w:val="22"/>
              </w:rPr>
              <w:t>Dementia</w:t>
            </w:r>
          </w:p>
        </w:tc>
        <w:tc>
          <w:tcPr>
            <w:tcW w:w="1747" w:type="dxa"/>
            <w:tcBorders>
              <w:top w:val="nil"/>
              <w:left w:val="nil"/>
              <w:bottom w:val="single" w:sz="4" w:space="0" w:color="auto"/>
              <w:right w:val="single" w:sz="4" w:space="0" w:color="auto"/>
            </w:tcBorders>
            <w:shd w:val="clear" w:color="auto" w:fill="auto"/>
            <w:noWrap/>
            <w:vAlign w:val="bottom"/>
            <w:hideMark/>
          </w:tcPr>
          <w:p w:rsidR="00C16D6F" w:rsidRPr="00050DB0" w:rsidRDefault="00C16D6F" w:rsidP="002E6AC6">
            <w:pPr>
              <w:spacing w:before="80" w:after="80"/>
              <w:jc w:val="right"/>
              <w:rPr>
                <w:rFonts w:ascii="Calibri" w:hAnsi="Calibri" w:cs="Calibri"/>
                <w:color w:val="000000"/>
                <w:sz w:val="22"/>
                <w:szCs w:val="22"/>
              </w:rPr>
            </w:pPr>
            <w:r w:rsidRPr="00050DB0">
              <w:rPr>
                <w:rFonts w:ascii="Calibri" w:hAnsi="Calibri" w:cs="Calibri"/>
                <w:color w:val="000000"/>
                <w:sz w:val="22"/>
                <w:szCs w:val="22"/>
              </w:rPr>
              <w:t>25</w:t>
            </w:r>
          </w:p>
        </w:tc>
        <w:tc>
          <w:tcPr>
            <w:tcW w:w="1747" w:type="dxa"/>
            <w:tcBorders>
              <w:top w:val="nil"/>
              <w:left w:val="nil"/>
              <w:bottom w:val="single" w:sz="4" w:space="0" w:color="auto"/>
              <w:right w:val="single" w:sz="4" w:space="0" w:color="auto"/>
            </w:tcBorders>
            <w:shd w:val="clear" w:color="auto" w:fill="auto"/>
            <w:noWrap/>
            <w:vAlign w:val="bottom"/>
            <w:hideMark/>
          </w:tcPr>
          <w:p w:rsidR="00C16D6F" w:rsidRPr="00050DB0" w:rsidRDefault="00C16D6F" w:rsidP="002E6AC6">
            <w:pPr>
              <w:spacing w:before="80" w:after="80"/>
              <w:jc w:val="right"/>
              <w:rPr>
                <w:rFonts w:ascii="Calibri" w:hAnsi="Calibri" w:cs="Calibri"/>
                <w:color w:val="000000"/>
                <w:sz w:val="22"/>
                <w:szCs w:val="22"/>
              </w:rPr>
            </w:pPr>
            <w:r w:rsidRPr="00050DB0">
              <w:rPr>
                <w:rFonts w:ascii="Calibri" w:hAnsi="Calibri" w:cs="Calibri"/>
                <w:color w:val="000000"/>
                <w:sz w:val="22"/>
                <w:szCs w:val="22"/>
              </w:rPr>
              <w:t>1</w:t>
            </w:r>
            <w:r w:rsidR="00886A80">
              <w:rPr>
                <w:rFonts w:ascii="Calibri" w:hAnsi="Calibri" w:cs="Calibri"/>
                <w:color w:val="000000"/>
                <w:sz w:val="22"/>
                <w:szCs w:val="22"/>
              </w:rPr>
              <w:t>,</w:t>
            </w:r>
            <w:r w:rsidRPr="00050DB0">
              <w:rPr>
                <w:rFonts w:ascii="Calibri" w:hAnsi="Calibri" w:cs="Calibri"/>
                <w:color w:val="000000"/>
                <w:sz w:val="22"/>
                <w:szCs w:val="22"/>
              </w:rPr>
              <w:t>156</w:t>
            </w:r>
          </w:p>
        </w:tc>
        <w:tc>
          <w:tcPr>
            <w:tcW w:w="1843" w:type="dxa"/>
            <w:tcBorders>
              <w:top w:val="nil"/>
              <w:left w:val="nil"/>
              <w:bottom w:val="single" w:sz="4" w:space="0" w:color="auto"/>
              <w:right w:val="single" w:sz="4" w:space="0" w:color="auto"/>
            </w:tcBorders>
            <w:shd w:val="clear" w:color="auto" w:fill="auto"/>
            <w:noWrap/>
            <w:vAlign w:val="bottom"/>
            <w:hideMark/>
          </w:tcPr>
          <w:p w:rsidR="00C16D6F" w:rsidRPr="00050DB0" w:rsidRDefault="00C16D6F" w:rsidP="002E6AC6">
            <w:pPr>
              <w:spacing w:before="80" w:after="80"/>
              <w:jc w:val="right"/>
              <w:rPr>
                <w:rFonts w:ascii="Calibri" w:hAnsi="Calibri" w:cs="Calibri"/>
                <w:color w:val="000000"/>
                <w:sz w:val="22"/>
                <w:szCs w:val="22"/>
              </w:rPr>
            </w:pPr>
            <w:r>
              <w:rPr>
                <w:rFonts w:ascii="Calibri" w:hAnsi="Calibri" w:cs="Calibri"/>
                <w:color w:val="000000"/>
                <w:sz w:val="22"/>
                <w:szCs w:val="22"/>
              </w:rPr>
              <w:t>1.01</w:t>
            </w:r>
          </w:p>
        </w:tc>
        <w:tc>
          <w:tcPr>
            <w:tcW w:w="1843" w:type="dxa"/>
            <w:tcBorders>
              <w:top w:val="nil"/>
              <w:left w:val="nil"/>
              <w:bottom w:val="single" w:sz="4" w:space="0" w:color="auto"/>
              <w:right w:val="single" w:sz="4" w:space="0" w:color="auto"/>
            </w:tcBorders>
            <w:shd w:val="clear" w:color="auto" w:fill="auto"/>
            <w:noWrap/>
            <w:vAlign w:val="bottom"/>
            <w:hideMark/>
          </w:tcPr>
          <w:p w:rsidR="00C16D6F" w:rsidRPr="00050DB0" w:rsidRDefault="00C16D6F" w:rsidP="002E6AC6">
            <w:pPr>
              <w:spacing w:before="80" w:after="80"/>
              <w:jc w:val="right"/>
              <w:rPr>
                <w:rFonts w:ascii="Calibri" w:hAnsi="Calibri" w:cs="Calibri"/>
                <w:color w:val="000000"/>
                <w:sz w:val="22"/>
                <w:szCs w:val="22"/>
              </w:rPr>
            </w:pPr>
            <w:r>
              <w:rPr>
                <w:rFonts w:ascii="Calibri" w:hAnsi="Calibri" w:cs="Calibri"/>
                <w:color w:val="000000"/>
                <w:sz w:val="22"/>
                <w:szCs w:val="22"/>
              </w:rPr>
              <w:t>0.99</w:t>
            </w:r>
          </w:p>
        </w:tc>
      </w:tr>
      <w:tr w:rsidR="00C16D6F" w:rsidRPr="00050DB0" w:rsidTr="00380E4B">
        <w:trPr>
          <w:trHeight w:val="300"/>
        </w:trPr>
        <w:tc>
          <w:tcPr>
            <w:tcW w:w="1746" w:type="dxa"/>
            <w:tcBorders>
              <w:top w:val="nil"/>
              <w:left w:val="single" w:sz="4" w:space="0" w:color="auto"/>
              <w:bottom w:val="single" w:sz="4" w:space="0" w:color="auto"/>
              <w:right w:val="single" w:sz="4" w:space="0" w:color="auto"/>
            </w:tcBorders>
            <w:shd w:val="clear" w:color="auto" w:fill="auto"/>
            <w:noWrap/>
            <w:vAlign w:val="bottom"/>
            <w:hideMark/>
          </w:tcPr>
          <w:p w:rsidR="00C16D6F" w:rsidRPr="00050DB0" w:rsidRDefault="00C16D6F" w:rsidP="002E6AC6">
            <w:pPr>
              <w:spacing w:before="80" w:after="80"/>
              <w:rPr>
                <w:rFonts w:ascii="Calibri" w:hAnsi="Calibri" w:cs="Calibri"/>
                <w:color w:val="000000"/>
                <w:sz w:val="22"/>
                <w:szCs w:val="22"/>
              </w:rPr>
            </w:pPr>
            <w:r w:rsidRPr="00050DB0">
              <w:rPr>
                <w:rFonts w:ascii="Calibri" w:hAnsi="Calibri" w:cs="Calibri"/>
                <w:color w:val="000000"/>
                <w:sz w:val="22"/>
                <w:szCs w:val="22"/>
              </w:rPr>
              <w:t>Homeless</w:t>
            </w:r>
          </w:p>
        </w:tc>
        <w:tc>
          <w:tcPr>
            <w:tcW w:w="1747" w:type="dxa"/>
            <w:tcBorders>
              <w:top w:val="nil"/>
              <w:left w:val="nil"/>
              <w:bottom w:val="single" w:sz="4" w:space="0" w:color="auto"/>
              <w:right w:val="single" w:sz="4" w:space="0" w:color="auto"/>
            </w:tcBorders>
            <w:shd w:val="clear" w:color="auto" w:fill="auto"/>
            <w:noWrap/>
            <w:vAlign w:val="bottom"/>
            <w:hideMark/>
          </w:tcPr>
          <w:p w:rsidR="00C16D6F" w:rsidRPr="00050DB0" w:rsidRDefault="00C16D6F" w:rsidP="002E6AC6">
            <w:pPr>
              <w:spacing w:before="80" w:after="80"/>
              <w:jc w:val="right"/>
              <w:rPr>
                <w:rFonts w:ascii="Calibri" w:hAnsi="Calibri" w:cs="Calibri"/>
                <w:color w:val="000000"/>
                <w:sz w:val="22"/>
                <w:szCs w:val="22"/>
              </w:rPr>
            </w:pPr>
            <w:r w:rsidRPr="00050DB0">
              <w:rPr>
                <w:rFonts w:ascii="Calibri" w:hAnsi="Calibri" w:cs="Calibri"/>
                <w:color w:val="000000"/>
                <w:sz w:val="22"/>
                <w:szCs w:val="22"/>
              </w:rPr>
              <w:t>2</w:t>
            </w:r>
          </w:p>
        </w:tc>
        <w:tc>
          <w:tcPr>
            <w:tcW w:w="1747" w:type="dxa"/>
            <w:tcBorders>
              <w:top w:val="nil"/>
              <w:left w:val="nil"/>
              <w:bottom w:val="single" w:sz="4" w:space="0" w:color="auto"/>
              <w:right w:val="single" w:sz="4" w:space="0" w:color="auto"/>
            </w:tcBorders>
            <w:shd w:val="clear" w:color="auto" w:fill="auto"/>
            <w:noWrap/>
            <w:vAlign w:val="bottom"/>
            <w:hideMark/>
          </w:tcPr>
          <w:p w:rsidR="00C16D6F" w:rsidRPr="00050DB0" w:rsidRDefault="00C16D6F" w:rsidP="002E6AC6">
            <w:pPr>
              <w:spacing w:before="80" w:after="80"/>
              <w:jc w:val="right"/>
              <w:rPr>
                <w:rFonts w:ascii="Calibri" w:hAnsi="Calibri" w:cs="Calibri"/>
                <w:color w:val="000000"/>
                <w:sz w:val="22"/>
                <w:szCs w:val="22"/>
              </w:rPr>
            </w:pPr>
            <w:r w:rsidRPr="00050DB0">
              <w:rPr>
                <w:rFonts w:ascii="Calibri" w:hAnsi="Calibri" w:cs="Calibri"/>
                <w:color w:val="000000"/>
                <w:sz w:val="22"/>
                <w:szCs w:val="22"/>
              </w:rPr>
              <w:t>41</w:t>
            </w:r>
          </w:p>
        </w:tc>
        <w:tc>
          <w:tcPr>
            <w:tcW w:w="1843" w:type="dxa"/>
            <w:tcBorders>
              <w:top w:val="nil"/>
              <w:left w:val="nil"/>
              <w:bottom w:val="single" w:sz="4" w:space="0" w:color="auto"/>
              <w:right w:val="single" w:sz="4" w:space="0" w:color="auto"/>
            </w:tcBorders>
            <w:shd w:val="clear" w:color="auto" w:fill="auto"/>
            <w:noWrap/>
            <w:vAlign w:val="bottom"/>
            <w:hideMark/>
          </w:tcPr>
          <w:p w:rsidR="00C16D6F" w:rsidRPr="00050DB0" w:rsidRDefault="00C16D6F" w:rsidP="002E6AC6">
            <w:pPr>
              <w:spacing w:before="80" w:after="80"/>
              <w:jc w:val="right"/>
              <w:rPr>
                <w:rFonts w:ascii="Calibri" w:hAnsi="Calibri" w:cs="Calibri"/>
                <w:color w:val="000000"/>
                <w:sz w:val="22"/>
                <w:szCs w:val="22"/>
              </w:rPr>
            </w:pPr>
            <w:r>
              <w:rPr>
                <w:rFonts w:ascii="Calibri" w:hAnsi="Calibri" w:cs="Calibri"/>
                <w:color w:val="000000"/>
                <w:sz w:val="22"/>
                <w:szCs w:val="22"/>
              </w:rPr>
              <w:t>1.35</w:t>
            </w:r>
          </w:p>
        </w:tc>
        <w:tc>
          <w:tcPr>
            <w:tcW w:w="1843" w:type="dxa"/>
            <w:tcBorders>
              <w:top w:val="nil"/>
              <w:left w:val="nil"/>
              <w:bottom w:val="single" w:sz="4" w:space="0" w:color="auto"/>
              <w:right w:val="single" w:sz="4" w:space="0" w:color="auto"/>
            </w:tcBorders>
            <w:shd w:val="clear" w:color="auto" w:fill="auto"/>
            <w:noWrap/>
            <w:vAlign w:val="bottom"/>
            <w:hideMark/>
          </w:tcPr>
          <w:p w:rsidR="00C16D6F" w:rsidRPr="00050DB0" w:rsidRDefault="00C16D6F" w:rsidP="002E6AC6">
            <w:pPr>
              <w:spacing w:before="80" w:after="80"/>
              <w:jc w:val="right"/>
              <w:rPr>
                <w:rFonts w:ascii="Calibri" w:hAnsi="Calibri" w:cs="Calibri"/>
                <w:color w:val="000000"/>
                <w:sz w:val="22"/>
                <w:szCs w:val="22"/>
              </w:rPr>
            </w:pPr>
            <w:r>
              <w:rPr>
                <w:rFonts w:ascii="Calibri" w:hAnsi="Calibri" w:cs="Calibri"/>
                <w:color w:val="000000"/>
                <w:sz w:val="22"/>
                <w:szCs w:val="22"/>
              </w:rPr>
              <w:t>0.84</w:t>
            </w:r>
          </w:p>
        </w:tc>
      </w:tr>
      <w:tr w:rsidR="00C16D6F" w:rsidRPr="00050DB0" w:rsidTr="00380E4B">
        <w:trPr>
          <w:trHeight w:val="300"/>
        </w:trPr>
        <w:tc>
          <w:tcPr>
            <w:tcW w:w="1746" w:type="dxa"/>
            <w:tcBorders>
              <w:top w:val="nil"/>
              <w:left w:val="single" w:sz="4" w:space="0" w:color="auto"/>
              <w:bottom w:val="single" w:sz="4" w:space="0" w:color="auto"/>
              <w:right w:val="single" w:sz="4" w:space="0" w:color="auto"/>
            </w:tcBorders>
            <w:shd w:val="clear" w:color="auto" w:fill="auto"/>
            <w:noWrap/>
            <w:vAlign w:val="bottom"/>
            <w:hideMark/>
          </w:tcPr>
          <w:p w:rsidR="00C16D6F" w:rsidRPr="00050DB0" w:rsidRDefault="00C16D6F" w:rsidP="002E6AC6">
            <w:pPr>
              <w:spacing w:before="80" w:after="80"/>
              <w:rPr>
                <w:rFonts w:ascii="Calibri" w:hAnsi="Calibri" w:cs="Calibri"/>
                <w:color w:val="000000"/>
                <w:sz w:val="22"/>
                <w:szCs w:val="22"/>
              </w:rPr>
            </w:pPr>
            <w:r w:rsidRPr="00050DB0">
              <w:rPr>
                <w:rFonts w:ascii="Calibri" w:hAnsi="Calibri" w:cs="Calibri"/>
                <w:color w:val="000000"/>
                <w:sz w:val="22"/>
                <w:szCs w:val="22"/>
              </w:rPr>
              <w:t>Indigenous</w:t>
            </w:r>
          </w:p>
        </w:tc>
        <w:tc>
          <w:tcPr>
            <w:tcW w:w="1747" w:type="dxa"/>
            <w:tcBorders>
              <w:top w:val="nil"/>
              <w:left w:val="nil"/>
              <w:bottom w:val="single" w:sz="4" w:space="0" w:color="auto"/>
              <w:right w:val="single" w:sz="4" w:space="0" w:color="auto"/>
            </w:tcBorders>
            <w:shd w:val="clear" w:color="auto" w:fill="auto"/>
            <w:noWrap/>
            <w:vAlign w:val="bottom"/>
            <w:hideMark/>
          </w:tcPr>
          <w:p w:rsidR="00C16D6F" w:rsidRPr="00050DB0" w:rsidRDefault="00C16D6F" w:rsidP="002E6AC6">
            <w:pPr>
              <w:spacing w:before="80" w:after="80"/>
              <w:jc w:val="right"/>
              <w:rPr>
                <w:rFonts w:ascii="Calibri" w:hAnsi="Calibri" w:cs="Calibri"/>
                <w:color w:val="000000"/>
                <w:sz w:val="22"/>
                <w:szCs w:val="22"/>
              </w:rPr>
            </w:pPr>
            <w:r w:rsidRPr="00050DB0">
              <w:rPr>
                <w:rFonts w:ascii="Calibri" w:hAnsi="Calibri" w:cs="Calibri"/>
                <w:color w:val="000000"/>
                <w:sz w:val="22"/>
                <w:szCs w:val="22"/>
              </w:rPr>
              <w:t>4</w:t>
            </w:r>
          </w:p>
        </w:tc>
        <w:tc>
          <w:tcPr>
            <w:tcW w:w="1747" w:type="dxa"/>
            <w:tcBorders>
              <w:top w:val="nil"/>
              <w:left w:val="nil"/>
              <w:bottom w:val="single" w:sz="4" w:space="0" w:color="auto"/>
              <w:right w:val="single" w:sz="4" w:space="0" w:color="auto"/>
            </w:tcBorders>
            <w:shd w:val="clear" w:color="auto" w:fill="auto"/>
            <w:noWrap/>
            <w:vAlign w:val="bottom"/>
            <w:hideMark/>
          </w:tcPr>
          <w:p w:rsidR="00C16D6F" w:rsidRPr="00050DB0" w:rsidRDefault="00C16D6F" w:rsidP="002E6AC6">
            <w:pPr>
              <w:spacing w:before="80" w:after="80"/>
              <w:jc w:val="right"/>
              <w:rPr>
                <w:rFonts w:ascii="Calibri" w:hAnsi="Calibri" w:cs="Calibri"/>
                <w:color w:val="000000"/>
                <w:sz w:val="22"/>
                <w:szCs w:val="22"/>
              </w:rPr>
            </w:pPr>
            <w:r w:rsidRPr="00050DB0">
              <w:rPr>
                <w:rFonts w:ascii="Calibri" w:hAnsi="Calibri" w:cs="Calibri"/>
                <w:color w:val="000000"/>
                <w:sz w:val="22"/>
                <w:szCs w:val="22"/>
              </w:rPr>
              <w:t>90</w:t>
            </w:r>
          </w:p>
        </w:tc>
        <w:tc>
          <w:tcPr>
            <w:tcW w:w="1843" w:type="dxa"/>
            <w:tcBorders>
              <w:top w:val="nil"/>
              <w:left w:val="nil"/>
              <w:bottom w:val="single" w:sz="4" w:space="0" w:color="auto"/>
              <w:right w:val="single" w:sz="4" w:space="0" w:color="auto"/>
            </w:tcBorders>
            <w:shd w:val="clear" w:color="auto" w:fill="auto"/>
            <w:noWrap/>
            <w:vAlign w:val="bottom"/>
            <w:hideMark/>
          </w:tcPr>
          <w:p w:rsidR="00C16D6F" w:rsidRPr="00050DB0" w:rsidRDefault="00C16D6F" w:rsidP="002E6AC6">
            <w:pPr>
              <w:spacing w:before="80" w:after="80"/>
              <w:jc w:val="right"/>
              <w:rPr>
                <w:rFonts w:ascii="Calibri" w:hAnsi="Calibri" w:cs="Calibri"/>
                <w:color w:val="000000"/>
                <w:sz w:val="22"/>
                <w:szCs w:val="22"/>
              </w:rPr>
            </w:pPr>
            <w:r>
              <w:rPr>
                <w:rFonts w:ascii="Calibri" w:hAnsi="Calibri" w:cs="Calibri"/>
                <w:color w:val="000000"/>
                <w:sz w:val="22"/>
                <w:szCs w:val="22"/>
              </w:rPr>
              <w:t>1.26</w:t>
            </w:r>
          </w:p>
        </w:tc>
        <w:tc>
          <w:tcPr>
            <w:tcW w:w="1843" w:type="dxa"/>
            <w:tcBorders>
              <w:top w:val="nil"/>
              <w:left w:val="nil"/>
              <w:bottom w:val="single" w:sz="4" w:space="0" w:color="auto"/>
              <w:right w:val="single" w:sz="4" w:space="0" w:color="auto"/>
            </w:tcBorders>
            <w:shd w:val="clear" w:color="auto" w:fill="auto"/>
            <w:noWrap/>
            <w:vAlign w:val="bottom"/>
            <w:hideMark/>
          </w:tcPr>
          <w:p w:rsidR="00C16D6F" w:rsidRPr="00050DB0" w:rsidRDefault="00C16D6F" w:rsidP="002E6AC6">
            <w:pPr>
              <w:spacing w:before="80" w:after="80"/>
              <w:jc w:val="right"/>
              <w:rPr>
                <w:rFonts w:ascii="Calibri" w:hAnsi="Calibri" w:cs="Calibri"/>
                <w:color w:val="000000"/>
                <w:sz w:val="22"/>
                <w:szCs w:val="22"/>
              </w:rPr>
            </w:pPr>
            <w:r>
              <w:rPr>
                <w:rFonts w:ascii="Calibri" w:hAnsi="Calibri" w:cs="Calibri"/>
                <w:color w:val="000000"/>
                <w:sz w:val="22"/>
                <w:szCs w:val="22"/>
              </w:rPr>
              <w:t>0.87</w:t>
            </w:r>
          </w:p>
        </w:tc>
      </w:tr>
      <w:tr w:rsidR="00C16D6F" w:rsidRPr="00050DB0" w:rsidTr="00380E4B">
        <w:trPr>
          <w:trHeight w:val="300"/>
        </w:trPr>
        <w:tc>
          <w:tcPr>
            <w:tcW w:w="1746" w:type="dxa"/>
            <w:tcBorders>
              <w:top w:val="nil"/>
              <w:left w:val="single" w:sz="4" w:space="0" w:color="auto"/>
              <w:bottom w:val="single" w:sz="4" w:space="0" w:color="auto"/>
              <w:right w:val="single" w:sz="4" w:space="0" w:color="auto"/>
            </w:tcBorders>
            <w:shd w:val="clear" w:color="auto" w:fill="auto"/>
            <w:noWrap/>
            <w:vAlign w:val="bottom"/>
            <w:hideMark/>
          </w:tcPr>
          <w:p w:rsidR="00C16D6F" w:rsidRPr="00050DB0" w:rsidRDefault="00C16D6F" w:rsidP="002E6AC6">
            <w:pPr>
              <w:spacing w:before="80" w:after="80"/>
              <w:rPr>
                <w:rFonts w:ascii="Calibri" w:hAnsi="Calibri" w:cs="Calibri"/>
                <w:color w:val="000000"/>
                <w:sz w:val="22"/>
                <w:szCs w:val="22"/>
              </w:rPr>
            </w:pPr>
            <w:r w:rsidRPr="00050DB0">
              <w:rPr>
                <w:rFonts w:ascii="Calibri" w:hAnsi="Calibri" w:cs="Calibri"/>
                <w:color w:val="000000"/>
                <w:sz w:val="22"/>
                <w:szCs w:val="22"/>
              </w:rPr>
              <w:t>Mental</w:t>
            </w:r>
            <w:r>
              <w:rPr>
                <w:rFonts w:ascii="Calibri" w:hAnsi="Calibri" w:cs="Calibri"/>
                <w:color w:val="000000"/>
                <w:sz w:val="22"/>
                <w:szCs w:val="22"/>
              </w:rPr>
              <w:t xml:space="preserve"> </w:t>
            </w:r>
            <w:r w:rsidRPr="00050DB0">
              <w:rPr>
                <w:rFonts w:ascii="Calibri" w:hAnsi="Calibri" w:cs="Calibri"/>
                <w:color w:val="000000"/>
                <w:sz w:val="22"/>
                <w:szCs w:val="22"/>
              </w:rPr>
              <w:t>Health</w:t>
            </w:r>
          </w:p>
        </w:tc>
        <w:tc>
          <w:tcPr>
            <w:tcW w:w="1747" w:type="dxa"/>
            <w:tcBorders>
              <w:top w:val="nil"/>
              <w:left w:val="nil"/>
              <w:bottom w:val="single" w:sz="4" w:space="0" w:color="auto"/>
              <w:right w:val="single" w:sz="4" w:space="0" w:color="auto"/>
            </w:tcBorders>
            <w:shd w:val="clear" w:color="auto" w:fill="auto"/>
            <w:noWrap/>
            <w:vAlign w:val="bottom"/>
            <w:hideMark/>
          </w:tcPr>
          <w:p w:rsidR="00C16D6F" w:rsidRPr="00050DB0" w:rsidRDefault="00C16D6F" w:rsidP="002E6AC6">
            <w:pPr>
              <w:spacing w:before="80" w:after="80"/>
              <w:jc w:val="right"/>
              <w:rPr>
                <w:rFonts w:ascii="Calibri" w:hAnsi="Calibri" w:cs="Calibri"/>
                <w:color w:val="000000"/>
                <w:sz w:val="22"/>
                <w:szCs w:val="22"/>
              </w:rPr>
            </w:pPr>
            <w:r w:rsidRPr="00050DB0">
              <w:rPr>
                <w:rFonts w:ascii="Calibri" w:hAnsi="Calibri" w:cs="Calibri"/>
                <w:color w:val="000000"/>
                <w:sz w:val="22"/>
                <w:szCs w:val="22"/>
              </w:rPr>
              <w:t>2</w:t>
            </w:r>
          </w:p>
        </w:tc>
        <w:tc>
          <w:tcPr>
            <w:tcW w:w="1747" w:type="dxa"/>
            <w:tcBorders>
              <w:top w:val="nil"/>
              <w:left w:val="nil"/>
              <w:bottom w:val="single" w:sz="4" w:space="0" w:color="auto"/>
              <w:right w:val="single" w:sz="4" w:space="0" w:color="auto"/>
            </w:tcBorders>
            <w:shd w:val="clear" w:color="auto" w:fill="auto"/>
            <w:noWrap/>
            <w:vAlign w:val="bottom"/>
            <w:hideMark/>
          </w:tcPr>
          <w:p w:rsidR="00C16D6F" w:rsidRPr="00050DB0" w:rsidRDefault="00C16D6F" w:rsidP="002E6AC6">
            <w:pPr>
              <w:spacing w:before="80" w:after="80"/>
              <w:jc w:val="right"/>
              <w:rPr>
                <w:rFonts w:ascii="Calibri" w:hAnsi="Calibri" w:cs="Calibri"/>
                <w:color w:val="000000"/>
                <w:sz w:val="22"/>
                <w:szCs w:val="22"/>
              </w:rPr>
            </w:pPr>
            <w:r w:rsidRPr="00050DB0">
              <w:rPr>
                <w:rFonts w:ascii="Calibri" w:hAnsi="Calibri" w:cs="Calibri"/>
                <w:color w:val="000000"/>
                <w:sz w:val="22"/>
                <w:szCs w:val="22"/>
              </w:rPr>
              <w:t>37</w:t>
            </w:r>
          </w:p>
        </w:tc>
        <w:tc>
          <w:tcPr>
            <w:tcW w:w="1843" w:type="dxa"/>
            <w:tcBorders>
              <w:top w:val="nil"/>
              <w:left w:val="nil"/>
              <w:bottom w:val="single" w:sz="4" w:space="0" w:color="auto"/>
              <w:right w:val="single" w:sz="4" w:space="0" w:color="auto"/>
            </w:tcBorders>
            <w:shd w:val="clear" w:color="auto" w:fill="auto"/>
            <w:noWrap/>
            <w:vAlign w:val="bottom"/>
            <w:hideMark/>
          </w:tcPr>
          <w:p w:rsidR="00C16D6F" w:rsidRPr="00050DB0" w:rsidRDefault="00C16D6F" w:rsidP="002E6AC6">
            <w:pPr>
              <w:spacing w:before="80" w:after="80"/>
              <w:jc w:val="right"/>
              <w:rPr>
                <w:rFonts w:ascii="Calibri" w:hAnsi="Calibri" w:cs="Calibri"/>
                <w:color w:val="000000"/>
                <w:sz w:val="22"/>
                <w:szCs w:val="22"/>
              </w:rPr>
            </w:pPr>
            <w:r>
              <w:rPr>
                <w:rFonts w:ascii="Calibri" w:hAnsi="Calibri" w:cs="Calibri"/>
                <w:color w:val="000000"/>
                <w:sz w:val="22"/>
                <w:szCs w:val="22"/>
              </w:rPr>
              <w:t>1.04</w:t>
            </w:r>
          </w:p>
        </w:tc>
        <w:tc>
          <w:tcPr>
            <w:tcW w:w="1843" w:type="dxa"/>
            <w:tcBorders>
              <w:top w:val="nil"/>
              <w:left w:val="nil"/>
              <w:bottom w:val="single" w:sz="4" w:space="0" w:color="auto"/>
              <w:right w:val="single" w:sz="4" w:space="0" w:color="auto"/>
            </w:tcBorders>
            <w:shd w:val="clear" w:color="auto" w:fill="auto"/>
            <w:noWrap/>
            <w:vAlign w:val="bottom"/>
            <w:hideMark/>
          </w:tcPr>
          <w:p w:rsidR="00C16D6F" w:rsidRPr="00050DB0" w:rsidRDefault="00C16D6F" w:rsidP="002E6AC6">
            <w:pPr>
              <w:spacing w:before="80" w:after="80"/>
              <w:jc w:val="right"/>
              <w:rPr>
                <w:rFonts w:ascii="Calibri" w:hAnsi="Calibri" w:cs="Calibri"/>
                <w:color w:val="000000"/>
                <w:sz w:val="22"/>
                <w:szCs w:val="22"/>
              </w:rPr>
            </w:pPr>
            <w:r>
              <w:rPr>
                <w:rFonts w:ascii="Calibri" w:hAnsi="Calibri" w:cs="Calibri"/>
                <w:color w:val="000000"/>
                <w:sz w:val="22"/>
                <w:szCs w:val="22"/>
              </w:rPr>
              <w:t>0.90</w:t>
            </w:r>
          </w:p>
        </w:tc>
      </w:tr>
      <w:tr w:rsidR="00C16D6F" w:rsidRPr="00050DB0" w:rsidTr="00380E4B">
        <w:trPr>
          <w:trHeight w:val="300"/>
        </w:trPr>
        <w:tc>
          <w:tcPr>
            <w:tcW w:w="1746" w:type="dxa"/>
            <w:tcBorders>
              <w:top w:val="nil"/>
              <w:left w:val="single" w:sz="4" w:space="0" w:color="auto"/>
              <w:bottom w:val="single" w:sz="4" w:space="0" w:color="auto"/>
              <w:right w:val="single" w:sz="4" w:space="0" w:color="auto"/>
            </w:tcBorders>
            <w:shd w:val="clear" w:color="auto" w:fill="auto"/>
            <w:noWrap/>
            <w:vAlign w:val="bottom"/>
            <w:hideMark/>
          </w:tcPr>
          <w:p w:rsidR="00C16D6F" w:rsidRPr="00050DB0" w:rsidRDefault="00C16D6F" w:rsidP="002E6AC6">
            <w:pPr>
              <w:spacing w:before="80" w:after="80"/>
              <w:rPr>
                <w:rFonts w:ascii="Calibri" w:hAnsi="Calibri" w:cs="Calibri"/>
                <w:color w:val="000000"/>
                <w:sz w:val="22"/>
                <w:szCs w:val="22"/>
              </w:rPr>
            </w:pPr>
            <w:r w:rsidRPr="00050DB0">
              <w:rPr>
                <w:rFonts w:ascii="Calibri" w:hAnsi="Calibri" w:cs="Calibri"/>
                <w:color w:val="000000"/>
                <w:sz w:val="22"/>
                <w:szCs w:val="22"/>
              </w:rPr>
              <w:t>Palliative</w:t>
            </w:r>
            <w:r>
              <w:rPr>
                <w:rFonts w:ascii="Calibri" w:hAnsi="Calibri" w:cs="Calibri"/>
                <w:color w:val="000000"/>
                <w:sz w:val="22"/>
                <w:szCs w:val="22"/>
              </w:rPr>
              <w:t xml:space="preserve"> </w:t>
            </w:r>
            <w:r w:rsidRPr="00050DB0">
              <w:rPr>
                <w:rFonts w:ascii="Calibri" w:hAnsi="Calibri" w:cs="Calibri"/>
                <w:color w:val="000000"/>
                <w:sz w:val="22"/>
                <w:szCs w:val="22"/>
              </w:rPr>
              <w:t>Care</w:t>
            </w:r>
          </w:p>
        </w:tc>
        <w:tc>
          <w:tcPr>
            <w:tcW w:w="1747" w:type="dxa"/>
            <w:tcBorders>
              <w:top w:val="nil"/>
              <w:left w:val="nil"/>
              <w:bottom w:val="single" w:sz="4" w:space="0" w:color="auto"/>
              <w:right w:val="single" w:sz="4" w:space="0" w:color="auto"/>
            </w:tcBorders>
            <w:shd w:val="clear" w:color="auto" w:fill="auto"/>
            <w:noWrap/>
            <w:vAlign w:val="bottom"/>
            <w:hideMark/>
          </w:tcPr>
          <w:p w:rsidR="00C16D6F" w:rsidRPr="00050DB0" w:rsidRDefault="00C16D6F" w:rsidP="002E6AC6">
            <w:pPr>
              <w:spacing w:before="80" w:after="80"/>
              <w:jc w:val="right"/>
              <w:rPr>
                <w:rFonts w:ascii="Calibri" w:hAnsi="Calibri" w:cs="Calibri"/>
                <w:color w:val="000000"/>
                <w:sz w:val="22"/>
                <w:szCs w:val="22"/>
              </w:rPr>
            </w:pPr>
            <w:r w:rsidRPr="00050DB0">
              <w:rPr>
                <w:rFonts w:ascii="Calibri" w:hAnsi="Calibri" w:cs="Calibri"/>
                <w:color w:val="000000"/>
                <w:sz w:val="22"/>
                <w:szCs w:val="22"/>
              </w:rPr>
              <w:t>21</w:t>
            </w:r>
          </w:p>
        </w:tc>
        <w:tc>
          <w:tcPr>
            <w:tcW w:w="1747" w:type="dxa"/>
            <w:tcBorders>
              <w:top w:val="nil"/>
              <w:left w:val="nil"/>
              <w:bottom w:val="single" w:sz="4" w:space="0" w:color="auto"/>
              <w:right w:val="single" w:sz="4" w:space="0" w:color="auto"/>
            </w:tcBorders>
            <w:shd w:val="clear" w:color="auto" w:fill="auto"/>
            <w:noWrap/>
            <w:vAlign w:val="bottom"/>
            <w:hideMark/>
          </w:tcPr>
          <w:p w:rsidR="00C16D6F" w:rsidRPr="00050DB0" w:rsidRDefault="00C16D6F" w:rsidP="002E6AC6">
            <w:pPr>
              <w:spacing w:before="80" w:after="80"/>
              <w:jc w:val="right"/>
              <w:rPr>
                <w:rFonts w:ascii="Calibri" w:hAnsi="Calibri" w:cs="Calibri"/>
                <w:color w:val="000000"/>
                <w:sz w:val="22"/>
                <w:szCs w:val="22"/>
              </w:rPr>
            </w:pPr>
            <w:r w:rsidRPr="00050DB0">
              <w:rPr>
                <w:rFonts w:ascii="Calibri" w:hAnsi="Calibri" w:cs="Calibri"/>
                <w:color w:val="000000"/>
                <w:sz w:val="22"/>
                <w:szCs w:val="22"/>
              </w:rPr>
              <w:t>955</w:t>
            </w:r>
          </w:p>
        </w:tc>
        <w:tc>
          <w:tcPr>
            <w:tcW w:w="1843" w:type="dxa"/>
            <w:tcBorders>
              <w:top w:val="nil"/>
              <w:left w:val="nil"/>
              <w:bottom w:val="single" w:sz="4" w:space="0" w:color="auto"/>
              <w:right w:val="single" w:sz="4" w:space="0" w:color="auto"/>
            </w:tcBorders>
            <w:shd w:val="clear" w:color="auto" w:fill="auto"/>
            <w:noWrap/>
            <w:vAlign w:val="bottom"/>
            <w:hideMark/>
          </w:tcPr>
          <w:p w:rsidR="00C16D6F" w:rsidRPr="00050DB0" w:rsidRDefault="00C16D6F" w:rsidP="002E6AC6">
            <w:pPr>
              <w:spacing w:before="80" w:after="80"/>
              <w:jc w:val="right"/>
              <w:rPr>
                <w:rFonts w:ascii="Calibri" w:hAnsi="Calibri" w:cs="Calibri"/>
                <w:color w:val="000000"/>
                <w:sz w:val="22"/>
                <w:szCs w:val="22"/>
              </w:rPr>
            </w:pPr>
            <w:r>
              <w:rPr>
                <w:rFonts w:ascii="Calibri" w:hAnsi="Calibri" w:cs="Calibri"/>
                <w:color w:val="000000"/>
                <w:sz w:val="22"/>
                <w:szCs w:val="22"/>
              </w:rPr>
              <w:t>1.01</w:t>
            </w:r>
          </w:p>
        </w:tc>
        <w:tc>
          <w:tcPr>
            <w:tcW w:w="1843" w:type="dxa"/>
            <w:tcBorders>
              <w:top w:val="nil"/>
              <w:left w:val="nil"/>
              <w:bottom w:val="single" w:sz="4" w:space="0" w:color="auto"/>
              <w:right w:val="single" w:sz="4" w:space="0" w:color="auto"/>
            </w:tcBorders>
            <w:shd w:val="clear" w:color="auto" w:fill="auto"/>
            <w:noWrap/>
            <w:vAlign w:val="bottom"/>
            <w:hideMark/>
          </w:tcPr>
          <w:p w:rsidR="00C16D6F" w:rsidRPr="00050DB0" w:rsidRDefault="00C16D6F" w:rsidP="002E6AC6">
            <w:pPr>
              <w:spacing w:before="80" w:after="80"/>
              <w:jc w:val="right"/>
              <w:rPr>
                <w:rFonts w:ascii="Calibri" w:hAnsi="Calibri" w:cs="Calibri"/>
                <w:color w:val="000000"/>
                <w:sz w:val="22"/>
                <w:szCs w:val="22"/>
              </w:rPr>
            </w:pPr>
            <w:r>
              <w:rPr>
                <w:rFonts w:ascii="Calibri" w:hAnsi="Calibri" w:cs="Calibri"/>
                <w:color w:val="000000"/>
                <w:sz w:val="22"/>
                <w:szCs w:val="22"/>
              </w:rPr>
              <w:t>1.05</w:t>
            </w:r>
          </w:p>
        </w:tc>
      </w:tr>
      <w:tr w:rsidR="00C16D6F" w:rsidRPr="00050DB0" w:rsidTr="00380E4B">
        <w:trPr>
          <w:trHeight w:val="300"/>
        </w:trPr>
        <w:tc>
          <w:tcPr>
            <w:tcW w:w="1746" w:type="dxa"/>
            <w:tcBorders>
              <w:top w:val="nil"/>
              <w:left w:val="single" w:sz="4" w:space="0" w:color="auto"/>
              <w:bottom w:val="single" w:sz="4" w:space="0" w:color="auto"/>
              <w:right w:val="single" w:sz="4" w:space="0" w:color="auto"/>
            </w:tcBorders>
            <w:shd w:val="clear" w:color="auto" w:fill="auto"/>
            <w:noWrap/>
            <w:vAlign w:val="bottom"/>
            <w:hideMark/>
          </w:tcPr>
          <w:p w:rsidR="00C16D6F" w:rsidRPr="00050DB0" w:rsidRDefault="00C16D6F" w:rsidP="002E6AC6">
            <w:pPr>
              <w:spacing w:before="80" w:after="80"/>
              <w:rPr>
                <w:rFonts w:ascii="Calibri" w:hAnsi="Calibri" w:cs="Calibri"/>
                <w:b/>
                <w:color w:val="000000"/>
                <w:sz w:val="22"/>
                <w:szCs w:val="22"/>
              </w:rPr>
            </w:pPr>
            <w:r w:rsidRPr="00050DB0">
              <w:rPr>
                <w:rFonts w:ascii="Calibri" w:hAnsi="Calibri" w:cs="Calibri"/>
                <w:b/>
                <w:color w:val="000000"/>
                <w:sz w:val="22"/>
                <w:szCs w:val="22"/>
              </w:rPr>
              <w:t>Total</w:t>
            </w:r>
          </w:p>
        </w:tc>
        <w:tc>
          <w:tcPr>
            <w:tcW w:w="1747" w:type="dxa"/>
            <w:tcBorders>
              <w:top w:val="nil"/>
              <w:left w:val="nil"/>
              <w:bottom w:val="single" w:sz="4" w:space="0" w:color="auto"/>
              <w:right w:val="single" w:sz="4" w:space="0" w:color="auto"/>
            </w:tcBorders>
            <w:shd w:val="clear" w:color="auto" w:fill="auto"/>
            <w:noWrap/>
            <w:vAlign w:val="bottom"/>
            <w:hideMark/>
          </w:tcPr>
          <w:p w:rsidR="00C16D6F" w:rsidRPr="00050DB0" w:rsidRDefault="00C16D6F" w:rsidP="002E6AC6">
            <w:pPr>
              <w:spacing w:before="80" w:after="80"/>
              <w:jc w:val="right"/>
              <w:rPr>
                <w:rFonts w:ascii="Calibri" w:hAnsi="Calibri" w:cs="Calibri"/>
                <w:b/>
                <w:color w:val="000000"/>
                <w:sz w:val="22"/>
                <w:szCs w:val="22"/>
              </w:rPr>
            </w:pPr>
            <w:r w:rsidRPr="00050DB0">
              <w:rPr>
                <w:rFonts w:ascii="Calibri" w:hAnsi="Calibri" w:cs="Calibri"/>
                <w:b/>
                <w:color w:val="000000"/>
                <w:sz w:val="22"/>
                <w:szCs w:val="22"/>
              </w:rPr>
              <w:t>80</w:t>
            </w:r>
          </w:p>
        </w:tc>
        <w:tc>
          <w:tcPr>
            <w:tcW w:w="1747" w:type="dxa"/>
            <w:tcBorders>
              <w:top w:val="nil"/>
              <w:left w:val="nil"/>
              <w:bottom w:val="single" w:sz="4" w:space="0" w:color="auto"/>
              <w:right w:val="single" w:sz="4" w:space="0" w:color="auto"/>
            </w:tcBorders>
            <w:shd w:val="clear" w:color="auto" w:fill="auto"/>
            <w:noWrap/>
            <w:vAlign w:val="bottom"/>
            <w:hideMark/>
          </w:tcPr>
          <w:p w:rsidR="00C16D6F" w:rsidRPr="00050DB0" w:rsidRDefault="00C16D6F" w:rsidP="002E6AC6">
            <w:pPr>
              <w:spacing w:before="80" w:after="80"/>
              <w:jc w:val="right"/>
              <w:rPr>
                <w:rFonts w:ascii="Calibri" w:hAnsi="Calibri" w:cs="Calibri"/>
                <w:b/>
                <w:color w:val="000000"/>
                <w:sz w:val="22"/>
                <w:szCs w:val="22"/>
              </w:rPr>
            </w:pPr>
            <w:r w:rsidRPr="00050DB0">
              <w:rPr>
                <w:rFonts w:ascii="Calibri" w:hAnsi="Calibri" w:cs="Calibri"/>
                <w:b/>
                <w:color w:val="000000"/>
                <w:sz w:val="22"/>
                <w:szCs w:val="22"/>
              </w:rPr>
              <w:t>3</w:t>
            </w:r>
            <w:r w:rsidR="00886A80">
              <w:rPr>
                <w:rFonts w:ascii="Calibri" w:hAnsi="Calibri" w:cs="Calibri"/>
                <w:b/>
                <w:color w:val="000000"/>
                <w:sz w:val="22"/>
                <w:szCs w:val="22"/>
              </w:rPr>
              <w:t>,</w:t>
            </w:r>
            <w:r w:rsidRPr="00050DB0">
              <w:rPr>
                <w:rFonts w:ascii="Calibri" w:hAnsi="Calibri" w:cs="Calibri"/>
                <w:b/>
                <w:color w:val="000000"/>
                <w:sz w:val="22"/>
                <w:szCs w:val="22"/>
              </w:rPr>
              <w:t>148</w:t>
            </w:r>
          </w:p>
        </w:tc>
        <w:tc>
          <w:tcPr>
            <w:tcW w:w="1843" w:type="dxa"/>
            <w:tcBorders>
              <w:top w:val="nil"/>
              <w:left w:val="nil"/>
              <w:bottom w:val="single" w:sz="4" w:space="0" w:color="auto"/>
              <w:right w:val="single" w:sz="4" w:space="0" w:color="auto"/>
            </w:tcBorders>
            <w:shd w:val="clear" w:color="auto" w:fill="auto"/>
            <w:noWrap/>
            <w:vAlign w:val="bottom"/>
            <w:hideMark/>
          </w:tcPr>
          <w:p w:rsidR="00C16D6F" w:rsidRPr="00050DB0" w:rsidRDefault="00C16D6F" w:rsidP="002E6AC6">
            <w:pPr>
              <w:spacing w:before="80" w:after="80"/>
              <w:jc w:val="right"/>
              <w:rPr>
                <w:rFonts w:ascii="Calibri" w:hAnsi="Calibri" w:cs="Calibri"/>
                <w:b/>
                <w:color w:val="000000"/>
                <w:sz w:val="22"/>
                <w:szCs w:val="22"/>
              </w:rPr>
            </w:pPr>
            <w:r w:rsidRPr="00C16D6F">
              <w:rPr>
                <w:rFonts w:ascii="Calibri" w:hAnsi="Calibri" w:cs="Calibri"/>
                <w:b/>
                <w:color w:val="000000"/>
                <w:sz w:val="22"/>
                <w:szCs w:val="22"/>
              </w:rPr>
              <w:t>1.00</w:t>
            </w:r>
          </w:p>
        </w:tc>
        <w:tc>
          <w:tcPr>
            <w:tcW w:w="1843" w:type="dxa"/>
            <w:tcBorders>
              <w:top w:val="nil"/>
              <w:left w:val="nil"/>
              <w:bottom w:val="single" w:sz="4" w:space="0" w:color="auto"/>
              <w:right w:val="single" w:sz="4" w:space="0" w:color="auto"/>
            </w:tcBorders>
            <w:shd w:val="clear" w:color="auto" w:fill="auto"/>
            <w:noWrap/>
            <w:vAlign w:val="bottom"/>
            <w:hideMark/>
          </w:tcPr>
          <w:p w:rsidR="00C16D6F" w:rsidRPr="00050DB0" w:rsidRDefault="00C16D6F" w:rsidP="002E6AC6">
            <w:pPr>
              <w:spacing w:before="80" w:after="80"/>
              <w:jc w:val="right"/>
              <w:rPr>
                <w:rFonts w:ascii="Calibri" w:hAnsi="Calibri" w:cs="Calibri"/>
                <w:b/>
                <w:color w:val="000000"/>
                <w:sz w:val="22"/>
                <w:szCs w:val="22"/>
              </w:rPr>
            </w:pPr>
            <w:r w:rsidRPr="00C16D6F">
              <w:rPr>
                <w:rFonts w:ascii="Calibri" w:hAnsi="Calibri" w:cs="Calibri"/>
                <w:b/>
                <w:color w:val="000000"/>
                <w:sz w:val="22"/>
                <w:szCs w:val="22"/>
              </w:rPr>
              <w:t>1.00</w:t>
            </w:r>
          </w:p>
        </w:tc>
      </w:tr>
    </w:tbl>
    <w:p w:rsidR="00A23667" w:rsidRPr="009341CA" w:rsidRDefault="00380E4B" w:rsidP="00380E4B">
      <w:pPr>
        <w:tabs>
          <w:tab w:val="left" w:pos="7230"/>
        </w:tabs>
        <w:spacing w:before="120" w:after="120"/>
        <w:rPr>
          <w:sz w:val="20"/>
          <w:szCs w:val="20"/>
        </w:rPr>
      </w:pPr>
      <w:r w:rsidRPr="009341CA">
        <w:rPr>
          <w:sz w:val="20"/>
          <w:szCs w:val="20"/>
        </w:rPr>
        <w:t>*under AN-ACC, payment in remote facilities includes a fixed component for all approved beds</w:t>
      </w:r>
    </w:p>
    <w:p w:rsidR="00106A3B" w:rsidRPr="00380E4B" w:rsidRDefault="00106A3B" w:rsidP="00106A3B">
      <w:pPr>
        <w:pStyle w:val="Normal-nospacing"/>
        <w:rPr>
          <w:sz w:val="22"/>
        </w:rPr>
      </w:pPr>
      <w:r>
        <w:t xml:space="preserve">Relative payments per occupied bed day for both payment models are presented in </w:t>
      </w:r>
      <w:r>
        <w:rPr>
          <w:highlight w:val="green"/>
        </w:rPr>
        <w:fldChar w:fldCharType="begin"/>
      </w:r>
      <w:r>
        <w:instrText xml:space="preserve"> REF _Ref535493940 \h </w:instrText>
      </w:r>
      <w:r>
        <w:rPr>
          <w:highlight w:val="green"/>
        </w:rPr>
      </w:r>
      <w:r>
        <w:rPr>
          <w:highlight w:val="green"/>
        </w:rPr>
        <w:fldChar w:fldCharType="separate"/>
      </w:r>
      <w:r w:rsidR="00785B04">
        <w:t xml:space="preserve">Table </w:t>
      </w:r>
      <w:r w:rsidR="00785B04">
        <w:rPr>
          <w:noProof/>
        </w:rPr>
        <w:t>3</w:t>
      </w:r>
      <w:r>
        <w:rPr>
          <w:highlight w:val="green"/>
        </w:rPr>
        <w:fldChar w:fldCharType="end"/>
      </w:r>
      <w:r>
        <w:t xml:space="preserve">. The biggest differences are in the homeless and indigenous units. In both cases, the </w:t>
      </w:r>
      <w:r>
        <w:lastRenderedPageBreak/>
        <w:t>payment under ACFI is substantially less than that under AN-ACC. Mental health seems to have been underrepresented in this sample.</w:t>
      </w:r>
    </w:p>
    <w:p w:rsidR="00665DC3" w:rsidRDefault="00665DC3" w:rsidP="00665DC3">
      <w:pPr>
        <w:pStyle w:val="Heading2"/>
      </w:pPr>
      <w:bookmarkStart w:id="61" w:name="_Toc2083380"/>
      <w:r>
        <w:t>Resident level variables</w:t>
      </w:r>
      <w:bookmarkEnd w:id="61"/>
    </w:p>
    <w:p w:rsidR="005F6065" w:rsidRDefault="00F34376" w:rsidP="00331160">
      <w:pPr>
        <w:spacing w:before="120" w:after="120"/>
      </w:pPr>
      <w:r>
        <w:t>A number of resident-level variables were collected and have been used to investigate differences in casemix</w:t>
      </w:r>
      <w:r w:rsidR="00B9442E">
        <w:t>,</w:t>
      </w:r>
      <w:r>
        <w:t xml:space="preserve"> as measure</w:t>
      </w:r>
      <w:r w:rsidR="00B9442E">
        <w:t>d</w:t>
      </w:r>
      <w:r>
        <w:t xml:space="preserve"> by the AN-ACC</w:t>
      </w:r>
      <w:r w:rsidR="00B9442E">
        <w:t>,</w:t>
      </w:r>
      <w:r>
        <w:t xml:space="preserve"> as well as difference</w:t>
      </w:r>
      <w:r w:rsidR="00B9442E">
        <w:t>s in the way</w:t>
      </w:r>
      <w:r>
        <w:t xml:space="preserve"> the two payment models distribut</w:t>
      </w:r>
      <w:r w:rsidR="00B9442E">
        <w:t>e</w:t>
      </w:r>
      <w:r>
        <w:t xml:space="preserve"> funds</w:t>
      </w:r>
      <w:r w:rsidR="00B9442E">
        <w:t xml:space="preserve"> across the strata of interest</w:t>
      </w:r>
      <w:r w:rsidR="00864C92">
        <w:t>.</w:t>
      </w:r>
    </w:p>
    <w:p w:rsidR="00665DC3" w:rsidRDefault="00B9442E" w:rsidP="00331160">
      <w:pPr>
        <w:spacing w:before="120" w:after="120"/>
      </w:pPr>
      <w:r>
        <w:t xml:space="preserve">The funding information is presented as </w:t>
      </w:r>
      <w:r w:rsidR="009D61DC">
        <w:t xml:space="preserve">relative </w:t>
      </w:r>
      <w:r>
        <w:t xml:space="preserve">weights </w:t>
      </w:r>
      <w:r w:rsidR="00106A3B">
        <w:t>per</w:t>
      </w:r>
      <w:r>
        <w:t xml:space="preserve"> occupied bed day. For the AN-ACC, the financial data are based on the cost of care as </w:t>
      </w:r>
      <w:r w:rsidR="005F6065">
        <w:t>derived</w:t>
      </w:r>
      <w:r>
        <w:t xml:space="preserve"> in </w:t>
      </w:r>
      <w:r w:rsidR="005F6065">
        <w:t xml:space="preserve">the costing study </w:t>
      </w:r>
      <w:r w:rsidR="005F6065" w:rsidRPr="00CA2394">
        <w:t>(</w:t>
      </w:r>
      <w:r w:rsidR="00CA2394">
        <w:t>see</w:t>
      </w:r>
      <w:r w:rsidR="00BE3CB8">
        <w:t xml:space="preserve"> </w:t>
      </w:r>
      <w:r w:rsidR="00CA2394">
        <w:t xml:space="preserve">Report </w:t>
      </w:r>
      <w:r w:rsidR="001830EB">
        <w:t>3</w:t>
      </w:r>
      <w:r w:rsidR="005F6065" w:rsidRPr="00CA2394">
        <w:t>)</w:t>
      </w:r>
      <w:r w:rsidRPr="00CA2394">
        <w:t xml:space="preserve">. </w:t>
      </w:r>
      <w:r w:rsidR="005F6065" w:rsidRPr="00CA2394">
        <w:t>The ACFI financial</w:t>
      </w:r>
      <w:r w:rsidR="005F6065">
        <w:t xml:space="preserve"> information is based on the payments made for the resident’s ACFI rating, as in t</w:t>
      </w:r>
      <w:r w:rsidR="00864C92">
        <w:t>he current funding arrangement.</w:t>
      </w:r>
    </w:p>
    <w:p w:rsidR="00665DC3" w:rsidRDefault="00665DC3" w:rsidP="00A23667">
      <w:pPr>
        <w:pStyle w:val="Heading3"/>
      </w:pPr>
      <w:r>
        <w:t>Resident age</w:t>
      </w:r>
    </w:p>
    <w:p w:rsidR="001506B1" w:rsidRDefault="00824CB5" w:rsidP="00331160">
      <w:pPr>
        <w:spacing w:before="120" w:after="120"/>
      </w:pPr>
      <w:r>
        <w:t>The three ag</w:t>
      </w:r>
      <w:r w:rsidR="005B3F0A">
        <w:t>e groups showed some differences</w:t>
      </w:r>
      <w:r>
        <w:t xml:space="preserve"> in the distribution of residents across classes</w:t>
      </w:r>
      <w:r w:rsidR="009D61DC">
        <w:t xml:space="preserve"> (</w:t>
      </w:r>
      <w:r w:rsidR="009D61DC">
        <w:fldChar w:fldCharType="begin"/>
      </w:r>
      <w:r w:rsidR="009D61DC">
        <w:instrText xml:space="preserve"> REF _Ref535527377 \h </w:instrText>
      </w:r>
      <w:r w:rsidR="009D61DC">
        <w:fldChar w:fldCharType="separate"/>
      </w:r>
      <w:r w:rsidR="00785B04">
        <w:t xml:space="preserve">Figure </w:t>
      </w:r>
      <w:r w:rsidR="00785B04">
        <w:rPr>
          <w:noProof/>
        </w:rPr>
        <w:t>3</w:t>
      </w:r>
      <w:r w:rsidR="009D61DC">
        <w:fldChar w:fldCharType="end"/>
      </w:r>
      <w:r w:rsidR="009D61DC">
        <w:t>)</w:t>
      </w:r>
      <w:r>
        <w:t xml:space="preserve">. For example, Classes 6-8 </w:t>
      </w:r>
      <w:r w:rsidR="005B3F0A">
        <w:t xml:space="preserve">specifically </w:t>
      </w:r>
      <w:r>
        <w:t xml:space="preserve">identify </w:t>
      </w:r>
      <w:r w:rsidR="005B3F0A">
        <w:t xml:space="preserve">residents with </w:t>
      </w:r>
      <w:r>
        <w:t xml:space="preserve">medium or low cognition and they </w:t>
      </w:r>
      <w:r w:rsidR="005B3F0A">
        <w:t>we</w:t>
      </w:r>
      <w:r>
        <w:t xml:space="preserve">re most common amongst the 85 and </w:t>
      </w:r>
      <w:r w:rsidR="005B3F0A">
        <w:t>older</w:t>
      </w:r>
      <w:r>
        <w:t xml:space="preserve"> age group and least common amongst the youngest age group. Conversely</w:t>
      </w:r>
      <w:r w:rsidR="009D61DC">
        <w:t>, t</w:t>
      </w:r>
      <w:r>
        <w:t xml:space="preserve">he youngest residents </w:t>
      </w:r>
      <w:r w:rsidR="005B3F0A">
        <w:t>we</w:t>
      </w:r>
      <w:r>
        <w:t xml:space="preserve">re more often in the </w:t>
      </w:r>
      <w:r w:rsidR="009D61DC">
        <w:t xml:space="preserve">two most complex classes, Classes 12 and 13. They </w:t>
      </w:r>
      <w:r w:rsidR="005B3F0A">
        <w:t>we</w:t>
      </w:r>
      <w:r w:rsidR="009D61DC">
        <w:t>re also more often independently mobile (Classes 2 and 3).</w:t>
      </w:r>
    </w:p>
    <w:p w:rsidR="001506B1" w:rsidRDefault="005F6065" w:rsidP="005F6065">
      <w:pPr>
        <w:pStyle w:val="Caption"/>
      </w:pPr>
      <w:bookmarkStart w:id="62" w:name="_Ref535527377"/>
      <w:bookmarkStart w:id="63" w:name="_Toc953907"/>
      <w:r>
        <w:t xml:space="preserve">Figure </w:t>
      </w:r>
      <w:r w:rsidR="00E949FA">
        <w:rPr>
          <w:noProof/>
        </w:rPr>
        <w:fldChar w:fldCharType="begin"/>
      </w:r>
      <w:r w:rsidR="00E949FA">
        <w:rPr>
          <w:noProof/>
        </w:rPr>
        <w:instrText xml:space="preserve"> SEQ Figure \* ARABIC </w:instrText>
      </w:r>
      <w:r w:rsidR="00E949FA">
        <w:rPr>
          <w:noProof/>
        </w:rPr>
        <w:fldChar w:fldCharType="separate"/>
      </w:r>
      <w:r w:rsidR="00785B04">
        <w:rPr>
          <w:noProof/>
        </w:rPr>
        <w:t>3</w:t>
      </w:r>
      <w:r w:rsidR="00E949FA">
        <w:rPr>
          <w:noProof/>
        </w:rPr>
        <w:fldChar w:fldCharType="end"/>
      </w:r>
      <w:bookmarkEnd w:id="62"/>
      <w:r w:rsidR="00341AF1">
        <w:rPr>
          <w:noProof/>
        </w:rPr>
        <w:t xml:space="preserve"> </w:t>
      </w:r>
      <w:r>
        <w:tab/>
        <w:t>Distribution of AN-ACC classes by age group</w:t>
      </w:r>
      <w:bookmarkEnd w:id="63"/>
    </w:p>
    <w:p w:rsidR="001506B1" w:rsidRDefault="00FA2014" w:rsidP="00331160">
      <w:pPr>
        <w:spacing w:before="120" w:after="120"/>
      </w:pPr>
      <w:r w:rsidRPr="00FA2014">
        <w:rPr>
          <w:noProof/>
        </w:rPr>
        <w:drawing>
          <wp:inline distT="0" distB="0" distL="0" distR="0" wp14:anchorId="12987161" wp14:editId="7D4261EA">
            <wp:extent cx="5461200" cy="3276000"/>
            <wp:effectExtent l="0" t="0" r="6350" b="635"/>
            <wp:docPr id="4" name="Picture 4" descr="Figure 3 shows the distribution of residents across classes in the three different age groups: Aged less or equal to 64 years (n=100), aged 65 – 84 (n=1,147), aged more or equal to 85 years. Classes 6-8 specifically identify residents with medium or low cognition and they were most common amongst the 85 and older age group and least common amongst the youngest age group. Conversely, the youngest residents were more often in the two most complex classes, Classes 12 and 13. They were also more often independently mobile (Classes 2 and 3)." title="Figure 3  Distribution of AN-ACC classes by age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61200" cy="3276000"/>
                    </a:xfrm>
                    <a:prstGeom prst="rect">
                      <a:avLst/>
                    </a:prstGeom>
                    <a:noFill/>
                    <a:ln>
                      <a:noFill/>
                    </a:ln>
                  </pic:spPr>
                </pic:pic>
              </a:graphicData>
            </a:graphic>
          </wp:inline>
        </w:drawing>
      </w:r>
    </w:p>
    <w:p w:rsidR="00AF5CE4" w:rsidRDefault="009D61DC" w:rsidP="00331160">
      <w:pPr>
        <w:spacing w:before="120" w:after="120"/>
      </w:pPr>
      <w:r>
        <w:t xml:space="preserve">Relative to the average in the sample, payment using the AN-ACC model </w:t>
      </w:r>
      <w:r w:rsidR="00106A3B">
        <w:t>are</w:t>
      </w:r>
      <w:r>
        <w:t xml:space="preserve"> highest for the youngest age group and </w:t>
      </w:r>
      <w:r w:rsidR="00106A3B">
        <w:t xml:space="preserve">lowest </w:t>
      </w:r>
      <w:r>
        <w:t>for the oldest group o</w:t>
      </w:r>
      <w:r w:rsidR="005B3F0A">
        <w:t>f</w:t>
      </w:r>
      <w:r>
        <w:t xml:space="preserve"> residents. The reverse relationship holds for the ACFI funding model (see </w:t>
      </w:r>
      <w:r>
        <w:fldChar w:fldCharType="begin"/>
      </w:r>
      <w:r>
        <w:instrText xml:space="preserve"> REF _Ref535527606 \h </w:instrText>
      </w:r>
      <w:r>
        <w:fldChar w:fldCharType="separate"/>
      </w:r>
      <w:r w:rsidR="00785B04">
        <w:t xml:space="preserve">Table </w:t>
      </w:r>
      <w:r w:rsidR="00785B04">
        <w:rPr>
          <w:noProof/>
        </w:rPr>
        <w:t>4</w:t>
      </w:r>
      <w:r>
        <w:fldChar w:fldCharType="end"/>
      </w:r>
      <w:r>
        <w:t>).</w:t>
      </w:r>
      <w:r w:rsidR="00AF5CE4">
        <w:br w:type="page"/>
      </w:r>
    </w:p>
    <w:p w:rsidR="00236618" w:rsidRPr="00AF5CE4" w:rsidRDefault="00236618" w:rsidP="00331160">
      <w:pPr>
        <w:spacing w:before="120" w:after="120"/>
        <w:rPr>
          <w:sz w:val="4"/>
          <w:szCs w:val="4"/>
        </w:rPr>
      </w:pPr>
    </w:p>
    <w:p w:rsidR="00236618" w:rsidRDefault="005F6065" w:rsidP="005F6065">
      <w:pPr>
        <w:pStyle w:val="Caption"/>
      </w:pPr>
      <w:bookmarkStart w:id="64" w:name="_Ref535527606"/>
      <w:bookmarkStart w:id="65" w:name="_Toc953896"/>
      <w:r>
        <w:t xml:space="preserve">Table </w:t>
      </w:r>
      <w:r w:rsidR="00E949FA">
        <w:rPr>
          <w:noProof/>
        </w:rPr>
        <w:fldChar w:fldCharType="begin"/>
      </w:r>
      <w:r w:rsidR="00E949FA">
        <w:rPr>
          <w:noProof/>
        </w:rPr>
        <w:instrText xml:space="preserve"> SEQ Table \* ARABIC </w:instrText>
      </w:r>
      <w:r w:rsidR="00E949FA">
        <w:rPr>
          <w:noProof/>
        </w:rPr>
        <w:fldChar w:fldCharType="separate"/>
      </w:r>
      <w:r w:rsidR="00785B04">
        <w:rPr>
          <w:noProof/>
        </w:rPr>
        <w:t>4</w:t>
      </w:r>
      <w:r w:rsidR="00E949FA">
        <w:rPr>
          <w:noProof/>
        </w:rPr>
        <w:fldChar w:fldCharType="end"/>
      </w:r>
      <w:bookmarkEnd w:id="64"/>
      <w:r w:rsidR="00341AF1">
        <w:rPr>
          <w:noProof/>
        </w:rPr>
        <w:t xml:space="preserve"> </w:t>
      </w:r>
      <w:r>
        <w:tab/>
        <w:t>Payment relativities by age group</w:t>
      </w:r>
      <w:bookmarkEnd w:id="65"/>
    </w:p>
    <w:tbl>
      <w:tblPr>
        <w:tblW w:w="8926" w:type="dxa"/>
        <w:tblInd w:w="113" w:type="dxa"/>
        <w:tblLook w:val="04A0" w:firstRow="1" w:lastRow="0" w:firstColumn="1" w:lastColumn="0" w:noHBand="0" w:noVBand="1"/>
        <w:tblCaption w:val="Table 4  Payment relativities by age group"/>
        <w:tblDescription w:val="Table 4 shows that relative to the average in the sample, payment using the AN-ACC model are highest for the youngest age group and lowest for the oldest group of residents. The reverse relationship holds for the ACFI funding model. This table is to be read as a series of rows from left to right ('age group' then 'number of facilities' then 'number of residents' then 'AN-ACC NWAU per occupied bed day' then 'ACFI weight per occupied bed day'), top to bottom."/>
      </w:tblPr>
      <w:tblGrid>
        <w:gridCol w:w="1696"/>
        <w:gridCol w:w="1843"/>
        <w:gridCol w:w="1701"/>
        <w:gridCol w:w="1843"/>
        <w:gridCol w:w="1843"/>
      </w:tblGrid>
      <w:tr w:rsidR="00236618" w:rsidRPr="00236618" w:rsidTr="00B93566">
        <w:trPr>
          <w:trHeight w:val="1006"/>
          <w:tblHeader/>
        </w:trPr>
        <w:tc>
          <w:tcPr>
            <w:tcW w:w="1696" w:type="dxa"/>
            <w:tcBorders>
              <w:top w:val="single" w:sz="4" w:space="0" w:color="auto"/>
              <w:left w:val="single" w:sz="4" w:space="0" w:color="auto"/>
              <w:bottom w:val="single" w:sz="4" w:space="0" w:color="auto"/>
              <w:right w:val="single" w:sz="4" w:space="0" w:color="auto"/>
            </w:tcBorders>
            <w:shd w:val="clear" w:color="auto" w:fill="auto"/>
            <w:noWrap/>
            <w:hideMark/>
          </w:tcPr>
          <w:p w:rsidR="00236618" w:rsidRPr="00236618" w:rsidRDefault="00236618" w:rsidP="002E6AC6">
            <w:pPr>
              <w:spacing w:before="80" w:after="80"/>
              <w:rPr>
                <w:rFonts w:ascii="Calibri" w:hAnsi="Calibri" w:cs="Calibri"/>
                <w:b/>
                <w:color w:val="000000"/>
                <w:sz w:val="22"/>
                <w:szCs w:val="22"/>
              </w:rPr>
            </w:pPr>
            <w:r w:rsidRPr="00236618">
              <w:rPr>
                <w:rFonts w:ascii="Calibri" w:hAnsi="Calibri" w:cs="Calibri"/>
                <w:b/>
                <w:color w:val="000000"/>
                <w:sz w:val="22"/>
                <w:szCs w:val="22"/>
              </w:rPr>
              <w:t>Age Group</w:t>
            </w:r>
          </w:p>
        </w:tc>
        <w:tc>
          <w:tcPr>
            <w:tcW w:w="1843" w:type="dxa"/>
            <w:tcBorders>
              <w:top w:val="single" w:sz="4" w:space="0" w:color="auto"/>
              <w:left w:val="nil"/>
              <w:bottom w:val="single" w:sz="4" w:space="0" w:color="auto"/>
              <w:right w:val="single" w:sz="4" w:space="0" w:color="auto"/>
            </w:tcBorders>
            <w:shd w:val="clear" w:color="auto" w:fill="auto"/>
            <w:hideMark/>
          </w:tcPr>
          <w:p w:rsidR="00236618" w:rsidRPr="00236618" w:rsidRDefault="00236618" w:rsidP="002E6AC6">
            <w:pPr>
              <w:spacing w:before="80" w:after="80"/>
              <w:jc w:val="right"/>
              <w:rPr>
                <w:rFonts w:ascii="Calibri" w:hAnsi="Calibri" w:cs="Calibri"/>
                <w:color w:val="000000"/>
                <w:sz w:val="22"/>
                <w:szCs w:val="22"/>
              </w:rPr>
            </w:pPr>
            <w:r w:rsidRPr="00050DB0">
              <w:rPr>
                <w:rFonts w:ascii="Calibri" w:hAnsi="Calibri" w:cs="Calibri"/>
                <w:b/>
                <w:color w:val="000000"/>
                <w:sz w:val="22"/>
                <w:szCs w:val="22"/>
              </w:rPr>
              <w:t>No. of Facilities</w:t>
            </w:r>
          </w:p>
        </w:tc>
        <w:tc>
          <w:tcPr>
            <w:tcW w:w="1701" w:type="dxa"/>
            <w:tcBorders>
              <w:top w:val="single" w:sz="4" w:space="0" w:color="auto"/>
              <w:left w:val="nil"/>
              <w:bottom w:val="single" w:sz="4" w:space="0" w:color="auto"/>
              <w:right w:val="single" w:sz="4" w:space="0" w:color="auto"/>
            </w:tcBorders>
            <w:shd w:val="clear" w:color="auto" w:fill="auto"/>
            <w:hideMark/>
          </w:tcPr>
          <w:p w:rsidR="00236618" w:rsidRPr="00236618" w:rsidRDefault="00236618" w:rsidP="002E6AC6">
            <w:pPr>
              <w:spacing w:before="80" w:after="80"/>
              <w:jc w:val="right"/>
              <w:rPr>
                <w:rFonts w:ascii="Calibri" w:hAnsi="Calibri" w:cs="Calibri"/>
                <w:color w:val="000000"/>
                <w:sz w:val="22"/>
                <w:szCs w:val="22"/>
              </w:rPr>
            </w:pPr>
            <w:r w:rsidRPr="00050DB0">
              <w:rPr>
                <w:rFonts w:ascii="Calibri" w:hAnsi="Calibri" w:cs="Calibri"/>
                <w:b/>
                <w:color w:val="000000"/>
                <w:sz w:val="22"/>
                <w:szCs w:val="22"/>
              </w:rPr>
              <w:t>No. of Residents</w:t>
            </w:r>
          </w:p>
        </w:tc>
        <w:tc>
          <w:tcPr>
            <w:tcW w:w="1843" w:type="dxa"/>
            <w:tcBorders>
              <w:top w:val="single" w:sz="4" w:space="0" w:color="auto"/>
              <w:left w:val="nil"/>
              <w:bottom w:val="single" w:sz="4" w:space="0" w:color="auto"/>
              <w:right w:val="single" w:sz="4" w:space="0" w:color="auto"/>
            </w:tcBorders>
            <w:shd w:val="clear" w:color="auto" w:fill="auto"/>
            <w:hideMark/>
          </w:tcPr>
          <w:p w:rsidR="00106A3B" w:rsidRDefault="00236618" w:rsidP="00106A3B">
            <w:pPr>
              <w:spacing w:before="80" w:after="80"/>
              <w:jc w:val="right"/>
              <w:rPr>
                <w:rFonts w:ascii="Calibri" w:hAnsi="Calibri" w:cs="Calibri"/>
                <w:b/>
                <w:color w:val="000000"/>
                <w:sz w:val="22"/>
                <w:szCs w:val="22"/>
              </w:rPr>
            </w:pPr>
            <w:r>
              <w:rPr>
                <w:rFonts w:ascii="Calibri" w:hAnsi="Calibri" w:cs="Calibri"/>
                <w:b/>
                <w:color w:val="000000"/>
                <w:sz w:val="22"/>
                <w:szCs w:val="22"/>
              </w:rPr>
              <w:t>AN-ACC</w:t>
            </w:r>
            <w:r w:rsidR="002E6AC6">
              <w:rPr>
                <w:rFonts w:ascii="Calibri" w:hAnsi="Calibri" w:cs="Calibri"/>
                <w:b/>
                <w:color w:val="000000"/>
                <w:sz w:val="22"/>
                <w:szCs w:val="22"/>
              </w:rPr>
              <w:t xml:space="preserve"> </w:t>
            </w:r>
          </w:p>
          <w:p w:rsidR="00236618" w:rsidRPr="00236618" w:rsidRDefault="00236618" w:rsidP="00106A3B">
            <w:pPr>
              <w:spacing w:before="80" w:after="80"/>
              <w:jc w:val="right"/>
              <w:rPr>
                <w:rFonts w:ascii="Calibri" w:hAnsi="Calibri" w:cs="Calibri"/>
                <w:color w:val="000000"/>
                <w:sz w:val="22"/>
                <w:szCs w:val="22"/>
              </w:rPr>
            </w:pPr>
            <w:r w:rsidRPr="00050DB0">
              <w:rPr>
                <w:rFonts w:ascii="Calibri" w:hAnsi="Calibri" w:cs="Calibri"/>
                <w:b/>
                <w:color w:val="000000"/>
                <w:sz w:val="22"/>
                <w:szCs w:val="22"/>
              </w:rPr>
              <w:t>NWAU per occupied bed day</w:t>
            </w:r>
          </w:p>
        </w:tc>
        <w:tc>
          <w:tcPr>
            <w:tcW w:w="1843" w:type="dxa"/>
            <w:tcBorders>
              <w:top w:val="single" w:sz="4" w:space="0" w:color="auto"/>
              <w:left w:val="nil"/>
              <w:bottom w:val="single" w:sz="4" w:space="0" w:color="auto"/>
              <w:right w:val="single" w:sz="4" w:space="0" w:color="auto"/>
            </w:tcBorders>
            <w:shd w:val="clear" w:color="auto" w:fill="auto"/>
            <w:hideMark/>
          </w:tcPr>
          <w:p w:rsidR="00236618" w:rsidRDefault="00236618" w:rsidP="002E6AC6">
            <w:pPr>
              <w:spacing w:before="80" w:after="80"/>
              <w:jc w:val="right"/>
              <w:rPr>
                <w:rFonts w:ascii="Calibri" w:hAnsi="Calibri" w:cs="Calibri"/>
                <w:b/>
                <w:color w:val="000000"/>
                <w:sz w:val="22"/>
                <w:szCs w:val="22"/>
              </w:rPr>
            </w:pPr>
            <w:r w:rsidRPr="00050DB0">
              <w:rPr>
                <w:rFonts w:ascii="Calibri" w:hAnsi="Calibri" w:cs="Calibri"/>
                <w:b/>
                <w:color w:val="000000"/>
                <w:sz w:val="22"/>
                <w:szCs w:val="22"/>
              </w:rPr>
              <w:t>ACFI</w:t>
            </w:r>
          </w:p>
          <w:p w:rsidR="00236618" w:rsidRPr="00236618" w:rsidRDefault="00236618" w:rsidP="002E6AC6">
            <w:pPr>
              <w:spacing w:before="80" w:after="80"/>
              <w:jc w:val="right"/>
              <w:rPr>
                <w:rFonts w:ascii="Calibri" w:hAnsi="Calibri" w:cs="Calibri"/>
                <w:color w:val="000000"/>
                <w:sz w:val="22"/>
                <w:szCs w:val="22"/>
              </w:rPr>
            </w:pPr>
            <w:r w:rsidRPr="00050DB0">
              <w:rPr>
                <w:rFonts w:ascii="Calibri" w:hAnsi="Calibri" w:cs="Calibri"/>
                <w:b/>
                <w:color w:val="000000"/>
                <w:sz w:val="22"/>
                <w:szCs w:val="22"/>
              </w:rPr>
              <w:t>Weight per occupied bed day</w:t>
            </w:r>
          </w:p>
        </w:tc>
      </w:tr>
      <w:tr w:rsidR="00EB6C41" w:rsidRPr="00236618" w:rsidTr="00236618">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EB6C41" w:rsidRPr="00236618" w:rsidRDefault="00EB6C41" w:rsidP="002E6AC6">
            <w:pPr>
              <w:spacing w:before="80" w:after="80"/>
              <w:rPr>
                <w:rFonts w:ascii="Calibri" w:hAnsi="Calibri" w:cs="Calibri"/>
                <w:color w:val="000000"/>
                <w:sz w:val="22"/>
                <w:szCs w:val="22"/>
              </w:rPr>
            </w:pPr>
            <w:r w:rsidRPr="00236618">
              <w:rPr>
                <w:rFonts w:ascii="Calibri" w:hAnsi="Calibri" w:cs="Calibri"/>
                <w:color w:val="000000"/>
                <w:sz w:val="22"/>
                <w:szCs w:val="22"/>
              </w:rPr>
              <w:t>≤ 64 years</w:t>
            </w:r>
          </w:p>
        </w:tc>
        <w:tc>
          <w:tcPr>
            <w:tcW w:w="1843" w:type="dxa"/>
            <w:tcBorders>
              <w:top w:val="nil"/>
              <w:left w:val="nil"/>
              <w:bottom w:val="single" w:sz="4" w:space="0" w:color="auto"/>
              <w:right w:val="single" w:sz="4" w:space="0" w:color="auto"/>
            </w:tcBorders>
            <w:shd w:val="clear" w:color="auto" w:fill="auto"/>
            <w:noWrap/>
            <w:vAlign w:val="bottom"/>
            <w:hideMark/>
          </w:tcPr>
          <w:p w:rsidR="00EB6C41" w:rsidRPr="00236618" w:rsidRDefault="00EB6C41" w:rsidP="002E6AC6">
            <w:pPr>
              <w:spacing w:before="80" w:after="80"/>
              <w:jc w:val="right"/>
              <w:rPr>
                <w:rFonts w:ascii="Calibri" w:hAnsi="Calibri" w:cs="Calibri"/>
                <w:color w:val="000000"/>
                <w:sz w:val="22"/>
                <w:szCs w:val="22"/>
              </w:rPr>
            </w:pPr>
            <w:r w:rsidRPr="00236618">
              <w:rPr>
                <w:rFonts w:ascii="Calibri" w:hAnsi="Calibri" w:cs="Calibri"/>
                <w:color w:val="000000"/>
                <w:sz w:val="22"/>
                <w:szCs w:val="22"/>
              </w:rPr>
              <w:t>45</w:t>
            </w:r>
          </w:p>
        </w:tc>
        <w:tc>
          <w:tcPr>
            <w:tcW w:w="1701" w:type="dxa"/>
            <w:tcBorders>
              <w:top w:val="nil"/>
              <w:left w:val="nil"/>
              <w:bottom w:val="single" w:sz="4" w:space="0" w:color="auto"/>
              <w:right w:val="single" w:sz="4" w:space="0" w:color="auto"/>
            </w:tcBorders>
            <w:shd w:val="clear" w:color="auto" w:fill="auto"/>
            <w:noWrap/>
            <w:vAlign w:val="bottom"/>
            <w:hideMark/>
          </w:tcPr>
          <w:p w:rsidR="00EB6C41" w:rsidRPr="00236618" w:rsidRDefault="00EB6C41" w:rsidP="002E6AC6">
            <w:pPr>
              <w:spacing w:before="80" w:after="80"/>
              <w:jc w:val="right"/>
              <w:rPr>
                <w:rFonts w:ascii="Calibri" w:hAnsi="Calibri" w:cs="Calibri"/>
                <w:color w:val="000000"/>
                <w:sz w:val="22"/>
                <w:szCs w:val="22"/>
              </w:rPr>
            </w:pPr>
            <w:r w:rsidRPr="00236618">
              <w:rPr>
                <w:rFonts w:ascii="Calibri" w:hAnsi="Calibri" w:cs="Calibri"/>
                <w:color w:val="000000"/>
                <w:sz w:val="22"/>
                <w:szCs w:val="22"/>
              </w:rPr>
              <w:t>100</w:t>
            </w:r>
          </w:p>
        </w:tc>
        <w:tc>
          <w:tcPr>
            <w:tcW w:w="1843" w:type="dxa"/>
            <w:tcBorders>
              <w:top w:val="nil"/>
              <w:left w:val="nil"/>
              <w:bottom w:val="single" w:sz="4" w:space="0" w:color="auto"/>
              <w:right w:val="single" w:sz="4" w:space="0" w:color="auto"/>
            </w:tcBorders>
            <w:shd w:val="clear" w:color="auto" w:fill="auto"/>
            <w:noWrap/>
            <w:vAlign w:val="bottom"/>
            <w:hideMark/>
          </w:tcPr>
          <w:p w:rsidR="00EB6C41" w:rsidRPr="00236618" w:rsidRDefault="00EB6C41" w:rsidP="002E6AC6">
            <w:pPr>
              <w:spacing w:before="80" w:after="80"/>
              <w:jc w:val="right"/>
              <w:rPr>
                <w:rFonts w:ascii="Calibri" w:hAnsi="Calibri" w:cs="Calibri"/>
                <w:color w:val="000000"/>
                <w:sz w:val="22"/>
                <w:szCs w:val="22"/>
              </w:rPr>
            </w:pPr>
            <w:r>
              <w:rPr>
                <w:rFonts w:ascii="Calibri" w:hAnsi="Calibri" w:cs="Calibri"/>
                <w:color w:val="000000"/>
                <w:sz w:val="22"/>
                <w:szCs w:val="22"/>
              </w:rPr>
              <w:t>1.10</w:t>
            </w:r>
          </w:p>
        </w:tc>
        <w:tc>
          <w:tcPr>
            <w:tcW w:w="1843" w:type="dxa"/>
            <w:tcBorders>
              <w:top w:val="nil"/>
              <w:left w:val="nil"/>
              <w:bottom w:val="single" w:sz="4" w:space="0" w:color="auto"/>
              <w:right w:val="single" w:sz="4" w:space="0" w:color="auto"/>
            </w:tcBorders>
            <w:shd w:val="clear" w:color="auto" w:fill="auto"/>
            <w:noWrap/>
            <w:vAlign w:val="bottom"/>
            <w:hideMark/>
          </w:tcPr>
          <w:p w:rsidR="00EB6C41" w:rsidRPr="00236618" w:rsidRDefault="00EB6C41" w:rsidP="002E6AC6">
            <w:pPr>
              <w:spacing w:before="80" w:after="80"/>
              <w:jc w:val="right"/>
              <w:rPr>
                <w:rFonts w:ascii="Calibri" w:hAnsi="Calibri" w:cs="Calibri"/>
                <w:color w:val="000000"/>
                <w:sz w:val="22"/>
                <w:szCs w:val="22"/>
              </w:rPr>
            </w:pPr>
            <w:r>
              <w:rPr>
                <w:rFonts w:ascii="Calibri" w:hAnsi="Calibri" w:cs="Calibri"/>
                <w:color w:val="000000"/>
                <w:sz w:val="22"/>
                <w:szCs w:val="22"/>
              </w:rPr>
              <w:t>0.94</w:t>
            </w:r>
          </w:p>
        </w:tc>
      </w:tr>
      <w:tr w:rsidR="00EB6C41" w:rsidRPr="00236618" w:rsidTr="00236618">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EB6C41" w:rsidRPr="00236618" w:rsidRDefault="00EB6C41" w:rsidP="002E6AC6">
            <w:pPr>
              <w:spacing w:before="80" w:after="80"/>
              <w:rPr>
                <w:rFonts w:ascii="Calibri" w:hAnsi="Calibri" w:cs="Calibri"/>
                <w:color w:val="000000"/>
                <w:sz w:val="22"/>
                <w:szCs w:val="22"/>
              </w:rPr>
            </w:pPr>
            <w:r w:rsidRPr="00236618">
              <w:rPr>
                <w:rFonts w:ascii="Calibri" w:hAnsi="Calibri" w:cs="Calibri"/>
                <w:color w:val="000000"/>
                <w:sz w:val="22"/>
                <w:szCs w:val="22"/>
              </w:rPr>
              <w:t>65-84 years</w:t>
            </w:r>
          </w:p>
        </w:tc>
        <w:tc>
          <w:tcPr>
            <w:tcW w:w="1843" w:type="dxa"/>
            <w:tcBorders>
              <w:top w:val="nil"/>
              <w:left w:val="nil"/>
              <w:bottom w:val="single" w:sz="4" w:space="0" w:color="auto"/>
              <w:right w:val="single" w:sz="4" w:space="0" w:color="auto"/>
            </w:tcBorders>
            <w:shd w:val="clear" w:color="auto" w:fill="auto"/>
            <w:noWrap/>
            <w:vAlign w:val="bottom"/>
            <w:hideMark/>
          </w:tcPr>
          <w:p w:rsidR="00EB6C41" w:rsidRPr="00236618" w:rsidRDefault="00EB6C41" w:rsidP="002E6AC6">
            <w:pPr>
              <w:spacing w:before="80" w:after="80"/>
              <w:jc w:val="right"/>
              <w:rPr>
                <w:rFonts w:ascii="Calibri" w:hAnsi="Calibri" w:cs="Calibri"/>
                <w:color w:val="000000"/>
                <w:sz w:val="22"/>
                <w:szCs w:val="22"/>
              </w:rPr>
            </w:pPr>
            <w:r w:rsidRPr="00236618">
              <w:rPr>
                <w:rFonts w:ascii="Calibri" w:hAnsi="Calibri" w:cs="Calibri"/>
                <w:color w:val="000000"/>
                <w:sz w:val="22"/>
                <w:szCs w:val="22"/>
              </w:rPr>
              <w:t>79</w:t>
            </w:r>
          </w:p>
        </w:tc>
        <w:tc>
          <w:tcPr>
            <w:tcW w:w="1701" w:type="dxa"/>
            <w:tcBorders>
              <w:top w:val="nil"/>
              <w:left w:val="nil"/>
              <w:bottom w:val="single" w:sz="4" w:space="0" w:color="auto"/>
              <w:right w:val="single" w:sz="4" w:space="0" w:color="auto"/>
            </w:tcBorders>
            <w:shd w:val="clear" w:color="auto" w:fill="auto"/>
            <w:noWrap/>
            <w:vAlign w:val="bottom"/>
            <w:hideMark/>
          </w:tcPr>
          <w:p w:rsidR="00EB6C41" w:rsidRPr="00236618" w:rsidRDefault="00EB6C41" w:rsidP="002E6AC6">
            <w:pPr>
              <w:spacing w:before="80" w:after="80"/>
              <w:jc w:val="right"/>
              <w:rPr>
                <w:rFonts w:ascii="Calibri" w:hAnsi="Calibri" w:cs="Calibri"/>
                <w:color w:val="000000"/>
                <w:sz w:val="22"/>
                <w:szCs w:val="22"/>
              </w:rPr>
            </w:pPr>
            <w:r w:rsidRPr="00236618">
              <w:rPr>
                <w:rFonts w:ascii="Calibri" w:hAnsi="Calibri" w:cs="Calibri"/>
                <w:color w:val="000000"/>
                <w:sz w:val="22"/>
                <w:szCs w:val="22"/>
              </w:rPr>
              <w:t>1</w:t>
            </w:r>
            <w:r w:rsidR="000423C3">
              <w:rPr>
                <w:rFonts w:ascii="Calibri" w:hAnsi="Calibri" w:cs="Calibri"/>
                <w:color w:val="000000"/>
                <w:sz w:val="22"/>
                <w:szCs w:val="22"/>
              </w:rPr>
              <w:t>,</w:t>
            </w:r>
            <w:r w:rsidRPr="00236618">
              <w:rPr>
                <w:rFonts w:ascii="Calibri" w:hAnsi="Calibri" w:cs="Calibri"/>
                <w:color w:val="000000"/>
                <w:sz w:val="22"/>
                <w:szCs w:val="22"/>
              </w:rPr>
              <w:t>147</w:t>
            </w:r>
          </w:p>
        </w:tc>
        <w:tc>
          <w:tcPr>
            <w:tcW w:w="1843" w:type="dxa"/>
            <w:tcBorders>
              <w:top w:val="nil"/>
              <w:left w:val="nil"/>
              <w:bottom w:val="single" w:sz="4" w:space="0" w:color="auto"/>
              <w:right w:val="single" w:sz="4" w:space="0" w:color="auto"/>
            </w:tcBorders>
            <w:shd w:val="clear" w:color="auto" w:fill="auto"/>
            <w:noWrap/>
            <w:vAlign w:val="bottom"/>
            <w:hideMark/>
          </w:tcPr>
          <w:p w:rsidR="00EB6C41" w:rsidRPr="00236618" w:rsidRDefault="00EB6C41" w:rsidP="002E6AC6">
            <w:pPr>
              <w:spacing w:before="80" w:after="80"/>
              <w:jc w:val="right"/>
              <w:rPr>
                <w:rFonts w:ascii="Calibri" w:hAnsi="Calibri" w:cs="Calibri"/>
                <w:color w:val="000000"/>
                <w:sz w:val="22"/>
                <w:szCs w:val="22"/>
              </w:rPr>
            </w:pPr>
            <w:r>
              <w:rPr>
                <w:rFonts w:ascii="Calibri" w:hAnsi="Calibri" w:cs="Calibri"/>
                <w:color w:val="000000"/>
                <w:sz w:val="22"/>
                <w:szCs w:val="22"/>
              </w:rPr>
              <w:t>1.03</w:t>
            </w:r>
          </w:p>
        </w:tc>
        <w:tc>
          <w:tcPr>
            <w:tcW w:w="1843" w:type="dxa"/>
            <w:tcBorders>
              <w:top w:val="nil"/>
              <w:left w:val="nil"/>
              <w:bottom w:val="single" w:sz="4" w:space="0" w:color="auto"/>
              <w:right w:val="single" w:sz="4" w:space="0" w:color="auto"/>
            </w:tcBorders>
            <w:shd w:val="clear" w:color="auto" w:fill="auto"/>
            <w:noWrap/>
            <w:vAlign w:val="bottom"/>
            <w:hideMark/>
          </w:tcPr>
          <w:p w:rsidR="00EB6C41" w:rsidRPr="00236618" w:rsidRDefault="00EB6C41" w:rsidP="002E6AC6">
            <w:pPr>
              <w:spacing w:before="80" w:after="80"/>
              <w:jc w:val="right"/>
              <w:rPr>
                <w:rFonts w:ascii="Calibri" w:hAnsi="Calibri" w:cs="Calibri"/>
                <w:color w:val="000000"/>
                <w:sz w:val="22"/>
                <w:szCs w:val="22"/>
              </w:rPr>
            </w:pPr>
            <w:r>
              <w:rPr>
                <w:rFonts w:ascii="Calibri" w:hAnsi="Calibri" w:cs="Calibri"/>
                <w:color w:val="000000"/>
                <w:sz w:val="22"/>
                <w:szCs w:val="22"/>
              </w:rPr>
              <w:t>0.99</w:t>
            </w:r>
          </w:p>
        </w:tc>
      </w:tr>
      <w:tr w:rsidR="00EB6C41" w:rsidRPr="00236618" w:rsidTr="00236618">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EB6C41" w:rsidRPr="00236618" w:rsidRDefault="00EB6C41" w:rsidP="002E6AC6">
            <w:pPr>
              <w:spacing w:before="80" w:after="80"/>
              <w:rPr>
                <w:rFonts w:ascii="Calibri" w:hAnsi="Calibri" w:cs="Calibri"/>
                <w:color w:val="000000"/>
                <w:sz w:val="22"/>
                <w:szCs w:val="22"/>
              </w:rPr>
            </w:pPr>
            <w:r w:rsidRPr="00236618">
              <w:rPr>
                <w:rFonts w:ascii="Calibri" w:hAnsi="Calibri" w:cs="Calibri"/>
                <w:color w:val="000000"/>
                <w:sz w:val="22"/>
                <w:szCs w:val="22"/>
              </w:rPr>
              <w:t>≥ 85 years</w:t>
            </w:r>
          </w:p>
        </w:tc>
        <w:tc>
          <w:tcPr>
            <w:tcW w:w="1843" w:type="dxa"/>
            <w:tcBorders>
              <w:top w:val="nil"/>
              <w:left w:val="nil"/>
              <w:bottom w:val="single" w:sz="4" w:space="0" w:color="auto"/>
              <w:right w:val="single" w:sz="4" w:space="0" w:color="auto"/>
            </w:tcBorders>
            <w:shd w:val="clear" w:color="auto" w:fill="auto"/>
            <w:noWrap/>
            <w:vAlign w:val="bottom"/>
            <w:hideMark/>
          </w:tcPr>
          <w:p w:rsidR="00EB6C41" w:rsidRPr="00236618" w:rsidRDefault="00EB6C41" w:rsidP="002E6AC6">
            <w:pPr>
              <w:spacing w:before="80" w:after="80"/>
              <w:jc w:val="right"/>
              <w:rPr>
                <w:rFonts w:ascii="Calibri" w:hAnsi="Calibri" w:cs="Calibri"/>
                <w:color w:val="000000"/>
                <w:sz w:val="22"/>
                <w:szCs w:val="22"/>
              </w:rPr>
            </w:pPr>
            <w:r w:rsidRPr="00236618">
              <w:rPr>
                <w:rFonts w:ascii="Calibri" w:hAnsi="Calibri" w:cs="Calibri"/>
                <w:color w:val="000000"/>
                <w:sz w:val="22"/>
                <w:szCs w:val="22"/>
              </w:rPr>
              <w:t>79</w:t>
            </w:r>
          </w:p>
        </w:tc>
        <w:tc>
          <w:tcPr>
            <w:tcW w:w="1701" w:type="dxa"/>
            <w:tcBorders>
              <w:top w:val="nil"/>
              <w:left w:val="nil"/>
              <w:bottom w:val="single" w:sz="4" w:space="0" w:color="auto"/>
              <w:right w:val="single" w:sz="4" w:space="0" w:color="auto"/>
            </w:tcBorders>
            <w:shd w:val="clear" w:color="auto" w:fill="auto"/>
            <w:noWrap/>
            <w:vAlign w:val="bottom"/>
            <w:hideMark/>
          </w:tcPr>
          <w:p w:rsidR="00EB6C41" w:rsidRPr="00236618" w:rsidRDefault="00EB6C41" w:rsidP="002E6AC6">
            <w:pPr>
              <w:spacing w:before="80" w:after="80"/>
              <w:jc w:val="right"/>
              <w:rPr>
                <w:rFonts w:ascii="Calibri" w:hAnsi="Calibri" w:cs="Calibri"/>
                <w:color w:val="000000"/>
                <w:sz w:val="22"/>
                <w:szCs w:val="22"/>
              </w:rPr>
            </w:pPr>
            <w:r w:rsidRPr="00236618">
              <w:rPr>
                <w:rFonts w:ascii="Calibri" w:hAnsi="Calibri" w:cs="Calibri"/>
                <w:color w:val="000000"/>
                <w:sz w:val="22"/>
                <w:szCs w:val="22"/>
              </w:rPr>
              <w:t>1</w:t>
            </w:r>
            <w:r w:rsidR="000423C3">
              <w:rPr>
                <w:rFonts w:ascii="Calibri" w:hAnsi="Calibri" w:cs="Calibri"/>
                <w:color w:val="000000"/>
                <w:sz w:val="22"/>
                <w:szCs w:val="22"/>
              </w:rPr>
              <w:t>,</w:t>
            </w:r>
            <w:r w:rsidRPr="00236618">
              <w:rPr>
                <w:rFonts w:ascii="Calibri" w:hAnsi="Calibri" w:cs="Calibri"/>
                <w:color w:val="000000"/>
                <w:sz w:val="22"/>
                <w:szCs w:val="22"/>
              </w:rPr>
              <w:t>901</w:t>
            </w:r>
          </w:p>
        </w:tc>
        <w:tc>
          <w:tcPr>
            <w:tcW w:w="1843" w:type="dxa"/>
            <w:tcBorders>
              <w:top w:val="nil"/>
              <w:left w:val="nil"/>
              <w:bottom w:val="single" w:sz="4" w:space="0" w:color="auto"/>
              <w:right w:val="single" w:sz="4" w:space="0" w:color="auto"/>
            </w:tcBorders>
            <w:shd w:val="clear" w:color="auto" w:fill="auto"/>
            <w:noWrap/>
            <w:vAlign w:val="bottom"/>
            <w:hideMark/>
          </w:tcPr>
          <w:p w:rsidR="00EB6C41" w:rsidRPr="00236618" w:rsidRDefault="00EB6C41" w:rsidP="002E6AC6">
            <w:pPr>
              <w:spacing w:before="80" w:after="80"/>
              <w:jc w:val="right"/>
              <w:rPr>
                <w:rFonts w:ascii="Calibri" w:hAnsi="Calibri" w:cs="Calibri"/>
                <w:color w:val="000000"/>
                <w:sz w:val="22"/>
                <w:szCs w:val="22"/>
              </w:rPr>
            </w:pPr>
            <w:r>
              <w:rPr>
                <w:rFonts w:ascii="Calibri" w:hAnsi="Calibri" w:cs="Calibri"/>
                <w:color w:val="000000"/>
                <w:sz w:val="22"/>
                <w:szCs w:val="22"/>
              </w:rPr>
              <w:t>0.98</w:t>
            </w:r>
          </w:p>
        </w:tc>
        <w:tc>
          <w:tcPr>
            <w:tcW w:w="1843" w:type="dxa"/>
            <w:tcBorders>
              <w:top w:val="nil"/>
              <w:left w:val="nil"/>
              <w:bottom w:val="single" w:sz="4" w:space="0" w:color="auto"/>
              <w:right w:val="single" w:sz="4" w:space="0" w:color="auto"/>
            </w:tcBorders>
            <w:shd w:val="clear" w:color="auto" w:fill="auto"/>
            <w:noWrap/>
            <w:vAlign w:val="bottom"/>
            <w:hideMark/>
          </w:tcPr>
          <w:p w:rsidR="00EB6C41" w:rsidRPr="00236618" w:rsidRDefault="00EB6C41" w:rsidP="002E6AC6">
            <w:pPr>
              <w:spacing w:before="80" w:after="80"/>
              <w:jc w:val="right"/>
              <w:rPr>
                <w:rFonts w:ascii="Calibri" w:hAnsi="Calibri" w:cs="Calibri"/>
                <w:color w:val="000000"/>
                <w:sz w:val="22"/>
                <w:szCs w:val="22"/>
              </w:rPr>
            </w:pPr>
            <w:r>
              <w:rPr>
                <w:rFonts w:ascii="Calibri" w:hAnsi="Calibri" w:cs="Calibri"/>
                <w:color w:val="000000"/>
                <w:sz w:val="22"/>
                <w:szCs w:val="22"/>
              </w:rPr>
              <w:t>1.01</w:t>
            </w:r>
          </w:p>
        </w:tc>
      </w:tr>
      <w:tr w:rsidR="00236618" w:rsidRPr="00236618" w:rsidTr="00236618">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236618" w:rsidRPr="00236618" w:rsidRDefault="00236618" w:rsidP="002E6AC6">
            <w:pPr>
              <w:spacing w:before="80" w:after="80"/>
              <w:rPr>
                <w:rFonts w:ascii="Calibri" w:hAnsi="Calibri" w:cs="Calibri"/>
                <w:b/>
                <w:color w:val="000000"/>
                <w:sz w:val="22"/>
                <w:szCs w:val="22"/>
              </w:rPr>
            </w:pPr>
            <w:r w:rsidRPr="00236618">
              <w:rPr>
                <w:rFonts w:ascii="Calibri" w:hAnsi="Calibri" w:cs="Calibri"/>
                <w:b/>
                <w:color w:val="000000"/>
                <w:sz w:val="22"/>
                <w:szCs w:val="22"/>
              </w:rPr>
              <w:t xml:space="preserve">Total </w:t>
            </w:r>
          </w:p>
        </w:tc>
        <w:tc>
          <w:tcPr>
            <w:tcW w:w="1843" w:type="dxa"/>
            <w:tcBorders>
              <w:top w:val="nil"/>
              <w:left w:val="nil"/>
              <w:bottom w:val="single" w:sz="4" w:space="0" w:color="auto"/>
              <w:right w:val="single" w:sz="4" w:space="0" w:color="auto"/>
            </w:tcBorders>
            <w:shd w:val="clear" w:color="auto" w:fill="auto"/>
            <w:noWrap/>
            <w:vAlign w:val="bottom"/>
            <w:hideMark/>
          </w:tcPr>
          <w:p w:rsidR="00236618" w:rsidRPr="00236618" w:rsidRDefault="00236618" w:rsidP="002E6AC6">
            <w:pPr>
              <w:spacing w:before="80" w:after="80"/>
              <w:jc w:val="right"/>
              <w:rPr>
                <w:rFonts w:ascii="Calibri" w:hAnsi="Calibri" w:cs="Calibri"/>
                <w:b/>
                <w:bCs/>
                <w:color w:val="000000"/>
                <w:sz w:val="22"/>
                <w:szCs w:val="22"/>
              </w:rPr>
            </w:pPr>
            <w:r w:rsidRPr="00236618">
              <w:rPr>
                <w:rFonts w:ascii="Calibri" w:hAnsi="Calibri" w:cs="Calibri"/>
                <w:b/>
                <w:bCs/>
                <w:color w:val="000000"/>
                <w:sz w:val="22"/>
                <w:szCs w:val="22"/>
              </w:rPr>
              <w:t>80</w:t>
            </w:r>
          </w:p>
        </w:tc>
        <w:tc>
          <w:tcPr>
            <w:tcW w:w="1701" w:type="dxa"/>
            <w:tcBorders>
              <w:top w:val="nil"/>
              <w:left w:val="nil"/>
              <w:bottom w:val="single" w:sz="4" w:space="0" w:color="auto"/>
              <w:right w:val="single" w:sz="4" w:space="0" w:color="auto"/>
            </w:tcBorders>
            <w:shd w:val="clear" w:color="auto" w:fill="auto"/>
            <w:noWrap/>
            <w:vAlign w:val="bottom"/>
            <w:hideMark/>
          </w:tcPr>
          <w:p w:rsidR="00236618" w:rsidRPr="00236618" w:rsidRDefault="00236618" w:rsidP="002E6AC6">
            <w:pPr>
              <w:spacing w:before="80" w:after="80"/>
              <w:jc w:val="right"/>
              <w:rPr>
                <w:rFonts w:ascii="Calibri" w:hAnsi="Calibri" w:cs="Calibri"/>
                <w:b/>
                <w:bCs/>
                <w:color w:val="000000"/>
                <w:sz w:val="22"/>
                <w:szCs w:val="22"/>
              </w:rPr>
            </w:pPr>
            <w:r w:rsidRPr="00236618">
              <w:rPr>
                <w:rFonts w:ascii="Calibri" w:hAnsi="Calibri" w:cs="Calibri"/>
                <w:b/>
                <w:bCs/>
                <w:color w:val="000000"/>
                <w:sz w:val="22"/>
                <w:szCs w:val="22"/>
              </w:rPr>
              <w:t>3</w:t>
            </w:r>
            <w:r w:rsidR="000423C3">
              <w:rPr>
                <w:rFonts w:ascii="Calibri" w:hAnsi="Calibri" w:cs="Calibri"/>
                <w:b/>
                <w:bCs/>
                <w:color w:val="000000"/>
                <w:sz w:val="22"/>
                <w:szCs w:val="22"/>
              </w:rPr>
              <w:t>,</w:t>
            </w:r>
            <w:r w:rsidRPr="00236618">
              <w:rPr>
                <w:rFonts w:ascii="Calibri" w:hAnsi="Calibri" w:cs="Calibri"/>
                <w:b/>
                <w:bCs/>
                <w:color w:val="000000"/>
                <w:sz w:val="22"/>
                <w:szCs w:val="22"/>
              </w:rPr>
              <w:t>148</w:t>
            </w:r>
          </w:p>
        </w:tc>
        <w:tc>
          <w:tcPr>
            <w:tcW w:w="1843" w:type="dxa"/>
            <w:tcBorders>
              <w:top w:val="nil"/>
              <w:left w:val="nil"/>
              <w:bottom w:val="single" w:sz="4" w:space="0" w:color="auto"/>
              <w:right w:val="single" w:sz="4" w:space="0" w:color="auto"/>
            </w:tcBorders>
            <w:shd w:val="clear" w:color="auto" w:fill="auto"/>
            <w:noWrap/>
            <w:vAlign w:val="bottom"/>
            <w:hideMark/>
          </w:tcPr>
          <w:p w:rsidR="00236618" w:rsidRPr="00236618" w:rsidRDefault="00236618" w:rsidP="002E6AC6">
            <w:pPr>
              <w:spacing w:before="80" w:after="80"/>
              <w:jc w:val="right"/>
              <w:rPr>
                <w:rFonts w:ascii="Calibri" w:hAnsi="Calibri" w:cs="Calibri"/>
                <w:b/>
                <w:color w:val="000000"/>
                <w:sz w:val="22"/>
                <w:szCs w:val="22"/>
              </w:rPr>
            </w:pPr>
            <w:r w:rsidRPr="00236618">
              <w:rPr>
                <w:rFonts w:ascii="Calibri" w:hAnsi="Calibri" w:cs="Calibri"/>
                <w:b/>
                <w:color w:val="000000"/>
                <w:sz w:val="22"/>
                <w:szCs w:val="22"/>
              </w:rPr>
              <w:t>1.00</w:t>
            </w:r>
          </w:p>
        </w:tc>
        <w:tc>
          <w:tcPr>
            <w:tcW w:w="1843" w:type="dxa"/>
            <w:tcBorders>
              <w:top w:val="nil"/>
              <w:left w:val="nil"/>
              <w:bottom w:val="single" w:sz="4" w:space="0" w:color="auto"/>
              <w:right w:val="single" w:sz="4" w:space="0" w:color="auto"/>
            </w:tcBorders>
            <w:shd w:val="clear" w:color="auto" w:fill="auto"/>
            <w:noWrap/>
            <w:vAlign w:val="bottom"/>
            <w:hideMark/>
          </w:tcPr>
          <w:p w:rsidR="00236618" w:rsidRPr="00236618" w:rsidRDefault="00236618" w:rsidP="002E6AC6">
            <w:pPr>
              <w:spacing w:before="80" w:after="80"/>
              <w:jc w:val="right"/>
              <w:rPr>
                <w:rFonts w:ascii="Calibri" w:hAnsi="Calibri" w:cs="Calibri"/>
                <w:b/>
                <w:color w:val="000000"/>
                <w:sz w:val="22"/>
                <w:szCs w:val="22"/>
              </w:rPr>
            </w:pPr>
            <w:r w:rsidRPr="00236618">
              <w:rPr>
                <w:rFonts w:ascii="Calibri" w:hAnsi="Calibri" w:cs="Calibri"/>
                <w:b/>
                <w:color w:val="000000"/>
                <w:sz w:val="22"/>
                <w:szCs w:val="22"/>
              </w:rPr>
              <w:t>1.00</w:t>
            </w:r>
          </w:p>
        </w:tc>
      </w:tr>
    </w:tbl>
    <w:p w:rsidR="00665DC3" w:rsidRDefault="00665DC3" w:rsidP="00A23667">
      <w:pPr>
        <w:pStyle w:val="Heading3"/>
      </w:pPr>
      <w:r>
        <w:t>Time in care</w:t>
      </w:r>
    </w:p>
    <w:p w:rsidR="00665DC3" w:rsidRDefault="009D61DC" w:rsidP="00331160">
      <w:pPr>
        <w:spacing w:before="120" w:after="120"/>
      </w:pPr>
      <w:r>
        <w:t xml:space="preserve">From </w:t>
      </w:r>
      <w:r w:rsidR="00B5050A">
        <w:fldChar w:fldCharType="begin"/>
      </w:r>
      <w:r w:rsidR="00B5050A">
        <w:instrText xml:space="preserve"> REF _Ref535527809 \h </w:instrText>
      </w:r>
      <w:r w:rsidR="00B5050A">
        <w:fldChar w:fldCharType="separate"/>
      </w:r>
      <w:r w:rsidR="00785B04">
        <w:t xml:space="preserve">Figure </w:t>
      </w:r>
      <w:r w:rsidR="00785B04">
        <w:rPr>
          <w:noProof/>
        </w:rPr>
        <w:t>4</w:t>
      </w:r>
      <w:r w:rsidR="00B5050A">
        <w:fldChar w:fldCharType="end"/>
      </w:r>
      <w:r w:rsidR="00B5050A">
        <w:t xml:space="preserve">, the most striking difference between the groups defined by time in care is that those </w:t>
      </w:r>
      <w:r w:rsidR="00106A3B">
        <w:t>in care t</w:t>
      </w:r>
      <w:r w:rsidR="00B5050A">
        <w:t xml:space="preserve">he longest </w:t>
      </w:r>
      <w:r w:rsidR="00106A3B">
        <w:t xml:space="preserve">are </w:t>
      </w:r>
      <w:r w:rsidR="00B5050A">
        <w:t xml:space="preserve">more likely to fall into the more complex </w:t>
      </w:r>
      <w:r w:rsidR="00106A3B">
        <w:t xml:space="preserve">and costly </w:t>
      </w:r>
      <w:r w:rsidR="00B5050A">
        <w:t>classes (generally the higher-numbered classes).</w:t>
      </w:r>
    </w:p>
    <w:p w:rsidR="00560D6E" w:rsidRDefault="009D61DC" w:rsidP="00560D6E">
      <w:pPr>
        <w:pStyle w:val="Caption"/>
      </w:pPr>
      <w:bookmarkStart w:id="66" w:name="_Ref535527809"/>
      <w:bookmarkStart w:id="67" w:name="_Toc953908"/>
      <w:r>
        <w:t xml:space="preserve">Figure </w:t>
      </w:r>
      <w:r w:rsidR="00E949FA">
        <w:rPr>
          <w:noProof/>
        </w:rPr>
        <w:fldChar w:fldCharType="begin"/>
      </w:r>
      <w:r w:rsidR="00E949FA">
        <w:rPr>
          <w:noProof/>
        </w:rPr>
        <w:instrText xml:space="preserve"> SEQ Figure \* ARABIC </w:instrText>
      </w:r>
      <w:r w:rsidR="00E949FA">
        <w:rPr>
          <w:noProof/>
        </w:rPr>
        <w:fldChar w:fldCharType="separate"/>
      </w:r>
      <w:r w:rsidR="00785B04">
        <w:rPr>
          <w:noProof/>
        </w:rPr>
        <w:t>4</w:t>
      </w:r>
      <w:r w:rsidR="00E949FA">
        <w:rPr>
          <w:noProof/>
        </w:rPr>
        <w:fldChar w:fldCharType="end"/>
      </w:r>
      <w:bookmarkEnd w:id="66"/>
      <w:r w:rsidR="00341AF1">
        <w:rPr>
          <w:noProof/>
        </w:rPr>
        <w:t xml:space="preserve"> </w:t>
      </w:r>
      <w:r>
        <w:tab/>
        <w:t>Distribution of AN-ACC classes by time in care</w:t>
      </w:r>
      <w:bookmarkEnd w:id="67"/>
    </w:p>
    <w:p w:rsidR="00560D6E" w:rsidRDefault="00560D6E" w:rsidP="00331160">
      <w:pPr>
        <w:spacing w:before="120" w:after="120"/>
      </w:pPr>
      <w:r w:rsidRPr="00560D6E">
        <w:rPr>
          <w:noProof/>
        </w:rPr>
        <w:drawing>
          <wp:inline distT="0" distB="0" distL="0" distR="0" wp14:anchorId="76B33961" wp14:editId="54AD2351">
            <wp:extent cx="5526000" cy="3312000"/>
            <wp:effectExtent l="0" t="0" r="0" b="3175"/>
            <wp:docPr id="1" name="Picture 1" descr="Figure 4 shows the distribution of AN-ACC classes by time in care. The most striking difference between the groups defined by time in care is that those in care the longest are more likely to fall into the more complex and costly classes (generally the higher-numbered classes)." title="Figure 4 Distribution of AN-ACC classes by time in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26000" cy="3312000"/>
                    </a:xfrm>
                    <a:prstGeom prst="rect">
                      <a:avLst/>
                    </a:prstGeom>
                    <a:noFill/>
                    <a:ln>
                      <a:noFill/>
                    </a:ln>
                  </pic:spPr>
                </pic:pic>
              </a:graphicData>
            </a:graphic>
          </wp:inline>
        </w:drawing>
      </w:r>
    </w:p>
    <w:p w:rsidR="00AF5CE4" w:rsidRDefault="00B5050A" w:rsidP="00BE3CB8">
      <w:pPr>
        <w:pStyle w:val="Normal-nospacing"/>
      </w:pPr>
      <w:r>
        <w:t xml:space="preserve">From </w:t>
      </w:r>
      <w:r>
        <w:fldChar w:fldCharType="begin"/>
      </w:r>
      <w:r>
        <w:instrText xml:space="preserve"> REF _Ref535528031 \h </w:instrText>
      </w:r>
      <w:r w:rsidR="00BE3CB8">
        <w:instrText xml:space="preserve"> \* MERGEFORMAT </w:instrText>
      </w:r>
      <w:r>
        <w:fldChar w:fldCharType="separate"/>
      </w:r>
      <w:r w:rsidR="00785B04">
        <w:t xml:space="preserve">Table </w:t>
      </w:r>
      <w:r w:rsidR="00785B04">
        <w:rPr>
          <w:noProof/>
        </w:rPr>
        <w:t>5</w:t>
      </w:r>
      <w:r>
        <w:fldChar w:fldCharType="end"/>
      </w:r>
      <w:r>
        <w:t>, it can be seen that under both funding models, residents in care for six months or more</w:t>
      </w:r>
      <w:r w:rsidR="005B3F0A">
        <w:t xml:space="preserve"> </w:t>
      </w:r>
      <w:r>
        <w:t>attract</w:t>
      </w:r>
      <w:r w:rsidR="00106A3B">
        <w:t xml:space="preserve">, on average, </w:t>
      </w:r>
      <w:r>
        <w:t xml:space="preserve">higher payments compared to those who have been in for a shorter period of time. This is consistent with the finding above </w:t>
      </w:r>
      <w:r w:rsidR="00106A3B">
        <w:t xml:space="preserve">i.e., </w:t>
      </w:r>
      <w:r>
        <w:t xml:space="preserve">that more of this longer-staying group </w:t>
      </w:r>
      <w:r w:rsidR="00106A3B">
        <w:t>are</w:t>
      </w:r>
      <w:r>
        <w:t xml:space="preserve"> in the more complex classes. It should be noted that the vast majority of residents in the sample </w:t>
      </w:r>
      <w:r w:rsidR="00106A3B">
        <w:t>are</w:t>
      </w:r>
      <w:r>
        <w:t xml:space="preserve"> in this longest-staying group.</w:t>
      </w:r>
      <w:r w:rsidR="00AF5CE4">
        <w:br w:type="page"/>
      </w:r>
    </w:p>
    <w:p w:rsidR="00090460" w:rsidRPr="00AF5CE4" w:rsidRDefault="00090460" w:rsidP="00331160">
      <w:pPr>
        <w:spacing w:before="120" w:after="120"/>
        <w:rPr>
          <w:sz w:val="4"/>
          <w:szCs w:val="4"/>
        </w:rPr>
      </w:pPr>
    </w:p>
    <w:p w:rsidR="00236618" w:rsidRDefault="005F6065" w:rsidP="005F6065">
      <w:pPr>
        <w:pStyle w:val="Caption"/>
      </w:pPr>
      <w:bookmarkStart w:id="68" w:name="_Ref535528031"/>
      <w:bookmarkStart w:id="69" w:name="_Toc953897"/>
      <w:r>
        <w:t xml:space="preserve">Table </w:t>
      </w:r>
      <w:r w:rsidR="00E949FA">
        <w:rPr>
          <w:noProof/>
        </w:rPr>
        <w:fldChar w:fldCharType="begin"/>
      </w:r>
      <w:r w:rsidR="00E949FA">
        <w:rPr>
          <w:noProof/>
        </w:rPr>
        <w:instrText xml:space="preserve"> SEQ Table \* ARABIC </w:instrText>
      </w:r>
      <w:r w:rsidR="00E949FA">
        <w:rPr>
          <w:noProof/>
        </w:rPr>
        <w:fldChar w:fldCharType="separate"/>
      </w:r>
      <w:r w:rsidR="00785B04">
        <w:rPr>
          <w:noProof/>
        </w:rPr>
        <w:t>5</w:t>
      </w:r>
      <w:r w:rsidR="00E949FA">
        <w:rPr>
          <w:noProof/>
        </w:rPr>
        <w:fldChar w:fldCharType="end"/>
      </w:r>
      <w:bookmarkEnd w:id="68"/>
      <w:r w:rsidR="00341AF1">
        <w:rPr>
          <w:noProof/>
        </w:rPr>
        <w:t xml:space="preserve"> </w:t>
      </w:r>
      <w:r>
        <w:tab/>
        <w:t>Payment relativities by time in care</w:t>
      </w:r>
      <w:bookmarkEnd w:id="69"/>
    </w:p>
    <w:tbl>
      <w:tblPr>
        <w:tblW w:w="8926" w:type="dxa"/>
        <w:tblInd w:w="113" w:type="dxa"/>
        <w:tblLook w:val="04A0" w:firstRow="1" w:lastRow="0" w:firstColumn="1" w:lastColumn="0" w:noHBand="0" w:noVBand="1"/>
        <w:tblCaption w:val="Table 5  Payment relativities by time in care"/>
        <w:tblDescription w:val="Table 5 shows payment relativities by time in care for AN-ACC and ACFI. It can be seen that under both funding models, residents in care for six months or more attract, on average, higher payments compared to those who have been in for a shorter period of time. This table is to be read as a series of rows from left to right ('time in care' then 'number of facilities' then 'number of residents' then 'AN-ACC NWAU per occupied bed day' then 'ACFI weight per occupied bed day'), top to bottom."/>
      </w:tblPr>
      <w:tblGrid>
        <w:gridCol w:w="1696"/>
        <w:gridCol w:w="1843"/>
        <w:gridCol w:w="1701"/>
        <w:gridCol w:w="1843"/>
        <w:gridCol w:w="1843"/>
      </w:tblGrid>
      <w:tr w:rsidR="00090460" w:rsidRPr="00090460" w:rsidTr="00B93566">
        <w:trPr>
          <w:trHeight w:val="854"/>
          <w:tblHeader/>
        </w:trPr>
        <w:tc>
          <w:tcPr>
            <w:tcW w:w="1696" w:type="dxa"/>
            <w:tcBorders>
              <w:top w:val="single" w:sz="4" w:space="0" w:color="auto"/>
              <w:left w:val="single" w:sz="4" w:space="0" w:color="auto"/>
              <w:bottom w:val="single" w:sz="4" w:space="0" w:color="auto"/>
              <w:right w:val="single" w:sz="4" w:space="0" w:color="auto"/>
            </w:tcBorders>
            <w:shd w:val="clear" w:color="auto" w:fill="auto"/>
            <w:noWrap/>
            <w:hideMark/>
          </w:tcPr>
          <w:p w:rsidR="00090460" w:rsidRPr="00090460" w:rsidRDefault="00090460" w:rsidP="002E6AC6">
            <w:pPr>
              <w:spacing w:before="80" w:after="80"/>
              <w:rPr>
                <w:rFonts w:ascii="Calibri" w:hAnsi="Calibri" w:cs="Calibri"/>
                <w:b/>
                <w:color w:val="000000"/>
                <w:sz w:val="22"/>
                <w:szCs w:val="22"/>
              </w:rPr>
            </w:pPr>
            <w:r w:rsidRPr="00090460">
              <w:rPr>
                <w:rFonts w:ascii="Calibri" w:hAnsi="Calibri" w:cs="Calibri"/>
                <w:b/>
                <w:color w:val="000000"/>
                <w:sz w:val="22"/>
                <w:szCs w:val="22"/>
              </w:rPr>
              <w:t>Time in Care</w:t>
            </w:r>
          </w:p>
        </w:tc>
        <w:tc>
          <w:tcPr>
            <w:tcW w:w="1843" w:type="dxa"/>
            <w:tcBorders>
              <w:top w:val="single" w:sz="4" w:space="0" w:color="auto"/>
              <w:left w:val="nil"/>
              <w:bottom w:val="single" w:sz="4" w:space="0" w:color="auto"/>
              <w:right w:val="single" w:sz="4" w:space="0" w:color="auto"/>
            </w:tcBorders>
            <w:shd w:val="clear" w:color="auto" w:fill="auto"/>
            <w:hideMark/>
          </w:tcPr>
          <w:p w:rsidR="00090460" w:rsidRPr="00090460" w:rsidRDefault="00090460" w:rsidP="002E6AC6">
            <w:pPr>
              <w:spacing w:before="80" w:after="80"/>
              <w:jc w:val="right"/>
              <w:rPr>
                <w:rFonts w:ascii="Calibri" w:hAnsi="Calibri" w:cs="Calibri"/>
                <w:b/>
                <w:color w:val="000000"/>
                <w:sz w:val="22"/>
                <w:szCs w:val="22"/>
              </w:rPr>
            </w:pPr>
            <w:r w:rsidRPr="00090460">
              <w:rPr>
                <w:rFonts w:ascii="Calibri" w:hAnsi="Calibri" w:cs="Calibri"/>
                <w:b/>
                <w:color w:val="000000"/>
                <w:sz w:val="22"/>
                <w:szCs w:val="22"/>
              </w:rPr>
              <w:t>No. of Facilities</w:t>
            </w:r>
          </w:p>
        </w:tc>
        <w:tc>
          <w:tcPr>
            <w:tcW w:w="1701" w:type="dxa"/>
            <w:tcBorders>
              <w:top w:val="single" w:sz="4" w:space="0" w:color="auto"/>
              <w:left w:val="nil"/>
              <w:bottom w:val="single" w:sz="4" w:space="0" w:color="auto"/>
              <w:right w:val="single" w:sz="4" w:space="0" w:color="auto"/>
            </w:tcBorders>
            <w:shd w:val="clear" w:color="auto" w:fill="auto"/>
            <w:hideMark/>
          </w:tcPr>
          <w:p w:rsidR="00090460" w:rsidRPr="00090460" w:rsidRDefault="00090460" w:rsidP="002E6AC6">
            <w:pPr>
              <w:spacing w:before="80" w:after="80"/>
              <w:jc w:val="right"/>
              <w:rPr>
                <w:rFonts w:ascii="Calibri" w:hAnsi="Calibri" w:cs="Calibri"/>
                <w:b/>
                <w:color w:val="000000"/>
                <w:sz w:val="22"/>
                <w:szCs w:val="22"/>
              </w:rPr>
            </w:pPr>
            <w:r w:rsidRPr="00090460">
              <w:rPr>
                <w:rFonts w:ascii="Calibri" w:hAnsi="Calibri" w:cs="Calibri"/>
                <w:b/>
                <w:color w:val="000000"/>
                <w:sz w:val="22"/>
                <w:szCs w:val="22"/>
              </w:rPr>
              <w:t>No. of Residents</w:t>
            </w:r>
          </w:p>
        </w:tc>
        <w:tc>
          <w:tcPr>
            <w:tcW w:w="1843" w:type="dxa"/>
            <w:tcBorders>
              <w:top w:val="single" w:sz="4" w:space="0" w:color="auto"/>
              <w:left w:val="nil"/>
              <w:bottom w:val="single" w:sz="4" w:space="0" w:color="auto"/>
              <w:right w:val="single" w:sz="4" w:space="0" w:color="auto"/>
            </w:tcBorders>
            <w:shd w:val="clear" w:color="auto" w:fill="auto"/>
            <w:hideMark/>
          </w:tcPr>
          <w:p w:rsidR="00106A3B" w:rsidRDefault="00B5050A" w:rsidP="00106A3B">
            <w:pPr>
              <w:spacing w:before="80" w:after="80"/>
              <w:jc w:val="right"/>
              <w:rPr>
                <w:rFonts w:ascii="Calibri" w:hAnsi="Calibri" w:cs="Calibri"/>
                <w:b/>
                <w:color w:val="000000"/>
                <w:sz w:val="22"/>
                <w:szCs w:val="22"/>
              </w:rPr>
            </w:pPr>
            <w:r>
              <w:rPr>
                <w:rFonts w:ascii="Calibri" w:hAnsi="Calibri" w:cs="Calibri"/>
                <w:b/>
                <w:color w:val="000000"/>
                <w:sz w:val="22"/>
                <w:szCs w:val="22"/>
              </w:rPr>
              <w:t>AN-ACC</w:t>
            </w:r>
            <w:r w:rsidR="00106A3B">
              <w:rPr>
                <w:rFonts w:ascii="Calibri" w:hAnsi="Calibri" w:cs="Calibri"/>
                <w:b/>
                <w:color w:val="000000"/>
                <w:sz w:val="22"/>
                <w:szCs w:val="22"/>
              </w:rPr>
              <w:t xml:space="preserve"> </w:t>
            </w:r>
          </w:p>
          <w:p w:rsidR="00090460" w:rsidRPr="00090460" w:rsidRDefault="00090460" w:rsidP="00106A3B">
            <w:pPr>
              <w:spacing w:before="80" w:after="80"/>
              <w:jc w:val="right"/>
              <w:rPr>
                <w:rFonts w:ascii="Calibri" w:hAnsi="Calibri" w:cs="Calibri"/>
                <w:b/>
                <w:color w:val="000000"/>
                <w:sz w:val="22"/>
                <w:szCs w:val="22"/>
              </w:rPr>
            </w:pPr>
            <w:r w:rsidRPr="00090460">
              <w:rPr>
                <w:rFonts w:ascii="Calibri" w:hAnsi="Calibri" w:cs="Calibri"/>
                <w:b/>
                <w:color w:val="000000"/>
                <w:sz w:val="22"/>
                <w:szCs w:val="22"/>
              </w:rPr>
              <w:t>NWAU per occupied bed day</w:t>
            </w:r>
          </w:p>
        </w:tc>
        <w:tc>
          <w:tcPr>
            <w:tcW w:w="1843" w:type="dxa"/>
            <w:tcBorders>
              <w:top w:val="single" w:sz="4" w:space="0" w:color="auto"/>
              <w:left w:val="nil"/>
              <w:bottom w:val="single" w:sz="4" w:space="0" w:color="auto"/>
              <w:right w:val="single" w:sz="4" w:space="0" w:color="auto"/>
            </w:tcBorders>
            <w:shd w:val="clear" w:color="auto" w:fill="auto"/>
            <w:hideMark/>
          </w:tcPr>
          <w:p w:rsidR="00106A3B" w:rsidRDefault="00090460" w:rsidP="002E6AC6">
            <w:pPr>
              <w:spacing w:before="80" w:after="80"/>
              <w:jc w:val="right"/>
              <w:rPr>
                <w:rFonts w:ascii="Calibri" w:hAnsi="Calibri" w:cs="Calibri"/>
                <w:b/>
                <w:color w:val="000000"/>
                <w:sz w:val="22"/>
                <w:szCs w:val="22"/>
              </w:rPr>
            </w:pPr>
            <w:r w:rsidRPr="00090460">
              <w:rPr>
                <w:rFonts w:ascii="Calibri" w:hAnsi="Calibri" w:cs="Calibri"/>
                <w:b/>
                <w:color w:val="000000"/>
                <w:sz w:val="22"/>
                <w:szCs w:val="22"/>
              </w:rPr>
              <w:t xml:space="preserve">ACFI </w:t>
            </w:r>
          </w:p>
          <w:p w:rsidR="00090460" w:rsidRPr="00090460" w:rsidRDefault="00090460" w:rsidP="002E6AC6">
            <w:pPr>
              <w:spacing w:before="80" w:after="80"/>
              <w:jc w:val="right"/>
              <w:rPr>
                <w:rFonts w:ascii="Calibri" w:hAnsi="Calibri" w:cs="Calibri"/>
                <w:b/>
                <w:color w:val="000000"/>
                <w:sz w:val="22"/>
                <w:szCs w:val="22"/>
              </w:rPr>
            </w:pPr>
            <w:r w:rsidRPr="00090460">
              <w:rPr>
                <w:rFonts w:ascii="Calibri" w:hAnsi="Calibri" w:cs="Calibri"/>
                <w:b/>
                <w:color w:val="000000"/>
                <w:sz w:val="22"/>
                <w:szCs w:val="22"/>
              </w:rPr>
              <w:t>Weight per occupied bed day</w:t>
            </w:r>
          </w:p>
        </w:tc>
      </w:tr>
      <w:tr w:rsidR="00090460" w:rsidRPr="00090460" w:rsidTr="000904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090460" w:rsidRPr="00090460" w:rsidRDefault="00090460" w:rsidP="002E6AC6">
            <w:pPr>
              <w:spacing w:before="80" w:after="80"/>
              <w:rPr>
                <w:rFonts w:ascii="Calibri" w:hAnsi="Calibri" w:cs="Calibri"/>
                <w:color w:val="000000"/>
                <w:sz w:val="22"/>
                <w:szCs w:val="22"/>
              </w:rPr>
            </w:pPr>
            <w:r w:rsidRPr="00090460">
              <w:rPr>
                <w:rFonts w:ascii="Calibri" w:hAnsi="Calibri" w:cs="Calibri"/>
                <w:color w:val="000000"/>
                <w:sz w:val="22"/>
                <w:szCs w:val="22"/>
              </w:rPr>
              <w:t>≤ 89 days</w:t>
            </w:r>
          </w:p>
        </w:tc>
        <w:tc>
          <w:tcPr>
            <w:tcW w:w="1843" w:type="dxa"/>
            <w:tcBorders>
              <w:top w:val="nil"/>
              <w:left w:val="nil"/>
              <w:bottom w:val="single" w:sz="4" w:space="0" w:color="auto"/>
              <w:right w:val="single" w:sz="4" w:space="0" w:color="auto"/>
            </w:tcBorders>
            <w:shd w:val="clear" w:color="auto" w:fill="auto"/>
            <w:noWrap/>
            <w:vAlign w:val="bottom"/>
            <w:hideMark/>
          </w:tcPr>
          <w:p w:rsidR="00090460" w:rsidRPr="00090460" w:rsidRDefault="00090460" w:rsidP="002E6AC6">
            <w:pPr>
              <w:spacing w:before="80" w:after="80"/>
              <w:jc w:val="right"/>
              <w:rPr>
                <w:rFonts w:ascii="Calibri" w:hAnsi="Calibri" w:cs="Calibri"/>
                <w:color w:val="000000"/>
                <w:sz w:val="22"/>
                <w:szCs w:val="22"/>
              </w:rPr>
            </w:pPr>
            <w:r w:rsidRPr="00090460">
              <w:rPr>
                <w:rFonts w:ascii="Calibri" w:hAnsi="Calibri" w:cs="Calibri"/>
                <w:color w:val="000000"/>
                <w:sz w:val="22"/>
                <w:szCs w:val="22"/>
              </w:rPr>
              <w:t>52</w:t>
            </w:r>
          </w:p>
        </w:tc>
        <w:tc>
          <w:tcPr>
            <w:tcW w:w="1701" w:type="dxa"/>
            <w:tcBorders>
              <w:top w:val="nil"/>
              <w:left w:val="nil"/>
              <w:bottom w:val="single" w:sz="4" w:space="0" w:color="auto"/>
              <w:right w:val="single" w:sz="4" w:space="0" w:color="auto"/>
            </w:tcBorders>
            <w:shd w:val="clear" w:color="auto" w:fill="auto"/>
            <w:noWrap/>
            <w:vAlign w:val="bottom"/>
            <w:hideMark/>
          </w:tcPr>
          <w:p w:rsidR="00090460" w:rsidRPr="00090460" w:rsidRDefault="00090460" w:rsidP="002E6AC6">
            <w:pPr>
              <w:spacing w:before="80" w:after="80"/>
              <w:jc w:val="right"/>
              <w:rPr>
                <w:rFonts w:ascii="Calibri" w:hAnsi="Calibri" w:cs="Calibri"/>
                <w:color w:val="000000"/>
                <w:sz w:val="22"/>
                <w:szCs w:val="22"/>
              </w:rPr>
            </w:pPr>
            <w:r w:rsidRPr="00090460">
              <w:rPr>
                <w:rFonts w:ascii="Calibri" w:hAnsi="Calibri" w:cs="Calibri"/>
                <w:color w:val="000000"/>
                <w:sz w:val="22"/>
                <w:szCs w:val="22"/>
              </w:rPr>
              <w:t>124</w:t>
            </w:r>
          </w:p>
        </w:tc>
        <w:tc>
          <w:tcPr>
            <w:tcW w:w="1843" w:type="dxa"/>
            <w:tcBorders>
              <w:top w:val="nil"/>
              <w:left w:val="nil"/>
              <w:bottom w:val="single" w:sz="4" w:space="0" w:color="auto"/>
              <w:right w:val="single" w:sz="4" w:space="0" w:color="auto"/>
            </w:tcBorders>
            <w:shd w:val="clear" w:color="auto" w:fill="auto"/>
            <w:noWrap/>
            <w:vAlign w:val="bottom"/>
            <w:hideMark/>
          </w:tcPr>
          <w:p w:rsidR="00090460" w:rsidRPr="00090460" w:rsidRDefault="00090460" w:rsidP="002E6AC6">
            <w:pPr>
              <w:spacing w:before="80" w:after="80"/>
              <w:jc w:val="right"/>
              <w:rPr>
                <w:rFonts w:ascii="Calibri" w:hAnsi="Calibri" w:cs="Calibri"/>
                <w:color w:val="000000"/>
                <w:sz w:val="22"/>
                <w:szCs w:val="22"/>
              </w:rPr>
            </w:pPr>
            <w:r w:rsidRPr="00090460">
              <w:rPr>
                <w:rFonts w:ascii="Calibri" w:hAnsi="Calibri" w:cs="Calibri"/>
                <w:color w:val="000000"/>
                <w:sz w:val="22"/>
                <w:szCs w:val="22"/>
              </w:rPr>
              <w:t>0.95</w:t>
            </w:r>
          </w:p>
        </w:tc>
        <w:tc>
          <w:tcPr>
            <w:tcW w:w="1843" w:type="dxa"/>
            <w:tcBorders>
              <w:top w:val="nil"/>
              <w:left w:val="nil"/>
              <w:bottom w:val="single" w:sz="4" w:space="0" w:color="auto"/>
              <w:right w:val="single" w:sz="4" w:space="0" w:color="auto"/>
            </w:tcBorders>
            <w:shd w:val="clear" w:color="auto" w:fill="auto"/>
            <w:noWrap/>
            <w:vAlign w:val="bottom"/>
            <w:hideMark/>
          </w:tcPr>
          <w:p w:rsidR="00090460" w:rsidRPr="00090460" w:rsidRDefault="00090460" w:rsidP="002E6AC6">
            <w:pPr>
              <w:spacing w:before="80" w:after="80"/>
              <w:jc w:val="right"/>
              <w:rPr>
                <w:rFonts w:ascii="Calibri" w:hAnsi="Calibri" w:cs="Calibri"/>
                <w:color w:val="000000"/>
                <w:sz w:val="22"/>
                <w:szCs w:val="22"/>
              </w:rPr>
            </w:pPr>
            <w:r w:rsidRPr="00090460">
              <w:rPr>
                <w:rFonts w:ascii="Calibri" w:hAnsi="Calibri" w:cs="Calibri"/>
                <w:color w:val="000000"/>
                <w:sz w:val="22"/>
                <w:szCs w:val="22"/>
              </w:rPr>
              <w:t>0.92</w:t>
            </w:r>
          </w:p>
        </w:tc>
      </w:tr>
      <w:tr w:rsidR="00090460" w:rsidRPr="00090460" w:rsidTr="000904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090460" w:rsidRPr="00090460" w:rsidRDefault="00090460" w:rsidP="002E6AC6">
            <w:pPr>
              <w:spacing w:before="80" w:after="80"/>
              <w:rPr>
                <w:rFonts w:ascii="Calibri" w:hAnsi="Calibri" w:cs="Calibri"/>
                <w:color w:val="000000"/>
                <w:sz w:val="22"/>
                <w:szCs w:val="22"/>
              </w:rPr>
            </w:pPr>
            <w:r w:rsidRPr="00090460">
              <w:rPr>
                <w:rFonts w:ascii="Calibri" w:hAnsi="Calibri" w:cs="Calibri"/>
                <w:color w:val="000000"/>
                <w:sz w:val="22"/>
                <w:szCs w:val="22"/>
              </w:rPr>
              <w:t>90-180 days</w:t>
            </w:r>
          </w:p>
        </w:tc>
        <w:tc>
          <w:tcPr>
            <w:tcW w:w="1843" w:type="dxa"/>
            <w:tcBorders>
              <w:top w:val="nil"/>
              <w:left w:val="nil"/>
              <w:bottom w:val="single" w:sz="4" w:space="0" w:color="auto"/>
              <w:right w:val="single" w:sz="4" w:space="0" w:color="auto"/>
            </w:tcBorders>
            <w:shd w:val="clear" w:color="auto" w:fill="auto"/>
            <w:noWrap/>
            <w:vAlign w:val="bottom"/>
            <w:hideMark/>
          </w:tcPr>
          <w:p w:rsidR="00090460" w:rsidRPr="00090460" w:rsidRDefault="00090460" w:rsidP="002E6AC6">
            <w:pPr>
              <w:spacing w:before="80" w:after="80"/>
              <w:jc w:val="right"/>
              <w:rPr>
                <w:rFonts w:ascii="Calibri" w:hAnsi="Calibri" w:cs="Calibri"/>
                <w:color w:val="000000"/>
                <w:sz w:val="22"/>
                <w:szCs w:val="22"/>
              </w:rPr>
            </w:pPr>
            <w:r w:rsidRPr="00090460">
              <w:rPr>
                <w:rFonts w:ascii="Calibri" w:hAnsi="Calibri" w:cs="Calibri"/>
                <w:color w:val="000000"/>
                <w:sz w:val="22"/>
                <w:szCs w:val="22"/>
              </w:rPr>
              <w:t>69</w:t>
            </w:r>
          </w:p>
        </w:tc>
        <w:tc>
          <w:tcPr>
            <w:tcW w:w="1701" w:type="dxa"/>
            <w:tcBorders>
              <w:top w:val="nil"/>
              <w:left w:val="nil"/>
              <w:bottom w:val="single" w:sz="4" w:space="0" w:color="auto"/>
              <w:right w:val="single" w:sz="4" w:space="0" w:color="auto"/>
            </w:tcBorders>
            <w:shd w:val="clear" w:color="auto" w:fill="auto"/>
            <w:noWrap/>
            <w:vAlign w:val="bottom"/>
            <w:hideMark/>
          </w:tcPr>
          <w:p w:rsidR="00090460" w:rsidRPr="00090460" w:rsidRDefault="00090460" w:rsidP="002E6AC6">
            <w:pPr>
              <w:spacing w:before="80" w:after="80"/>
              <w:jc w:val="right"/>
              <w:rPr>
                <w:rFonts w:ascii="Calibri" w:hAnsi="Calibri" w:cs="Calibri"/>
                <w:color w:val="000000"/>
                <w:sz w:val="22"/>
                <w:szCs w:val="22"/>
              </w:rPr>
            </w:pPr>
            <w:r w:rsidRPr="00090460">
              <w:rPr>
                <w:rFonts w:ascii="Calibri" w:hAnsi="Calibri" w:cs="Calibri"/>
                <w:color w:val="000000"/>
                <w:sz w:val="22"/>
                <w:szCs w:val="22"/>
              </w:rPr>
              <w:t>245</w:t>
            </w:r>
          </w:p>
        </w:tc>
        <w:tc>
          <w:tcPr>
            <w:tcW w:w="1843" w:type="dxa"/>
            <w:tcBorders>
              <w:top w:val="nil"/>
              <w:left w:val="nil"/>
              <w:bottom w:val="single" w:sz="4" w:space="0" w:color="auto"/>
              <w:right w:val="single" w:sz="4" w:space="0" w:color="auto"/>
            </w:tcBorders>
            <w:shd w:val="clear" w:color="auto" w:fill="auto"/>
            <w:noWrap/>
            <w:vAlign w:val="bottom"/>
            <w:hideMark/>
          </w:tcPr>
          <w:p w:rsidR="00090460" w:rsidRPr="00090460" w:rsidRDefault="00090460" w:rsidP="002E6AC6">
            <w:pPr>
              <w:spacing w:before="80" w:after="80"/>
              <w:jc w:val="right"/>
              <w:rPr>
                <w:rFonts w:ascii="Calibri" w:hAnsi="Calibri" w:cs="Calibri"/>
                <w:color w:val="000000"/>
                <w:sz w:val="22"/>
                <w:szCs w:val="22"/>
              </w:rPr>
            </w:pPr>
            <w:r w:rsidRPr="00090460">
              <w:rPr>
                <w:rFonts w:ascii="Calibri" w:hAnsi="Calibri" w:cs="Calibri"/>
                <w:color w:val="000000"/>
                <w:sz w:val="22"/>
                <w:szCs w:val="22"/>
              </w:rPr>
              <w:t>0.94</w:t>
            </w:r>
          </w:p>
        </w:tc>
        <w:tc>
          <w:tcPr>
            <w:tcW w:w="1843" w:type="dxa"/>
            <w:tcBorders>
              <w:top w:val="nil"/>
              <w:left w:val="nil"/>
              <w:bottom w:val="single" w:sz="4" w:space="0" w:color="auto"/>
              <w:right w:val="single" w:sz="4" w:space="0" w:color="auto"/>
            </w:tcBorders>
            <w:shd w:val="clear" w:color="auto" w:fill="auto"/>
            <w:noWrap/>
            <w:vAlign w:val="bottom"/>
            <w:hideMark/>
          </w:tcPr>
          <w:p w:rsidR="00090460" w:rsidRPr="00090460" w:rsidRDefault="00090460" w:rsidP="002E6AC6">
            <w:pPr>
              <w:spacing w:before="80" w:after="80"/>
              <w:jc w:val="right"/>
              <w:rPr>
                <w:rFonts w:ascii="Calibri" w:hAnsi="Calibri" w:cs="Calibri"/>
                <w:color w:val="000000"/>
                <w:sz w:val="22"/>
                <w:szCs w:val="22"/>
              </w:rPr>
            </w:pPr>
            <w:r w:rsidRPr="00090460">
              <w:rPr>
                <w:rFonts w:ascii="Calibri" w:hAnsi="Calibri" w:cs="Calibri"/>
                <w:color w:val="000000"/>
                <w:sz w:val="22"/>
                <w:szCs w:val="22"/>
              </w:rPr>
              <w:t>0.88</w:t>
            </w:r>
          </w:p>
        </w:tc>
      </w:tr>
      <w:tr w:rsidR="00090460" w:rsidRPr="00090460" w:rsidTr="000904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090460" w:rsidRPr="00090460" w:rsidRDefault="00090460" w:rsidP="002E6AC6">
            <w:pPr>
              <w:spacing w:before="80" w:after="80"/>
              <w:rPr>
                <w:rFonts w:ascii="Calibri" w:hAnsi="Calibri" w:cs="Calibri"/>
                <w:color w:val="000000"/>
                <w:sz w:val="22"/>
                <w:szCs w:val="22"/>
              </w:rPr>
            </w:pPr>
            <w:r w:rsidRPr="00090460">
              <w:rPr>
                <w:rFonts w:ascii="Calibri" w:hAnsi="Calibri" w:cs="Calibri"/>
                <w:color w:val="000000"/>
                <w:sz w:val="22"/>
                <w:szCs w:val="22"/>
              </w:rPr>
              <w:t>≥ 180 days</w:t>
            </w:r>
          </w:p>
        </w:tc>
        <w:tc>
          <w:tcPr>
            <w:tcW w:w="1843" w:type="dxa"/>
            <w:tcBorders>
              <w:top w:val="nil"/>
              <w:left w:val="nil"/>
              <w:bottom w:val="single" w:sz="4" w:space="0" w:color="auto"/>
              <w:right w:val="single" w:sz="4" w:space="0" w:color="auto"/>
            </w:tcBorders>
            <w:shd w:val="clear" w:color="auto" w:fill="auto"/>
            <w:noWrap/>
            <w:vAlign w:val="bottom"/>
            <w:hideMark/>
          </w:tcPr>
          <w:p w:rsidR="00090460" w:rsidRPr="00090460" w:rsidRDefault="00090460" w:rsidP="002E6AC6">
            <w:pPr>
              <w:spacing w:before="80" w:after="80"/>
              <w:jc w:val="right"/>
              <w:rPr>
                <w:rFonts w:ascii="Calibri" w:hAnsi="Calibri" w:cs="Calibri"/>
                <w:color w:val="000000"/>
                <w:sz w:val="22"/>
                <w:szCs w:val="22"/>
              </w:rPr>
            </w:pPr>
            <w:r w:rsidRPr="00090460">
              <w:rPr>
                <w:rFonts w:ascii="Calibri" w:hAnsi="Calibri" w:cs="Calibri"/>
                <w:color w:val="000000"/>
                <w:sz w:val="22"/>
                <w:szCs w:val="22"/>
              </w:rPr>
              <w:t>80</w:t>
            </w:r>
          </w:p>
        </w:tc>
        <w:tc>
          <w:tcPr>
            <w:tcW w:w="1701" w:type="dxa"/>
            <w:tcBorders>
              <w:top w:val="nil"/>
              <w:left w:val="nil"/>
              <w:bottom w:val="single" w:sz="4" w:space="0" w:color="auto"/>
              <w:right w:val="single" w:sz="4" w:space="0" w:color="auto"/>
            </w:tcBorders>
            <w:shd w:val="clear" w:color="auto" w:fill="auto"/>
            <w:noWrap/>
            <w:vAlign w:val="bottom"/>
            <w:hideMark/>
          </w:tcPr>
          <w:p w:rsidR="00090460" w:rsidRPr="00090460" w:rsidRDefault="00090460" w:rsidP="002E6AC6">
            <w:pPr>
              <w:spacing w:before="80" w:after="80"/>
              <w:jc w:val="right"/>
              <w:rPr>
                <w:rFonts w:ascii="Calibri" w:hAnsi="Calibri" w:cs="Calibri"/>
                <w:color w:val="000000"/>
                <w:sz w:val="22"/>
                <w:szCs w:val="22"/>
              </w:rPr>
            </w:pPr>
            <w:r w:rsidRPr="00090460">
              <w:rPr>
                <w:rFonts w:ascii="Calibri" w:hAnsi="Calibri" w:cs="Calibri"/>
                <w:color w:val="000000"/>
                <w:sz w:val="22"/>
                <w:szCs w:val="22"/>
              </w:rPr>
              <w:t>2</w:t>
            </w:r>
            <w:r w:rsidR="00B5050A">
              <w:rPr>
                <w:rFonts w:ascii="Calibri" w:hAnsi="Calibri" w:cs="Calibri"/>
                <w:color w:val="000000"/>
                <w:sz w:val="22"/>
                <w:szCs w:val="22"/>
              </w:rPr>
              <w:t>,</w:t>
            </w:r>
            <w:r w:rsidRPr="00090460">
              <w:rPr>
                <w:rFonts w:ascii="Calibri" w:hAnsi="Calibri" w:cs="Calibri"/>
                <w:color w:val="000000"/>
                <w:sz w:val="22"/>
                <w:szCs w:val="22"/>
              </w:rPr>
              <w:t>775</w:t>
            </w:r>
          </w:p>
        </w:tc>
        <w:tc>
          <w:tcPr>
            <w:tcW w:w="1843" w:type="dxa"/>
            <w:tcBorders>
              <w:top w:val="nil"/>
              <w:left w:val="nil"/>
              <w:bottom w:val="single" w:sz="4" w:space="0" w:color="auto"/>
              <w:right w:val="single" w:sz="4" w:space="0" w:color="auto"/>
            </w:tcBorders>
            <w:shd w:val="clear" w:color="auto" w:fill="auto"/>
            <w:noWrap/>
            <w:vAlign w:val="bottom"/>
            <w:hideMark/>
          </w:tcPr>
          <w:p w:rsidR="00090460" w:rsidRPr="00090460" w:rsidRDefault="00090460" w:rsidP="002E6AC6">
            <w:pPr>
              <w:spacing w:before="80" w:after="80"/>
              <w:jc w:val="right"/>
              <w:rPr>
                <w:rFonts w:ascii="Calibri" w:hAnsi="Calibri" w:cs="Calibri"/>
                <w:color w:val="000000"/>
                <w:sz w:val="22"/>
                <w:szCs w:val="22"/>
              </w:rPr>
            </w:pPr>
            <w:r w:rsidRPr="00090460">
              <w:rPr>
                <w:rFonts w:ascii="Calibri" w:hAnsi="Calibri" w:cs="Calibri"/>
                <w:color w:val="000000"/>
                <w:sz w:val="22"/>
                <w:szCs w:val="22"/>
              </w:rPr>
              <w:t>1.01</w:t>
            </w:r>
          </w:p>
        </w:tc>
        <w:tc>
          <w:tcPr>
            <w:tcW w:w="1843" w:type="dxa"/>
            <w:tcBorders>
              <w:top w:val="nil"/>
              <w:left w:val="nil"/>
              <w:bottom w:val="single" w:sz="4" w:space="0" w:color="auto"/>
              <w:right w:val="single" w:sz="4" w:space="0" w:color="auto"/>
            </w:tcBorders>
            <w:shd w:val="clear" w:color="auto" w:fill="auto"/>
            <w:noWrap/>
            <w:vAlign w:val="bottom"/>
            <w:hideMark/>
          </w:tcPr>
          <w:p w:rsidR="00090460" w:rsidRPr="00090460" w:rsidRDefault="00090460" w:rsidP="002E6AC6">
            <w:pPr>
              <w:spacing w:before="80" w:after="80"/>
              <w:jc w:val="right"/>
              <w:rPr>
                <w:rFonts w:ascii="Calibri" w:hAnsi="Calibri" w:cs="Calibri"/>
                <w:color w:val="000000"/>
                <w:sz w:val="22"/>
                <w:szCs w:val="22"/>
              </w:rPr>
            </w:pPr>
            <w:r w:rsidRPr="00090460">
              <w:rPr>
                <w:rFonts w:ascii="Calibri" w:hAnsi="Calibri" w:cs="Calibri"/>
                <w:color w:val="000000"/>
                <w:sz w:val="22"/>
                <w:szCs w:val="22"/>
              </w:rPr>
              <w:t>1.01</w:t>
            </w:r>
          </w:p>
        </w:tc>
      </w:tr>
      <w:tr w:rsidR="00090460" w:rsidRPr="00090460" w:rsidTr="000904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090460" w:rsidRPr="00090460" w:rsidRDefault="00090460" w:rsidP="002E6AC6">
            <w:pPr>
              <w:spacing w:before="80" w:after="80"/>
              <w:rPr>
                <w:rFonts w:ascii="Calibri" w:hAnsi="Calibri" w:cs="Calibri"/>
                <w:color w:val="000000"/>
                <w:sz w:val="22"/>
                <w:szCs w:val="22"/>
              </w:rPr>
            </w:pPr>
            <w:r w:rsidRPr="00090460">
              <w:rPr>
                <w:rFonts w:ascii="Calibri" w:hAnsi="Calibri" w:cs="Calibri"/>
                <w:color w:val="000000"/>
                <w:sz w:val="22"/>
                <w:szCs w:val="22"/>
              </w:rPr>
              <w:t>missing</w:t>
            </w:r>
          </w:p>
        </w:tc>
        <w:tc>
          <w:tcPr>
            <w:tcW w:w="1843" w:type="dxa"/>
            <w:tcBorders>
              <w:top w:val="nil"/>
              <w:left w:val="nil"/>
              <w:bottom w:val="single" w:sz="4" w:space="0" w:color="auto"/>
              <w:right w:val="single" w:sz="4" w:space="0" w:color="auto"/>
            </w:tcBorders>
            <w:shd w:val="clear" w:color="auto" w:fill="auto"/>
            <w:noWrap/>
            <w:vAlign w:val="bottom"/>
            <w:hideMark/>
          </w:tcPr>
          <w:p w:rsidR="00090460" w:rsidRPr="00090460" w:rsidRDefault="00090460" w:rsidP="002E6AC6">
            <w:pPr>
              <w:spacing w:before="80" w:after="80"/>
              <w:jc w:val="right"/>
              <w:rPr>
                <w:rFonts w:ascii="Calibri" w:hAnsi="Calibri" w:cs="Calibri"/>
                <w:color w:val="000000"/>
                <w:sz w:val="22"/>
                <w:szCs w:val="22"/>
              </w:rPr>
            </w:pPr>
            <w:r w:rsidRPr="00090460">
              <w:rPr>
                <w:rFonts w:ascii="Calibri" w:hAnsi="Calibri" w:cs="Calibri"/>
                <w:color w:val="000000"/>
                <w:sz w:val="22"/>
                <w:szCs w:val="22"/>
              </w:rPr>
              <w:t>3</w:t>
            </w:r>
          </w:p>
        </w:tc>
        <w:tc>
          <w:tcPr>
            <w:tcW w:w="1701" w:type="dxa"/>
            <w:tcBorders>
              <w:top w:val="nil"/>
              <w:left w:val="nil"/>
              <w:bottom w:val="single" w:sz="4" w:space="0" w:color="auto"/>
              <w:right w:val="single" w:sz="4" w:space="0" w:color="auto"/>
            </w:tcBorders>
            <w:shd w:val="clear" w:color="auto" w:fill="auto"/>
            <w:noWrap/>
            <w:vAlign w:val="bottom"/>
            <w:hideMark/>
          </w:tcPr>
          <w:p w:rsidR="00090460" w:rsidRPr="00090460" w:rsidRDefault="00090460" w:rsidP="002E6AC6">
            <w:pPr>
              <w:spacing w:before="80" w:after="80"/>
              <w:jc w:val="right"/>
              <w:rPr>
                <w:rFonts w:ascii="Calibri" w:hAnsi="Calibri" w:cs="Calibri"/>
                <w:color w:val="000000"/>
                <w:sz w:val="22"/>
                <w:szCs w:val="22"/>
              </w:rPr>
            </w:pPr>
            <w:r w:rsidRPr="00090460">
              <w:rPr>
                <w:rFonts w:ascii="Calibri" w:hAnsi="Calibri" w:cs="Calibri"/>
                <w:color w:val="000000"/>
                <w:sz w:val="22"/>
                <w:szCs w:val="22"/>
              </w:rPr>
              <w:t>4</w:t>
            </w:r>
          </w:p>
        </w:tc>
        <w:tc>
          <w:tcPr>
            <w:tcW w:w="1843" w:type="dxa"/>
            <w:tcBorders>
              <w:top w:val="nil"/>
              <w:left w:val="nil"/>
              <w:bottom w:val="single" w:sz="4" w:space="0" w:color="auto"/>
              <w:right w:val="single" w:sz="4" w:space="0" w:color="auto"/>
            </w:tcBorders>
            <w:shd w:val="clear" w:color="auto" w:fill="auto"/>
            <w:noWrap/>
            <w:vAlign w:val="bottom"/>
            <w:hideMark/>
          </w:tcPr>
          <w:p w:rsidR="00090460" w:rsidRPr="00090460" w:rsidRDefault="00090460" w:rsidP="002E6AC6">
            <w:pPr>
              <w:spacing w:before="80" w:after="80"/>
              <w:rPr>
                <w:rFonts w:ascii="Calibri" w:hAnsi="Calibri" w:cs="Calibri"/>
                <w:color w:val="000000"/>
                <w:sz w:val="22"/>
                <w:szCs w:val="22"/>
              </w:rPr>
            </w:pPr>
            <w:r w:rsidRPr="00090460">
              <w:rPr>
                <w:rFonts w:ascii="Calibri" w:hAnsi="Calibri" w:cs="Calibri"/>
                <w:color w:val="000000"/>
                <w:sz w:val="22"/>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090460" w:rsidRPr="00090460" w:rsidRDefault="00090460" w:rsidP="002E6AC6">
            <w:pPr>
              <w:spacing w:before="80" w:after="80"/>
              <w:rPr>
                <w:rFonts w:ascii="Calibri" w:hAnsi="Calibri" w:cs="Calibri"/>
                <w:color w:val="000000"/>
                <w:sz w:val="22"/>
                <w:szCs w:val="22"/>
              </w:rPr>
            </w:pPr>
            <w:r w:rsidRPr="00090460">
              <w:rPr>
                <w:rFonts w:ascii="Calibri" w:hAnsi="Calibri" w:cs="Calibri"/>
                <w:color w:val="000000"/>
                <w:sz w:val="22"/>
                <w:szCs w:val="22"/>
              </w:rPr>
              <w:t> </w:t>
            </w:r>
          </w:p>
        </w:tc>
      </w:tr>
      <w:tr w:rsidR="00090460" w:rsidRPr="00090460" w:rsidTr="000904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090460" w:rsidRPr="00090460" w:rsidRDefault="00090460" w:rsidP="002E6AC6">
            <w:pPr>
              <w:spacing w:before="80" w:after="80"/>
              <w:rPr>
                <w:rFonts w:ascii="Calibri" w:hAnsi="Calibri" w:cs="Calibri"/>
                <w:b/>
                <w:color w:val="000000"/>
                <w:sz w:val="22"/>
                <w:szCs w:val="22"/>
              </w:rPr>
            </w:pPr>
            <w:r w:rsidRPr="00090460">
              <w:rPr>
                <w:rFonts w:ascii="Calibri" w:hAnsi="Calibri" w:cs="Calibri"/>
                <w:b/>
                <w:color w:val="000000"/>
                <w:sz w:val="22"/>
                <w:szCs w:val="22"/>
              </w:rPr>
              <w:t xml:space="preserve">Total </w:t>
            </w:r>
          </w:p>
        </w:tc>
        <w:tc>
          <w:tcPr>
            <w:tcW w:w="1843" w:type="dxa"/>
            <w:tcBorders>
              <w:top w:val="nil"/>
              <w:left w:val="nil"/>
              <w:bottom w:val="single" w:sz="4" w:space="0" w:color="auto"/>
              <w:right w:val="single" w:sz="4" w:space="0" w:color="auto"/>
            </w:tcBorders>
            <w:shd w:val="clear" w:color="auto" w:fill="auto"/>
            <w:noWrap/>
            <w:vAlign w:val="bottom"/>
            <w:hideMark/>
          </w:tcPr>
          <w:p w:rsidR="00090460" w:rsidRPr="00090460" w:rsidRDefault="00090460" w:rsidP="002E6AC6">
            <w:pPr>
              <w:spacing w:before="80" w:after="80"/>
              <w:jc w:val="right"/>
              <w:rPr>
                <w:rFonts w:ascii="Calibri" w:hAnsi="Calibri" w:cs="Calibri"/>
                <w:b/>
                <w:color w:val="000000"/>
                <w:sz w:val="22"/>
                <w:szCs w:val="22"/>
              </w:rPr>
            </w:pPr>
            <w:r w:rsidRPr="00090460">
              <w:rPr>
                <w:rFonts w:ascii="Calibri" w:hAnsi="Calibri" w:cs="Calibri"/>
                <w:b/>
                <w:color w:val="000000"/>
                <w:sz w:val="22"/>
                <w:szCs w:val="22"/>
              </w:rPr>
              <w:t>80</w:t>
            </w:r>
          </w:p>
        </w:tc>
        <w:tc>
          <w:tcPr>
            <w:tcW w:w="1701" w:type="dxa"/>
            <w:tcBorders>
              <w:top w:val="nil"/>
              <w:left w:val="nil"/>
              <w:bottom w:val="single" w:sz="4" w:space="0" w:color="auto"/>
              <w:right w:val="single" w:sz="4" w:space="0" w:color="auto"/>
            </w:tcBorders>
            <w:shd w:val="clear" w:color="auto" w:fill="auto"/>
            <w:noWrap/>
            <w:vAlign w:val="bottom"/>
            <w:hideMark/>
          </w:tcPr>
          <w:p w:rsidR="00090460" w:rsidRPr="00090460" w:rsidRDefault="00090460" w:rsidP="002E6AC6">
            <w:pPr>
              <w:spacing w:before="80" w:after="80"/>
              <w:jc w:val="right"/>
              <w:rPr>
                <w:rFonts w:ascii="Calibri" w:hAnsi="Calibri" w:cs="Calibri"/>
                <w:b/>
                <w:color w:val="000000"/>
                <w:sz w:val="22"/>
                <w:szCs w:val="22"/>
              </w:rPr>
            </w:pPr>
            <w:r w:rsidRPr="00090460">
              <w:rPr>
                <w:rFonts w:ascii="Calibri" w:hAnsi="Calibri" w:cs="Calibri"/>
                <w:b/>
                <w:color w:val="000000"/>
                <w:sz w:val="22"/>
                <w:szCs w:val="22"/>
              </w:rPr>
              <w:t>3</w:t>
            </w:r>
            <w:r w:rsidR="00B5050A">
              <w:rPr>
                <w:rFonts w:ascii="Calibri" w:hAnsi="Calibri" w:cs="Calibri"/>
                <w:b/>
                <w:color w:val="000000"/>
                <w:sz w:val="22"/>
                <w:szCs w:val="22"/>
              </w:rPr>
              <w:t>,</w:t>
            </w:r>
            <w:r w:rsidRPr="00090460">
              <w:rPr>
                <w:rFonts w:ascii="Calibri" w:hAnsi="Calibri" w:cs="Calibri"/>
                <w:b/>
                <w:color w:val="000000"/>
                <w:sz w:val="22"/>
                <w:szCs w:val="22"/>
              </w:rPr>
              <w:t>148</w:t>
            </w:r>
          </w:p>
        </w:tc>
        <w:tc>
          <w:tcPr>
            <w:tcW w:w="1843" w:type="dxa"/>
            <w:tcBorders>
              <w:top w:val="nil"/>
              <w:left w:val="nil"/>
              <w:bottom w:val="single" w:sz="4" w:space="0" w:color="auto"/>
              <w:right w:val="single" w:sz="4" w:space="0" w:color="auto"/>
            </w:tcBorders>
            <w:shd w:val="clear" w:color="auto" w:fill="auto"/>
            <w:noWrap/>
            <w:vAlign w:val="bottom"/>
            <w:hideMark/>
          </w:tcPr>
          <w:p w:rsidR="00090460" w:rsidRPr="00090460" w:rsidRDefault="00090460" w:rsidP="002E6AC6">
            <w:pPr>
              <w:spacing w:before="80" w:after="80"/>
              <w:jc w:val="right"/>
              <w:rPr>
                <w:rFonts w:ascii="Calibri" w:hAnsi="Calibri" w:cs="Calibri"/>
                <w:b/>
                <w:color w:val="000000"/>
                <w:sz w:val="22"/>
                <w:szCs w:val="22"/>
              </w:rPr>
            </w:pPr>
            <w:r w:rsidRPr="00090460">
              <w:rPr>
                <w:rFonts w:ascii="Calibri" w:hAnsi="Calibri" w:cs="Calibri"/>
                <w:b/>
                <w:color w:val="000000"/>
                <w:sz w:val="22"/>
                <w:szCs w:val="22"/>
              </w:rPr>
              <w:t>1.00</w:t>
            </w:r>
          </w:p>
        </w:tc>
        <w:tc>
          <w:tcPr>
            <w:tcW w:w="1843" w:type="dxa"/>
            <w:tcBorders>
              <w:top w:val="nil"/>
              <w:left w:val="nil"/>
              <w:bottom w:val="single" w:sz="4" w:space="0" w:color="auto"/>
              <w:right w:val="single" w:sz="4" w:space="0" w:color="auto"/>
            </w:tcBorders>
            <w:shd w:val="clear" w:color="auto" w:fill="auto"/>
            <w:noWrap/>
            <w:vAlign w:val="bottom"/>
            <w:hideMark/>
          </w:tcPr>
          <w:p w:rsidR="00090460" w:rsidRPr="00090460" w:rsidRDefault="00090460" w:rsidP="002E6AC6">
            <w:pPr>
              <w:spacing w:before="80" w:after="80"/>
              <w:jc w:val="right"/>
              <w:rPr>
                <w:rFonts w:ascii="Calibri" w:hAnsi="Calibri" w:cs="Calibri"/>
                <w:b/>
                <w:color w:val="000000"/>
                <w:sz w:val="22"/>
                <w:szCs w:val="22"/>
              </w:rPr>
            </w:pPr>
            <w:r w:rsidRPr="00090460">
              <w:rPr>
                <w:rFonts w:ascii="Calibri" w:hAnsi="Calibri" w:cs="Calibri"/>
                <w:b/>
                <w:color w:val="000000"/>
                <w:sz w:val="22"/>
                <w:szCs w:val="22"/>
              </w:rPr>
              <w:t>1.00</w:t>
            </w:r>
          </w:p>
        </w:tc>
      </w:tr>
    </w:tbl>
    <w:p w:rsidR="00665DC3" w:rsidRDefault="00665DC3" w:rsidP="00A23667">
      <w:pPr>
        <w:pStyle w:val="Heading3"/>
      </w:pPr>
      <w:r>
        <w:t>Indigenous status</w:t>
      </w:r>
    </w:p>
    <w:p w:rsidR="00B5050A" w:rsidRDefault="00106A3B" w:rsidP="00331160">
      <w:pPr>
        <w:spacing w:before="120" w:after="120"/>
      </w:pPr>
      <w:r>
        <w:t>There were t</w:t>
      </w:r>
      <w:r w:rsidR="00090460">
        <w:t xml:space="preserve">oo few </w:t>
      </w:r>
      <w:r w:rsidR="00B5050A">
        <w:t xml:space="preserve">Aboriginal, Torres Strait Islander or Aboriginal and Torres Strait Islander </w:t>
      </w:r>
      <w:r>
        <w:t xml:space="preserve">residents in the sample </w:t>
      </w:r>
      <w:r w:rsidR="00090460">
        <w:t xml:space="preserve">to look at </w:t>
      </w:r>
      <w:r w:rsidR="00B5050A">
        <w:t>their</w:t>
      </w:r>
      <w:r w:rsidR="00090460">
        <w:t xml:space="preserve"> distribution</w:t>
      </w:r>
      <w:r w:rsidR="00B5050A">
        <w:t xml:space="preserve"> across the AN-ACC classes; there were classes with no, or only one or two, residents allocated.</w:t>
      </w:r>
    </w:p>
    <w:p w:rsidR="00090460" w:rsidRDefault="00B5050A" w:rsidP="00331160">
      <w:pPr>
        <w:spacing w:before="120" w:after="120"/>
      </w:pPr>
      <w:r>
        <w:t>However, an i</w:t>
      </w:r>
      <w:r w:rsidR="00106A3B">
        <w:t>mportant</w:t>
      </w:r>
      <w:r>
        <w:t xml:space="preserve"> contrast between the two funding models can be seen in </w:t>
      </w:r>
      <w:r>
        <w:fldChar w:fldCharType="begin"/>
      </w:r>
      <w:r>
        <w:instrText xml:space="preserve"> REF _Ref535528684 \h </w:instrText>
      </w:r>
      <w:r>
        <w:fldChar w:fldCharType="separate"/>
      </w:r>
      <w:r w:rsidR="00785B04">
        <w:t xml:space="preserve">Table </w:t>
      </w:r>
      <w:r w:rsidR="00785B04">
        <w:rPr>
          <w:noProof/>
        </w:rPr>
        <w:t>6</w:t>
      </w:r>
      <w:r>
        <w:fldChar w:fldCharType="end"/>
      </w:r>
      <w:r>
        <w:t xml:space="preserve"> in the columns displaying the relative bed day payments. Under the AN-ACC funding model</w:t>
      </w:r>
      <w:r w:rsidR="00106A3B">
        <w:t>, A</w:t>
      </w:r>
      <w:r>
        <w:t>boriginal</w:t>
      </w:r>
      <w:r w:rsidR="00106A3B">
        <w:t xml:space="preserve"> and/or</w:t>
      </w:r>
      <w:r>
        <w:t xml:space="preserve"> Torres Strait Islander </w:t>
      </w:r>
      <w:r w:rsidR="00106A3B">
        <w:t xml:space="preserve">residents </w:t>
      </w:r>
      <w:r>
        <w:t>attract an average payment more than 20% higher than the sample average</w:t>
      </w:r>
      <w:r w:rsidR="00106A3B">
        <w:t>. In contrast</w:t>
      </w:r>
      <w:r>
        <w:t>, the</w:t>
      </w:r>
      <w:r w:rsidR="00106A3B">
        <w:t>ir</w:t>
      </w:r>
      <w:r>
        <w:t xml:space="preserve"> average payment </w:t>
      </w:r>
      <w:r w:rsidR="00106A3B">
        <w:t xml:space="preserve">under the ACFI is </w:t>
      </w:r>
      <w:r>
        <w:t>8%</w:t>
      </w:r>
      <w:r w:rsidR="00B93566">
        <w:t xml:space="preserve"> lower than the sample average.</w:t>
      </w:r>
    </w:p>
    <w:p w:rsidR="00090460" w:rsidRDefault="005F6065" w:rsidP="005F6065">
      <w:pPr>
        <w:pStyle w:val="Caption"/>
      </w:pPr>
      <w:bookmarkStart w:id="70" w:name="_Ref535528684"/>
      <w:bookmarkStart w:id="71" w:name="_Toc953898"/>
      <w:r>
        <w:t xml:space="preserve">Table </w:t>
      </w:r>
      <w:r w:rsidR="00E949FA">
        <w:rPr>
          <w:noProof/>
        </w:rPr>
        <w:fldChar w:fldCharType="begin"/>
      </w:r>
      <w:r w:rsidR="00E949FA">
        <w:rPr>
          <w:noProof/>
        </w:rPr>
        <w:instrText xml:space="preserve"> SEQ Table \* ARABIC </w:instrText>
      </w:r>
      <w:r w:rsidR="00E949FA">
        <w:rPr>
          <w:noProof/>
        </w:rPr>
        <w:fldChar w:fldCharType="separate"/>
      </w:r>
      <w:r w:rsidR="00785B04">
        <w:rPr>
          <w:noProof/>
        </w:rPr>
        <w:t>6</w:t>
      </w:r>
      <w:r w:rsidR="00E949FA">
        <w:rPr>
          <w:noProof/>
        </w:rPr>
        <w:fldChar w:fldCharType="end"/>
      </w:r>
      <w:bookmarkEnd w:id="70"/>
      <w:r w:rsidR="00341AF1">
        <w:rPr>
          <w:noProof/>
        </w:rPr>
        <w:t xml:space="preserve"> </w:t>
      </w:r>
      <w:r>
        <w:tab/>
        <w:t>Payment relativities by indigenous status</w:t>
      </w:r>
      <w:bookmarkEnd w:id="71"/>
    </w:p>
    <w:tbl>
      <w:tblPr>
        <w:tblW w:w="8926" w:type="dxa"/>
        <w:tblInd w:w="113" w:type="dxa"/>
        <w:tblLook w:val="04A0" w:firstRow="1" w:lastRow="0" w:firstColumn="1" w:lastColumn="0" w:noHBand="0" w:noVBand="1"/>
        <w:tblCaption w:val="Table 6 Payment relativities by indigenous status"/>
        <w:tblDescription w:val="Table 6 shows Payment relativities by indigenous status. An important contrast between the two funding models can be seen in the columns displaying the relative bed day payments. Under the AN-ACC funding model, Aboriginal and/or Torres Strait Islander residents attract an average payment more than 20% higher than the sample average. In contrast, their average payment under the ACFI is 8% lower than the sample average. This table is to be read as a series of rows from left to right ('Aboriginal and/or Torres Strait Islander' then 'number of facilities' then 'number of residents' then 'AN-ACC NWAU per occupied bed day' then 'ACFI weight per occupied bed day'), top to bottom."/>
      </w:tblPr>
      <w:tblGrid>
        <w:gridCol w:w="3280"/>
        <w:gridCol w:w="1251"/>
        <w:gridCol w:w="1276"/>
        <w:gridCol w:w="1418"/>
        <w:gridCol w:w="1701"/>
      </w:tblGrid>
      <w:tr w:rsidR="00090460" w:rsidRPr="00090460" w:rsidTr="00B93566">
        <w:trPr>
          <w:trHeight w:val="1008"/>
          <w:tblHeader/>
        </w:trPr>
        <w:tc>
          <w:tcPr>
            <w:tcW w:w="3280" w:type="dxa"/>
            <w:tcBorders>
              <w:top w:val="single" w:sz="4" w:space="0" w:color="auto"/>
              <w:left w:val="single" w:sz="4" w:space="0" w:color="auto"/>
              <w:bottom w:val="single" w:sz="4" w:space="0" w:color="auto"/>
              <w:right w:val="single" w:sz="4" w:space="0" w:color="auto"/>
            </w:tcBorders>
            <w:shd w:val="clear" w:color="auto" w:fill="auto"/>
            <w:hideMark/>
          </w:tcPr>
          <w:p w:rsidR="00090460" w:rsidRPr="00090460" w:rsidRDefault="00090460" w:rsidP="002E6AC6">
            <w:pPr>
              <w:spacing w:before="80" w:after="80"/>
              <w:rPr>
                <w:rFonts w:ascii="Calibri" w:hAnsi="Calibri" w:cs="Calibri"/>
                <w:b/>
                <w:color w:val="000000"/>
                <w:sz w:val="22"/>
                <w:szCs w:val="22"/>
              </w:rPr>
            </w:pPr>
            <w:r w:rsidRPr="00090460">
              <w:rPr>
                <w:rFonts w:ascii="Calibri" w:hAnsi="Calibri" w:cs="Calibri"/>
                <w:b/>
                <w:color w:val="000000"/>
                <w:sz w:val="22"/>
                <w:szCs w:val="22"/>
              </w:rPr>
              <w:t>Aboriginal, Torres Strait Islander, Aboriginal and Torres Strait Islander</w:t>
            </w:r>
          </w:p>
        </w:tc>
        <w:tc>
          <w:tcPr>
            <w:tcW w:w="1251" w:type="dxa"/>
            <w:tcBorders>
              <w:top w:val="single" w:sz="4" w:space="0" w:color="auto"/>
              <w:left w:val="nil"/>
              <w:bottom w:val="single" w:sz="4" w:space="0" w:color="auto"/>
              <w:right w:val="single" w:sz="4" w:space="0" w:color="auto"/>
            </w:tcBorders>
            <w:shd w:val="clear" w:color="auto" w:fill="auto"/>
            <w:hideMark/>
          </w:tcPr>
          <w:p w:rsidR="00090460" w:rsidRPr="00090460" w:rsidRDefault="00090460" w:rsidP="002E6AC6">
            <w:pPr>
              <w:spacing w:before="80" w:after="80"/>
              <w:jc w:val="right"/>
              <w:rPr>
                <w:rFonts w:ascii="Calibri" w:hAnsi="Calibri" w:cs="Calibri"/>
                <w:b/>
                <w:color w:val="000000"/>
                <w:sz w:val="22"/>
                <w:szCs w:val="22"/>
              </w:rPr>
            </w:pPr>
            <w:r w:rsidRPr="00090460">
              <w:rPr>
                <w:rFonts w:ascii="Calibri" w:hAnsi="Calibri" w:cs="Calibri"/>
                <w:b/>
                <w:color w:val="000000"/>
                <w:sz w:val="22"/>
                <w:szCs w:val="22"/>
              </w:rPr>
              <w:t>No. of Facilities</w:t>
            </w:r>
          </w:p>
        </w:tc>
        <w:tc>
          <w:tcPr>
            <w:tcW w:w="1276" w:type="dxa"/>
            <w:tcBorders>
              <w:top w:val="single" w:sz="4" w:space="0" w:color="auto"/>
              <w:left w:val="nil"/>
              <w:bottom w:val="single" w:sz="4" w:space="0" w:color="auto"/>
              <w:right w:val="single" w:sz="4" w:space="0" w:color="auto"/>
            </w:tcBorders>
            <w:shd w:val="clear" w:color="auto" w:fill="auto"/>
            <w:hideMark/>
          </w:tcPr>
          <w:p w:rsidR="00090460" w:rsidRPr="00090460" w:rsidRDefault="00090460" w:rsidP="002E6AC6">
            <w:pPr>
              <w:spacing w:before="80" w:after="80"/>
              <w:jc w:val="right"/>
              <w:rPr>
                <w:rFonts w:ascii="Calibri" w:hAnsi="Calibri" w:cs="Calibri"/>
                <w:b/>
                <w:color w:val="000000"/>
                <w:sz w:val="22"/>
                <w:szCs w:val="22"/>
              </w:rPr>
            </w:pPr>
            <w:r w:rsidRPr="00090460">
              <w:rPr>
                <w:rFonts w:ascii="Calibri" w:hAnsi="Calibri" w:cs="Calibri"/>
                <w:b/>
                <w:color w:val="000000"/>
                <w:sz w:val="22"/>
                <w:szCs w:val="22"/>
              </w:rPr>
              <w:t>No. of Residents</w:t>
            </w:r>
          </w:p>
        </w:tc>
        <w:tc>
          <w:tcPr>
            <w:tcW w:w="1418" w:type="dxa"/>
            <w:tcBorders>
              <w:top w:val="single" w:sz="4" w:space="0" w:color="auto"/>
              <w:left w:val="nil"/>
              <w:bottom w:val="single" w:sz="4" w:space="0" w:color="auto"/>
              <w:right w:val="single" w:sz="4" w:space="0" w:color="auto"/>
            </w:tcBorders>
            <w:shd w:val="clear" w:color="auto" w:fill="auto"/>
            <w:hideMark/>
          </w:tcPr>
          <w:p w:rsidR="00106A3B" w:rsidRDefault="00B5050A" w:rsidP="00106A3B">
            <w:pPr>
              <w:spacing w:before="80" w:after="80"/>
              <w:jc w:val="right"/>
              <w:rPr>
                <w:rFonts w:ascii="Calibri" w:hAnsi="Calibri" w:cs="Calibri"/>
                <w:b/>
                <w:color w:val="000000"/>
                <w:sz w:val="22"/>
                <w:szCs w:val="22"/>
              </w:rPr>
            </w:pPr>
            <w:r>
              <w:rPr>
                <w:rFonts w:ascii="Calibri" w:hAnsi="Calibri" w:cs="Calibri"/>
                <w:b/>
                <w:color w:val="000000"/>
                <w:sz w:val="22"/>
                <w:szCs w:val="22"/>
              </w:rPr>
              <w:t>AN-ACC</w:t>
            </w:r>
          </w:p>
          <w:p w:rsidR="00090460" w:rsidRPr="00090460" w:rsidRDefault="00090460" w:rsidP="00106A3B">
            <w:pPr>
              <w:spacing w:before="80" w:after="80"/>
              <w:jc w:val="right"/>
              <w:rPr>
                <w:rFonts w:ascii="Calibri" w:hAnsi="Calibri" w:cs="Calibri"/>
                <w:b/>
                <w:color w:val="000000"/>
                <w:sz w:val="22"/>
                <w:szCs w:val="22"/>
              </w:rPr>
            </w:pPr>
            <w:r w:rsidRPr="00090460">
              <w:rPr>
                <w:rFonts w:ascii="Calibri" w:hAnsi="Calibri" w:cs="Calibri"/>
                <w:b/>
                <w:color w:val="000000"/>
                <w:sz w:val="22"/>
                <w:szCs w:val="22"/>
              </w:rPr>
              <w:t>NWAU per occupied bed day</w:t>
            </w:r>
          </w:p>
        </w:tc>
        <w:tc>
          <w:tcPr>
            <w:tcW w:w="1701" w:type="dxa"/>
            <w:tcBorders>
              <w:top w:val="single" w:sz="4" w:space="0" w:color="auto"/>
              <w:left w:val="nil"/>
              <w:bottom w:val="single" w:sz="4" w:space="0" w:color="auto"/>
              <w:right w:val="single" w:sz="4" w:space="0" w:color="auto"/>
            </w:tcBorders>
            <w:shd w:val="clear" w:color="auto" w:fill="auto"/>
            <w:hideMark/>
          </w:tcPr>
          <w:p w:rsidR="00106A3B" w:rsidRDefault="00090460" w:rsidP="002E6AC6">
            <w:pPr>
              <w:spacing w:before="80" w:after="80"/>
              <w:jc w:val="right"/>
              <w:rPr>
                <w:rFonts w:ascii="Calibri" w:hAnsi="Calibri" w:cs="Calibri"/>
                <w:b/>
                <w:color w:val="000000"/>
                <w:sz w:val="22"/>
                <w:szCs w:val="22"/>
              </w:rPr>
            </w:pPr>
            <w:r w:rsidRPr="00090460">
              <w:rPr>
                <w:rFonts w:ascii="Calibri" w:hAnsi="Calibri" w:cs="Calibri"/>
                <w:b/>
                <w:color w:val="000000"/>
                <w:sz w:val="22"/>
                <w:szCs w:val="22"/>
              </w:rPr>
              <w:t xml:space="preserve">ACFI </w:t>
            </w:r>
          </w:p>
          <w:p w:rsidR="00090460" w:rsidRPr="00090460" w:rsidRDefault="00090460" w:rsidP="002E6AC6">
            <w:pPr>
              <w:spacing w:before="80" w:after="80"/>
              <w:jc w:val="right"/>
              <w:rPr>
                <w:rFonts w:ascii="Calibri" w:hAnsi="Calibri" w:cs="Calibri"/>
                <w:b/>
                <w:color w:val="000000"/>
                <w:sz w:val="22"/>
                <w:szCs w:val="22"/>
              </w:rPr>
            </w:pPr>
            <w:r w:rsidRPr="00090460">
              <w:rPr>
                <w:rFonts w:ascii="Calibri" w:hAnsi="Calibri" w:cs="Calibri"/>
                <w:b/>
                <w:color w:val="000000"/>
                <w:sz w:val="22"/>
                <w:szCs w:val="22"/>
              </w:rPr>
              <w:t>Weight per occupied bed day</w:t>
            </w:r>
          </w:p>
        </w:tc>
      </w:tr>
      <w:tr w:rsidR="00090460" w:rsidRPr="00090460" w:rsidTr="00090460">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090460" w:rsidRPr="00090460" w:rsidRDefault="00090460" w:rsidP="002E6AC6">
            <w:pPr>
              <w:spacing w:before="80" w:after="80"/>
              <w:rPr>
                <w:rFonts w:ascii="Calibri" w:hAnsi="Calibri" w:cs="Calibri"/>
                <w:color w:val="000000"/>
                <w:sz w:val="22"/>
                <w:szCs w:val="22"/>
              </w:rPr>
            </w:pPr>
            <w:r w:rsidRPr="00090460">
              <w:rPr>
                <w:rFonts w:ascii="Calibri" w:hAnsi="Calibri" w:cs="Calibri"/>
                <w:color w:val="000000"/>
                <w:sz w:val="22"/>
                <w:szCs w:val="22"/>
              </w:rPr>
              <w:t>Yes</w:t>
            </w:r>
          </w:p>
        </w:tc>
        <w:tc>
          <w:tcPr>
            <w:tcW w:w="1251" w:type="dxa"/>
            <w:tcBorders>
              <w:top w:val="nil"/>
              <w:left w:val="nil"/>
              <w:bottom w:val="single" w:sz="4" w:space="0" w:color="auto"/>
              <w:right w:val="single" w:sz="4" w:space="0" w:color="auto"/>
            </w:tcBorders>
            <w:shd w:val="clear" w:color="auto" w:fill="auto"/>
            <w:noWrap/>
            <w:vAlign w:val="bottom"/>
            <w:hideMark/>
          </w:tcPr>
          <w:p w:rsidR="00090460" w:rsidRPr="00090460" w:rsidRDefault="00090460" w:rsidP="002E6AC6">
            <w:pPr>
              <w:spacing w:before="80" w:after="80"/>
              <w:jc w:val="right"/>
              <w:rPr>
                <w:rFonts w:ascii="Calibri" w:hAnsi="Calibri" w:cs="Calibri"/>
                <w:color w:val="000000"/>
                <w:sz w:val="22"/>
                <w:szCs w:val="22"/>
              </w:rPr>
            </w:pPr>
            <w:r w:rsidRPr="00090460">
              <w:rPr>
                <w:rFonts w:ascii="Calibri" w:hAnsi="Calibri" w:cs="Calibri"/>
                <w:color w:val="000000"/>
                <w:sz w:val="22"/>
                <w:szCs w:val="22"/>
              </w:rPr>
              <w:t>14</w:t>
            </w:r>
          </w:p>
        </w:tc>
        <w:tc>
          <w:tcPr>
            <w:tcW w:w="1276" w:type="dxa"/>
            <w:tcBorders>
              <w:top w:val="nil"/>
              <w:left w:val="nil"/>
              <w:bottom w:val="single" w:sz="4" w:space="0" w:color="auto"/>
              <w:right w:val="single" w:sz="4" w:space="0" w:color="auto"/>
            </w:tcBorders>
            <w:shd w:val="clear" w:color="auto" w:fill="auto"/>
            <w:noWrap/>
            <w:vAlign w:val="bottom"/>
            <w:hideMark/>
          </w:tcPr>
          <w:p w:rsidR="00090460" w:rsidRPr="00090460" w:rsidRDefault="00B93566" w:rsidP="002E6AC6">
            <w:pPr>
              <w:spacing w:before="80" w:after="80"/>
              <w:jc w:val="right"/>
              <w:rPr>
                <w:rFonts w:ascii="Calibri" w:hAnsi="Calibri" w:cs="Calibri"/>
                <w:color w:val="000000"/>
                <w:sz w:val="22"/>
                <w:szCs w:val="22"/>
              </w:rPr>
            </w:pPr>
            <w:r>
              <w:rPr>
                <w:rFonts w:ascii="Calibri" w:hAnsi="Calibri" w:cs="Calibri"/>
                <w:color w:val="000000"/>
                <w:sz w:val="22"/>
                <w:szCs w:val="22"/>
              </w:rPr>
              <w:t>65</w:t>
            </w:r>
          </w:p>
        </w:tc>
        <w:tc>
          <w:tcPr>
            <w:tcW w:w="1418" w:type="dxa"/>
            <w:tcBorders>
              <w:top w:val="nil"/>
              <w:left w:val="nil"/>
              <w:bottom w:val="single" w:sz="4" w:space="0" w:color="auto"/>
              <w:right w:val="single" w:sz="4" w:space="0" w:color="auto"/>
            </w:tcBorders>
            <w:shd w:val="clear" w:color="auto" w:fill="auto"/>
            <w:noWrap/>
            <w:vAlign w:val="bottom"/>
            <w:hideMark/>
          </w:tcPr>
          <w:p w:rsidR="00090460" w:rsidRPr="00090460" w:rsidRDefault="00090460" w:rsidP="002E6AC6">
            <w:pPr>
              <w:spacing w:before="80" w:after="80"/>
              <w:jc w:val="right"/>
              <w:rPr>
                <w:rFonts w:ascii="Calibri" w:hAnsi="Calibri" w:cs="Calibri"/>
                <w:color w:val="000000"/>
                <w:sz w:val="22"/>
                <w:szCs w:val="22"/>
              </w:rPr>
            </w:pPr>
            <w:r w:rsidRPr="00090460">
              <w:rPr>
                <w:rFonts w:ascii="Calibri" w:hAnsi="Calibri" w:cs="Calibri"/>
                <w:color w:val="000000"/>
                <w:sz w:val="22"/>
                <w:szCs w:val="22"/>
              </w:rPr>
              <w:t>1.22</w:t>
            </w:r>
          </w:p>
        </w:tc>
        <w:tc>
          <w:tcPr>
            <w:tcW w:w="1701" w:type="dxa"/>
            <w:tcBorders>
              <w:top w:val="nil"/>
              <w:left w:val="nil"/>
              <w:bottom w:val="single" w:sz="4" w:space="0" w:color="auto"/>
              <w:right w:val="single" w:sz="4" w:space="0" w:color="auto"/>
            </w:tcBorders>
            <w:shd w:val="clear" w:color="auto" w:fill="auto"/>
            <w:noWrap/>
            <w:vAlign w:val="bottom"/>
            <w:hideMark/>
          </w:tcPr>
          <w:p w:rsidR="00090460" w:rsidRPr="00090460" w:rsidRDefault="00090460" w:rsidP="002E6AC6">
            <w:pPr>
              <w:spacing w:before="80" w:after="80"/>
              <w:jc w:val="right"/>
              <w:rPr>
                <w:rFonts w:ascii="Calibri" w:hAnsi="Calibri" w:cs="Calibri"/>
                <w:color w:val="000000"/>
                <w:sz w:val="22"/>
                <w:szCs w:val="22"/>
              </w:rPr>
            </w:pPr>
            <w:r w:rsidRPr="00090460">
              <w:rPr>
                <w:rFonts w:ascii="Calibri" w:hAnsi="Calibri" w:cs="Calibri"/>
                <w:color w:val="000000"/>
                <w:sz w:val="22"/>
                <w:szCs w:val="22"/>
              </w:rPr>
              <w:t>0.92</w:t>
            </w:r>
          </w:p>
        </w:tc>
      </w:tr>
      <w:tr w:rsidR="00090460" w:rsidRPr="00090460" w:rsidTr="00090460">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090460" w:rsidRPr="00090460" w:rsidRDefault="00090460" w:rsidP="002E6AC6">
            <w:pPr>
              <w:spacing w:before="80" w:after="80"/>
              <w:rPr>
                <w:rFonts w:ascii="Calibri" w:hAnsi="Calibri" w:cs="Calibri"/>
                <w:color w:val="000000"/>
                <w:sz w:val="22"/>
                <w:szCs w:val="22"/>
              </w:rPr>
            </w:pPr>
            <w:r w:rsidRPr="00090460">
              <w:rPr>
                <w:rFonts w:ascii="Calibri" w:hAnsi="Calibri" w:cs="Calibri"/>
                <w:color w:val="000000"/>
                <w:sz w:val="22"/>
                <w:szCs w:val="22"/>
              </w:rPr>
              <w:t>No</w:t>
            </w:r>
          </w:p>
        </w:tc>
        <w:tc>
          <w:tcPr>
            <w:tcW w:w="1251" w:type="dxa"/>
            <w:tcBorders>
              <w:top w:val="nil"/>
              <w:left w:val="nil"/>
              <w:bottom w:val="single" w:sz="4" w:space="0" w:color="auto"/>
              <w:right w:val="single" w:sz="4" w:space="0" w:color="auto"/>
            </w:tcBorders>
            <w:shd w:val="clear" w:color="auto" w:fill="auto"/>
            <w:noWrap/>
            <w:vAlign w:val="bottom"/>
            <w:hideMark/>
          </w:tcPr>
          <w:p w:rsidR="00090460" w:rsidRPr="00090460" w:rsidRDefault="00090460" w:rsidP="002E6AC6">
            <w:pPr>
              <w:spacing w:before="80" w:after="80"/>
              <w:jc w:val="right"/>
              <w:rPr>
                <w:rFonts w:ascii="Calibri" w:hAnsi="Calibri" w:cs="Calibri"/>
                <w:color w:val="000000"/>
                <w:sz w:val="22"/>
                <w:szCs w:val="22"/>
              </w:rPr>
            </w:pPr>
            <w:r w:rsidRPr="00090460">
              <w:rPr>
                <w:rFonts w:ascii="Calibri" w:hAnsi="Calibri" w:cs="Calibri"/>
                <w:color w:val="000000"/>
                <w:sz w:val="22"/>
                <w:szCs w:val="22"/>
              </w:rPr>
              <w:t>80</w:t>
            </w:r>
          </w:p>
        </w:tc>
        <w:tc>
          <w:tcPr>
            <w:tcW w:w="1276" w:type="dxa"/>
            <w:tcBorders>
              <w:top w:val="nil"/>
              <w:left w:val="nil"/>
              <w:bottom w:val="single" w:sz="4" w:space="0" w:color="auto"/>
              <w:right w:val="single" w:sz="4" w:space="0" w:color="auto"/>
            </w:tcBorders>
            <w:shd w:val="clear" w:color="auto" w:fill="auto"/>
            <w:noWrap/>
            <w:vAlign w:val="bottom"/>
            <w:hideMark/>
          </w:tcPr>
          <w:p w:rsidR="00090460" w:rsidRPr="00090460" w:rsidRDefault="00B93566" w:rsidP="002E6AC6">
            <w:pPr>
              <w:spacing w:before="80" w:after="80"/>
              <w:jc w:val="right"/>
              <w:rPr>
                <w:rFonts w:ascii="Calibri" w:hAnsi="Calibri" w:cs="Calibri"/>
                <w:color w:val="000000"/>
                <w:sz w:val="22"/>
                <w:szCs w:val="22"/>
              </w:rPr>
            </w:pPr>
            <w:r>
              <w:rPr>
                <w:rFonts w:ascii="Calibri" w:hAnsi="Calibri" w:cs="Calibri"/>
                <w:color w:val="000000"/>
                <w:sz w:val="22"/>
                <w:szCs w:val="22"/>
              </w:rPr>
              <w:t>2,969</w:t>
            </w:r>
          </w:p>
        </w:tc>
        <w:tc>
          <w:tcPr>
            <w:tcW w:w="1418" w:type="dxa"/>
            <w:tcBorders>
              <w:top w:val="nil"/>
              <w:left w:val="nil"/>
              <w:bottom w:val="single" w:sz="4" w:space="0" w:color="auto"/>
              <w:right w:val="single" w:sz="4" w:space="0" w:color="auto"/>
            </w:tcBorders>
            <w:shd w:val="clear" w:color="auto" w:fill="auto"/>
            <w:noWrap/>
            <w:vAlign w:val="bottom"/>
            <w:hideMark/>
          </w:tcPr>
          <w:p w:rsidR="00090460" w:rsidRPr="00090460" w:rsidRDefault="00090460" w:rsidP="002E6AC6">
            <w:pPr>
              <w:spacing w:before="80" w:after="80"/>
              <w:jc w:val="right"/>
              <w:rPr>
                <w:rFonts w:ascii="Calibri" w:hAnsi="Calibri" w:cs="Calibri"/>
                <w:color w:val="000000"/>
                <w:sz w:val="22"/>
                <w:szCs w:val="22"/>
              </w:rPr>
            </w:pPr>
            <w:r w:rsidRPr="00090460">
              <w:rPr>
                <w:rFonts w:ascii="Calibri" w:hAnsi="Calibri" w:cs="Calibri"/>
                <w:color w:val="000000"/>
                <w:sz w:val="22"/>
                <w:szCs w:val="22"/>
              </w:rPr>
              <w:t>0.99</w:t>
            </w:r>
          </w:p>
        </w:tc>
        <w:tc>
          <w:tcPr>
            <w:tcW w:w="1701" w:type="dxa"/>
            <w:tcBorders>
              <w:top w:val="nil"/>
              <w:left w:val="nil"/>
              <w:bottom w:val="single" w:sz="4" w:space="0" w:color="auto"/>
              <w:right w:val="single" w:sz="4" w:space="0" w:color="auto"/>
            </w:tcBorders>
            <w:shd w:val="clear" w:color="auto" w:fill="auto"/>
            <w:noWrap/>
            <w:vAlign w:val="bottom"/>
            <w:hideMark/>
          </w:tcPr>
          <w:p w:rsidR="00090460" w:rsidRPr="00090460" w:rsidRDefault="00090460" w:rsidP="002E6AC6">
            <w:pPr>
              <w:spacing w:before="80" w:after="80"/>
              <w:jc w:val="right"/>
              <w:rPr>
                <w:rFonts w:ascii="Calibri" w:hAnsi="Calibri" w:cs="Calibri"/>
                <w:color w:val="000000"/>
                <w:sz w:val="22"/>
                <w:szCs w:val="22"/>
              </w:rPr>
            </w:pPr>
            <w:r w:rsidRPr="00090460">
              <w:rPr>
                <w:rFonts w:ascii="Calibri" w:hAnsi="Calibri" w:cs="Calibri"/>
                <w:color w:val="000000"/>
                <w:sz w:val="22"/>
                <w:szCs w:val="22"/>
              </w:rPr>
              <w:t>1.00</w:t>
            </w:r>
          </w:p>
        </w:tc>
      </w:tr>
      <w:tr w:rsidR="00090460" w:rsidRPr="00090460" w:rsidTr="00090460">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090460" w:rsidRPr="00090460" w:rsidRDefault="00090460" w:rsidP="002E6AC6">
            <w:pPr>
              <w:spacing w:before="80" w:after="80"/>
              <w:rPr>
                <w:rFonts w:ascii="Calibri" w:hAnsi="Calibri" w:cs="Calibri"/>
                <w:color w:val="000000"/>
                <w:sz w:val="22"/>
                <w:szCs w:val="22"/>
              </w:rPr>
            </w:pPr>
            <w:r w:rsidRPr="00090460">
              <w:rPr>
                <w:rFonts w:ascii="Calibri" w:hAnsi="Calibri" w:cs="Calibri"/>
                <w:color w:val="000000"/>
                <w:sz w:val="22"/>
                <w:szCs w:val="22"/>
              </w:rPr>
              <w:t>Missing</w:t>
            </w:r>
          </w:p>
        </w:tc>
        <w:tc>
          <w:tcPr>
            <w:tcW w:w="1251" w:type="dxa"/>
            <w:tcBorders>
              <w:top w:val="nil"/>
              <w:left w:val="nil"/>
              <w:bottom w:val="single" w:sz="4" w:space="0" w:color="auto"/>
              <w:right w:val="single" w:sz="4" w:space="0" w:color="auto"/>
            </w:tcBorders>
            <w:shd w:val="clear" w:color="auto" w:fill="auto"/>
            <w:noWrap/>
            <w:vAlign w:val="bottom"/>
            <w:hideMark/>
          </w:tcPr>
          <w:p w:rsidR="00090460" w:rsidRPr="00090460" w:rsidRDefault="00090460" w:rsidP="002E6AC6">
            <w:pPr>
              <w:spacing w:before="80" w:after="80"/>
              <w:jc w:val="right"/>
              <w:rPr>
                <w:rFonts w:ascii="Calibri" w:hAnsi="Calibri" w:cs="Calibri"/>
                <w:color w:val="000000"/>
                <w:sz w:val="22"/>
                <w:szCs w:val="22"/>
              </w:rPr>
            </w:pPr>
            <w:r w:rsidRPr="00090460">
              <w:rPr>
                <w:rFonts w:ascii="Calibri" w:hAnsi="Calibri" w:cs="Calibri"/>
                <w:color w:val="000000"/>
                <w:sz w:val="22"/>
                <w:szCs w:val="22"/>
              </w:rPr>
              <w:t>36</w:t>
            </w:r>
          </w:p>
        </w:tc>
        <w:tc>
          <w:tcPr>
            <w:tcW w:w="1276" w:type="dxa"/>
            <w:tcBorders>
              <w:top w:val="nil"/>
              <w:left w:val="nil"/>
              <w:bottom w:val="single" w:sz="4" w:space="0" w:color="auto"/>
              <w:right w:val="single" w:sz="4" w:space="0" w:color="auto"/>
            </w:tcBorders>
            <w:shd w:val="clear" w:color="auto" w:fill="auto"/>
            <w:noWrap/>
            <w:vAlign w:val="bottom"/>
            <w:hideMark/>
          </w:tcPr>
          <w:p w:rsidR="00090460" w:rsidRPr="00090460" w:rsidRDefault="00B93566" w:rsidP="002E6AC6">
            <w:pPr>
              <w:spacing w:before="80" w:after="80"/>
              <w:jc w:val="right"/>
              <w:rPr>
                <w:rFonts w:ascii="Calibri" w:hAnsi="Calibri" w:cs="Calibri"/>
                <w:color w:val="000000"/>
                <w:sz w:val="22"/>
                <w:szCs w:val="22"/>
              </w:rPr>
            </w:pPr>
            <w:r>
              <w:rPr>
                <w:rFonts w:ascii="Calibri" w:hAnsi="Calibri" w:cs="Calibri"/>
                <w:color w:val="000000"/>
                <w:sz w:val="22"/>
                <w:szCs w:val="22"/>
              </w:rPr>
              <w:t>114</w:t>
            </w:r>
          </w:p>
        </w:tc>
        <w:tc>
          <w:tcPr>
            <w:tcW w:w="1418" w:type="dxa"/>
            <w:tcBorders>
              <w:top w:val="nil"/>
              <w:left w:val="nil"/>
              <w:bottom w:val="single" w:sz="4" w:space="0" w:color="auto"/>
              <w:right w:val="single" w:sz="4" w:space="0" w:color="auto"/>
            </w:tcBorders>
            <w:shd w:val="clear" w:color="auto" w:fill="auto"/>
            <w:noWrap/>
            <w:vAlign w:val="bottom"/>
            <w:hideMark/>
          </w:tcPr>
          <w:p w:rsidR="00090460" w:rsidRPr="00090460" w:rsidRDefault="00090460" w:rsidP="002E6AC6">
            <w:pPr>
              <w:spacing w:before="80" w:after="80"/>
              <w:rPr>
                <w:rFonts w:ascii="Calibri" w:hAnsi="Calibri" w:cs="Calibri"/>
                <w:color w:val="00000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090460" w:rsidRPr="00090460" w:rsidRDefault="00090460" w:rsidP="002E6AC6">
            <w:pPr>
              <w:spacing w:before="80" w:after="80"/>
              <w:rPr>
                <w:rFonts w:ascii="Calibri" w:hAnsi="Calibri" w:cs="Calibri"/>
                <w:color w:val="000000"/>
                <w:sz w:val="22"/>
                <w:szCs w:val="22"/>
              </w:rPr>
            </w:pPr>
          </w:p>
        </w:tc>
      </w:tr>
      <w:tr w:rsidR="00090460" w:rsidRPr="00090460" w:rsidTr="00090460">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090460" w:rsidRPr="00090460" w:rsidRDefault="00B93566" w:rsidP="002E6AC6">
            <w:pPr>
              <w:spacing w:before="80" w:after="80"/>
              <w:rPr>
                <w:rFonts w:ascii="Calibri" w:hAnsi="Calibri" w:cs="Calibri"/>
                <w:b/>
                <w:color w:val="000000"/>
                <w:sz w:val="22"/>
                <w:szCs w:val="22"/>
              </w:rPr>
            </w:pPr>
            <w:r>
              <w:rPr>
                <w:rFonts w:ascii="Calibri" w:hAnsi="Calibri" w:cs="Calibri"/>
                <w:b/>
                <w:color w:val="000000"/>
                <w:sz w:val="22"/>
                <w:szCs w:val="22"/>
              </w:rPr>
              <w:t>Total</w:t>
            </w:r>
          </w:p>
        </w:tc>
        <w:tc>
          <w:tcPr>
            <w:tcW w:w="1251" w:type="dxa"/>
            <w:tcBorders>
              <w:top w:val="nil"/>
              <w:left w:val="nil"/>
              <w:bottom w:val="single" w:sz="4" w:space="0" w:color="auto"/>
              <w:right w:val="single" w:sz="4" w:space="0" w:color="auto"/>
            </w:tcBorders>
            <w:shd w:val="clear" w:color="auto" w:fill="auto"/>
            <w:noWrap/>
            <w:vAlign w:val="bottom"/>
            <w:hideMark/>
          </w:tcPr>
          <w:p w:rsidR="00090460" w:rsidRPr="00090460" w:rsidRDefault="00090460" w:rsidP="002E6AC6">
            <w:pPr>
              <w:spacing w:before="80" w:after="80"/>
              <w:jc w:val="right"/>
              <w:rPr>
                <w:rFonts w:ascii="Calibri" w:hAnsi="Calibri" w:cs="Calibri"/>
                <w:b/>
                <w:color w:val="000000"/>
                <w:sz w:val="22"/>
                <w:szCs w:val="22"/>
              </w:rPr>
            </w:pPr>
            <w:r w:rsidRPr="00090460">
              <w:rPr>
                <w:rFonts w:ascii="Calibri" w:hAnsi="Calibri" w:cs="Calibri"/>
                <w:b/>
                <w:color w:val="000000"/>
                <w:sz w:val="22"/>
                <w:szCs w:val="22"/>
              </w:rPr>
              <w:t>80</w:t>
            </w:r>
          </w:p>
        </w:tc>
        <w:tc>
          <w:tcPr>
            <w:tcW w:w="1276" w:type="dxa"/>
            <w:tcBorders>
              <w:top w:val="nil"/>
              <w:left w:val="nil"/>
              <w:bottom w:val="single" w:sz="4" w:space="0" w:color="auto"/>
              <w:right w:val="single" w:sz="4" w:space="0" w:color="auto"/>
            </w:tcBorders>
            <w:shd w:val="clear" w:color="auto" w:fill="auto"/>
            <w:noWrap/>
            <w:vAlign w:val="bottom"/>
            <w:hideMark/>
          </w:tcPr>
          <w:p w:rsidR="00090460" w:rsidRPr="00090460" w:rsidRDefault="00B93566" w:rsidP="002E6AC6">
            <w:pPr>
              <w:spacing w:before="80" w:after="80"/>
              <w:jc w:val="right"/>
              <w:rPr>
                <w:rFonts w:ascii="Calibri" w:hAnsi="Calibri" w:cs="Calibri"/>
                <w:b/>
                <w:color w:val="000000"/>
                <w:sz w:val="22"/>
                <w:szCs w:val="22"/>
              </w:rPr>
            </w:pPr>
            <w:r>
              <w:rPr>
                <w:rFonts w:ascii="Calibri" w:hAnsi="Calibri" w:cs="Calibri"/>
                <w:b/>
                <w:color w:val="000000"/>
                <w:sz w:val="22"/>
                <w:szCs w:val="22"/>
              </w:rPr>
              <w:t>3,148</w:t>
            </w:r>
          </w:p>
        </w:tc>
        <w:tc>
          <w:tcPr>
            <w:tcW w:w="1418" w:type="dxa"/>
            <w:tcBorders>
              <w:top w:val="nil"/>
              <w:left w:val="nil"/>
              <w:bottom w:val="single" w:sz="4" w:space="0" w:color="auto"/>
              <w:right w:val="single" w:sz="4" w:space="0" w:color="auto"/>
            </w:tcBorders>
            <w:shd w:val="clear" w:color="auto" w:fill="auto"/>
            <w:noWrap/>
            <w:vAlign w:val="bottom"/>
            <w:hideMark/>
          </w:tcPr>
          <w:p w:rsidR="00090460" w:rsidRPr="00090460" w:rsidRDefault="00090460" w:rsidP="002E6AC6">
            <w:pPr>
              <w:spacing w:before="80" w:after="80"/>
              <w:jc w:val="right"/>
              <w:rPr>
                <w:rFonts w:ascii="Calibri" w:hAnsi="Calibri" w:cs="Calibri"/>
                <w:b/>
                <w:color w:val="000000"/>
                <w:sz w:val="22"/>
                <w:szCs w:val="22"/>
              </w:rPr>
            </w:pPr>
            <w:r w:rsidRPr="00090460">
              <w:rPr>
                <w:rFonts w:ascii="Calibri" w:hAnsi="Calibri" w:cs="Calibri"/>
                <w:b/>
                <w:color w:val="000000"/>
                <w:sz w:val="22"/>
                <w:szCs w:val="22"/>
              </w:rPr>
              <w:t>1.00</w:t>
            </w:r>
          </w:p>
        </w:tc>
        <w:tc>
          <w:tcPr>
            <w:tcW w:w="1701" w:type="dxa"/>
            <w:tcBorders>
              <w:top w:val="nil"/>
              <w:left w:val="nil"/>
              <w:bottom w:val="single" w:sz="4" w:space="0" w:color="auto"/>
              <w:right w:val="single" w:sz="4" w:space="0" w:color="auto"/>
            </w:tcBorders>
            <w:shd w:val="clear" w:color="auto" w:fill="auto"/>
            <w:noWrap/>
            <w:vAlign w:val="bottom"/>
            <w:hideMark/>
          </w:tcPr>
          <w:p w:rsidR="00090460" w:rsidRPr="00090460" w:rsidRDefault="00090460" w:rsidP="002E6AC6">
            <w:pPr>
              <w:spacing w:before="80" w:after="80"/>
              <w:jc w:val="right"/>
              <w:rPr>
                <w:rFonts w:ascii="Calibri" w:hAnsi="Calibri" w:cs="Calibri"/>
                <w:b/>
                <w:color w:val="000000"/>
                <w:sz w:val="22"/>
                <w:szCs w:val="22"/>
              </w:rPr>
            </w:pPr>
            <w:r w:rsidRPr="00090460">
              <w:rPr>
                <w:rFonts w:ascii="Calibri" w:hAnsi="Calibri" w:cs="Calibri"/>
                <w:b/>
                <w:color w:val="000000"/>
                <w:sz w:val="22"/>
                <w:szCs w:val="22"/>
              </w:rPr>
              <w:t>1.00</w:t>
            </w:r>
          </w:p>
        </w:tc>
      </w:tr>
    </w:tbl>
    <w:p w:rsidR="00665DC3" w:rsidRDefault="00CB51D9" w:rsidP="00A23667">
      <w:pPr>
        <w:pStyle w:val="Heading3"/>
      </w:pPr>
      <w:r>
        <w:t>Preferred</w:t>
      </w:r>
      <w:r w:rsidR="00665DC3">
        <w:t xml:space="preserve"> language</w:t>
      </w:r>
    </w:p>
    <w:p w:rsidR="002E6AC6" w:rsidRDefault="00B5050A" w:rsidP="00331160">
      <w:pPr>
        <w:spacing w:before="120" w:after="120"/>
      </w:pPr>
      <w:r>
        <w:t xml:space="preserve">Residents were asked if their preferred language was English. Of those who said no, far fewer (24%) were grouped into Classes 2-5, the more independent classes, than of those who preferred to speak English (46%). The distribution of residents amongst the AN-ACC classes for both groups is shown in </w:t>
      </w:r>
      <w:r>
        <w:fldChar w:fldCharType="begin"/>
      </w:r>
      <w:r>
        <w:instrText xml:space="preserve"> REF _Ref535529426 \h </w:instrText>
      </w:r>
      <w:r>
        <w:fldChar w:fldCharType="separate"/>
      </w:r>
      <w:r w:rsidR="00785B04">
        <w:t xml:space="preserve">Figure </w:t>
      </w:r>
      <w:r w:rsidR="00785B04">
        <w:rPr>
          <w:noProof/>
        </w:rPr>
        <w:t>5</w:t>
      </w:r>
      <w:r>
        <w:fldChar w:fldCharType="end"/>
      </w:r>
      <w:r>
        <w:t>.</w:t>
      </w:r>
    </w:p>
    <w:p w:rsidR="00545E7E" w:rsidRDefault="00545E7E">
      <w:pPr>
        <w:spacing w:after="200" w:line="276" w:lineRule="auto"/>
        <w:rPr>
          <w:sz w:val="4"/>
          <w:szCs w:val="4"/>
        </w:rPr>
      </w:pPr>
      <w:r>
        <w:rPr>
          <w:sz w:val="4"/>
          <w:szCs w:val="4"/>
        </w:rPr>
        <w:br w:type="page"/>
      </w:r>
    </w:p>
    <w:p w:rsidR="00665DC3" w:rsidRPr="00AF5CE4" w:rsidRDefault="00665DC3" w:rsidP="00331160">
      <w:pPr>
        <w:spacing w:before="120" w:after="120"/>
        <w:rPr>
          <w:sz w:val="4"/>
          <w:szCs w:val="4"/>
        </w:rPr>
      </w:pPr>
    </w:p>
    <w:p w:rsidR="00F34376" w:rsidRDefault="009D61DC" w:rsidP="009D61DC">
      <w:pPr>
        <w:pStyle w:val="Caption"/>
      </w:pPr>
      <w:bookmarkStart w:id="72" w:name="_Ref535529426"/>
      <w:bookmarkStart w:id="73" w:name="_Toc953909"/>
      <w:r>
        <w:t xml:space="preserve">Figure </w:t>
      </w:r>
      <w:r w:rsidR="00E949FA">
        <w:rPr>
          <w:noProof/>
        </w:rPr>
        <w:fldChar w:fldCharType="begin"/>
      </w:r>
      <w:r w:rsidR="00E949FA">
        <w:rPr>
          <w:noProof/>
        </w:rPr>
        <w:instrText xml:space="preserve"> SEQ Figure \* ARABIC </w:instrText>
      </w:r>
      <w:r w:rsidR="00E949FA">
        <w:rPr>
          <w:noProof/>
        </w:rPr>
        <w:fldChar w:fldCharType="separate"/>
      </w:r>
      <w:r w:rsidR="00785B04">
        <w:rPr>
          <w:noProof/>
        </w:rPr>
        <w:t>5</w:t>
      </w:r>
      <w:r w:rsidR="00E949FA">
        <w:rPr>
          <w:noProof/>
        </w:rPr>
        <w:fldChar w:fldCharType="end"/>
      </w:r>
      <w:bookmarkEnd w:id="72"/>
      <w:r w:rsidR="00341AF1">
        <w:rPr>
          <w:noProof/>
        </w:rPr>
        <w:t xml:space="preserve"> </w:t>
      </w:r>
      <w:r>
        <w:tab/>
        <w:t>Distribution of AN-ACC classes by preferred language</w:t>
      </w:r>
      <w:bookmarkEnd w:id="73"/>
    </w:p>
    <w:p w:rsidR="00560D6E" w:rsidRDefault="00560D6E" w:rsidP="00331160">
      <w:pPr>
        <w:spacing w:before="120" w:after="120"/>
        <w:rPr>
          <w:noProof/>
        </w:rPr>
      </w:pPr>
      <w:r w:rsidRPr="00560D6E">
        <w:rPr>
          <w:noProof/>
        </w:rPr>
        <w:drawing>
          <wp:inline distT="0" distB="0" distL="0" distR="0" wp14:anchorId="1130B59E" wp14:editId="14B4240D">
            <wp:extent cx="5468400" cy="4140000"/>
            <wp:effectExtent l="0" t="0" r="0" b="0"/>
            <wp:docPr id="2" name="Picture 2" descr="Figure 5 shows the distribution of AN- ACC classes by preferred language. Of those residents who said that English was not their preferred language, far fewer (24%) were grouped into Classes 2-5, the more independent classes, than of those who preferred to speak English (46%)." title="Figure 5  Distribution of AN-ACC classes by preferred langu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68400" cy="4140000"/>
                    </a:xfrm>
                    <a:prstGeom prst="rect">
                      <a:avLst/>
                    </a:prstGeom>
                    <a:noFill/>
                    <a:ln>
                      <a:noFill/>
                    </a:ln>
                  </pic:spPr>
                </pic:pic>
              </a:graphicData>
            </a:graphic>
          </wp:inline>
        </w:drawing>
      </w:r>
    </w:p>
    <w:p w:rsidR="00CB51D9" w:rsidRDefault="00B5050A" w:rsidP="00331160">
      <w:pPr>
        <w:spacing w:before="120" w:after="120"/>
      </w:pPr>
      <w:r>
        <w:t xml:space="preserve">From </w:t>
      </w:r>
      <w:r>
        <w:fldChar w:fldCharType="begin"/>
      </w:r>
      <w:r>
        <w:instrText xml:space="preserve"> REF _Ref535529476 \h </w:instrText>
      </w:r>
      <w:r>
        <w:fldChar w:fldCharType="separate"/>
      </w:r>
      <w:r w:rsidR="00785B04">
        <w:t xml:space="preserve">Table </w:t>
      </w:r>
      <w:r w:rsidR="00785B04">
        <w:rPr>
          <w:noProof/>
        </w:rPr>
        <w:t>7</w:t>
      </w:r>
      <w:r>
        <w:fldChar w:fldCharType="end"/>
      </w:r>
      <w:r>
        <w:t xml:space="preserve"> it can be seen that the relative payment for an occupied bed day </w:t>
      </w:r>
      <w:r w:rsidR="00545E7E">
        <w:t xml:space="preserve">is </w:t>
      </w:r>
      <w:r>
        <w:t>ver</w:t>
      </w:r>
      <w:r w:rsidR="00101215">
        <w:t>y</w:t>
      </w:r>
      <w:r>
        <w:t xml:space="preserve"> similar under both funding models, </w:t>
      </w:r>
      <w:r w:rsidR="00101215">
        <w:t>at 9% or 7% above the sample average</w:t>
      </w:r>
      <w:r w:rsidR="00545E7E">
        <w:t>. Residents w</w:t>
      </w:r>
      <w:r>
        <w:t xml:space="preserve">ith </w:t>
      </w:r>
      <w:r w:rsidR="00545E7E">
        <w:t>E</w:t>
      </w:r>
      <w:r>
        <w:t xml:space="preserve">nglish </w:t>
      </w:r>
      <w:r w:rsidR="00545E7E">
        <w:t xml:space="preserve">as their preferred language </w:t>
      </w:r>
      <w:r>
        <w:t xml:space="preserve">attract a lower payment than those for whom English </w:t>
      </w:r>
      <w:r w:rsidR="00545E7E">
        <w:t>is</w:t>
      </w:r>
      <w:r>
        <w:t xml:space="preserve"> not the</w:t>
      </w:r>
      <w:r w:rsidR="00101215">
        <w:t>ir</w:t>
      </w:r>
      <w:r>
        <w:t xml:space="preserve"> </w:t>
      </w:r>
      <w:r w:rsidR="00545E7E">
        <w:t xml:space="preserve">preferred </w:t>
      </w:r>
      <w:r>
        <w:t>language.</w:t>
      </w:r>
    </w:p>
    <w:p w:rsidR="00CB51D9" w:rsidRDefault="005F6065" w:rsidP="005F6065">
      <w:pPr>
        <w:pStyle w:val="Caption"/>
      </w:pPr>
      <w:bookmarkStart w:id="74" w:name="_Ref535529476"/>
      <w:bookmarkStart w:id="75" w:name="_Toc953899"/>
      <w:r>
        <w:t xml:space="preserve">Table </w:t>
      </w:r>
      <w:r w:rsidR="00E949FA">
        <w:rPr>
          <w:noProof/>
        </w:rPr>
        <w:fldChar w:fldCharType="begin"/>
      </w:r>
      <w:r w:rsidR="00E949FA">
        <w:rPr>
          <w:noProof/>
        </w:rPr>
        <w:instrText xml:space="preserve"> SEQ Table \* ARABIC </w:instrText>
      </w:r>
      <w:r w:rsidR="00E949FA">
        <w:rPr>
          <w:noProof/>
        </w:rPr>
        <w:fldChar w:fldCharType="separate"/>
      </w:r>
      <w:r w:rsidR="00785B04">
        <w:rPr>
          <w:noProof/>
        </w:rPr>
        <w:t>7</w:t>
      </w:r>
      <w:r w:rsidR="00E949FA">
        <w:rPr>
          <w:noProof/>
        </w:rPr>
        <w:fldChar w:fldCharType="end"/>
      </w:r>
      <w:bookmarkEnd w:id="74"/>
      <w:r w:rsidR="00341AF1">
        <w:rPr>
          <w:noProof/>
        </w:rPr>
        <w:t xml:space="preserve"> </w:t>
      </w:r>
      <w:r>
        <w:tab/>
        <w:t>Payment relativities by preferred language</w:t>
      </w:r>
      <w:bookmarkEnd w:id="75"/>
    </w:p>
    <w:tbl>
      <w:tblPr>
        <w:tblW w:w="8926" w:type="dxa"/>
        <w:tblInd w:w="113" w:type="dxa"/>
        <w:tblLayout w:type="fixed"/>
        <w:tblLook w:val="04A0" w:firstRow="1" w:lastRow="0" w:firstColumn="1" w:lastColumn="0" w:noHBand="0" w:noVBand="1"/>
        <w:tblCaption w:val="Table 7 Payment relativities by preferred language"/>
        <w:tblDescription w:val="Table 7 shows that the relative payment for an occupied bed day is very similar under both funding models, at 9% or 7% above the sample average. Residents with English as their preferred language attract a lower payment than those for whom English is not their preferred language. This table is to be read as a series of rows from left to right ('preferred language' then 'number of facilities' then 'number of residents' then 'AN-ACC NWAU per occupied bed day' then 'ACFI weight per occupied bed day'), top to bottom."/>
      </w:tblPr>
      <w:tblGrid>
        <w:gridCol w:w="1696"/>
        <w:gridCol w:w="1608"/>
        <w:gridCol w:w="1653"/>
        <w:gridCol w:w="1984"/>
        <w:gridCol w:w="1985"/>
      </w:tblGrid>
      <w:tr w:rsidR="00CB51D9" w:rsidRPr="00CB51D9" w:rsidTr="002E6AC6">
        <w:trPr>
          <w:trHeight w:val="699"/>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CB51D9" w:rsidRPr="00CB51D9" w:rsidRDefault="00CB51D9" w:rsidP="002E6AC6">
            <w:pPr>
              <w:spacing w:before="80" w:after="80"/>
              <w:rPr>
                <w:rFonts w:ascii="Calibri" w:hAnsi="Calibri" w:cs="Calibri"/>
                <w:b/>
                <w:color w:val="000000"/>
                <w:sz w:val="22"/>
                <w:szCs w:val="22"/>
              </w:rPr>
            </w:pPr>
            <w:r w:rsidRPr="00CB51D9">
              <w:rPr>
                <w:rFonts w:ascii="Calibri" w:hAnsi="Calibri" w:cs="Calibri"/>
                <w:b/>
                <w:color w:val="000000"/>
                <w:sz w:val="22"/>
                <w:szCs w:val="22"/>
              </w:rPr>
              <w:t>Preferred language</w:t>
            </w:r>
          </w:p>
        </w:tc>
        <w:tc>
          <w:tcPr>
            <w:tcW w:w="1608" w:type="dxa"/>
            <w:tcBorders>
              <w:top w:val="single" w:sz="4" w:space="0" w:color="auto"/>
              <w:left w:val="nil"/>
              <w:bottom w:val="single" w:sz="4" w:space="0" w:color="auto"/>
              <w:right w:val="single" w:sz="4" w:space="0" w:color="auto"/>
            </w:tcBorders>
            <w:shd w:val="clear" w:color="auto" w:fill="auto"/>
            <w:hideMark/>
          </w:tcPr>
          <w:p w:rsidR="00CB51D9" w:rsidRPr="00CB51D9" w:rsidRDefault="00CB51D9" w:rsidP="002E6AC6">
            <w:pPr>
              <w:spacing w:before="80" w:after="80"/>
              <w:jc w:val="right"/>
              <w:rPr>
                <w:rFonts w:ascii="Calibri" w:hAnsi="Calibri" w:cs="Calibri"/>
                <w:b/>
                <w:color w:val="000000"/>
                <w:sz w:val="22"/>
                <w:szCs w:val="22"/>
              </w:rPr>
            </w:pPr>
            <w:r w:rsidRPr="00CB51D9">
              <w:rPr>
                <w:rFonts w:ascii="Calibri" w:hAnsi="Calibri" w:cs="Calibri"/>
                <w:b/>
                <w:color w:val="000000"/>
                <w:sz w:val="22"/>
                <w:szCs w:val="22"/>
              </w:rPr>
              <w:t>No. of Facilities</w:t>
            </w:r>
          </w:p>
        </w:tc>
        <w:tc>
          <w:tcPr>
            <w:tcW w:w="1653" w:type="dxa"/>
            <w:tcBorders>
              <w:top w:val="single" w:sz="4" w:space="0" w:color="auto"/>
              <w:left w:val="nil"/>
              <w:bottom w:val="single" w:sz="4" w:space="0" w:color="auto"/>
              <w:right w:val="single" w:sz="4" w:space="0" w:color="auto"/>
            </w:tcBorders>
            <w:shd w:val="clear" w:color="auto" w:fill="auto"/>
            <w:hideMark/>
          </w:tcPr>
          <w:p w:rsidR="00CB51D9" w:rsidRPr="00CB51D9" w:rsidRDefault="00CB51D9" w:rsidP="002E6AC6">
            <w:pPr>
              <w:spacing w:before="80" w:after="80"/>
              <w:jc w:val="right"/>
              <w:rPr>
                <w:rFonts w:ascii="Calibri" w:hAnsi="Calibri" w:cs="Calibri"/>
                <w:b/>
                <w:color w:val="000000"/>
                <w:sz w:val="22"/>
                <w:szCs w:val="22"/>
              </w:rPr>
            </w:pPr>
            <w:r w:rsidRPr="00CB51D9">
              <w:rPr>
                <w:rFonts w:ascii="Calibri" w:hAnsi="Calibri" w:cs="Calibri"/>
                <w:b/>
                <w:color w:val="000000"/>
                <w:sz w:val="22"/>
                <w:szCs w:val="22"/>
              </w:rPr>
              <w:t>No. of Residents</w:t>
            </w:r>
          </w:p>
        </w:tc>
        <w:tc>
          <w:tcPr>
            <w:tcW w:w="1984" w:type="dxa"/>
            <w:tcBorders>
              <w:top w:val="single" w:sz="4" w:space="0" w:color="auto"/>
              <w:left w:val="nil"/>
              <w:bottom w:val="single" w:sz="4" w:space="0" w:color="auto"/>
              <w:right w:val="single" w:sz="4" w:space="0" w:color="auto"/>
            </w:tcBorders>
            <w:shd w:val="clear" w:color="auto" w:fill="auto"/>
            <w:hideMark/>
          </w:tcPr>
          <w:p w:rsidR="00545E7E" w:rsidRDefault="00B5050A" w:rsidP="00545E7E">
            <w:pPr>
              <w:spacing w:before="80" w:after="80"/>
              <w:jc w:val="right"/>
              <w:rPr>
                <w:rFonts w:ascii="Calibri" w:hAnsi="Calibri" w:cs="Calibri"/>
                <w:b/>
                <w:color w:val="000000"/>
                <w:sz w:val="22"/>
                <w:szCs w:val="22"/>
              </w:rPr>
            </w:pPr>
            <w:r>
              <w:rPr>
                <w:rFonts w:ascii="Calibri" w:hAnsi="Calibri" w:cs="Calibri"/>
                <w:b/>
                <w:color w:val="000000"/>
                <w:sz w:val="22"/>
                <w:szCs w:val="22"/>
              </w:rPr>
              <w:t>AN-ACC</w:t>
            </w:r>
          </w:p>
          <w:p w:rsidR="00CB51D9" w:rsidRPr="00CB51D9" w:rsidRDefault="00CB51D9" w:rsidP="00545E7E">
            <w:pPr>
              <w:spacing w:before="80" w:after="80"/>
              <w:jc w:val="right"/>
              <w:rPr>
                <w:rFonts w:ascii="Calibri" w:hAnsi="Calibri" w:cs="Calibri"/>
                <w:b/>
                <w:color w:val="000000"/>
                <w:sz w:val="22"/>
                <w:szCs w:val="22"/>
              </w:rPr>
            </w:pPr>
            <w:r w:rsidRPr="00CB51D9">
              <w:rPr>
                <w:rFonts w:ascii="Calibri" w:hAnsi="Calibri" w:cs="Calibri"/>
                <w:b/>
                <w:color w:val="000000"/>
                <w:sz w:val="22"/>
                <w:szCs w:val="22"/>
              </w:rPr>
              <w:t>NWAU per occupied bed day</w:t>
            </w:r>
          </w:p>
        </w:tc>
        <w:tc>
          <w:tcPr>
            <w:tcW w:w="1985" w:type="dxa"/>
            <w:tcBorders>
              <w:top w:val="single" w:sz="4" w:space="0" w:color="auto"/>
              <w:left w:val="nil"/>
              <w:bottom w:val="single" w:sz="4" w:space="0" w:color="auto"/>
              <w:right w:val="single" w:sz="4" w:space="0" w:color="auto"/>
            </w:tcBorders>
            <w:shd w:val="clear" w:color="auto" w:fill="auto"/>
            <w:hideMark/>
          </w:tcPr>
          <w:p w:rsidR="00545E7E" w:rsidRDefault="00CB51D9" w:rsidP="002E6AC6">
            <w:pPr>
              <w:spacing w:before="80" w:after="80"/>
              <w:jc w:val="right"/>
              <w:rPr>
                <w:rFonts w:ascii="Calibri" w:hAnsi="Calibri" w:cs="Calibri"/>
                <w:b/>
                <w:color w:val="000000"/>
                <w:sz w:val="22"/>
                <w:szCs w:val="22"/>
              </w:rPr>
            </w:pPr>
            <w:r w:rsidRPr="00CB51D9">
              <w:rPr>
                <w:rFonts w:ascii="Calibri" w:hAnsi="Calibri" w:cs="Calibri"/>
                <w:b/>
                <w:color w:val="000000"/>
                <w:sz w:val="22"/>
                <w:szCs w:val="22"/>
              </w:rPr>
              <w:t xml:space="preserve">ACFI </w:t>
            </w:r>
          </w:p>
          <w:p w:rsidR="00CB51D9" w:rsidRPr="00CB51D9" w:rsidRDefault="00CB51D9" w:rsidP="002E6AC6">
            <w:pPr>
              <w:spacing w:before="80" w:after="80"/>
              <w:jc w:val="right"/>
              <w:rPr>
                <w:rFonts w:ascii="Calibri" w:hAnsi="Calibri" w:cs="Calibri"/>
                <w:b/>
                <w:color w:val="000000"/>
                <w:sz w:val="22"/>
                <w:szCs w:val="22"/>
              </w:rPr>
            </w:pPr>
            <w:r w:rsidRPr="00CB51D9">
              <w:rPr>
                <w:rFonts w:ascii="Calibri" w:hAnsi="Calibri" w:cs="Calibri"/>
                <w:b/>
                <w:color w:val="000000"/>
                <w:sz w:val="22"/>
                <w:szCs w:val="22"/>
              </w:rPr>
              <w:t>Weight per occupied bed day</w:t>
            </w:r>
          </w:p>
        </w:tc>
      </w:tr>
      <w:tr w:rsidR="00CB51D9" w:rsidRPr="00CB51D9" w:rsidTr="00CB51D9">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CB51D9" w:rsidRPr="00CB51D9" w:rsidRDefault="00CB51D9" w:rsidP="002E6AC6">
            <w:pPr>
              <w:spacing w:before="80" w:after="80"/>
              <w:rPr>
                <w:rFonts w:ascii="Calibri" w:hAnsi="Calibri" w:cs="Calibri"/>
                <w:color w:val="000000"/>
                <w:sz w:val="22"/>
                <w:szCs w:val="22"/>
              </w:rPr>
            </w:pPr>
            <w:r w:rsidRPr="00CB51D9">
              <w:rPr>
                <w:rFonts w:ascii="Calibri" w:hAnsi="Calibri" w:cs="Calibri"/>
                <w:color w:val="000000"/>
                <w:sz w:val="22"/>
                <w:szCs w:val="22"/>
              </w:rPr>
              <w:t>Not English</w:t>
            </w:r>
          </w:p>
        </w:tc>
        <w:tc>
          <w:tcPr>
            <w:tcW w:w="1608" w:type="dxa"/>
            <w:tcBorders>
              <w:top w:val="nil"/>
              <w:left w:val="nil"/>
              <w:bottom w:val="single" w:sz="4" w:space="0" w:color="auto"/>
              <w:right w:val="single" w:sz="4" w:space="0" w:color="auto"/>
            </w:tcBorders>
            <w:shd w:val="clear" w:color="auto" w:fill="auto"/>
            <w:noWrap/>
            <w:vAlign w:val="bottom"/>
            <w:hideMark/>
          </w:tcPr>
          <w:p w:rsidR="00CB51D9" w:rsidRPr="00CB51D9" w:rsidRDefault="00CB51D9" w:rsidP="002E6AC6">
            <w:pPr>
              <w:spacing w:before="80" w:after="80"/>
              <w:jc w:val="right"/>
              <w:rPr>
                <w:rFonts w:ascii="Calibri" w:hAnsi="Calibri" w:cs="Calibri"/>
                <w:color w:val="000000"/>
                <w:sz w:val="22"/>
                <w:szCs w:val="22"/>
              </w:rPr>
            </w:pPr>
            <w:r w:rsidRPr="00CB51D9">
              <w:rPr>
                <w:rFonts w:ascii="Calibri" w:hAnsi="Calibri" w:cs="Calibri"/>
                <w:color w:val="000000"/>
                <w:sz w:val="22"/>
                <w:szCs w:val="22"/>
              </w:rPr>
              <w:t>57</w:t>
            </w:r>
          </w:p>
        </w:tc>
        <w:tc>
          <w:tcPr>
            <w:tcW w:w="1653" w:type="dxa"/>
            <w:tcBorders>
              <w:top w:val="nil"/>
              <w:left w:val="nil"/>
              <w:bottom w:val="single" w:sz="4" w:space="0" w:color="auto"/>
              <w:right w:val="single" w:sz="4" w:space="0" w:color="auto"/>
            </w:tcBorders>
            <w:shd w:val="clear" w:color="auto" w:fill="auto"/>
            <w:noWrap/>
            <w:vAlign w:val="bottom"/>
            <w:hideMark/>
          </w:tcPr>
          <w:p w:rsidR="00CB51D9" w:rsidRPr="00CB51D9" w:rsidRDefault="00B871BB" w:rsidP="002E6AC6">
            <w:pPr>
              <w:spacing w:before="80" w:after="80"/>
              <w:jc w:val="right"/>
              <w:rPr>
                <w:rFonts w:ascii="Calibri" w:hAnsi="Calibri" w:cs="Calibri"/>
                <w:color w:val="000000"/>
                <w:sz w:val="22"/>
                <w:szCs w:val="22"/>
              </w:rPr>
            </w:pPr>
            <w:r>
              <w:rPr>
                <w:rFonts w:ascii="Calibri" w:hAnsi="Calibri" w:cs="Calibri"/>
                <w:color w:val="000000"/>
                <w:sz w:val="22"/>
                <w:szCs w:val="22"/>
              </w:rPr>
              <w:t>381</w:t>
            </w:r>
          </w:p>
        </w:tc>
        <w:tc>
          <w:tcPr>
            <w:tcW w:w="1984" w:type="dxa"/>
            <w:tcBorders>
              <w:top w:val="nil"/>
              <w:left w:val="nil"/>
              <w:bottom w:val="single" w:sz="4" w:space="0" w:color="auto"/>
              <w:right w:val="single" w:sz="4" w:space="0" w:color="auto"/>
            </w:tcBorders>
            <w:shd w:val="clear" w:color="auto" w:fill="auto"/>
            <w:noWrap/>
            <w:vAlign w:val="bottom"/>
            <w:hideMark/>
          </w:tcPr>
          <w:p w:rsidR="00CB51D9" w:rsidRPr="00CB51D9" w:rsidRDefault="00CB51D9" w:rsidP="002E6AC6">
            <w:pPr>
              <w:spacing w:before="80" w:after="80"/>
              <w:jc w:val="right"/>
              <w:rPr>
                <w:rFonts w:ascii="Calibri" w:hAnsi="Calibri" w:cs="Calibri"/>
                <w:color w:val="000000"/>
                <w:sz w:val="22"/>
                <w:szCs w:val="22"/>
              </w:rPr>
            </w:pPr>
            <w:r w:rsidRPr="00CB51D9">
              <w:rPr>
                <w:rFonts w:ascii="Calibri" w:hAnsi="Calibri" w:cs="Calibri"/>
                <w:color w:val="000000"/>
                <w:sz w:val="22"/>
                <w:szCs w:val="22"/>
              </w:rPr>
              <w:t>1.09</w:t>
            </w:r>
          </w:p>
        </w:tc>
        <w:tc>
          <w:tcPr>
            <w:tcW w:w="1985" w:type="dxa"/>
            <w:tcBorders>
              <w:top w:val="nil"/>
              <w:left w:val="nil"/>
              <w:bottom w:val="single" w:sz="4" w:space="0" w:color="auto"/>
              <w:right w:val="single" w:sz="4" w:space="0" w:color="auto"/>
            </w:tcBorders>
            <w:shd w:val="clear" w:color="auto" w:fill="auto"/>
            <w:noWrap/>
            <w:vAlign w:val="bottom"/>
            <w:hideMark/>
          </w:tcPr>
          <w:p w:rsidR="00CB51D9" w:rsidRPr="00CB51D9" w:rsidRDefault="00CB51D9" w:rsidP="002E6AC6">
            <w:pPr>
              <w:spacing w:before="80" w:after="80"/>
              <w:jc w:val="right"/>
              <w:rPr>
                <w:rFonts w:ascii="Calibri" w:hAnsi="Calibri" w:cs="Calibri"/>
                <w:color w:val="000000"/>
                <w:sz w:val="22"/>
                <w:szCs w:val="22"/>
              </w:rPr>
            </w:pPr>
            <w:r w:rsidRPr="00CB51D9">
              <w:rPr>
                <w:rFonts w:ascii="Calibri" w:hAnsi="Calibri" w:cs="Calibri"/>
                <w:color w:val="000000"/>
                <w:sz w:val="22"/>
                <w:szCs w:val="22"/>
              </w:rPr>
              <w:t>1.07</w:t>
            </w:r>
          </w:p>
        </w:tc>
      </w:tr>
      <w:tr w:rsidR="00CB51D9" w:rsidRPr="00CB51D9" w:rsidTr="00CB51D9">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CB51D9" w:rsidRPr="00CB51D9" w:rsidRDefault="00CB51D9" w:rsidP="002E6AC6">
            <w:pPr>
              <w:spacing w:before="80" w:after="80"/>
              <w:rPr>
                <w:rFonts w:ascii="Calibri" w:hAnsi="Calibri" w:cs="Calibri"/>
                <w:color w:val="000000"/>
                <w:sz w:val="22"/>
                <w:szCs w:val="22"/>
              </w:rPr>
            </w:pPr>
            <w:r w:rsidRPr="00CB51D9">
              <w:rPr>
                <w:rFonts w:ascii="Calibri" w:hAnsi="Calibri" w:cs="Calibri"/>
                <w:color w:val="000000"/>
                <w:sz w:val="22"/>
                <w:szCs w:val="22"/>
              </w:rPr>
              <w:t>English</w:t>
            </w:r>
          </w:p>
        </w:tc>
        <w:tc>
          <w:tcPr>
            <w:tcW w:w="1608" w:type="dxa"/>
            <w:tcBorders>
              <w:top w:val="nil"/>
              <w:left w:val="nil"/>
              <w:bottom w:val="single" w:sz="4" w:space="0" w:color="auto"/>
              <w:right w:val="single" w:sz="4" w:space="0" w:color="auto"/>
            </w:tcBorders>
            <w:shd w:val="clear" w:color="auto" w:fill="auto"/>
            <w:noWrap/>
            <w:vAlign w:val="bottom"/>
            <w:hideMark/>
          </w:tcPr>
          <w:p w:rsidR="00CB51D9" w:rsidRPr="00CB51D9" w:rsidRDefault="00CB51D9" w:rsidP="002E6AC6">
            <w:pPr>
              <w:spacing w:before="80" w:after="80"/>
              <w:jc w:val="right"/>
              <w:rPr>
                <w:rFonts w:ascii="Calibri" w:hAnsi="Calibri" w:cs="Calibri"/>
                <w:color w:val="000000"/>
                <w:sz w:val="22"/>
                <w:szCs w:val="22"/>
              </w:rPr>
            </w:pPr>
            <w:r w:rsidRPr="00CB51D9">
              <w:rPr>
                <w:rFonts w:ascii="Calibri" w:hAnsi="Calibri" w:cs="Calibri"/>
                <w:color w:val="000000"/>
                <w:sz w:val="22"/>
                <w:szCs w:val="22"/>
              </w:rPr>
              <w:t>80</w:t>
            </w:r>
          </w:p>
        </w:tc>
        <w:tc>
          <w:tcPr>
            <w:tcW w:w="1653" w:type="dxa"/>
            <w:tcBorders>
              <w:top w:val="nil"/>
              <w:left w:val="nil"/>
              <w:bottom w:val="single" w:sz="4" w:space="0" w:color="auto"/>
              <w:right w:val="single" w:sz="4" w:space="0" w:color="auto"/>
            </w:tcBorders>
            <w:shd w:val="clear" w:color="auto" w:fill="auto"/>
            <w:noWrap/>
            <w:vAlign w:val="bottom"/>
            <w:hideMark/>
          </w:tcPr>
          <w:p w:rsidR="00CB51D9" w:rsidRPr="00CB51D9" w:rsidRDefault="00B871BB" w:rsidP="002E6AC6">
            <w:pPr>
              <w:spacing w:before="80" w:after="80"/>
              <w:jc w:val="right"/>
              <w:rPr>
                <w:rFonts w:ascii="Calibri" w:hAnsi="Calibri" w:cs="Calibri"/>
                <w:color w:val="000000"/>
                <w:sz w:val="22"/>
                <w:szCs w:val="22"/>
              </w:rPr>
            </w:pPr>
            <w:r>
              <w:rPr>
                <w:rFonts w:ascii="Calibri" w:hAnsi="Calibri" w:cs="Calibri"/>
                <w:color w:val="000000"/>
                <w:sz w:val="22"/>
                <w:szCs w:val="22"/>
              </w:rPr>
              <w:t>2,745</w:t>
            </w:r>
          </w:p>
        </w:tc>
        <w:tc>
          <w:tcPr>
            <w:tcW w:w="1984" w:type="dxa"/>
            <w:tcBorders>
              <w:top w:val="nil"/>
              <w:left w:val="nil"/>
              <w:bottom w:val="single" w:sz="4" w:space="0" w:color="auto"/>
              <w:right w:val="single" w:sz="4" w:space="0" w:color="auto"/>
            </w:tcBorders>
            <w:shd w:val="clear" w:color="auto" w:fill="auto"/>
            <w:noWrap/>
            <w:vAlign w:val="bottom"/>
            <w:hideMark/>
          </w:tcPr>
          <w:p w:rsidR="00CB51D9" w:rsidRPr="00CB51D9" w:rsidRDefault="00CB51D9" w:rsidP="002E6AC6">
            <w:pPr>
              <w:spacing w:before="80" w:after="80"/>
              <w:jc w:val="right"/>
              <w:rPr>
                <w:rFonts w:ascii="Calibri" w:hAnsi="Calibri" w:cs="Calibri"/>
                <w:color w:val="000000"/>
                <w:sz w:val="22"/>
                <w:szCs w:val="22"/>
              </w:rPr>
            </w:pPr>
            <w:r w:rsidRPr="00CB51D9">
              <w:rPr>
                <w:rFonts w:ascii="Calibri" w:hAnsi="Calibri" w:cs="Calibri"/>
                <w:color w:val="000000"/>
                <w:sz w:val="22"/>
                <w:szCs w:val="22"/>
              </w:rPr>
              <w:t>0.99</w:t>
            </w:r>
          </w:p>
        </w:tc>
        <w:tc>
          <w:tcPr>
            <w:tcW w:w="1985" w:type="dxa"/>
            <w:tcBorders>
              <w:top w:val="nil"/>
              <w:left w:val="nil"/>
              <w:bottom w:val="single" w:sz="4" w:space="0" w:color="auto"/>
              <w:right w:val="single" w:sz="4" w:space="0" w:color="auto"/>
            </w:tcBorders>
            <w:shd w:val="clear" w:color="auto" w:fill="auto"/>
            <w:noWrap/>
            <w:vAlign w:val="bottom"/>
            <w:hideMark/>
          </w:tcPr>
          <w:p w:rsidR="00CB51D9" w:rsidRPr="00CB51D9" w:rsidRDefault="00CB51D9" w:rsidP="002E6AC6">
            <w:pPr>
              <w:spacing w:before="80" w:after="80"/>
              <w:jc w:val="right"/>
              <w:rPr>
                <w:rFonts w:ascii="Calibri" w:hAnsi="Calibri" w:cs="Calibri"/>
                <w:color w:val="000000"/>
                <w:sz w:val="22"/>
                <w:szCs w:val="22"/>
              </w:rPr>
            </w:pPr>
            <w:r w:rsidRPr="00CB51D9">
              <w:rPr>
                <w:rFonts w:ascii="Calibri" w:hAnsi="Calibri" w:cs="Calibri"/>
                <w:color w:val="000000"/>
                <w:sz w:val="22"/>
                <w:szCs w:val="22"/>
              </w:rPr>
              <w:t>0.99</w:t>
            </w:r>
          </w:p>
        </w:tc>
      </w:tr>
      <w:tr w:rsidR="00CB51D9" w:rsidRPr="00CB51D9" w:rsidTr="00CB51D9">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CB51D9" w:rsidRPr="00CB51D9" w:rsidRDefault="00CB51D9" w:rsidP="002E6AC6">
            <w:pPr>
              <w:spacing w:before="80" w:after="80"/>
              <w:rPr>
                <w:rFonts w:ascii="Calibri" w:hAnsi="Calibri" w:cs="Calibri"/>
                <w:color w:val="000000"/>
                <w:sz w:val="22"/>
                <w:szCs w:val="22"/>
              </w:rPr>
            </w:pPr>
            <w:r w:rsidRPr="00CB51D9">
              <w:rPr>
                <w:rFonts w:ascii="Calibri" w:hAnsi="Calibri" w:cs="Calibri"/>
                <w:color w:val="000000"/>
                <w:sz w:val="22"/>
                <w:szCs w:val="22"/>
              </w:rPr>
              <w:t>Missing</w:t>
            </w:r>
          </w:p>
        </w:tc>
        <w:tc>
          <w:tcPr>
            <w:tcW w:w="1608" w:type="dxa"/>
            <w:tcBorders>
              <w:top w:val="nil"/>
              <w:left w:val="nil"/>
              <w:bottom w:val="single" w:sz="4" w:space="0" w:color="auto"/>
              <w:right w:val="single" w:sz="4" w:space="0" w:color="auto"/>
            </w:tcBorders>
            <w:shd w:val="clear" w:color="auto" w:fill="auto"/>
            <w:noWrap/>
            <w:vAlign w:val="bottom"/>
            <w:hideMark/>
          </w:tcPr>
          <w:p w:rsidR="00CB51D9" w:rsidRPr="00CB51D9" w:rsidRDefault="00CB51D9" w:rsidP="002E6AC6">
            <w:pPr>
              <w:spacing w:before="80" w:after="80"/>
              <w:jc w:val="right"/>
              <w:rPr>
                <w:rFonts w:ascii="Calibri" w:hAnsi="Calibri" w:cs="Calibri"/>
                <w:color w:val="000000"/>
                <w:sz w:val="22"/>
                <w:szCs w:val="22"/>
              </w:rPr>
            </w:pPr>
            <w:r w:rsidRPr="00CB51D9">
              <w:rPr>
                <w:rFonts w:ascii="Calibri" w:hAnsi="Calibri" w:cs="Calibri"/>
                <w:color w:val="000000"/>
                <w:sz w:val="22"/>
                <w:szCs w:val="22"/>
              </w:rPr>
              <w:t>17</w:t>
            </w:r>
          </w:p>
        </w:tc>
        <w:tc>
          <w:tcPr>
            <w:tcW w:w="1653" w:type="dxa"/>
            <w:tcBorders>
              <w:top w:val="nil"/>
              <w:left w:val="nil"/>
              <w:bottom w:val="single" w:sz="4" w:space="0" w:color="auto"/>
              <w:right w:val="single" w:sz="4" w:space="0" w:color="auto"/>
            </w:tcBorders>
            <w:shd w:val="clear" w:color="auto" w:fill="auto"/>
            <w:noWrap/>
            <w:vAlign w:val="bottom"/>
            <w:hideMark/>
          </w:tcPr>
          <w:p w:rsidR="00CB51D9" w:rsidRPr="00CB51D9" w:rsidRDefault="00B871BB" w:rsidP="002E6AC6">
            <w:pPr>
              <w:spacing w:before="80" w:after="80"/>
              <w:jc w:val="right"/>
              <w:rPr>
                <w:rFonts w:ascii="Calibri" w:hAnsi="Calibri" w:cs="Calibri"/>
                <w:color w:val="000000"/>
                <w:sz w:val="22"/>
                <w:szCs w:val="22"/>
              </w:rPr>
            </w:pPr>
            <w:r>
              <w:rPr>
                <w:rFonts w:ascii="Calibri" w:hAnsi="Calibri" w:cs="Calibri"/>
                <w:color w:val="000000"/>
                <w:sz w:val="22"/>
                <w:szCs w:val="22"/>
              </w:rPr>
              <w:t>22</w:t>
            </w:r>
          </w:p>
        </w:tc>
        <w:tc>
          <w:tcPr>
            <w:tcW w:w="1984" w:type="dxa"/>
            <w:tcBorders>
              <w:top w:val="nil"/>
              <w:left w:val="nil"/>
              <w:bottom w:val="single" w:sz="4" w:space="0" w:color="auto"/>
              <w:right w:val="single" w:sz="4" w:space="0" w:color="auto"/>
            </w:tcBorders>
            <w:shd w:val="clear" w:color="auto" w:fill="auto"/>
            <w:noWrap/>
            <w:vAlign w:val="bottom"/>
            <w:hideMark/>
          </w:tcPr>
          <w:p w:rsidR="00CB51D9" w:rsidRPr="00CB51D9" w:rsidRDefault="00CB51D9" w:rsidP="002E6AC6">
            <w:pPr>
              <w:spacing w:before="80" w:after="80"/>
              <w:rPr>
                <w:rFonts w:ascii="Calibri" w:hAnsi="Calibri" w:cs="Calibri"/>
                <w:color w:val="000000"/>
                <w:sz w:val="22"/>
                <w:szCs w:val="22"/>
              </w:rPr>
            </w:pPr>
          </w:p>
        </w:tc>
        <w:tc>
          <w:tcPr>
            <w:tcW w:w="1985" w:type="dxa"/>
            <w:tcBorders>
              <w:top w:val="nil"/>
              <w:left w:val="nil"/>
              <w:bottom w:val="single" w:sz="4" w:space="0" w:color="auto"/>
              <w:right w:val="single" w:sz="4" w:space="0" w:color="auto"/>
            </w:tcBorders>
            <w:shd w:val="clear" w:color="auto" w:fill="auto"/>
            <w:noWrap/>
            <w:vAlign w:val="bottom"/>
            <w:hideMark/>
          </w:tcPr>
          <w:p w:rsidR="00CB51D9" w:rsidRPr="00CB51D9" w:rsidRDefault="00CB51D9" w:rsidP="002E6AC6">
            <w:pPr>
              <w:spacing w:before="80" w:after="80"/>
              <w:rPr>
                <w:rFonts w:ascii="Calibri" w:hAnsi="Calibri" w:cs="Calibri"/>
                <w:color w:val="000000"/>
                <w:sz w:val="22"/>
                <w:szCs w:val="22"/>
              </w:rPr>
            </w:pPr>
          </w:p>
        </w:tc>
      </w:tr>
      <w:tr w:rsidR="00CB51D9" w:rsidRPr="00CB51D9" w:rsidTr="00CB51D9">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CB51D9" w:rsidRPr="00CB51D9" w:rsidRDefault="00B871BB" w:rsidP="002E6AC6">
            <w:pPr>
              <w:spacing w:before="80" w:after="80"/>
              <w:rPr>
                <w:rFonts w:ascii="Calibri" w:hAnsi="Calibri" w:cs="Calibri"/>
                <w:b/>
                <w:color w:val="000000"/>
                <w:sz w:val="22"/>
                <w:szCs w:val="22"/>
              </w:rPr>
            </w:pPr>
            <w:r>
              <w:rPr>
                <w:rFonts w:ascii="Calibri" w:hAnsi="Calibri" w:cs="Calibri"/>
                <w:b/>
                <w:color w:val="000000"/>
                <w:sz w:val="22"/>
                <w:szCs w:val="22"/>
              </w:rPr>
              <w:t>Total</w:t>
            </w:r>
          </w:p>
        </w:tc>
        <w:tc>
          <w:tcPr>
            <w:tcW w:w="1608" w:type="dxa"/>
            <w:tcBorders>
              <w:top w:val="nil"/>
              <w:left w:val="nil"/>
              <w:bottom w:val="single" w:sz="4" w:space="0" w:color="auto"/>
              <w:right w:val="single" w:sz="4" w:space="0" w:color="auto"/>
            </w:tcBorders>
            <w:shd w:val="clear" w:color="auto" w:fill="auto"/>
            <w:noWrap/>
            <w:vAlign w:val="bottom"/>
            <w:hideMark/>
          </w:tcPr>
          <w:p w:rsidR="00CB51D9" w:rsidRPr="00CB51D9" w:rsidRDefault="00CB51D9" w:rsidP="002E6AC6">
            <w:pPr>
              <w:spacing w:before="80" w:after="80"/>
              <w:jc w:val="right"/>
              <w:rPr>
                <w:rFonts w:ascii="Calibri" w:hAnsi="Calibri" w:cs="Calibri"/>
                <w:b/>
                <w:color w:val="000000"/>
                <w:sz w:val="22"/>
                <w:szCs w:val="22"/>
              </w:rPr>
            </w:pPr>
            <w:r w:rsidRPr="00CB51D9">
              <w:rPr>
                <w:rFonts w:ascii="Calibri" w:hAnsi="Calibri" w:cs="Calibri"/>
                <w:b/>
                <w:color w:val="000000"/>
                <w:sz w:val="22"/>
                <w:szCs w:val="22"/>
              </w:rPr>
              <w:t>80</w:t>
            </w:r>
          </w:p>
        </w:tc>
        <w:tc>
          <w:tcPr>
            <w:tcW w:w="1653" w:type="dxa"/>
            <w:tcBorders>
              <w:top w:val="nil"/>
              <w:left w:val="nil"/>
              <w:bottom w:val="single" w:sz="4" w:space="0" w:color="auto"/>
              <w:right w:val="single" w:sz="4" w:space="0" w:color="auto"/>
            </w:tcBorders>
            <w:shd w:val="clear" w:color="auto" w:fill="auto"/>
            <w:noWrap/>
            <w:vAlign w:val="bottom"/>
            <w:hideMark/>
          </w:tcPr>
          <w:p w:rsidR="00CB51D9" w:rsidRPr="00CB51D9" w:rsidRDefault="00B871BB" w:rsidP="002E6AC6">
            <w:pPr>
              <w:spacing w:before="80" w:after="80"/>
              <w:jc w:val="right"/>
              <w:rPr>
                <w:rFonts w:ascii="Calibri" w:hAnsi="Calibri" w:cs="Calibri"/>
                <w:b/>
                <w:color w:val="000000"/>
                <w:sz w:val="22"/>
                <w:szCs w:val="22"/>
              </w:rPr>
            </w:pPr>
            <w:r>
              <w:rPr>
                <w:rFonts w:ascii="Calibri" w:hAnsi="Calibri" w:cs="Calibri"/>
                <w:b/>
                <w:color w:val="000000"/>
                <w:sz w:val="22"/>
                <w:szCs w:val="22"/>
              </w:rPr>
              <w:t>3,148</w:t>
            </w:r>
          </w:p>
        </w:tc>
        <w:tc>
          <w:tcPr>
            <w:tcW w:w="1984" w:type="dxa"/>
            <w:tcBorders>
              <w:top w:val="nil"/>
              <w:left w:val="nil"/>
              <w:bottom w:val="single" w:sz="4" w:space="0" w:color="auto"/>
              <w:right w:val="single" w:sz="4" w:space="0" w:color="auto"/>
            </w:tcBorders>
            <w:shd w:val="clear" w:color="auto" w:fill="auto"/>
            <w:noWrap/>
            <w:vAlign w:val="bottom"/>
            <w:hideMark/>
          </w:tcPr>
          <w:p w:rsidR="00CB51D9" w:rsidRPr="00CB51D9" w:rsidRDefault="00CB51D9" w:rsidP="002E6AC6">
            <w:pPr>
              <w:spacing w:before="80" w:after="80"/>
              <w:jc w:val="right"/>
              <w:rPr>
                <w:rFonts w:ascii="Calibri" w:hAnsi="Calibri" w:cs="Calibri"/>
                <w:b/>
                <w:color w:val="000000"/>
                <w:sz w:val="22"/>
                <w:szCs w:val="22"/>
              </w:rPr>
            </w:pPr>
            <w:r w:rsidRPr="00CB51D9">
              <w:rPr>
                <w:rFonts w:ascii="Calibri" w:hAnsi="Calibri" w:cs="Calibri"/>
                <w:b/>
                <w:color w:val="000000"/>
                <w:sz w:val="22"/>
                <w:szCs w:val="22"/>
              </w:rPr>
              <w:t>1.00</w:t>
            </w:r>
          </w:p>
        </w:tc>
        <w:tc>
          <w:tcPr>
            <w:tcW w:w="1985" w:type="dxa"/>
            <w:tcBorders>
              <w:top w:val="nil"/>
              <w:left w:val="nil"/>
              <w:bottom w:val="single" w:sz="4" w:space="0" w:color="auto"/>
              <w:right w:val="single" w:sz="4" w:space="0" w:color="auto"/>
            </w:tcBorders>
            <w:shd w:val="clear" w:color="auto" w:fill="auto"/>
            <w:noWrap/>
            <w:vAlign w:val="bottom"/>
            <w:hideMark/>
          </w:tcPr>
          <w:p w:rsidR="00CB51D9" w:rsidRPr="00CB51D9" w:rsidRDefault="00CB51D9" w:rsidP="002E6AC6">
            <w:pPr>
              <w:spacing w:before="80" w:after="80"/>
              <w:jc w:val="right"/>
              <w:rPr>
                <w:rFonts w:ascii="Calibri" w:hAnsi="Calibri" w:cs="Calibri"/>
                <w:b/>
                <w:color w:val="000000"/>
                <w:sz w:val="22"/>
                <w:szCs w:val="22"/>
              </w:rPr>
            </w:pPr>
            <w:r w:rsidRPr="00CB51D9">
              <w:rPr>
                <w:rFonts w:ascii="Calibri" w:hAnsi="Calibri" w:cs="Calibri"/>
                <w:b/>
                <w:color w:val="000000"/>
                <w:sz w:val="22"/>
                <w:szCs w:val="22"/>
              </w:rPr>
              <w:t>1.00</w:t>
            </w:r>
          </w:p>
        </w:tc>
      </w:tr>
    </w:tbl>
    <w:p w:rsidR="00665DC3" w:rsidRDefault="00665DC3" w:rsidP="00B871BB">
      <w:pPr>
        <w:pStyle w:val="Heading2"/>
        <w:spacing w:before="1200"/>
      </w:pPr>
      <w:bookmarkStart w:id="76" w:name="_Toc2083381"/>
      <w:r>
        <w:lastRenderedPageBreak/>
        <w:t xml:space="preserve">Measuring </w:t>
      </w:r>
      <w:r w:rsidR="00A76CD2">
        <w:t xml:space="preserve">clinical </w:t>
      </w:r>
      <w:r>
        <w:t>complexity</w:t>
      </w:r>
      <w:bookmarkEnd w:id="76"/>
    </w:p>
    <w:p w:rsidR="00665DC3" w:rsidRDefault="00F41E04" w:rsidP="00331160">
      <w:pPr>
        <w:spacing w:before="120" w:after="120"/>
      </w:pPr>
      <w:r>
        <w:t>Classifying residents can be useful for a number of purposes. For example, because a casemix classification is developed using the cost of care to separate residents into groups, it can be used to allocate resources appropriately. It can also be helpful for clinical management and for understanding the clinical complexity of a group of residents.</w:t>
      </w:r>
    </w:p>
    <w:p w:rsidR="00665DC3" w:rsidRDefault="00A76CD2" w:rsidP="00331160">
      <w:pPr>
        <w:spacing w:before="120" w:after="120"/>
      </w:pPr>
      <w:r w:rsidRPr="00A76CD2">
        <w:t>Both the AN-ACC and the ACFI can be used to investigate clinical complexity. It is of interest to find out if they do this in an equivalent way.</w:t>
      </w:r>
    </w:p>
    <w:p w:rsidR="00491E4D" w:rsidRDefault="00F41E04" w:rsidP="00331160">
      <w:pPr>
        <w:spacing w:before="120" w:after="120"/>
      </w:pPr>
      <w:r>
        <w:t>It is important to note the difference between this analysis and th</w:t>
      </w:r>
      <w:r w:rsidR="00545E7E">
        <w:t>e previous analysis that</w:t>
      </w:r>
      <w:r>
        <w:t xml:space="preserve"> discuss</w:t>
      </w:r>
      <w:r w:rsidR="00545E7E">
        <w:t>ed</w:t>
      </w:r>
      <w:r>
        <w:t xml:space="preserve"> difference in payments under th</w:t>
      </w:r>
      <w:r w:rsidR="00B871BB">
        <w:t>e two different funding models.</w:t>
      </w:r>
    </w:p>
    <w:p w:rsidR="00665DC3" w:rsidRDefault="00F41E04" w:rsidP="00331160">
      <w:pPr>
        <w:spacing w:before="120" w:after="120"/>
      </w:pPr>
      <w:r w:rsidRPr="006A524C">
        <w:t xml:space="preserve">The focus of the analysis </w:t>
      </w:r>
      <w:r w:rsidR="00545E7E">
        <w:t xml:space="preserve">in this section </w:t>
      </w:r>
      <w:r w:rsidRPr="006A524C">
        <w:t xml:space="preserve">is the degree to which the AN-ACC and the ACFI </w:t>
      </w:r>
      <w:r w:rsidR="00CB3F68">
        <w:t xml:space="preserve">classifications </w:t>
      </w:r>
      <w:r w:rsidRPr="006A524C">
        <w:t xml:space="preserve">indicate </w:t>
      </w:r>
      <w:r w:rsidR="00CB3F68">
        <w:t xml:space="preserve">the </w:t>
      </w:r>
      <w:r w:rsidRPr="006A524C">
        <w:t xml:space="preserve">clinical complexity of the resident. To investigate this, </w:t>
      </w:r>
      <w:r w:rsidR="00545E7E">
        <w:t xml:space="preserve">only </w:t>
      </w:r>
      <w:r w:rsidRPr="006A524C">
        <w:t xml:space="preserve">the </w:t>
      </w:r>
      <w:r w:rsidR="00545E7E">
        <w:t xml:space="preserve">AN-ACC </w:t>
      </w:r>
      <w:r w:rsidRPr="006A524C">
        <w:t xml:space="preserve">class weights </w:t>
      </w:r>
      <w:r w:rsidR="00545E7E">
        <w:t xml:space="preserve">(RVUs) are </w:t>
      </w:r>
      <w:r w:rsidRPr="006A524C">
        <w:t>used. This is because the</w:t>
      </w:r>
      <w:r w:rsidR="00545E7E">
        <w:t xml:space="preserve"> AN-ACC classes </w:t>
      </w:r>
      <w:r w:rsidRPr="006A524C">
        <w:t xml:space="preserve">are </w:t>
      </w:r>
      <w:r w:rsidR="00545E7E">
        <w:t xml:space="preserve">defined solely by </w:t>
      </w:r>
      <w:r w:rsidRPr="006A524C">
        <w:t>resident characteristics</w:t>
      </w:r>
      <w:r w:rsidR="00545E7E">
        <w:t>, which is also the case for the ACFI classes</w:t>
      </w:r>
      <w:r w:rsidR="00A9045A">
        <w:t>.</w:t>
      </w:r>
      <w:r w:rsidR="00CB3F68">
        <w:rPr>
          <w:rStyle w:val="FootnoteReference"/>
        </w:rPr>
        <w:footnoteReference w:id="1"/>
      </w:r>
    </w:p>
    <w:p w:rsidR="00B618C5" w:rsidRDefault="00A76CD2" w:rsidP="00331160">
      <w:pPr>
        <w:spacing w:before="120" w:after="120"/>
      </w:pPr>
      <w:r>
        <w:t xml:space="preserve">In </w:t>
      </w:r>
      <w:r>
        <w:fldChar w:fldCharType="begin"/>
      </w:r>
      <w:r>
        <w:instrText xml:space="preserve"> REF _Ref535533519 \h </w:instrText>
      </w:r>
      <w:r>
        <w:fldChar w:fldCharType="separate"/>
      </w:r>
      <w:r w:rsidR="00785B04">
        <w:t xml:space="preserve">Table </w:t>
      </w:r>
      <w:r w:rsidR="00785B04">
        <w:rPr>
          <w:noProof/>
        </w:rPr>
        <w:t>8</w:t>
      </w:r>
      <w:r>
        <w:fldChar w:fldCharType="end"/>
      </w:r>
      <w:r>
        <w:t xml:space="preserve"> the distribution of residents across the AN-ACC classes is shown as well as the average </w:t>
      </w:r>
      <w:r w:rsidR="00E800F2">
        <w:t>relative value unit (</w:t>
      </w:r>
      <w:r>
        <w:t>RVU</w:t>
      </w:r>
      <w:r w:rsidR="00E800F2">
        <w:t>)</w:t>
      </w:r>
      <w:r>
        <w:t xml:space="preserve"> of residents in the class. </w:t>
      </w:r>
      <w:r w:rsidR="00B618C5">
        <w:t>The</w:t>
      </w:r>
      <w:r w:rsidR="00CB3F68">
        <w:t>se</w:t>
      </w:r>
      <w:r w:rsidR="00B618C5">
        <w:t xml:space="preserve"> RVUs represent </w:t>
      </w:r>
      <w:r w:rsidR="00CB3F68">
        <w:t xml:space="preserve">the </w:t>
      </w:r>
      <w:r w:rsidR="00B618C5">
        <w:t xml:space="preserve">relative clinical complexity </w:t>
      </w:r>
      <w:r w:rsidR="00CB3F68">
        <w:t xml:space="preserve">(as measured by cost) </w:t>
      </w:r>
      <w:r w:rsidR="00B618C5">
        <w:t xml:space="preserve">of </w:t>
      </w:r>
      <w:r w:rsidR="00CB3F68">
        <w:t xml:space="preserve">each </w:t>
      </w:r>
      <w:r w:rsidR="00B618C5">
        <w:t xml:space="preserve">AN-ACC class. </w:t>
      </w:r>
      <w:r w:rsidR="00CB3F68">
        <w:t xml:space="preserve">The ACFI payment RVUs have been calculated in the same way to </w:t>
      </w:r>
      <w:r>
        <w:t xml:space="preserve">ensure comparability between the ACFI and the AN-ACC. </w:t>
      </w:r>
      <w:r w:rsidR="00CB3F68">
        <w:t xml:space="preserve">A more detailed description of the AN-ACC RVUs is included in Report </w:t>
      </w:r>
      <w:r w:rsidR="001830EB">
        <w:t>1</w:t>
      </w:r>
      <w:r w:rsidR="00CB3F68">
        <w:t>.</w:t>
      </w:r>
    </w:p>
    <w:p w:rsidR="00665DC3" w:rsidRDefault="00A76CD2" w:rsidP="00331160">
      <w:pPr>
        <w:spacing w:before="120" w:after="120"/>
      </w:pPr>
      <w:r>
        <w:t>It can be seen that these scaled RVUs cover</w:t>
      </w:r>
      <w:r w:rsidR="00E800F2">
        <w:t>ed</w:t>
      </w:r>
      <w:r>
        <w:t xml:space="preserve"> </w:t>
      </w:r>
      <w:r w:rsidR="00B618C5">
        <w:t>q</w:t>
      </w:r>
      <w:r>
        <w:t>uite a large range</w:t>
      </w:r>
      <w:r w:rsidR="00CB3F68">
        <w:t>. With an RVU of 1.94</w:t>
      </w:r>
      <w:r>
        <w:t xml:space="preserve">; </w:t>
      </w:r>
      <w:r w:rsidR="00B618C5">
        <w:t xml:space="preserve">residents in </w:t>
      </w:r>
      <w:r>
        <w:t xml:space="preserve">class 13 </w:t>
      </w:r>
      <w:r w:rsidR="00E800F2">
        <w:t>we</w:t>
      </w:r>
      <w:r w:rsidR="00B618C5">
        <w:t>re, on average</w:t>
      </w:r>
      <w:r w:rsidR="00E800F2">
        <w:t>,</w:t>
      </w:r>
      <w:r w:rsidR="00B618C5">
        <w:t xml:space="preserve"> 94% more complex than the sample average. At the other end of the scale, residents in Class 2 </w:t>
      </w:r>
      <w:r w:rsidR="00491E4D">
        <w:t xml:space="preserve">(with an RVU of 0.37) </w:t>
      </w:r>
      <w:r w:rsidR="00E800F2">
        <w:t>we</w:t>
      </w:r>
      <w:r w:rsidR="00B618C5">
        <w:t>re a little over one-third as complex as the sample average.</w:t>
      </w:r>
    </w:p>
    <w:p w:rsidR="005F6065" w:rsidRDefault="00B618C5" w:rsidP="00331160">
      <w:pPr>
        <w:spacing w:before="120" w:after="120"/>
      </w:pPr>
      <w:r>
        <w:t xml:space="preserve">The next column shows the relative payment under the ACFI model, for residents in </w:t>
      </w:r>
      <w:r w:rsidR="00D140B8">
        <w:t>each</w:t>
      </w:r>
      <w:r>
        <w:t xml:space="preserve"> AN-ACC class. Standard errors </w:t>
      </w:r>
      <w:r w:rsidR="00E800F2">
        <w:t xml:space="preserve">(s.e.) </w:t>
      </w:r>
      <w:r>
        <w:t>were calculated for these means and were found to be quite small.</w:t>
      </w:r>
      <w:r w:rsidR="00D140B8">
        <w:t xml:space="preserve"> Payments range from approximately three-quarters of the sample average up to 17% higher than the sample average. They increase in a very similar order to the AN-ACC </w:t>
      </w:r>
      <w:r w:rsidR="00AC6D5D">
        <w:t>RVUs</w:t>
      </w:r>
      <w:r w:rsidR="00D140B8">
        <w:t>.</w:t>
      </w:r>
    </w:p>
    <w:p w:rsidR="006A524C" w:rsidRDefault="00D140B8" w:rsidP="00B871BB">
      <w:pPr>
        <w:spacing w:before="120" w:after="720"/>
      </w:pPr>
      <w:r>
        <w:t>The remaining columns in this table show the percentage of residents in a class who were rated as High (H) in one, two and three domains respectively</w:t>
      </w:r>
      <w:r w:rsidR="00A9045A">
        <w:t>.</w:t>
      </w:r>
      <w:r w:rsidR="00AC6D5D">
        <w:rPr>
          <w:rStyle w:val="FootnoteReference"/>
        </w:rPr>
        <w:footnoteReference w:id="2"/>
      </w:r>
      <w:r>
        <w:t xml:space="preserve"> In the full sample data, 85% of residents f</w:t>
      </w:r>
      <w:r w:rsidR="00FD2187">
        <w:t>e</w:t>
      </w:r>
      <w:r>
        <w:t xml:space="preserve">ll into one of these categories. It can be seen that the overall proportion in these three columns </w:t>
      </w:r>
      <w:r w:rsidR="00F61B4A">
        <w:t>i</w:t>
      </w:r>
      <w:r>
        <w:t>s high for all classes. However, it does tend to increase roughly as the complexity measured by AN-ACC increases. This would indicate that</w:t>
      </w:r>
      <w:r w:rsidR="00DF16B7">
        <w:t>,</w:t>
      </w:r>
      <w:r>
        <w:t xml:space="preserve"> while the ACFI </w:t>
      </w:r>
      <w:r w:rsidR="00F61B4A">
        <w:t xml:space="preserve">rating </w:t>
      </w:r>
      <w:r w:rsidR="00DF16B7">
        <w:t>agree</w:t>
      </w:r>
      <w:r w:rsidR="00F61B4A">
        <w:t>d</w:t>
      </w:r>
      <w:r w:rsidR="00DF16B7">
        <w:t xml:space="preserve"> with the general direction of the AN-ACC, there seem</w:t>
      </w:r>
      <w:r w:rsidR="00F61B4A">
        <w:t>ed</w:t>
      </w:r>
      <w:r w:rsidR="00DF16B7">
        <w:t xml:space="preserve"> to be a fairly strong tendency to rate High.</w:t>
      </w:r>
    </w:p>
    <w:p w:rsidR="005F6065" w:rsidRDefault="005F6065" w:rsidP="005F6065">
      <w:pPr>
        <w:pStyle w:val="Caption"/>
      </w:pPr>
      <w:bookmarkStart w:id="77" w:name="_Ref535533519"/>
      <w:bookmarkStart w:id="78" w:name="_Toc953900"/>
      <w:r>
        <w:lastRenderedPageBreak/>
        <w:t xml:space="preserve">Table </w:t>
      </w:r>
      <w:r w:rsidR="00E949FA">
        <w:rPr>
          <w:noProof/>
        </w:rPr>
        <w:fldChar w:fldCharType="begin"/>
      </w:r>
      <w:r w:rsidR="00E949FA">
        <w:rPr>
          <w:noProof/>
        </w:rPr>
        <w:instrText xml:space="preserve"> SEQ Table \* ARABIC </w:instrText>
      </w:r>
      <w:r w:rsidR="00E949FA">
        <w:rPr>
          <w:noProof/>
        </w:rPr>
        <w:fldChar w:fldCharType="separate"/>
      </w:r>
      <w:r w:rsidR="00785B04">
        <w:rPr>
          <w:noProof/>
        </w:rPr>
        <w:t>8</w:t>
      </w:r>
      <w:r w:rsidR="00E949FA">
        <w:rPr>
          <w:noProof/>
        </w:rPr>
        <w:fldChar w:fldCharType="end"/>
      </w:r>
      <w:bookmarkEnd w:id="77"/>
      <w:r w:rsidR="00341AF1">
        <w:rPr>
          <w:noProof/>
        </w:rPr>
        <w:t xml:space="preserve"> </w:t>
      </w:r>
      <w:r>
        <w:tab/>
        <w:t>Capturing clinical complexity by AN-ACC class</w:t>
      </w:r>
      <w:bookmarkEnd w:id="78"/>
    </w:p>
    <w:tbl>
      <w:tblPr>
        <w:tblW w:w="906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8  Capturing clinical complexity by AN-ACC class"/>
        <w:tblDescription w:val="Table 8 shows the distribution of residents across the AN-ACC classes as well as the average relative value unit (RVU) of residents in the class. These RVUs represent the relative clinical complexity (as measured by cost) of each AN-ACC class. The ACFI payment RVUs have been calculated in the same way to ensure comparability between the ACFI and the AN-ACC. These scaled RVUs covered quite a large range. With an RVU of 1.94; residents in class 13 were, on average, 94% more complex than the sample average. At the other end of the scale, residents in Class 2 (with an RVU of 0.37) were a little over one-third as complex as the sample average. The next column shows the relative payment under the ACFI model, for residents in each AN-ACC class. Standard errors (s.e.) were calculated for these means and were found to be quite small. Payments range from approximately three-quarters of the sample average up to 17% higher than the sample average. They increase in a very similar order to the AN-ACC RVUs. The remaining columns in this table show the percentage of residents in a class who were rated as High (H) in one, two and three domains respectively. In the full sample data, 85% of residents fell into one of these categories. It can be seen that the overall proportion in these three columns is high for all classes. However, it does tend to increase roughly as the complexity measured by AN-ACC increases. This would indicate that, while the ACFI rating agreed with the general direction of the AN-ACC, there seemed to be a fairly strong tendency to rate High. This table is to be read as a series of rows from left to right ('AN-ACC class' then 'records (percentage)' then 'mean AN-ACC RVU' then 'mean ACFI payment' then 'ACFI payment (standard error)' then 'ACFI Score 1xHigh (percentage)' then 'ACFI Score 2XHigh (percentage)' then 'ACFI Score 3XHigh (percentage)', top to bottom."/>
      </w:tblPr>
      <w:tblGrid>
        <w:gridCol w:w="1124"/>
        <w:gridCol w:w="1134"/>
        <w:gridCol w:w="1134"/>
        <w:gridCol w:w="1134"/>
        <w:gridCol w:w="1134"/>
        <w:gridCol w:w="1134"/>
        <w:gridCol w:w="1134"/>
        <w:gridCol w:w="1134"/>
      </w:tblGrid>
      <w:tr w:rsidR="00E800F2" w:rsidRPr="00DF16B7" w:rsidTr="005356E5">
        <w:trPr>
          <w:tblHeader/>
        </w:trPr>
        <w:tc>
          <w:tcPr>
            <w:tcW w:w="1124" w:type="dxa"/>
            <w:shd w:val="clear" w:color="auto" w:fill="auto"/>
            <w:noWrap/>
            <w:hideMark/>
          </w:tcPr>
          <w:p w:rsidR="00E800F2" w:rsidRPr="005356E5" w:rsidRDefault="00E800F2" w:rsidP="006A524C">
            <w:pPr>
              <w:spacing w:beforeLines="80" w:before="192" w:afterLines="80" w:after="192"/>
              <w:rPr>
                <w:rFonts w:ascii="Calibri" w:hAnsi="Calibri" w:cs="Calibri"/>
                <w:b/>
                <w:color w:val="000000"/>
                <w:sz w:val="22"/>
                <w:szCs w:val="22"/>
              </w:rPr>
            </w:pPr>
            <w:r w:rsidRPr="005356E5">
              <w:rPr>
                <w:rFonts w:ascii="Calibri" w:hAnsi="Calibri" w:cs="Calibri"/>
                <w:b/>
                <w:color w:val="000000"/>
                <w:sz w:val="22"/>
                <w:szCs w:val="22"/>
              </w:rPr>
              <w:t>AN-ACC class</w:t>
            </w:r>
          </w:p>
        </w:tc>
        <w:tc>
          <w:tcPr>
            <w:tcW w:w="1134" w:type="dxa"/>
            <w:shd w:val="clear" w:color="auto" w:fill="auto"/>
            <w:noWrap/>
            <w:hideMark/>
          </w:tcPr>
          <w:p w:rsidR="00E800F2" w:rsidRPr="005356E5" w:rsidRDefault="00E800F2" w:rsidP="006A524C">
            <w:pPr>
              <w:spacing w:beforeLines="80" w:before="192" w:afterLines="80" w:after="192"/>
              <w:jc w:val="right"/>
              <w:rPr>
                <w:rFonts w:ascii="Calibri" w:hAnsi="Calibri" w:cs="Calibri"/>
                <w:b/>
                <w:color w:val="000000"/>
                <w:sz w:val="22"/>
                <w:szCs w:val="22"/>
              </w:rPr>
            </w:pPr>
            <w:r w:rsidRPr="005356E5">
              <w:rPr>
                <w:rFonts w:ascii="Calibri" w:hAnsi="Calibri" w:cs="Calibri"/>
                <w:b/>
                <w:color w:val="000000"/>
                <w:sz w:val="22"/>
                <w:szCs w:val="22"/>
              </w:rPr>
              <w:t>Records (%)</w:t>
            </w:r>
          </w:p>
        </w:tc>
        <w:tc>
          <w:tcPr>
            <w:tcW w:w="1134" w:type="dxa"/>
            <w:shd w:val="clear" w:color="auto" w:fill="auto"/>
            <w:noWrap/>
            <w:hideMark/>
          </w:tcPr>
          <w:p w:rsidR="00E800F2" w:rsidRPr="005356E5" w:rsidRDefault="00E800F2" w:rsidP="005356E5">
            <w:pPr>
              <w:spacing w:beforeLines="80" w:before="192" w:afterLines="80" w:after="192"/>
              <w:jc w:val="right"/>
              <w:rPr>
                <w:rFonts w:ascii="Calibri" w:hAnsi="Calibri" w:cs="Calibri"/>
                <w:b/>
                <w:color w:val="000000"/>
                <w:sz w:val="22"/>
                <w:szCs w:val="22"/>
              </w:rPr>
            </w:pPr>
            <w:r w:rsidRPr="005356E5">
              <w:rPr>
                <w:rFonts w:ascii="Calibri" w:hAnsi="Calibri" w:cs="Calibri"/>
                <w:b/>
                <w:color w:val="000000"/>
                <w:sz w:val="22"/>
                <w:szCs w:val="22"/>
              </w:rPr>
              <w:t xml:space="preserve">AN-ACC </w:t>
            </w:r>
            <w:r w:rsidR="005356E5">
              <w:rPr>
                <w:rFonts w:ascii="Calibri" w:hAnsi="Calibri" w:cs="Calibri"/>
                <w:b/>
                <w:color w:val="000000"/>
                <w:sz w:val="22"/>
                <w:szCs w:val="22"/>
              </w:rPr>
              <w:t>RVU</w:t>
            </w:r>
            <w:r w:rsidRPr="005356E5">
              <w:rPr>
                <w:rFonts w:ascii="Calibri" w:hAnsi="Calibri" w:cs="Calibri"/>
                <w:b/>
                <w:color w:val="000000"/>
                <w:sz w:val="22"/>
                <w:szCs w:val="22"/>
              </w:rPr>
              <w:t xml:space="preserve"> (mean)</w:t>
            </w:r>
          </w:p>
        </w:tc>
        <w:tc>
          <w:tcPr>
            <w:tcW w:w="1134" w:type="dxa"/>
            <w:shd w:val="clear" w:color="auto" w:fill="auto"/>
            <w:noWrap/>
            <w:hideMark/>
          </w:tcPr>
          <w:p w:rsidR="00E800F2" w:rsidRPr="005356E5" w:rsidRDefault="00E800F2" w:rsidP="006A524C">
            <w:pPr>
              <w:spacing w:beforeLines="80" w:before="192" w:afterLines="80" w:after="192"/>
              <w:jc w:val="right"/>
              <w:rPr>
                <w:rFonts w:ascii="Calibri" w:hAnsi="Calibri" w:cs="Calibri"/>
                <w:b/>
                <w:color w:val="000000"/>
                <w:sz w:val="22"/>
                <w:szCs w:val="22"/>
              </w:rPr>
            </w:pPr>
            <w:r w:rsidRPr="005356E5">
              <w:rPr>
                <w:rFonts w:ascii="Calibri" w:hAnsi="Calibri" w:cs="Calibri"/>
                <w:b/>
                <w:color w:val="000000"/>
                <w:sz w:val="22"/>
                <w:szCs w:val="22"/>
              </w:rPr>
              <w:t>ACFI payment (mean)</w:t>
            </w:r>
          </w:p>
        </w:tc>
        <w:tc>
          <w:tcPr>
            <w:tcW w:w="1134" w:type="dxa"/>
          </w:tcPr>
          <w:p w:rsidR="00E800F2" w:rsidRPr="005356E5" w:rsidRDefault="00E800F2" w:rsidP="006A524C">
            <w:pPr>
              <w:spacing w:beforeLines="80" w:before="192" w:afterLines="80" w:after="192"/>
              <w:jc w:val="right"/>
              <w:rPr>
                <w:rFonts w:ascii="Calibri" w:hAnsi="Calibri" w:cs="Calibri"/>
                <w:b/>
                <w:color w:val="000000"/>
                <w:sz w:val="22"/>
                <w:szCs w:val="22"/>
              </w:rPr>
            </w:pPr>
            <w:r w:rsidRPr="005356E5">
              <w:rPr>
                <w:rFonts w:ascii="Calibri" w:hAnsi="Calibri" w:cs="Calibri"/>
                <w:b/>
                <w:color w:val="000000"/>
                <w:sz w:val="22"/>
                <w:szCs w:val="22"/>
              </w:rPr>
              <w:t>ACFI payment (s.e.)</w:t>
            </w:r>
          </w:p>
        </w:tc>
        <w:tc>
          <w:tcPr>
            <w:tcW w:w="1134" w:type="dxa"/>
            <w:shd w:val="clear" w:color="auto" w:fill="auto"/>
            <w:hideMark/>
          </w:tcPr>
          <w:p w:rsidR="00E800F2" w:rsidRPr="005356E5" w:rsidRDefault="00E800F2" w:rsidP="006A524C">
            <w:pPr>
              <w:spacing w:beforeLines="80" w:before="192" w:afterLines="80" w:after="192"/>
              <w:jc w:val="right"/>
              <w:rPr>
                <w:rFonts w:ascii="Calibri" w:hAnsi="Calibri" w:cs="Calibri"/>
                <w:b/>
                <w:color w:val="000000"/>
                <w:sz w:val="22"/>
                <w:szCs w:val="22"/>
              </w:rPr>
            </w:pPr>
            <w:r w:rsidRPr="005356E5">
              <w:rPr>
                <w:rFonts w:ascii="Calibri" w:hAnsi="Calibri" w:cs="Calibri"/>
                <w:b/>
                <w:color w:val="000000"/>
                <w:sz w:val="22"/>
                <w:szCs w:val="22"/>
              </w:rPr>
              <w:t>ACFI Score 1xH (%)</w:t>
            </w:r>
          </w:p>
        </w:tc>
        <w:tc>
          <w:tcPr>
            <w:tcW w:w="1134" w:type="dxa"/>
            <w:shd w:val="clear" w:color="auto" w:fill="auto"/>
            <w:hideMark/>
          </w:tcPr>
          <w:p w:rsidR="00E800F2" w:rsidRPr="005356E5" w:rsidRDefault="00E800F2" w:rsidP="006A524C">
            <w:pPr>
              <w:spacing w:beforeLines="80" w:before="192" w:afterLines="80" w:after="192"/>
              <w:jc w:val="right"/>
              <w:rPr>
                <w:rFonts w:ascii="Calibri" w:hAnsi="Calibri" w:cs="Calibri"/>
                <w:b/>
                <w:color w:val="000000"/>
                <w:sz w:val="22"/>
                <w:szCs w:val="22"/>
              </w:rPr>
            </w:pPr>
            <w:r w:rsidRPr="005356E5">
              <w:rPr>
                <w:rFonts w:ascii="Calibri" w:hAnsi="Calibri" w:cs="Calibri"/>
                <w:b/>
                <w:color w:val="000000"/>
                <w:sz w:val="22"/>
                <w:szCs w:val="22"/>
              </w:rPr>
              <w:t>ACFI Score 2xH (%)</w:t>
            </w:r>
          </w:p>
        </w:tc>
        <w:tc>
          <w:tcPr>
            <w:tcW w:w="1134" w:type="dxa"/>
            <w:shd w:val="clear" w:color="auto" w:fill="auto"/>
            <w:hideMark/>
          </w:tcPr>
          <w:p w:rsidR="00E800F2" w:rsidRPr="005356E5" w:rsidRDefault="00E800F2" w:rsidP="006A524C">
            <w:pPr>
              <w:spacing w:beforeLines="80" w:before="192" w:afterLines="80" w:after="192"/>
              <w:jc w:val="right"/>
              <w:rPr>
                <w:rFonts w:ascii="Calibri" w:hAnsi="Calibri" w:cs="Calibri"/>
                <w:b/>
                <w:color w:val="000000"/>
                <w:sz w:val="22"/>
                <w:szCs w:val="22"/>
              </w:rPr>
            </w:pPr>
            <w:r w:rsidRPr="005356E5">
              <w:rPr>
                <w:rFonts w:ascii="Calibri" w:hAnsi="Calibri" w:cs="Calibri"/>
                <w:b/>
                <w:color w:val="000000"/>
                <w:sz w:val="22"/>
                <w:szCs w:val="22"/>
              </w:rPr>
              <w:t>ACFI Score 3xH (%)</w:t>
            </w:r>
          </w:p>
        </w:tc>
      </w:tr>
      <w:tr w:rsidR="005356E5" w:rsidRPr="00C75419" w:rsidTr="005356E5">
        <w:trPr>
          <w:tblHeader/>
        </w:trPr>
        <w:tc>
          <w:tcPr>
            <w:tcW w:w="1124" w:type="dxa"/>
            <w:shd w:val="clear" w:color="auto" w:fill="auto"/>
            <w:noWrap/>
            <w:vAlign w:val="center"/>
            <w:hideMark/>
          </w:tcPr>
          <w:p w:rsidR="005356E5" w:rsidRPr="00526F8A" w:rsidRDefault="005356E5" w:rsidP="00203177">
            <w:pPr>
              <w:spacing w:before="80" w:after="80"/>
              <w:rPr>
                <w:color w:val="000000"/>
                <w:sz w:val="22"/>
                <w:szCs w:val="22"/>
              </w:rPr>
            </w:pPr>
            <w:r w:rsidRPr="00526F8A">
              <w:rPr>
                <w:color w:val="000000"/>
                <w:sz w:val="22"/>
                <w:szCs w:val="22"/>
              </w:rPr>
              <w:t>Class 2</w:t>
            </w:r>
          </w:p>
        </w:tc>
        <w:tc>
          <w:tcPr>
            <w:tcW w:w="1134" w:type="dxa"/>
            <w:shd w:val="clear" w:color="auto" w:fill="auto"/>
            <w:noWrap/>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9.7</w:t>
            </w:r>
          </w:p>
        </w:tc>
        <w:tc>
          <w:tcPr>
            <w:tcW w:w="1134" w:type="dxa"/>
            <w:shd w:val="clear" w:color="auto" w:fill="auto"/>
            <w:noWrap/>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0.37</w:t>
            </w:r>
          </w:p>
        </w:tc>
        <w:tc>
          <w:tcPr>
            <w:tcW w:w="1134" w:type="dxa"/>
            <w:shd w:val="clear" w:color="auto" w:fill="auto"/>
            <w:noWrap/>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0.76</w:t>
            </w:r>
          </w:p>
        </w:tc>
        <w:tc>
          <w:tcPr>
            <w:tcW w:w="1134" w:type="dxa"/>
            <w:vAlign w:val="center"/>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0.016</w:t>
            </w:r>
          </w:p>
        </w:tc>
        <w:tc>
          <w:tcPr>
            <w:tcW w:w="1134" w:type="dxa"/>
            <w:shd w:val="clear" w:color="auto" w:fill="auto"/>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39</w:t>
            </w:r>
            <w:r>
              <w:rPr>
                <w:rFonts w:ascii="Calibri" w:hAnsi="Calibri" w:cs="Calibri"/>
                <w:color w:val="000000"/>
                <w:sz w:val="22"/>
                <w:szCs w:val="22"/>
              </w:rPr>
              <w:t>.0</w:t>
            </w:r>
          </w:p>
        </w:tc>
        <w:tc>
          <w:tcPr>
            <w:tcW w:w="1134" w:type="dxa"/>
            <w:shd w:val="clear" w:color="auto" w:fill="auto"/>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14.8</w:t>
            </w:r>
          </w:p>
        </w:tc>
        <w:tc>
          <w:tcPr>
            <w:tcW w:w="1134" w:type="dxa"/>
            <w:shd w:val="clear" w:color="auto" w:fill="auto"/>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7.2</w:t>
            </w:r>
          </w:p>
        </w:tc>
      </w:tr>
      <w:tr w:rsidR="005356E5" w:rsidRPr="00C75419" w:rsidTr="005356E5">
        <w:trPr>
          <w:tblHeader/>
        </w:trPr>
        <w:tc>
          <w:tcPr>
            <w:tcW w:w="1124" w:type="dxa"/>
            <w:shd w:val="clear" w:color="auto" w:fill="auto"/>
            <w:noWrap/>
            <w:vAlign w:val="center"/>
            <w:hideMark/>
          </w:tcPr>
          <w:p w:rsidR="005356E5" w:rsidRPr="00526F8A" w:rsidRDefault="005356E5" w:rsidP="00203177">
            <w:pPr>
              <w:spacing w:before="80" w:after="80"/>
              <w:rPr>
                <w:color w:val="000000"/>
                <w:sz w:val="22"/>
                <w:szCs w:val="22"/>
              </w:rPr>
            </w:pPr>
            <w:r w:rsidRPr="00526F8A">
              <w:rPr>
                <w:color w:val="000000"/>
                <w:sz w:val="22"/>
                <w:szCs w:val="22"/>
              </w:rPr>
              <w:t>Class 3</w:t>
            </w:r>
          </w:p>
        </w:tc>
        <w:tc>
          <w:tcPr>
            <w:tcW w:w="1134" w:type="dxa"/>
            <w:shd w:val="clear" w:color="auto" w:fill="auto"/>
            <w:noWrap/>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4.4</w:t>
            </w:r>
          </w:p>
        </w:tc>
        <w:tc>
          <w:tcPr>
            <w:tcW w:w="1134" w:type="dxa"/>
            <w:shd w:val="clear" w:color="auto" w:fill="auto"/>
            <w:noWrap/>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0.61</w:t>
            </w:r>
          </w:p>
        </w:tc>
        <w:tc>
          <w:tcPr>
            <w:tcW w:w="1134" w:type="dxa"/>
            <w:shd w:val="clear" w:color="auto" w:fill="auto"/>
            <w:noWrap/>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0.91</w:t>
            </w:r>
          </w:p>
        </w:tc>
        <w:tc>
          <w:tcPr>
            <w:tcW w:w="1134" w:type="dxa"/>
            <w:vAlign w:val="center"/>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0.017</w:t>
            </w:r>
          </w:p>
        </w:tc>
        <w:tc>
          <w:tcPr>
            <w:tcW w:w="1134" w:type="dxa"/>
            <w:shd w:val="clear" w:color="auto" w:fill="auto"/>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57.1</w:t>
            </w:r>
          </w:p>
        </w:tc>
        <w:tc>
          <w:tcPr>
            <w:tcW w:w="1134" w:type="dxa"/>
            <w:shd w:val="clear" w:color="auto" w:fill="auto"/>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22.9</w:t>
            </w:r>
          </w:p>
        </w:tc>
        <w:tc>
          <w:tcPr>
            <w:tcW w:w="1134" w:type="dxa"/>
            <w:shd w:val="clear" w:color="auto" w:fill="auto"/>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12.9</w:t>
            </w:r>
          </w:p>
        </w:tc>
      </w:tr>
      <w:tr w:rsidR="005356E5" w:rsidRPr="00C75419" w:rsidTr="005356E5">
        <w:trPr>
          <w:tblHeader/>
        </w:trPr>
        <w:tc>
          <w:tcPr>
            <w:tcW w:w="1124" w:type="dxa"/>
            <w:shd w:val="clear" w:color="auto" w:fill="auto"/>
            <w:noWrap/>
            <w:vAlign w:val="center"/>
            <w:hideMark/>
          </w:tcPr>
          <w:p w:rsidR="005356E5" w:rsidRPr="00526F8A" w:rsidRDefault="005356E5" w:rsidP="00203177">
            <w:pPr>
              <w:spacing w:before="80" w:after="80"/>
              <w:rPr>
                <w:color w:val="000000"/>
                <w:sz w:val="22"/>
                <w:szCs w:val="22"/>
              </w:rPr>
            </w:pPr>
            <w:r w:rsidRPr="00526F8A">
              <w:rPr>
                <w:color w:val="000000"/>
                <w:sz w:val="22"/>
                <w:szCs w:val="22"/>
              </w:rPr>
              <w:t>Class 4</w:t>
            </w:r>
          </w:p>
        </w:tc>
        <w:tc>
          <w:tcPr>
            <w:tcW w:w="1134" w:type="dxa"/>
            <w:shd w:val="clear" w:color="auto" w:fill="auto"/>
            <w:noWrap/>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8.2</w:t>
            </w:r>
          </w:p>
        </w:tc>
        <w:tc>
          <w:tcPr>
            <w:tcW w:w="1134" w:type="dxa"/>
            <w:shd w:val="clear" w:color="auto" w:fill="auto"/>
            <w:noWrap/>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0.41</w:t>
            </w:r>
          </w:p>
        </w:tc>
        <w:tc>
          <w:tcPr>
            <w:tcW w:w="1134" w:type="dxa"/>
            <w:shd w:val="clear" w:color="auto" w:fill="auto"/>
            <w:noWrap/>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0.80</w:t>
            </w:r>
          </w:p>
        </w:tc>
        <w:tc>
          <w:tcPr>
            <w:tcW w:w="1134" w:type="dxa"/>
            <w:vAlign w:val="center"/>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0.017</w:t>
            </w:r>
          </w:p>
        </w:tc>
        <w:tc>
          <w:tcPr>
            <w:tcW w:w="1134" w:type="dxa"/>
            <w:shd w:val="clear" w:color="auto" w:fill="auto"/>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33.3</w:t>
            </w:r>
          </w:p>
        </w:tc>
        <w:tc>
          <w:tcPr>
            <w:tcW w:w="1134" w:type="dxa"/>
            <w:shd w:val="clear" w:color="auto" w:fill="auto"/>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17.1</w:t>
            </w:r>
          </w:p>
        </w:tc>
        <w:tc>
          <w:tcPr>
            <w:tcW w:w="1134" w:type="dxa"/>
            <w:shd w:val="clear" w:color="auto" w:fill="auto"/>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8.9</w:t>
            </w:r>
          </w:p>
        </w:tc>
      </w:tr>
      <w:tr w:rsidR="005356E5" w:rsidRPr="00C75419" w:rsidTr="005356E5">
        <w:trPr>
          <w:tblHeader/>
        </w:trPr>
        <w:tc>
          <w:tcPr>
            <w:tcW w:w="1124" w:type="dxa"/>
            <w:shd w:val="clear" w:color="auto" w:fill="auto"/>
            <w:noWrap/>
            <w:vAlign w:val="center"/>
            <w:hideMark/>
          </w:tcPr>
          <w:p w:rsidR="005356E5" w:rsidRPr="00526F8A" w:rsidRDefault="005356E5" w:rsidP="00203177">
            <w:pPr>
              <w:spacing w:before="80" w:after="80"/>
              <w:rPr>
                <w:color w:val="000000"/>
                <w:sz w:val="22"/>
                <w:szCs w:val="22"/>
              </w:rPr>
            </w:pPr>
            <w:r w:rsidRPr="00526F8A">
              <w:rPr>
                <w:color w:val="000000"/>
                <w:sz w:val="22"/>
                <w:szCs w:val="22"/>
              </w:rPr>
              <w:t>Class 5</w:t>
            </w:r>
          </w:p>
        </w:tc>
        <w:tc>
          <w:tcPr>
            <w:tcW w:w="1134" w:type="dxa"/>
            <w:shd w:val="clear" w:color="auto" w:fill="auto"/>
            <w:noWrap/>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21.2</w:t>
            </w:r>
          </w:p>
        </w:tc>
        <w:tc>
          <w:tcPr>
            <w:tcW w:w="1134" w:type="dxa"/>
            <w:shd w:val="clear" w:color="auto" w:fill="auto"/>
            <w:noWrap/>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0.73</w:t>
            </w:r>
          </w:p>
        </w:tc>
        <w:tc>
          <w:tcPr>
            <w:tcW w:w="1134" w:type="dxa"/>
            <w:shd w:val="clear" w:color="auto" w:fill="auto"/>
            <w:noWrap/>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0.97</w:t>
            </w:r>
          </w:p>
        </w:tc>
        <w:tc>
          <w:tcPr>
            <w:tcW w:w="1134" w:type="dxa"/>
            <w:vAlign w:val="center"/>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0.009</w:t>
            </w:r>
          </w:p>
        </w:tc>
        <w:tc>
          <w:tcPr>
            <w:tcW w:w="1134" w:type="dxa"/>
            <w:shd w:val="clear" w:color="auto" w:fill="auto"/>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28.3</w:t>
            </w:r>
          </w:p>
        </w:tc>
        <w:tc>
          <w:tcPr>
            <w:tcW w:w="1134" w:type="dxa"/>
            <w:shd w:val="clear" w:color="auto" w:fill="auto"/>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26.8</w:t>
            </w:r>
          </w:p>
        </w:tc>
        <w:tc>
          <w:tcPr>
            <w:tcW w:w="1134" w:type="dxa"/>
            <w:shd w:val="clear" w:color="auto" w:fill="auto"/>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23.4</w:t>
            </w:r>
          </w:p>
        </w:tc>
      </w:tr>
      <w:tr w:rsidR="005356E5" w:rsidRPr="00C75419" w:rsidTr="005356E5">
        <w:trPr>
          <w:tblHeader/>
        </w:trPr>
        <w:tc>
          <w:tcPr>
            <w:tcW w:w="1124" w:type="dxa"/>
            <w:shd w:val="clear" w:color="auto" w:fill="auto"/>
            <w:noWrap/>
            <w:vAlign w:val="center"/>
            <w:hideMark/>
          </w:tcPr>
          <w:p w:rsidR="005356E5" w:rsidRPr="00526F8A" w:rsidRDefault="005356E5" w:rsidP="00203177">
            <w:pPr>
              <w:spacing w:before="80" w:after="80"/>
              <w:rPr>
                <w:color w:val="000000"/>
                <w:sz w:val="22"/>
                <w:szCs w:val="22"/>
              </w:rPr>
            </w:pPr>
            <w:r w:rsidRPr="00526F8A">
              <w:rPr>
                <w:color w:val="000000"/>
                <w:sz w:val="22"/>
                <w:szCs w:val="22"/>
              </w:rPr>
              <w:t>Class 6</w:t>
            </w:r>
          </w:p>
        </w:tc>
        <w:tc>
          <w:tcPr>
            <w:tcW w:w="1134" w:type="dxa"/>
            <w:shd w:val="clear" w:color="auto" w:fill="auto"/>
            <w:noWrap/>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7.0</w:t>
            </w:r>
          </w:p>
        </w:tc>
        <w:tc>
          <w:tcPr>
            <w:tcW w:w="1134" w:type="dxa"/>
            <w:shd w:val="clear" w:color="auto" w:fill="auto"/>
            <w:noWrap/>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0.69</w:t>
            </w:r>
          </w:p>
        </w:tc>
        <w:tc>
          <w:tcPr>
            <w:tcW w:w="1134" w:type="dxa"/>
            <w:shd w:val="clear" w:color="auto" w:fill="auto"/>
            <w:noWrap/>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0.98</w:t>
            </w:r>
          </w:p>
        </w:tc>
        <w:tc>
          <w:tcPr>
            <w:tcW w:w="1134" w:type="dxa"/>
            <w:vAlign w:val="center"/>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0.015</w:t>
            </w:r>
          </w:p>
        </w:tc>
        <w:tc>
          <w:tcPr>
            <w:tcW w:w="1134" w:type="dxa"/>
            <w:shd w:val="clear" w:color="auto" w:fill="auto"/>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37.1</w:t>
            </w:r>
          </w:p>
        </w:tc>
        <w:tc>
          <w:tcPr>
            <w:tcW w:w="1134" w:type="dxa"/>
            <w:shd w:val="clear" w:color="auto" w:fill="auto"/>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25.3</w:t>
            </w:r>
          </w:p>
        </w:tc>
        <w:tc>
          <w:tcPr>
            <w:tcW w:w="1134" w:type="dxa"/>
            <w:shd w:val="clear" w:color="auto" w:fill="auto"/>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24.9</w:t>
            </w:r>
          </w:p>
        </w:tc>
      </w:tr>
      <w:tr w:rsidR="005356E5" w:rsidRPr="00C75419" w:rsidTr="005356E5">
        <w:trPr>
          <w:tblHeader/>
        </w:trPr>
        <w:tc>
          <w:tcPr>
            <w:tcW w:w="1124" w:type="dxa"/>
            <w:shd w:val="clear" w:color="auto" w:fill="auto"/>
            <w:noWrap/>
            <w:vAlign w:val="center"/>
            <w:hideMark/>
          </w:tcPr>
          <w:p w:rsidR="005356E5" w:rsidRPr="00526F8A" w:rsidRDefault="005356E5" w:rsidP="00203177">
            <w:pPr>
              <w:spacing w:before="80" w:after="80"/>
              <w:rPr>
                <w:color w:val="000000"/>
                <w:sz w:val="22"/>
                <w:szCs w:val="22"/>
              </w:rPr>
            </w:pPr>
            <w:r w:rsidRPr="00526F8A">
              <w:rPr>
                <w:color w:val="000000"/>
                <w:sz w:val="22"/>
                <w:szCs w:val="22"/>
              </w:rPr>
              <w:t>Class 7</w:t>
            </w:r>
          </w:p>
        </w:tc>
        <w:tc>
          <w:tcPr>
            <w:tcW w:w="1134" w:type="dxa"/>
            <w:shd w:val="clear" w:color="auto" w:fill="auto"/>
            <w:noWrap/>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8.8</w:t>
            </w:r>
          </w:p>
        </w:tc>
        <w:tc>
          <w:tcPr>
            <w:tcW w:w="1134" w:type="dxa"/>
            <w:shd w:val="clear" w:color="auto" w:fill="auto"/>
            <w:noWrap/>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0.94</w:t>
            </w:r>
          </w:p>
        </w:tc>
        <w:tc>
          <w:tcPr>
            <w:tcW w:w="1134" w:type="dxa"/>
            <w:shd w:val="clear" w:color="auto" w:fill="auto"/>
            <w:noWrap/>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1.04</w:t>
            </w:r>
          </w:p>
        </w:tc>
        <w:tc>
          <w:tcPr>
            <w:tcW w:w="1134" w:type="dxa"/>
            <w:vAlign w:val="center"/>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0.012</w:t>
            </w:r>
          </w:p>
        </w:tc>
        <w:tc>
          <w:tcPr>
            <w:tcW w:w="1134" w:type="dxa"/>
            <w:shd w:val="clear" w:color="auto" w:fill="auto"/>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29.6</w:t>
            </w:r>
          </w:p>
        </w:tc>
        <w:tc>
          <w:tcPr>
            <w:tcW w:w="1134" w:type="dxa"/>
            <w:shd w:val="clear" w:color="auto" w:fill="auto"/>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31.1</w:t>
            </w:r>
          </w:p>
        </w:tc>
        <w:tc>
          <w:tcPr>
            <w:tcW w:w="1134" w:type="dxa"/>
            <w:shd w:val="clear" w:color="auto" w:fill="auto"/>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31.8</w:t>
            </w:r>
          </w:p>
        </w:tc>
      </w:tr>
      <w:tr w:rsidR="005356E5" w:rsidRPr="00C75419" w:rsidTr="005356E5">
        <w:trPr>
          <w:tblHeader/>
        </w:trPr>
        <w:tc>
          <w:tcPr>
            <w:tcW w:w="1124" w:type="dxa"/>
            <w:shd w:val="clear" w:color="auto" w:fill="auto"/>
            <w:noWrap/>
            <w:vAlign w:val="center"/>
            <w:hideMark/>
          </w:tcPr>
          <w:p w:rsidR="005356E5" w:rsidRPr="00526F8A" w:rsidRDefault="005356E5" w:rsidP="00203177">
            <w:pPr>
              <w:spacing w:before="80" w:after="80"/>
              <w:rPr>
                <w:color w:val="000000"/>
                <w:sz w:val="22"/>
                <w:szCs w:val="22"/>
              </w:rPr>
            </w:pPr>
            <w:r w:rsidRPr="00526F8A">
              <w:rPr>
                <w:color w:val="000000"/>
                <w:sz w:val="22"/>
                <w:szCs w:val="22"/>
              </w:rPr>
              <w:t>Class 8</w:t>
            </w:r>
          </w:p>
        </w:tc>
        <w:tc>
          <w:tcPr>
            <w:tcW w:w="1134" w:type="dxa"/>
            <w:shd w:val="clear" w:color="auto" w:fill="auto"/>
            <w:noWrap/>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5.5</w:t>
            </w:r>
          </w:p>
        </w:tc>
        <w:tc>
          <w:tcPr>
            <w:tcW w:w="1134" w:type="dxa"/>
            <w:shd w:val="clear" w:color="auto" w:fill="auto"/>
            <w:noWrap/>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1.04</w:t>
            </w:r>
          </w:p>
        </w:tc>
        <w:tc>
          <w:tcPr>
            <w:tcW w:w="1134" w:type="dxa"/>
            <w:shd w:val="clear" w:color="auto" w:fill="auto"/>
            <w:noWrap/>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1.03</w:t>
            </w:r>
          </w:p>
        </w:tc>
        <w:tc>
          <w:tcPr>
            <w:tcW w:w="1134" w:type="dxa"/>
            <w:vAlign w:val="center"/>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0.014</w:t>
            </w:r>
          </w:p>
        </w:tc>
        <w:tc>
          <w:tcPr>
            <w:tcW w:w="1134" w:type="dxa"/>
            <w:shd w:val="clear" w:color="auto" w:fill="auto"/>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31</w:t>
            </w:r>
            <w:r>
              <w:rPr>
                <w:rFonts w:ascii="Calibri" w:hAnsi="Calibri" w:cs="Calibri"/>
                <w:color w:val="000000"/>
                <w:sz w:val="22"/>
                <w:szCs w:val="22"/>
              </w:rPr>
              <w:t>.0</w:t>
            </w:r>
          </w:p>
        </w:tc>
        <w:tc>
          <w:tcPr>
            <w:tcW w:w="1134" w:type="dxa"/>
            <w:shd w:val="clear" w:color="auto" w:fill="auto"/>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34.5</w:t>
            </w:r>
          </w:p>
        </w:tc>
        <w:tc>
          <w:tcPr>
            <w:tcW w:w="1134" w:type="dxa"/>
            <w:shd w:val="clear" w:color="auto" w:fill="auto"/>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29.3</w:t>
            </w:r>
          </w:p>
        </w:tc>
      </w:tr>
      <w:tr w:rsidR="005356E5" w:rsidRPr="00C75419" w:rsidTr="005356E5">
        <w:trPr>
          <w:tblHeader/>
        </w:trPr>
        <w:tc>
          <w:tcPr>
            <w:tcW w:w="1124" w:type="dxa"/>
            <w:shd w:val="clear" w:color="auto" w:fill="auto"/>
            <w:noWrap/>
            <w:vAlign w:val="center"/>
            <w:hideMark/>
          </w:tcPr>
          <w:p w:rsidR="005356E5" w:rsidRPr="00526F8A" w:rsidRDefault="005356E5" w:rsidP="00203177">
            <w:pPr>
              <w:spacing w:before="80" w:after="80"/>
              <w:rPr>
                <w:color w:val="000000"/>
                <w:sz w:val="22"/>
                <w:szCs w:val="22"/>
              </w:rPr>
            </w:pPr>
            <w:r w:rsidRPr="00526F8A">
              <w:rPr>
                <w:color w:val="000000"/>
                <w:sz w:val="22"/>
                <w:szCs w:val="22"/>
              </w:rPr>
              <w:t>Class 9</w:t>
            </w:r>
          </w:p>
        </w:tc>
        <w:tc>
          <w:tcPr>
            <w:tcW w:w="1134" w:type="dxa"/>
            <w:shd w:val="clear" w:color="auto" w:fill="auto"/>
            <w:noWrap/>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7.5</w:t>
            </w:r>
          </w:p>
        </w:tc>
        <w:tc>
          <w:tcPr>
            <w:tcW w:w="1134" w:type="dxa"/>
            <w:shd w:val="clear" w:color="auto" w:fill="auto"/>
            <w:noWrap/>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1.05</w:t>
            </w:r>
          </w:p>
        </w:tc>
        <w:tc>
          <w:tcPr>
            <w:tcW w:w="1134" w:type="dxa"/>
            <w:shd w:val="clear" w:color="auto" w:fill="auto"/>
            <w:noWrap/>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1.07</w:t>
            </w:r>
          </w:p>
        </w:tc>
        <w:tc>
          <w:tcPr>
            <w:tcW w:w="1134" w:type="dxa"/>
            <w:vAlign w:val="center"/>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0.012</w:t>
            </w:r>
          </w:p>
        </w:tc>
        <w:tc>
          <w:tcPr>
            <w:tcW w:w="1134" w:type="dxa"/>
            <w:shd w:val="clear" w:color="auto" w:fill="auto"/>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18.6</w:t>
            </w:r>
          </w:p>
        </w:tc>
        <w:tc>
          <w:tcPr>
            <w:tcW w:w="1134" w:type="dxa"/>
            <w:shd w:val="clear" w:color="auto" w:fill="auto"/>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32.5</w:t>
            </w:r>
          </w:p>
        </w:tc>
        <w:tc>
          <w:tcPr>
            <w:tcW w:w="1134" w:type="dxa"/>
            <w:shd w:val="clear" w:color="auto" w:fill="auto"/>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40.1</w:t>
            </w:r>
          </w:p>
        </w:tc>
      </w:tr>
      <w:tr w:rsidR="005356E5" w:rsidRPr="00C75419" w:rsidTr="005356E5">
        <w:trPr>
          <w:tblHeader/>
        </w:trPr>
        <w:tc>
          <w:tcPr>
            <w:tcW w:w="1124" w:type="dxa"/>
            <w:shd w:val="clear" w:color="auto" w:fill="auto"/>
            <w:noWrap/>
            <w:vAlign w:val="center"/>
            <w:hideMark/>
          </w:tcPr>
          <w:p w:rsidR="005356E5" w:rsidRPr="00526F8A" w:rsidRDefault="005356E5" w:rsidP="00203177">
            <w:pPr>
              <w:spacing w:before="80" w:after="80"/>
              <w:rPr>
                <w:color w:val="000000"/>
                <w:sz w:val="22"/>
                <w:szCs w:val="22"/>
              </w:rPr>
            </w:pPr>
            <w:r w:rsidRPr="00526F8A">
              <w:rPr>
                <w:color w:val="000000"/>
                <w:sz w:val="22"/>
                <w:szCs w:val="22"/>
              </w:rPr>
              <w:t>Class 10</w:t>
            </w:r>
          </w:p>
        </w:tc>
        <w:tc>
          <w:tcPr>
            <w:tcW w:w="1134" w:type="dxa"/>
            <w:shd w:val="clear" w:color="auto" w:fill="auto"/>
            <w:noWrap/>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5.6</w:t>
            </w:r>
          </w:p>
        </w:tc>
        <w:tc>
          <w:tcPr>
            <w:tcW w:w="1134" w:type="dxa"/>
            <w:shd w:val="clear" w:color="auto" w:fill="auto"/>
            <w:noWrap/>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1.69</w:t>
            </w:r>
          </w:p>
        </w:tc>
        <w:tc>
          <w:tcPr>
            <w:tcW w:w="1134" w:type="dxa"/>
            <w:shd w:val="clear" w:color="auto" w:fill="auto"/>
            <w:noWrap/>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1.13</w:t>
            </w:r>
          </w:p>
        </w:tc>
        <w:tc>
          <w:tcPr>
            <w:tcW w:w="1134" w:type="dxa"/>
            <w:vAlign w:val="center"/>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0.011</w:t>
            </w:r>
          </w:p>
        </w:tc>
        <w:tc>
          <w:tcPr>
            <w:tcW w:w="1134" w:type="dxa"/>
            <w:shd w:val="clear" w:color="auto" w:fill="auto"/>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14.2</w:t>
            </w:r>
          </w:p>
        </w:tc>
        <w:tc>
          <w:tcPr>
            <w:tcW w:w="1134" w:type="dxa"/>
            <w:shd w:val="clear" w:color="auto" w:fill="auto"/>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33.5</w:t>
            </w:r>
          </w:p>
        </w:tc>
        <w:tc>
          <w:tcPr>
            <w:tcW w:w="1134" w:type="dxa"/>
            <w:shd w:val="clear" w:color="auto" w:fill="auto"/>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50</w:t>
            </w:r>
            <w:r>
              <w:rPr>
                <w:rFonts w:ascii="Calibri" w:hAnsi="Calibri" w:cs="Calibri"/>
                <w:color w:val="000000"/>
                <w:sz w:val="22"/>
                <w:szCs w:val="22"/>
              </w:rPr>
              <w:t>.0</w:t>
            </w:r>
          </w:p>
        </w:tc>
      </w:tr>
      <w:tr w:rsidR="005356E5" w:rsidRPr="00C75419" w:rsidTr="005356E5">
        <w:trPr>
          <w:tblHeader/>
        </w:trPr>
        <w:tc>
          <w:tcPr>
            <w:tcW w:w="1124" w:type="dxa"/>
            <w:shd w:val="clear" w:color="auto" w:fill="auto"/>
            <w:noWrap/>
            <w:vAlign w:val="center"/>
            <w:hideMark/>
          </w:tcPr>
          <w:p w:rsidR="005356E5" w:rsidRPr="00526F8A" w:rsidRDefault="005356E5" w:rsidP="00203177">
            <w:pPr>
              <w:spacing w:before="80" w:after="80"/>
              <w:rPr>
                <w:color w:val="000000"/>
                <w:sz w:val="22"/>
                <w:szCs w:val="22"/>
              </w:rPr>
            </w:pPr>
            <w:r w:rsidRPr="00526F8A">
              <w:rPr>
                <w:color w:val="000000"/>
                <w:sz w:val="22"/>
                <w:szCs w:val="22"/>
              </w:rPr>
              <w:t>Class 11</w:t>
            </w:r>
          </w:p>
        </w:tc>
        <w:tc>
          <w:tcPr>
            <w:tcW w:w="1134" w:type="dxa"/>
            <w:shd w:val="clear" w:color="auto" w:fill="auto"/>
            <w:noWrap/>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8.6</w:t>
            </w:r>
          </w:p>
        </w:tc>
        <w:tc>
          <w:tcPr>
            <w:tcW w:w="1134" w:type="dxa"/>
            <w:shd w:val="clear" w:color="auto" w:fill="auto"/>
            <w:noWrap/>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1.62</w:t>
            </w:r>
          </w:p>
        </w:tc>
        <w:tc>
          <w:tcPr>
            <w:tcW w:w="1134" w:type="dxa"/>
            <w:shd w:val="clear" w:color="auto" w:fill="auto"/>
            <w:noWrap/>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1.14</w:t>
            </w:r>
          </w:p>
        </w:tc>
        <w:tc>
          <w:tcPr>
            <w:tcW w:w="1134" w:type="dxa"/>
            <w:vAlign w:val="center"/>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0.007</w:t>
            </w:r>
          </w:p>
        </w:tc>
        <w:tc>
          <w:tcPr>
            <w:tcW w:w="1134" w:type="dxa"/>
            <w:shd w:val="clear" w:color="auto" w:fill="auto"/>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14</w:t>
            </w:r>
            <w:r>
              <w:rPr>
                <w:rFonts w:ascii="Calibri" w:hAnsi="Calibri" w:cs="Calibri"/>
                <w:color w:val="000000"/>
                <w:sz w:val="22"/>
                <w:szCs w:val="22"/>
              </w:rPr>
              <w:t>.0</w:t>
            </w:r>
          </w:p>
        </w:tc>
        <w:tc>
          <w:tcPr>
            <w:tcW w:w="1134" w:type="dxa"/>
            <w:shd w:val="clear" w:color="auto" w:fill="auto"/>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36</w:t>
            </w:r>
            <w:r>
              <w:rPr>
                <w:rFonts w:ascii="Calibri" w:hAnsi="Calibri" w:cs="Calibri"/>
                <w:color w:val="000000"/>
                <w:sz w:val="22"/>
                <w:szCs w:val="22"/>
              </w:rPr>
              <w:t>.0</w:t>
            </w:r>
          </w:p>
        </w:tc>
        <w:tc>
          <w:tcPr>
            <w:tcW w:w="1134" w:type="dxa"/>
            <w:shd w:val="clear" w:color="auto" w:fill="auto"/>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49.3</w:t>
            </w:r>
          </w:p>
        </w:tc>
      </w:tr>
      <w:tr w:rsidR="005356E5" w:rsidRPr="00C75419" w:rsidTr="005356E5">
        <w:trPr>
          <w:tblHeader/>
        </w:trPr>
        <w:tc>
          <w:tcPr>
            <w:tcW w:w="1124" w:type="dxa"/>
            <w:shd w:val="clear" w:color="auto" w:fill="auto"/>
            <w:noWrap/>
            <w:vAlign w:val="center"/>
            <w:hideMark/>
          </w:tcPr>
          <w:p w:rsidR="005356E5" w:rsidRPr="00526F8A" w:rsidRDefault="005356E5" w:rsidP="00203177">
            <w:pPr>
              <w:spacing w:before="80" w:after="80"/>
              <w:rPr>
                <w:color w:val="000000"/>
                <w:sz w:val="22"/>
                <w:szCs w:val="22"/>
              </w:rPr>
            </w:pPr>
            <w:r w:rsidRPr="00526F8A">
              <w:rPr>
                <w:color w:val="000000"/>
                <w:sz w:val="22"/>
                <w:szCs w:val="22"/>
              </w:rPr>
              <w:t>Class 12</w:t>
            </w:r>
          </w:p>
        </w:tc>
        <w:tc>
          <w:tcPr>
            <w:tcW w:w="1134" w:type="dxa"/>
            <w:shd w:val="clear" w:color="auto" w:fill="auto"/>
            <w:noWrap/>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3.3</w:t>
            </w:r>
          </w:p>
        </w:tc>
        <w:tc>
          <w:tcPr>
            <w:tcW w:w="1134" w:type="dxa"/>
            <w:shd w:val="clear" w:color="auto" w:fill="auto"/>
            <w:noWrap/>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1.58</w:t>
            </w:r>
          </w:p>
        </w:tc>
        <w:tc>
          <w:tcPr>
            <w:tcW w:w="1134" w:type="dxa"/>
            <w:shd w:val="clear" w:color="auto" w:fill="auto"/>
            <w:noWrap/>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1.17</w:t>
            </w:r>
          </w:p>
        </w:tc>
        <w:tc>
          <w:tcPr>
            <w:tcW w:w="1134" w:type="dxa"/>
            <w:vAlign w:val="center"/>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0.012</w:t>
            </w:r>
          </w:p>
        </w:tc>
        <w:tc>
          <w:tcPr>
            <w:tcW w:w="1134" w:type="dxa"/>
            <w:shd w:val="clear" w:color="auto" w:fill="auto"/>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5.7</w:t>
            </w:r>
          </w:p>
        </w:tc>
        <w:tc>
          <w:tcPr>
            <w:tcW w:w="1134" w:type="dxa"/>
            <w:shd w:val="clear" w:color="auto" w:fill="auto"/>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27.6</w:t>
            </w:r>
          </w:p>
        </w:tc>
        <w:tc>
          <w:tcPr>
            <w:tcW w:w="1134" w:type="dxa"/>
            <w:shd w:val="clear" w:color="auto" w:fill="auto"/>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64.8</w:t>
            </w:r>
          </w:p>
        </w:tc>
      </w:tr>
      <w:tr w:rsidR="005356E5" w:rsidRPr="00C75419" w:rsidTr="005356E5">
        <w:trPr>
          <w:tblHeader/>
        </w:trPr>
        <w:tc>
          <w:tcPr>
            <w:tcW w:w="1124" w:type="dxa"/>
            <w:shd w:val="clear" w:color="auto" w:fill="auto"/>
            <w:noWrap/>
            <w:vAlign w:val="center"/>
            <w:hideMark/>
          </w:tcPr>
          <w:p w:rsidR="005356E5" w:rsidRPr="00526F8A" w:rsidRDefault="005356E5" w:rsidP="00203177">
            <w:pPr>
              <w:spacing w:before="80" w:after="80"/>
              <w:rPr>
                <w:color w:val="000000"/>
                <w:sz w:val="22"/>
                <w:szCs w:val="22"/>
              </w:rPr>
            </w:pPr>
            <w:r w:rsidRPr="00526F8A">
              <w:rPr>
                <w:color w:val="000000"/>
                <w:sz w:val="22"/>
                <w:szCs w:val="22"/>
              </w:rPr>
              <w:t>Class 13</w:t>
            </w:r>
          </w:p>
        </w:tc>
        <w:tc>
          <w:tcPr>
            <w:tcW w:w="1134" w:type="dxa"/>
            <w:shd w:val="clear" w:color="auto" w:fill="auto"/>
            <w:noWrap/>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10.0</w:t>
            </w:r>
          </w:p>
        </w:tc>
        <w:tc>
          <w:tcPr>
            <w:tcW w:w="1134" w:type="dxa"/>
            <w:shd w:val="clear" w:color="auto" w:fill="auto"/>
            <w:noWrap/>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1.94</w:t>
            </w:r>
          </w:p>
        </w:tc>
        <w:tc>
          <w:tcPr>
            <w:tcW w:w="1134" w:type="dxa"/>
            <w:shd w:val="clear" w:color="auto" w:fill="auto"/>
            <w:noWrap/>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1.16</w:t>
            </w:r>
          </w:p>
        </w:tc>
        <w:tc>
          <w:tcPr>
            <w:tcW w:w="1134" w:type="dxa"/>
            <w:vAlign w:val="center"/>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0.007</w:t>
            </w:r>
          </w:p>
        </w:tc>
        <w:tc>
          <w:tcPr>
            <w:tcW w:w="1134" w:type="dxa"/>
            <w:shd w:val="clear" w:color="auto" w:fill="auto"/>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4.4</w:t>
            </w:r>
          </w:p>
        </w:tc>
        <w:tc>
          <w:tcPr>
            <w:tcW w:w="1134" w:type="dxa"/>
            <w:shd w:val="clear" w:color="auto" w:fill="auto"/>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33.3</w:t>
            </w:r>
          </w:p>
        </w:tc>
        <w:tc>
          <w:tcPr>
            <w:tcW w:w="1134" w:type="dxa"/>
            <w:shd w:val="clear" w:color="auto" w:fill="auto"/>
            <w:vAlign w:val="center"/>
            <w:hideMark/>
          </w:tcPr>
          <w:p w:rsidR="005356E5" w:rsidRPr="005356E5" w:rsidRDefault="005356E5" w:rsidP="006A524C">
            <w:pPr>
              <w:spacing w:before="80" w:after="80"/>
              <w:jc w:val="right"/>
              <w:rPr>
                <w:rFonts w:ascii="Calibri" w:hAnsi="Calibri" w:cs="Calibri"/>
                <w:color w:val="000000"/>
                <w:sz w:val="22"/>
                <w:szCs w:val="22"/>
              </w:rPr>
            </w:pPr>
            <w:r w:rsidRPr="005356E5">
              <w:rPr>
                <w:rFonts w:ascii="Calibri" w:hAnsi="Calibri" w:cs="Calibri"/>
                <w:color w:val="000000"/>
                <w:sz w:val="22"/>
                <w:szCs w:val="22"/>
              </w:rPr>
              <w:t>60.3</w:t>
            </w:r>
          </w:p>
        </w:tc>
      </w:tr>
      <w:tr w:rsidR="00E800F2" w:rsidRPr="00DF16B7" w:rsidTr="005356E5">
        <w:trPr>
          <w:tblHeader/>
        </w:trPr>
        <w:tc>
          <w:tcPr>
            <w:tcW w:w="1124" w:type="dxa"/>
            <w:shd w:val="clear" w:color="auto" w:fill="auto"/>
            <w:noWrap/>
            <w:vAlign w:val="center"/>
            <w:hideMark/>
          </w:tcPr>
          <w:p w:rsidR="00E800F2" w:rsidRPr="00203177" w:rsidRDefault="00E800F2" w:rsidP="006A524C">
            <w:pPr>
              <w:spacing w:before="80" w:after="80"/>
              <w:rPr>
                <w:rFonts w:ascii="Calibri" w:hAnsi="Calibri" w:cs="Calibri"/>
                <w:b/>
                <w:color w:val="000000"/>
                <w:sz w:val="22"/>
                <w:szCs w:val="22"/>
              </w:rPr>
            </w:pPr>
            <w:r w:rsidRPr="00203177">
              <w:rPr>
                <w:rFonts w:ascii="Calibri" w:hAnsi="Calibri" w:cs="Calibri"/>
                <w:b/>
                <w:color w:val="000000"/>
                <w:sz w:val="22"/>
                <w:szCs w:val="22"/>
              </w:rPr>
              <w:t>Total</w:t>
            </w:r>
          </w:p>
        </w:tc>
        <w:tc>
          <w:tcPr>
            <w:tcW w:w="1134" w:type="dxa"/>
            <w:shd w:val="clear" w:color="auto" w:fill="auto"/>
            <w:noWrap/>
            <w:vAlign w:val="center"/>
            <w:hideMark/>
          </w:tcPr>
          <w:p w:rsidR="00E800F2" w:rsidRPr="00203177" w:rsidRDefault="00E800F2" w:rsidP="006A524C">
            <w:pPr>
              <w:spacing w:before="80" w:after="80"/>
              <w:jc w:val="right"/>
              <w:rPr>
                <w:rFonts w:ascii="Calibri" w:hAnsi="Calibri" w:cs="Calibri"/>
                <w:b/>
                <w:color w:val="000000"/>
                <w:sz w:val="22"/>
                <w:szCs w:val="22"/>
              </w:rPr>
            </w:pPr>
            <w:r w:rsidRPr="00203177">
              <w:rPr>
                <w:rFonts w:ascii="Calibri" w:hAnsi="Calibri" w:cs="Calibri"/>
                <w:b/>
                <w:color w:val="000000"/>
                <w:sz w:val="22"/>
                <w:szCs w:val="22"/>
              </w:rPr>
              <w:t>100</w:t>
            </w:r>
            <w:r w:rsidR="006A524C" w:rsidRPr="00203177">
              <w:rPr>
                <w:rFonts w:ascii="Calibri" w:hAnsi="Calibri" w:cs="Calibri"/>
                <w:b/>
                <w:color w:val="000000"/>
                <w:sz w:val="22"/>
                <w:szCs w:val="22"/>
              </w:rPr>
              <w:t>.0</w:t>
            </w:r>
          </w:p>
        </w:tc>
        <w:tc>
          <w:tcPr>
            <w:tcW w:w="1134" w:type="dxa"/>
            <w:shd w:val="clear" w:color="auto" w:fill="auto"/>
            <w:noWrap/>
            <w:vAlign w:val="center"/>
            <w:hideMark/>
          </w:tcPr>
          <w:p w:rsidR="00E800F2" w:rsidRPr="00203177" w:rsidRDefault="00E800F2" w:rsidP="006A524C">
            <w:pPr>
              <w:spacing w:before="80" w:after="80"/>
              <w:jc w:val="right"/>
              <w:rPr>
                <w:rFonts w:ascii="Calibri" w:hAnsi="Calibri" w:cs="Calibri"/>
                <w:b/>
                <w:color w:val="000000"/>
                <w:sz w:val="22"/>
                <w:szCs w:val="22"/>
              </w:rPr>
            </w:pPr>
            <w:r w:rsidRPr="00203177">
              <w:rPr>
                <w:rFonts w:ascii="Calibri" w:hAnsi="Calibri" w:cs="Calibri"/>
                <w:b/>
                <w:color w:val="000000"/>
                <w:sz w:val="22"/>
                <w:szCs w:val="22"/>
              </w:rPr>
              <w:t>1</w:t>
            </w:r>
            <w:r w:rsidR="005356E5" w:rsidRPr="00203177">
              <w:rPr>
                <w:rFonts w:ascii="Calibri" w:hAnsi="Calibri" w:cs="Calibri"/>
                <w:b/>
                <w:color w:val="000000"/>
                <w:sz w:val="22"/>
                <w:szCs w:val="22"/>
              </w:rPr>
              <w:t>.00</w:t>
            </w:r>
          </w:p>
        </w:tc>
        <w:tc>
          <w:tcPr>
            <w:tcW w:w="1134" w:type="dxa"/>
            <w:shd w:val="clear" w:color="auto" w:fill="auto"/>
            <w:noWrap/>
            <w:vAlign w:val="center"/>
            <w:hideMark/>
          </w:tcPr>
          <w:p w:rsidR="00E800F2" w:rsidRPr="00203177" w:rsidRDefault="00E800F2" w:rsidP="006A524C">
            <w:pPr>
              <w:spacing w:before="80" w:after="80"/>
              <w:jc w:val="right"/>
              <w:rPr>
                <w:rFonts w:ascii="Calibri" w:hAnsi="Calibri" w:cs="Calibri"/>
                <w:b/>
                <w:color w:val="000000"/>
                <w:sz w:val="22"/>
                <w:szCs w:val="22"/>
              </w:rPr>
            </w:pPr>
            <w:r w:rsidRPr="00203177">
              <w:rPr>
                <w:rFonts w:ascii="Calibri" w:hAnsi="Calibri" w:cs="Calibri"/>
                <w:b/>
                <w:color w:val="000000"/>
                <w:sz w:val="22"/>
                <w:szCs w:val="22"/>
              </w:rPr>
              <w:t>1</w:t>
            </w:r>
            <w:r w:rsidR="005356E5" w:rsidRPr="00203177">
              <w:rPr>
                <w:rFonts w:ascii="Calibri" w:hAnsi="Calibri" w:cs="Calibri"/>
                <w:b/>
                <w:color w:val="000000"/>
                <w:sz w:val="22"/>
                <w:szCs w:val="22"/>
              </w:rPr>
              <w:t>.00</w:t>
            </w:r>
          </w:p>
        </w:tc>
        <w:tc>
          <w:tcPr>
            <w:tcW w:w="1134" w:type="dxa"/>
            <w:vAlign w:val="center"/>
          </w:tcPr>
          <w:p w:rsidR="00E800F2" w:rsidRPr="00203177" w:rsidRDefault="00E800F2" w:rsidP="006A524C">
            <w:pPr>
              <w:spacing w:before="80" w:after="80"/>
              <w:jc w:val="right"/>
              <w:rPr>
                <w:rFonts w:ascii="Calibri" w:hAnsi="Calibri" w:cs="Calibri"/>
                <w:b/>
                <w:color w:val="000000"/>
                <w:sz w:val="22"/>
                <w:szCs w:val="22"/>
              </w:rPr>
            </w:pPr>
            <w:r w:rsidRPr="00203177">
              <w:rPr>
                <w:rFonts w:ascii="Calibri" w:hAnsi="Calibri" w:cs="Calibri"/>
                <w:b/>
                <w:color w:val="000000"/>
                <w:sz w:val="22"/>
                <w:szCs w:val="22"/>
              </w:rPr>
              <w:t>0.004</w:t>
            </w:r>
          </w:p>
        </w:tc>
        <w:tc>
          <w:tcPr>
            <w:tcW w:w="1134" w:type="dxa"/>
            <w:shd w:val="clear" w:color="auto" w:fill="auto"/>
            <w:vAlign w:val="center"/>
            <w:hideMark/>
          </w:tcPr>
          <w:p w:rsidR="00E800F2" w:rsidRPr="00203177" w:rsidRDefault="00E800F2" w:rsidP="006A524C">
            <w:pPr>
              <w:spacing w:before="80" w:after="80"/>
              <w:jc w:val="right"/>
              <w:rPr>
                <w:rFonts w:ascii="Calibri" w:hAnsi="Calibri" w:cs="Calibri"/>
                <w:b/>
                <w:color w:val="000000"/>
                <w:sz w:val="22"/>
                <w:szCs w:val="22"/>
              </w:rPr>
            </w:pPr>
            <w:r w:rsidRPr="00203177">
              <w:rPr>
                <w:rFonts w:ascii="Calibri" w:hAnsi="Calibri" w:cs="Calibri"/>
                <w:b/>
                <w:color w:val="000000"/>
                <w:sz w:val="22"/>
                <w:szCs w:val="22"/>
              </w:rPr>
              <w:t>26</w:t>
            </w:r>
            <w:r w:rsidR="005356E5" w:rsidRPr="00203177">
              <w:rPr>
                <w:rFonts w:ascii="Calibri" w:hAnsi="Calibri" w:cs="Calibri"/>
                <w:b/>
                <w:color w:val="000000"/>
                <w:sz w:val="22"/>
                <w:szCs w:val="22"/>
              </w:rPr>
              <w:t>.0</w:t>
            </w:r>
          </w:p>
        </w:tc>
        <w:tc>
          <w:tcPr>
            <w:tcW w:w="1134" w:type="dxa"/>
            <w:shd w:val="clear" w:color="auto" w:fill="auto"/>
            <w:vAlign w:val="center"/>
            <w:hideMark/>
          </w:tcPr>
          <w:p w:rsidR="00E800F2" w:rsidRPr="00203177" w:rsidRDefault="00E800F2" w:rsidP="006A524C">
            <w:pPr>
              <w:spacing w:before="80" w:after="80"/>
              <w:jc w:val="right"/>
              <w:rPr>
                <w:rFonts w:ascii="Calibri" w:hAnsi="Calibri" w:cs="Calibri"/>
                <w:b/>
                <w:color w:val="000000"/>
                <w:sz w:val="22"/>
                <w:szCs w:val="22"/>
              </w:rPr>
            </w:pPr>
            <w:r w:rsidRPr="00203177">
              <w:rPr>
                <w:rFonts w:ascii="Calibri" w:hAnsi="Calibri" w:cs="Calibri"/>
                <w:b/>
                <w:color w:val="000000"/>
                <w:sz w:val="22"/>
                <w:szCs w:val="22"/>
              </w:rPr>
              <w:t>27.6</w:t>
            </w:r>
          </w:p>
        </w:tc>
        <w:tc>
          <w:tcPr>
            <w:tcW w:w="1134" w:type="dxa"/>
            <w:shd w:val="clear" w:color="auto" w:fill="auto"/>
            <w:vAlign w:val="center"/>
            <w:hideMark/>
          </w:tcPr>
          <w:p w:rsidR="00E800F2" w:rsidRPr="00203177" w:rsidRDefault="00E800F2" w:rsidP="006A524C">
            <w:pPr>
              <w:spacing w:before="80" w:after="80"/>
              <w:jc w:val="right"/>
              <w:rPr>
                <w:rFonts w:ascii="Calibri" w:hAnsi="Calibri" w:cs="Calibri"/>
                <w:b/>
                <w:color w:val="000000"/>
                <w:sz w:val="22"/>
                <w:szCs w:val="22"/>
              </w:rPr>
            </w:pPr>
            <w:r w:rsidRPr="00203177">
              <w:rPr>
                <w:rFonts w:ascii="Calibri" w:hAnsi="Calibri" w:cs="Calibri"/>
                <w:b/>
                <w:color w:val="000000"/>
                <w:sz w:val="22"/>
                <w:szCs w:val="22"/>
              </w:rPr>
              <w:t>31.4</w:t>
            </w:r>
          </w:p>
        </w:tc>
      </w:tr>
    </w:tbl>
    <w:p w:rsidR="00C75419" w:rsidRDefault="00DF16B7" w:rsidP="00331160">
      <w:pPr>
        <w:spacing w:before="120" w:after="120"/>
      </w:pPr>
      <w:r>
        <w:fldChar w:fldCharType="begin"/>
      </w:r>
      <w:r>
        <w:instrText xml:space="preserve"> REF _Ref535536757 \h </w:instrText>
      </w:r>
      <w:r>
        <w:fldChar w:fldCharType="separate"/>
      </w:r>
      <w:r w:rsidR="00785B04">
        <w:t xml:space="preserve">Table </w:t>
      </w:r>
      <w:r w:rsidR="00785B04">
        <w:rPr>
          <w:noProof/>
        </w:rPr>
        <w:t>9</w:t>
      </w:r>
      <w:r>
        <w:fldChar w:fldCharType="end"/>
      </w:r>
      <w:r>
        <w:t xml:space="preserve"> presents similar information, but </w:t>
      </w:r>
      <w:r w:rsidR="00203177">
        <w:t xml:space="preserve">this time </w:t>
      </w:r>
      <w:r>
        <w:t>by grouped ACFI categories</w:t>
      </w:r>
      <w:r w:rsidR="004F22D2">
        <w:t xml:space="preserve">. The mean AN-ACC </w:t>
      </w:r>
      <w:r w:rsidR="00526F8A">
        <w:t xml:space="preserve">RVU </w:t>
      </w:r>
      <w:r w:rsidR="00203177">
        <w:t xml:space="preserve">and </w:t>
      </w:r>
      <w:r w:rsidR="004F22D2">
        <w:t>the mean ACFI payment can be compared, as they are both scaled relative to their sample mean. It can be seen that they follow a similar pattern.</w:t>
      </w:r>
    </w:p>
    <w:p w:rsidR="00C75419" w:rsidRDefault="005F6065" w:rsidP="005F6065">
      <w:pPr>
        <w:pStyle w:val="Caption"/>
      </w:pPr>
      <w:bookmarkStart w:id="79" w:name="_Ref535536757"/>
      <w:bookmarkStart w:id="80" w:name="_Toc953901"/>
      <w:r>
        <w:t xml:space="preserve">Table </w:t>
      </w:r>
      <w:r w:rsidR="00E949FA">
        <w:rPr>
          <w:noProof/>
        </w:rPr>
        <w:fldChar w:fldCharType="begin"/>
      </w:r>
      <w:r w:rsidR="00E949FA">
        <w:rPr>
          <w:noProof/>
        </w:rPr>
        <w:instrText xml:space="preserve"> SEQ Table \* ARABIC </w:instrText>
      </w:r>
      <w:r w:rsidR="00E949FA">
        <w:rPr>
          <w:noProof/>
        </w:rPr>
        <w:fldChar w:fldCharType="separate"/>
      </w:r>
      <w:r w:rsidR="00785B04">
        <w:rPr>
          <w:noProof/>
        </w:rPr>
        <w:t>9</w:t>
      </w:r>
      <w:r w:rsidR="00E949FA">
        <w:rPr>
          <w:noProof/>
        </w:rPr>
        <w:fldChar w:fldCharType="end"/>
      </w:r>
      <w:bookmarkEnd w:id="79"/>
      <w:r w:rsidR="00341AF1">
        <w:rPr>
          <w:noProof/>
        </w:rPr>
        <w:t xml:space="preserve"> </w:t>
      </w:r>
      <w:r>
        <w:tab/>
        <w:t>Capturing clinical complexity by ACFI category groups</w:t>
      </w:r>
      <w:bookmarkEnd w:id="80"/>
    </w:p>
    <w:tbl>
      <w:tblPr>
        <w:tblW w:w="8637" w:type="dxa"/>
        <w:tblInd w:w="118" w:type="dxa"/>
        <w:tblLayout w:type="fixed"/>
        <w:tblLook w:val="04A0" w:firstRow="1" w:lastRow="0" w:firstColumn="1" w:lastColumn="0" w:noHBand="0" w:noVBand="1"/>
        <w:tblCaption w:val="Table 9  Capturing clinical complexity by ACFI category groups"/>
        <w:tblDescription w:val="Table 9 Captures clinical complexity by ACFI category groups. The mean AN-ACC RVU and the mean ACFI payment can be compared, as they are both scaled relative to their sample mean. It can be seen that they follow a similar pattern as when clinical complexity by AN-ACC class is compared. This table is to be read as a series of rows from left to right ('ACFI category' then 'records (percentage)' then 'AN-ACC RVU mean' then 'AN-ACC RVU standard error' then 'ACFI payment mean' then 'ACFI payment standard error'), top to bottom."/>
      </w:tblPr>
      <w:tblGrid>
        <w:gridCol w:w="1439"/>
        <w:gridCol w:w="1440"/>
        <w:gridCol w:w="1439"/>
        <w:gridCol w:w="1440"/>
        <w:gridCol w:w="1439"/>
        <w:gridCol w:w="1440"/>
      </w:tblGrid>
      <w:tr w:rsidR="009952BD" w:rsidRPr="00DF16B7" w:rsidTr="00416CAE">
        <w:trPr>
          <w:trHeight w:val="315"/>
          <w:tblHeader/>
        </w:trPr>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2BD" w:rsidRPr="00DF16B7" w:rsidRDefault="009952BD" w:rsidP="00DE6330">
            <w:pPr>
              <w:spacing w:before="80" w:after="80"/>
              <w:rPr>
                <w:rFonts w:ascii="Calibri" w:hAnsi="Calibri" w:cs="Calibri"/>
                <w:b/>
                <w:color w:val="000000"/>
                <w:sz w:val="22"/>
                <w:szCs w:val="22"/>
              </w:rPr>
            </w:pPr>
            <w:r w:rsidRPr="00DF16B7">
              <w:rPr>
                <w:rFonts w:ascii="Calibri" w:hAnsi="Calibri" w:cs="Calibri"/>
                <w:b/>
                <w:color w:val="000000"/>
                <w:sz w:val="22"/>
                <w:szCs w:val="22"/>
              </w:rPr>
              <w:t>ACFI category</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2BD" w:rsidRDefault="009952BD" w:rsidP="00DE6330">
            <w:pPr>
              <w:spacing w:before="80" w:after="80"/>
              <w:jc w:val="center"/>
              <w:rPr>
                <w:rFonts w:ascii="Calibri" w:hAnsi="Calibri" w:cs="Calibri"/>
                <w:b/>
                <w:color w:val="000000"/>
                <w:sz w:val="22"/>
                <w:szCs w:val="22"/>
              </w:rPr>
            </w:pPr>
            <w:r w:rsidRPr="00DF16B7">
              <w:rPr>
                <w:rFonts w:ascii="Calibri" w:hAnsi="Calibri" w:cs="Calibri"/>
                <w:b/>
                <w:color w:val="000000"/>
                <w:sz w:val="22"/>
                <w:szCs w:val="22"/>
              </w:rPr>
              <w:t>Records</w:t>
            </w:r>
          </w:p>
          <w:p w:rsidR="009952BD" w:rsidRPr="00DF16B7" w:rsidRDefault="009952BD" w:rsidP="00DE6330">
            <w:pPr>
              <w:spacing w:before="80" w:after="80"/>
              <w:jc w:val="center"/>
              <w:rPr>
                <w:rFonts w:ascii="Calibri" w:hAnsi="Calibri" w:cs="Calibri"/>
                <w:b/>
                <w:color w:val="000000"/>
                <w:sz w:val="22"/>
                <w:szCs w:val="22"/>
              </w:rPr>
            </w:pPr>
            <w:r w:rsidRPr="00DE6330">
              <w:rPr>
                <w:rFonts w:ascii="Calibri" w:hAnsi="Calibri" w:cs="Calibri"/>
                <w:b/>
                <w:color w:val="000000"/>
                <w:sz w:val="22"/>
                <w:szCs w:val="22"/>
              </w:rPr>
              <w:t>%</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2BD" w:rsidRDefault="009952BD" w:rsidP="00526F8A">
            <w:pPr>
              <w:spacing w:before="80" w:after="80"/>
              <w:jc w:val="center"/>
              <w:rPr>
                <w:rFonts w:ascii="Calibri" w:hAnsi="Calibri" w:cs="Calibri"/>
                <w:b/>
                <w:color w:val="000000"/>
                <w:sz w:val="22"/>
                <w:szCs w:val="22"/>
              </w:rPr>
            </w:pPr>
            <w:r>
              <w:rPr>
                <w:rFonts w:ascii="Calibri" w:hAnsi="Calibri" w:cs="Calibri"/>
                <w:b/>
                <w:color w:val="000000"/>
                <w:sz w:val="22"/>
                <w:szCs w:val="22"/>
              </w:rPr>
              <w:t>AN-ACC RVU</w:t>
            </w:r>
          </w:p>
          <w:p w:rsidR="009952BD" w:rsidRPr="00DF16B7" w:rsidRDefault="009952BD" w:rsidP="00526F8A">
            <w:pPr>
              <w:spacing w:before="80" w:after="80"/>
              <w:jc w:val="center"/>
              <w:rPr>
                <w:rFonts w:ascii="Calibri" w:hAnsi="Calibri" w:cs="Calibri"/>
                <w:b/>
                <w:color w:val="000000"/>
                <w:sz w:val="22"/>
                <w:szCs w:val="22"/>
              </w:rPr>
            </w:pPr>
            <w:r w:rsidRPr="00DE6330">
              <w:rPr>
                <w:rFonts w:ascii="Calibri" w:hAnsi="Calibri" w:cs="Calibri"/>
                <w:b/>
                <w:color w:val="000000"/>
                <w:sz w:val="22"/>
                <w:szCs w:val="22"/>
              </w:rPr>
              <w:t>Mean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952BD" w:rsidRDefault="009952BD" w:rsidP="00526F8A">
            <w:pPr>
              <w:spacing w:before="80" w:after="80"/>
              <w:jc w:val="center"/>
              <w:rPr>
                <w:rFonts w:ascii="Calibri" w:hAnsi="Calibri" w:cs="Calibri"/>
                <w:b/>
                <w:color w:val="000000"/>
                <w:sz w:val="22"/>
                <w:szCs w:val="22"/>
              </w:rPr>
            </w:pPr>
            <w:r>
              <w:rPr>
                <w:rFonts w:ascii="Calibri" w:hAnsi="Calibri" w:cs="Calibri"/>
                <w:b/>
                <w:color w:val="000000"/>
                <w:sz w:val="22"/>
                <w:szCs w:val="22"/>
              </w:rPr>
              <w:t>AN-ACC RVU</w:t>
            </w:r>
          </w:p>
          <w:p w:rsidR="009952BD" w:rsidRPr="00DF16B7" w:rsidRDefault="009952BD" w:rsidP="00526F8A">
            <w:pPr>
              <w:spacing w:before="80" w:after="80"/>
              <w:jc w:val="center"/>
              <w:rPr>
                <w:rFonts w:ascii="Calibri" w:hAnsi="Calibri" w:cs="Calibri"/>
                <w:b/>
                <w:color w:val="000000"/>
                <w:sz w:val="22"/>
                <w:szCs w:val="22"/>
              </w:rPr>
            </w:pPr>
            <w:r w:rsidRPr="00DE6330">
              <w:rPr>
                <w:rFonts w:ascii="Calibri" w:hAnsi="Calibri" w:cs="Calibri"/>
                <w:b/>
                <w:color w:val="000000"/>
                <w:sz w:val="22"/>
                <w:szCs w:val="22"/>
              </w:rPr>
              <w:t>Standard error</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2BD" w:rsidRDefault="009952BD" w:rsidP="00DE6330">
            <w:pPr>
              <w:spacing w:before="80" w:after="80"/>
              <w:jc w:val="center"/>
              <w:rPr>
                <w:rFonts w:ascii="Calibri" w:hAnsi="Calibri" w:cs="Calibri"/>
                <w:b/>
                <w:color w:val="000000"/>
                <w:sz w:val="22"/>
                <w:szCs w:val="22"/>
              </w:rPr>
            </w:pPr>
            <w:r w:rsidRPr="00DF16B7">
              <w:rPr>
                <w:rFonts w:ascii="Calibri" w:hAnsi="Calibri" w:cs="Calibri"/>
                <w:b/>
                <w:color w:val="000000"/>
                <w:sz w:val="22"/>
                <w:szCs w:val="22"/>
              </w:rPr>
              <w:t>ACFI payment</w:t>
            </w:r>
          </w:p>
          <w:p w:rsidR="009952BD" w:rsidRPr="00DF16B7" w:rsidRDefault="009952BD" w:rsidP="00DE6330">
            <w:pPr>
              <w:spacing w:before="80" w:after="80"/>
              <w:jc w:val="center"/>
              <w:rPr>
                <w:rFonts w:ascii="Calibri" w:hAnsi="Calibri" w:cs="Calibri"/>
                <w:b/>
                <w:color w:val="000000"/>
                <w:sz w:val="22"/>
                <w:szCs w:val="22"/>
              </w:rPr>
            </w:pPr>
            <w:r w:rsidRPr="00DE6330">
              <w:rPr>
                <w:rFonts w:ascii="Calibri" w:hAnsi="Calibri" w:cs="Calibri"/>
                <w:b/>
                <w:color w:val="000000"/>
                <w:sz w:val="22"/>
                <w:szCs w:val="22"/>
              </w:rPr>
              <w:t>Mean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952BD" w:rsidRDefault="009952BD" w:rsidP="00DE6330">
            <w:pPr>
              <w:spacing w:before="80" w:after="80"/>
              <w:jc w:val="center"/>
              <w:rPr>
                <w:rFonts w:ascii="Calibri" w:hAnsi="Calibri" w:cs="Calibri"/>
                <w:b/>
                <w:color w:val="000000"/>
                <w:sz w:val="22"/>
                <w:szCs w:val="22"/>
              </w:rPr>
            </w:pPr>
            <w:r w:rsidRPr="00DF16B7">
              <w:rPr>
                <w:rFonts w:ascii="Calibri" w:hAnsi="Calibri" w:cs="Calibri"/>
                <w:b/>
                <w:color w:val="000000"/>
                <w:sz w:val="22"/>
                <w:szCs w:val="22"/>
              </w:rPr>
              <w:t>ACFI payment</w:t>
            </w:r>
          </w:p>
          <w:p w:rsidR="009952BD" w:rsidRPr="00DF16B7" w:rsidRDefault="009952BD" w:rsidP="00DE6330">
            <w:pPr>
              <w:spacing w:before="80" w:after="80"/>
              <w:jc w:val="center"/>
              <w:rPr>
                <w:rFonts w:ascii="Calibri" w:hAnsi="Calibri" w:cs="Calibri"/>
                <w:b/>
                <w:color w:val="000000"/>
                <w:sz w:val="22"/>
                <w:szCs w:val="22"/>
              </w:rPr>
            </w:pPr>
            <w:r w:rsidRPr="00DE6330">
              <w:rPr>
                <w:rFonts w:ascii="Calibri" w:hAnsi="Calibri" w:cs="Calibri"/>
                <w:b/>
                <w:color w:val="000000"/>
                <w:sz w:val="22"/>
                <w:szCs w:val="22"/>
              </w:rPr>
              <w:t>Standard error</w:t>
            </w:r>
          </w:p>
        </w:tc>
      </w:tr>
      <w:tr w:rsidR="00DF16B7" w:rsidRPr="00C75419" w:rsidTr="00526F8A">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rPr>
                <w:rFonts w:ascii="Calibri" w:hAnsi="Calibri" w:cs="Calibri"/>
                <w:color w:val="000000"/>
                <w:sz w:val="22"/>
                <w:szCs w:val="22"/>
              </w:rPr>
            </w:pPr>
            <w:r w:rsidRPr="00C75419">
              <w:rPr>
                <w:rFonts w:ascii="Calibri" w:hAnsi="Calibri" w:cs="Calibri"/>
                <w:color w:val="000000"/>
                <w:sz w:val="22"/>
                <w:szCs w:val="22"/>
              </w:rPr>
              <w:t>1=1xL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jc w:val="right"/>
              <w:rPr>
                <w:rFonts w:ascii="Calibri" w:hAnsi="Calibri" w:cs="Calibri"/>
                <w:color w:val="000000"/>
                <w:sz w:val="22"/>
                <w:szCs w:val="22"/>
              </w:rPr>
            </w:pPr>
            <w:r w:rsidRPr="00C75419">
              <w:rPr>
                <w:rFonts w:ascii="Calibri" w:hAnsi="Calibri" w:cs="Calibri"/>
                <w:color w:val="000000"/>
                <w:sz w:val="22"/>
                <w:szCs w:val="22"/>
              </w:rPr>
              <w:t>0.3</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jc w:val="right"/>
              <w:rPr>
                <w:rFonts w:ascii="Calibri" w:hAnsi="Calibri" w:cs="Calibri"/>
                <w:color w:val="000000"/>
                <w:sz w:val="22"/>
                <w:szCs w:val="22"/>
              </w:rPr>
            </w:pPr>
            <w:r w:rsidRPr="00C75419">
              <w:rPr>
                <w:rFonts w:ascii="Calibri" w:hAnsi="Calibri" w:cs="Calibri"/>
                <w:color w:val="000000"/>
                <w:sz w:val="22"/>
                <w:szCs w:val="22"/>
              </w:rPr>
              <w:t>0.43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jc w:val="right"/>
              <w:rPr>
                <w:rFonts w:ascii="Calibri" w:hAnsi="Calibri" w:cs="Calibri"/>
                <w:color w:val="000000"/>
                <w:sz w:val="22"/>
                <w:szCs w:val="22"/>
              </w:rPr>
            </w:pPr>
            <w:r w:rsidRPr="00C75419">
              <w:rPr>
                <w:rFonts w:ascii="Calibri" w:hAnsi="Calibri" w:cs="Calibri"/>
                <w:color w:val="000000"/>
                <w:sz w:val="22"/>
                <w:szCs w:val="22"/>
              </w:rPr>
              <w:t>0.038</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jc w:val="right"/>
              <w:rPr>
                <w:rFonts w:ascii="Calibri" w:hAnsi="Calibri" w:cs="Calibri"/>
                <w:color w:val="000000"/>
                <w:sz w:val="22"/>
                <w:szCs w:val="22"/>
              </w:rPr>
            </w:pPr>
            <w:r w:rsidRPr="00C75419">
              <w:rPr>
                <w:rFonts w:ascii="Calibri" w:hAnsi="Calibri" w:cs="Calibri"/>
                <w:color w:val="000000"/>
                <w:sz w:val="22"/>
                <w:szCs w:val="22"/>
              </w:rPr>
              <w:t>0.13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jc w:val="right"/>
              <w:rPr>
                <w:rFonts w:ascii="Calibri" w:hAnsi="Calibri" w:cs="Calibri"/>
                <w:color w:val="000000"/>
                <w:sz w:val="22"/>
                <w:szCs w:val="22"/>
              </w:rPr>
            </w:pPr>
            <w:r w:rsidRPr="00C75419">
              <w:rPr>
                <w:rFonts w:ascii="Calibri" w:hAnsi="Calibri" w:cs="Calibri"/>
                <w:color w:val="000000"/>
                <w:sz w:val="22"/>
                <w:szCs w:val="22"/>
              </w:rPr>
              <w:t>0.021</w:t>
            </w:r>
          </w:p>
        </w:tc>
      </w:tr>
      <w:tr w:rsidR="00DF16B7" w:rsidRPr="00C75419" w:rsidTr="00526F8A">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rPr>
                <w:rFonts w:ascii="Calibri" w:hAnsi="Calibri" w:cs="Calibri"/>
                <w:color w:val="000000"/>
                <w:sz w:val="22"/>
                <w:szCs w:val="22"/>
              </w:rPr>
            </w:pPr>
            <w:r w:rsidRPr="00C75419">
              <w:rPr>
                <w:rFonts w:ascii="Calibri" w:hAnsi="Calibri" w:cs="Calibri"/>
                <w:color w:val="000000"/>
                <w:sz w:val="22"/>
                <w:szCs w:val="22"/>
              </w:rPr>
              <w:t>2=2xL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jc w:val="right"/>
              <w:rPr>
                <w:rFonts w:ascii="Calibri" w:hAnsi="Calibri" w:cs="Calibri"/>
                <w:color w:val="000000"/>
                <w:sz w:val="22"/>
                <w:szCs w:val="22"/>
              </w:rPr>
            </w:pPr>
            <w:r w:rsidRPr="00C75419">
              <w:rPr>
                <w:rFonts w:ascii="Calibri" w:hAnsi="Calibri" w:cs="Calibri"/>
                <w:color w:val="000000"/>
                <w:sz w:val="22"/>
                <w:szCs w:val="22"/>
              </w:rPr>
              <w:t>0.7</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jc w:val="right"/>
              <w:rPr>
                <w:rFonts w:ascii="Calibri" w:hAnsi="Calibri" w:cs="Calibri"/>
                <w:color w:val="000000"/>
                <w:sz w:val="22"/>
                <w:szCs w:val="22"/>
              </w:rPr>
            </w:pPr>
            <w:r w:rsidRPr="00C75419">
              <w:rPr>
                <w:rFonts w:ascii="Calibri" w:hAnsi="Calibri" w:cs="Calibri"/>
                <w:color w:val="000000"/>
                <w:sz w:val="22"/>
                <w:szCs w:val="22"/>
              </w:rPr>
              <w:t>0.51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jc w:val="right"/>
              <w:rPr>
                <w:rFonts w:ascii="Calibri" w:hAnsi="Calibri" w:cs="Calibri"/>
                <w:color w:val="000000"/>
                <w:sz w:val="22"/>
                <w:szCs w:val="22"/>
              </w:rPr>
            </w:pPr>
            <w:r w:rsidRPr="00C75419">
              <w:rPr>
                <w:rFonts w:ascii="Calibri" w:hAnsi="Calibri" w:cs="Calibri"/>
                <w:color w:val="000000"/>
                <w:sz w:val="22"/>
                <w:szCs w:val="22"/>
              </w:rPr>
              <w:t>0.043</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jc w:val="right"/>
              <w:rPr>
                <w:rFonts w:ascii="Calibri" w:hAnsi="Calibri" w:cs="Calibri"/>
                <w:color w:val="000000"/>
                <w:sz w:val="22"/>
                <w:szCs w:val="22"/>
              </w:rPr>
            </w:pPr>
            <w:r w:rsidRPr="00C75419">
              <w:rPr>
                <w:rFonts w:ascii="Calibri" w:hAnsi="Calibri" w:cs="Calibri"/>
                <w:color w:val="000000"/>
                <w:sz w:val="22"/>
                <w:szCs w:val="22"/>
              </w:rPr>
              <w:t>0.27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jc w:val="right"/>
              <w:rPr>
                <w:rFonts w:ascii="Calibri" w:hAnsi="Calibri" w:cs="Calibri"/>
                <w:color w:val="000000"/>
                <w:sz w:val="22"/>
                <w:szCs w:val="22"/>
              </w:rPr>
            </w:pPr>
            <w:r w:rsidRPr="00C75419">
              <w:rPr>
                <w:rFonts w:ascii="Calibri" w:hAnsi="Calibri" w:cs="Calibri"/>
                <w:color w:val="000000"/>
                <w:sz w:val="22"/>
                <w:szCs w:val="22"/>
              </w:rPr>
              <w:t>0.012</w:t>
            </w:r>
          </w:p>
        </w:tc>
      </w:tr>
      <w:tr w:rsidR="00DF16B7" w:rsidRPr="00C75419" w:rsidTr="00526F8A">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rPr>
                <w:rFonts w:ascii="Calibri" w:hAnsi="Calibri" w:cs="Calibri"/>
                <w:color w:val="000000"/>
                <w:sz w:val="22"/>
                <w:szCs w:val="22"/>
              </w:rPr>
            </w:pPr>
            <w:r w:rsidRPr="00C75419">
              <w:rPr>
                <w:rFonts w:ascii="Calibri" w:hAnsi="Calibri" w:cs="Calibri"/>
                <w:color w:val="000000"/>
                <w:sz w:val="22"/>
                <w:szCs w:val="22"/>
              </w:rPr>
              <w:t>3=3xL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jc w:val="right"/>
              <w:rPr>
                <w:rFonts w:ascii="Calibri" w:hAnsi="Calibri" w:cs="Calibri"/>
                <w:color w:val="000000"/>
                <w:sz w:val="22"/>
                <w:szCs w:val="22"/>
              </w:rPr>
            </w:pPr>
            <w:r w:rsidRPr="00C75419">
              <w:rPr>
                <w:rFonts w:ascii="Calibri" w:hAnsi="Calibri" w:cs="Calibri"/>
                <w:color w:val="000000"/>
                <w:sz w:val="22"/>
                <w:szCs w:val="22"/>
              </w:rPr>
              <w:t>1.1</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jc w:val="right"/>
              <w:rPr>
                <w:rFonts w:ascii="Calibri" w:hAnsi="Calibri" w:cs="Calibri"/>
                <w:color w:val="000000"/>
                <w:sz w:val="22"/>
                <w:szCs w:val="22"/>
              </w:rPr>
            </w:pPr>
            <w:r w:rsidRPr="00C75419">
              <w:rPr>
                <w:rFonts w:ascii="Calibri" w:hAnsi="Calibri" w:cs="Calibri"/>
                <w:color w:val="000000"/>
                <w:sz w:val="22"/>
                <w:szCs w:val="22"/>
              </w:rPr>
              <w:t>0.54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jc w:val="right"/>
              <w:rPr>
                <w:rFonts w:ascii="Calibri" w:hAnsi="Calibri" w:cs="Calibri"/>
                <w:color w:val="000000"/>
                <w:sz w:val="22"/>
                <w:szCs w:val="22"/>
              </w:rPr>
            </w:pPr>
            <w:r w:rsidRPr="00C75419">
              <w:rPr>
                <w:rFonts w:ascii="Calibri" w:hAnsi="Calibri" w:cs="Calibri"/>
                <w:color w:val="000000"/>
                <w:sz w:val="22"/>
                <w:szCs w:val="22"/>
              </w:rPr>
              <w:t>0.043</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jc w:val="right"/>
              <w:rPr>
                <w:rFonts w:ascii="Calibri" w:hAnsi="Calibri" w:cs="Calibri"/>
                <w:color w:val="000000"/>
                <w:sz w:val="22"/>
                <w:szCs w:val="22"/>
              </w:rPr>
            </w:pPr>
            <w:r w:rsidRPr="00C75419">
              <w:rPr>
                <w:rFonts w:ascii="Calibri" w:hAnsi="Calibri" w:cs="Calibri"/>
                <w:color w:val="000000"/>
                <w:sz w:val="22"/>
                <w:szCs w:val="22"/>
              </w:rPr>
              <w:t>0.35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jc w:val="right"/>
              <w:rPr>
                <w:rFonts w:ascii="Calibri" w:hAnsi="Calibri" w:cs="Calibri"/>
                <w:color w:val="000000"/>
                <w:sz w:val="22"/>
                <w:szCs w:val="22"/>
              </w:rPr>
            </w:pPr>
            <w:r w:rsidRPr="00C75419">
              <w:rPr>
                <w:rFonts w:ascii="Calibri" w:hAnsi="Calibri" w:cs="Calibri"/>
                <w:color w:val="000000"/>
                <w:sz w:val="22"/>
                <w:szCs w:val="22"/>
              </w:rPr>
              <w:t>---</w:t>
            </w:r>
          </w:p>
        </w:tc>
      </w:tr>
      <w:tr w:rsidR="00DF16B7" w:rsidRPr="00C75419" w:rsidTr="00526F8A">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rPr>
                <w:rFonts w:ascii="Calibri" w:hAnsi="Calibri" w:cs="Calibri"/>
                <w:color w:val="000000"/>
                <w:sz w:val="22"/>
                <w:szCs w:val="22"/>
              </w:rPr>
            </w:pPr>
            <w:r w:rsidRPr="00C75419">
              <w:rPr>
                <w:rFonts w:ascii="Calibri" w:hAnsi="Calibri" w:cs="Calibri"/>
                <w:color w:val="000000"/>
                <w:sz w:val="22"/>
                <w:szCs w:val="22"/>
              </w:rPr>
              <w:t>4=1xM</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jc w:val="right"/>
              <w:rPr>
                <w:rFonts w:ascii="Calibri" w:hAnsi="Calibri" w:cs="Calibri"/>
                <w:color w:val="000000"/>
                <w:sz w:val="22"/>
                <w:szCs w:val="22"/>
              </w:rPr>
            </w:pPr>
            <w:r w:rsidRPr="00C75419">
              <w:rPr>
                <w:rFonts w:ascii="Calibri" w:hAnsi="Calibri" w:cs="Calibri"/>
                <w:color w:val="000000"/>
                <w:sz w:val="22"/>
                <w:szCs w:val="22"/>
              </w:rPr>
              <w:t>4.4</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jc w:val="right"/>
              <w:rPr>
                <w:rFonts w:ascii="Calibri" w:hAnsi="Calibri" w:cs="Calibri"/>
                <w:color w:val="000000"/>
                <w:sz w:val="22"/>
                <w:szCs w:val="22"/>
              </w:rPr>
            </w:pPr>
            <w:r w:rsidRPr="00C75419">
              <w:rPr>
                <w:rFonts w:ascii="Calibri" w:hAnsi="Calibri" w:cs="Calibri"/>
                <w:color w:val="000000"/>
                <w:sz w:val="22"/>
                <w:szCs w:val="22"/>
              </w:rPr>
              <w:t>0.59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jc w:val="right"/>
              <w:rPr>
                <w:rFonts w:ascii="Calibri" w:hAnsi="Calibri" w:cs="Calibri"/>
                <w:color w:val="000000"/>
                <w:sz w:val="22"/>
                <w:szCs w:val="22"/>
              </w:rPr>
            </w:pPr>
            <w:r w:rsidRPr="00C75419">
              <w:rPr>
                <w:rFonts w:ascii="Calibri" w:hAnsi="Calibri" w:cs="Calibri"/>
                <w:color w:val="000000"/>
                <w:sz w:val="22"/>
                <w:szCs w:val="22"/>
              </w:rPr>
              <w:t>0.026</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jc w:val="right"/>
              <w:rPr>
                <w:rFonts w:ascii="Calibri" w:hAnsi="Calibri" w:cs="Calibri"/>
                <w:color w:val="000000"/>
                <w:sz w:val="22"/>
                <w:szCs w:val="22"/>
              </w:rPr>
            </w:pPr>
            <w:r w:rsidRPr="00C75419">
              <w:rPr>
                <w:rFonts w:ascii="Calibri" w:hAnsi="Calibri" w:cs="Calibri"/>
                <w:color w:val="000000"/>
                <w:sz w:val="22"/>
                <w:szCs w:val="22"/>
              </w:rPr>
              <w:t>0.49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jc w:val="right"/>
              <w:rPr>
                <w:rFonts w:ascii="Calibri" w:hAnsi="Calibri" w:cs="Calibri"/>
                <w:color w:val="000000"/>
                <w:sz w:val="22"/>
                <w:szCs w:val="22"/>
              </w:rPr>
            </w:pPr>
            <w:r w:rsidRPr="00C75419">
              <w:rPr>
                <w:rFonts w:ascii="Calibri" w:hAnsi="Calibri" w:cs="Calibri"/>
                <w:color w:val="000000"/>
                <w:sz w:val="22"/>
                <w:szCs w:val="22"/>
              </w:rPr>
              <w:t>0.007</w:t>
            </w:r>
          </w:p>
        </w:tc>
      </w:tr>
      <w:tr w:rsidR="00DF16B7" w:rsidRPr="00C75419" w:rsidTr="00526F8A">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rPr>
                <w:rFonts w:ascii="Calibri" w:hAnsi="Calibri" w:cs="Calibri"/>
                <w:color w:val="000000"/>
                <w:sz w:val="22"/>
                <w:szCs w:val="22"/>
              </w:rPr>
            </w:pPr>
            <w:r w:rsidRPr="00C75419">
              <w:rPr>
                <w:rFonts w:ascii="Calibri" w:hAnsi="Calibri" w:cs="Calibri"/>
                <w:color w:val="000000"/>
                <w:sz w:val="22"/>
                <w:szCs w:val="22"/>
              </w:rPr>
              <w:t>5=2xM</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jc w:val="right"/>
              <w:rPr>
                <w:rFonts w:ascii="Calibri" w:hAnsi="Calibri" w:cs="Calibri"/>
                <w:color w:val="000000"/>
                <w:sz w:val="22"/>
                <w:szCs w:val="22"/>
              </w:rPr>
            </w:pPr>
            <w:r w:rsidRPr="00C75419">
              <w:rPr>
                <w:rFonts w:ascii="Calibri" w:hAnsi="Calibri" w:cs="Calibri"/>
                <w:color w:val="000000"/>
                <w:sz w:val="22"/>
                <w:szCs w:val="22"/>
              </w:rPr>
              <w:t>4.9</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jc w:val="right"/>
              <w:rPr>
                <w:rFonts w:ascii="Calibri" w:hAnsi="Calibri" w:cs="Calibri"/>
                <w:color w:val="000000"/>
                <w:sz w:val="22"/>
                <w:szCs w:val="22"/>
              </w:rPr>
            </w:pPr>
            <w:r w:rsidRPr="00C75419">
              <w:rPr>
                <w:rFonts w:ascii="Calibri" w:hAnsi="Calibri" w:cs="Calibri"/>
                <w:color w:val="000000"/>
                <w:sz w:val="22"/>
                <w:szCs w:val="22"/>
              </w:rPr>
              <w:t>0.66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jc w:val="right"/>
              <w:rPr>
                <w:rFonts w:ascii="Calibri" w:hAnsi="Calibri" w:cs="Calibri"/>
                <w:color w:val="000000"/>
                <w:sz w:val="22"/>
                <w:szCs w:val="22"/>
              </w:rPr>
            </w:pPr>
            <w:r w:rsidRPr="00C75419">
              <w:rPr>
                <w:rFonts w:ascii="Calibri" w:hAnsi="Calibri" w:cs="Calibri"/>
                <w:color w:val="000000"/>
                <w:sz w:val="22"/>
                <w:szCs w:val="22"/>
              </w:rPr>
              <w:t>0.025</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jc w:val="right"/>
              <w:rPr>
                <w:rFonts w:ascii="Calibri" w:hAnsi="Calibri" w:cs="Calibri"/>
                <w:color w:val="000000"/>
                <w:sz w:val="22"/>
                <w:szCs w:val="22"/>
              </w:rPr>
            </w:pPr>
            <w:r w:rsidRPr="00C75419">
              <w:rPr>
                <w:rFonts w:ascii="Calibri" w:hAnsi="Calibri" w:cs="Calibri"/>
                <w:color w:val="000000"/>
                <w:sz w:val="22"/>
                <w:szCs w:val="22"/>
              </w:rPr>
              <w:t>0.68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jc w:val="right"/>
              <w:rPr>
                <w:rFonts w:ascii="Calibri" w:hAnsi="Calibri" w:cs="Calibri"/>
                <w:color w:val="000000"/>
                <w:sz w:val="22"/>
                <w:szCs w:val="22"/>
              </w:rPr>
            </w:pPr>
            <w:r w:rsidRPr="00C75419">
              <w:rPr>
                <w:rFonts w:ascii="Calibri" w:hAnsi="Calibri" w:cs="Calibri"/>
                <w:color w:val="000000"/>
                <w:sz w:val="22"/>
                <w:szCs w:val="22"/>
              </w:rPr>
              <w:t>0.006</w:t>
            </w:r>
          </w:p>
        </w:tc>
      </w:tr>
      <w:tr w:rsidR="00DF16B7" w:rsidRPr="00C75419" w:rsidTr="00526F8A">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rPr>
                <w:rFonts w:ascii="Calibri" w:hAnsi="Calibri" w:cs="Calibri"/>
                <w:color w:val="000000"/>
                <w:sz w:val="22"/>
                <w:szCs w:val="22"/>
              </w:rPr>
            </w:pPr>
            <w:r w:rsidRPr="00C75419">
              <w:rPr>
                <w:rFonts w:ascii="Calibri" w:hAnsi="Calibri" w:cs="Calibri"/>
                <w:color w:val="000000"/>
                <w:sz w:val="22"/>
                <w:szCs w:val="22"/>
              </w:rPr>
              <w:t>6=3xM</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jc w:val="right"/>
              <w:rPr>
                <w:rFonts w:ascii="Calibri" w:hAnsi="Calibri" w:cs="Calibri"/>
                <w:color w:val="000000"/>
                <w:sz w:val="22"/>
                <w:szCs w:val="22"/>
              </w:rPr>
            </w:pPr>
            <w:r w:rsidRPr="00C75419">
              <w:rPr>
                <w:rFonts w:ascii="Calibri" w:hAnsi="Calibri" w:cs="Calibri"/>
                <w:color w:val="000000"/>
                <w:sz w:val="22"/>
                <w:szCs w:val="22"/>
              </w:rPr>
              <w:t>3.5</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jc w:val="right"/>
              <w:rPr>
                <w:rFonts w:ascii="Calibri" w:hAnsi="Calibri" w:cs="Calibri"/>
                <w:color w:val="000000"/>
                <w:sz w:val="22"/>
                <w:szCs w:val="22"/>
              </w:rPr>
            </w:pPr>
            <w:r w:rsidRPr="00C75419">
              <w:rPr>
                <w:rFonts w:ascii="Calibri" w:hAnsi="Calibri" w:cs="Calibri"/>
                <w:color w:val="000000"/>
                <w:sz w:val="22"/>
                <w:szCs w:val="22"/>
              </w:rPr>
              <w:t>0.68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jc w:val="right"/>
              <w:rPr>
                <w:rFonts w:ascii="Calibri" w:hAnsi="Calibri" w:cs="Calibri"/>
                <w:color w:val="000000"/>
                <w:sz w:val="22"/>
                <w:szCs w:val="22"/>
              </w:rPr>
            </w:pPr>
            <w:r w:rsidRPr="00C75419">
              <w:rPr>
                <w:rFonts w:ascii="Calibri" w:hAnsi="Calibri" w:cs="Calibri"/>
                <w:color w:val="000000"/>
                <w:sz w:val="22"/>
                <w:szCs w:val="22"/>
              </w:rPr>
              <w:t>0.028</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jc w:val="right"/>
              <w:rPr>
                <w:rFonts w:ascii="Calibri" w:hAnsi="Calibri" w:cs="Calibri"/>
                <w:color w:val="000000"/>
                <w:sz w:val="22"/>
                <w:szCs w:val="22"/>
              </w:rPr>
            </w:pPr>
            <w:r w:rsidRPr="00C75419">
              <w:rPr>
                <w:rFonts w:ascii="Calibri" w:hAnsi="Calibri" w:cs="Calibri"/>
                <w:color w:val="000000"/>
                <w:sz w:val="22"/>
                <w:szCs w:val="22"/>
              </w:rPr>
              <w:t>0.83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jc w:val="right"/>
              <w:rPr>
                <w:rFonts w:ascii="Calibri" w:hAnsi="Calibri" w:cs="Calibri"/>
                <w:color w:val="000000"/>
                <w:sz w:val="22"/>
                <w:szCs w:val="22"/>
              </w:rPr>
            </w:pPr>
            <w:r w:rsidRPr="00C75419">
              <w:rPr>
                <w:rFonts w:ascii="Calibri" w:hAnsi="Calibri" w:cs="Calibri"/>
                <w:color w:val="000000"/>
                <w:sz w:val="22"/>
                <w:szCs w:val="22"/>
              </w:rPr>
              <w:t>---</w:t>
            </w:r>
          </w:p>
        </w:tc>
      </w:tr>
      <w:tr w:rsidR="00DF16B7" w:rsidRPr="00C75419" w:rsidTr="00526F8A">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rPr>
                <w:rFonts w:ascii="Calibri" w:hAnsi="Calibri" w:cs="Calibri"/>
                <w:color w:val="000000"/>
                <w:sz w:val="22"/>
                <w:szCs w:val="22"/>
              </w:rPr>
            </w:pPr>
            <w:r w:rsidRPr="00C75419">
              <w:rPr>
                <w:rFonts w:ascii="Calibri" w:hAnsi="Calibri" w:cs="Calibri"/>
                <w:color w:val="000000"/>
                <w:sz w:val="22"/>
                <w:szCs w:val="22"/>
              </w:rPr>
              <w:t>7=1xH</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jc w:val="right"/>
              <w:rPr>
                <w:rFonts w:ascii="Calibri" w:hAnsi="Calibri" w:cs="Calibri"/>
                <w:color w:val="000000"/>
                <w:sz w:val="22"/>
                <w:szCs w:val="22"/>
              </w:rPr>
            </w:pPr>
            <w:r w:rsidRPr="00C75419">
              <w:rPr>
                <w:rFonts w:ascii="Calibri" w:hAnsi="Calibri" w:cs="Calibri"/>
                <w:color w:val="000000"/>
                <w:sz w:val="22"/>
                <w:szCs w:val="22"/>
              </w:rPr>
              <w:t>26</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jc w:val="right"/>
              <w:rPr>
                <w:rFonts w:ascii="Calibri" w:hAnsi="Calibri" w:cs="Calibri"/>
                <w:color w:val="000000"/>
                <w:sz w:val="22"/>
                <w:szCs w:val="22"/>
              </w:rPr>
            </w:pPr>
            <w:r w:rsidRPr="00C75419">
              <w:rPr>
                <w:rFonts w:ascii="Calibri" w:hAnsi="Calibri" w:cs="Calibri"/>
                <w:color w:val="000000"/>
                <w:sz w:val="22"/>
                <w:szCs w:val="22"/>
              </w:rPr>
              <w:t>0.78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jc w:val="right"/>
              <w:rPr>
                <w:rFonts w:ascii="Calibri" w:hAnsi="Calibri" w:cs="Calibri"/>
                <w:color w:val="000000"/>
                <w:sz w:val="22"/>
                <w:szCs w:val="22"/>
              </w:rPr>
            </w:pPr>
            <w:r w:rsidRPr="00C75419">
              <w:rPr>
                <w:rFonts w:ascii="Calibri" w:hAnsi="Calibri" w:cs="Calibri"/>
                <w:color w:val="000000"/>
                <w:sz w:val="22"/>
                <w:szCs w:val="22"/>
              </w:rPr>
              <w:t>0.013</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jc w:val="right"/>
              <w:rPr>
                <w:rFonts w:ascii="Calibri" w:hAnsi="Calibri" w:cs="Calibri"/>
                <w:color w:val="000000"/>
                <w:sz w:val="22"/>
                <w:szCs w:val="22"/>
              </w:rPr>
            </w:pPr>
            <w:r w:rsidRPr="00C75419">
              <w:rPr>
                <w:rFonts w:ascii="Calibri" w:hAnsi="Calibri" w:cs="Calibri"/>
                <w:color w:val="000000"/>
                <w:sz w:val="22"/>
                <w:szCs w:val="22"/>
              </w:rPr>
              <w:t>0.86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jc w:val="right"/>
              <w:rPr>
                <w:rFonts w:ascii="Calibri" w:hAnsi="Calibri" w:cs="Calibri"/>
                <w:color w:val="000000"/>
                <w:sz w:val="22"/>
                <w:szCs w:val="22"/>
              </w:rPr>
            </w:pPr>
            <w:r w:rsidRPr="00C75419">
              <w:rPr>
                <w:rFonts w:ascii="Calibri" w:hAnsi="Calibri" w:cs="Calibri"/>
                <w:color w:val="000000"/>
                <w:sz w:val="22"/>
                <w:szCs w:val="22"/>
              </w:rPr>
              <w:t>0.005</w:t>
            </w:r>
          </w:p>
        </w:tc>
      </w:tr>
      <w:tr w:rsidR="00DF16B7" w:rsidRPr="00C75419" w:rsidTr="00526F8A">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rPr>
                <w:rFonts w:ascii="Calibri" w:hAnsi="Calibri" w:cs="Calibri"/>
                <w:color w:val="000000"/>
                <w:sz w:val="22"/>
                <w:szCs w:val="22"/>
              </w:rPr>
            </w:pPr>
            <w:r w:rsidRPr="00C75419">
              <w:rPr>
                <w:rFonts w:ascii="Calibri" w:hAnsi="Calibri" w:cs="Calibri"/>
                <w:color w:val="000000"/>
                <w:sz w:val="22"/>
                <w:szCs w:val="22"/>
              </w:rPr>
              <w:lastRenderedPageBreak/>
              <w:t>8=2xH</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jc w:val="right"/>
              <w:rPr>
                <w:rFonts w:ascii="Calibri" w:hAnsi="Calibri" w:cs="Calibri"/>
                <w:color w:val="000000"/>
                <w:sz w:val="22"/>
                <w:szCs w:val="22"/>
              </w:rPr>
            </w:pPr>
            <w:r w:rsidRPr="00C75419">
              <w:rPr>
                <w:rFonts w:ascii="Calibri" w:hAnsi="Calibri" w:cs="Calibri"/>
                <w:color w:val="000000"/>
                <w:sz w:val="22"/>
                <w:szCs w:val="22"/>
              </w:rPr>
              <w:t>27.6</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jc w:val="right"/>
              <w:rPr>
                <w:rFonts w:ascii="Calibri" w:hAnsi="Calibri" w:cs="Calibri"/>
                <w:color w:val="000000"/>
                <w:sz w:val="22"/>
                <w:szCs w:val="22"/>
              </w:rPr>
            </w:pPr>
            <w:r w:rsidRPr="00C75419">
              <w:rPr>
                <w:rFonts w:ascii="Calibri" w:hAnsi="Calibri" w:cs="Calibri"/>
                <w:color w:val="000000"/>
                <w:sz w:val="22"/>
                <w:szCs w:val="22"/>
              </w:rPr>
              <w:t>1.1</w:t>
            </w:r>
            <w:r w:rsidR="00203177">
              <w:rPr>
                <w:rFonts w:ascii="Calibri" w:hAnsi="Calibri" w:cs="Calibri"/>
                <w:color w:val="000000"/>
                <w:sz w:val="22"/>
                <w:szCs w:val="22"/>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jc w:val="right"/>
              <w:rPr>
                <w:rFonts w:ascii="Calibri" w:hAnsi="Calibri" w:cs="Calibri"/>
                <w:color w:val="000000"/>
                <w:sz w:val="22"/>
                <w:szCs w:val="22"/>
              </w:rPr>
            </w:pPr>
            <w:r w:rsidRPr="00C75419">
              <w:rPr>
                <w:rFonts w:ascii="Calibri" w:hAnsi="Calibri" w:cs="Calibri"/>
                <w:color w:val="000000"/>
                <w:sz w:val="22"/>
                <w:szCs w:val="22"/>
              </w:rPr>
              <w:t>0.017</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jc w:val="right"/>
              <w:rPr>
                <w:rFonts w:ascii="Calibri" w:hAnsi="Calibri" w:cs="Calibri"/>
                <w:color w:val="000000"/>
                <w:sz w:val="22"/>
                <w:szCs w:val="22"/>
              </w:rPr>
            </w:pPr>
            <w:r w:rsidRPr="00C75419">
              <w:rPr>
                <w:rFonts w:ascii="Calibri" w:hAnsi="Calibri" w:cs="Calibri"/>
                <w:color w:val="000000"/>
                <w:sz w:val="22"/>
                <w:szCs w:val="22"/>
              </w:rPr>
              <w:t>1.08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jc w:val="right"/>
              <w:rPr>
                <w:rFonts w:ascii="Calibri" w:hAnsi="Calibri" w:cs="Calibri"/>
                <w:color w:val="000000"/>
                <w:sz w:val="22"/>
                <w:szCs w:val="22"/>
              </w:rPr>
            </w:pPr>
            <w:r w:rsidRPr="00C75419">
              <w:rPr>
                <w:rFonts w:ascii="Calibri" w:hAnsi="Calibri" w:cs="Calibri"/>
                <w:color w:val="000000"/>
                <w:sz w:val="22"/>
                <w:szCs w:val="22"/>
              </w:rPr>
              <w:t>0.003</w:t>
            </w:r>
          </w:p>
        </w:tc>
      </w:tr>
      <w:tr w:rsidR="00DF16B7" w:rsidRPr="00C75419" w:rsidTr="00526F8A">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rPr>
                <w:rFonts w:ascii="Calibri" w:hAnsi="Calibri" w:cs="Calibri"/>
                <w:color w:val="000000"/>
                <w:sz w:val="22"/>
                <w:szCs w:val="22"/>
              </w:rPr>
            </w:pPr>
            <w:r w:rsidRPr="00C75419">
              <w:rPr>
                <w:rFonts w:ascii="Calibri" w:hAnsi="Calibri" w:cs="Calibri"/>
                <w:color w:val="000000"/>
                <w:sz w:val="22"/>
                <w:szCs w:val="22"/>
              </w:rPr>
              <w:t>9=3xH</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jc w:val="right"/>
              <w:rPr>
                <w:rFonts w:ascii="Calibri" w:hAnsi="Calibri" w:cs="Calibri"/>
                <w:color w:val="000000"/>
                <w:sz w:val="22"/>
                <w:szCs w:val="22"/>
              </w:rPr>
            </w:pPr>
            <w:r w:rsidRPr="00C75419">
              <w:rPr>
                <w:rFonts w:ascii="Calibri" w:hAnsi="Calibri" w:cs="Calibri"/>
                <w:color w:val="000000"/>
                <w:sz w:val="22"/>
                <w:szCs w:val="22"/>
              </w:rPr>
              <w:t>31.4</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jc w:val="right"/>
              <w:rPr>
                <w:rFonts w:ascii="Calibri" w:hAnsi="Calibri" w:cs="Calibri"/>
                <w:color w:val="000000"/>
                <w:sz w:val="22"/>
                <w:szCs w:val="22"/>
              </w:rPr>
            </w:pPr>
            <w:r w:rsidRPr="00C75419">
              <w:rPr>
                <w:rFonts w:ascii="Calibri" w:hAnsi="Calibri" w:cs="Calibri"/>
                <w:color w:val="000000"/>
                <w:sz w:val="22"/>
                <w:szCs w:val="22"/>
              </w:rPr>
              <w:t>1.27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jc w:val="right"/>
              <w:rPr>
                <w:rFonts w:ascii="Calibri" w:hAnsi="Calibri" w:cs="Calibri"/>
                <w:color w:val="000000"/>
                <w:sz w:val="22"/>
                <w:szCs w:val="22"/>
              </w:rPr>
            </w:pPr>
            <w:r w:rsidRPr="00C75419">
              <w:rPr>
                <w:rFonts w:ascii="Calibri" w:hAnsi="Calibri" w:cs="Calibri"/>
                <w:color w:val="000000"/>
                <w:sz w:val="22"/>
                <w:szCs w:val="22"/>
              </w:rPr>
              <w:t>0.016</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jc w:val="right"/>
              <w:rPr>
                <w:rFonts w:ascii="Calibri" w:hAnsi="Calibri" w:cs="Calibri"/>
                <w:color w:val="000000"/>
                <w:sz w:val="22"/>
                <w:szCs w:val="22"/>
              </w:rPr>
            </w:pPr>
            <w:r w:rsidRPr="00C75419">
              <w:rPr>
                <w:rFonts w:ascii="Calibri" w:hAnsi="Calibri" w:cs="Calibri"/>
                <w:color w:val="000000"/>
                <w:sz w:val="22"/>
                <w:szCs w:val="22"/>
              </w:rPr>
              <w:t>1.24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jc w:val="right"/>
              <w:rPr>
                <w:rFonts w:ascii="Calibri" w:hAnsi="Calibri" w:cs="Calibri"/>
                <w:color w:val="000000"/>
                <w:sz w:val="22"/>
                <w:szCs w:val="22"/>
              </w:rPr>
            </w:pPr>
            <w:r w:rsidRPr="00C75419">
              <w:rPr>
                <w:rFonts w:ascii="Calibri" w:hAnsi="Calibri" w:cs="Calibri"/>
                <w:color w:val="000000"/>
                <w:sz w:val="22"/>
                <w:szCs w:val="22"/>
              </w:rPr>
              <w:t>---</w:t>
            </w:r>
          </w:p>
        </w:tc>
      </w:tr>
      <w:tr w:rsidR="00DF16B7" w:rsidRPr="00C75419" w:rsidTr="00526F8A">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rPr>
                <w:rFonts w:ascii="Calibri" w:hAnsi="Calibri" w:cs="Calibri"/>
                <w:color w:val="000000"/>
                <w:sz w:val="22"/>
                <w:szCs w:val="22"/>
              </w:rPr>
            </w:pPr>
            <w:r w:rsidRPr="00C75419">
              <w:rPr>
                <w:rFonts w:ascii="Calibri" w:hAnsi="Calibri" w:cs="Calibri"/>
                <w:color w:val="000000"/>
                <w:sz w:val="22"/>
                <w:szCs w:val="22"/>
              </w:rPr>
              <w:t>&lt;missing&gt;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jc w:val="right"/>
              <w:rPr>
                <w:rFonts w:ascii="Calibri" w:hAnsi="Calibri" w:cs="Calibri"/>
                <w:color w:val="000000"/>
                <w:sz w:val="22"/>
                <w:szCs w:val="22"/>
              </w:rPr>
            </w:pPr>
            <w:r w:rsidRPr="00C75419">
              <w:rPr>
                <w:rFonts w:ascii="Calibri" w:hAnsi="Calibri" w:cs="Calibri"/>
                <w:color w:val="000000"/>
                <w:sz w:val="22"/>
                <w:szCs w:val="22"/>
              </w:rPr>
              <w:t>0.1</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jc w:val="right"/>
              <w:rPr>
                <w:rFonts w:ascii="Calibri" w:hAnsi="Calibri" w:cs="Calibri"/>
                <w:color w:val="000000"/>
                <w:sz w:val="22"/>
                <w:szCs w:val="22"/>
              </w:rPr>
            </w:pPr>
            <w:r w:rsidRPr="00C75419">
              <w:rPr>
                <w:rFonts w:ascii="Calibri" w:hAnsi="Calibri" w:cs="Calibri"/>
                <w:color w:val="000000"/>
                <w:sz w:val="22"/>
                <w:szCs w:val="22"/>
              </w:rPr>
              <w:t>0.54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C75419" w:rsidRDefault="00DF16B7" w:rsidP="00DE6330">
            <w:pPr>
              <w:spacing w:before="80" w:after="80"/>
              <w:jc w:val="right"/>
              <w:rPr>
                <w:rFonts w:ascii="Calibri" w:hAnsi="Calibri" w:cs="Calibri"/>
                <w:color w:val="000000"/>
                <w:sz w:val="22"/>
                <w:szCs w:val="22"/>
              </w:rPr>
            </w:pPr>
            <w:r w:rsidRPr="00C75419">
              <w:rPr>
                <w:rFonts w:ascii="Calibri" w:hAnsi="Calibri" w:cs="Calibri"/>
                <w:color w:val="000000"/>
                <w:sz w:val="22"/>
                <w:szCs w:val="22"/>
              </w:rPr>
              <w:t>0.098</w:t>
            </w:r>
          </w:p>
        </w:tc>
        <w:tc>
          <w:tcPr>
            <w:tcW w:w="1439" w:type="dxa"/>
            <w:tcBorders>
              <w:top w:val="single" w:sz="4" w:space="0" w:color="auto"/>
              <w:left w:val="single" w:sz="4" w:space="0" w:color="auto"/>
              <w:bottom w:val="single" w:sz="4" w:space="0" w:color="auto"/>
              <w:right w:val="single" w:sz="4" w:space="0" w:color="auto"/>
            </w:tcBorders>
            <w:shd w:val="clear" w:color="auto" w:fill="auto"/>
            <w:noWrap/>
            <w:hideMark/>
          </w:tcPr>
          <w:p w:rsidR="00DF16B7" w:rsidRPr="00DE6330" w:rsidRDefault="00DF16B7" w:rsidP="00DE6330">
            <w:pPr>
              <w:spacing w:before="80" w:after="80"/>
              <w:rPr>
                <w:rFonts w:ascii="Calibri" w:hAnsi="Calibri" w:cs="Calibr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DF16B7" w:rsidRPr="00DE6330" w:rsidRDefault="00DF16B7" w:rsidP="00DE6330">
            <w:pPr>
              <w:spacing w:before="80" w:after="80"/>
              <w:rPr>
                <w:rFonts w:ascii="Calibri" w:hAnsi="Calibri" w:cs="Calibri"/>
                <w:color w:val="000000"/>
                <w:sz w:val="22"/>
                <w:szCs w:val="22"/>
              </w:rPr>
            </w:pPr>
          </w:p>
        </w:tc>
      </w:tr>
      <w:tr w:rsidR="00DF16B7" w:rsidRPr="00DF16B7" w:rsidTr="00526F8A">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DE6330" w:rsidRDefault="00DF16B7" w:rsidP="00DE6330">
            <w:pPr>
              <w:spacing w:before="80" w:after="80"/>
              <w:rPr>
                <w:rFonts w:ascii="Calibri" w:hAnsi="Calibri" w:cs="Calibri"/>
                <w:color w:val="000000"/>
                <w:sz w:val="22"/>
                <w:szCs w:val="22"/>
              </w:rPr>
            </w:pPr>
            <w:r w:rsidRPr="00DE6330">
              <w:rPr>
                <w:rFonts w:ascii="Calibri" w:hAnsi="Calibri" w:cs="Calibri"/>
                <w:color w:val="000000"/>
                <w:sz w:val="22"/>
                <w:szCs w:val="22"/>
              </w:rPr>
              <w:t>Total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DE6330" w:rsidRDefault="00DF16B7" w:rsidP="00DE6330">
            <w:pPr>
              <w:spacing w:before="80" w:after="80"/>
              <w:jc w:val="right"/>
              <w:rPr>
                <w:rFonts w:ascii="Calibri" w:hAnsi="Calibri" w:cs="Calibri"/>
                <w:color w:val="000000"/>
                <w:sz w:val="22"/>
                <w:szCs w:val="22"/>
              </w:rPr>
            </w:pPr>
            <w:r w:rsidRPr="00DE6330">
              <w:rPr>
                <w:rFonts w:ascii="Calibri" w:hAnsi="Calibri" w:cs="Calibri"/>
                <w:color w:val="000000"/>
                <w:sz w:val="22"/>
                <w:szCs w:val="22"/>
              </w:rPr>
              <w:t>100</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DE6330" w:rsidRDefault="00DF16B7" w:rsidP="00DE6330">
            <w:pPr>
              <w:spacing w:before="80" w:after="80"/>
              <w:jc w:val="right"/>
              <w:rPr>
                <w:rFonts w:ascii="Calibri" w:hAnsi="Calibri" w:cs="Calibri"/>
                <w:color w:val="000000"/>
                <w:sz w:val="22"/>
                <w:szCs w:val="22"/>
              </w:rPr>
            </w:pPr>
            <w:r w:rsidRPr="00DE6330">
              <w:rPr>
                <w:rFonts w:ascii="Calibri" w:hAnsi="Calibri" w:cs="Calibri"/>
                <w:color w:val="000000"/>
                <w:sz w:val="22"/>
                <w:szCs w:val="22"/>
              </w:rPr>
              <w:t>1</w:t>
            </w:r>
            <w:r w:rsidR="00DE6330">
              <w:rPr>
                <w:rFonts w:ascii="Calibri" w:hAnsi="Calibri" w:cs="Calibri"/>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DE6330" w:rsidRDefault="00DF16B7" w:rsidP="00DE6330">
            <w:pPr>
              <w:spacing w:before="80" w:after="80"/>
              <w:jc w:val="right"/>
              <w:rPr>
                <w:rFonts w:ascii="Calibri" w:hAnsi="Calibri" w:cs="Calibri"/>
                <w:color w:val="000000"/>
                <w:sz w:val="22"/>
                <w:szCs w:val="22"/>
              </w:rPr>
            </w:pPr>
            <w:r w:rsidRPr="00DE6330">
              <w:rPr>
                <w:rFonts w:ascii="Calibri" w:hAnsi="Calibri" w:cs="Calibri"/>
                <w:color w:val="000000"/>
                <w:sz w:val="22"/>
                <w:szCs w:val="22"/>
              </w:rPr>
              <w:t>0.009</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DE6330" w:rsidRDefault="00DF16B7" w:rsidP="00DE6330">
            <w:pPr>
              <w:spacing w:before="80" w:after="80"/>
              <w:jc w:val="right"/>
              <w:rPr>
                <w:rFonts w:ascii="Calibri" w:hAnsi="Calibri" w:cs="Calibri"/>
                <w:color w:val="000000"/>
                <w:sz w:val="22"/>
                <w:szCs w:val="22"/>
              </w:rPr>
            </w:pPr>
            <w:r w:rsidRPr="00DE6330">
              <w:rPr>
                <w:rFonts w:ascii="Calibri" w:hAnsi="Calibri" w:cs="Calibri"/>
                <w:color w:val="000000"/>
                <w:sz w:val="22"/>
                <w:szCs w:val="22"/>
              </w:rPr>
              <w:t>1</w:t>
            </w:r>
            <w:r w:rsidR="00DE6330">
              <w:rPr>
                <w:rFonts w:ascii="Calibri" w:hAnsi="Calibri" w:cs="Calibri"/>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B7" w:rsidRPr="00DE6330" w:rsidRDefault="00DF16B7" w:rsidP="00DE6330">
            <w:pPr>
              <w:spacing w:before="80" w:after="80"/>
              <w:jc w:val="right"/>
              <w:rPr>
                <w:rFonts w:ascii="Calibri" w:hAnsi="Calibri" w:cs="Calibri"/>
                <w:color w:val="000000"/>
                <w:sz w:val="22"/>
                <w:szCs w:val="22"/>
              </w:rPr>
            </w:pPr>
            <w:r w:rsidRPr="00DE6330">
              <w:rPr>
                <w:rFonts w:ascii="Calibri" w:hAnsi="Calibri" w:cs="Calibri"/>
                <w:color w:val="000000"/>
                <w:sz w:val="22"/>
                <w:szCs w:val="22"/>
              </w:rPr>
              <w:t>0.004</w:t>
            </w:r>
          </w:p>
        </w:tc>
      </w:tr>
    </w:tbl>
    <w:p w:rsidR="00B3616A" w:rsidRDefault="005948FD" w:rsidP="00331160">
      <w:pPr>
        <w:spacing w:before="120" w:after="120"/>
      </w:pPr>
      <w:r>
        <w:t xml:space="preserve">Considering both the preceding tables, it is perhaps not surprising to note that each funding method show greater differentiation of payments between the groupings within its related classification system. </w:t>
      </w:r>
      <w:r w:rsidR="006B66F1">
        <w:t>The key difference is the scale of the differentiation in the two models.</w:t>
      </w:r>
    </w:p>
    <w:p w:rsidR="006B66F1" w:rsidRDefault="00B3616A" w:rsidP="00331160">
      <w:pPr>
        <w:spacing w:before="120" w:after="120"/>
      </w:pPr>
      <w:r>
        <w:t>A</w:t>
      </w:r>
      <w:r w:rsidR="005948FD">
        <w:t xml:space="preserve"> large proportion of residents in each of the AN-ACC classes </w:t>
      </w:r>
      <w:r w:rsidR="006B66F1">
        <w:t>are</w:t>
      </w:r>
      <w:r w:rsidR="005948FD">
        <w:t xml:space="preserve"> rated High on at least one domain in the ACFI tool. This indicates that clinical complexity is measured </w:t>
      </w:r>
      <w:r w:rsidR="009952BD">
        <w:t>differently in the two systems.</w:t>
      </w:r>
    </w:p>
    <w:p w:rsidR="006B66F1" w:rsidRDefault="006B66F1" w:rsidP="00331160">
      <w:pPr>
        <w:spacing w:before="120" w:after="120"/>
      </w:pPr>
      <w:r>
        <w:t>O</w:t>
      </w:r>
      <w:r w:rsidR="00B3616A">
        <w:t>verall</w:t>
      </w:r>
      <w:r>
        <w:t>,</w:t>
      </w:r>
      <w:r w:rsidR="00B3616A">
        <w:t xml:space="preserve"> </w:t>
      </w:r>
      <w:r w:rsidR="005948FD">
        <w:t xml:space="preserve">the proportion of residents with at least one High rating on ACFI </w:t>
      </w:r>
      <w:r>
        <w:t>is</w:t>
      </w:r>
      <w:r w:rsidR="005948FD">
        <w:t xml:space="preserve"> very high at 85%</w:t>
      </w:r>
      <w:r w:rsidR="009952BD">
        <w:t xml:space="preserve">. </w:t>
      </w:r>
      <w:r>
        <w:t>An important implication is that ACFI is not adequately discriminating between res</w:t>
      </w:r>
      <w:r w:rsidR="009952BD">
        <w:t>idents with varying care needs.</w:t>
      </w:r>
    </w:p>
    <w:p w:rsidR="00294657" w:rsidRDefault="006B66F1" w:rsidP="00331160">
      <w:pPr>
        <w:spacing w:before="120" w:after="120"/>
      </w:pPr>
      <w:r>
        <w:t>In contrast, a</w:t>
      </w:r>
      <w:r w:rsidR="005948FD">
        <w:t xml:space="preserve"> much smaller proportion of residents </w:t>
      </w:r>
      <w:r>
        <w:t xml:space="preserve">are </w:t>
      </w:r>
      <w:r w:rsidR="005948FD">
        <w:t xml:space="preserve">in the highest weighted AN-ACC classes. </w:t>
      </w:r>
      <w:r>
        <w:t xml:space="preserve">The AN-ACC is more technically sensitive to the wide range of resident care needs and this is reflected in the fact that there is a </w:t>
      </w:r>
      <w:r w:rsidR="00AB27C4">
        <w:t>fivefold</w:t>
      </w:r>
      <w:r>
        <w:t xml:space="preserve"> variation in cost between the lowest and the highest cost groups.</w:t>
      </w:r>
    </w:p>
    <w:p w:rsidR="00C75419" w:rsidRDefault="00C75419">
      <w:pPr>
        <w:spacing w:after="200" w:line="276" w:lineRule="auto"/>
      </w:pPr>
      <w:r>
        <w:br w:type="page"/>
      </w:r>
    </w:p>
    <w:p w:rsidR="00294657" w:rsidRDefault="00294657" w:rsidP="00B648E7">
      <w:pPr>
        <w:pStyle w:val="Heading1"/>
      </w:pPr>
      <w:bookmarkStart w:id="81" w:name="_Ref535424214"/>
      <w:bookmarkStart w:id="82" w:name="_Toc2083382"/>
      <w:r>
        <w:lastRenderedPageBreak/>
        <w:t>Population estimates</w:t>
      </w:r>
      <w:bookmarkEnd w:id="81"/>
      <w:bookmarkEnd w:id="82"/>
    </w:p>
    <w:p w:rsidR="00294657" w:rsidRDefault="00EE48AE" w:rsidP="00331160">
      <w:pPr>
        <w:spacing w:before="120" w:after="120"/>
      </w:pPr>
      <w:r>
        <w:t>Based on the sample data, population estimates of the proportion of residents in AN-ACC classes</w:t>
      </w:r>
      <w:r w:rsidR="00F61B4A">
        <w:t xml:space="preserve"> were calculated</w:t>
      </w:r>
      <w:r>
        <w:t xml:space="preserve">. The </w:t>
      </w:r>
      <w:r w:rsidR="00F61B4A">
        <w:t>likely</w:t>
      </w:r>
      <w:r>
        <w:t xml:space="preserve"> effect of funding under each of the two models, one based on AN-ACC and the other based on ACFI</w:t>
      </w:r>
      <w:r w:rsidR="00F61B4A">
        <w:t>,</w:t>
      </w:r>
      <w:r>
        <w:t xml:space="preserve"> w</w:t>
      </w:r>
      <w:r w:rsidR="00F61B4A">
        <w:t>as</w:t>
      </w:r>
      <w:r>
        <w:t xml:space="preserve"> also estimated.</w:t>
      </w:r>
    </w:p>
    <w:p w:rsidR="00EE48AE" w:rsidRDefault="00EE48AE" w:rsidP="00331160">
      <w:pPr>
        <w:spacing w:before="120" w:after="120"/>
      </w:pPr>
      <w:r>
        <w:t xml:space="preserve">The results </w:t>
      </w:r>
      <w:r w:rsidR="00203177">
        <w:t>are</w:t>
      </w:r>
      <w:r>
        <w:t xml:space="preserve"> presented by ownership type, remoteness and size.</w:t>
      </w:r>
      <w:r w:rsidR="00F61B4A">
        <w:t xml:space="preserve"> T</w:t>
      </w:r>
      <w:r>
        <w:t xml:space="preserve">hey can be used to </w:t>
      </w:r>
      <w:r w:rsidR="00203177">
        <w:t xml:space="preserve">assess </w:t>
      </w:r>
      <w:r>
        <w:t>the likely effect of using the AN-ACC funding model in place o</w:t>
      </w:r>
      <w:r w:rsidR="00F61B4A">
        <w:t>f</w:t>
      </w:r>
      <w:r>
        <w:t xml:space="preserve"> </w:t>
      </w:r>
      <w:r w:rsidR="00F61B4A">
        <w:t xml:space="preserve">the </w:t>
      </w:r>
      <w:r>
        <w:t>ACFI.</w:t>
      </w:r>
    </w:p>
    <w:p w:rsidR="00665DC3" w:rsidRDefault="00665DC3" w:rsidP="00665DC3">
      <w:pPr>
        <w:pStyle w:val="Heading2"/>
      </w:pPr>
      <w:bookmarkStart w:id="83" w:name="_Toc2083383"/>
      <w:r>
        <w:t>National casemix profile</w:t>
      </w:r>
      <w:bookmarkEnd w:id="83"/>
    </w:p>
    <w:p w:rsidR="00B338F2" w:rsidRDefault="00B618C5" w:rsidP="00B338F2">
      <w:pPr>
        <w:spacing w:before="120" w:after="120"/>
      </w:pPr>
      <w:r>
        <w:t>T</w:t>
      </w:r>
      <w:r w:rsidRPr="00A76019">
        <w:t xml:space="preserve">he casemix profile of the sample data </w:t>
      </w:r>
      <w:r>
        <w:t>was</w:t>
      </w:r>
      <w:r w:rsidRPr="00A76019">
        <w:t xml:space="preserve"> </w:t>
      </w:r>
      <w:r>
        <w:t xml:space="preserve">projected to the national scale to provide insights into the distribution of residents across classes. Nationally, </w:t>
      </w:r>
      <w:r w:rsidR="00F61B4A">
        <w:t xml:space="preserve">these projections indicate that </w:t>
      </w:r>
      <w:r>
        <w:t xml:space="preserve">around 14% of residents are assessed as </w:t>
      </w:r>
      <w:r w:rsidR="00203177">
        <w:t>I</w:t>
      </w:r>
      <w:r>
        <w:t xml:space="preserve">ndependent (Branch 1, </w:t>
      </w:r>
      <w:r w:rsidR="00203177">
        <w:t>C</w:t>
      </w:r>
      <w:r>
        <w:t xml:space="preserve">lasses 2-3), 51% are classified as </w:t>
      </w:r>
      <w:r w:rsidR="00203177">
        <w:t>A</w:t>
      </w:r>
      <w:r>
        <w:t xml:space="preserve">ssisted </w:t>
      </w:r>
      <w:r w:rsidR="00203177">
        <w:t>M</w:t>
      </w:r>
      <w:r>
        <w:t>obility (</w:t>
      </w:r>
      <w:r w:rsidR="00203177">
        <w:t>B</w:t>
      </w:r>
      <w:r>
        <w:t xml:space="preserve">ranch 2, </w:t>
      </w:r>
      <w:r w:rsidR="00203177">
        <w:t>C</w:t>
      </w:r>
      <w:r>
        <w:t xml:space="preserve">lasses 4-8) and 35% are </w:t>
      </w:r>
      <w:r w:rsidR="00203177">
        <w:t>N</w:t>
      </w:r>
      <w:r>
        <w:t xml:space="preserve">ot </w:t>
      </w:r>
      <w:r w:rsidR="00203177">
        <w:t>M</w:t>
      </w:r>
      <w:r>
        <w:t>obile (</w:t>
      </w:r>
      <w:r w:rsidR="00203177">
        <w:t>B</w:t>
      </w:r>
      <w:r>
        <w:t xml:space="preserve">ranch 3, </w:t>
      </w:r>
      <w:r w:rsidR="00203177">
        <w:t>C</w:t>
      </w:r>
      <w:r>
        <w:t xml:space="preserve">lasses 9-13). Most frequently, residents are assigned to </w:t>
      </w:r>
      <w:r w:rsidR="00203177">
        <w:t>C</w:t>
      </w:r>
      <w:r>
        <w:t xml:space="preserve">lass 5 (20%). </w:t>
      </w:r>
      <w:r w:rsidR="00203177">
        <w:t>C</w:t>
      </w:r>
      <w:r>
        <w:t xml:space="preserve">lasses 2, 7 and 13 each account for around 10% of residents. The least frequent class is </w:t>
      </w:r>
      <w:r w:rsidR="00203177">
        <w:t>C</w:t>
      </w:r>
      <w:r>
        <w:t>lass 12 with 3%.</w:t>
      </w:r>
    </w:p>
    <w:p w:rsidR="00665DC3" w:rsidRDefault="002333CE" w:rsidP="00331160">
      <w:pPr>
        <w:spacing w:before="120" w:after="120"/>
      </w:pPr>
      <w:r>
        <w:t xml:space="preserve">When comparing the </w:t>
      </w:r>
      <w:r w:rsidR="00F61B4A">
        <w:t xml:space="preserve">projected </w:t>
      </w:r>
      <w:r>
        <w:t xml:space="preserve">class distribution by ownership type, as depicted in </w:t>
      </w:r>
      <w:r>
        <w:fldChar w:fldCharType="begin"/>
      </w:r>
      <w:r>
        <w:instrText xml:space="preserve"> REF _Ref535534518 \h </w:instrText>
      </w:r>
      <w:r>
        <w:fldChar w:fldCharType="separate"/>
      </w:r>
      <w:r w:rsidR="00785B04">
        <w:t xml:space="preserve">Figure </w:t>
      </w:r>
      <w:r w:rsidR="00785B04">
        <w:rPr>
          <w:noProof/>
        </w:rPr>
        <w:t>6</w:t>
      </w:r>
      <w:r>
        <w:fldChar w:fldCharType="end"/>
      </w:r>
      <w:r>
        <w:t xml:space="preserve">, it can be seen that </w:t>
      </w:r>
      <w:r w:rsidR="008F0A4F">
        <w:t xml:space="preserve">government facilities have </w:t>
      </w:r>
      <w:r w:rsidR="00203177">
        <w:t xml:space="preserve">the most </w:t>
      </w:r>
      <w:r w:rsidR="008F0A4F">
        <w:t>clinically complex residents</w:t>
      </w:r>
      <w:r w:rsidR="00203177">
        <w:t xml:space="preserve">. They are </w:t>
      </w:r>
      <w:r w:rsidR="008F0A4F">
        <w:t xml:space="preserve">followed by </w:t>
      </w:r>
      <w:r>
        <w:t>not for profit</w:t>
      </w:r>
      <w:r w:rsidR="008F0A4F">
        <w:t xml:space="preserve"> </w:t>
      </w:r>
      <w:r w:rsidR="00D76C07">
        <w:t>facilities</w:t>
      </w:r>
      <w:r w:rsidR="008F0A4F">
        <w:t>.</w:t>
      </w:r>
      <w:r>
        <w:t xml:space="preserve"> </w:t>
      </w:r>
      <w:r w:rsidR="00203177">
        <w:t>P</w:t>
      </w:r>
      <w:r>
        <w:t>rivate for profit facilities have more independent residents (18%) and slightly fewer residents who are not independent.</w:t>
      </w:r>
    </w:p>
    <w:p w:rsidR="00F34376" w:rsidRDefault="00B618C5" w:rsidP="00B618C5">
      <w:pPr>
        <w:pStyle w:val="Caption"/>
      </w:pPr>
      <w:bookmarkStart w:id="84" w:name="_Ref535534518"/>
      <w:bookmarkStart w:id="85" w:name="_Toc953910"/>
      <w:r>
        <w:t xml:space="preserve">Figure </w:t>
      </w:r>
      <w:r w:rsidR="00E949FA">
        <w:rPr>
          <w:noProof/>
        </w:rPr>
        <w:fldChar w:fldCharType="begin"/>
      </w:r>
      <w:r w:rsidR="00E949FA">
        <w:rPr>
          <w:noProof/>
        </w:rPr>
        <w:instrText xml:space="preserve"> SEQ Figure \* ARABIC </w:instrText>
      </w:r>
      <w:r w:rsidR="00E949FA">
        <w:rPr>
          <w:noProof/>
        </w:rPr>
        <w:fldChar w:fldCharType="separate"/>
      </w:r>
      <w:r w:rsidR="00785B04">
        <w:rPr>
          <w:noProof/>
        </w:rPr>
        <w:t>6</w:t>
      </w:r>
      <w:r w:rsidR="00E949FA">
        <w:rPr>
          <w:noProof/>
        </w:rPr>
        <w:fldChar w:fldCharType="end"/>
      </w:r>
      <w:bookmarkEnd w:id="84"/>
      <w:r w:rsidR="00341AF1">
        <w:rPr>
          <w:noProof/>
        </w:rPr>
        <w:t xml:space="preserve"> </w:t>
      </w:r>
      <w:r>
        <w:tab/>
        <w:t>Distribution of AN-ACC classes by ownership type</w:t>
      </w:r>
      <w:bookmarkEnd w:id="85"/>
    </w:p>
    <w:p w:rsidR="00F34376" w:rsidRDefault="00F34376" w:rsidP="00331160">
      <w:pPr>
        <w:spacing w:before="120" w:after="120"/>
      </w:pPr>
      <w:r w:rsidRPr="00F34376">
        <w:rPr>
          <w:noProof/>
        </w:rPr>
        <w:drawing>
          <wp:inline distT="0" distB="0" distL="0" distR="0" wp14:anchorId="5DD7BC4B" wp14:editId="385F8494">
            <wp:extent cx="5457825" cy="3270137"/>
            <wp:effectExtent l="0" t="0" r="0" b="6985"/>
            <wp:docPr id="11" name="Picture 11" descr="Figure 6 compares the projected class distribution by ownership type. It can be seen that government facilities have the most clinically complex residents. They are followed by not for profit facilities. Private for profit facilities have more independent residents (18%) and slightly fewer residents who are not independent." title="Figure 6  Distribution of AN-ACC classes by ownership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67437" cy="3275896"/>
                    </a:xfrm>
                    <a:prstGeom prst="rect">
                      <a:avLst/>
                    </a:prstGeom>
                    <a:noFill/>
                    <a:ln>
                      <a:noFill/>
                    </a:ln>
                  </pic:spPr>
                </pic:pic>
              </a:graphicData>
            </a:graphic>
          </wp:inline>
        </w:drawing>
      </w:r>
    </w:p>
    <w:p w:rsidR="00F34376" w:rsidRDefault="002333CE" w:rsidP="00331160">
      <w:pPr>
        <w:spacing w:before="120" w:after="120"/>
      </w:pPr>
      <w:r>
        <w:fldChar w:fldCharType="begin"/>
      </w:r>
      <w:r>
        <w:instrText xml:space="preserve"> REF _Ref535534713 \h </w:instrText>
      </w:r>
      <w:r>
        <w:fldChar w:fldCharType="separate"/>
      </w:r>
      <w:r w:rsidR="00785B04">
        <w:t xml:space="preserve">Figure </w:t>
      </w:r>
      <w:r w:rsidR="00785B04">
        <w:rPr>
          <w:noProof/>
        </w:rPr>
        <w:t>7</w:t>
      </w:r>
      <w:r>
        <w:fldChar w:fldCharType="end"/>
      </w:r>
      <w:r>
        <w:t xml:space="preserve"> shows the </w:t>
      </w:r>
      <w:r w:rsidR="00F61B4A">
        <w:t xml:space="preserve">projected </w:t>
      </w:r>
      <w:r>
        <w:t xml:space="preserve">class distribution by facility location. It can be seen that metropolitan and regional facilities tend to have a similar casemix, with metropolitan facilities having slightly more non-mobile residents and regional facilities having slightly more residents with assisted mobility. </w:t>
      </w:r>
      <w:r w:rsidR="00203177">
        <w:t>I</w:t>
      </w:r>
      <w:r>
        <w:t>ndependent</w:t>
      </w:r>
      <w:r w:rsidR="00203177">
        <w:t>ly mobile</w:t>
      </w:r>
      <w:r>
        <w:t xml:space="preserve"> residents are much more </w:t>
      </w:r>
      <w:r>
        <w:lastRenderedPageBreak/>
        <w:t>frequent in remote facilities; 35% compared to around 14%. Consequently, the proportions of residents with assisted mobility and who are not mobile are much lower, 44% and 21% respectively.</w:t>
      </w:r>
    </w:p>
    <w:p w:rsidR="00F34376" w:rsidRDefault="002333CE" w:rsidP="002333CE">
      <w:pPr>
        <w:pStyle w:val="Caption"/>
      </w:pPr>
      <w:bookmarkStart w:id="86" w:name="_Ref535534713"/>
      <w:bookmarkStart w:id="87" w:name="_Toc953911"/>
      <w:r>
        <w:t xml:space="preserve">Figure </w:t>
      </w:r>
      <w:r w:rsidR="00E949FA">
        <w:rPr>
          <w:noProof/>
        </w:rPr>
        <w:fldChar w:fldCharType="begin"/>
      </w:r>
      <w:r w:rsidR="00E949FA">
        <w:rPr>
          <w:noProof/>
        </w:rPr>
        <w:instrText xml:space="preserve"> SEQ Figure \* ARABIC </w:instrText>
      </w:r>
      <w:r w:rsidR="00E949FA">
        <w:rPr>
          <w:noProof/>
        </w:rPr>
        <w:fldChar w:fldCharType="separate"/>
      </w:r>
      <w:r w:rsidR="00785B04">
        <w:rPr>
          <w:noProof/>
        </w:rPr>
        <w:t>7</w:t>
      </w:r>
      <w:r w:rsidR="00E949FA">
        <w:rPr>
          <w:noProof/>
        </w:rPr>
        <w:fldChar w:fldCharType="end"/>
      </w:r>
      <w:bookmarkEnd w:id="86"/>
      <w:r w:rsidR="00341AF1">
        <w:rPr>
          <w:noProof/>
        </w:rPr>
        <w:t xml:space="preserve"> </w:t>
      </w:r>
      <w:r>
        <w:tab/>
        <w:t>Distribution of AN-ACC classes by remoteness</w:t>
      </w:r>
      <w:bookmarkEnd w:id="87"/>
    </w:p>
    <w:p w:rsidR="00F34376" w:rsidRDefault="00F34376" w:rsidP="00331160">
      <w:pPr>
        <w:spacing w:before="120" w:after="120"/>
      </w:pPr>
      <w:r w:rsidRPr="00F34376">
        <w:rPr>
          <w:noProof/>
        </w:rPr>
        <w:drawing>
          <wp:inline distT="0" distB="0" distL="0" distR="0" wp14:anchorId="436DFADB" wp14:editId="6D3D7C45">
            <wp:extent cx="5450400" cy="3265200"/>
            <wp:effectExtent l="0" t="0" r="0" b="0"/>
            <wp:docPr id="12" name="Picture 12" descr="Figure 7 shows the projected class distribution by facility location. It can be seen that metropolitan and regional facilities tend to have a similar casemix, with metropolitan facilities having slightly more non-mobile residents and regional facilities having slightly more residents with assisted mobility. Independently mobile residents are much more frequent in remote facilities; 35% compared to around 14%." title="Figure 7  Distribution of AN-ACC classes by remote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50400" cy="3265200"/>
                    </a:xfrm>
                    <a:prstGeom prst="rect">
                      <a:avLst/>
                    </a:prstGeom>
                    <a:noFill/>
                    <a:ln>
                      <a:noFill/>
                    </a:ln>
                  </pic:spPr>
                </pic:pic>
              </a:graphicData>
            </a:graphic>
          </wp:inline>
        </w:drawing>
      </w:r>
    </w:p>
    <w:p w:rsidR="00665DC3" w:rsidRDefault="002333CE" w:rsidP="00AF5CE4">
      <w:pPr>
        <w:pStyle w:val="Normal-nospacing"/>
      </w:pPr>
      <w:r>
        <w:t xml:space="preserve">As shown in </w:t>
      </w:r>
      <w:r>
        <w:fldChar w:fldCharType="begin"/>
      </w:r>
      <w:r>
        <w:instrText xml:space="preserve"> REF _Ref535534788 \h </w:instrText>
      </w:r>
      <w:r>
        <w:fldChar w:fldCharType="separate"/>
      </w:r>
      <w:r w:rsidR="00785B04">
        <w:t xml:space="preserve">Figure </w:t>
      </w:r>
      <w:r w:rsidR="00785B04">
        <w:rPr>
          <w:noProof/>
        </w:rPr>
        <w:t>8</w:t>
      </w:r>
      <w:r>
        <w:fldChar w:fldCharType="end"/>
      </w:r>
      <w:r>
        <w:t xml:space="preserve">, the </w:t>
      </w:r>
      <w:r w:rsidR="00F61B4A">
        <w:t xml:space="preserve">projected </w:t>
      </w:r>
      <w:r>
        <w:t>class distributions of facilities grouped by their size tend to be quite similar with only small differences observable.</w:t>
      </w:r>
    </w:p>
    <w:p w:rsidR="002333CE" w:rsidRDefault="002333CE" w:rsidP="002333CE">
      <w:pPr>
        <w:pStyle w:val="Caption"/>
      </w:pPr>
      <w:bookmarkStart w:id="88" w:name="_Ref535534788"/>
      <w:bookmarkStart w:id="89" w:name="_Toc953912"/>
      <w:r>
        <w:t xml:space="preserve">Figure </w:t>
      </w:r>
      <w:r w:rsidR="00E949FA">
        <w:rPr>
          <w:noProof/>
        </w:rPr>
        <w:fldChar w:fldCharType="begin"/>
      </w:r>
      <w:r w:rsidR="00E949FA">
        <w:rPr>
          <w:noProof/>
        </w:rPr>
        <w:instrText xml:space="preserve"> SEQ Figure \* ARABIC </w:instrText>
      </w:r>
      <w:r w:rsidR="00E949FA">
        <w:rPr>
          <w:noProof/>
        </w:rPr>
        <w:fldChar w:fldCharType="separate"/>
      </w:r>
      <w:r w:rsidR="00785B04">
        <w:rPr>
          <w:noProof/>
        </w:rPr>
        <w:t>8</w:t>
      </w:r>
      <w:r w:rsidR="00E949FA">
        <w:rPr>
          <w:noProof/>
        </w:rPr>
        <w:fldChar w:fldCharType="end"/>
      </w:r>
      <w:bookmarkEnd w:id="88"/>
      <w:r w:rsidR="00341AF1">
        <w:rPr>
          <w:noProof/>
        </w:rPr>
        <w:t xml:space="preserve"> </w:t>
      </w:r>
      <w:r>
        <w:tab/>
        <w:t xml:space="preserve">Distribution of AN-ACC classes by </w:t>
      </w:r>
      <w:r w:rsidR="00203177">
        <w:t xml:space="preserve">facility </w:t>
      </w:r>
      <w:r>
        <w:t>size</w:t>
      </w:r>
      <w:bookmarkEnd w:id="89"/>
    </w:p>
    <w:p w:rsidR="00665DC3" w:rsidRDefault="00F34376" w:rsidP="00331160">
      <w:pPr>
        <w:spacing w:before="120" w:after="120"/>
      </w:pPr>
      <w:r w:rsidRPr="00F34376">
        <w:rPr>
          <w:noProof/>
        </w:rPr>
        <w:drawing>
          <wp:inline distT="0" distB="0" distL="0" distR="0" wp14:anchorId="6AD565AA" wp14:editId="17AA1BAD">
            <wp:extent cx="5461200" cy="3265200"/>
            <wp:effectExtent l="0" t="0" r="6350" b="0"/>
            <wp:docPr id="13" name="Picture 13" descr="The projected class distributions of facilities grouped by their size tend to be quite similar with only small differences observable." title="Figure 8 Distribution of AN-ACC classes by facility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61200" cy="3265200"/>
                    </a:xfrm>
                    <a:prstGeom prst="rect">
                      <a:avLst/>
                    </a:prstGeom>
                    <a:noFill/>
                    <a:ln>
                      <a:noFill/>
                    </a:ln>
                  </pic:spPr>
                </pic:pic>
              </a:graphicData>
            </a:graphic>
          </wp:inline>
        </w:drawing>
      </w:r>
    </w:p>
    <w:p w:rsidR="00294657" w:rsidRDefault="00294657" w:rsidP="00294657">
      <w:pPr>
        <w:pStyle w:val="Heading2"/>
      </w:pPr>
      <w:bookmarkStart w:id="90" w:name="_Toc2083384"/>
      <w:r>
        <w:lastRenderedPageBreak/>
        <w:t xml:space="preserve">Comparison of </w:t>
      </w:r>
      <w:r w:rsidR="00665DC3">
        <w:t>effect</w:t>
      </w:r>
      <w:r>
        <w:t xml:space="preserve"> of the two funding arrangements</w:t>
      </w:r>
      <w:bookmarkEnd w:id="90"/>
    </w:p>
    <w:p w:rsidR="00FB2635" w:rsidRDefault="00FB2635" w:rsidP="00FB2635">
      <w:pPr>
        <w:spacing w:before="120" w:after="120"/>
      </w:pPr>
      <w:r>
        <w:t>To estimate the relative funding effect, the average funding per occupied bed day was multi</w:t>
      </w:r>
      <w:r w:rsidRPr="00DE6330">
        <w:t xml:space="preserve">plied by the number of beds in each category. Differential occupancy rates were taken into account where available (see Report 7 for details). The AN-ACC </w:t>
      </w:r>
      <w:r w:rsidR="00203177">
        <w:t xml:space="preserve">funding </w:t>
      </w:r>
      <w:r w:rsidRPr="00DE6330">
        <w:t xml:space="preserve">includes </w:t>
      </w:r>
      <w:r w:rsidR="00203177">
        <w:t xml:space="preserve">three components - </w:t>
      </w:r>
      <w:r w:rsidRPr="00DE6330">
        <w:t xml:space="preserve">a fixed component, </w:t>
      </w:r>
      <w:r w:rsidR="00203177">
        <w:t xml:space="preserve">a </w:t>
      </w:r>
      <w:r w:rsidRPr="00DE6330">
        <w:t>variable component and a component for the adjustment period for new residents</w:t>
      </w:r>
      <w:r w:rsidR="00A9045A">
        <w:t>.</w:t>
      </w:r>
      <w:r w:rsidRPr="00DE6330">
        <w:rPr>
          <w:rStyle w:val="FootnoteReference"/>
        </w:rPr>
        <w:footnoteReference w:id="3"/>
      </w:r>
      <w:r w:rsidRPr="00DE6330">
        <w:t xml:space="preserve"> The ACFI payment include</w:t>
      </w:r>
      <w:r w:rsidR="00203177">
        <w:t>s</w:t>
      </w:r>
      <w:r w:rsidRPr="00DE6330">
        <w:t xml:space="preserve"> only the payment relating to th</w:t>
      </w:r>
      <w:r>
        <w:t>e ACFI instrument and no additional subsid</w:t>
      </w:r>
      <w:r w:rsidR="00BF3EC5">
        <w:t>ies.</w:t>
      </w:r>
    </w:p>
    <w:p w:rsidR="00FB2635" w:rsidRDefault="00FB2635" w:rsidP="00FB2635">
      <w:pPr>
        <w:spacing w:before="120" w:after="120"/>
      </w:pPr>
      <w:r>
        <w:fldChar w:fldCharType="begin"/>
      </w:r>
      <w:r>
        <w:instrText xml:space="preserve"> REF _Ref535535005 \h </w:instrText>
      </w:r>
      <w:r>
        <w:fldChar w:fldCharType="separate"/>
      </w:r>
      <w:r w:rsidR="00785B04">
        <w:t xml:space="preserve">Table </w:t>
      </w:r>
      <w:r w:rsidR="00785B04">
        <w:rPr>
          <w:noProof/>
        </w:rPr>
        <w:t>10</w:t>
      </w:r>
      <w:r>
        <w:fldChar w:fldCharType="end"/>
      </w:r>
      <w:r>
        <w:t xml:space="preserve"> shows the </w:t>
      </w:r>
      <w:r w:rsidR="00F61B4A">
        <w:t xml:space="preserve">projected </w:t>
      </w:r>
      <w:r>
        <w:t xml:space="preserve">relative funding by ownership type. It can be observed that funding under AN-ACC would lead to </w:t>
      </w:r>
      <w:r w:rsidR="00203177">
        <w:t xml:space="preserve">a </w:t>
      </w:r>
      <w:r>
        <w:t xml:space="preserve">slightly </w:t>
      </w:r>
      <w:r w:rsidR="00203177">
        <w:t xml:space="preserve">higher proportion of </w:t>
      </w:r>
      <w:r>
        <w:t xml:space="preserve">funding </w:t>
      </w:r>
      <w:r w:rsidR="00203177">
        <w:t xml:space="preserve">being </w:t>
      </w:r>
      <w:r>
        <w:t>allocat</w:t>
      </w:r>
      <w:r w:rsidR="00203177">
        <w:t>ed</w:t>
      </w:r>
      <w:r>
        <w:t xml:space="preserve"> to government and not for profit facilities at the expense of private for profit facilities.</w:t>
      </w:r>
    </w:p>
    <w:p w:rsidR="00B338F2" w:rsidRDefault="00FB2635" w:rsidP="00FB2635">
      <w:pPr>
        <w:pStyle w:val="Caption"/>
      </w:pPr>
      <w:bookmarkStart w:id="91" w:name="_Ref535535005"/>
      <w:bookmarkStart w:id="92" w:name="_Toc953902"/>
      <w:r>
        <w:t xml:space="preserve">Table </w:t>
      </w:r>
      <w:r w:rsidR="00E949FA">
        <w:rPr>
          <w:noProof/>
        </w:rPr>
        <w:fldChar w:fldCharType="begin"/>
      </w:r>
      <w:r w:rsidR="00E949FA">
        <w:rPr>
          <w:noProof/>
        </w:rPr>
        <w:instrText xml:space="preserve"> SEQ Table \* ARABIC </w:instrText>
      </w:r>
      <w:r w:rsidR="00E949FA">
        <w:rPr>
          <w:noProof/>
        </w:rPr>
        <w:fldChar w:fldCharType="separate"/>
      </w:r>
      <w:r w:rsidR="00785B04">
        <w:rPr>
          <w:noProof/>
        </w:rPr>
        <w:t>10</w:t>
      </w:r>
      <w:r w:rsidR="00E949FA">
        <w:rPr>
          <w:noProof/>
        </w:rPr>
        <w:fldChar w:fldCharType="end"/>
      </w:r>
      <w:bookmarkEnd w:id="91"/>
      <w:r>
        <w:tab/>
        <w:t>Relative funding impact by ownership type</w:t>
      </w:r>
      <w:bookmarkEnd w:id="92"/>
    </w:p>
    <w:tbl>
      <w:tblPr>
        <w:tblW w:w="0" w:type="auto"/>
        <w:tblInd w:w="113" w:type="dxa"/>
        <w:tblLayout w:type="fixed"/>
        <w:tblLook w:val="04A0" w:firstRow="1" w:lastRow="0" w:firstColumn="1" w:lastColumn="0" w:noHBand="0" w:noVBand="1"/>
        <w:tblCaption w:val="Table 10 Relative funding impact by ownership type"/>
        <w:tblDescription w:val="Table 10 shows the projected relative funding by ownership type. It can be observed that funding under AN-ACC would lead to a slightly higher proportion of funding being allocated to government and not for profit facilities at the expense of private for profit facilities. This table is to be read as a series of rows from left to right ('ownership type' then 'AN-ACC (percentage)' then 'ACFI (percentage)'), top to bottom."/>
      </w:tblPr>
      <w:tblGrid>
        <w:gridCol w:w="2124"/>
        <w:gridCol w:w="2125"/>
        <w:gridCol w:w="2125"/>
      </w:tblGrid>
      <w:tr w:rsidR="00FB2635" w:rsidRPr="0086118E" w:rsidTr="00BF3EC5">
        <w:trPr>
          <w:trHeight w:val="300"/>
          <w:tblHeader/>
        </w:trPr>
        <w:tc>
          <w:tcPr>
            <w:tcW w:w="2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635" w:rsidRPr="0086118E" w:rsidRDefault="00FB2635" w:rsidP="00DE6330">
            <w:pPr>
              <w:spacing w:before="80" w:after="80"/>
              <w:rPr>
                <w:rFonts w:ascii="Calibri" w:hAnsi="Calibri" w:cs="Calibri"/>
                <w:b/>
                <w:color w:val="000000"/>
                <w:sz w:val="22"/>
                <w:szCs w:val="22"/>
              </w:rPr>
            </w:pPr>
            <w:r w:rsidRPr="0086118E">
              <w:rPr>
                <w:rFonts w:ascii="Calibri" w:hAnsi="Calibri" w:cs="Calibri"/>
                <w:b/>
                <w:color w:val="000000"/>
                <w:sz w:val="22"/>
                <w:szCs w:val="22"/>
              </w:rPr>
              <w:t>Ownership type</w:t>
            </w:r>
          </w:p>
        </w:tc>
        <w:tc>
          <w:tcPr>
            <w:tcW w:w="2125" w:type="dxa"/>
            <w:tcBorders>
              <w:top w:val="single" w:sz="4" w:space="0" w:color="auto"/>
              <w:left w:val="nil"/>
              <w:bottom w:val="single" w:sz="4" w:space="0" w:color="auto"/>
              <w:right w:val="single" w:sz="4" w:space="0" w:color="auto"/>
            </w:tcBorders>
            <w:shd w:val="clear" w:color="auto" w:fill="auto"/>
            <w:noWrap/>
            <w:vAlign w:val="center"/>
            <w:hideMark/>
          </w:tcPr>
          <w:p w:rsidR="00FB2635" w:rsidRPr="0086118E" w:rsidRDefault="00FB2635" w:rsidP="00DE6330">
            <w:pPr>
              <w:spacing w:before="80" w:after="80"/>
              <w:jc w:val="right"/>
              <w:rPr>
                <w:rFonts w:ascii="Calibri" w:hAnsi="Calibri" w:cs="Calibri"/>
                <w:b/>
                <w:color w:val="000000"/>
                <w:sz w:val="22"/>
                <w:szCs w:val="22"/>
              </w:rPr>
            </w:pPr>
            <w:r w:rsidRPr="0086118E">
              <w:rPr>
                <w:rFonts w:ascii="Calibri" w:hAnsi="Calibri" w:cs="Calibri"/>
                <w:b/>
                <w:color w:val="000000"/>
                <w:sz w:val="22"/>
                <w:szCs w:val="22"/>
              </w:rPr>
              <w:t>AN-ACC</w:t>
            </w:r>
            <w:r w:rsidR="0086118E">
              <w:rPr>
                <w:rFonts w:ascii="Calibri" w:hAnsi="Calibri" w:cs="Calibri"/>
                <w:b/>
                <w:color w:val="000000"/>
                <w:sz w:val="22"/>
                <w:szCs w:val="22"/>
              </w:rPr>
              <w:t xml:space="preserve"> (%)</w:t>
            </w:r>
          </w:p>
        </w:tc>
        <w:tc>
          <w:tcPr>
            <w:tcW w:w="2125" w:type="dxa"/>
            <w:tcBorders>
              <w:top w:val="single" w:sz="4" w:space="0" w:color="auto"/>
              <w:left w:val="nil"/>
              <w:bottom w:val="single" w:sz="4" w:space="0" w:color="auto"/>
              <w:right w:val="single" w:sz="4" w:space="0" w:color="auto"/>
            </w:tcBorders>
            <w:shd w:val="clear" w:color="auto" w:fill="auto"/>
            <w:noWrap/>
            <w:vAlign w:val="center"/>
            <w:hideMark/>
          </w:tcPr>
          <w:p w:rsidR="00FB2635" w:rsidRPr="0086118E" w:rsidRDefault="00FB2635" w:rsidP="00DE6330">
            <w:pPr>
              <w:spacing w:before="80" w:after="80"/>
              <w:jc w:val="right"/>
              <w:rPr>
                <w:rFonts w:ascii="Calibri" w:hAnsi="Calibri" w:cs="Calibri"/>
                <w:b/>
                <w:color w:val="000000"/>
                <w:sz w:val="22"/>
                <w:szCs w:val="22"/>
              </w:rPr>
            </w:pPr>
            <w:r w:rsidRPr="0086118E">
              <w:rPr>
                <w:rFonts w:ascii="Calibri" w:hAnsi="Calibri" w:cs="Calibri"/>
                <w:b/>
                <w:color w:val="000000"/>
                <w:sz w:val="22"/>
                <w:szCs w:val="22"/>
              </w:rPr>
              <w:t>ACFI</w:t>
            </w:r>
            <w:r w:rsidR="0086118E">
              <w:rPr>
                <w:rFonts w:ascii="Calibri" w:hAnsi="Calibri" w:cs="Calibri"/>
                <w:b/>
                <w:color w:val="000000"/>
                <w:sz w:val="22"/>
                <w:szCs w:val="22"/>
              </w:rPr>
              <w:t xml:space="preserve"> (%)</w:t>
            </w:r>
          </w:p>
        </w:tc>
      </w:tr>
      <w:tr w:rsidR="00FB2635" w:rsidRPr="00B338F2" w:rsidTr="0086118E">
        <w:trPr>
          <w:trHeight w:val="300"/>
        </w:trPr>
        <w:tc>
          <w:tcPr>
            <w:tcW w:w="2124" w:type="dxa"/>
            <w:tcBorders>
              <w:top w:val="nil"/>
              <w:left w:val="single" w:sz="4" w:space="0" w:color="auto"/>
              <w:bottom w:val="single" w:sz="4" w:space="0" w:color="auto"/>
              <w:right w:val="single" w:sz="4" w:space="0" w:color="auto"/>
            </w:tcBorders>
            <w:shd w:val="clear" w:color="auto" w:fill="auto"/>
            <w:noWrap/>
            <w:hideMark/>
          </w:tcPr>
          <w:p w:rsidR="00FB2635" w:rsidRPr="00203177" w:rsidRDefault="00FB2635" w:rsidP="00DE6330">
            <w:pPr>
              <w:spacing w:before="80" w:after="80"/>
              <w:rPr>
                <w:rFonts w:ascii="Calibri" w:hAnsi="Calibri" w:cs="Calibri"/>
                <w:color w:val="000000"/>
                <w:sz w:val="22"/>
                <w:szCs w:val="22"/>
              </w:rPr>
            </w:pPr>
            <w:r w:rsidRPr="00203177">
              <w:rPr>
                <w:rFonts w:ascii="Calibri" w:hAnsi="Calibri" w:cs="Calibri"/>
                <w:color w:val="000000"/>
                <w:sz w:val="22"/>
                <w:szCs w:val="22"/>
              </w:rPr>
              <w:t>Government</w:t>
            </w:r>
          </w:p>
        </w:tc>
        <w:tc>
          <w:tcPr>
            <w:tcW w:w="2125" w:type="dxa"/>
            <w:tcBorders>
              <w:top w:val="nil"/>
              <w:left w:val="nil"/>
              <w:bottom w:val="single" w:sz="4" w:space="0" w:color="auto"/>
              <w:right w:val="single" w:sz="4" w:space="0" w:color="auto"/>
            </w:tcBorders>
            <w:shd w:val="clear" w:color="auto" w:fill="auto"/>
            <w:noWrap/>
            <w:hideMark/>
          </w:tcPr>
          <w:p w:rsidR="00FB2635" w:rsidRPr="00203177" w:rsidRDefault="00FB2635" w:rsidP="00DE6330">
            <w:pPr>
              <w:spacing w:before="80" w:after="80"/>
              <w:jc w:val="right"/>
              <w:rPr>
                <w:rFonts w:ascii="Calibri" w:hAnsi="Calibri" w:cs="Calibri"/>
                <w:color w:val="000000"/>
                <w:sz w:val="22"/>
                <w:szCs w:val="22"/>
              </w:rPr>
            </w:pPr>
            <w:r w:rsidRPr="00203177">
              <w:rPr>
                <w:rFonts w:ascii="Calibri" w:hAnsi="Calibri" w:cs="Calibri"/>
                <w:color w:val="000000"/>
                <w:sz w:val="22"/>
                <w:szCs w:val="22"/>
              </w:rPr>
              <w:t>5.0</w:t>
            </w:r>
          </w:p>
        </w:tc>
        <w:tc>
          <w:tcPr>
            <w:tcW w:w="2125" w:type="dxa"/>
            <w:tcBorders>
              <w:top w:val="nil"/>
              <w:left w:val="nil"/>
              <w:bottom w:val="single" w:sz="4" w:space="0" w:color="auto"/>
              <w:right w:val="single" w:sz="4" w:space="0" w:color="auto"/>
            </w:tcBorders>
            <w:shd w:val="clear" w:color="auto" w:fill="auto"/>
            <w:noWrap/>
            <w:hideMark/>
          </w:tcPr>
          <w:p w:rsidR="00FB2635" w:rsidRPr="00203177" w:rsidRDefault="00FB2635" w:rsidP="00DE6330">
            <w:pPr>
              <w:spacing w:before="80" w:after="80"/>
              <w:jc w:val="right"/>
              <w:rPr>
                <w:rFonts w:ascii="Calibri" w:hAnsi="Calibri" w:cs="Calibri"/>
                <w:color w:val="000000"/>
                <w:sz w:val="22"/>
                <w:szCs w:val="22"/>
              </w:rPr>
            </w:pPr>
            <w:r w:rsidRPr="00203177">
              <w:rPr>
                <w:rFonts w:ascii="Calibri" w:hAnsi="Calibri" w:cs="Calibri"/>
                <w:color w:val="000000"/>
                <w:sz w:val="22"/>
                <w:szCs w:val="22"/>
              </w:rPr>
              <w:t>4.8</w:t>
            </w:r>
          </w:p>
        </w:tc>
      </w:tr>
      <w:tr w:rsidR="00FB2635" w:rsidRPr="00B338F2" w:rsidTr="0086118E">
        <w:trPr>
          <w:trHeight w:val="300"/>
        </w:trPr>
        <w:tc>
          <w:tcPr>
            <w:tcW w:w="2124" w:type="dxa"/>
            <w:tcBorders>
              <w:top w:val="nil"/>
              <w:left w:val="single" w:sz="4" w:space="0" w:color="auto"/>
              <w:bottom w:val="single" w:sz="4" w:space="0" w:color="auto"/>
              <w:right w:val="single" w:sz="4" w:space="0" w:color="auto"/>
            </w:tcBorders>
            <w:shd w:val="clear" w:color="auto" w:fill="auto"/>
            <w:noWrap/>
            <w:hideMark/>
          </w:tcPr>
          <w:p w:rsidR="00FB2635" w:rsidRPr="00203177" w:rsidRDefault="00FB2635" w:rsidP="00DE6330">
            <w:pPr>
              <w:spacing w:before="80" w:after="80"/>
              <w:rPr>
                <w:rFonts w:ascii="Calibri" w:hAnsi="Calibri" w:cs="Calibri"/>
                <w:color w:val="000000"/>
                <w:sz w:val="22"/>
                <w:szCs w:val="22"/>
              </w:rPr>
            </w:pPr>
            <w:r w:rsidRPr="00203177">
              <w:rPr>
                <w:rFonts w:ascii="Calibri" w:hAnsi="Calibri" w:cs="Calibri"/>
                <w:color w:val="000000"/>
                <w:sz w:val="22"/>
                <w:szCs w:val="22"/>
              </w:rPr>
              <w:t>Not For Profit</w:t>
            </w:r>
          </w:p>
        </w:tc>
        <w:tc>
          <w:tcPr>
            <w:tcW w:w="2125" w:type="dxa"/>
            <w:tcBorders>
              <w:top w:val="nil"/>
              <w:left w:val="nil"/>
              <w:bottom w:val="single" w:sz="4" w:space="0" w:color="auto"/>
              <w:right w:val="single" w:sz="4" w:space="0" w:color="auto"/>
            </w:tcBorders>
            <w:shd w:val="clear" w:color="auto" w:fill="auto"/>
            <w:noWrap/>
            <w:hideMark/>
          </w:tcPr>
          <w:p w:rsidR="00FB2635" w:rsidRPr="00203177" w:rsidRDefault="00FB2635" w:rsidP="00DE6330">
            <w:pPr>
              <w:spacing w:before="80" w:after="80"/>
              <w:jc w:val="right"/>
              <w:rPr>
                <w:rFonts w:ascii="Calibri" w:hAnsi="Calibri" w:cs="Calibri"/>
                <w:color w:val="000000"/>
                <w:sz w:val="22"/>
                <w:szCs w:val="22"/>
              </w:rPr>
            </w:pPr>
            <w:r w:rsidRPr="00203177">
              <w:rPr>
                <w:rFonts w:ascii="Calibri" w:hAnsi="Calibri" w:cs="Calibri"/>
                <w:color w:val="000000"/>
                <w:sz w:val="22"/>
                <w:szCs w:val="22"/>
              </w:rPr>
              <w:t>58.3</w:t>
            </w:r>
          </w:p>
        </w:tc>
        <w:tc>
          <w:tcPr>
            <w:tcW w:w="2125" w:type="dxa"/>
            <w:tcBorders>
              <w:top w:val="nil"/>
              <w:left w:val="nil"/>
              <w:bottom w:val="single" w:sz="4" w:space="0" w:color="auto"/>
              <w:right w:val="single" w:sz="4" w:space="0" w:color="auto"/>
            </w:tcBorders>
            <w:shd w:val="clear" w:color="auto" w:fill="auto"/>
            <w:noWrap/>
            <w:hideMark/>
          </w:tcPr>
          <w:p w:rsidR="00FB2635" w:rsidRPr="00203177" w:rsidRDefault="00FB2635" w:rsidP="00DE6330">
            <w:pPr>
              <w:spacing w:before="80" w:after="80"/>
              <w:jc w:val="right"/>
              <w:rPr>
                <w:rFonts w:ascii="Calibri" w:hAnsi="Calibri" w:cs="Calibri"/>
                <w:color w:val="000000"/>
                <w:sz w:val="22"/>
                <w:szCs w:val="22"/>
              </w:rPr>
            </w:pPr>
            <w:r w:rsidRPr="00203177">
              <w:rPr>
                <w:rFonts w:ascii="Calibri" w:hAnsi="Calibri" w:cs="Calibri"/>
                <w:color w:val="000000"/>
                <w:sz w:val="22"/>
                <w:szCs w:val="22"/>
              </w:rPr>
              <w:t>55.9</w:t>
            </w:r>
          </w:p>
        </w:tc>
      </w:tr>
      <w:tr w:rsidR="00FB2635" w:rsidRPr="00B338F2" w:rsidTr="0086118E">
        <w:trPr>
          <w:trHeight w:val="300"/>
        </w:trPr>
        <w:tc>
          <w:tcPr>
            <w:tcW w:w="2124" w:type="dxa"/>
            <w:tcBorders>
              <w:top w:val="nil"/>
              <w:left w:val="single" w:sz="4" w:space="0" w:color="auto"/>
              <w:bottom w:val="single" w:sz="4" w:space="0" w:color="auto"/>
              <w:right w:val="single" w:sz="4" w:space="0" w:color="auto"/>
            </w:tcBorders>
            <w:shd w:val="clear" w:color="auto" w:fill="auto"/>
            <w:noWrap/>
            <w:hideMark/>
          </w:tcPr>
          <w:p w:rsidR="00FB2635" w:rsidRPr="00203177" w:rsidRDefault="00FB2635" w:rsidP="00DE6330">
            <w:pPr>
              <w:spacing w:before="80" w:after="80"/>
              <w:rPr>
                <w:rFonts w:ascii="Calibri" w:hAnsi="Calibri" w:cs="Calibri"/>
                <w:color w:val="000000"/>
                <w:sz w:val="22"/>
                <w:szCs w:val="22"/>
              </w:rPr>
            </w:pPr>
            <w:r w:rsidRPr="00203177">
              <w:rPr>
                <w:rFonts w:ascii="Calibri" w:hAnsi="Calibri" w:cs="Calibri"/>
                <w:color w:val="000000"/>
                <w:sz w:val="22"/>
                <w:szCs w:val="22"/>
              </w:rPr>
              <w:t>Private For Profit</w:t>
            </w:r>
          </w:p>
        </w:tc>
        <w:tc>
          <w:tcPr>
            <w:tcW w:w="2125" w:type="dxa"/>
            <w:tcBorders>
              <w:top w:val="nil"/>
              <w:left w:val="nil"/>
              <w:bottom w:val="single" w:sz="4" w:space="0" w:color="auto"/>
              <w:right w:val="single" w:sz="4" w:space="0" w:color="auto"/>
            </w:tcBorders>
            <w:shd w:val="clear" w:color="auto" w:fill="auto"/>
            <w:noWrap/>
            <w:hideMark/>
          </w:tcPr>
          <w:p w:rsidR="00FB2635" w:rsidRPr="00203177" w:rsidRDefault="00FB2635" w:rsidP="00DE6330">
            <w:pPr>
              <w:spacing w:before="80" w:after="80"/>
              <w:jc w:val="right"/>
              <w:rPr>
                <w:rFonts w:ascii="Calibri" w:hAnsi="Calibri" w:cs="Calibri"/>
                <w:color w:val="000000"/>
                <w:sz w:val="22"/>
                <w:szCs w:val="22"/>
              </w:rPr>
            </w:pPr>
            <w:r w:rsidRPr="00203177">
              <w:rPr>
                <w:rFonts w:ascii="Calibri" w:hAnsi="Calibri" w:cs="Calibri"/>
                <w:color w:val="000000"/>
                <w:sz w:val="22"/>
                <w:szCs w:val="22"/>
              </w:rPr>
              <w:t>36.6</w:t>
            </w:r>
          </w:p>
        </w:tc>
        <w:tc>
          <w:tcPr>
            <w:tcW w:w="2125" w:type="dxa"/>
            <w:tcBorders>
              <w:top w:val="nil"/>
              <w:left w:val="nil"/>
              <w:bottom w:val="single" w:sz="4" w:space="0" w:color="auto"/>
              <w:right w:val="single" w:sz="4" w:space="0" w:color="auto"/>
            </w:tcBorders>
            <w:shd w:val="clear" w:color="auto" w:fill="auto"/>
            <w:noWrap/>
            <w:hideMark/>
          </w:tcPr>
          <w:p w:rsidR="00FB2635" w:rsidRPr="00203177" w:rsidRDefault="00FB2635" w:rsidP="00DE6330">
            <w:pPr>
              <w:spacing w:before="80" w:after="80"/>
              <w:jc w:val="right"/>
              <w:rPr>
                <w:rFonts w:ascii="Calibri" w:hAnsi="Calibri" w:cs="Calibri"/>
                <w:color w:val="000000"/>
                <w:sz w:val="22"/>
                <w:szCs w:val="22"/>
              </w:rPr>
            </w:pPr>
            <w:r w:rsidRPr="00203177">
              <w:rPr>
                <w:rFonts w:ascii="Calibri" w:hAnsi="Calibri" w:cs="Calibri"/>
                <w:color w:val="000000"/>
                <w:sz w:val="22"/>
                <w:szCs w:val="22"/>
              </w:rPr>
              <w:t>39.3</w:t>
            </w:r>
          </w:p>
        </w:tc>
      </w:tr>
      <w:tr w:rsidR="00FB2635" w:rsidRPr="0086118E" w:rsidTr="0086118E">
        <w:trPr>
          <w:trHeight w:val="300"/>
        </w:trPr>
        <w:tc>
          <w:tcPr>
            <w:tcW w:w="2124" w:type="dxa"/>
            <w:tcBorders>
              <w:top w:val="nil"/>
              <w:left w:val="single" w:sz="4" w:space="0" w:color="auto"/>
              <w:bottom w:val="single" w:sz="4" w:space="0" w:color="auto"/>
              <w:right w:val="single" w:sz="4" w:space="0" w:color="auto"/>
            </w:tcBorders>
            <w:shd w:val="clear" w:color="auto" w:fill="auto"/>
            <w:noWrap/>
            <w:hideMark/>
          </w:tcPr>
          <w:p w:rsidR="00FB2635" w:rsidRPr="0086118E" w:rsidRDefault="00FB2635" w:rsidP="00DE6330">
            <w:pPr>
              <w:spacing w:before="80" w:after="80"/>
              <w:rPr>
                <w:rFonts w:ascii="Calibri" w:hAnsi="Calibri" w:cs="Calibri"/>
                <w:b/>
                <w:color w:val="000000"/>
                <w:sz w:val="22"/>
                <w:szCs w:val="22"/>
              </w:rPr>
            </w:pPr>
            <w:r w:rsidRPr="0086118E">
              <w:rPr>
                <w:rFonts w:ascii="Calibri" w:hAnsi="Calibri" w:cs="Calibri"/>
                <w:b/>
                <w:color w:val="000000"/>
                <w:sz w:val="22"/>
                <w:szCs w:val="22"/>
              </w:rPr>
              <w:t>Total</w:t>
            </w:r>
          </w:p>
        </w:tc>
        <w:tc>
          <w:tcPr>
            <w:tcW w:w="2125" w:type="dxa"/>
            <w:tcBorders>
              <w:top w:val="nil"/>
              <w:left w:val="nil"/>
              <w:bottom w:val="single" w:sz="4" w:space="0" w:color="auto"/>
              <w:right w:val="single" w:sz="4" w:space="0" w:color="auto"/>
            </w:tcBorders>
            <w:shd w:val="clear" w:color="auto" w:fill="auto"/>
            <w:noWrap/>
            <w:hideMark/>
          </w:tcPr>
          <w:p w:rsidR="00FB2635" w:rsidRPr="0086118E" w:rsidRDefault="00FB2635" w:rsidP="00DE6330">
            <w:pPr>
              <w:spacing w:before="80" w:after="80"/>
              <w:jc w:val="right"/>
              <w:rPr>
                <w:rFonts w:ascii="Calibri" w:hAnsi="Calibri" w:cs="Calibri"/>
                <w:b/>
                <w:color w:val="000000"/>
                <w:sz w:val="22"/>
                <w:szCs w:val="22"/>
              </w:rPr>
            </w:pPr>
            <w:r w:rsidRPr="0086118E">
              <w:rPr>
                <w:rFonts w:ascii="Calibri" w:hAnsi="Calibri" w:cs="Calibri"/>
                <w:b/>
                <w:color w:val="000000"/>
                <w:sz w:val="22"/>
                <w:szCs w:val="22"/>
              </w:rPr>
              <w:t>100.0</w:t>
            </w:r>
          </w:p>
        </w:tc>
        <w:tc>
          <w:tcPr>
            <w:tcW w:w="2125" w:type="dxa"/>
            <w:tcBorders>
              <w:top w:val="nil"/>
              <w:left w:val="nil"/>
              <w:bottom w:val="single" w:sz="4" w:space="0" w:color="auto"/>
              <w:right w:val="single" w:sz="4" w:space="0" w:color="auto"/>
            </w:tcBorders>
            <w:shd w:val="clear" w:color="auto" w:fill="auto"/>
            <w:noWrap/>
            <w:hideMark/>
          </w:tcPr>
          <w:p w:rsidR="00FB2635" w:rsidRPr="0086118E" w:rsidRDefault="00FB2635" w:rsidP="00DE6330">
            <w:pPr>
              <w:spacing w:before="80" w:after="80"/>
              <w:jc w:val="right"/>
              <w:rPr>
                <w:rFonts w:ascii="Calibri" w:hAnsi="Calibri" w:cs="Calibri"/>
                <w:b/>
                <w:color w:val="000000"/>
                <w:sz w:val="22"/>
                <w:szCs w:val="22"/>
              </w:rPr>
            </w:pPr>
            <w:r w:rsidRPr="0086118E">
              <w:rPr>
                <w:rFonts w:ascii="Calibri" w:hAnsi="Calibri" w:cs="Calibri"/>
                <w:b/>
                <w:color w:val="000000"/>
                <w:sz w:val="22"/>
                <w:szCs w:val="22"/>
              </w:rPr>
              <w:t>100.0</w:t>
            </w:r>
          </w:p>
        </w:tc>
      </w:tr>
    </w:tbl>
    <w:p w:rsidR="00B338F2" w:rsidRDefault="00FB2635" w:rsidP="00665DC3">
      <w:pPr>
        <w:spacing w:before="120" w:after="120"/>
      </w:pPr>
      <w:r>
        <w:t xml:space="preserve">A similar situation can be observed when examining funding by facility location (see </w:t>
      </w:r>
      <w:r>
        <w:fldChar w:fldCharType="begin"/>
      </w:r>
      <w:r>
        <w:instrText xml:space="preserve"> REF _Ref535535117 \h </w:instrText>
      </w:r>
      <w:r>
        <w:fldChar w:fldCharType="separate"/>
      </w:r>
      <w:r w:rsidR="00785B04">
        <w:t xml:space="preserve">Table </w:t>
      </w:r>
      <w:r w:rsidR="00785B04">
        <w:rPr>
          <w:noProof/>
        </w:rPr>
        <w:t>11</w:t>
      </w:r>
      <w:r>
        <w:fldChar w:fldCharType="end"/>
      </w:r>
      <w:r>
        <w:t xml:space="preserve">). There are slight reductions for metropolitan facilities. </w:t>
      </w:r>
      <w:r w:rsidR="00FC6C43">
        <w:t>Regional and r</w:t>
      </w:r>
      <w:r>
        <w:t xml:space="preserve">emote facilities on the other hand would have their funding increased. The change from 0.5% to 0.8% of the budget would effectively constitute a substantial funding increase for </w:t>
      </w:r>
      <w:r w:rsidR="00FC6C43">
        <w:t>remote</w:t>
      </w:r>
      <w:r w:rsidR="00BF3EC5">
        <w:t xml:space="preserve"> facilities.</w:t>
      </w:r>
    </w:p>
    <w:p w:rsidR="00FB2635" w:rsidRDefault="00FB2635" w:rsidP="00FB2635">
      <w:pPr>
        <w:pStyle w:val="Caption"/>
        <w:keepNext/>
      </w:pPr>
      <w:bookmarkStart w:id="93" w:name="_Ref535535117"/>
      <w:bookmarkStart w:id="94" w:name="_Toc953903"/>
      <w:r>
        <w:t xml:space="preserve">Table </w:t>
      </w:r>
      <w:r w:rsidR="00E949FA">
        <w:rPr>
          <w:noProof/>
        </w:rPr>
        <w:fldChar w:fldCharType="begin"/>
      </w:r>
      <w:r w:rsidR="00E949FA">
        <w:rPr>
          <w:noProof/>
        </w:rPr>
        <w:instrText xml:space="preserve"> SEQ Table \* ARABIC </w:instrText>
      </w:r>
      <w:r w:rsidR="00E949FA">
        <w:rPr>
          <w:noProof/>
        </w:rPr>
        <w:fldChar w:fldCharType="separate"/>
      </w:r>
      <w:r w:rsidR="00785B04">
        <w:rPr>
          <w:noProof/>
        </w:rPr>
        <w:t>11</w:t>
      </w:r>
      <w:r w:rsidR="00E949FA">
        <w:rPr>
          <w:noProof/>
        </w:rPr>
        <w:fldChar w:fldCharType="end"/>
      </w:r>
      <w:bookmarkEnd w:id="93"/>
      <w:r>
        <w:tab/>
        <w:t>Relative funding impact by remoteness</w:t>
      </w:r>
      <w:bookmarkEnd w:id="94"/>
    </w:p>
    <w:tbl>
      <w:tblPr>
        <w:tblW w:w="0" w:type="auto"/>
        <w:tblInd w:w="113" w:type="dxa"/>
        <w:tblLook w:val="04A0" w:firstRow="1" w:lastRow="0" w:firstColumn="1" w:lastColumn="0" w:noHBand="0" w:noVBand="1"/>
        <w:tblCaption w:val="Table 11 Relative funding impact by remoteness"/>
        <w:tblDescription w:val="Table 11 shows relative funding impact by remoteness. There are slight proportional reductions for metropolitan and regional facilities. Remote facilities on the other hand would have their funding proportionally increased. The change from 0.5% to 0.8% of the budget would effectively constitute a substantial funding increase for those facilities. This table is to be read as a series of rows from left to right ('remoteness' then 'AN-ACC (percentage)' then 'ACFI (percentage')), top to bottom."/>
      </w:tblPr>
      <w:tblGrid>
        <w:gridCol w:w="2122"/>
        <w:gridCol w:w="2126"/>
        <w:gridCol w:w="2126"/>
      </w:tblGrid>
      <w:tr w:rsidR="00FB2635" w:rsidRPr="0086118E" w:rsidTr="00BF3EC5">
        <w:trPr>
          <w:trHeight w:val="300"/>
          <w:tblHead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635" w:rsidRPr="0086118E" w:rsidRDefault="00FB2635" w:rsidP="00DE6330">
            <w:pPr>
              <w:spacing w:before="80" w:after="80"/>
              <w:rPr>
                <w:rFonts w:ascii="Calibri" w:hAnsi="Calibri" w:cs="Calibri"/>
                <w:b/>
                <w:color w:val="000000"/>
                <w:sz w:val="22"/>
                <w:szCs w:val="22"/>
              </w:rPr>
            </w:pPr>
            <w:r w:rsidRPr="0086118E">
              <w:rPr>
                <w:rFonts w:ascii="Calibri" w:hAnsi="Calibri" w:cs="Calibri"/>
                <w:b/>
                <w:color w:val="000000"/>
                <w:sz w:val="22"/>
                <w:szCs w:val="22"/>
              </w:rPr>
              <w:t>Remoteness</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FB2635" w:rsidRPr="0086118E" w:rsidRDefault="00FB2635" w:rsidP="00DE6330">
            <w:pPr>
              <w:spacing w:before="80" w:after="80"/>
              <w:jc w:val="right"/>
              <w:rPr>
                <w:rFonts w:ascii="Calibri" w:hAnsi="Calibri" w:cs="Calibri"/>
                <w:b/>
                <w:color w:val="000000"/>
                <w:sz w:val="22"/>
                <w:szCs w:val="22"/>
              </w:rPr>
            </w:pPr>
            <w:r w:rsidRPr="0086118E">
              <w:rPr>
                <w:rFonts w:ascii="Calibri" w:hAnsi="Calibri" w:cs="Calibri"/>
                <w:b/>
                <w:color w:val="000000"/>
                <w:sz w:val="22"/>
                <w:szCs w:val="22"/>
              </w:rPr>
              <w:t>AN-ACC</w:t>
            </w:r>
            <w:r w:rsidR="0086118E">
              <w:rPr>
                <w:rFonts w:ascii="Calibri" w:hAnsi="Calibri" w:cs="Calibri"/>
                <w:b/>
                <w:color w:val="000000"/>
                <w:sz w:val="22"/>
                <w:szCs w:val="22"/>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FB2635" w:rsidRPr="0086118E" w:rsidRDefault="00FB2635" w:rsidP="00DE6330">
            <w:pPr>
              <w:spacing w:before="80" w:after="80"/>
              <w:jc w:val="right"/>
              <w:rPr>
                <w:rFonts w:ascii="Calibri" w:hAnsi="Calibri" w:cs="Calibri"/>
                <w:b/>
                <w:color w:val="000000"/>
                <w:sz w:val="22"/>
                <w:szCs w:val="22"/>
              </w:rPr>
            </w:pPr>
            <w:r w:rsidRPr="0086118E">
              <w:rPr>
                <w:rFonts w:ascii="Calibri" w:hAnsi="Calibri" w:cs="Calibri"/>
                <w:b/>
                <w:color w:val="000000"/>
                <w:sz w:val="22"/>
                <w:szCs w:val="22"/>
              </w:rPr>
              <w:t>ACFI</w:t>
            </w:r>
            <w:r w:rsidR="0086118E">
              <w:rPr>
                <w:rFonts w:ascii="Calibri" w:hAnsi="Calibri" w:cs="Calibri"/>
                <w:b/>
                <w:color w:val="000000"/>
                <w:sz w:val="22"/>
                <w:szCs w:val="22"/>
              </w:rPr>
              <w:t xml:space="preserve"> (%)</w:t>
            </w:r>
          </w:p>
        </w:tc>
      </w:tr>
      <w:tr w:rsidR="00FB2635" w:rsidRPr="00B338F2" w:rsidTr="0086118E">
        <w:trPr>
          <w:trHeight w:val="300"/>
        </w:trPr>
        <w:tc>
          <w:tcPr>
            <w:tcW w:w="2122" w:type="dxa"/>
            <w:tcBorders>
              <w:top w:val="nil"/>
              <w:left w:val="single" w:sz="4" w:space="0" w:color="auto"/>
              <w:bottom w:val="single" w:sz="4" w:space="0" w:color="auto"/>
              <w:right w:val="single" w:sz="4" w:space="0" w:color="auto"/>
            </w:tcBorders>
            <w:shd w:val="clear" w:color="auto" w:fill="auto"/>
            <w:noWrap/>
            <w:hideMark/>
          </w:tcPr>
          <w:p w:rsidR="00FB2635" w:rsidRPr="007B5358" w:rsidRDefault="00FB2635" w:rsidP="00DE6330">
            <w:pPr>
              <w:spacing w:before="80" w:after="80"/>
              <w:rPr>
                <w:rFonts w:ascii="Calibri" w:hAnsi="Calibri" w:cs="Calibri"/>
                <w:color w:val="000000"/>
                <w:sz w:val="22"/>
                <w:szCs w:val="22"/>
              </w:rPr>
            </w:pPr>
            <w:r w:rsidRPr="007B5358">
              <w:rPr>
                <w:rFonts w:ascii="Calibri" w:hAnsi="Calibri" w:cs="Calibri"/>
                <w:color w:val="000000"/>
                <w:sz w:val="22"/>
                <w:szCs w:val="22"/>
              </w:rPr>
              <w:t>Major Cities</w:t>
            </w:r>
          </w:p>
        </w:tc>
        <w:tc>
          <w:tcPr>
            <w:tcW w:w="2126" w:type="dxa"/>
            <w:tcBorders>
              <w:top w:val="nil"/>
              <w:left w:val="nil"/>
              <w:bottom w:val="single" w:sz="4" w:space="0" w:color="auto"/>
              <w:right w:val="single" w:sz="4" w:space="0" w:color="auto"/>
            </w:tcBorders>
            <w:shd w:val="clear" w:color="auto" w:fill="auto"/>
            <w:noWrap/>
            <w:hideMark/>
          </w:tcPr>
          <w:p w:rsidR="00FB2635" w:rsidRPr="007B5358" w:rsidRDefault="00FB2635" w:rsidP="00DE6330">
            <w:pPr>
              <w:spacing w:before="80" w:after="80"/>
              <w:jc w:val="right"/>
              <w:rPr>
                <w:rFonts w:ascii="Calibri" w:hAnsi="Calibri" w:cs="Calibri"/>
                <w:color w:val="000000"/>
                <w:sz w:val="22"/>
                <w:szCs w:val="22"/>
              </w:rPr>
            </w:pPr>
            <w:r w:rsidRPr="007B5358">
              <w:rPr>
                <w:rFonts w:ascii="Calibri" w:hAnsi="Calibri" w:cs="Calibri"/>
                <w:color w:val="000000"/>
                <w:sz w:val="22"/>
                <w:szCs w:val="22"/>
              </w:rPr>
              <w:t>70.0</w:t>
            </w:r>
          </w:p>
        </w:tc>
        <w:tc>
          <w:tcPr>
            <w:tcW w:w="2126" w:type="dxa"/>
            <w:tcBorders>
              <w:top w:val="nil"/>
              <w:left w:val="nil"/>
              <w:bottom w:val="single" w:sz="4" w:space="0" w:color="auto"/>
              <w:right w:val="single" w:sz="4" w:space="0" w:color="auto"/>
            </w:tcBorders>
            <w:shd w:val="clear" w:color="auto" w:fill="auto"/>
            <w:noWrap/>
            <w:hideMark/>
          </w:tcPr>
          <w:p w:rsidR="00FB2635" w:rsidRPr="007B5358" w:rsidRDefault="00FB2635" w:rsidP="00DE6330">
            <w:pPr>
              <w:spacing w:before="80" w:after="80"/>
              <w:jc w:val="right"/>
              <w:rPr>
                <w:rFonts w:ascii="Calibri" w:hAnsi="Calibri" w:cs="Calibri"/>
                <w:color w:val="000000"/>
                <w:sz w:val="22"/>
                <w:szCs w:val="22"/>
              </w:rPr>
            </w:pPr>
            <w:r w:rsidRPr="007B5358">
              <w:rPr>
                <w:rFonts w:ascii="Calibri" w:hAnsi="Calibri" w:cs="Calibri"/>
                <w:color w:val="000000"/>
                <w:sz w:val="22"/>
                <w:szCs w:val="22"/>
              </w:rPr>
              <w:t>70.8</w:t>
            </w:r>
          </w:p>
        </w:tc>
      </w:tr>
      <w:tr w:rsidR="00FB2635" w:rsidRPr="00B338F2" w:rsidTr="0086118E">
        <w:trPr>
          <w:trHeight w:val="300"/>
        </w:trPr>
        <w:tc>
          <w:tcPr>
            <w:tcW w:w="2122" w:type="dxa"/>
            <w:tcBorders>
              <w:top w:val="nil"/>
              <w:left w:val="single" w:sz="4" w:space="0" w:color="auto"/>
              <w:bottom w:val="single" w:sz="4" w:space="0" w:color="auto"/>
              <w:right w:val="single" w:sz="4" w:space="0" w:color="auto"/>
            </w:tcBorders>
            <w:shd w:val="clear" w:color="auto" w:fill="auto"/>
            <w:noWrap/>
            <w:hideMark/>
          </w:tcPr>
          <w:p w:rsidR="00FB2635" w:rsidRPr="007B5358" w:rsidRDefault="00FB2635" w:rsidP="00DE6330">
            <w:pPr>
              <w:spacing w:before="80" w:after="80"/>
              <w:rPr>
                <w:rFonts w:ascii="Calibri" w:hAnsi="Calibri" w:cs="Calibri"/>
                <w:color w:val="000000"/>
                <w:sz w:val="22"/>
                <w:szCs w:val="22"/>
              </w:rPr>
            </w:pPr>
            <w:r w:rsidRPr="007B5358">
              <w:rPr>
                <w:rFonts w:ascii="Calibri" w:hAnsi="Calibri" w:cs="Calibri"/>
                <w:color w:val="000000"/>
                <w:sz w:val="22"/>
                <w:szCs w:val="22"/>
              </w:rPr>
              <w:t>Regional</w:t>
            </w:r>
          </w:p>
        </w:tc>
        <w:tc>
          <w:tcPr>
            <w:tcW w:w="2126" w:type="dxa"/>
            <w:tcBorders>
              <w:top w:val="nil"/>
              <w:left w:val="nil"/>
              <w:bottom w:val="single" w:sz="4" w:space="0" w:color="auto"/>
              <w:right w:val="single" w:sz="4" w:space="0" w:color="auto"/>
            </w:tcBorders>
            <w:shd w:val="clear" w:color="auto" w:fill="auto"/>
            <w:noWrap/>
            <w:hideMark/>
          </w:tcPr>
          <w:p w:rsidR="00FB2635" w:rsidRPr="007B5358" w:rsidRDefault="00FB2635" w:rsidP="00DE6330">
            <w:pPr>
              <w:spacing w:before="80" w:after="80"/>
              <w:jc w:val="right"/>
              <w:rPr>
                <w:rFonts w:ascii="Calibri" w:hAnsi="Calibri" w:cs="Calibri"/>
                <w:color w:val="000000"/>
                <w:sz w:val="22"/>
                <w:szCs w:val="22"/>
              </w:rPr>
            </w:pPr>
            <w:r w:rsidRPr="007B5358">
              <w:rPr>
                <w:rFonts w:ascii="Calibri" w:hAnsi="Calibri" w:cs="Calibri"/>
                <w:color w:val="000000"/>
                <w:sz w:val="22"/>
                <w:szCs w:val="22"/>
              </w:rPr>
              <w:t>29.1</w:t>
            </w:r>
          </w:p>
        </w:tc>
        <w:tc>
          <w:tcPr>
            <w:tcW w:w="2126" w:type="dxa"/>
            <w:tcBorders>
              <w:top w:val="nil"/>
              <w:left w:val="nil"/>
              <w:bottom w:val="single" w:sz="4" w:space="0" w:color="auto"/>
              <w:right w:val="single" w:sz="4" w:space="0" w:color="auto"/>
            </w:tcBorders>
            <w:shd w:val="clear" w:color="auto" w:fill="auto"/>
            <w:noWrap/>
            <w:hideMark/>
          </w:tcPr>
          <w:p w:rsidR="00FB2635" w:rsidRPr="007B5358" w:rsidRDefault="00FB2635" w:rsidP="00DE6330">
            <w:pPr>
              <w:spacing w:before="80" w:after="80"/>
              <w:jc w:val="right"/>
              <w:rPr>
                <w:rFonts w:ascii="Calibri" w:hAnsi="Calibri" w:cs="Calibri"/>
                <w:color w:val="000000"/>
                <w:sz w:val="22"/>
                <w:szCs w:val="22"/>
              </w:rPr>
            </w:pPr>
            <w:r w:rsidRPr="007B5358">
              <w:rPr>
                <w:rFonts w:ascii="Calibri" w:hAnsi="Calibri" w:cs="Calibri"/>
                <w:color w:val="000000"/>
                <w:sz w:val="22"/>
                <w:szCs w:val="22"/>
              </w:rPr>
              <w:t>28.3</w:t>
            </w:r>
          </w:p>
        </w:tc>
      </w:tr>
      <w:tr w:rsidR="00FB2635" w:rsidRPr="00B338F2" w:rsidTr="0086118E">
        <w:trPr>
          <w:trHeight w:val="300"/>
        </w:trPr>
        <w:tc>
          <w:tcPr>
            <w:tcW w:w="2122" w:type="dxa"/>
            <w:tcBorders>
              <w:top w:val="nil"/>
              <w:left w:val="single" w:sz="4" w:space="0" w:color="auto"/>
              <w:bottom w:val="single" w:sz="4" w:space="0" w:color="auto"/>
              <w:right w:val="single" w:sz="4" w:space="0" w:color="auto"/>
            </w:tcBorders>
            <w:shd w:val="clear" w:color="auto" w:fill="auto"/>
            <w:noWrap/>
            <w:hideMark/>
          </w:tcPr>
          <w:p w:rsidR="00FB2635" w:rsidRPr="007B5358" w:rsidRDefault="00FB2635" w:rsidP="00DE6330">
            <w:pPr>
              <w:spacing w:before="80" w:after="80"/>
              <w:rPr>
                <w:rFonts w:ascii="Calibri" w:hAnsi="Calibri" w:cs="Calibri"/>
                <w:color w:val="000000"/>
                <w:sz w:val="22"/>
                <w:szCs w:val="22"/>
              </w:rPr>
            </w:pPr>
            <w:r w:rsidRPr="007B5358">
              <w:rPr>
                <w:rFonts w:ascii="Calibri" w:hAnsi="Calibri" w:cs="Calibri"/>
                <w:color w:val="000000"/>
                <w:sz w:val="22"/>
                <w:szCs w:val="22"/>
              </w:rPr>
              <w:t>Remote</w:t>
            </w:r>
          </w:p>
        </w:tc>
        <w:tc>
          <w:tcPr>
            <w:tcW w:w="2126" w:type="dxa"/>
            <w:tcBorders>
              <w:top w:val="nil"/>
              <w:left w:val="nil"/>
              <w:bottom w:val="single" w:sz="4" w:space="0" w:color="auto"/>
              <w:right w:val="single" w:sz="4" w:space="0" w:color="auto"/>
            </w:tcBorders>
            <w:shd w:val="clear" w:color="auto" w:fill="auto"/>
            <w:noWrap/>
            <w:hideMark/>
          </w:tcPr>
          <w:p w:rsidR="00FB2635" w:rsidRPr="007B5358" w:rsidRDefault="00FB2635" w:rsidP="00DE6330">
            <w:pPr>
              <w:spacing w:before="80" w:after="80"/>
              <w:jc w:val="right"/>
              <w:rPr>
                <w:rFonts w:ascii="Calibri" w:hAnsi="Calibri" w:cs="Calibri"/>
                <w:color w:val="000000"/>
                <w:sz w:val="22"/>
                <w:szCs w:val="22"/>
              </w:rPr>
            </w:pPr>
            <w:r w:rsidRPr="007B5358">
              <w:rPr>
                <w:rFonts w:ascii="Calibri" w:hAnsi="Calibri" w:cs="Calibri"/>
                <w:color w:val="000000"/>
                <w:sz w:val="22"/>
                <w:szCs w:val="22"/>
              </w:rPr>
              <w:t>0.8</w:t>
            </w:r>
          </w:p>
        </w:tc>
        <w:tc>
          <w:tcPr>
            <w:tcW w:w="2126" w:type="dxa"/>
            <w:tcBorders>
              <w:top w:val="nil"/>
              <w:left w:val="nil"/>
              <w:bottom w:val="single" w:sz="4" w:space="0" w:color="auto"/>
              <w:right w:val="single" w:sz="4" w:space="0" w:color="auto"/>
            </w:tcBorders>
            <w:shd w:val="clear" w:color="auto" w:fill="auto"/>
            <w:noWrap/>
            <w:hideMark/>
          </w:tcPr>
          <w:p w:rsidR="00FB2635" w:rsidRPr="007B5358" w:rsidRDefault="00FB2635" w:rsidP="00DE6330">
            <w:pPr>
              <w:spacing w:before="80" w:after="80"/>
              <w:jc w:val="right"/>
              <w:rPr>
                <w:rFonts w:ascii="Calibri" w:hAnsi="Calibri" w:cs="Calibri"/>
                <w:color w:val="000000"/>
                <w:sz w:val="22"/>
                <w:szCs w:val="22"/>
              </w:rPr>
            </w:pPr>
            <w:r w:rsidRPr="007B5358">
              <w:rPr>
                <w:rFonts w:ascii="Calibri" w:hAnsi="Calibri" w:cs="Calibri"/>
                <w:color w:val="000000"/>
                <w:sz w:val="22"/>
                <w:szCs w:val="22"/>
              </w:rPr>
              <w:t>0.5</w:t>
            </w:r>
          </w:p>
        </w:tc>
      </w:tr>
      <w:tr w:rsidR="00FB2635" w:rsidRPr="0086118E" w:rsidTr="0086118E">
        <w:trPr>
          <w:trHeight w:val="300"/>
        </w:trPr>
        <w:tc>
          <w:tcPr>
            <w:tcW w:w="2122" w:type="dxa"/>
            <w:tcBorders>
              <w:top w:val="nil"/>
              <w:left w:val="single" w:sz="4" w:space="0" w:color="auto"/>
              <w:bottom w:val="single" w:sz="4" w:space="0" w:color="auto"/>
              <w:right w:val="single" w:sz="4" w:space="0" w:color="auto"/>
            </w:tcBorders>
            <w:shd w:val="clear" w:color="auto" w:fill="auto"/>
            <w:noWrap/>
            <w:hideMark/>
          </w:tcPr>
          <w:p w:rsidR="00FB2635" w:rsidRPr="0086118E" w:rsidRDefault="00FB2635" w:rsidP="00DE6330">
            <w:pPr>
              <w:spacing w:before="80" w:after="80"/>
              <w:rPr>
                <w:rFonts w:ascii="Calibri" w:hAnsi="Calibri" w:cs="Calibri"/>
                <w:b/>
                <w:color w:val="000000"/>
                <w:sz w:val="22"/>
                <w:szCs w:val="22"/>
              </w:rPr>
            </w:pPr>
            <w:r w:rsidRPr="0086118E">
              <w:rPr>
                <w:rFonts w:ascii="Calibri" w:hAnsi="Calibri" w:cs="Calibri"/>
                <w:b/>
                <w:color w:val="000000"/>
                <w:sz w:val="22"/>
                <w:szCs w:val="22"/>
              </w:rPr>
              <w:t>Total</w:t>
            </w:r>
          </w:p>
        </w:tc>
        <w:tc>
          <w:tcPr>
            <w:tcW w:w="2126" w:type="dxa"/>
            <w:tcBorders>
              <w:top w:val="nil"/>
              <w:left w:val="nil"/>
              <w:bottom w:val="single" w:sz="4" w:space="0" w:color="auto"/>
              <w:right w:val="single" w:sz="4" w:space="0" w:color="auto"/>
            </w:tcBorders>
            <w:shd w:val="clear" w:color="auto" w:fill="auto"/>
            <w:noWrap/>
            <w:vAlign w:val="bottom"/>
            <w:hideMark/>
          </w:tcPr>
          <w:p w:rsidR="00FB2635" w:rsidRPr="0086118E" w:rsidRDefault="00FB2635" w:rsidP="00DE6330">
            <w:pPr>
              <w:spacing w:before="80" w:after="80"/>
              <w:jc w:val="right"/>
              <w:rPr>
                <w:rFonts w:ascii="Calibri" w:hAnsi="Calibri" w:cs="Calibri"/>
                <w:b/>
                <w:color w:val="000000"/>
                <w:sz w:val="22"/>
                <w:szCs w:val="22"/>
              </w:rPr>
            </w:pPr>
            <w:r w:rsidRPr="0086118E">
              <w:rPr>
                <w:rFonts w:ascii="Calibri" w:hAnsi="Calibri" w:cs="Calibri"/>
                <w:b/>
                <w:color w:val="000000"/>
                <w:sz w:val="22"/>
                <w:szCs w:val="22"/>
              </w:rPr>
              <w:t>100.0</w:t>
            </w:r>
          </w:p>
        </w:tc>
        <w:tc>
          <w:tcPr>
            <w:tcW w:w="2126" w:type="dxa"/>
            <w:tcBorders>
              <w:top w:val="nil"/>
              <w:left w:val="nil"/>
              <w:bottom w:val="single" w:sz="4" w:space="0" w:color="auto"/>
              <w:right w:val="single" w:sz="4" w:space="0" w:color="auto"/>
            </w:tcBorders>
            <w:shd w:val="clear" w:color="auto" w:fill="auto"/>
            <w:noWrap/>
            <w:vAlign w:val="bottom"/>
            <w:hideMark/>
          </w:tcPr>
          <w:p w:rsidR="00FB2635" w:rsidRPr="0086118E" w:rsidRDefault="00FB2635" w:rsidP="00DE6330">
            <w:pPr>
              <w:spacing w:before="80" w:after="80"/>
              <w:jc w:val="right"/>
              <w:rPr>
                <w:rFonts w:ascii="Calibri" w:hAnsi="Calibri" w:cs="Calibri"/>
                <w:b/>
                <w:color w:val="000000"/>
                <w:sz w:val="22"/>
                <w:szCs w:val="22"/>
              </w:rPr>
            </w:pPr>
            <w:r w:rsidRPr="0086118E">
              <w:rPr>
                <w:rFonts w:ascii="Calibri" w:hAnsi="Calibri" w:cs="Calibri"/>
                <w:b/>
                <w:color w:val="000000"/>
                <w:sz w:val="22"/>
                <w:szCs w:val="22"/>
              </w:rPr>
              <w:t>100.0</w:t>
            </w:r>
          </w:p>
        </w:tc>
      </w:tr>
    </w:tbl>
    <w:p w:rsidR="00DE6330" w:rsidRDefault="00FB2635" w:rsidP="00665DC3">
      <w:pPr>
        <w:spacing w:before="120" w:after="120"/>
      </w:pPr>
      <w:r>
        <w:t xml:space="preserve">When comparing </w:t>
      </w:r>
      <w:r w:rsidR="00F61B4A">
        <w:t xml:space="preserve">projected </w:t>
      </w:r>
      <w:r>
        <w:t xml:space="preserve">funding based on facility size, as shown in </w:t>
      </w:r>
      <w:r>
        <w:fldChar w:fldCharType="begin"/>
      </w:r>
      <w:r>
        <w:instrText xml:space="preserve"> REF _Ref535535232 \h </w:instrText>
      </w:r>
      <w:r>
        <w:fldChar w:fldCharType="separate"/>
      </w:r>
      <w:r w:rsidR="00785B04">
        <w:t xml:space="preserve">Table </w:t>
      </w:r>
      <w:r w:rsidR="00785B04">
        <w:rPr>
          <w:noProof/>
        </w:rPr>
        <w:t>12</w:t>
      </w:r>
      <w:r>
        <w:fldChar w:fldCharType="end"/>
      </w:r>
      <w:r>
        <w:t xml:space="preserve">, it can be </w:t>
      </w:r>
      <w:r w:rsidR="00F61B4A">
        <w:t>seen</w:t>
      </w:r>
      <w:r>
        <w:t xml:space="preserve"> that small and medium facilities would gain slightly at the expense of large facilities.</w:t>
      </w:r>
    </w:p>
    <w:p w:rsidR="00DE6330" w:rsidRDefault="00DE6330">
      <w:pPr>
        <w:spacing w:after="200" w:line="276" w:lineRule="auto"/>
      </w:pPr>
      <w:r>
        <w:br w:type="page"/>
      </w:r>
    </w:p>
    <w:p w:rsidR="00B338F2" w:rsidRDefault="00FB2635" w:rsidP="00FB2635">
      <w:pPr>
        <w:pStyle w:val="Caption"/>
      </w:pPr>
      <w:bookmarkStart w:id="95" w:name="_Ref535535232"/>
      <w:bookmarkStart w:id="96" w:name="_Toc953904"/>
      <w:r>
        <w:lastRenderedPageBreak/>
        <w:t xml:space="preserve">Table </w:t>
      </w:r>
      <w:r w:rsidR="00E949FA">
        <w:rPr>
          <w:noProof/>
        </w:rPr>
        <w:fldChar w:fldCharType="begin"/>
      </w:r>
      <w:r w:rsidR="00E949FA">
        <w:rPr>
          <w:noProof/>
        </w:rPr>
        <w:instrText xml:space="preserve"> SEQ Table \* ARABIC </w:instrText>
      </w:r>
      <w:r w:rsidR="00E949FA">
        <w:rPr>
          <w:noProof/>
        </w:rPr>
        <w:fldChar w:fldCharType="separate"/>
      </w:r>
      <w:r w:rsidR="00785B04">
        <w:rPr>
          <w:noProof/>
        </w:rPr>
        <w:t>12</w:t>
      </w:r>
      <w:r w:rsidR="00E949FA">
        <w:rPr>
          <w:noProof/>
        </w:rPr>
        <w:fldChar w:fldCharType="end"/>
      </w:r>
      <w:bookmarkEnd w:id="95"/>
      <w:r>
        <w:tab/>
        <w:t>Relative funding impact by size</w:t>
      </w:r>
      <w:bookmarkEnd w:id="96"/>
    </w:p>
    <w:tbl>
      <w:tblPr>
        <w:tblW w:w="6374" w:type="dxa"/>
        <w:tblInd w:w="113" w:type="dxa"/>
        <w:tblLook w:val="04A0" w:firstRow="1" w:lastRow="0" w:firstColumn="1" w:lastColumn="0" w:noHBand="0" w:noVBand="1"/>
        <w:tblCaption w:val="Table 12 Relative funding impact by size"/>
        <w:tblDescription w:val="When comparing projected funding based on facility size, it can be seen that small and medium facilities would gain slightly at the expense of large facilities. This table is to be read as a series of rows from left to right ('size' then 'AN-ACC (percentage)' then 'ACFI (percentage)'), top to bottom."/>
      </w:tblPr>
      <w:tblGrid>
        <w:gridCol w:w="2122"/>
        <w:gridCol w:w="2126"/>
        <w:gridCol w:w="2126"/>
      </w:tblGrid>
      <w:tr w:rsidR="00FB2635" w:rsidRPr="0086118E" w:rsidTr="00BF3EC5">
        <w:trPr>
          <w:trHeight w:val="300"/>
          <w:tblHead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635" w:rsidRPr="0086118E" w:rsidRDefault="00FB2635" w:rsidP="00DE6330">
            <w:pPr>
              <w:spacing w:before="80" w:after="80"/>
              <w:rPr>
                <w:rFonts w:ascii="Calibri" w:hAnsi="Calibri" w:cs="Calibri"/>
                <w:b/>
                <w:color w:val="000000"/>
                <w:sz w:val="22"/>
                <w:szCs w:val="22"/>
              </w:rPr>
            </w:pPr>
            <w:r w:rsidRPr="0086118E">
              <w:rPr>
                <w:rFonts w:ascii="Calibri" w:hAnsi="Calibri" w:cs="Calibri"/>
                <w:b/>
                <w:color w:val="000000"/>
                <w:sz w:val="22"/>
                <w:szCs w:val="22"/>
              </w:rPr>
              <w:t>Size</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FB2635" w:rsidRPr="0086118E" w:rsidRDefault="00FB2635" w:rsidP="00DE6330">
            <w:pPr>
              <w:spacing w:before="80" w:after="80"/>
              <w:jc w:val="right"/>
              <w:rPr>
                <w:rFonts w:ascii="Calibri" w:hAnsi="Calibri" w:cs="Calibri"/>
                <w:b/>
                <w:color w:val="000000"/>
                <w:sz w:val="22"/>
                <w:szCs w:val="22"/>
              </w:rPr>
            </w:pPr>
            <w:r w:rsidRPr="0086118E">
              <w:rPr>
                <w:rFonts w:ascii="Calibri" w:hAnsi="Calibri" w:cs="Calibri"/>
                <w:b/>
                <w:color w:val="000000"/>
                <w:sz w:val="22"/>
                <w:szCs w:val="22"/>
              </w:rPr>
              <w:t>AN-ACC</w:t>
            </w:r>
            <w:r w:rsidR="0086118E">
              <w:rPr>
                <w:rFonts w:ascii="Calibri" w:hAnsi="Calibri" w:cs="Calibri"/>
                <w:b/>
                <w:color w:val="000000"/>
                <w:sz w:val="22"/>
                <w:szCs w:val="22"/>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FB2635" w:rsidRPr="0086118E" w:rsidRDefault="00FB2635" w:rsidP="00DE6330">
            <w:pPr>
              <w:spacing w:before="80" w:after="80"/>
              <w:jc w:val="right"/>
              <w:rPr>
                <w:rFonts w:ascii="Calibri" w:hAnsi="Calibri" w:cs="Calibri"/>
                <w:b/>
                <w:color w:val="000000"/>
                <w:sz w:val="22"/>
                <w:szCs w:val="22"/>
              </w:rPr>
            </w:pPr>
            <w:r w:rsidRPr="0086118E">
              <w:rPr>
                <w:rFonts w:ascii="Calibri" w:hAnsi="Calibri" w:cs="Calibri"/>
                <w:b/>
                <w:color w:val="000000"/>
                <w:sz w:val="22"/>
                <w:szCs w:val="22"/>
              </w:rPr>
              <w:t>ACFI</w:t>
            </w:r>
            <w:r w:rsidR="0086118E">
              <w:rPr>
                <w:rFonts w:ascii="Calibri" w:hAnsi="Calibri" w:cs="Calibri"/>
                <w:b/>
                <w:color w:val="000000"/>
                <w:sz w:val="22"/>
                <w:szCs w:val="22"/>
              </w:rPr>
              <w:t xml:space="preserve"> (%)</w:t>
            </w:r>
          </w:p>
        </w:tc>
      </w:tr>
      <w:tr w:rsidR="00FB2635" w:rsidRPr="00B338F2" w:rsidTr="0086118E">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FB2635" w:rsidRPr="007B5358" w:rsidRDefault="00FB2635" w:rsidP="00DE6330">
            <w:pPr>
              <w:spacing w:before="80" w:after="80"/>
              <w:rPr>
                <w:rFonts w:ascii="Calibri" w:hAnsi="Calibri" w:cs="Calibri"/>
                <w:color w:val="000000"/>
                <w:sz w:val="22"/>
                <w:szCs w:val="22"/>
              </w:rPr>
            </w:pPr>
            <w:r w:rsidRPr="007B5358">
              <w:rPr>
                <w:rFonts w:ascii="Calibri" w:hAnsi="Calibri" w:cs="Calibri"/>
                <w:color w:val="000000"/>
                <w:sz w:val="22"/>
                <w:szCs w:val="22"/>
              </w:rPr>
              <w:t>Small</w:t>
            </w:r>
          </w:p>
        </w:tc>
        <w:tc>
          <w:tcPr>
            <w:tcW w:w="2126" w:type="dxa"/>
            <w:tcBorders>
              <w:top w:val="nil"/>
              <w:left w:val="nil"/>
              <w:bottom w:val="single" w:sz="4" w:space="0" w:color="auto"/>
              <w:right w:val="single" w:sz="4" w:space="0" w:color="auto"/>
            </w:tcBorders>
            <w:shd w:val="clear" w:color="auto" w:fill="auto"/>
            <w:noWrap/>
            <w:vAlign w:val="bottom"/>
            <w:hideMark/>
          </w:tcPr>
          <w:p w:rsidR="00FB2635" w:rsidRPr="007B5358" w:rsidRDefault="00FB2635" w:rsidP="00DE6330">
            <w:pPr>
              <w:spacing w:before="80" w:after="80"/>
              <w:jc w:val="right"/>
              <w:rPr>
                <w:rFonts w:ascii="Calibri" w:hAnsi="Calibri" w:cs="Calibri"/>
                <w:color w:val="000000"/>
                <w:sz w:val="22"/>
                <w:szCs w:val="22"/>
              </w:rPr>
            </w:pPr>
            <w:r w:rsidRPr="007B5358">
              <w:rPr>
                <w:rFonts w:ascii="Calibri" w:hAnsi="Calibri" w:cs="Calibri"/>
                <w:color w:val="000000"/>
                <w:sz w:val="22"/>
                <w:szCs w:val="22"/>
              </w:rPr>
              <w:t>15.0</w:t>
            </w:r>
          </w:p>
        </w:tc>
        <w:tc>
          <w:tcPr>
            <w:tcW w:w="2126" w:type="dxa"/>
            <w:tcBorders>
              <w:top w:val="nil"/>
              <w:left w:val="nil"/>
              <w:bottom w:val="single" w:sz="4" w:space="0" w:color="auto"/>
              <w:right w:val="single" w:sz="4" w:space="0" w:color="auto"/>
            </w:tcBorders>
            <w:shd w:val="clear" w:color="auto" w:fill="auto"/>
            <w:noWrap/>
            <w:vAlign w:val="bottom"/>
            <w:hideMark/>
          </w:tcPr>
          <w:p w:rsidR="00FB2635" w:rsidRPr="007B5358" w:rsidRDefault="00FB2635" w:rsidP="00DE6330">
            <w:pPr>
              <w:spacing w:before="80" w:after="80"/>
              <w:jc w:val="right"/>
              <w:rPr>
                <w:rFonts w:ascii="Calibri" w:hAnsi="Calibri" w:cs="Calibri"/>
                <w:color w:val="000000"/>
                <w:sz w:val="22"/>
                <w:szCs w:val="22"/>
              </w:rPr>
            </w:pPr>
            <w:r w:rsidRPr="007B5358">
              <w:rPr>
                <w:rFonts w:ascii="Calibri" w:hAnsi="Calibri" w:cs="Calibri"/>
                <w:color w:val="000000"/>
                <w:sz w:val="22"/>
                <w:szCs w:val="22"/>
              </w:rPr>
              <w:t>14.1</w:t>
            </w:r>
          </w:p>
        </w:tc>
      </w:tr>
      <w:tr w:rsidR="00FB2635" w:rsidRPr="00B338F2" w:rsidTr="0086118E">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FB2635" w:rsidRPr="007B5358" w:rsidRDefault="00FB2635" w:rsidP="00DE6330">
            <w:pPr>
              <w:spacing w:before="80" w:after="80"/>
              <w:rPr>
                <w:rFonts w:ascii="Calibri" w:hAnsi="Calibri" w:cs="Calibri"/>
                <w:color w:val="000000"/>
                <w:sz w:val="22"/>
                <w:szCs w:val="22"/>
              </w:rPr>
            </w:pPr>
            <w:r w:rsidRPr="007B5358">
              <w:rPr>
                <w:rFonts w:ascii="Calibri" w:hAnsi="Calibri" w:cs="Calibri"/>
                <w:color w:val="000000"/>
                <w:sz w:val="22"/>
                <w:szCs w:val="22"/>
              </w:rPr>
              <w:t>Medium</w:t>
            </w:r>
          </w:p>
        </w:tc>
        <w:tc>
          <w:tcPr>
            <w:tcW w:w="2126" w:type="dxa"/>
            <w:tcBorders>
              <w:top w:val="nil"/>
              <w:left w:val="nil"/>
              <w:bottom w:val="single" w:sz="4" w:space="0" w:color="auto"/>
              <w:right w:val="single" w:sz="4" w:space="0" w:color="auto"/>
            </w:tcBorders>
            <w:shd w:val="clear" w:color="auto" w:fill="auto"/>
            <w:noWrap/>
            <w:vAlign w:val="bottom"/>
            <w:hideMark/>
          </w:tcPr>
          <w:p w:rsidR="00FB2635" w:rsidRPr="007B5358" w:rsidRDefault="00FB2635" w:rsidP="00DE6330">
            <w:pPr>
              <w:spacing w:before="80" w:after="80"/>
              <w:jc w:val="right"/>
              <w:rPr>
                <w:rFonts w:ascii="Calibri" w:hAnsi="Calibri" w:cs="Calibri"/>
                <w:color w:val="000000"/>
                <w:sz w:val="22"/>
                <w:szCs w:val="22"/>
              </w:rPr>
            </w:pPr>
            <w:r w:rsidRPr="007B5358">
              <w:rPr>
                <w:rFonts w:ascii="Calibri" w:hAnsi="Calibri" w:cs="Calibri"/>
                <w:color w:val="000000"/>
                <w:sz w:val="22"/>
                <w:szCs w:val="22"/>
              </w:rPr>
              <w:t>42.7</w:t>
            </w:r>
          </w:p>
        </w:tc>
        <w:tc>
          <w:tcPr>
            <w:tcW w:w="2126" w:type="dxa"/>
            <w:tcBorders>
              <w:top w:val="nil"/>
              <w:left w:val="nil"/>
              <w:bottom w:val="single" w:sz="4" w:space="0" w:color="auto"/>
              <w:right w:val="single" w:sz="4" w:space="0" w:color="auto"/>
            </w:tcBorders>
            <w:shd w:val="clear" w:color="auto" w:fill="auto"/>
            <w:noWrap/>
            <w:vAlign w:val="bottom"/>
            <w:hideMark/>
          </w:tcPr>
          <w:p w:rsidR="00FB2635" w:rsidRPr="007B5358" w:rsidRDefault="00FB2635" w:rsidP="00DE6330">
            <w:pPr>
              <w:spacing w:before="80" w:after="80"/>
              <w:jc w:val="right"/>
              <w:rPr>
                <w:rFonts w:ascii="Calibri" w:hAnsi="Calibri" w:cs="Calibri"/>
                <w:color w:val="000000"/>
                <w:sz w:val="22"/>
                <w:szCs w:val="22"/>
              </w:rPr>
            </w:pPr>
            <w:r w:rsidRPr="007B5358">
              <w:rPr>
                <w:rFonts w:ascii="Calibri" w:hAnsi="Calibri" w:cs="Calibri"/>
                <w:color w:val="000000"/>
                <w:sz w:val="22"/>
                <w:szCs w:val="22"/>
              </w:rPr>
              <w:t>41.5</w:t>
            </w:r>
          </w:p>
        </w:tc>
      </w:tr>
      <w:tr w:rsidR="00FB2635" w:rsidRPr="00B338F2" w:rsidTr="0086118E">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FB2635" w:rsidRPr="007B5358" w:rsidRDefault="00FB2635" w:rsidP="00DE6330">
            <w:pPr>
              <w:spacing w:before="80" w:after="80"/>
              <w:rPr>
                <w:rFonts w:ascii="Calibri" w:hAnsi="Calibri" w:cs="Calibri"/>
                <w:color w:val="000000"/>
                <w:sz w:val="22"/>
                <w:szCs w:val="22"/>
              </w:rPr>
            </w:pPr>
            <w:r w:rsidRPr="007B5358">
              <w:rPr>
                <w:rFonts w:ascii="Calibri" w:hAnsi="Calibri" w:cs="Calibri"/>
                <w:color w:val="000000"/>
                <w:sz w:val="22"/>
                <w:szCs w:val="22"/>
              </w:rPr>
              <w:t>Large</w:t>
            </w:r>
          </w:p>
        </w:tc>
        <w:tc>
          <w:tcPr>
            <w:tcW w:w="2126" w:type="dxa"/>
            <w:tcBorders>
              <w:top w:val="nil"/>
              <w:left w:val="nil"/>
              <w:bottom w:val="single" w:sz="4" w:space="0" w:color="auto"/>
              <w:right w:val="single" w:sz="4" w:space="0" w:color="auto"/>
            </w:tcBorders>
            <w:shd w:val="clear" w:color="auto" w:fill="auto"/>
            <w:noWrap/>
            <w:vAlign w:val="bottom"/>
            <w:hideMark/>
          </w:tcPr>
          <w:p w:rsidR="00FB2635" w:rsidRPr="007B5358" w:rsidRDefault="00FB2635" w:rsidP="00DE6330">
            <w:pPr>
              <w:spacing w:before="80" w:after="80"/>
              <w:jc w:val="right"/>
              <w:rPr>
                <w:rFonts w:ascii="Calibri" w:hAnsi="Calibri" w:cs="Calibri"/>
                <w:color w:val="000000"/>
                <w:sz w:val="22"/>
                <w:szCs w:val="22"/>
              </w:rPr>
            </w:pPr>
            <w:r w:rsidRPr="007B5358">
              <w:rPr>
                <w:rFonts w:ascii="Calibri" w:hAnsi="Calibri" w:cs="Calibri"/>
                <w:color w:val="000000"/>
                <w:sz w:val="22"/>
                <w:szCs w:val="22"/>
              </w:rPr>
              <w:t>42.5</w:t>
            </w:r>
          </w:p>
        </w:tc>
        <w:tc>
          <w:tcPr>
            <w:tcW w:w="2126" w:type="dxa"/>
            <w:tcBorders>
              <w:top w:val="nil"/>
              <w:left w:val="nil"/>
              <w:bottom w:val="single" w:sz="4" w:space="0" w:color="auto"/>
              <w:right w:val="single" w:sz="4" w:space="0" w:color="auto"/>
            </w:tcBorders>
            <w:shd w:val="clear" w:color="auto" w:fill="auto"/>
            <w:noWrap/>
            <w:vAlign w:val="bottom"/>
            <w:hideMark/>
          </w:tcPr>
          <w:p w:rsidR="00FB2635" w:rsidRPr="007B5358" w:rsidRDefault="00FB2635" w:rsidP="00DE6330">
            <w:pPr>
              <w:spacing w:before="80" w:after="80"/>
              <w:jc w:val="right"/>
              <w:rPr>
                <w:rFonts w:ascii="Calibri" w:hAnsi="Calibri" w:cs="Calibri"/>
                <w:color w:val="000000"/>
                <w:sz w:val="22"/>
                <w:szCs w:val="22"/>
              </w:rPr>
            </w:pPr>
            <w:r w:rsidRPr="007B5358">
              <w:rPr>
                <w:rFonts w:ascii="Calibri" w:hAnsi="Calibri" w:cs="Calibri"/>
                <w:color w:val="000000"/>
                <w:sz w:val="22"/>
                <w:szCs w:val="22"/>
              </w:rPr>
              <w:t>44.3</w:t>
            </w:r>
          </w:p>
        </w:tc>
      </w:tr>
      <w:tr w:rsidR="00FB2635" w:rsidRPr="0086118E" w:rsidTr="0086118E">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FB2635" w:rsidRPr="0086118E" w:rsidRDefault="00FB2635" w:rsidP="00DE6330">
            <w:pPr>
              <w:spacing w:before="80" w:after="80"/>
              <w:rPr>
                <w:rFonts w:ascii="Calibri" w:hAnsi="Calibri" w:cs="Calibri"/>
                <w:b/>
                <w:color w:val="000000"/>
                <w:sz w:val="22"/>
                <w:szCs w:val="22"/>
              </w:rPr>
            </w:pPr>
            <w:r w:rsidRPr="0086118E">
              <w:rPr>
                <w:rFonts w:ascii="Calibri" w:hAnsi="Calibri" w:cs="Calibri"/>
                <w:b/>
                <w:color w:val="000000"/>
                <w:sz w:val="22"/>
                <w:szCs w:val="22"/>
              </w:rPr>
              <w:t>Total</w:t>
            </w:r>
          </w:p>
        </w:tc>
        <w:tc>
          <w:tcPr>
            <w:tcW w:w="2126" w:type="dxa"/>
            <w:tcBorders>
              <w:top w:val="nil"/>
              <w:left w:val="nil"/>
              <w:bottom w:val="single" w:sz="4" w:space="0" w:color="auto"/>
              <w:right w:val="single" w:sz="4" w:space="0" w:color="auto"/>
            </w:tcBorders>
            <w:shd w:val="clear" w:color="auto" w:fill="auto"/>
            <w:noWrap/>
            <w:vAlign w:val="bottom"/>
            <w:hideMark/>
          </w:tcPr>
          <w:p w:rsidR="00FB2635" w:rsidRPr="0086118E" w:rsidRDefault="00FB2635" w:rsidP="00DE6330">
            <w:pPr>
              <w:spacing w:before="80" w:after="80"/>
              <w:jc w:val="right"/>
              <w:rPr>
                <w:rFonts w:ascii="Calibri" w:hAnsi="Calibri" w:cs="Calibri"/>
                <w:b/>
                <w:color w:val="000000"/>
                <w:sz w:val="22"/>
                <w:szCs w:val="22"/>
              </w:rPr>
            </w:pPr>
            <w:r w:rsidRPr="0086118E">
              <w:rPr>
                <w:rFonts w:ascii="Calibri" w:hAnsi="Calibri" w:cs="Calibri"/>
                <w:b/>
                <w:color w:val="000000"/>
                <w:sz w:val="22"/>
                <w:szCs w:val="22"/>
              </w:rPr>
              <w:t>100.0</w:t>
            </w:r>
          </w:p>
        </w:tc>
        <w:tc>
          <w:tcPr>
            <w:tcW w:w="2126" w:type="dxa"/>
            <w:tcBorders>
              <w:top w:val="nil"/>
              <w:left w:val="nil"/>
              <w:bottom w:val="single" w:sz="4" w:space="0" w:color="auto"/>
              <w:right w:val="single" w:sz="4" w:space="0" w:color="auto"/>
            </w:tcBorders>
            <w:shd w:val="clear" w:color="auto" w:fill="auto"/>
            <w:noWrap/>
            <w:vAlign w:val="bottom"/>
            <w:hideMark/>
          </w:tcPr>
          <w:p w:rsidR="00FB2635" w:rsidRPr="0086118E" w:rsidRDefault="00FB2635" w:rsidP="00DE6330">
            <w:pPr>
              <w:spacing w:before="80" w:after="80"/>
              <w:jc w:val="right"/>
              <w:rPr>
                <w:rFonts w:ascii="Calibri" w:hAnsi="Calibri" w:cs="Calibri"/>
                <w:b/>
                <w:color w:val="000000"/>
                <w:sz w:val="22"/>
                <w:szCs w:val="22"/>
              </w:rPr>
            </w:pPr>
            <w:r w:rsidRPr="0086118E">
              <w:rPr>
                <w:rFonts w:ascii="Calibri" w:hAnsi="Calibri" w:cs="Calibri"/>
                <w:b/>
                <w:color w:val="000000"/>
                <w:sz w:val="22"/>
                <w:szCs w:val="22"/>
              </w:rPr>
              <w:t>100.0</w:t>
            </w:r>
          </w:p>
        </w:tc>
      </w:tr>
    </w:tbl>
    <w:p w:rsidR="00314FC5" w:rsidRDefault="00314FC5">
      <w:pPr>
        <w:spacing w:after="200" w:line="276" w:lineRule="auto"/>
        <w:rPr>
          <w:rFonts w:eastAsiaTheme="minorHAnsi" w:cstheme="minorHAnsi"/>
          <w:lang w:eastAsia="zh-CN" w:bidi="th-TH"/>
        </w:rPr>
      </w:pPr>
      <w:bookmarkStart w:id="97" w:name="_Ref535225381"/>
      <w:r>
        <w:br w:type="page"/>
      </w:r>
    </w:p>
    <w:p w:rsidR="00314FC5" w:rsidRPr="00314FC5" w:rsidRDefault="00314FC5" w:rsidP="00314FC5">
      <w:pPr>
        <w:pStyle w:val="Normal-nospacing"/>
        <w:rPr>
          <w:sz w:val="4"/>
          <w:szCs w:val="4"/>
        </w:rPr>
      </w:pPr>
    </w:p>
    <w:p w:rsidR="00DE6330" w:rsidRDefault="007B5358" w:rsidP="007B5358">
      <w:pPr>
        <w:pStyle w:val="Heading1"/>
      </w:pPr>
      <w:bookmarkStart w:id="98" w:name="_Toc2083385"/>
      <w:r>
        <w:t>Conclusion</w:t>
      </w:r>
      <w:bookmarkEnd w:id="98"/>
    </w:p>
    <w:p w:rsidR="00314FC5" w:rsidRPr="00314FC5" w:rsidRDefault="00314FC5" w:rsidP="00314FC5">
      <w:pPr>
        <w:pStyle w:val="Normal-nospacing"/>
      </w:pPr>
      <w:r>
        <w:t>This report has focused on the structural impacts of moving from the current ACFI model to the AN-ACC model</w:t>
      </w:r>
      <w:r w:rsidR="00226A0D">
        <w:t>. T</w:t>
      </w:r>
      <w:r>
        <w:t>he key finding from the analysis is that there are different impacts in different parts of the residential aged care sector.</w:t>
      </w:r>
    </w:p>
    <w:p w:rsidR="00314FC5" w:rsidRDefault="00314FC5" w:rsidP="00314FC5">
      <w:pPr>
        <w:pStyle w:val="Normal-nospacing"/>
      </w:pPr>
      <w:r>
        <w:t>Overall, facilities that specialise in homeless people will receive proportionally more funding. So will facilities that specialise in meeting the needs of Aboriginal and/or Torres Strait Islander residents. Implementation of the AN-ACC model will also result in government and not for profit homes and smaller facilities receiving proporti</w:t>
      </w:r>
      <w:r w:rsidR="00BF3EC5">
        <w:t>onally more funding.</w:t>
      </w:r>
    </w:p>
    <w:p w:rsidR="001A7B55" w:rsidRPr="001A7B55" w:rsidRDefault="001A7B55" w:rsidP="001A7B55">
      <w:pPr>
        <w:pStyle w:val="Normal-nospacing"/>
      </w:pPr>
      <w:r w:rsidRPr="001A7B55">
        <w:t>The AN-ACC funding model is designed as a funding distribution model which applies price weightings (NWAU) to different types of facilities and residents. It does not determine the price that the Commonwealth pays. The price is a policy decision for government. The government could decide to implement the AN-ACC funding system so that it is cost neutral at the system level. Likewise, the government could use the AN-ACC</w:t>
      </w:r>
      <w:r w:rsidR="00BF3EC5">
        <w:t xml:space="preserve"> to distribute a growth budget.</w:t>
      </w:r>
    </w:p>
    <w:p w:rsidR="001A7B55" w:rsidRPr="001A7B55" w:rsidRDefault="001A7B55" w:rsidP="001A7B55">
      <w:pPr>
        <w:pStyle w:val="Normal-nospacing"/>
      </w:pPr>
      <w:r w:rsidRPr="001A7B55">
        <w:t>Irrespective, there will inevitably be some homes that will experience a funding increase with the introduction of the AN-ACC and some that would experience a funding decrease; however the</w:t>
      </w:r>
      <w:r w:rsidR="00BF3EC5">
        <w:t xml:space="preserve"> vast majority will be neutral.</w:t>
      </w:r>
    </w:p>
    <w:p w:rsidR="001A7B55" w:rsidRPr="001A7B55" w:rsidRDefault="001A7B55" w:rsidP="001A7B55">
      <w:pPr>
        <w:pStyle w:val="Normal-nospacing"/>
      </w:pPr>
      <w:r w:rsidRPr="001A7B55">
        <w:t>In transitioning to the new AN-ACC model, it is critical that no home experience the sudden loss of significant income as the result of the new funding model.  Viability and sustainability are critical issues for the whole sector.</w:t>
      </w:r>
    </w:p>
    <w:p w:rsidR="001A7B55" w:rsidRPr="001A7B55" w:rsidRDefault="001A7B55" w:rsidP="001A7B55">
      <w:pPr>
        <w:pStyle w:val="Normal-nospacing"/>
      </w:pPr>
      <w:r w:rsidRPr="001A7B55">
        <w:t xml:space="preserve">The funding report </w:t>
      </w:r>
      <w:r w:rsidR="00AB27C4">
        <w:t xml:space="preserve">(Report 5) </w:t>
      </w:r>
      <w:r w:rsidRPr="001A7B55">
        <w:t xml:space="preserve">sets out </w:t>
      </w:r>
      <w:r w:rsidR="009E14A4">
        <w:t xml:space="preserve">the </w:t>
      </w:r>
      <w:r w:rsidRPr="001A7B55">
        <w:t xml:space="preserve">whole </w:t>
      </w:r>
      <w:r w:rsidR="009E14A4">
        <w:t xml:space="preserve">AN-ACC funding </w:t>
      </w:r>
      <w:r w:rsidRPr="001A7B55">
        <w:t>system</w:t>
      </w:r>
      <w:r w:rsidR="009E14A4">
        <w:t xml:space="preserve">. It </w:t>
      </w:r>
      <w:r w:rsidRPr="001A7B55">
        <w:t xml:space="preserve">includes systems </w:t>
      </w:r>
      <w:r w:rsidR="00620974">
        <w:t xml:space="preserve">and mechanisms </w:t>
      </w:r>
      <w:r w:rsidRPr="001A7B55">
        <w:t xml:space="preserve">to ensure that no home experiences the sudden loss of income as a result of the new funding model. </w:t>
      </w:r>
      <w:r w:rsidR="00620974">
        <w:t>This includes a proposed transition strategy and a stop-loss policy.</w:t>
      </w:r>
      <w:r w:rsidR="00620974" w:rsidRPr="001A7B55">
        <w:t xml:space="preserve"> </w:t>
      </w:r>
      <w:r w:rsidRPr="001A7B55">
        <w:t xml:space="preserve">These issues are </w:t>
      </w:r>
      <w:r w:rsidR="00AB27C4">
        <w:t xml:space="preserve">also </w:t>
      </w:r>
      <w:r w:rsidRPr="001A7B55">
        <w:t>discussed in detail in Report 6.</w:t>
      </w:r>
    </w:p>
    <w:p w:rsidR="001A7B55" w:rsidRDefault="001A7B55" w:rsidP="00314FC5">
      <w:pPr>
        <w:pStyle w:val="Normal-nospacing"/>
      </w:pPr>
    </w:p>
    <w:p w:rsidR="00DE6330" w:rsidRDefault="00DE6330">
      <w:pPr>
        <w:spacing w:after="200" w:line="276" w:lineRule="auto"/>
        <w:rPr>
          <w:rFonts w:eastAsiaTheme="minorHAnsi" w:cstheme="minorHAnsi"/>
          <w:lang w:eastAsia="zh-CN" w:bidi="th-TH"/>
        </w:rPr>
      </w:pPr>
      <w:r>
        <w:br w:type="page"/>
      </w:r>
    </w:p>
    <w:p w:rsidR="00341AF1" w:rsidRDefault="003224C7" w:rsidP="002F458C">
      <w:pPr>
        <w:pStyle w:val="Heading1"/>
        <w:numPr>
          <w:ilvl w:val="0"/>
          <w:numId w:val="0"/>
        </w:numPr>
        <w:ind w:left="432" w:hanging="432"/>
      </w:pPr>
      <w:bookmarkStart w:id="99" w:name="_Ref535598613"/>
      <w:bookmarkStart w:id="100" w:name="_Toc2083386"/>
      <w:r w:rsidRPr="003224C7">
        <w:lastRenderedPageBreak/>
        <w:t>Appendix 1</w:t>
      </w:r>
      <w:bookmarkStart w:id="101" w:name="_Toc535402552"/>
      <w:bookmarkEnd w:id="97"/>
      <w:bookmarkEnd w:id="99"/>
      <w:bookmarkEnd w:id="100"/>
    </w:p>
    <w:p w:rsidR="00E832B5" w:rsidRDefault="00E832B5" w:rsidP="00341AF1">
      <w:pPr>
        <w:pStyle w:val="Heading2"/>
        <w:numPr>
          <w:ilvl w:val="0"/>
          <w:numId w:val="0"/>
        </w:numPr>
      </w:pPr>
      <w:bookmarkStart w:id="102" w:name="_Toc2083387"/>
      <w:r w:rsidRPr="00F25EE9">
        <w:t xml:space="preserve">Overview of </w:t>
      </w:r>
      <w:r>
        <w:t xml:space="preserve">the </w:t>
      </w:r>
      <w:r w:rsidRPr="00F25EE9">
        <w:t>Resource Utilisation and Classification Study (RUCS)</w:t>
      </w:r>
      <w:bookmarkEnd w:id="101"/>
      <w:bookmarkEnd w:id="102"/>
    </w:p>
    <w:p w:rsidR="00E832B5" w:rsidRPr="00946A28" w:rsidRDefault="00E832B5" w:rsidP="00E832B5">
      <w:pPr>
        <w:pStyle w:val="Normal-nospacing"/>
      </w:pPr>
      <w:r>
        <w:t xml:space="preserve">The </w:t>
      </w:r>
      <w:r w:rsidRPr="00946A28">
        <w:t>RUCS comprised four separate but closely related studies. Each study included separate data collection and analysis elements that have been synthesised to produce a classification and associated funding model that is suitable for implementation across the Australia</w:t>
      </w:r>
      <w:r w:rsidR="00BF3EC5">
        <w:t>n residential aged care sector.</w:t>
      </w:r>
    </w:p>
    <w:p w:rsidR="00E832B5" w:rsidRPr="00A545E5" w:rsidRDefault="00E832B5" w:rsidP="00E832B5">
      <w:pPr>
        <w:pStyle w:val="Heading4"/>
        <w:rPr>
          <w:rFonts w:asciiTheme="minorHAnsi" w:hAnsiTheme="minorHAnsi" w:cstheme="minorHAnsi"/>
        </w:rPr>
      </w:pPr>
      <w:r w:rsidRPr="00A545E5">
        <w:rPr>
          <w:rFonts w:asciiTheme="minorHAnsi" w:hAnsiTheme="minorHAnsi" w:cstheme="minorHAnsi"/>
        </w:rPr>
        <w:t>Study One – Service utilisation and c</w:t>
      </w:r>
      <w:r w:rsidR="00BF3EC5">
        <w:rPr>
          <w:rFonts w:asciiTheme="minorHAnsi" w:hAnsiTheme="minorHAnsi" w:cstheme="minorHAnsi"/>
        </w:rPr>
        <w:t>lassification development study</w:t>
      </w:r>
    </w:p>
    <w:p w:rsidR="00E832B5" w:rsidRPr="00946A28" w:rsidRDefault="00E832B5" w:rsidP="00E832B5">
      <w:pPr>
        <w:pStyle w:val="Normal-nospacing"/>
      </w:pPr>
      <w:r w:rsidRPr="00946A28">
        <w:t xml:space="preserve">Study One involved a prospective and comprehensive collection of resident assessment, service utilisation and financial data which were analysed to develop a casemix classification. Study </w:t>
      </w:r>
      <w:r w:rsidR="001830EB">
        <w:t>O</w:t>
      </w:r>
      <w:r w:rsidRPr="00946A28">
        <w:t>ne involved 30 facilities clustered in three geographic regions in Queensland</w:t>
      </w:r>
      <w:r w:rsidR="00BF3EC5">
        <w:t>, New South Wales and Victoria.</w:t>
      </w:r>
    </w:p>
    <w:p w:rsidR="00E832B5" w:rsidRPr="00946A28" w:rsidRDefault="00E832B5" w:rsidP="00E832B5">
      <w:pPr>
        <w:pStyle w:val="Normal-nospacing"/>
      </w:pPr>
      <w:r w:rsidRPr="00946A28">
        <w:t>Study One was completed between October 2017 and October 2018.</w:t>
      </w:r>
    </w:p>
    <w:p w:rsidR="00E832B5" w:rsidRPr="00946A28" w:rsidRDefault="00E832B5" w:rsidP="00E832B5">
      <w:pPr>
        <w:pStyle w:val="Heading4"/>
        <w:rPr>
          <w:rFonts w:asciiTheme="minorHAnsi" w:hAnsiTheme="minorHAnsi" w:cstheme="minorHAnsi"/>
        </w:rPr>
      </w:pPr>
      <w:r w:rsidRPr="00946A28">
        <w:rPr>
          <w:rFonts w:asciiTheme="minorHAnsi" w:hAnsiTheme="minorHAnsi" w:cstheme="minorHAnsi"/>
        </w:rPr>
        <w:t>Study Two – Fixed and variable cost analysis study</w:t>
      </w:r>
    </w:p>
    <w:p w:rsidR="00E832B5" w:rsidRPr="00946A28" w:rsidRDefault="00E832B5" w:rsidP="00E832B5">
      <w:pPr>
        <w:pStyle w:val="Normal-nospacing"/>
      </w:pPr>
      <w:r w:rsidRPr="00946A28">
        <w:t>Study Two involved a larger nationally representative sample of 110 facilities. The purpose of this study was to understand differences in cost drivers between different types of facilities (including facility size and location) as well as differences that may result from seasonal effects. This analysis informed the design of the funding model. Study Two examined facility, rather than resident, level costs.</w:t>
      </w:r>
    </w:p>
    <w:p w:rsidR="00E832B5" w:rsidRPr="00946A28" w:rsidRDefault="00E832B5" w:rsidP="00E832B5">
      <w:pPr>
        <w:pStyle w:val="Normal-nospacing"/>
      </w:pPr>
      <w:r w:rsidRPr="00946A28">
        <w:t>Study Two was completed between November 2017 and October 2018.</w:t>
      </w:r>
    </w:p>
    <w:p w:rsidR="00E832B5" w:rsidRPr="00946A28" w:rsidRDefault="00E832B5" w:rsidP="00E832B5">
      <w:pPr>
        <w:pStyle w:val="Heading4"/>
        <w:rPr>
          <w:rFonts w:asciiTheme="minorHAnsi" w:hAnsiTheme="minorHAnsi" w:cstheme="minorHAnsi"/>
        </w:rPr>
      </w:pPr>
      <w:r w:rsidRPr="00946A28">
        <w:rPr>
          <w:rFonts w:asciiTheme="minorHAnsi" w:hAnsiTheme="minorHAnsi" w:cstheme="minorHAnsi"/>
        </w:rPr>
        <w:t>Study Three – Casemix profiling study</w:t>
      </w:r>
    </w:p>
    <w:p w:rsidR="00E832B5" w:rsidRPr="00946A28" w:rsidRDefault="00E832B5" w:rsidP="00E832B5">
      <w:pPr>
        <w:pStyle w:val="Normal-nospacing"/>
      </w:pPr>
      <w:r w:rsidRPr="00946A28">
        <w:t>Study Three involved the collection of variables included in the classification from an additional nationally representative sample of 69 facilities. In combination with the data from Study One, the primary purpose of Study Three was to develop a national casemix profile of resid</w:t>
      </w:r>
      <w:r w:rsidR="00BF3EC5">
        <w:t>ents in aged care in Australia.</w:t>
      </w:r>
    </w:p>
    <w:p w:rsidR="00E832B5" w:rsidRPr="00946A28" w:rsidRDefault="00E832B5" w:rsidP="00E832B5">
      <w:pPr>
        <w:pStyle w:val="Normal-nospacing"/>
      </w:pPr>
      <w:r w:rsidRPr="00946A28">
        <w:t>Study Three was completed between September 2018 and December 2018.</w:t>
      </w:r>
    </w:p>
    <w:p w:rsidR="00E832B5" w:rsidRPr="00946A28" w:rsidRDefault="00E832B5" w:rsidP="00E832B5">
      <w:pPr>
        <w:pStyle w:val="Heading4"/>
        <w:rPr>
          <w:rFonts w:asciiTheme="minorHAnsi" w:hAnsiTheme="minorHAnsi" w:cstheme="minorHAnsi"/>
        </w:rPr>
      </w:pPr>
      <w:r w:rsidRPr="00946A28">
        <w:rPr>
          <w:rFonts w:asciiTheme="minorHAnsi" w:hAnsiTheme="minorHAnsi" w:cstheme="minorHAnsi"/>
        </w:rPr>
        <w:t>Study Four – Reassessment study</w:t>
      </w:r>
    </w:p>
    <w:p w:rsidR="00E832B5" w:rsidRPr="00946A28" w:rsidRDefault="00E832B5" w:rsidP="00E832B5">
      <w:pPr>
        <w:spacing w:before="120" w:after="120"/>
        <w:rPr>
          <w:rFonts w:cstheme="minorHAnsi"/>
        </w:rPr>
      </w:pPr>
      <w:r w:rsidRPr="00946A28">
        <w:rPr>
          <w:rFonts w:cstheme="minorHAnsi"/>
        </w:rPr>
        <w:t xml:space="preserve">Study Four was added to the RUCS work program in mid-2018 in recognition of value that could be added by collecting additional information about the rate and extent of change in residents’ care needs over time. Study Four involved conducting re-assessments of approximately half of the residents assessed as part of Study One four to six months </w:t>
      </w:r>
      <w:r w:rsidR="00BF3EC5">
        <w:rPr>
          <w:rFonts w:cstheme="minorHAnsi"/>
        </w:rPr>
        <w:t>after their initial assessment.</w:t>
      </w:r>
    </w:p>
    <w:p w:rsidR="00A545E5" w:rsidRDefault="00E832B5" w:rsidP="00A545E5">
      <w:pPr>
        <w:spacing w:before="120" w:after="120"/>
        <w:rPr>
          <w:rFonts w:cstheme="minorHAnsi"/>
        </w:rPr>
      </w:pPr>
      <w:r w:rsidRPr="00946A28">
        <w:rPr>
          <w:rFonts w:cstheme="minorHAnsi"/>
        </w:rPr>
        <w:t>Study Four was completed between August 2018 and December 2018.</w:t>
      </w:r>
      <w:bookmarkStart w:id="103" w:name="_Toc792150"/>
    </w:p>
    <w:p w:rsidR="00A545E5" w:rsidRDefault="00A545E5">
      <w:pPr>
        <w:spacing w:after="200" w:line="276" w:lineRule="auto"/>
        <w:rPr>
          <w:b/>
          <w:sz w:val="26"/>
          <w:szCs w:val="26"/>
        </w:rPr>
      </w:pPr>
      <w:r>
        <w:rPr>
          <w:b/>
          <w:sz w:val="26"/>
          <w:szCs w:val="26"/>
        </w:rPr>
        <w:br w:type="page"/>
      </w:r>
    </w:p>
    <w:p w:rsidR="00AB27C4" w:rsidRPr="00A545E5" w:rsidRDefault="00AB27C4" w:rsidP="009341CA">
      <w:pPr>
        <w:spacing w:before="240" w:after="120"/>
        <w:rPr>
          <w:rFonts w:cstheme="minorHAnsi"/>
          <w:b/>
          <w:sz w:val="26"/>
          <w:szCs w:val="26"/>
        </w:rPr>
      </w:pPr>
      <w:r w:rsidRPr="00A545E5">
        <w:rPr>
          <w:b/>
          <w:sz w:val="26"/>
          <w:szCs w:val="26"/>
        </w:rPr>
        <w:lastRenderedPageBreak/>
        <w:t>The RUCS reports</w:t>
      </w:r>
      <w:bookmarkEnd w:id="103"/>
    </w:p>
    <w:p w:rsidR="00A545E5" w:rsidRDefault="00AB27C4" w:rsidP="00A545E5">
      <w:r w:rsidRPr="000B42C6">
        <w:t>Given the complexity of RUCS, it has been written up in a series of reports as follows:</w:t>
      </w:r>
      <w:bookmarkStart w:id="104" w:name="_Toc792151"/>
    </w:p>
    <w:p w:rsidR="00AB27C4" w:rsidRPr="00A545E5" w:rsidRDefault="00AB27C4" w:rsidP="009341CA">
      <w:pPr>
        <w:pStyle w:val="Bullets"/>
        <w:spacing w:after="100"/>
        <w:rPr>
          <w:b/>
        </w:rPr>
      </w:pPr>
      <w:r w:rsidRPr="00A545E5">
        <w:rPr>
          <w:b/>
        </w:rPr>
        <w:t>Report 1: The Australian National Aged Care Classification (AN-ACC)</w:t>
      </w:r>
      <w:bookmarkEnd w:id="104"/>
    </w:p>
    <w:p w:rsidR="00AB27C4" w:rsidRPr="000B42C6" w:rsidRDefault="00AB27C4" w:rsidP="00AB27C4">
      <w:r w:rsidRPr="000B42C6">
        <w:t xml:space="preserve">Report </w:t>
      </w:r>
      <w:r>
        <w:t>1</w:t>
      </w:r>
      <w:r w:rsidRPr="000B42C6">
        <w:t xml:space="preserve"> covers the design and conduct of the study undertaken to develop the AN-ACC Version 1</w:t>
      </w:r>
      <w:r>
        <w:t>.0 (Study One)</w:t>
      </w:r>
      <w:r w:rsidRPr="000B42C6">
        <w:t>. It covers th</w:t>
      </w:r>
      <w:r>
        <w:t>e design and use of the AN-ACC Assessment T</w:t>
      </w:r>
      <w:r w:rsidRPr="000B42C6">
        <w:t>ool and the resource utilisation study undertaken to develop AN-ACC Version 1</w:t>
      </w:r>
      <w:r>
        <w:t>.0</w:t>
      </w:r>
      <w:r w:rsidRPr="000B42C6">
        <w:t>, including the preparation and analysis of the data collection. It discusses the results, the classification development process and key outcomes including the statistical analys</w:t>
      </w:r>
      <w:r w:rsidR="00123FFA">
        <w:t>is and clinical validation.</w:t>
      </w:r>
    </w:p>
    <w:p w:rsidR="00AB27C4" w:rsidRPr="00A545E5" w:rsidRDefault="00AB27C4" w:rsidP="009341CA">
      <w:pPr>
        <w:pStyle w:val="Bullets"/>
        <w:spacing w:after="100"/>
        <w:rPr>
          <w:b/>
        </w:rPr>
      </w:pPr>
      <w:bookmarkStart w:id="105" w:name="_Toc792152"/>
      <w:r w:rsidRPr="00A545E5">
        <w:rPr>
          <w:b/>
        </w:rPr>
        <w:t>Report 2: The AN-ACC assessment model</w:t>
      </w:r>
      <w:bookmarkEnd w:id="105"/>
    </w:p>
    <w:p w:rsidR="00AB27C4" w:rsidRPr="000B42C6" w:rsidRDefault="00AB27C4" w:rsidP="00A545E5">
      <w:pPr>
        <w:spacing w:after="120"/>
      </w:pPr>
      <w:r w:rsidRPr="000B42C6">
        <w:t xml:space="preserve">Report </w:t>
      </w:r>
      <w:r>
        <w:t>2</w:t>
      </w:r>
      <w:r w:rsidRPr="000B42C6">
        <w:t xml:space="preserve"> presents detailed findings relating to the external assessment tool and assessment process</w:t>
      </w:r>
      <w:r>
        <w:t xml:space="preserve"> (informed by Studies One, Three and Four)</w:t>
      </w:r>
      <w:r w:rsidR="00D13D94">
        <w:t xml:space="preserve">. </w:t>
      </w:r>
      <w:r w:rsidRPr="000B42C6">
        <w:t>This includes the development of the assessment tool using expert clinical panels and a summary of feedback from assessors regarding the use of the tool and the suitability of individual instruments. The skills and competencies required for the assessment workforce and other implications for implementation of the external assessment model are considered as well as triggers and protocols for reassessment.</w:t>
      </w:r>
    </w:p>
    <w:p w:rsidR="00AB27C4" w:rsidRPr="00A545E5" w:rsidRDefault="00AB27C4" w:rsidP="009341CA">
      <w:pPr>
        <w:pStyle w:val="Bullets"/>
        <w:spacing w:after="100"/>
        <w:rPr>
          <w:b/>
        </w:rPr>
      </w:pPr>
      <w:bookmarkStart w:id="106" w:name="_Toc792153"/>
      <w:r w:rsidRPr="00A545E5">
        <w:rPr>
          <w:b/>
        </w:rPr>
        <w:t>Report 3: Structural and individual costs of residential aged care services in Australia</w:t>
      </w:r>
      <w:bookmarkEnd w:id="106"/>
    </w:p>
    <w:p w:rsidR="00AB27C4" w:rsidRPr="000B42C6" w:rsidRDefault="00AB27C4" w:rsidP="00AB27C4">
      <w:r w:rsidRPr="000B42C6">
        <w:t xml:space="preserve">Report </w:t>
      </w:r>
      <w:r>
        <w:t>3</w:t>
      </w:r>
      <w:r w:rsidRPr="000B42C6">
        <w:t xml:space="preserve"> presents the analysis and findings of Study</w:t>
      </w:r>
      <w:r>
        <w:t xml:space="preserve"> </w:t>
      </w:r>
      <w:r w:rsidRPr="000B42C6">
        <w:t>Two which identified the proportions of total care costs that are fixed (including shared care) and variable (relating to individualised resident care). The analysis focused on the differences in fixed costs between different types of facilities, characterised by ownership, size, remoteness and service specialisation.  It includes an analysis of the drivers of fixed care costs.</w:t>
      </w:r>
    </w:p>
    <w:p w:rsidR="00AB27C4" w:rsidRPr="00A545E5" w:rsidRDefault="00AB27C4" w:rsidP="009341CA">
      <w:pPr>
        <w:pStyle w:val="Bullets"/>
        <w:spacing w:after="100"/>
        <w:rPr>
          <w:b/>
        </w:rPr>
      </w:pPr>
      <w:bookmarkStart w:id="107" w:name="_Toc792154"/>
      <w:r w:rsidRPr="00A545E5">
        <w:rPr>
          <w:b/>
        </w:rPr>
        <w:t>Report 4: Modelling the impact of the AN-ACC in Australia</w:t>
      </w:r>
      <w:bookmarkEnd w:id="107"/>
    </w:p>
    <w:p w:rsidR="00AB27C4" w:rsidRPr="000B42C6" w:rsidRDefault="00AB27C4" w:rsidP="00AB27C4">
      <w:r w:rsidRPr="000B42C6">
        <w:t xml:space="preserve">Report </w:t>
      </w:r>
      <w:r>
        <w:t>4</w:t>
      </w:r>
      <w:r w:rsidRPr="000B42C6">
        <w:t xml:space="preserve"> presents an analysis of modelling the introduction of the AN-ACC across Australia. This is based on the findings of Study Three. The sampling and assessment data collection process and the casemix of residents in aged care across Australia are described. The focus of this report is on modelling the introduction of the AN-ACC to replace the </w:t>
      </w:r>
      <w:r>
        <w:t>Aged Care Funding Instrument (</w:t>
      </w:r>
      <w:r w:rsidRPr="000B42C6">
        <w:t>ACFI</w:t>
      </w:r>
      <w:r>
        <w:t>)</w:t>
      </w:r>
      <w:r w:rsidRPr="000B42C6">
        <w:t>.</w:t>
      </w:r>
    </w:p>
    <w:p w:rsidR="00AB27C4" w:rsidRPr="00A545E5" w:rsidRDefault="00AB27C4" w:rsidP="009341CA">
      <w:pPr>
        <w:pStyle w:val="Bullets"/>
        <w:spacing w:after="100"/>
        <w:rPr>
          <w:b/>
        </w:rPr>
      </w:pPr>
      <w:bookmarkStart w:id="108" w:name="_Toc792155"/>
      <w:r w:rsidRPr="00A545E5">
        <w:rPr>
          <w:b/>
        </w:rPr>
        <w:t>Report 5: AN-ACC: A funding model for the residential aged care sector</w:t>
      </w:r>
      <w:bookmarkEnd w:id="108"/>
    </w:p>
    <w:p w:rsidR="00AB27C4" w:rsidRPr="000B42C6" w:rsidRDefault="00AB27C4" w:rsidP="00AB27C4">
      <w:r w:rsidRPr="000B42C6">
        <w:t xml:space="preserve">Report </w:t>
      </w:r>
      <w:r>
        <w:t>5</w:t>
      </w:r>
      <w:r w:rsidRPr="000B42C6">
        <w:t xml:space="preserve"> presents the design of a new fund</w:t>
      </w:r>
      <w:r w:rsidR="00123FFA">
        <w:t xml:space="preserve">ing model based on the AN-ACC. </w:t>
      </w:r>
      <w:r w:rsidRPr="000B42C6">
        <w:t xml:space="preserve">It includes a consideration of other payment issues such as existing payment supplements, a discussion of incentives in funding model design and key issues </w:t>
      </w:r>
      <w:r w:rsidR="00123FFA">
        <w:t>in implementing the new model.</w:t>
      </w:r>
    </w:p>
    <w:p w:rsidR="00AB27C4" w:rsidRPr="00A545E5" w:rsidRDefault="00AB27C4" w:rsidP="009341CA">
      <w:pPr>
        <w:pStyle w:val="Bullets"/>
        <w:spacing w:after="100"/>
        <w:rPr>
          <w:b/>
        </w:rPr>
      </w:pPr>
      <w:bookmarkStart w:id="109" w:name="_Toc792156"/>
      <w:r w:rsidRPr="00A545E5">
        <w:rPr>
          <w:b/>
        </w:rPr>
        <w:t>Report 6: AN-ACC: A national classification and funding model for residential aged care: synthesis and consolidated recommendations</w:t>
      </w:r>
      <w:bookmarkEnd w:id="109"/>
    </w:p>
    <w:p w:rsidR="00AB27C4" w:rsidRPr="000B42C6" w:rsidRDefault="00AB27C4" w:rsidP="00AB27C4">
      <w:r w:rsidRPr="000B42C6">
        <w:t>This report syntheses and consolidates the findings presented in other reports and provides a consolidated set of recommendations.</w:t>
      </w:r>
    </w:p>
    <w:p w:rsidR="00AB27C4" w:rsidRPr="00A545E5" w:rsidRDefault="00AB27C4" w:rsidP="009341CA">
      <w:pPr>
        <w:pStyle w:val="Bullets"/>
        <w:spacing w:after="0"/>
        <w:rPr>
          <w:b/>
        </w:rPr>
      </w:pPr>
      <w:bookmarkStart w:id="110" w:name="_Toc792157"/>
      <w:r w:rsidRPr="00A545E5">
        <w:rPr>
          <w:b/>
        </w:rPr>
        <w:t>Report 7: AN-ACC Technical appendices</w:t>
      </w:r>
      <w:bookmarkEnd w:id="110"/>
    </w:p>
    <w:p w:rsidR="00E832B5" w:rsidRDefault="00AB27C4" w:rsidP="00E832B5">
      <w:pPr>
        <w:rPr>
          <w:rFonts w:ascii="Calibri" w:hAnsi="Calibri" w:cs="Calibri"/>
        </w:rPr>
      </w:pPr>
      <w:r w:rsidRPr="000B42C6">
        <w:t>This report is a series of technical appendices that contain detailed data for reference purposes.</w:t>
      </w:r>
      <w:r w:rsidR="00E832B5">
        <w:br w:type="page"/>
      </w:r>
    </w:p>
    <w:p w:rsidR="00341AF1" w:rsidRDefault="001C4BC5" w:rsidP="00341AF1">
      <w:pPr>
        <w:pStyle w:val="Heading1"/>
        <w:numPr>
          <w:ilvl w:val="0"/>
          <w:numId w:val="0"/>
        </w:numPr>
        <w:spacing w:before="0" w:after="120"/>
        <w:ind w:left="431" w:hanging="431"/>
      </w:pPr>
      <w:bookmarkStart w:id="111" w:name="_Ref535318048"/>
      <w:bookmarkStart w:id="112" w:name="_Ref535481753"/>
      <w:bookmarkStart w:id="113" w:name="_Toc2083388"/>
      <w:r w:rsidRPr="003224C7">
        <w:lastRenderedPageBreak/>
        <w:t xml:space="preserve">Appendix </w:t>
      </w:r>
      <w:bookmarkEnd w:id="111"/>
      <w:r w:rsidR="00E832B5">
        <w:t>2</w:t>
      </w:r>
      <w:bookmarkEnd w:id="112"/>
      <w:bookmarkEnd w:id="113"/>
    </w:p>
    <w:p w:rsidR="003224C7" w:rsidRPr="003224C7" w:rsidRDefault="008943C7" w:rsidP="00341AF1">
      <w:pPr>
        <w:pStyle w:val="Heading2"/>
        <w:numPr>
          <w:ilvl w:val="0"/>
          <w:numId w:val="0"/>
        </w:numPr>
        <w:spacing w:before="120" w:after="120"/>
      </w:pPr>
      <w:bookmarkStart w:id="114" w:name="_Toc2083389"/>
      <w:r>
        <w:t>Study Sites</w:t>
      </w:r>
      <w:bookmarkEnd w:id="114"/>
    </w:p>
    <w:tbl>
      <w:tblPr>
        <w:tblW w:w="8784" w:type="dxa"/>
        <w:tblLook w:val="04A0" w:firstRow="1" w:lastRow="0" w:firstColumn="1" w:lastColumn="0" w:noHBand="0" w:noVBand="1"/>
        <w:tblCaption w:val="Study sites"/>
        <w:tblDescription w:val="This table lists study sites including information such as facility name, suburb and state. This table is to be read as a series of rows from left to right ('facility name' then 'suburb' then 'state'), top to bottom."/>
      </w:tblPr>
      <w:tblGrid>
        <w:gridCol w:w="5240"/>
        <w:gridCol w:w="2268"/>
        <w:gridCol w:w="1276"/>
      </w:tblGrid>
      <w:tr w:rsidR="001E139D" w:rsidRPr="001E139D" w:rsidTr="001E139D">
        <w:trPr>
          <w:trHeight w:val="300"/>
          <w:tblHeader/>
        </w:trPr>
        <w:tc>
          <w:tcPr>
            <w:tcW w:w="5240" w:type="dxa"/>
            <w:tcBorders>
              <w:top w:val="single" w:sz="4" w:space="0" w:color="auto"/>
              <w:left w:val="single" w:sz="4" w:space="0" w:color="auto"/>
              <w:bottom w:val="single" w:sz="4" w:space="0" w:color="auto"/>
              <w:right w:val="single" w:sz="4" w:space="0" w:color="auto"/>
            </w:tcBorders>
            <w:shd w:val="clear" w:color="auto" w:fill="auto"/>
            <w:hideMark/>
          </w:tcPr>
          <w:p w:rsidR="001E139D" w:rsidRPr="001E139D" w:rsidRDefault="001E139D" w:rsidP="001E139D">
            <w:pPr>
              <w:rPr>
                <w:rFonts w:ascii="Calibri" w:hAnsi="Calibri" w:cs="Calibri"/>
                <w:b/>
                <w:bCs/>
                <w:sz w:val="22"/>
                <w:szCs w:val="22"/>
              </w:rPr>
            </w:pPr>
            <w:r w:rsidRPr="001E139D">
              <w:rPr>
                <w:rFonts w:ascii="Calibri" w:hAnsi="Calibri" w:cs="Calibri"/>
                <w:b/>
                <w:bCs/>
                <w:sz w:val="22"/>
                <w:szCs w:val="22"/>
              </w:rPr>
              <w:t>Facility Name</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b/>
                <w:bCs/>
                <w:color w:val="000000"/>
                <w:sz w:val="22"/>
                <w:szCs w:val="22"/>
              </w:rPr>
            </w:pPr>
            <w:r w:rsidRPr="001E139D">
              <w:rPr>
                <w:rFonts w:ascii="Calibri" w:hAnsi="Calibri" w:cs="Calibri"/>
                <w:b/>
                <w:bCs/>
                <w:color w:val="000000"/>
                <w:sz w:val="22"/>
                <w:szCs w:val="22"/>
              </w:rPr>
              <w:t>Suburb</w:t>
            </w:r>
          </w:p>
        </w:tc>
        <w:tc>
          <w:tcPr>
            <w:tcW w:w="1276" w:type="dxa"/>
            <w:tcBorders>
              <w:top w:val="single" w:sz="4" w:space="0" w:color="auto"/>
              <w:left w:val="nil"/>
              <w:bottom w:val="single" w:sz="4" w:space="0" w:color="auto"/>
              <w:right w:val="single" w:sz="4" w:space="0" w:color="auto"/>
            </w:tcBorders>
            <w:shd w:val="clear" w:color="auto" w:fill="auto"/>
            <w:hideMark/>
          </w:tcPr>
          <w:p w:rsidR="001E139D" w:rsidRPr="001E139D" w:rsidRDefault="001E139D" w:rsidP="001E139D">
            <w:pPr>
              <w:rPr>
                <w:rFonts w:ascii="Calibri" w:hAnsi="Calibri" w:cs="Calibri"/>
                <w:b/>
                <w:bCs/>
                <w:sz w:val="22"/>
                <w:szCs w:val="22"/>
              </w:rPr>
            </w:pPr>
            <w:r w:rsidRPr="001E139D">
              <w:rPr>
                <w:rFonts w:ascii="Calibri" w:hAnsi="Calibri" w:cs="Calibri"/>
                <w:b/>
                <w:bCs/>
                <w:sz w:val="22"/>
                <w:szCs w:val="22"/>
              </w:rPr>
              <w:t>State</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D13D94" w:rsidP="001E139D">
            <w:pPr>
              <w:rPr>
                <w:rFonts w:ascii="Calibri" w:hAnsi="Calibri" w:cs="Calibri"/>
                <w:sz w:val="22"/>
                <w:szCs w:val="22"/>
              </w:rPr>
            </w:pPr>
            <w:r>
              <w:rPr>
                <w:rFonts w:ascii="Calibri" w:hAnsi="Calibri" w:cs="Calibri"/>
                <w:sz w:val="22"/>
                <w:szCs w:val="22"/>
              </w:rPr>
              <w:t>St Andrews Village</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Hughes</w:t>
            </w:r>
          </w:p>
        </w:tc>
        <w:tc>
          <w:tcPr>
            <w:tcW w:w="1276" w:type="dxa"/>
            <w:tcBorders>
              <w:top w:val="nil"/>
              <w:left w:val="nil"/>
              <w:bottom w:val="single" w:sz="4" w:space="0" w:color="auto"/>
              <w:right w:val="single" w:sz="4" w:space="0" w:color="auto"/>
            </w:tcBorders>
            <w:shd w:val="clear" w:color="auto" w:fill="auto"/>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ACT</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Alexander Campbell House</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Forestville</w:t>
            </w:r>
          </w:p>
        </w:tc>
        <w:tc>
          <w:tcPr>
            <w:tcW w:w="1276"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NSW</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Anthem Care</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Bowral</w:t>
            </w:r>
          </w:p>
        </w:tc>
        <w:tc>
          <w:tcPr>
            <w:tcW w:w="1276" w:type="dxa"/>
            <w:tcBorders>
              <w:top w:val="nil"/>
              <w:left w:val="nil"/>
              <w:bottom w:val="single" w:sz="4" w:space="0" w:color="auto"/>
              <w:right w:val="single" w:sz="4" w:space="0" w:color="auto"/>
            </w:tcBorders>
            <w:shd w:val="clear" w:color="auto" w:fill="auto"/>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NSW</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Brother Alberts Home</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Marayong</w:t>
            </w:r>
          </w:p>
        </w:tc>
        <w:tc>
          <w:tcPr>
            <w:tcW w:w="1276"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NSW</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BUPA Cardiff</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23FFA" w:rsidP="001E139D">
            <w:pPr>
              <w:rPr>
                <w:rFonts w:ascii="Calibri" w:hAnsi="Calibri" w:cs="Calibri"/>
                <w:color w:val="000000"/>
                <w:sz w:val="22"/>
                <w:szCs w:val="22"/>
              </w:rPr>
            </w:pPr>
            <w:r>
              <w:rPr>
                <w:rFonts w:ascii="Calibri" w:hAnsi="Calibri" w:cs="Calibri"/>
                <w:color w:val="000000"/>
                <w:sz w:val="22"/>
                <w:szCs w:val="22"/>
              </w:rPr>
              <w:t xml:space="preserve">Cardiff </w:t>
            </w:r>
            <w:r w:rsidR="001E139D" w:rsidRPr="001E139D">
              <w:rPr>
                <w:rFonts w:ascii="Calibri" w:hAnsi="Calibri" w:cs="Calibri"/>
                <w:color w:val="000000"/>
                <w:sz w:val="22"/>
                <w:szCs w:val="22"/>
              </w:rPr>
              <w:t>Heights</w:t>
            </w:r>
          </w:p>
        </w:tc>
        <w:tc>
          <w:tcPr>
            <w:tcW w:w="1276"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NSW</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Calvary Cooinda Retirement Community</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Singleton</w:t>
            </w:r>
          </w:p>
        </w:tc>
        <w:tc>
          <w:tcPr>
            <w:tcW w:w="1276"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NSW</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Calvary Tanilba Shores Retirement Community</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Tanilba Bay</w:t>
            </w:r>
          </w:p>
        </w:tc>
        <w:tc>
          <w:tcPr>
            <w:tcW w:w="1276"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NSW</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Catholic Healthcare St John's Villa</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New Lambton</w:t>
            </w:r>
          </w:p>
        </w:tc>
        <w:tc>
          <w:tcPr>
            <w:tcW w:w="1276"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NSW</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Columbia Aged Care Services - Strathdale Centre</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Strathfield</w:t>
            </w:r>
          </w:p>
        </w:tc>
        <w:tc>
          <w:tcPr>
            <w:tcW w:w="1276"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NSW</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Corowa District Hospital</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Corowa</w:t>
            </w:r>
          </w:p>
        </w:tc>
        <w:tc>
          <w:tcPr>
            <w:tcW w:w="1276"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NSW</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Grace Munro Centre</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Bundarra</w:t>
            </w:r>
          </w:p>
        </w:tc>
        <w:tc>
          <w:tcPr>
            <w:tcW w:w="1276" w:type="dxa"/>
            <w:tcBorders>
              <w:top w:val="nil"/>
              <w:left w:val="nil"/>
              <w:bottom w:val="single" w:sz="4" w:space="0" w:color="auto"/>
              <w:right w:val="single" w:sz="4" w:space="0" w:color="auto"/>
            </w:tcBorders>
            <w:shd w:val="clear" w:color="auto" w:fill="auto"/>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NSW</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Green Hills Residential Care</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East Maitland</w:t>
            </w:r>
          </w:p>
        </w:tc>
        <w:tc>
          <w:tcPr>
            <w:tcW w:w="1276" w:type="dxa"/>
            <w:tcBorders>
              <w:top w:val="nil"/>
              <w:left w:val="nil"/>
              <w:bottom w:val="single" w:sz="4" w:space="0" w:color="auto"/>
              <w:right w:val="single" w:sz="4" w:space="0" w:color="auto"/>
            </w:tcBorders>
            <w:shd w:val="clear" w:color="auto" w:fill="auto"/>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NSW</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HammondCare - Erina</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Erina</w:t>
            </w:r>
          </w:p>
        </w:tc>
        <w:tc>
          <w:tcPr>
            <w:tcW w:w="1276"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NSW</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Hammondcare - North Turramurra</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North Turramurra</w:t>
            </w:r>
          </w:p>
        </w:tc>
        <w:tc>
          <w:tcPr>
            <w:tcW w:w="1276"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NSW</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Hammondcare - Southwood</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Hammondville</w:t>
            </w:r>
          </w:p>
        </w:tc>
        <w:tc>
          <w:tcPr>
            <w:tcW w:w="1276"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NSW</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D13D94" w:rsidP="001E139D">
            <w:pPr>
              <w:rPr>
                <w:rFonts w:ascii="Calibri" w:hAnsi="Calibri" w:cs="Calibri"/>
                <w:sz w:val="22"/>
                <w:szCs w:val="22"/>
              </w:rPr>
            </w:pPr>
            <w:r>
              <w:rPr>
                <w:rFonts w:ascii="Calibri" w:hAnsi="Calibri" w:cs="Calibri"/>
                <w:sz w:val="22"/>
                <w:szCs w:val="22"/>
              </w:rPr>
              <w:t>Karinya</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Corowa</w:t>
            </w:r>
          </w:p>
        </w:tc>
        <w:tc>
          <w:tcPr>
            <w:tcW w:w="1276" w:type="dxa"/>
            <w:tcBorders>
              <w:top w:val="nil"/>
              <w:left w:val="nil"/>
              <w:bottom w:val="single" w:sz="4" w:space="0" w:color="auto"/>
              <w:right w:val="single" w:sz="4" w:space="0" w:color="auto"/>
            </w:tcBorders>
            <w:shd w:val="clear" w:color="auto" w:fill="auto"/>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NSW</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Mayfield Aged Care</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Mayfield</w:t>
            </w:r>
          </w:p>
        </w:tc>
        <w:tc>
          <w:tcPr>
            <w:tcW w:w="1276" w:type="dxa"/>
            <w:tcBorders>
              <w:top w:val="nil"/>
              <w:left w:val="nil"/>
              <w:bottom w:val="single" w:sz="4" w:space="0" w:color="auto"/>
              <w:right w:val="single" w:sz="4" w:space="0" w:color="auto"/>
            </w:tcBorders>
            <w:shd w:val="clear" w:color="auto" w:fill="auto"/>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NSW</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Oolong Hostel</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Howlong</w:t>
            </w:r>
          </w:p>
        </w:tc>
        <w:tc>
          <w:tcPr>
            <w:tcW w:w="1276"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NSW</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Presbyterian Aged Care - Thornleigh</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Thornleigh</w:t>
            </w:r>
          </w:p>
        </w:tc>
        <w:tc>
          <w:tcPr>
            <w:tcW w:w="1276" w:type="dxa"/>
            <w:tcBorders>
              <w:top w:val="nil"/>
              <w:left w:val="nil"/>
              <w:bottom w:val="single" w:sz="4" w:space="0" w:color="auto"/>
              <w:right w:val="single" w:sz="4" w:space="0" w:color="auto"/>
            </w:tcBorders>
            <w:shd w:val="clear" w:color="auto" w:fill="auto"/>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NSW</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Presbyterian Aged Care - Wollongong</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North Wollongong</w:t>
            </w:r>
          </w:p>
        </w:tc>
        <w:tc>
          <w:tcPr>
            <w:tcW w:w="1276" w:type="dxa"/>
            <w:tcBorders>
              <w:top w:val="nil"/>
              <w:left w:val="nil"/>
              <w:bottom w:val="single" w:sz="4" w:space="0" w:color="auto"/>
              <w:right w:val="single" w:sz="4" w:space="0" w:color="auto"/>
            </w:tcBorders>
            <w:shd w:val="clear" w:color="auto" w:fill="auto"/>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NSW</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Raffles Assisted Aged Care</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Tweed Heads South</w:t>
            </w:r>
          </w:p>
        </w:tc>
        <w:tc>
          <w:tcPr>
            <w:tcW w:w="1276" w:type="dxa"/>
            <w:tcBorders>
              <w:top w:val="nil"/>
              <w:left w:val="nil"/>
              <w:bottom w:val="single" w:sz="4" w:space="0" w:color="auto"/>
              <w:right w:val="single" w:sz="4" w:space="0" w:color="auto"/>
            </w:tcBorders>
            <w:shd w:val="clear" w:color="auto" w:fill="auto"/>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NSW</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Scalabrini Village Chipping Norton</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Chipping Norton</w:t>
            </w:r>
          </w:p>
        </w:tc>
        <w:tc>
          <w:tcPr>
            <w:tcW w:w="1276" w:type="dxa"/>
            <w:tcBorders>
              <w:top w:val="nil"/>
              <w:left w:val="nil"/>
              <w:bottom w:val="single" w:sz="4" w:space="0" w:color="auto"/>
              <w:right w:val="single" w:sz="4" w:space="0" w:color="auto"/>
            </w:tcBorders>
            <w:shd w:val="clear" w:color="auto" w:fill="auto"/>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NSW</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St George Aged Care Centre</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Bexley</w:t>
            </w:r>
          </w:p>
        </w:tc>
        <w:tc>
          <w:tcPr>
            <w:tcW w:w="1276"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NSW</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Uniting Narla Belmont North</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Belmont North</w:t>
            </w:r>
          </w:p>
        </w:tc>
        <w:tc>
          <w:tcPr>
            <w:tcW w:w="1276" w:type="dxa"/>
            <w:tcBorders>
              <w:top w:val="nil"/>
              <w:left w:val="nil"/>
              <w:bottom w:val="single" w:sz="4" w:space="0" w:color="auto"/>
              <w:right w:val="single" w:sz="4" w:space="0" w:color="auto"/>
            </w:tcBorders>
            <w:shd w:val="clear" w:color="auto" w:fill="auto"/>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NSW</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Yallaroo</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West Albury</w:t>
            </w:r>
          </w:p>
        </w:tc>
        <w:tc>
          <w:tcPr>
            <w:tcW w:w="1276"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NSW</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Flynn Lodge</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Alice Springs</w:t>
            </w:r>
          </w:p>
        </w:tc>
        <w:tc>
          <w:tcPr>
            <w:tcW w:w="1276" w:type="dxa"/>
            <w:tcBorders>
              <w:top w:val="nil"/>
              <w:left w:val="nil"/>
              <w:bottom w:val="single" w:sz="4" w:space="0" w:color="auto"/>
              <w:right w:val="single" w:sz="4" w:space="0" w:color="auto"/>
            </w:tcBorders>
            <w:shd w:val="clear" w:color="auto" w:fill="auto"/>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NT</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Old Timers</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Alice Springs</w:t>
            </w:r>
          </w:p>
        </w:tc>
        <w:tc>
          <w:tcPr>
            <w:tcW w:w="1276" w:type="dxa"/>
            <w:tcBorders>
              <w:top w:val="nil"/>
              <w:left w:val="nil"/>
              <w:bottom w:val="single" w:sz="4" w:space="0" w:color="auto"/>
              <w:right w:val="single" w:sz="4" w:space="0" w:color="auto"/>
            </w:tcBorders>
            <w:shd w:val="clear" w:color="auto" w:fill="auto"/>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NT</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Pearl Supported Care</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Fannie Bay</w:t>
            </w:r>
          </w:p>
        </w:tc>
        <w:tc>
          <w:tcPr>
            <w:tcW w:w="1276" w:type="dxa"/>
            <w:tcBorders>
              <w:top w:val="nil"/>
              <w:left w:val="nil"/>
              <w:bottom w:val="single" w:sz="4" w:space="0" w:color="auto"/>
              <w:right w:val="single" w:sz="4" w:space="0" w:color="auto"/>
            </w:tcBorders>
            <w:shd w:val="clear" w:color="auto" w:fill="auto"/>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NT</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Bolton Clarke Glendale</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Mount Louisa</w:t>
            </w:r>
          </w:p>
        </w:tc>
        <w:tc>
          <w:tcPr>
            <w:tcW w:w="1276"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QLD</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Bolton Clarke Rowes Bay</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Rowes Bay</w:t>
            </w:r>
          </w:p>
        </w:tc>
        <w:tc>
          <w:tcPr>
            <w:tcW w:w="1276"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QLD</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Bolton Clarke Farnorha</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Westcourt</w:t>
            </w:r>
          </w:p>
        </w:tc>
        <w:tc>
          <w:tcPr>
            <w:tcW w:w="1276"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QLD</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Bolton-Clarke Fernhill Retirement Community</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Caboolture</w:t>
            </w:r>
          </w:p>
        </w:tc>
        <w:tc>
          <w:tcPr>
            <w:tcW w:w="1276" w:type="dxa"/>
            <w:tcBorders>
              <w:top w:val="nil"/>
              <w:left w:val="nil"/>
              <w:bottom w:val="single" w:sz="4" w:space="0" w:color="auto"/>
              <w:right w:val="single" w:sz="4" w:space="0" w:color="auto"/>
            </w:tcBorders>
            <w:shd w:val="clear" w:color="auto" w:fill="auto"/>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QLD</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D13D94" w:rsidP="001E139D">
            <w:pPr>
              <w:rPr>
                <w:rFonts w:ascii="Calibri" w:hAnsi="Calibri" w:cs="Calibri"/>
                <w:sz w:val="22"/>
                <w:szCs w:val="22"/>
              </w:rPr>
            </w:pPr>
            <w:r>
              <w:rPr>
                <w:rFonts w:ascii="Calibri" w:hAnsi="Calibri" w:cs="Calibri"/>
                <w:sz w:val="22"/>
                <w:szCs w:val="22"/>
              </w:rPr>
              <w:t>Bolton-Clarke Westhaven</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Harristown</w:t>
            </w:r>
          </w:p>
        </w:tc>
        <w:tc>
          <w:tcPr>
            <w:tcW w:w="1276" w:type="dxa"/>
            <w:tcBorders>
              <w:top w:val="nil"/>
              <w:left w:val="nil"/>
              <w:bottom w:val="single" w:sz="4" w:space="0" w:color="auto"/>
              <w:right w:val="single" w:sz="4" w:space="0" w:color="auto"/>
            </w:tcBorders>
            <w:shd w:val="clear" w:color="auto" w:fill="auto"/>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QLD</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D13D94" w:rsidP="001E139D">
            <w:pPr>
              <w:rPr>
                <w:rFonts w:ascii="Calibri" w:hAnsi="Calibri" w:cs="Calibri"/>
                <w:sz w:val="22"/>
                <w:szCs w:val="22"/>
              </w:rPr>
            </w:pPr>
            <w:r>
              <w:rPr>
                <w:rFonts w:ascii="Calibri" w:hAnsi="Calibri" w:cs="Calibri"/>
                <w:sz w:val="22"/>
                <w:szCs w:val="22"/>
              </w:rPr>
              <w:t>Glenella Care</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Glenella</w:t>
            </w:r>
          </w:p>
        </w:tc>
        <w:tc>
          <w:tcPr>
            <w:tcW w:w="1276" w:type="dxa"/>
            <w:tcBorders>
              <w:top w:val="nil"/>
              <w:left w:val="nil"/>
              <w:bottom w:val="single" w:sz="4" w:space="0" w:color="auto"/>
              <w:right w:val="single" w:sz="4" w:space="0" w:color="auto"/>
            </w:tcBorders>
            <w:shd w:val="clear" w:color="auto" w:fill="auto"/>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QLD</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Hope Vale Aged Hostel</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Hope Vale</w:t>
            </w:r>
          </w:p>
        </w:tc>
        <w:tc>
          <w:tcPr>
            <w:tcW w:w="1276"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QLD</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Lilian Cooper Nursing Home</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Kangaroo Point</w:t>
            </w:r>
          </w:p>
        </w:tc>
        <w:tc>
          <w:tcPr>
            <w:tcW w:w="1276"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QLD</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Lower Burdekin Home for the Aged Ayr</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Ayr</w:t>
            </w:r>
          </w:p>
        </w:tc>
        <w:tc>
          <w:tcPr>
            <w:tcW w:w="1276"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QLD</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Marycrest Hostel</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Kangaroo Point</w:t>
            </w:r>
          </w:p>
        </w:tc>
        <w:tc>
          <w:tcPr>
            <w:tcW w:w="1276" w:type="dxa"/>
            <w:tcBorders>
              <w:top w:val="nil"/>
              <w:left w:val="nil"/>
              <w:bottom w:val="single" w:sz="4" w:space="0" w:color="auto"/>
              <w:right w:val="single" w:sz="4" w:space="0" w:color="auto"/>
            </w:tcBorders>
            <w:shd w:val="clear" w:color="auto" w:fill="auto"/>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QLD</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Ozcare Ozanam Villa - Burleigh Heads</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Burleigh Heads</w:t>
            </w:r>
          </w:p>
        </w:tc>
        <w:tc>
          <w:tcPr>
            <w:tcW w:w="1276" w:type="dxa"/>
            <w:tcBorders>
              <w:top w:val="nil"/>
              <w:left w:val="nil"/>
              <w:bottom w:val="single" w:sz="4" w:space="0" w:color="auto"/>
              <w:right w:val="single" w:sz="4" w:space="0" w:color="auto"/>
            </w:tcBorders>
            <w:shd w:val="clear" w:color="auto" w:fill="auto"/>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QLD</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lastRenderedPageBreak/>
              <w:t>Sarina Aged Residential Home</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Sarina</w:t>
            </w:r>
          </w:p>
        </w:tc>
        <w:tc>
          <w:tcPr>
            <w:tcW w:w="1276" w:type="dxa"/>
            <w:tcBorders>
              <w:top w:val="nil"/>
              <w:left w:val="nil"/>
              <w:bottom w:val="single" w:sz="4" w:space="0" w:color="auto"/>
              <w:right w:val="single" w:sz="4" w:space="0" w:color="auto"/>
            </w:tcBorders>
            <w:shd w:val="clear" w:color="auto" w:fill="auto"/>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QLD</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Seabrae Manor</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Rothwell</w:t>
            </w:r>
          </w:p>
        </w:tc>
        <w:tc>
          <w:tcPr>
            <w:tcW w:w="1276" w:type="dxa"/>
            <w:tcBorders>
              <w:top w:val="nil"/>
              <w:left w:val="nil"/>
              <w:bottom w:val="single" w:sz="4" w:space="0" w:color="auto"/>
              <w:right w:val="single" w:sz="4" w:space="0" w:color="auto"/>
            </w:tcBorders>
            <w:shd w:val="clear" w:color="auto" w:fill="auto"/>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QLD</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The Good Shepherd Hostel</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Annandale</w:t>
            </w:r>
          </w:p>
        </w:tc>
        <w:tc>
          <w:tcPr>
            <w:tcW w:w="1276" w:type="dxa"/>
            <w:tcBorders>
              <w:top w:val="nil"/>
              <w:left w:val="nil"/>
              <w:bottom w:val="single" w:sz="4" w:space="0" w:color="auto"/>
              <w:right w:val="single" w:sz="4" w:space="0" w:color="auto"/>
            </w:tcBorders>
            <w:shd w:val="clear" w:color="auto" w:fill="auto"/>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QLD</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The Terraces Aged Care</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Varsity Lakes</w:t>
            </w:r>
          </w:p>
        </w:tc>
        <w:tc>
          <w:tcPr>
            <w:tcW w:w="1276" w:type="dxa"/>
            <w:tcBorders>
              <w:top w:val="nil"/>
              <w:left w:val="nil"/>
              <w:bottom w:val="single" w:sz="4" w:space="0" w:color="auto"/>
              <w:right w:val="single" w:sz="4" w:space="0" w:color="auto"/>
            </w:tcBorders>
            <w:shd w:val="clear" w:color="auto" w:fill="auto"/>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QLD</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Acacia Court</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Hendon</w:t>
            </w:r>
          </w:p>
        </w:tc>
        <w:tc>
          <w:tcPr>
            <w:tcW w:w="1276" w:type="dxa"/>
            <w:tcBorders>
              <w:top w:val="nil"/>
              <w:left w:val="nil"/>
              <w:bottom w:val="single" w:sz="4" w:space="0" w:color="auto"/>
              <w:right w:val="single" w:sz="4" w:space="0" w:color="auto"/>
            </w:tcBorders>
            <w:shd w:val="clear" w:color="auto" w:fill="auto"/>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SA</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Aminya Village Hostel</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Mannum</w:t>
            </w:r>
          </w:p>
        </w:tc>
        <w:tc>
          <w:tcPr>
            <w:tcW w:w="1276" w:type="dxa"/>
            <w:tcBorders>
              <w:top w:val="nil"/>
              <w:left w:val="nil"/>
              <w:bottom w:val="single" w:sz="4" w:space="0" w:color="auto"/>
              <w:right w:val="single" w:sz="4" w:space="0" w:color="auto"/>
            </w:tcBorders>
            <w:shd w:val="clear" w:color="auto" w:fill="auto"/>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SA</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Dunbar Homes Salisbury</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Salisbury</w:t>
            </w:r>
          </w:p>
        </w:tc>
        <w:tc>
          <w:tcPr>
            <w:tcW w:w="1276"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SA</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Glenview Homes</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Gumeracha</w:t>
            </w:r>
          </w:p>
        </w:tc>
        <w:tc>
          <w:tcPr>
            <w:tcW w:w="1276" w:type="dxa"/>
            <w:tcBorders>
              <w:top w:val="nil"/>
              <w:left w:val="nil"/>
              <w:bottom w:val="single" w:sz="4" w:space="0" w:color="auto"/>
              <w:right w:val="single" w:sz="4" w:space="0" w:color="auto"/>
            </w:tcBorders>
            <w:shd w:val="clear" w:color="auto" w:fill="auto"/>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SA</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LHI Hope Valley</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Hope Valley</w:t>
            </w:r>
          </w:p>
        </w:tc>
        <w:tc>
          <w:tcPr>
            <w:tcW w:w="1276"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SA</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St Basil's at St Peters</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St Peters</w:t>
            </w:r>
          </w:p>
        </w:tc>
        <w:tc>
          <w:tcPr>
            <w:tcW w:w="1276"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SA</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Fairway Rise</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Lindisfarne</w:t>
            </w:r>
          </w:p>
        </w:tc>
        <w:tc>
          <w:tcPr>
            <w:tcW w:w="1276" w:type="dxa"/>
            <w:tcBorders>
              <w:top w:val="nil"/>
              <w:left w:val="nil"/>
              <w:bottom w:val="single" w:sz="4" w:space="0" w:color="auto"/>
              <w:right w:val="single" w:sz="4" w:space="0" w:color="auto"/>
            </w:tcBorders>
            <w:shd w:val="clear" w:color="auto" w:fill="auto"/>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TAS</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Fred French Hostel</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Newstead</w:t>
            </w:r>
          </w:p>
        </w:tc>
        <w:tc>
          <w:tcPr>
            <w:tcW w:w="1276" w:type="dxa"/>
            <w:tcBorders>
              <w:top w:val="nil"/>
              <w:left w:val="nil"/>
              <w:bottom w:val="single" w:sz="4" w:space="0" w:color="auto"/>
              <w:right w:val="single" w:sz="4" w:space="0" w:color="auto"/>
            </w:tcBorders>
            <w:shd w:val="clear" w:color="auto" w:fill="auto"/>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TAS</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Peace Haven Hostel</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Norwood</w:t>
            </w:r>
          </w:p>
        </w:tc>
        <w:tc>
          <w:tcPr>
            <w:tcW w:w="1276" w:type="dxa"/>
            <w:tcBorders>
              <w:top w:val="nil"/>
              <w:left w:val="nil"/>
              <w:bottom w:val="single" w:sz="4" w:space="0" w:color="auto"/>
              <w:right w:val="single" w:sz="4" w:space="0" w:color="auto"/>
            </w:tcBorders>
            <w:shd w:val="clear" w:color="auto" w:fill="auto"/>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TAS</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Sandhill Aged Care Facility</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South Launceston</w:t>
            </w:r>
          </w:p>
        </w:tc>
        <w:tc>
          <w:tcPr>
            <w:tcW w:w="1276"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TAS</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Baptcare Peninsula View Community</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Frankston South</w:t>
            </w:r>
          </w:p>
        </w:tc>
        <w:tc>
          <w:tcPr>
            <w:tcW w:w="1276"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VIC</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Capel Sands Aged Care</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Rosebud West</w:t>
            </w:r>
          </w:p>
        </w:tc>
        <w:tc>
          <w:tcPr>
            <w:tcW w:w="1276"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VIC</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Doncaster Melaleuca Lodge</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Doncaster</w:t>
            </w:r>
          </w:p>
        </w:tc>
        <w:tc>
          <w:tcPr>
            <w:tcW w:w="1276"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VIC</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Douta Galla Lynch's Bridge</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Kensington</w:t>
            </w:r>
          </w:p>
        </w:tc>
        <w:tc>
          <w:tcPr>
            <w:tcW w:w="1276"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VIC</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Eden Park Resident</w:t>
            </w:r>
            <w:r>
              <w:rPr>
                <w:rFonts w:ascii="Calibri" w:hAnsi="Calibri" w:cs="Calibri"/>
                <w:sz w:val="22"/>
                <w:szCs w:val="22"/>
              </w:rPr>
              <w:t>i</w:t>
            </w:r>
            <w:r w:rsidRPr="001E139D">
              <w:rPr>
                <w:rFonts w:ascii="Calibri" w:hAnsi="Calibri" w:cs="Calibri"/>
                <w:sz w:val="22"/>
                <w:szCs w:val="22"/>
              </w:rPr>
              <w:t>al Aged Care</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Whittington</w:t>
            </w:r>
          </w:p>
        </w:tc>
        <w:tc>
          <w:tcPr>
            <w:tcW w:w="1276"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VIC</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Elanora</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Brighton</w:t>
            </w:r>
          </w:p>
        </w:tc>
        <w:tc>
          <w:tcPr>
            <w:tcW w:w="1276"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VIC</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Estia Benalla</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Benalla</w:t>
            </w:r>
          </w:p>
        </w:tc>
        <w:tc>
          <w:tcPr>
            <w:tcW w:w="1276" w:type="dxa"/>
            <w:tcBorders>
              <w:top w:val="nil"/>
              <w:left w:val="nil"/>
              <w:bottom w:val="single" w:sz="4" w:space="0" w:color="auto"/>
              <w:right w:val="single" w:sz="4" w:space="0" w:color="auto"/>
            </w:tcBorders>
            <w:shd w:val="clear" w:color="auto" w:fill="auto"/>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VIC</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Estia Coolaroo</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Coolaroo</w:t>
            </w:r>
          </w:p>
        </w:tc>
        <w:tc>
          <w:tcPr>
            <w:tcW w:w="1276" w:type="dxa"/>
            <w:tcBorders>
              <w:top w:val="nil"/>
              <w:left w:val="nil"/>
              <w:bottom w:val="single" w:sz="4" w:space="0" w:color="auto"/>
              <w:right w:val="single" w:sz="4" w:space="0" w:color="auto"/>
            </w:tcBorders>
            <w:shd w:val="clear" w:color="auto" w:fill="auto"/>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VIC</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Estia Health Yarra Valley</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Yarra Junction</w:t>
            </w:r>
          </w:p>
        </w:tc>
        <w:tc>
          <w:tcPr>
            <w:tcW w:w="1276" w:type="dxa"/>
            <w:tcBorders>
              <w:top w:val="nil"/>
              <w:left w:val="nil"/>
              <w:bottom w:val="single" w:sz="4" w:space="0" w:color="auto"/>
              <w:right w:val="single" w:sz="4" w:space="0" w:color="auto"/>
            </w:tcBorders>
            <w:shd w:val="clear" w:color="auto" w:fill="auto"/>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VIC</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Mecwacare Simon Price Centre</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Mont Albert North</w:t>
            </w:r>
          </w:p>
        </w:tc>
        <w:tc>
          <w:tcPr>
            <w:tcW w:w="1276" w:type="dxa"/>
            <w:tcBorders>
              <w:top w:val="nil"/>
              <w:left w:val="nil"/>
              <w:bottom w:val="single" w:sz="4" w:space="0" w:color="auto"/>
              <w:right w:val="single" w:sz="4" w:space="0" w:color="auto"/>
            </w:tcBorders>
            <w:shd w:val="clear" w:color="auto" w:fill="auto"/>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VIC</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Mecwacare Vincent House</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Westmeadows</w:t>
            </w:r>
          </w:p>
        </w:tc>
        <w:tc>
          <w:tcPr>
            <w:tcW w:w="1276" w:type="dxa"/>
            <w:tcBorders>
              <w:top w:val="nil"/>
              <w:left w:val="nil"/>
              <w:bottom w:val="single" w:sz="4" w:space="0" w:color="auto"/>
              <w:right w:val="single" w:sz="4" w:space="0" w:color="auto"/>
            </w:tcBorders>
            <w:shd w:val="clear" w:color="auto" w:fill="auto"/>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VIC</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Northside Aged Persons Mental Health</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Burwood East</w:t>
            </w:r>
          </w:p>
        </w:tc>
        <w:tc>
          <w:tcPr>
            <w:tcW w:w="1276" w:type="dxa"/>
            <w:tcBorders>
              <w:top w:val="nil"/>
              <w:left w:val="nil"/>
              <w:bottom w:val="single" w:sz="4" w:space="0" w:color="auto"/>
              <w:right w:val="single" w:sz="4" w:space="0" w:color="auto"/>
            </w:tcBorders>
            <w:shd w:val="clear" w:color="auto" w:fill="auto"/>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VIC</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P.S. Hobson Nursing Home</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Wendouree</w:t>
            </w:r>
          </w:p>
        </w:tc>
        <w:tc>
          <w:tcPr>
            <w:tcW w:w="1276"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VIC</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Parkland House Hostel</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Willaura</w:t>
            </w:r>
          </w:p>
        </w:tc>
        <w:tc>
          <w:tcPr>
            <w:tcW w:w="1276"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VIC</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Ron Conn Nursing Home</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Avondale Heights</w:t>
            </w:r>
          </w:p>
        </w:tc>
        <w:tc>
          <w:tcPr>
            <w:tcW w:w="1276" w:type="dxa"/>
            <w:tcBorders>
              <w:top w:val="nil"/>
              <w:left w:val="nil"/>
              <w:bottom w:val="single" w:sz="4" w:space="0" w:color="auto"/>
              <w:right w:val="single" w:sz="4" w:space="0" w:color="auto"/>
            </w:tcBorders>
            <w:shd w:val="clear" w:color="auto" w:fill="auto"/>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VIC</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Rosanna Views Residential Aged Care Facility</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Rosanna</w:t>
            </w:r>
          </w:p>
        </w:tc>
        <w:tc>
          <w:tcPr>
            <w:tcW w:w="1276"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VIC</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Talbot Place Aged Care Facility</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Ballarat Central</w:t>
            </w:r>
          </w:p>
        </w:tc>
        <w:tc>
          <w:tcPr>
            <w:tcW w:w="1276"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VIC</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Victoria Grange Aged Care</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Vermont South</w:t>
            </w:r>
          </w:p>
        </w:tc>
        <w:tc>
          <w:tcPr>
            <w:tcW w:w="1276" w:type="dxa"/>
            <w:tcBorders>
              <w:top w:val="nil"/>
              <w:left w:val="nil"/>
              <w:bottom w:val="single" w:sz="4" w:space="0" w:color="auto"/>
              <w:right w:val="single" w:sz="4" w:space="0" w:color="auto"/>
            </w:tcBorders>
            <w:shd w:val="clear" w:color="auto" w:fill="auto"/>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VIC</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Wintringham Hostel - Port Melbourne</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Port Melbourne</w:t>
            </w:r>
          </w:p>
        </w:tc>
        <w:tc>
          <w:tcPr>
            <w:tcW w:w="1276"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VIC</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Yackandandah Health Residential Aged Care</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Yackandandah</w:t>
            </w:r>
          </w:p>
        </w:tc>
        <w:tc>
          <w:tcPr>
            <w:tcW w:w="1276"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VIC</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Aegis Anchorage</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Mindarie</w:t>
            </w:r>
          </w:p>
        </w:tc>
        <w:tc>
          <w:tcPr>
            <w:tcW w:w="1276" w:type="dxa"/>
            <w:tcBorders>
              <w:top w:val="nil"/>
              <w:left w:val="nil"/>
              <w:bottom w:val="single" w:sz="4" w:space="0" w:color="auto"/>
              <w:right w:val="single" w:sz="4" w:space="0" w:color="auto"/>
            </w:tcBorders>
            <w:shd w:val="clear" w:color="auto" w:fill="auto"/>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WA</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Bethanie Peel</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Coodanup</w:t>
            </w:r>
          </w:p>
        </w:tc>
        <w:tc>
          <w:tcPr>
            <w:tcW w:w="1276" w:type="dxa"/>
            <w:tcBorders>
              <w:top w:val="nil"/>
              <w:left w:val="nil"/>
              <w:bottom w:val="single" w:sz="4" w:space="0" w:color="auto"/>
              <w:right w:val="single" w:sz="4" w:space="0" w:color="auto"/>
            </w:tcBorders>
            <w:shd w:val="clear" w:color="auto" w:fill="auto"/>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WA</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Castledare Retirement Village</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Wilson</w:t>
            </w:r>
          </w:p>
        </w:tc>
        <w:tc>
          <w:tcPr>
            <w:tcW w:w="1276"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WA</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Dr Mary Surveyor Centre</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Kingsley</w:t>
            </w:r>
          </w:p>
        </w:tc>
        <w:tc>
          <w:tcPr>
            <w:tcW w:w="1276"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WA</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Germanus Kent House</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Broome</w:t>
            </w:r>
          </w:p>
        </w:tc>
        <w:tc>
          <w:tcPr>
            <w:tcW w:w="1276"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WA</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Pam Corker House</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Waroona</w:t>
            </w:r>
          </w:p>
        </w:tc>
        <w:tc>
          <w:tcPr>
            <w:tcW w:w="1276" w:type="dxa"/>
            <w:tcBorders>
              <w:top w:val="nil"/>
              <w:left w:val="nil"/>
              <w:bottom w:val="single" w:sz="4" w:space="0" w:color="auto"/>
              <w:right w:val="single" w:sz="4" w:space="0" w:color="auto"/>
            </w:tcBorders>
            <w:shd w:val="clear" w:color="auto" w:fill="auto"/>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WA</w:t>
            </w:r>
          </w:p>
        </w:tc>
      </w:tr>
      <w:tr w:rsidR="001E139D" w:rsidRPr="001E139D" w:rsidTr="001E139D">
        <w:trPr>
          <w:trHeight w:val="30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1E139D" w:rsidRPr="001E139D" w:rsidRDefault="001E139D" w:rsidP="001E139D">
            <w:pPr>
              <w:rPr>
                <w:rFonts w:ascii="Calibri" w:hAnsi="Calibri" w:cs="Calibri"/>
                <w:sz w:val="22"/>
                <w:szCs w:val="22"/>
              </w:rPr>
            </w:pPr>
            <w:r w:rsidRPr="001E139D">
              <w:rPr>
                <w:rFonts w:ascii="Calibri" w:hAnsi="Calibri" w:cs="Calibri"/>
                <w:sz w:val="22"/>
                <w:szCs w:val="22"/>
              </w:rPr>
              <w:t>Villa Pelletier Hostel</w:t>
            </w:r>
          </w:p>
        </w:tc>
        <w:tc>
          <w:tcPr>
            <w:tcW w:w="2268"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rPr>
                <w:rFonts w:ascii="Calibri" w:hAnsi="Calibri" w:cs="Calibri"/>
                <w:color w:val="000000"/>
                <w:sz w:val="22"/>
                <w:szCs w:val="22"/>
              </w:rPr>
            </w:pPr>
            <w:r w:rsidRPr="001E139D">
              <w:rPr>
                <w:rFonts w:ascii="Calibri" w:hAnsi="Calibri" w:cs="Calibri"/>
                <w:color w:val="000000"/>
                <w:sz w:val="22"/>
                <w:szCs w:val="22"/>
              </w:rPr>
              <w:t>West Leederville</w:t>
            </w:r>
          </w:p>
        </w:tc>
        <w:tc>
          <w:tcPr>
            <w:tcW w:w="1276" w:type="dxa"/>
            <w:tcBorders>
              <w:top w:val="nil"/>
              <w:left w:val="nil"/>
              <w:bottom w:val="single" w:sz="4" w:space="0" w:color="auto"/>
              <w:right w:val="single" w:sz="4" w:space="0" w:color="auto"/>
            </w:tcBorders>
            <w:shd w:val="clear" w:color="auto" w:fill="auto"/>
            <w:noWrap/>
            <w:vAlign w:val="bottom"/>
            <w:hideMark/>
          </w:tcPr>
          <w:p w:rsidR="001E139D" w:rsidRPr="001E139D" w:rsidRDefault="001E139D" w:rsidP="001E139D">
            <w:pPr>
              <w:jc w:val="right"/>
              <w:rPr>
                <w:rFonts w:ascii="Calibri" w:hAnsi="Calibri" w:cs="Calibri"/>
                <w:sz w:val="22"/>
                <w:szCs w:val="22"/>
              </w:rPr>
            </w:pPr>
            <w:r w:rsidRPr="001E139D">
              <w:rPr>
                <w:rFonts w:ascii="Calibri" w:hAnsi="Calibri" w:cs="Calibri"/>
                <w:sz w:val="22"/>
                <w:szCs w:val="22"/>
              </w:rPr>
              <w:t>WA</w:t>
            </w:r>
          </w:p>
        </w:tc>
      </w:tr>
    </w:tbl>
    <w:p w:rsidR="00BB13CD" w:rsidRDefault="00BB13CD" w:rsidP="00123FFA">
      <w:pPr>
        <w:spacing w:after="200" w:line="276" w:lineRule="auto"/>
      </w:pPr>
    </w:p>
    <w:sectPr w:rsidR="00BB13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CAE" w:rsidRDefault="00416CAE" w:rsidP="00003E81">
      <w:r>
        <w:separator/>
      </w:r>
    </w:p>
  </w:endnote>
  <w:endnote w:type="continuationSeparator" w:id="0">
    <w:p w:rsidR="00416CAE" w:rsidRDefault="00416CAE" w:rsidP="00003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AC6" w:rsidRDefault="00D63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CAE" w:rsidRPr="006E49DF" w:rsidRDefault="00416CAE" w:rsidP="00DA17D5">
    <w:pPr>
      <w:pStyle w:val="Footer"/>
    </w:pPr>
    <w:r w:rsidRPr="006E49D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AC6" w:rsidRDefault="00D63A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CAE" w:rsidRPr="006E49DF" w:rsidRDefault="00416CAE" w:rsidP="00DA17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CAE" w:rsidRPr="00025BD4" w:rsidRDefault="00416CAE" w:rsidP="000973E6">
    <w:pPr>
      <w:pStyle w:val="Footer"/>
      <w:rPr>
        <w:sz w:val="22"/>
        <w:szCs w:val="22"/>
      </w:rPr>
    </w:pPr>
  </w:p>
  <w:p w:rsidR="00416CAE" w:rsidRPr="00025BD4" w:rsidRDefault="00416CAE" w:rsidP="0055247E">
    <w:pPr>
      <w:pStyle w:val="Footer"/>
      <w:pBdr>
        <w:top w:val="single" w:sz="4" w:space="1" w:color="auto"/>
      </w:pBdr>
      <w:jc w:val="right"/>
      <w:rPr>
        <w:sz w:val="22"/>
        <w:szCs w:val="22"/>
      </w:rPr>
    </w:pPr>
    <w:r w:rsidRPr="00025BD4">
      <w:rPr>
        <w:sz w:val="22"/>
        <w:szCs w:val="22"/>
      </w:rPr>
      <w:t>Report 4: Modelling the impact of the AN-ACC in Australia</w:t>
    </w:r>
    <w:r w:rsidRPr="00025BD4">
      <w:rPr>
        <w:sz w:val="22"/>
        <w:szCs w:val="22"/>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CAE" w:rsidRPr="00025BD4" w:rsidRDefault="00416CAE" w:rsidP="000973E6">
    <w:pPr>
      <w:pStyle w:val="Footer"/>
      <w:rPr>
        <w:sz w:val="22"/>
        <w:szCs w:val="22"/>
      </w:rPr>
    </w:pPr>
  </w:p>
  <w:p w:rsidR="0055247E" w:rsidRDefault="00416CAE" w:rsidP="0055247E">
    <w:pPr>
      <w:pStyle w:val="Footer"/>
      <w:pBdr>
        <w:top w:val="single" w:sz="4" w:space="1" w:color="auto"/>
      </w:pBdr>
      <w:rPr>
        <w:sz w:val="22"/>
        <w:szCs w:val="22"/>
      </w:rPr>
    </w:pPr>
    <w:r w:rsidRPr="00025BD4">
      <w:rPr>
        <w:sz w:val="22"/>
        <w:szCs w:val="22"/>
      </w:rPr>
      <w:t>Report 4: Modelling the impact of the AN-ACC in Australia</w:t>
    </w:r>
  </w:p>
  <w:p w:rsidR="00416CAE" w:rsidRPr="00025BD4" w:rsidRDefault="00416CAE" w:rsidP="000973E6">
    <w:pPr>
      <w:pStyle w:val="Footer"/>
      <w:jc w:val="right"/>
      <w:rPr>
        <w:sz w:val="22"/>
        <w:szCs w:val="22"/>
      </w:rPr>
    </w:pPr>
    <w:r w:rsidRPr="00025BD4">
      <w:rPr>
        <w:sz w:val="22"/>
        <w:szCs w:val="22"/>
      </w:rPr>
      <w:t xml:space="preserve">Page </w:t>
    </w:r>
    <w:sdt>
      <w:sdtPr>
        <w:rPr>
          <w:sz w:val="22"/>
          <w:szCs w:val="22"/>
        </w:rPr>
        <w:id w:val="-1001429645"/>
        <w:docPartObj>
          <w:docPartGallery w:val="Page Numbers (Bottom of Page)"/>
          <w:docPartUnique/>
        </w:docPartObj>
      </w:sdtPr>
      <w:sdtEndPr>
        <w:rPr>
          <w:noProof/>
        </w:rPr>
      </w:sdtEndPr>
      <w:sdtContent>
        <w:r w:rsidRPr="00025BD4">
          <w:rPr>
            <w:sz w:val="22"/>
            <w:szCs w:val="22"/>
          </w:rPr>
          <w:fldChar w:fldCharType="begin"/>
        </w:r>
        <w:r w:rsidRPr="00025BD4">
          <w:rPr>
            <w:sz w:val="22"/>
            <w:szCs w:val="22"/>
          </w:rPr>
          <w:instrText xml:space="preserve"> PAGE   \* MERGEFORMAT </w:instrText>
        </w:r>
        <w:r w:rsidRPr="00025BD4">
          <w:rPr>
            <w:sz w:val="22"/>
            <w:szCs w:val="22"/>
          </w:rPr>
          <w:fldChar w:fldCharType="separate"/>
        </w:r>
        <w:r w:rsidR="00DD7E02">
          <w:rPr>
            <w:noProof/>
            <w:sz w:val="22"/>
            <w:szCs w:val="22"/>
          </w:rPr>
          <w:t>iii</w:t>
        </w:r>
        <w:r w:rsidRPr="00025BD4">
          <w:rPr>
            <w:noProof/>
            <w:sz w:val="22"/>
            <w:szCs w:val="22"/>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CAE" w:rsidRPr="00025BD4" w:rsidRDefault="00416CAE" w:rsidP="000973E6">
    <w:pPr>
      <w:pStyle w:val="Footer"/>
      <w:rPr>
        <w:sz w:val="22"/>
        <w:szCs w:val="22"/>
      </w:rPr>
    </w:pPr>
  </w:p>
  <w:p w:rsidR="006B3A75" w:rsidRDefault="00416CAE" w:rsidP="006B3A75">
    <w:pPr>
      <w:pStyle w:val="Footer"/>
      <w:pBdr>
        <w:top w:val="single" w:sz="4" w:space="1" w:color="auto"/>
      </w:pBdr>
      <w:rPr>
        <w:sz w:val="22"/>
        <w:szCs w:val="22"/>
      </w:rPr>
    </w:pPr>
    <w:r w:rsidRPr="00025BD4">
      <w:rPr>
        <w:sz w:val="22"/>
        <w:szCs w:val="22"/>
      </w:rPr>
      <w:t>Report 4: Modelling the im</w:t>
    </w:r>
    <w:r w:rsidR="006B3A75">
      <w:rPr>
        <w:sz w:val="22"/>
        <w:szCs w:val="22"/>
      </w:rPr>
      <w:t>pact of the AN-ACC in Australia</w:t>
    </w:r>
  </w:p>
  <w:p w:rsidR="00416CAE" w:rsidRPr="00025BD4" w:rsidRDefault="00416CAE" w:rsidP="006B3A75">
    <w:pPr>
      <w:pStyle w:val="Footer"/>
      <w:pBdr>
        <w:top w:val="single" w:sz="4" w:space="1" w:color="auto"/>
      </w:pBdr>
      <w:jc w:val="right"/>
      <w:rPr>
        <w:sz w:val="22"/>
        <w:szCs w:val="22"/>
      </w:rPr>
    </w:pPr>
    <w:r w:rsidRPr="00025BD4">
      <w:rPr>
        <w:sz w:val="22"/>
        <w:szCs w:val="22"/>
      </w:rPr>
      <w:t xml:space="preserve">Page </w:t>
    </w:r>
    <w:sdt>
      <w:sdtPr>
        <w:rPr>
          <w:sz w:val="22"/>
          <w:szCs w:val="22"/>
        </w:rPr>
        <w:id w:val="741229166"/>
        <w:docPartObj>
          <w:docPartGallery w:val="Page Numbers (Bottom of Page)"/>
          <w:docPartUnique/>
        </w:docPartObj>
      </w:sdtPr>
      <w:sdtEndPr>
        <w:rPr>
          <w:noProof/>
        </w:rPr>
      </w:sdtEndPr>
      <w:sdtContent>
        <w:r w:rsidRPr="00025BD4">
          <w:rPr>
            <w:sz w:val="22"/>
            <w:szCs w:val="22"/>
          </w:rPr>
          <w:fldChar w:fldCharType="begin"/>
        </w:r>
        <w:r w:rsidRPr="00025BD4">
          <w:rPr>
            <w:sz w:val="22"/>
            <w:szCs w:val="22"/>
          </w:rPr>
          <w:instrText xml:space="preserve"> PAGE   \* MERGEFORMAT </w:instrText>
        </w:r>
        <w:r w:rsidRPr="00025BD4">
          <w:rPr>
            <w:sz w:val="22"/>
            <w:szCs w:val="22"/>
          </w:rPr>
          <w:fldChar w:fldCharType="separate"/>
        </w:r>
        <w:r w:rsidR="00DD7E02">
          <w:rPr>
            <w:noProof/>
            <w:sz w:val="22"/>
            <w:szCs w:val="22"/>
          </w:rPr>
          <w:t>10</w:t>
        </w:r>
        <w:r w:rsidRPr="00025BD4">
          <w:rPr>
            <w:noProof/>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CAE" w:rsidRDefault="00416CAE" w:rsidP="00003E81">
      <w:r>
        <w:separator/>
      </w:r>
    </w:p>
  </w:footnote>
  <w:footnote w:type="continuationSeparator" w:id="0">
    <w:p w:rsidR="00416CAE" w:rsidRDefault="00416CAE" w:rsidP="00003E81">
      <w:r>
        <w:continuationSeparator/>
      </w:r>
    </w:p>
  </w:footnote>
  <w:footnote w:id="1">
    <w:p w:rsidR="00416CAE" w:rsidRDefault="00416CAE">
      <w:pPr>
        <w:pStyle w:val="FootnoteText"/>
      </w:pPr>
      <w:r>
        <w:rPr>
          <w:rStyle w:val="FootnoteReference"/>
        </w:rPr>
        <w:footnoteRef/>
      </w:r>
      <w:r>
        <w:t xml:space="preserve"> The AN-ACC funding model also includes a fixed component based on facility characteristics and an adjustment factor for new residents. These other elements are excluded from the analysis presented in this section.</w:t>
      </w:r>
    </w:p>
  </w:footnote>
  <w:footnote w:id="2">
    <w:p w:rsidR="00416CAE" w:rsidRDefault="00416CAE">
      <w:pPr>
        <w:pStyle w:val="FootnoteText"/>
      </w:pPr>
      <w:r>
        <w:rPr>
          <w:rStyle w:val="FootnoteReference"/>
        </w:rPr>
        <w:footnoteRef/>
      </w:r>
      <w:r>
        <w:t xml:space="preserve"> Ratings under ACFI can be </w:t>
      </w:r>
      <w:r w:rsidRPr="00FD2187">
        <w:t>High</w:t>
      </w:r>
      <w:r>
        <w:t xml:space="preserve"> (H)</w:t>
      </w:r>
      <w:r w:rsidRPr="00FD2187">
        <w:t>, Medium (M), Low (L) or Nil (N)</w:t>
      </w:r>
      <w:r>
        <w:t xml:space="preserve"> in each of the three domains – </w:t>
      </w:r>
      <w:r w:rsidRPr="00491E4D">
        <w:t>Activities of Daily Living (ADL), Behaviour (BEH) and Complex Health Care (CHC)</w:t>
      </w:r>
      <w:r>
        <w:t>.</w:t>
      </w:r>
    </w:p>
  </w:footnote>
  <w:footnote w:id="3">
    <w:p w:rsidR="00416CAE" w:rsidRDefault="00416CAE" w:rsidP="00FB2635">
      <w:pPr>
        <w:pStyle w:val="FootnoteText"/>
      </w:pPr>
      <w:r>
        <w:rPr>
          <w:rStyle w:val="FootnoteReference"/>
        </w:rPr>
        <w:footnoteRef/>
      </w:r>
      <w:r>
        <w:t xml:space="preserve"> The calculation for the adjustment payment is based on data from the </w:t>
      </w:r>
      <w:r w:rsidRPr="00297629">
        <w:t xml:space="preserve">Australian Institute of Health and Welfare 2018. GEN. Canberra: AIHW. </w:t>
      </w:r>
      <w:hyperlink r:id="rId1" w:history="1">
        <w:r w:rsidR="00D63AC6" w:rsidRPr="00D63AC6">
          <w:rPr>
            <w:rStyle w:val="Hyperlink"/>
            <w:color w:val="auto"/>
            <w:u w:val="none"/>
          </w:rPr>
          <w:t>GEN Aged Care Data</w:t>
        </w:r>
      </w:hyperlink>
      <w:r w:rsidR="00D63AC6">
        <w:t xml:space="preserve"> (</w:t>
      </w:r>
      <w:r w:rsidRPr="00EF1172">
        <w:rPr>
          <w:rStyle w:val="Hyperlink"/>
          <w:color w:val="auto"/>
          <w:u w:val="none"/>
        </w:rPr>
        <w:t>ht</w:t>
      </w:r>
      <w:r w:rsidR="00EF1172" w:rsidRPr="00EF1172">
        <w:rPr>
          <w:rStyle w:val="Hyperlink"/>
          <w:color w:val="auto"/>
          <w:u w:val="none"/>
        </w:rPr>
        <w:t>tp://www.gen-agedcaredata.gov.au</w:t>
      </w:r>
      <w:r w:rsidR="00D63AC6">
        <w:rPr>
          <w:rStyle w:val="Hyperlink"/>
          <w:color w:val="044458" w:themeColor="accent6" w:themeShade="80"/>
        </w:rPr>
        <w:t>)</w:t>
      </w:r>
      <w:r w:rsidRPr="00BF3EC5">
        <w:rPr>
          <w:color w:val="044458" w:themeColor="accent6" w:themeShade="80"/>
        </w:rPr>
        <w:t>.</w:t>
      </w:r>
      <w:r>
        <w:t xml:space="preserve"> </w:t>
      </w:r>
      <w:r w:rsidRPr="00297629">
        <w:t>Viewed 15/01/2019</w:t>
      </w:r>
      <w:r>
        <w:t>. There were 73,090 new residents in 2016/2017. It had to be assumed that these new residents were equally distributed across Australia.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AC6" w:rsidRDefault="00D63A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AC6" w:rsidRDefault="00D63A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AC6" w:rsidRDefault="00D63A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CAE" w:rsidRDefault="00416C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CAE" w:rsidRDefault="00416CAE" w:rsidP="00341AF1">
    <w:pPr>
      <w:pStyle w:val="Footer"/>
      <w:jc w:val="right"/>
    </w:pPr>
    <w:r w:rsidRPr="00684B6F">
      <w:rPr>
        <w:noProof/>
        <w:sz w:val="24"/>
      </w:rPr>
      <w:drawing>
        <wp:inline distT="0" distB="0" distL="0" distR="0" wp14:anchorId="4CC7566D" wp14:editId="164B7A07">
          <wp:extent cx="800100" cy="374650"/>
          <wp:effectExtent l="0" t="0" r="0" b="6350"/>
          <wp:docPr id="6" name="Picture 8" descr="Ahsri_Logo_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hsri_Logo_Sh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74650"/>
                  </a:xfrm>
                  <a:prstGeom prst="rect">
                    <a:avLst/>
                  </a:prstGeom>
                  <a:noFill/>
                  <a:ln>
                    <a:noFill/>
                  </a:ln>
                </pic:spPr>
              </pic:pic>
            </a:graphicData>
          </a:graphic>
        </wp:inline>
      </w:drawing>
    </w:r>
  </w:p>
  <w:p w:rsidR="00416CAE" w:rsidRPr="00502540" w:rsidRDefault="00416CAE" w:rsidP="00E802C6">
    <w:pPr>
      <w:pStyle w:val="Header"/>
      <w:pBdr>
        <w:top w:val="single" w:sz="4" w:space="1" w:color="auto"/>
      </w:pBdr>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626C24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85C4564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1A03F2"/>
    <w:multiLevelType w:val="hybridMultilevel"/>
    <w:tmpl w:val="171A8A7E"/>
    <w:lvl w:ilvl="0" w:tplc="0C09000F">
      <w:start w:val="1"/>
      <w:numFmt w:val="decimal"/>
      <w:lvlText w:val="%1."/>
      <w:lvlJc w:val="left"/>
      <w:pPr>
        <w:ind w:left="862" w:hanging="360"/>
      </w:pPr>
      <w:rPr>
        <w:rFonts w:hint="default"/>
      </w:rPr>
    </w:lvl>
    <w:lvl w:ilvl="1" w:tplc="0C09000F">
      <w:start w:val="1"/>
      <w:numFmt w:val="decimal"/>
      <w:lvlText w:val="%2."/>
      <w:lvlJc w:val="left"/>
      <w:pPr>
        <w:ind w:left="1440" w:hanging="360"/>
      </w:pPr>
      <w:rPr>
        <w:rFonts w:hint="default"/>
      </w:rPr>
    </w:lvl>
    <w:lvl w:ilvl="2" w:tplc="0C09000F">
      <w:start w:val="1"/>
      <w:numFmt w:val="decimal"/>
      <w:lvlText w:val="%3."/>
      <w:lvlJc w:val="left"/>
      <w:pPr>
        <w:ind w:left="2160" w:hanging="360"/>
      </w:pPr>
      <w:rPr>
        <w:rFonts w:hint="default"/>
      </w:rPr>
    </w:lvl>
    <w:lvl w:ilvl="3" w:tplc="867A88E4">
      <w:numFmt w:val="bullet"/>
      <w:lvlText w:val=""/>
      <w:lvlJc w:val="left"/>
      <w:pPr>
        <w:ind w:left="2880" w:hanging="360"/>
      </w:pPr>
      <w:rPr>
        <w:rFonts w:ascii="Symbol" w:eastAsia="Times New Roman" w:hAnsi="Symbol" w:cs="Times New Roman"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EE6418"/>
    <w:multiLevelType w:val="multilevel"/>
    <w:tmpl w:val="123493D2"/>
    <w:lvl w:ilvl="0">
      <w:start w:val="1"/>
      <w:numFmt w:val="decimal"/>
      <w:pStyle w:val="Heading1A"/>
      <w:lvlText w:val="C%1"/>
      <w:lvlJc w:val="left"/>
      <w:pPr>
        <w:tabs>
          <w:tab w:val="num" w:pos="924"/>
        </w:tabs>
        <w:ind w:left="924" w:hanging="924"/>
      </w:pPr>
    </w:lvl>
    <w:lvl w:ilvl="1">
      <w:start w:val="1"/>
      <w:numFmt w:val="decimal"/>
      <w:pStyle w:val="PFNumLevel2"/>
      <w:lvlText w:val="B%1.%2"/>
      <w:lvlJc w:val="left"/>
      <w:pPr>
        <w:tabs>
          <w:tab w:val="num" w:pos="924"/>
        </w:tabs>
        <w:ind w:left="924" w:hanging="924"/>
      </w:pPr>
    </w:lvl>
    <w:lvl w:ilvl="2">
      <w:start w:val="1"/>
      <w:numFmt w:val="decimal"/>
      <w:pStyle w:val="PFNumLevel3"/>
      <w:lvlText w:val="%1.%2.%3"/>
      <w:lvlJc w:val="left"/>
      <w:pPr>
        <w:tabs>
          <w:tab w:val="num" w:pos="1848"/>
        </w:tabs>
        <w:ind w:left="1848" w:hanging="924"/>
      </w:pPr>
    </w:lvl>
    <w:lvl w:ilvl="3">
      <w:start w:val="1"/>
      <w:numFmt w:val="lowerLetter"/>
      <w:pStyle w:val="PFNumLevel4"/>
      <w:lvlText w:val="(%4)"/>
      <w:lvlJc w:val="left"/>
      <w:pPr>
        <w:tabs>
          <w:tab w:val="num" w:pos="2773"/>
        </w:tabs>
        <w:ind w:left="2773" w:hanging="925"/>
      </w:pPr>
    </w:lvl>
    <w:lvl w:ilvl="4">
      <w:start w:val="1"/>
      <w:numFmt w:val="lowerLetter"/>
      <w:pStyle w:val="PFNumLevel5"/>
      <w:lvlText w:val="(%5)"/>
      <w:lvlJc w:val="left"/>
      <w:pPr>
        <w:tabs>
          <w:tab w:val="num" w:pos="1848"/>
        </w:tabs>
        <w:ind w:left="1848" w:hanging="924"/>
      </w:pPr>
    </w:lvl>
    <w:lvl w:ilvl="5">
      <w:start w:val="1"/>
      <w:numFmt w:val="lowerRoman"/>
      <w:lvlRestart w:val="4"/>
      <w:pStyle w:val="PFNumLevel6"/>
      <w:lvlText w:val="(%6)"/>
      <w:lvlJc w:val="left"/>
      <w:pPr>
        <w:tabs>
          <w:tab w:val="num" w:pos="3697"/>
        </w:tabs>
        <w:ind w:left="3697" w:hanging="924"/>
      </w:pPr>
    </w:lvl>
    <w:lvl w:ilvl="6">
      <w:start w:val="1"/>
      <w:numFmt w:val="none"/>
      <w:suff w:val="nothing"/>
      <w:lvlText w:val=""/>
      <w:lvlJc w:val="left"/>
      <w:pPr>
        <w:ind w:left="0" w:firstLine="0"/>
      </w:pPr>
    </w:lvl>
    <w:lvl w:ilvl="7">
      <w:start w:val="1"/>
      <w:numFmt w:val="none"/>
      <w:suff w:val="nothing"/>
      <w:lvlText w:val=""/>
      <w:lvlJc w:val="left"/>
      <w:pPr>
        <w:ind w:left="-32767" w:firstLine="32767"/>
      </w:pPr>
    </w:lvl>
    <w:lvl w:ilvl="8">
      <w:start w:val="1"/>
      <w:numFmt w:val="none"/>
      <w:suff w:val="nothing"/>
      <w:lvlText w:val=""/>
      <w:lvlJc w:val="left"/>
      <w:pPr>
        <w:ind w:left="0" w:firstLine="0"/>
      </w:pPr>
    </w:lvl>
  </w:abstractNum>
  <w:abstractNum w:abstractNumId="4" w15:restartNumberingAfterBreak="0">
    <w:nsid w:val="0FA67341"/>
    <w:multiLevelType w:val="singleLevel"/>
    <w:tmpl w:val="1854A824"/>
    <w:lvl w:ilvl="0">
      <w:start w:val="1"/>
      <w:numFmt w:val="bullet"/>
      <w:pStyle w:val="1AutoList1"/>
      <w:lvlText w:val=""/>
      <w:lvlJc w:val="left"/>
      <w:pPr>
        <w:tabs>
          <w:tab w:val="num" w:pos="360"/>
        </w:tabs>
        <w:ind w:left="360" w:hanging="360"/>
      </w:pPr>
      <w:rPr>
        <w:rFonts w:ascii="Wingdings" w:hAnsi="Wingdings" w:hint="default"/>
      </w:rPr>
    </w:lvl>
  </w:abstractNum>
  <w:abstractNum w:abstractNumId="5" w15:restartNumberingAfterBreak="0">
    <w:nsid w:val="21FA387C"/>
    <w:multiLevelType w:val="hybridMultilevel"/>
    <w:tmpl w:val="A3883008"/>
    <w:lvl w:ilvl="0" w:tplc="010EE4C0">
      <w:start w:val="1"/>
      <w:numFmt w:val="bullet"/>
      <w:pStyle w:val="Bullet"/>
      <w:lvlText w:val=""/>
      <w:lvlJc w:val="left"/>
      <w:pPr>
        <w:ind w:left="502" w:hanging="360"/>
      </w:pPr>
      <w:rPr>
        <w:rFonts w:ascii="Wingdings" w:hAnsi="Wingdings" w:hint="default"/>
      </w:rPr>
    </w:lvl>
    <w:lvl w:ilvl="1" w:tplc="0C09000F">
      <w:start w:val="1"/>
      <w:numFmt w:val="decimal"/>
      <w:lvlText w:val="%2."/>
      <w:lvlJc w:val="left"/>
      <w:pPr>
        <w:ind w:left="1080" w:hanging="360"/>
      </w:pPr>
      <w:rPr>
        <w:rFonts w:hint="default"/>
      </w:rPr>
    </w:lvl>
    <w:lvl w:ilvl="2" w:tplc="0C09000F">
      <w:start w:val="1"/>
      <w:numFmt w:val="decimal"/>
      <w:lvlText w:val="%3."/>
      <w:lvlJc w:val="left"/>
      <w:pPr>
        <w:ind w:left="1800" w:hanging="360"/>
      </w:pPr>
      <w:rPr>
        <w:rFonts w:hint="default"/>
      </w:rPr>
    </w:lvl>
    <w:lvl w:ilvl="3" w:tplc="867A88E4">
      <w:numFmt w:val="bullet"/>
      <w:lvlText w:val=""/>
      <w:lvlJc w:val="left"/>
      <w:pPr>
        <w:ind w:left="2520" w:hanging="360"/>
      </w:pPr>
      <w:rPr>
        <w:rFonts w:ascii="Symbol" w:eastAsia="Times New Roman" w:hAnsi="Symbol" w:cs="Times New Roman"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3261331"/>
    <w:multiLevelType w:val="multilevel"/>
    <w:tmpl w:val="213A0014"/>
    <w:lvl w:ilvl="0">
      <w:start w:val="1"/>
      <w:numFmt w:val="decimal"/>
      <w:pStyle w:val="Heading1"/>
      <w:lvlText w:val="%1"/>
      <w:lvlJc w:val="left"/>
      <w:pPr>
        <w:ind w:left="432" w:hanging="432"/>
      </w:pPr>
    </w:lvl>
    <w:lvl w:ilvl="1">
      <w:start w:val="1"/>
      <w:numFmt w:val="decimal"/>
      <w:pStyle w:val="Heading2"/>
      <w:lvlText w:val="%1.%2"/>
      <w:lvlJc w:val="left"/>
      <w:pPr>
        <w:ind w:left="3837" w:hanging="576"/>
      </w:pPr>
    </w:lvl>
    <w:lvl w:ilvl="2">
      <w:start w:val="1"/>
      <w:numFmt w:val="decimal"/>
      <w:pStyle w:val="Heading3"/>
      <w:lvlText w:val="%1.%2.%3"/>
      <w:lvlJc w:val="left"/>
      <w:pPr>
        <w:ind w:left="-131" w:hanging="720"/>
      </w:pPr>
    </w:lvl>
    <w:lvl w:ilvl="3">
      <w:start w:val="1"/>
      <w:numFmt w:val="decimal"/>
      <w:lvlText w:val="%1.%2.%3.%4"/>
      <w:lvlJc w:val="left"/>
      <w:pPr>
        <w:ind w:left="13" w:hanging="864"/>
      </w:pPr>
    </w:lvl>
    <w:lvl w:ilvl="4">
      <w:start w:val="1"/>
      <w:numFmt w:val="decimal"/>
      <w:pStyle w:val="Heading5"/>
      <w:lvlText w:val="%1.%2.%3.%4.%5"/>
      <w:lvlJc w:val="left"/>
      <w:pPr>
        <w:ind w:left="157" w:hanging="1008"/>
      </w:pPr>
    </w:lvl>
    <w:lvl w:ilvl="5">
      <w:start w:val="1"/>
      <w:numFmt w:val="decimal"/>
      <w:pStyle w:val="Heading6"/>
      <w:lvlText w:val="%1.%2.%3.%4.%5.%6"/>
      <w:lvlJc w:val="left"/>
      <w:pPr>
        <w:ind w:left="301" w:hanging="1152"/>
      </w:pPr>
    </w:lvl>
    <w:lvl w:ilvl="6">
      <w:start w:val="1"/>
      <w:numFmt w:val="decimal"/>
      <w:pStyle w:val="Heading7"/>
      <w:lvlText w:val="%1.%2.%3.%4.%5.%6.%7"/>
      <w:lvlJc w:val="left"/>
      <w:pPr>
        <w:ind w:left="445" w:hanging="1296"/>
      </w:pPr>
    </w:lvl>
    <w:lvl w:ilvl="7">
      <w:start w:val="1"/>
      <w:numFmt w:val="decimal"/>
      <w:pStyle w:val="Heading8"/>
      <w:lvlText w:val="%1.%2.%3.%4.%5.%6.%7.%8"/>
      <w:lvlJc w:val="left"/>
      <w:pPr>
        <w:ind w:left="589" w:hanging="1440"/>
      </w:pPr>
    </w:lvl>
    <w:lvl w:ilvl="8">
      <w:start w:val="1"/>
      <w:numFmt w:val="decimal"/>
      <w:pStyle w:val="Heading9"/>
      <w:lvlText w:val="%1.%2.%3.%4.%5.%6.%7.%8.%9"/>
      <w:lvlJc w:val="left"/>
      <w:pPr>
        <w:ind w:left="733" w:hanging="1584"/>
      </w:pPr>
    </w:lvl>
  </w:abstractNum>
  <w:abstractNum w:abstractNumId="7" w15:restartNumberingAfterBreak="0">
    <w:nsid w:val="4D0B7445"/>
    <w:multiLevelType w:val="hybridMultilevel"/>
    <w:tmpl w:val="AE824EAA"/>
    <w:lvl w:ilvl="0" w:tplc="E9A27344">
      <w:start w:val="1"/>
      <w:numFmt w:val="decimal"/>
      <w:lvlText w:val="Report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0825B68"/>
    <w:multiLevelType w:val="hybridMultilevel"/>
    <w:tmpl w:val="7F0ECF34"/>
    <w:lvl w:ilvl="0" w:tplc="A6384F78">
      <w:start w:val="1"/>
      <w:numFmt w:val="bullet"/>
      <w:pStyle w:val="BulletPoint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286F53"/>
    <w:multiLevelType w:val="hybridMultilevel"/>
    <w:tmpl w:val="2C90F506"/>
    <w:lvl w:ilvl="0" w:tplc="A038F3C8">
      <w:start w:val="1"/>
      <w:numFmt w:val="lowerLetter"/>
      <w:pStyle w:val="CCS-NumericNumberedList"/>
      <w:lvlText w:val="%1)"/>
      <w:lvlJc w:val="left"/>
      <w:pPr>
        <w:ind w:left="360" w:hanging="360"/>
      </w:pPr>
      <w:rPr>
        <w:rFonts w:hint="default"/>
      </w:rPr>
    </w:lvl>
    <w:lvl w:ilvl="1" w:tplc="F41A5474" w:tentative="1">
      <w:start w:val="1"/>
      <w:numFmt w:val="lowerLetter"/>
      <w:lvlText w:val="%2."/>
      <w:lvlJc w:val="left"/>
      <w:pPr>
        <w:ind w:left="1080" w:hanging="360"/>
      </w:pPr>
    </w:lvl>
    <w:lvl w:ilvl="2" w:tplc="3678FA12" w:tentative="1">
      <w:start w:val="1"/>
      <w:numFmt w:val="lowerRoman"/>
      <w:lvlText w:val="%3."/>
      <w:lvlJc w:val="right"/>
      <w:pPr>
        <w:ind w:left="1800" w:hanging="180"/>
      </w:pPr>
    </w:lvl>
    <w:lvl w:ilvl="3" w:tplc="06D8D3D4" w:tentative="1">
      <w:start w:val="1"/>
      <w:numFmt w:val="decimal"/>
      <w:lvlText w:val="%4."/>
      <w:lvlJc w:val="left"/>
      <w:pPr>
        <w:ind w:left="2520" w:hanging="360"/>
      </w:pPr>
    </w:lvl>
    <w:lvl w:ilvl="4" w:tplc="F7C4D3AC" w:tentative="1">
      <w:start w:val="1"/>
      <w:numFmt w:val="lowerLetter"/>
      <w:lvlText w:val="%5."/>
      <w:lvlJc w:val="left"/>
      <w:pPr>
        <w:ind w:left="3240" w:hanging="360"/>
      </w:pPr>
    </w:lvl>
    <w:lvl w:ilvl="5" w:tplc="EC263354" w:tentative="1">
      <w:start w:val="1"/>
      <w:numFmt w:val="lowerRoman"/>
      <w:lvlText w:val="%6."/>
      <w:lvlJc w:val="right"/>
      <w:pPr>
        <w:ind w:left="3960" w:hanging="180"/>
      </w:pPr>
    </w:lvl>
    <w:lvl w:ilvl="6" w:tplc="6DDAB9AE" w:tentative="1">
      <w:start w:val="1"/>
      <w:numFmt w:val="decimal"/>
      <w:lvlText w:val="%7."/>
      <w:lvlJc w:val="left"/>
      <w:pPr>
        <w:ind w:left="4680" w:hanging="360"/>
      </w:pPr>
    </w:lvl>
    <w:lvl w:ilvl="7" w:tplc="BB460B5C" w:tentative="1">
      <w:start w:val="1"/>
      <w:numFmt w:val="lowerLetter"/>
      <w:lvlText w:val="%8."/>
      <w:lvlJc w:val="left"/>
      <w:pPr>
        <w:ind w:left="5400" w:hanging="360"/>
      </w:pPr>
    </w:lvl>
    <w:lvl w:ilvl="8" w:tplc="29BA4FE2" w:tentative="1">
      <w:start w:val="1"/>
      <w:numFmt w:val="lowerRoman"/>
      <w:lvlText w:val="%9."/>
      <w:lvlJc w:val="right"/>
      <w:pPr>
        <w:ind w:left="6120" w:hanging="180"/>
      </w:pPr>
    </w:lvl>
  </w:abstractNum>
  <w:abstractNum w:abstractNumId="10" w15:restartNumberingAfterBreak="0">
    <w:nsid w:val="629F2DE5"/>
    <w:multiLevelType w:val="hybridMultilevel"/>
    <w:tmpl w:val="70AE30B2"/>
    <w:lvl w:ilvl="0" w:tplc="36F482B8">
      <w:start w:val="1"/>
      <w:numFmt w:val="bullet"/>
      <w:pStyle w:val="Bullets"/>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D0B0F0B"/>
    <w:multiLevelType w:val="singleLevel"/>
    <w:tmpl w:val="32D6C89A"/>
    <w:lvl w:ilvl="0">
      <w:start w:val="1"/>
      <w:numFmt w:val="bullet"/>
      <w:pStyle w:val="1BulletList"/>
      <w:lvlText w:val=""/>
      <w:lvlJc w:val="left"/>
      <w:pPr>
        <w:tabs>
          <w:tab w:val="num" w:pos="360"/>
        </w:tabs>
        <w:ind w:left="360" w:hanging="360"/>
      </w:pPr>
      <w:rPr>
        <w:rFonts w:ascii="Wingdings" w:hAnsi="Wingdings" w:hint="default"/>
      </w:r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4"/>
  </w:num>
  <w:num w:numId="5">
    <w:abstractNumId w:val="6"/>
  </w:num>
  <w:num w:numId="6">
    <w:abstractNumId w:val="1"/>
  </w:num>
  <w:num w:numId="7">
    <w:abstractNumId w:val="7"/>
  </w:num>
  <w:num w:numId="8">
    <w:abstractNumId w:val="9"/>
  </w:num>
  <w:num w:numId="9">
    <w:abstractNumId w:val="8"/>
  </w:num>
  <w:num w:numId="10">
    <w:abstractNumId w:val="0"/>
  </w:num>
  <w:num w:numId="11">
    <w:abstractNumId w:val="2"/>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E81"/>
    <w:rsid w:val="0000306F"/>
    <w:rsid w:val="00003E81"/>
    <w:rsid w:val="00003F55"/>
    <w:rsid w:val="00013593"/>
    <w:rsid w:val="00013ADE"/>
    <w:rsid w:val="00013C55"/>
    <w:rsid w:val="00015455"/>
    <w:rsid w:val="00015505"/>
    <w:rsid w:val="00015C6A"/>
    <w:rsid w:val="0001654F"/>
    <w:rsid w:val="00022A66"/>
    <w:rsid w:val="00024CC7"/>
    <w:rsid w:val="00025BD4"/>
    <w:rsid w:val="00026A0D"/>
    <w:rsid w:val="000277F9"/>
    <w:rsid w:val="00027C4E"/>
    <w:rsid w:val="000301F7"/>
    <w:rsid w:val="00031277"/>
    <w:rsid w:val="00033FB7"/>
    <w:rsid w:val="00040859"/>
    <w:rsid w:val="000423C3"/>
    <w:rsid w:val="00042F02"/>
    <w:rsid w:val="000457D8"/>
    <w:rsid w:val="00046574"/>
    <w:rsid w:val="00050DB0"/>
    <w:rsid w:val="00052EDB"/>
    <w:rsid w:val="0005621A"/>
    <w:rsid w:val="000623DA"/>
    <w:rsid w:val="00063371"/>
    <w:rsid w:val="000651DA"/>
    <w:rsid w:val="00065292"/>
    <w:rsid w:val="00065C6F"/>
    <w:rsid w:val="00066284"/>
    <w:rsid w:val="00066CD1"/>
    <w:rsid w:val="00066FC5"/>
    <w:rsid w:val="00070F08"/>
    <w:rsid w:val="00071B06"/>
    <w:rsid w:val="00075624"/>
    <w:rsid w:val="00081052"/>
    <w:rsid w:val="000874D4"/>
    <w:rsid w:val="000901B5"/>
    <w:rsid w:val="00090434"/>
    <w:rsid w:val="00090460"/>
    <w:rsid w:val="00091BD9"/>
    <w:rsid w:val="00091C92"/>
    <w:rsid w:val="000948F3"/>
    <w:rsid w:val="000973E6"/>
    <w:rsid w:val="000A080C"/>
    <w:rsid w:val="000A5FF0"/>
    <w:rsid w:val="000A7344"/>
    <w:rsid w:val="000B28BC"/>
    <w:rsid w:val="000B2EC2"/>
    <w:rsid w:val="000B30FF"/>
    <w:rsid w:val="000B423E"/>
    <w:rsid w:val="000C087C"/>
    <w:rsid w:val="000C758D"/>
    <w:rsid w:val="000D0509"/>
    <w:rsid w:val="000D0716"/>
    <w:rsid w:val="000D0E1E"/>
    <w:rsid w:val="000D16C6"/>
    <w:rsid w:val="000D1D50"/>
    <w:rsid w:val="000D4F54"/>
    <w:rsid w:val="000D6E2F"/>
    <w:rsid w:val="000E0A1B"/>
    <w:rsid w:val="000E2E5F"/>
    <w:rsid w:val="000E3AF4"/>
    <w:rsid w:val="000E4768"/>
    <w:rsid w:val="000E5032"/>
    <w:rsid w:val="000E5338"/>
    <w:rsid w:val="000E54C2"/>
    <w:rsid w:val="000E682B"/>
    <w:rsid w:val="000F1E85"/>
    <w:rsid w:val="000F62DB"/>
    <w:rsid w:val="000F6C4A"/>
    <w:rsid w:val="000F7185"/>
    <w:rsid w:val="000F7206"/>
    <w:rsid w:val="000F7E00"/>
    <w:rsid w:val="000F7F92"/>
    <w:rsid w:val="00101215"/>
    <w:rsid w:val="00103AC8"/>
    <w:rsid w:val="00105AC8"/>
    <w:rsid w:val="00106358"/>
    <w:rsid w:val="00106A3B"/>
    <w:rsid w:val="00106CEA"/>
    <w:rsid w:val="00106E5E"/>
    <w:rsid w:val="00111C15"/>
    <w:rsid w:val="00114D69"/>
    <w:rsid w:val="00114F5D"/>
    <w:rsid w:val="0011713F"/>
    <w:rsid w:val="001214C0"/>
    <w:rsid w:val="00122118"/>
    <w:rsid w:val="001238A9"/>
    <w:rsid w:val="00123FFA"/>
    <w:rsid w:val="001243B7"/>
    <w:rsid w:val="00125929"/>
    <w:rsid w:val="00126A32"/>
    <w:rsid w:val="00127C58"/>
    <w:rsid w:val="00130FB7"/>
    <w:rsid w:val="001316E9"/>
    <w:rsid w:val="001325EF"/>
    <w:rsid w:val="001331FA"/>
    <w:rsid w:val="00137A72"/>
    <w:rsid w:val="0014007B"/>
    <w:rsid w:val="00141EFA"/>
    <w:rsid w:val="00144CD6"/>
    <w:rsid w:val="00145774"/>
    <w:rsid w:val="00146677"/>
    <w:rsid w:val="00146F8F"/>
    <w:rsid w:val="001506B1"/>
    <w:rsid w:val="0015206C"/>
    <w:rsid w:val="00155848"/>
    <w:rsid w:val="00157274"/>
    <w:rsid w:val="001606FE"/>
    <w:rsid w:val="001612A9"/>
    <w:rsid w:val="0016276F"/>
    <w:rsid w:val="00162E25"/>
    <w:rsid w:val="001655D8"/>
    <w:rsid w:val="00166030"/>
    <w:rsid w:val="00171DA7"/>
    <w:rsid w:val="001741B4"/>
    <w:rsid w:val="00175B5C"/>
    <w:rsid w:val="00177774"/>
    <w:rsid w:val="00180AC8"/>
    <w:rsid w:val="0018265C"/>
    <w:rsid w:val="00182991"/>
    <w:rsid w:val="001830EB"/>
    <w:rsid w:val="00184F5A"/>
    <w:rsid w:val="001878B8"/>
    <w:rsid w:val="00191C33"/>
    <w:rsid w:val="0019296D"/>
    <w:rsid w:val="00192A24"/>
    <w:rsid w:val="001931C0"/>
    <w:rsid w:val="00193F8A"/>
    <w:rsid w:val="00196240"/>
    <w:rsid w:val="00196C53"/>
    <w:rsid w:val="001A02B4"/>
    <w:rsid w:val="001A2768"/>
    <w:rsid w:val="001A38C0"/>
    <w:rsid w:val="001A7B55"/>
    <w:rsid w:val="001B19D1"/>
    <w:rsid w:val="001B3B2D"/>
    <w:rsid w:val="001B5846"/>
    <w:rsid w:val="001C0662"/>
    <w:rsid w:val="001C2822"/>
    <w:rsid w:val="001C4BC5"/>
    <w:rsid w:val="001C4C9B"/>
    <w:rsid w:val="001C598D"/>
    <w:rsid w:val="001C5CDE"/>
    <w:rsid w:val="001D066A"/>
    <w:rsid w:val="001D0743"/>
    <w:rsid w:val="001D1EF1"/>
    <w:rsid w:val="001D2F72"/>
    <w:rsid w:val="001D6721"/>
    <w:rsid w:val="001E0011"/>
    <w:rsid w:val="001E139D"/>
    <w:rsid w:val="001E23ED"/>
    <w:rsid w:val="001E5F06"/>
    <w:rsid w:val="001F4339"/>
    <w:rsid w:val="001F518D"/>
    <w:rsid w:val="001F5460"/>
    <w:rsid w:val="001F5CA9"/>
    <w:rsid w:val="001F5FE1"/>
    <w:rsid w:val="00203177"/>
    <w:rsid w:val="002054B8"/>
    <w:rsid w:val="002061DD"/>
    <w:rsid w:val="00206B48"/>
    <w:rsid w:val="00206D88"/>
    <w:rsid w:val="00207D94"/>
    <w:rsid w:val="00210AA5"/>
    <w:rsid w:val="00212EB3"/>
    <w:rsid w:val="0021584C"/>
    <w:rsid w:val="00217B68"/>
    <w:rsid w:val="002230D7"/>
    <w:rsid w:val="00223B13"/>
    <w:rsid w:val="002253DF"/>
    <w:rsid w:val="00226559"/>
    <w:rsid w:val="00226A0D"/>
    <w:rsid w:val="00227800"/>
    <w:rsid w:val="002309BA"/>
    <w:rsid w:val="00231A37"/>
    <w:rsid w:val="00233201"/>
    <w:rsid w:val="002333CE"/>
    <w:rsid w:val="002364E9"/>
    <w:rsid w:val="00236618"/>
    <w:rsid w:val="002412CA"/>
    <w:rsid w:val="0024433A"/>
    <w:rsid w:val="00244F5D"/>
    <w:rsid w:val="00251C4B"/>
    <w:rsid w:val="002550D7"/>
    <w:rsid w:val="002554A5"/>
    <w:rsid w:val="00260AC2"/>
    <w:rsid w:val="002628D3"/>
    <w:rsid w:val="00264FFB"/>
    <w:rsid w:val="00265868"/>
    <w:rsid w:val="00266216"/>
    <w:rsid w:val="002667F7"/>
    <w:rsid w:val="00266920"/>
    <w:rsid w:val="002701ED"/>
    <w:rsid w:val="00270DAA"/>
    <w:rsid w:val="00274C78"/>
    <w:rsid w:val="00274CDA"/>
    <w:rsid w:val="0027697D"/>
    <w:rsid w:val="002813C3"/>
    <w:rsid w:val="002841B9"/>
    <w:rsid w:val="00284A77"/>
    <w:rsid w:val="00287055"/>
    <w:rsid w:val="00287592"/>
    <w:rsid w:val="00287D89"/>
    <w:rsid w:val="00291B09"/>
    <w:rsid w:val="00294657"/>
    <w:rsid w:val="002A0288"/>
    <w:rsid w:val="002A5E5D"/>
    <w:rsid w:val="002A7314"/>
    <w:rsid w:val="002B5454"/>
    <w:rsid w:val="002C0115"/>
    <w:rsid w:val="002C0D5D"/>
    <w:rsid w:val="002C2D28"/>
    <w:rsid w:val="002C433F"/>
    <w:rsid w:val="002C6DF8"/>
    <w:rsid w:val="002D0561"/>
    <w:rsid w:val="002D06AD"/>
    <w:rsid w:val="002D1E31"/>
    <w:rsid w:val="002D3C07"/>
    <w:rsid w:val="002D3FF8"/>
    <w:rsid w:val="002D4A4E"/>
    <w:rsid w:val="002D4EAB"/>
    <w:rsid w:val="002E04F1"/>
    <w:rsid w:val="002E1AA4"/>
    <w:rsid w:val="002E45D6"/>
    <w:rsid w:val="002E6981"/>
    <w:rsid w:val="002E6AC6"/>
    <w:rsid w:val="002F2F37"/>
    <w:rsid w:val="002F3801"/>
    <w:rsid w:val="002F4031"/>
    <w:rsid w:val="002F458C"/>
    <w:rsid w:val="002F5954"/>
    <w:rsid w:val="00301397"/>
    <w:rsid w:val="00301BD2"/>
    <w:rsid w:val="00301C8F"/>
    <w:rsid w:val="00306A95"/>
    <w:rsid w:val="00306DC6"/>
    <w:rsid w:val="00310A1E"/>
    <w:rsid w:val="00310FC8"/>
    <w:rsid w:val="00313FFB"/>
    <w:rsid w:val="00314FC5"/>
    <w:rsid w:val="00315497"/>
    <w:rsid w:val="003163B2"/>
    <w:rsid w:val="00316BDB"/>
    <w:rsid w:val="00317647"/>
    <w:rsid w:val="003178AE"/>
    <w:rsid w:val="00317E6A"/>
    <w:rsid w:val="003204BF"/>
    <w:rsid w:val="00322476"/>
    <w:rsid w:val="003224C7"/>
    <w:rsid w:val="00325E39"/>
    <w:rsid w:val="003272CC"/>
    <w:rsid w:val="00327D41"/>
    <w:rsid w:val="00331160"/>
    <w:rsid w:val="003316DD"/>
    <w:rsid w:val="00336917"/>
    <w:rsid w:val="00341AF1"/>
    <w:rsid w:val="00344DA9"/>
    <w:rsid w:val="00351FC8"/>
    <w:rsid w:val="00355C3F"/>
    <w:rsid w:val="00357F29"/>
    <w:rsid w:val="0036031D"/>
    <w:rsid w:val="0036145C"/>
    <w:rsid w:val="003616E7"/>
    <w:rsid w:val="003634B1"/>
    <w:rsid w:val="00364330"/>
    <w:rsid w:val="003646A3"/>
    <w:rsid w:val="003650DD"/>
    <w:rsid w:val="00373519"/>
    <w:rsid w:val="00375885"/>
    <w:rsid w:val="00377242"/>
    <w:rsid w:val="00380E4B"/>
    <w:rsid w:val="00383363"/>
    <w:rsid w:val="00385452"/>
    <w:rsid w:val="00385E4F"/>
    <w:rsid w:val="00386D5F"/>
    <w:rsid w:val="00387236"/>
    <w:rsid w:val="003877E2"/>
    <w:rsid w:val="00390FE3"/>
    <w:rsid w:val="00393C7F"/>
    <w:rsid w:val="00393E7E"/>
    <w:rsid w:val="00396FF8"/>
    <w:rsid w:val="003978C6"/>
    <w:rsid w:val="00397D6C"/>
    <w:rsid w:val="003A0EA1"/>
    <w:rsid w:val="003A0F95"/>
    <w:rsid w:val="003A2FA2"/>
    <w:rsid w:val="003A7706"/>
    <w:rsid w:val="003B189B"/>
    <w:rsid w:val="003B27FC"/>
    <w:rsid w:val="003B552C"/>
    <w:rsid w:val="003C0A96"/>
    <w:rsid w:val="003C2797"/>
    <w:rsid w:val="003C41BB"/>
    <w:rsid w:val="003C73B1"/>
    <w:rsid w:val="003D044C"/>
    <w:rsid w:val="003D0D8E"/>
    <w:rsid w:val="003D2275"/>
    <w:rsid w:val="003D50DD"/>
    <w:rsid w:val="003D709D"/>
    <w:rsid w:val="003D77A5"/>
    <w:rsid w:val="003E0139"/>
    <w:rsid w:val="003E08FA"/>
    <w:rsid w:val="003E5137"/>
    <w:rsid w:val="003E5344"/>
    <w:rsid w:val="003F4552"/>
    <w:rsid w:val="003F5D8D"/>
    <w:rsid w:val="00400841"/>
    <w:rsid w:val="00404C5E"/>
    <w:rsid w:val="00411DBC"/>
    <w:rsid w:val="0041467E"/>
    <w:rsid w:val="00415E9D"/>
    <w:rsid w:val="00416CAE"/>
    <w:rsid w:val="00421006"/>
    <w:rsid w:val="004211F3"/>
    <w:rsid w:val="00422C82"/>
    <w:rsid w:val="00423A57"/>
    <w:rsid w:val="004253FC"/>
    <w:rsid w:val="00426124"/>
    <w:rsid w:val="004264F3"/>
    <w:rsid w:val="004268C3"/>
    <w:rsid w:val="00432B62"/>
    <w:rsid w:val="004330B8"/>
    <w:rsid w:val="004359F2"/>
    <w:rsid w:val="004417FF"/>
    <w:rsid w:val="00442A39"/>
    <w:rsid w:val="0044359D"/>
    <w:rsid w:val="00443927"/>
    <w:rsid w:val="00444445"/>
    <w:rsid w:val="00446578"/>
    <w:rsid w:val="0044683F"/>
    <w:rsid w:val="004473BB"/>
    <w:rsid w:val="004500EB"/>
    <w:rsid w:val="00451160"/>
    <w:rsid w:val="00452D08"/>
    <w:rsid w:val="00454B24"/>
    <w:rsid w:val="00456561"/>
    <w:rsid w:val="00456602"/>
    <w:rsid w:val="00457EB4"/>
    <w:rsid w:val="00462770"/>
    <w:rsid w:val="00472F6A"/>
    <w:rsid w:val="0047789E"/>
    <w:rsid w:val="0048111A"/>
    <w:rsid w:val="00482005"/>
    <w:rsid w:val="0048308E"/>
    <w:rsid w:val="004846E1"/>
    <w:rsid w:val="00491E4D"/>
    <w:rsid w:val="00492A48"/>
    <w:rsid w:val="00497D0E"/>
    <w:rsid w:val="004A07E4"/>
    <w:rsid w:val="004A09EC"/>
    <w:rsid w:val="004A0D01"/>
    <w:rsid w:val="004A24D7"/>
    <w:rsid w:val="004A2C35"/>
    <w:rsid w:val="004A312B"/>
    <w:rsid w:val="004A5B22"/>
    <w:rsid w:val="004A643E"/>
    <w:rsid w:val="004B1002"/>
    <w:rsid w:val="004B35DC"/>
    <w:rsid w:val="004B5133"/>
    <w:rsid w:val="004B6910"/>
    <w:rsid w:val="004C1BC5"/>
    <w:rsid w:val="004C477E"/>
    <w:rsid w:val="004C4F81"/>
    <w:rsid w:val="004C6BE6"/>
    <w:rsid w:val="004D295A"/>
    <w:rsid w:val="004D673F"/>
    <w:rsid w:val="004E11EC"/>
    <w:rsid w:val="004E4E61"/>
    <w:rsid w:val="004F22D2"/>
    <w:rsid w:val="004F2624"/>
    <w:rsid w:val="004F2DD1"/>
    <w:rsid w:val="004F31A2"/>
    <w:rsid w:val="004F68EA"/>
    <w:rsid w:val="00500CCE"/>
    <w:rsid w:val="00501E13"/>
    <w:rsid w:val="005074BB"/>
    <w:rsid w:val="00507708"/>
    <w:rsid w:val="005103F8"/>
    <w:rsid w:val="00511F4C"/>
    <w:rsid w:val="00511FAA"/>
    <w:rsid w:val="00512059"/>
    <w:rsid w:val="00512277"/>
    <w:rsid w:val="00514827"/>
    <w:rsid w:val="0051563F"/>
    <w:rsid w:val="00516218"/>
    <w:rsid w:val="00517130"/>
    <w:rsid w:val="005209CE"/>
    <w:rsid w:val="00520CA1"/>
    <w:rsid w:val="0052311E"/>
    <w:rsid w:val="005250D1"/>
    <w:rsid w:val="00525421"/>
    <w:rsid w:val="00526F8A"/>
    <w:rsid w:val="00531FAD"/>
    <w:rsid w:val="005356E5"/>
    <w:rsid w:val="0053726F"/>
    <w:rsid w:val="00540589"/>
    <w:rsid w:val="0054064C"/>
    <w:rsid w:val="00545E7E"/>
    <w:rsid w:val="00547736"/>
    <w:rsid w:val="00551325"/>
    <w:rsid w:val="0055247E"/>
    <w:rsid w:val="00553D75"/>
    <w:rsid w:val="00557A45"/>
    <w:rsid w:val="00560D6E"/>
    <w:rsid w:val="00561B55"/>
    <w:rsid w:val="00561FC7"/>
    <w:rsid w:val="0056569A"/>
    <w:rsid w:val="00565D03"/>
    <w:rsid w:val="0056620C"/>
    <w:rsid w:val="005672F5"/>
    <w:rsid w:val="00572E47"/>
    <w:rsid w:val="00573DEA"/>
    <w:rsid w:val="005744DC"/>
    <w:rsid w:val="00575CF9"/>
    <w:rsid w:val="00577F7D"/>
    <w:rsid w:val="005818AB"/>
    <w:rsid w:val="00581D34"/>
    <w:rsid w:val="00582B06"/>
    <w:rsid w:val="0058586C"/>
    <w:rsid w:val="00586E4B"/>
    <w:rsid w:val="00590D5B"/>
    <w:rsid w:val="005926D5"/>
    <w:rsid w:val="00592872"/>
    <w:rsid w:val="00593397"/>
    <w:rsid w:val="00594829"/>
    <w:rsid w:val="005948FD"/>
    <w:rsid w:val="0059587C"/>
    <w:rsid w:val="00597CEF"/>
    <w:rsid w:val="00597E98"/>
    <w:rsid w:val="005A21E1"/>
    <w:rsid w:val="005A4E82"/>
    <w:rsid w:val="005A6144"/>
    <w:rsid w:val="005A64C1"/>
    <w:rsid w:val="005A6C65"/>
    <w:rsid w:val="005B21A8"/>
    <w:rsid w:val="005B2C8D"/>
    <w:rsid w:val="005B3F0A"/>
    <w:rsid w:val="005C45E6"/>
    <w:rsid w:val="005C6230"/>
    <w:rsid w:val="005D17B1"/>
    <w:rsid w:val="005D22D0"/>
    <w:rsid w:val="005D4145"/>
    <w:rsid w:val="005D52A6"/>
    <w:rsid w:val="005E38E9"/>
    <w:rsid w:val="005E3D5E"/>
    <w:rsid w:val="005E755B"/>
    <w:rsid w:val="005E771B"/>
    <w:rsid w:val="005E7D81"/>
    <w:rsid w:val="005F262B"/>
    <w:rsid w:val="005F2B72"/>
    <w:rsid w:val="005F4AD0"/>
    <w:rsid w:val="005F6065"/>
    <w:rsid w:val="005F7B3F"/>
    <w:rsid w:val="00601485"/>
    <w:rsid w:val="00601B8B"/>
    <w:rsid w:val="00601DF4"/>
    <w:rsid w:val="00604697"/>
    <w:rsid w:val="006104BE"/>
    <w:rsid w:val="00611DA7"/>
    <w:rsid w:val="00614169"/>
    <w:rsid w:val="00614272"/>
    <w:rsid w:val="00614F63"/>
    <w:rsid w:val="006201F1"/>
    <w:rsid w:val="00620974"/>
    <w:rsid w:val="00622002"/>
    <w:rsid w:val="0062650C"/>
    <w:rsid w:val="00635C72"/>
    <w:rsid w:val="00640902"/>
    <w:rsid w:val="00641E8C"/>
    <w:rsid w:val="00642B85"/>
    <w:rsid w:val="0064378E"/>
    <w:rsid w:val="00643C5B"/>
    <w:rsid w:val="0064408F"/>
    <w:rsid w:val="00647853"/>
    <w:rsid w:val="0065079A"/>
    <w:rsid w:val="00652373"/>
    <w:rsid w:val="0065469D"/>
    <w:rsid w:val="00654A90"/>
    <w:rsid w:val="00656175"/>
    <w:rsid w:val="006569A7"/>
    <w:rsid w:val="00664471"/>
    <w:rsid w:val="00664809"/>
    <w:rsid w:val="00664F64"/>
    <w:rsid w:val="00665DC3"/>
    <w:rsid w:val="00666C1F"/>
    <w:rsid w:val="0066729B"/>
    <w:rsid w:val="00671498"/>
    <w:rsid w:val="00671981"/>
    <w:rsid w:val="006721A4"/>
    <w:rsid w:val="00672CF7"/>
    <w:rsid w:val="0067350F"/>
    <w:rsid w:val="00675042"/>
    <w:rsid w:val="0067643A"/>
    <w:rsid w:val="006827B4"/>
    <w:rsid w:val="00685546"/>
    <w:rsid w:val="0068579C"/>
    <w:rsid w:val="00690001"/>
    <w:rsid w:val="00691072"/>
    <w:rsid w:val="006913E6"/>
    <w:rsid w:val="006953E1"/>
    <w:rsid w:val="00697225"/>
    <w:rsid w:val="0069731B"/>
    <w:rsid w:val="00697514"/>
    <w:rsid w:val="00697C6E"/>
    <w:rsid w:val="006A04BC"/>
    <w:rsid w:val="006A053D"/>
    <w:rsid w:val="006A2CA0"/>
    <w:rsid w:val="006A3C42"/>
    <w:rsid w:val="006A40B2"/>
    <w:rsid w:val="006A49C9"/>
    <w:rsid w:val="006A524C"/>
    <w:rsid w:val="006A67C4"/>
    <w:rsid w:val="006B09BA"/>
    <w:rsid w:val="006B2010"/>
    <w:rsid w:val="006B3635"/>
    <w:rsid w:val="006B3A75"/>
    <w:rsid w:val="006B58DC"/>
    <w:rsid w:val="006B6484"/>
    <w:rsid w:val="006B66F1"/>
    <w:rsid w:val="006B6A8C"/>
    <w:rsid w:val="006B6E99"/>
    <w:rsid w:val="006C3DD0"/>
    <w:rsid w:val="006C60A0"/>
    <w:rsid w:val="006C6F4A"/>
    <w:rsid w:val="006C7397"/>
    <w:rsid w:val="006D2CE5"/>
    <w:rsid w:val="006D3CD5"/>
    <w:rsid w:val="006D4193"/>
    <w:rsid w:val="006D7DD4"/>
    <w:rsid w:val="006E2814"/>
    <w:rsid w:val="006E2BE6"/>
    <w:rsid w:val="006E373B"/>
    <w:rsid w:val="006E50C0"/>
    <w:rsid w:val="006E77FD"/>
    <w:rsid w:val="006F0F1F"/>
    <w:rsid w:val="006F1144"/>
    <w:rsid w:val="006F1A3E"/>
    <w:rsid w:val="006F2A74"/>
    <w:rsid w:val="006F49BB"/>
    <w:rsid w:val="006F6A79"/>
    <w:rsid w:val="006F6CCB"/>
    <w:rsid w:val="006F720C"/>
    <w:rsid w:val="00700BBA"/>
    <w:rsid w:val="00701711"/>
    <w:rsid w:val="00701D7D"/>
    <w:rsid w:val="00702524"/>
    <w:rsid w:val="007036F4"/>
    <w:rsid w:val="007039DE"/>
    <w:rsid w:val="007042C1"/>
    <w:rsid w:val="0070703F"/>
    <w:rsid w:val="00710F75"/>
    <w:rsid w:val="007110A7"/>
    <w:rsid w:val="007125BF"/>
    <w:rsid w:val="00712626"/>
    <w:rsid w:val="00713F3C"/>
    <w:rsid w:val="0072150C"/>
    <w:rsid w:val="00722965"/>
    <w:rsid w:val="00725192"/>
    <w:rsid w:val="00726B62"/>
    <w:rsid w:val="00727616"/>
    <w:rsid w:val="00730982"/>
    <w:rsid w:val="0073417B"/>
    <w:rsid w:val="007369C5"/>
    <w:rsid w:val="00736A13"/>
    <w:rsid w:val="00736D5B"/>
    <w:rsid w:val="007373A2"/>
    <w:rsid w:val="00737914"/>
    <w:rsid w:val="00737F36"/>
    <w:rsid w:val="00744091"/>
    <w:rsid w:val="00745DBE"/>
    <w:rsid w:val="007461E2"/>
    <w:rsid w:val="00746E54"/>
    <w:rsid w:val="00751454"/>
    <w:rsid w:val="00753EA0"/>
    <w:rsid w:val="00754D04"/>
    <w:rsid w:val="00761A1F"/>
    <w:rsid w:val="0076388E"/>
    <w:rsid w:val="00765F4E"/>
    <w:rsid w:val="00766A6D"/>
    <w:rsid w:val="00770787"/>
    <w:rsid w:val="00771504"/>
    <w:rsid w:val="00771946"/>
    <w:rsid w:val="007746BB"/>
    <w:rsid w:val="00775EA7"/>
    <w:rsid w:val="00775FB0"/>
    <w:rsid w:val="00785B04"/>
    <w:rsid w:val="00791C57"/>
    <w:rsid w:val="007949A5"/>
    <w:rsid w:val="007956B5"/>
    <w:rsid w:val="00796D12"/>
    <w:rsid w:val="007977CE"/>
    <w:rsid w:val="007A14E0"/>
    <w:rsid w:val="007A17F9"/>
    <w:rsid w:val="007A1B69"/>
    <w:rsid w:val="007B1742"/>
    <w:rsid w:val="007B28F9"/>
    <w:rsid w:val="007B2FAC"/>
    <w:rsid w:val="007B3758"/>
    <w:rsid w:val="007B4366"/>
    <w:rsid w:val="007B5358"/>
    <w:rsid w:val="007B54AA"/>
    <w:rsid w:val="007C1D81"/>
    <w:rsid w:val="007C4DC4"/>
    <w:rsid w:val="007C6668"/>
    <w:rsid w:val="007C77E6"/>
    <w:rsid w:val="007D0A05"/>
    <w:rsid w:val="007D0D87"/>
    <w:rsid w:val="007D28C3"/>
    <w:rsid w:val="007D362B"/>
    <w:rsid w:val="007D4634"/>
    <w:rsid w:val="007D53B5"/>
    <w:rsid w:val="007D60E2"/>
    <w:rsid w:val="007E21E0"/>
    <w:rsid w:val="007E428E"/>
    <w:rsid w:val="007E46A4"/>
    <w:rsid w:val="007F1EF6"/>
    <w:rsid w:val="007F24D7"/>
    <w:rsid w:val="007F2604"/>
    <w:rsid w:val="007F3B4B"/>
    <w:rsid w:val="00801B51"/>
    <w:rsid w:val="00801B97"/>
    <w:rsid w:val="00802A80"/>
    <w:rsid w:val="00803F39"/>
    <w:rsid w:val="00804C11"/>
    <w:rsid w:val="00806572"/>
    <w:rsid w:val="008110C8"/>
    <w:rsid w:val="00812DB3"/>
    <w:rsid w:val="00813133"/>
    <w:rsid w:val="00813ECE"/>
    <w:rsid w:val="008175BC"/>
    <w:rsid w:val="00817A73"/>
    <w:rsid w:val="00817D9B"/>
    <w:rsid w:val="00822D65"/>
    <w:rsid w:val="008231C2"/>
    <w:rsid w:val="00823856"/>
    <w:rsid w:val="008247DC"/>
    <w:rsid w:val="00824CB5"/>
    <w:rsid w:val="008250C3"/>
    <w:rsid w:val="008258BC"/>
    <w:rsid w:val="00827DDF"/>
    <w:rsid w:val="00831E2F"/>
    <w:rsid w:val="008346AC"/>
    <w:rsid w:val="00836D03"/>
    <w:rsid w:val="00850C04"/>
    <w:rsid w:val="00853F33"/>
    <w:rsid w:val="00857004"/>
    <w:rsid w:val="00857735"/>
    <w:rsid w:val="0086118E"/>
    <w:rsid w:val="00863A81"/>
    <w:rsid w:val="00864880"/>
    <w:rsid w:val="00864C92"/>
    <w:rsid w:val="008650A0"/>
    <w:rsid w:val="00866426"/>
    <w:rsid w:val="008664B2"/>
    <w:rsid w:val="008710A3"/>
    <w:rsid w:val="00871F9F"/>
    <w:rsid w:val="00874A3B"/>
    <w:rsid w:val="00883413"/>
    <w:rsid w:val="00886A4A"/>
    <w:rsid w:val="00886A80"/>
    <w:rsid w:val="00886C17"/>
    <w:rsid w:val="00890092"/>
    <w:rsid w:val="008903C4"/>
    <w:rsid w:val="00892F72"/>
    <w:rsid w:val="008943C7"/>
    <w:rsid w:val="008A1FFA"/>
    <w:rsid w:val="008A2C50"/>
    <w:rsid w:val="008A3994"/>
    <w:rsid w:val="008A3C3B"/>
    <w:rsid w:val="008A42A5"/>
    <w:rsid w:val="008B19FE"/>
    <w:rsid w:val="008B2ABA"/>
    <w:rsid w:val="008B314C"/>
    <w:rsid w:val="008B35D3"/>
    <w:rsid w:val="008B5827"/>
    <w:rsid w:val="008B583F"/>
    <w:rsid w:val="008B5863"/>
    <w:rsid w:val="008B5951"/>
    <w:rsid w:val="008B6E53"/>
    <w:rsid w:val="008C0650"/>
    <w:rsid w:val="008C1003"/>
    <w:rsid w:val="008C1C48"/>
    <w:rsid w:val="008C28FB"/>
    <w:rsid w:val="008C4414"/>
    <w:rsid w:val="008C5C26"/>
    <w:rsid w:val="008C6E4C"/>
    <w:rsid w:val="008D3C15"/>
    <w:rsid w:val="008D75A0"/>
    <w:rsid w:val="008E1328"/>
    <w:rsid w:val="008E173B"/>
    <w:rsid w:val="008E241C"/>
    <w:rsid w:val="008E3503"/>
    <w:rsid w:val="008E46D0"/>
    <w:rsid w:val="008E5130"/>
    <w:rsid w:val="008E7DF6"/>
    <w:rsid w:val="008F070F"/>
    <w:rsid w:val="008F0A4F"/>
    <w:rsid w:val="008F116B"/>
    <w:rsid w:val="008F1191"/>
    <w:rsid w:val="008F23EB"/>
    <w:rsid w:val="008F58B9"/>
    <w:rsid w:val="008F615A"/>
    <w:rsid w:val="008F74ED"/>
    <w:rsid w:val="00900A48"/>
    <w:rsid w:val="00901635"/>
    <w:rsid w:val="00901A02"/>
    <w:rsid w:val="00901C06"/>
    <w:rsid w:val="0090306F"/>
    <w:rsid w:val="00904200"/>
    <w:rsid w:val="00910338"/>
    <w:rsid w:val="00913B8E"/>
    <w:rsid w:val="00913FCA"/>
    <w:rsid w:val="009142BE"/>
    <w:rsid w:val="00914EBA"/>
    <w:rsid w:val="00915B26"/>
    <w:rsid w:val="009169E0"/>
    <w:rsid w:val="00916E16"/>
    <w:rsid w:val="00916F9A"/>
    <w:rsid w:val="00922B59"/>
    <w:rsid w:val="00922C24"/>
    <w:rsid w:val="00924631"/>
    <w:rsid w:val="0092586C"/>
    <w:rsid w:val="00926187"/>
    <w:rsid w:val="009271FE"/>
    <w:rsid w:val="00930FE2"/>
    <w:rsid w:val="009341CA"/>
    <w:rsid w:val="00934250"/>
    <w:rsid w:val="00936648"/>
    <w:rsid w:val="00936E1A"/>
    <w:rsid w:val="00937772"/>
    <w:rsid w:val="00941280"/>
    <w:rsid w:val="00941B95"/>
    <w:rsid w:val="00944E95"/>
    <w:rsid w:val="00945A54"/>
    <w:rsid w:val="00952C36"/>
    <w:rsid w:val="00953D60"/>
    <w:rsid w:val="00954559"/>
    <w:rsid w:val="00955555"/>
    <w:rsid w:val="0096028C"/>
    <w:rsid w:val="00960FAE"/>
    <w:rsid w:val="0096185C"/>
    <w:rsid w:val="00965E42"/>
    <w:rsid w:val="00967FF7"/>
    <w:rsid w:val="009704C3"/>
    <w:rsid w:val="00971DE7"/>
    <w:rsid w:val="009729AE"/>
    <w:rsid w:val="0097391F"/>
    <w:rsid w:val="00977289"/>
    <w:rsid w:val="0098085C"/>
    <w:rsid w:val="009855A0"/>
    <w:rsid w:val="009920EC"/>
    <w:rsid w:val="0099326C"/>
    <w:rsid w:val="00993ADD"/>
    <w:rsid w:val="009952BD"/>
    <w:rsid w:val="009956E7"/>
    <w:rsid w:val="0099592A"/>
    <w:rsid w:val="009A1E83"/>
    <w:rsid w:val="009A32C6"/>
    <w:rsid w:val="009B0264"/>
    <w:rsid w:val="009B1666"/>
    <w:rsid w:val="009B46E5"/>
    <w:rsid w:val="009C1980"/>
    <w:rsid w:val="009C1D81"/>
    <w:rsid w:val="009C2621"/>
    <w:rsid w:val="009C2CD1"/>
    <w:rsid w:val="009C4C44"/>
    <w:rsid w:val="009C6000"/>
    <w:rsid w:val="009D0429"/>
    <w:rsid w:val="009D11AA"/>
    <w:rsid w:val="009D11EF"/>
    <w:rsid w:val="009D1876"/>
    <w:rsid w:val="009D1E00"/>
    <w:rsid w:val="009D2106"/>
    <w:rsid w:val="009D224A"/>
    <w:rsid w:val="009D2E8A"/>
    <w:rsid w:val="009D59C3"/>
    <w:rsid w:val="009D61DC"/>
    <w:rsid w:val="009E10B0"/>
    <w:rsid w:val="009E14A4"/>
    <w:rsid w:val="009E2CE6"/>
    <w:rsid w:val="009E6324"/>
    <w:rsid w:val="009F0EF3"/>
    <w:rsid w:val="009F29A3"/>
    <w:rsid w:val="009F32F3"/>
    <w:rsid w:val="009F6480"/>
    <w:rsid w:val="009F72CE"/>
    <w:rsid w:val="009F7463"/>
    <w:rsid w:val="00A039E0"/>
    <w:rsid w:val="00A0449B"/>
    <w:rsid w:val="00A05025"/>
    <w:rsid w:val="00A05A7F"/>
    <w:rsid w:val="00A05DA5"/>
    <w:rsid w:val="00A127D0"/>
    <w:rsid w:val="00A172E5"/>
    <w:rsid w:val="00A23667"/>
    <w:rsid w:val="00A23942"/>
    <w:rsid w:val="00A24307"/>
    <w:rsid w:val="00A25258"/>
    <w:rsid w:val="00A305A0"/>
    <w:rsid w:val="00A337D8"/>
    <w:rsid w:val="00A34820"/>
    <w:rsid w:val="00A35E81"/>
    <w:rsid w:val="00A36D35"/>
    <w:rsid w:val="00A43151"/>
    <w:rsid w:val="00A43B16"/>
    <w:rsid w:val="00A43BBD"/>
    <w:rsid w:val="00A44907"/>
    <w:rsid w:val="00A45745"/>
    <w:rsid w:val="00A466F7"/>
    <w:rsid w:val="00A545E5"/>
    <w:rsid w:val="00A57040"/>
    <w:rsid w:val="00A61005"/>
    <w:rsid w:val="00A613C1"/>
    <w:rsid w:val="00A63810"/>
    <w:rsid w:val="00A71932"/>
    <w:rsid w:val="00A728E3"/>
    <w:rsid w:val="00A72986"/>
    <w:rsid w:val="00A7343F"/>
    <w:rsid w:val="00A76CD2"/>
    <w:rsid w:val="00A83610"/>
    <w:rsid w:val="00A83DC9"/>
    <w:rsid w:val="00A87BD2"/>
    <w:rsid w:val="00A9016D"/>
    <w:rsid w:val="00A9045A"/>
    <w:rsid w:val="00A90A58"/>
    <w:rsid w:val="00A90DEB"/>
    <w:rsid w:val="00A91585"/>
    <w:rsid w:val="00A91626"/>
    <w:rsid w:val="00A9242A"/>
    <w:rsid w:val="00A92D19"/>
    <w:rsid w:val="00A939D1"/>
    <w:rsid w:val="00A94309"/>
    <w:rsid w:val="00AA365D"/>
    <w:rsid w:val="00AA366E"/>
    <w:rsid w:val="00AA3C1A"/>
    <w:rsid w:val="00AB25A7"/>
    <w:rsid w:val="00AB27C4"/>
    <w:rsid w:val="00AB37E5"/>
    <w:rsid w:val="00AC0AF7"/>
    <w:rsid w:val="00AC0BE2"/>
    <w:rsid w:val="00AC40E6"/>
    <w:rsid w:val="00AC5E06"/>
    <w:rsid w:val="00AC6D5D"/>
    <w:rsid w:val="00AD0185"/>
    <w:rsid w:val="00AD2417"/>
    <w:rsid w:val="00AD3717"/>
    <w:rsid w:val="00AD7AAE"/>
    <w:rsid w:val="00AD7E8D"/>
    <w:rsid w:val="00AE0F37"/>
    <w:rsid w:val="00AE128C"/>
    <w:rsid w:val="00AE3E66"/>
    <w:rsid w:val="00AE475D"/>
    <w:rsid w:val="00AE48FD"/>
    <w:rsid w:val="00AE6722"/>
    <w:rsid w:val="00AF0B69"/>
    <w:rsid w:val="00AF12EC"/>
    <w:rsid w:val="00AF334F"/>
    <w:rsid w:val="00AF5CE4"/>
    <w:rsid w:val="00AF6E66"/>
    <w:rsid w:val="00AF7402"/>
    <w:rsid w:val="00B00DF6"/>
    <w:rsid w:val="00B03F2B"/>
    <w:rsid w:val="00B04F33"/>
    <w:rsid w:val="00B0519E"/>
    <w:rsid w:val="00B11956"/>
    <w:rsid w:val="00B13078"/>
    <w:rsid w:val="00B13345"/>
    <w:rsid w:val="00B17611"/>
    <w:rsid w:val="00B21C2F"/>
    <w:rsid w:val="00B22AE4"/>
    <w:rsid w:val="00B326E0"/>
    <w:rsid w:val="00B338F2"/>
    <w:rsid w:val="00B348E1"/>
    <w:rsid w:val="00B352BC"/>
    <w:rsid w:val="00B360A5"/>
    <w:rsid w:val="00B3616A"/>
    <w:rsid w:val="00B421F1"/>
    <w:rsid w:val="00B43503"/>
    <w:rsid w:val="00B443A4"/>
    <w:rsid w:val="00B45040"/>
    <w:rsid w:val="00B4716C"/>
    <w:rsid w:val="00B5050A"/>
    <w:rsid w:val="00B50B2F"/>
    <w:rsid w:val="00B51AB6"/>
    <w:rsid w:val="00B54169"/>
    <w:rsid w:val="00B54F9B"/>
    <w:rsid w:val="00B55459"/>
    <w:rsid w:val="00B5556F"/>
    <w:rsid w:val="00B60EA5"/>
    <w:rsid w:val="00B618C5"/>
    <w:rsid w:val="00B624D0"/>
    <w:rsid w:val="00B6399E"/>
    <w:rsid w:val="00B648E7"/>
    <w:rsid w:val="00B66479"/>
    <w:rsid w:val="00B678C4"/>
    <w:rsid w:val="00B7032E"/>
    <w:rsid w:val="00B70AC1"/>
    <w:rsid w:val="00B72BA6"/>
    <w:rsid w:val="00B73576"/>
    <w:rsid w:val="00B73EB5"/>
    <w:rsid w:val="00B75999"/>
    <w:rsid w:val="00B7664A"/>
    <w:rsid w:val="00B81469"/>
    <w:rsid w:val="00B83686"/>
    <w:rsid w:val="00B847CF"/>
    <w:rsid w:val="00B85BE9"/>
    <w:rsid w:val="00B86DB7"/>
    <w:rsid w:val="00B871BB"/>
    <w:rsid w:val="00B87EB5"/>
    <w:rsid w:val="00B911CD"/>
    <w:rsid w:val="00B91B7F"/>
    <w:rsid w:val="00B91E44"/>
    <w:rsid w:val="00B93566"/>
    <w:rsid w:val="00B9442E"/>
    <w:rsid w:val="00B97B9C"/>
    <w:rsid w:val="00B97DCE"/>
    <w:rsid w:val="00BA123F"/>
    <w:rsid w:val="00BA1B64"/>
    <w:rsid w:val="00BA230E"/>
    <w:rsid w:val="00BA51C4"/>
    <w:rsid w:val="00BB13CD"/>
    <w:rsid w:val="00BB2120"/>
    <w:rsid w:val="00BB79A8"/>
    <w:rsid w:val="00BC0578"/>
    <w:rsid w:val="00BC0F2E"/>
    <w:rsid w:val="00BC10D6"/>
    <w:rsid w:val="00BC2A8F"/>
    <w:rsid w:val="00BC4680"/>
    <w:rsid w:val="00BC5330"/>
    <w:rsid w:val="00BC59B7"/>
    <w:rsid w:val="00BD04F4"/>
    <w:rsid w:val="00BD1A61"/>
    <w:rsid w:val="00BD2EA8"/>
    <w:rsid w:val="00BD3C7C"/>
    <w:rsid w:val="00BD4E71"/>
    <w:rsid w:val="00BD6ADD"/>
    <w:rsid w:val="00BE2142"/>
    <w:rsid w:val="00BE3692"/>
    <w:rsid w:val="00BE3CB8"/>
    <w:rsid w:val="00BF2B3F"/>
    <w:rsid w:val="00BF3EC5"/>
    <w:rsid w:val="00BF4101"/>
    <w:rsid w:val="00BF480E"/>
    <w:rsid w:val="00BF55BB"/>
    <w:rsid w:val="00BF6BA3"/>
    <w:rsid w:val="00C04B98"/>
    <w:rsid w:val="00C076A6"/>
    <w:rsid w:val="00C1006A"/>
    <w:rsid w:val="00C11005"/>
    <w:rsid w:val="00C12400"/>
    <w:rsid w:val="00C12877"/>
    <w:rsid w:val="00C1582B"/>
    <w:rsid w:val="00C16026"/>
    <w:rsid w:val="00C16D6F"/>
    <w:rsid w:val="00C20C03"/>
    <w:rsid w:val="00C250AE"/>
    <w:rsid w:val="00C3061C"/>
    <w:rsid w:val="00C32E97"/>
    <w:rsid w:val="00C338F8"/>
    <w:rsid w:val="00C33A7F"/>
    <w:rsid w:val="00C35732"/>
    <w:rsid w:val="00C36F36"/>
    <w:rsid w:val="00C42625"/>
    <w:rsid w:val="00C468E6"/>
    <w:rsid w:val="00C5159F"/>
    <w:rsid w:val="00C519BE"/>
    <w:rsid w:val="00C55104"/>
    <w:rsid w:val="00C5535D"/>
    <w:rsid w:val="00C55856"/>
    <w:rsid w:val="00C55BAD"/>
    <w:rsid w:val="00C55E4E"/>
    <w:rsid w:val="00C5763F"/>
    <w:rsid w:val="00C5795B"/>
    <w:rsid w:val="00C57BF9"/>
    <w:rsid w:val="00C606E5"/>
    <w:rsid w:val="00C60F82"/>
    <w:rsid w:val="00C61AE4"/>
    <w:rsid w:val="00C61DA9"/>
    <w:rsid w:val="00C70746"/>
    <w:rsid w:val="00C7431E"/>
    <w:rsid w:val="00C7500F"/>
    <w:rsid w:val="00C75419"/>
    <w:rsid w:val="00C76359"/>
    <w:rsid w:val="00C80E4D"/>
    <w:rsid w:val="00C81DF4"/>
    <w:rsid w:val="00C826E5"/>
    <w:rsid w:val="00C829B1"/>
    <w:rsid w:val="00C83300"/>
    <w:rsid w:val="00C83397"/>
    <w:rsid w:val="00C83530"/>
    <w:rsid w:val="00C87ECA"/>
    <w:rsid w:val="00C94D78"/>
    <w:rsid w:val="00C95BD5"/>
    <w:rsid w:val="00CA0F10"/>
    <w:rsid w:val="00CA1952"/>
    <w:rsid w:val="00CA2394"/>
    <w:rsid w:val="00CA5B86"/>
    <w:rsid w:val="00CA5BD0"/>
    <w:rsid w:val="00CA7CD1"/>
    <w:rsid w:val="00CB3F68"/>
    <w:rsid w:val="00CB51D9"/>
    <w:rsid w:val="00CC2B92"/>
    <w:rsid w:val="00CC308E"/>
    <w:rsid w:val="00CC3645"/>
    <w:rsid w:val="00CC7957"/>
    <w:rsid w:val="00CD1593"/>
    <w:rsid w:val="00CD225F"/>
    <w:rsid w:val="00CE1D0C"/>
    <w:rsid w:val="00CE2120"/>
    <w:rsid w:val="00CE257F"/>
    <w:rsid w:val="00CE430E"/>
    <w:rsid w:val="00CF183F"/>
    <w:rsid w:val="00CF187F"/>
    <w:rsid w:val="00CF3F2B"/>
    <w:rsid w:val="00CF6878"/>
    <w:rsid w:val="00CF6E4B"/>
    <w:rsid w:val="00CF7C51"/>
    <w:rsid w:val="00D01379"/>
    <w:rsid w:val="00D01E72"/>
    <w:rsid w:val="00D0203A"/>
    <w:rsid w:val="00D02847"/>
    <w:rsid w:val="00D0686B"/>
    <w:rsid w:val="00D108B8"/>
    <w:rsid w:val="00D116A7"/>
    <w:rsid w:val="00D11B69"/>
    <w:rsid w:val="00D1287E"/>
    <w:rsid w:val="00D12AD6"/>
    <w:rsid w:val="00D13D94"/>
    <w:rsid w:val="00D140B8"/>
    <w:rsid w:val="00D143C1"/>
    <w:rsid w:val="00D2057D"/>
    <w:rsid w:val="00D22E64"/>
    <w:rsid w:val="00D23AF2"/>
    <w:rsid w:val="00D2655A"/>
    <w:rsid w:val="00D26914"/>
    <w:rsid w:val="00D278FB"/>
    <w:rsid w:val="00D30013"/>
    <w:rsid w:val="00D301F1"/>
    <w:rsid w:val="00D3082E"/>
    <w:rsid w:val="00D310BC"/>
    <w:rsid w:val="00D31E5D"/>
    <w:rsid w:val="00D3229E"/>
    <w:rsid w:val="00D332DB"/>
    <w:rsid w:val="00D353C9"/>
    <w:rsid w:val="00D35C1F"/>
    <w:rsid w:val="00D413F6"/>
    <w:rsid w:val="00D4166A"/>
    <w:rsid w:val="00D43CFF"/>
    <w:rsid w:val="00D44F4E"/>
    <w:rsid w:val="00D510A1"/>
    <w:rsid w:val="00D510CB"/>
    <w:rsid w:val="00D52399"/>
    <w:rsid w:val="00D52D20"/>
    <w:rsid w:val="00D541C3"/>
    <w:rsid w:val="00D55459"/>
    <w:rsid w:val="00D63AC6"/>
    <w:rsid w:val="00D64C00"/>
    <w:rsid w:val="00D65FD6"/>
    <w:rsid w:val="00D671AF"/>
    <w:rsid w:val="00D67B38"/>
    <w:rsid w:val="00D70CFE"/>
    <w:rsid w:val="00D73AC9"/>
    <w:rsid w:val="00D73CBC"/>
    <w:rsid w:val="00D762CB"/>
    <w:rsid w:val="00D76C07"/>
    <w:rsid w:val="00D77B49"/>
    <w:rsid w:val="00D80627"/>
    <w:rsid w:val="00D8733C"/>
    <w:rsid w:val="00D939E2"/>
    <w:rsid w:val="00D94DCA"/>
    <w:rsid w:val="00D95D67"/>
    <w:rsid w:val="00D9677A"/>
    <w:rsid w:val="00D96B7E"/>
    <w:rsid w:val="00D970BE"/>
    <w:rsid w:val="00DA17D5"/>
    <w:rsid w:val="00DA193D"/>
    <w:rsid w:val="00DA528A"/>
    <w:rsid w:val="00DA544E"/>
    <w:rsid w:val="00DA607F"/>
    <w:rsid w:val="00DB0CD0"/>
    <w:rsid w:val="00DB18EE"/>
    <w:rsid w:val="00DC0DA2"/>
    <w:rsid w:val="00DC2767"/>
    <w:rsid w:val="00DC67AB"/>
    <w:rsid w:val="00DC7262"/>
    <w:rsid w:val="00DC75AC"/>
    <w:rsid w:val="00DC7B90"/>
    <w:rsid w:val="00DD4FE6"/>
    <w:rsid w:val="00DD7E02"/>
    <w:rsid w:val="00DE1B09"/>
    <w:rsid w:val="00DE209C"/>
    <w:rsid w:val="00DE23E3"/>
    <w:rsid w:val="00DE296D"/>
    <w:rsid w:val="00DE6330"/>
    <w:rsid w:val="00DE6ADA"/>
    <w:rsid w:val="00DF15F1"/>
    <w:rsid w:val="00DF16B7"/>
    <w:rsid w:val="00DF2BD7"/>
    <w:rsid w:val="00DF3BC0"/>
    <w:rsid w:val="00DF42B1"/>
    <w:rsid w:val="00DF4D39"/>
    <w:rsid w:val="00DF6BE8"/>
    <w:rsid w:val="00E002F4"/>
    <w:rsid w:val="00E02B2C"/>
    <w:rsid w:val="00E06C97"/>
    <w:rsid w:val="00E11D81"/>
    <w:rsid w:val="00E1226E"/>
    <w:rsid w:val="00E15E28"/>
    <w:rsid w:val="00E178E8"/>
    <w:rsid w:val="00E22E8D"/>
    <w:rsid w:val="00E2346C"/>
    <w:rsid w:val="00E263EF"/>
    <w:rsid w:val="00E27415"/>
    <w:rsid w:val="00E30E00"/>
    <w:rsid w:val="00E375E5"/>
    <w:rsid w:val="00E418AD"/>
    <w:rsid w:val="00E41E57"/>
    <w:rsid w:val="00E4346B"/>
    <w:rsid w:val="00E43DF3"/>
    <w:rsid w:val="00E4664E"/>
    <w:rsid w:val="00E47D1A"/>
    <w:rsid w:val="00E50589"/>
    <w:rsid w:val="00E5155C"/>
    <w:rsid w:val="00E520E1"/>
    <w:rsid w:val="00E54FA5"/>
    <w:rsid w:val="00E6070F"/>
    <w:rsid w:val="00E614F2"/>
    <w:rsid w:val="00E63BDA"/>
    <w:rsid w:val="00E6416D"/>
    <w:rsid w:val="00E65556"/>
    <w:rsid w:val="00E65F58"/>
    <w:rsid w:val="00E663DE"/>
    <w:rsid w:val="00E66E29"/>
    <w:rsid w:val="00E67159"/>
    <w:rsid w:val="00E72EBD"/>
    <w:rsid w:val="00E800F2"/>
    <w:rsid w:val="00E802C6"/>
    <w:rsid w:val="00E832B5"/>
    <w:rsid w:val="00E867C0"/>
    <w:rsid w:val="00E87A0F"/>
    <w:rsid w:val="00E87DC8"/>
    <w:rsid w:val="00E91942"/>
    <w:rsid w:val="00E93BBC"/>
    <w:rsid w:val="00E93FCF"/>
    <w:rsid w:val="00E94810"/>
    <w:rsid w:val="00E949FA"/>
    <w:rsid w:val="00E94CDA"/>
    <w:rsid w:val="00E973AB"/>
    <w:rsid w:val="00E97542"/>
    <w:rsid w:val="00EA2068"/>
    <w:rsid w:val="00EA4261"/>
    <w:rsid w:val="00EA480E"/>
    <w:rsid w:val="00EA56C9"/>
    <w:rsid w:val="00EB2B1A"/>
    <w:rsid w:val="00EB393C"/>
    <w:rsid w:val="00EB46CA"/>
    <w:rsid w:val="00EB66C6"/>
    <w:rsid w:val="00EB6C41"/>
    <w:rsid w:val="00EC2260"/>
    <w:rsid w:val="00EC4A96"/>
    <w:rsid w:val="00ED1BB1"/>
    <w:rsid w:val="00ED3659"/>
    <w:rsid w:val="00ED3898"/>
    <w:rsid w:val="00ED459C"/>
    <w:rsid w:val="00ED55F1"/>
    <w:rsid w:val="00EE00E4"/>
    <w:rsid w:val="00EE0215"/>
    <w:rsid w:val="00EE043E"/>
    <w:rsid w:val="00EE201E"/>
    <w:rsid w:val="00EE48AE"/>
    <w:rsid w:val="00EE491D"/>
    <w:rsid w:val="00EE754F"/>
    <w:rsid w:val="00EE7DB5"/>
    <w:rsid w:val="00EF0F56"/>
    <w:rsid w:val="00EF1172"/>
    <w:rsid w:val="00EF2F1C"/>
    <w:rsid w:val="00EF33FE"/>
    <w:rsid w:val="00EF3DFB"/>
    <w:rsid w:val="00EF42FE"/>
    <w:rsid w:val="00EF7695"/>
    <w:rsid w:val="00EF76BD"/>
    <w:rsid w:val="00EF7C83"/>
    <w:rsid w:val="00F022D0"/>
    <w:rsid w:val="00F025C2"/>
    <w:rsid w:val="00F039D0"/>
    <w:rsid w:val="00F03C73"/>
    <w:rsid w:val="00F04FBE"/>
    <w:rsid w:val="00F0531E"/>
    <w:rsid w:val="00F05657"/>
    <w:rsid w:val="00F05B4A"/>
    <w:rsid w:val="00F06899"/>
    <w:rsid w:val="00F10ACB"/>
    <w:rsid w:val="00F10B96"/>
    <w:rsid w:val="00F13D6D"/>
    <w:rsid w:val="00F16069"/>
    <w:rsid w:val="00F20FC7"/>
    <w:rsid w:val="00F21B77"/>
    <w:rsid w:val="00F243BF"/>
    <w:rsid w:val="00F25A94"/>
    <w:rsid w:val="00F2635C"/>
    <w:rsid w:val="00F2726A"/>
    <w:rsid w:val="00F27399"/>
    <w:rsid w:val="00F303D7"/>
    <w:rsid w:val="00F30BC5"/>
    <w:rsid w:val="00F30EA3"/>
    <w:rsid w:val="00F318B3"/>
    <w:rsid w:val="00F32BE1"/>
    <w:rsid w:val="00F32DB5"/>
    <w:rsid w:val="00F34376"/>
    <w:rsid w:val="00F358F5"/>
    <w:rsid w:val="00F3648B"/>
    <w:rsid w:val="00F375D6"/>
    <w:rsid w:val="00F37BF2"/>
    <w:rsid w:val="00F408AD"/>
    <w:rsid w:val="00F41E04"/>
    <w:rsid w:val="00F420AF"/>
    <w:rsid w:val="00F52C95"/>
    <w:rsid w:val="00F54E1B"/>
    <w:rsid w:val="00F566F9"/>
    <w:rsid w:val="00F61B4A"/>
    <w:rsid w:val="00F66068"/>
    <w:rsid w:val="00F66969"/>
    <w:rsid w:val="00F66D72"/>
    <w:rsid w:val="00F671B8"/>
    <w:rsid w:val="00F711DE"/>
    <w:rsid w:val="00F7322D"/>
    <w:rsid w:val="00F743C9"/>
    <w:rsid w:val="00F745AC"/>
    <w:rsid w:val="00F74BD6"/>
    <w:rsid w:val="00F765DF"/>
    <w:rsid w:val="00F829B5"/>
    <w:rsid w:val="00F839F3"/>
    <w:rsid w:val="00F84490"/>
    <w:rsid w:val="00F93CD0"/>
    <w:rsid w:val="00F94A70"/>
    <w:rsid w:val="00F965CA"/>
    <w:rsid w:val="00F96F6B"/>
    <w:rsid w:val="00FA0730"/>
    <w:rsid w:val="00FA0815"/>
    <w:rsid w:val="00FA1887"/>
    <w:rsid w:val="00FA2014"/>
    <w:rsid w:val="00FB0B0D"/>
    <w:rsid w:val="00FB1045"/>
    <w:rsid w:val="00FB1F3D"/>
    <w:rsid w:val="00FB2635"/>
    <w:rsid w:val="00FB6C69"/>
    <w:rsid w:val="00FC0FD9"/>
    <w:rsid w:val="00FC22F3"/>
    <w:rsid w:val="00FC28A1"/>
    <w:rsid w:val="00FC5518"/>
    <w:rsid w:val="00FC5862"/>
    <w:rsid w:val="00FC62D0"/>
    <w:rsid w:val="00FC6C43"/>
    <w:rsid w:val="00FC7BD0"/>
    <w:rsid w:val="00FD052B"/>
    <w:rsid w:val="00FD2187"/>
    <w:rsid w:val="00FD53C0"/>
    <w:rsid w:val="00FD5B8B"/>
    <w:rsid w:val="00FD6F3A"/>
    <w:rsid w:val="00FE00A3"/>
    <w:rsid w:val="00FE350B"/>
    <w:rsid w:val="00FE3B7A"/>
    <w:rsid w:val="00FE4165"/>
    <w:rsid w:val="00FE44DA"/>
    <w:rsid w:val="00FE584E"/>
    <w:rsid w:val="00FE58EC"/>
    <w:rsid w:val="00FF1EE2"/>
    <w:rsid w:val="00FF4D37"/>
    <w:rsid w:val="00FF6159"/>
    <w:rsid w:val="00FF7019"/>
    <w:rsid w:val="00FF73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E81"/>
    <w:pPr>
      <w:spacing w:after="0" w:line="240" w:lineRule="auto"/>
    </w:pPr>
    <w:rPr>
      <w:rFonts w:eastAsia="Times New Roman" w:cs="Times New Roman"/>
      <w:sz w:val="24"/>
      <w:szCs w:val="24"/>
      <w:lang w:eastAsia="en-AU"/>
    </w:rPr>
  </w:style>
  <w:style w:type="paragraph" w:styleId="Heading1">
    <w:name w:val="heading 1"/>
    <w:basedOn w:val="Normal"/>
    <w:next w:val="Normal"/>
    <w:link w:val="Heading1Char"/>
    <w:qFormat/>
    <w:rsid w:val="00003E81"/>
    <w:pPr>
      <w:keepNext/>
      <w:keepLines/>
      <w:numPr>
        <w:numId w:val="5"/>
      </w:numPr>
      <w:spacing w:before="240" w:after="240"/>
      <w:outlineLvl w:val="0"/>
    </w:pPr>
    <w:rPr>
      <w:rFonts w:ascii="Calibri" w:eastAsiaTheme="majorEastAsia" w:hAnsi="Calibri" w:cstheme="majorBidi"/>
      <w:b/>
      <w:bCs/>
      <w:sz w:val="28"/>
      <w:szCs w:val="28"/>
    </w:rPr>
  </w:style>
  <w:style w:type="paragraph" w:styleId="Heading2">
    <w:name w:val="heading 2"/>
    <w:basedOn w:val="Normal"/>
    <w:next w:val="Normal"/>
    <w:link w:val="Heading2Char"/>
    <w:unhideWhenUsed/>
    <w:qFormat/>
    <w:rsid w:val="00C20C03"/>
    <w:pPr>
      <w:keepNext/>
      <w:keepLines/>
      <w:numPr>
        <w:ilvl w:val="1"/>
        <w:numId w:val="5"/>
      </w:numPr>
      <w:spacing w:before="240" w:after="240"/>
      <w:ind w:left="578" w:hanging="578"/>
      <w:outlineLvl w:val="1"/>
    </w:pPr>
    <w:rPr>
      <w:rFonts w:ascii="Calibri" w:eastAsiaTheme="majorEastAsia" w:hAnsi="Calibri" w:cstheme="majorBidi"/>
      <w:b/>
      <w:bCs/>
      <w:sz w:val="26"/>
      <w:szCs w:val="26"/>
    </w:rPr>
  </w:style>
  <w:style w:type="paragraph" w:styleId="Heading3">
    <w:name w:val="heading 3"/>
    <w:basedOn w:val="Normal"/>
    <w:next w:val="Normal"/>
    <w:link w:val="Heading3Char"/>
    <w:unhideWhenUsed/>
    <w:qFormat/>
    <w:rsid w:val="00003E81"/>
    <w:pPr>
      <w:keepNext/>
      <w:keepLines/>
      <w:numPr>
        <w:ilvl w:val="2"/>
        <w:numId w:val="5"/>
      </w:numPr>
      <w:spacing w:before="200" w:after="120"/>
      <w:ind w:left="709"/>
      <w:outlineLvl w:val="2"/>
    </w:pPr>
    <w:rPr>
      <w:rFonts w:ascii="Calibri" w:eastAsiaTheme="majorEastAsia" w:hAnsi="Calibri" w:cstheme="majorBidi"/>
      <w:b/>
      <w:bCs/>
    </w:rPr>
  </w:style>
  <w:style w:type="paragraph" w:styleId="Heading4">
    <w:name w:val="heading 4"/>
    <w:basedOn w:val="Normal"/>
    <w:next w:val="Normal"/>
    <w:link w:val="Heading4Char"/>
    <w:unhideWhenUsed/>
    <w:qFormat/>
    <w:rsid w:val="00C20C03"/>
    <w:pPr>
      <w:keepNext/>
      <w:keepLines/>
      <w:spacing w:before="200" w:after="120"/>
      <w:outlineLvl w:val="3"/>
    </w:pPr>
    <w:rPr>
      <w:rFonts w:ascii="Calibri" w:eastAsiaTheme="majorEastAsia" w:hAnsi="Calibri" w:cstheme="majorBidi"/>
      <w:b/>
      <w:bCs/>
      <w:i/>
      <w:iCs/>
      <w:snapToGrid w:val="0"/>
    </w:rPr>
  </w:style>
  <w:style w:type="paragraph" w:styleId="Heading5">
    <w:name w:val="heading 5"/>
    <w:basedOn w:val="Normal"/>
    <w:next w:val="Normal"/>
    <w:link w:val="Heading5Char"/>
    <w:unhideWhenUsed/>
    <w:qFormat/>
    <w:rsid w:val="00003E81"/>
    <w:pPr>
      <w:keepNext/>
      <w:keepLines/>
      <w:numPr>
        <w:ilvl w:val="4"/>
        <w:numId w:val="5"/>
      </w:numPr>
      <w:spacing w:before="200"/>
      <w:outlineLvl w:val="4"/>
    </w:pPr>
    <w:rPr>
      <w:rFonts w:asciiTheme="majorHAnsi" w:eastAsiaTheme="majorEastAsia" w:hAnsiTheme="majorHAnsi" w:cstheme="majorBidi"/>
      <w:color w:val="204B33" w:themeColor="accent1" w:themeShade="7F"/>
    </w:rPr>
  </w:style>
  <w:style w:type="paragraph" w:styleId="Heading6">
    <w:name w:val="heading 6"/>
    <w:basedOn w:val="Normal"/>
    <w:next w:val="Normal"/>
    <w:link w:val="Heading6Char"/>
    <w:unhideWhenUsed/>
    <w:qFormat/>
    <w:rsid w:val="00003E81"/>
    <w:pPr>
      <w:keepNext/>
      <w:keepLines/>
      <w:numPr>
        <w:ilvl w:val="5"/>
        <w:numId w:val="5"/>
      </w:numPr>
      <w:spacing w:before="200"/>
      <w:outlineLvl w:val="5"/>
    </w:pPr>
    <w:rPr>
      <w:rFonts w:asciiTheme="majorHAnsi" w:eastAsiaTheme="majorEastAsia" w:hAnsiTheme="majorHAnsi" w:cstheme="majorBidi"/>
      <w:i/>
      <w:iCs/>
      <w:color w:val="204B33" w:themeColor="accent1" w:themeShade="7F"/>
    </w:rPr>
  </w:style>
  <w:style w:type="paragraph" w:styleId="Heading7">
    <w:name w:val="heading 7"/>
    <w:basedOn w:val="Normal"/>
    <w:next w:val="Normal"/>
    <w:link w:val="Heading7Char"/>
    <w:uiPriority w:val="99"/>
    <w:unhideWhenUsed/>
    <w:qFormat/>
    <w:rsid w:val="00003E81"/>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unhideWhenUsed/>
    <w:qFormat/>
    <w:rsid w:val="00003E81"/>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unhideWhenUsed/>
    <w:qFormat/>
    <w:rsid w:val="00003E81"/>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3E81"/>
    <w:rPr>
      <w:rFonts w:ascii="Calibri" w:eastAsiaTheme="majorEastAsia" w:hAnsi="Calibri" w:cstheme="majorBidi"/>
      <w:b/>
      <w:bCs/>
      <w:sz w:val="28"/>
      <w:szCs w:val="28"/>
      <w:lang w:eastAsia="en-AU"/>
    </w:rPr>
  </w:style>
  <w:style w:type="character" w:customStyle="1" w:styleId="Heading2Char">
    <w:name w:val="Heading 2 Char"/>
    <w:basedOn w:val="DefaultParagraphFont"/>
    <w:link w:val="Heading2"/>
    <w:rsid w:val="00C20C03"/>
    <w:rPr>
      <w:rFonts w:ascii="Calibri" w:eastAsiaTheme="majorEastAsia" w:hAnsi="Calibri" w:cstheme="majorBidi"/>
      <w:b/>
      <w:bCs/>
      <w:sz w:val="26"/>
      <w:szCs w:val="26"/>
      <w:lang w:eastAsia="en-AU"/>
    </w:rPr>
  </w:style>
  <w:style w:type="character" w:customStyle="1" w:styleId="Heading3Char">
    <w:name w:val="Heading 3 Char"/>
    <w:basedOn w:val="DefaultParagraphFont"/>
    <w:link w:val="Heading3"/>
    <w:rsid w:val="00003E81"/>
    <w:rPr>
      <w:rFonts w:ascii="Calibri" w:eastAsiaTheme="majorEastAsia" w:hAnsi="Calibri" w:cstheme="majorBidi"/>
      <w:b/>
      <w:bCs/>
      <w:sz w:val="24"/>
      <w:szCs w:val="24"/>
      <w:lang w:eastAsia="en-AU"/>
    </w:rPr>
  </w:style>
  <w:style w:type="character" w:customStyle="1" w:styleId="Heading4Char">
    <w:name w:val="Heading 4 Char"/>
    <w:basedOn w:val="DefaultParagraphFont"/>
    <w:link w:val="Heading4"/>
    <w:rsid w:val="00C20C03"/>
    <w:rPr>
      <w:rFonts w:ascii="Calibri" w:eastAsiaTheme="majorEastAsia" w:hAnsi="Calibri" w:cstheme="majorBidi"/>
      <w:b/>
      <w:bCs/>
      <w:i/>
      <w:iCs/>
      <w:snapToGrid w:val="0"/>
      <w:sz w:val="24"/>
      <w:szCs w:val="24"/>
      <w:lang w:eastAsia="en-AU"/>
    </w:rPr>
  </w:style>
  <w:style w:type="character" w:customStyle="1" w:styleId="Heading5Char">
    <w:name w:val="Heading 5 Char"/>
    <w:basedOn w:val="DefaultParagraphFont"/>
    <w:link w:val="Heading5"/>
    <w:rsid w:val="00003E81"/>
    <w:rPr>
      <w:rFonts w:asciiTheme="majorHAnsi" w:eastAsiaTheme="majorEastAsia" w:hAnsiTheme="majorHAnsi" w:cstheme="majorBidi"/>
      <w:color w:val="204B33" w:themeColor="accent1" w:themeShade="7F"/>
      <w:sz w:val="24"/>
      <w:szCs w:val="24"/>
      <w:lang w:eastAsia="en-AU"/>
    </w:rPr>
  </w:style>
  <w:style w:type="character" w:customStyle="1" w:styleId="Heading6Char">
    <w:name w:val="Heading 6 Char"/>
    <w:basedOn w:val="DefaultParagraphFont"/>
    <w:link w:val="Heading6"/>
    <w:rsid w:val="00003E81"/>
    <w:rPr>
      <w:rFonts w:asciiTheme="majorHAnsi" w:eastAsiaTheme="majorEastAsia" w:hAnsiTheme="majorHAnsi" w:cstheme="majorBidi"/>
      <w:i/>
      <w:iCs/>
      <w:color w:val="204B33" w:themeColor="accent1" w:themeShade="7F"/>
      <w:sz w:val="24"/>
      <w:szCs w:val="24"/>
      <w:lang w:eastAsia="en-AU"/>
    </w:rPr>
  </w:style>
  <w:style w:type="character" w:customStyle="1" w:styleId="Heading7Char">
    <w:name w:val="Heading 7 Char"/>
    <w:basedOn w:val="DefaultParagraphFont"/>
    <w:link w:val="Heading7"/>
    <w:uiPriority w:val="99"/>
    <w:rsid w:val="00003E81"/>
    <w:rPr>
      <w:rFonts w:asciiTheme="majorHAnsi" w:eastAsiaTheme="majorEastAsia" w:hAnsiTheme="majorHAnsi" w:cstheme="majorBidi"/>
      <w:i/>
      <w:iCs/>
      <w:color w:val="404040" w:themeColor="text1" w:themeTint="BF"/>
      <w:sz w:val="24"/>
      <w:szCs w:val="24"/>
      <w:lang w:eastAsia="en-AU"/>
    </w:rPr>
  </w:style>
  <w:style w:type="character" w:customStyle="1" w:styleId="Heading8Char">
    <w:name w:val="Heading 8 Char"/>
    <w:basedOn w:val="DefaultParagraphFont"/>
    <w:link w:val="Heading8"/>
    <w:uiPriority w:val="99"/>
    <w:semiHidden/>
    <w:rsid w:val="00003E81"/>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9"/>
    <w:semiHidden/>
    <w:rsid w:val="00003E81"/>
    <w:rPr>
      <w:rFonts w:asciiTheme="majorHAnsi" w:eastAsiaTheme="majorEastAsia" w:hAnsiTheme="majorHAnsi" w:cstheme="majorBidi"/>
      <w:i/>
      <w:iCs/>
      <w:color w:val="404040" w:themeColor="text1" w:themeTint="BF"/>
      <w:sz w:val="20"/>
      <w:szCs w:val="20"/>
      <w:lang w:eastAsia="en-AU"/>
    </w:rPr>
  </w:style>
  <w:style w:type="paragraph" w:styleId="TOCHeading">
    <w:name w:val="TOC Heading"/>
    <w:basedOn w:val="Heading1"/>
    <w:next w:val="Normal"/>
    <w:uiPriority w:val="39"/>
    <w:unhideWhenUsed/>
    <w:qFormat/>
    <w:rsid w:val="00003E81"/>
    <w:pPr>
      <w:spacing w:line="276" w:lineRule="auto"/>
      <w:ind w:left="0" w:firstLine="0"/>
      <w:outlineLvl w:val="9"/>
    </w:pPr>
    <w:rPr>
      <w:lang w:val="en-US" w:eastAsia="ja-JP"/>
    </w:rPr>
  </w:style>
  <w:style w:type="paragraph" w:styleId="TOC1">
    <w:name w:val="toc 1"/>
    <w:basedOn w:val="Normal"/>
    <w:next w:val="Normal"/>
    <w:autoRedefine/>
    <w:uiPriority w:val="39"/>
    <w:rsid w:val="00003E81"/>
    <w:pPr>
      <w:tabs>
        <w:tab w:val="left" w:pos="480"/>
        <w:tab w:val="right" w:leader="dot" w:pos="9344"/>
      </w:tabs>
      <w:spacing w:after="100"/>
    </w:pPr>
    <w:rPr>
      <w:b/>
      <w:noProof/>
      <w:sz w:val="22"/>
      <w:szCs w:val="22"/>
    </w:rPr>
  </w:style>
  <w:style w:type="paragraph" w:styleId="TOC2">
    <w:name w:val="toc 2"/>
    <w:basedOn w:val="Normal"/>
    <w:next w:val="Normal"/>
    <w:autoRedefine/>
    <w:uiPriority w:val="39"/>
    <w:rsid w:val="00003E81"/>
    <w:pPr>
      <w:tabs>
        <w:tab w:val="left" w:pos="960"/>
        <w:tab w:val="right" w:leader="dot" w:pos="9344"/>
      </w:tabs>
      <w:spacing w:after="100"/>
      <w:ind w:left="240"/>
    </w:pPr>
    <w:rPr>
      <w:noProof/>
      <w:sz w:val="20"/>
      <w:szCs w:val="20"/>
    </w:rPr>
  </w:style>
  <w:style w:type="paragraph" w:styleId="TOC3">
    <w:name w:val="toc 3"/>
    <w:basedOn w:val="Normal"/>
    <w:next w:val="Normal"/>
    <w:autoRedefine/>
    <w:uiPriority w:val="39"/>
    <w:rsid w:val="00003E81"/>
    <w:pPr>
      <w:spacing w:after="100"/>
      <w:ind w:left="480"/>
    </w:pPr>
  </w:style>
  <w:style w:type="character" w:styleId="Hyperlink">
    <w:name w:val="Hyperlink"/>
    <w:basedOn w:val="DefaultParagraphFont"/>
    <w:uiPriority w:val="99"/>
    <w:unhideWhenUsed/>
    <w:rsid w:val="00003E81"/>
    <w:rPr>
      <w:color w:val="6B9F25" w:themeColor="hyperlink"/>
      <w:u w:val="single"/>
    </w:rPr>
  </w:style>
  <w:style w:type="paragraph" w:styleId="BalloonText">
    <w:name w:val="Balloon Text"/>
    <w:basedOn w:val="Normal"/>
    <w:link w:val="BalloonTextChar"/>
    <w:uiPriority w:val="99"/>
    <w:rsid w:val="00003E81"/>
    <w:rPr>
      <w:rFonts w:ascii="Tahoma" w:hAnsi="Tahoma" w:cs="Tahoma"/>
      <w:sz w:val="16"/>
      <w:szCs w:val="16"/>
    </w:rPr>
  </w:style>
  <w:style w:type="character" w:customStyle="1" w:styleId="BalloonTextChar">
    <w:name w:val="Balloon Text Char"/>
    <w:basedOn w:val="DefaultParagraphFont"/>
    <w:link w:val="BalloonText"/>
    <w:uiPriority w:val="99"/>
    <w:rsid w:val="00003E81"/>
    <w:rPr>
      <w:rFonts w:ascii="Tahoma" w:eastAsia="Times New Roman" w:hAnsi="Tahoma" w:cs="Tahoma"/>
      <w:sz w:val="16"/>
      <w:szCs w:val="16"/>
      <w:lang w:eastAsia="en-AU"/>
    </w:rPr>
  </w:style>
  <w:style w:type="paragraph" w:styleId="Header">
    <w:name w:val="header"/>
    <w:basedOn w:val="Normal"/>
    <w:link w:val="HeaderChar"/>
    <w:rsid w:val="00003E81"/>
    <w:pPr>
      <w:tabs>
        <w:tab w:val="center" w:pos="4513"/>
        <w:tab w:val="right" w:pos="9026"/>
      </w:tabs>
    </w:pPr>
  </w:style>
  <w:style w:type="character" w:customStyle="1" w:styleId="HeaderChar">
    <w:name w:val="Header Char"/>
    <w:basedOn w:val="DefaultParagraphFont"/>
    <w:link w:val="Header"/>
    <w:rsid w:val="00003E81"/>
    <w:rPr>
      <w:rFonts w:eastAsia="Times New Roman" w:cs="Times New Roman"/>
      <w:sz w:val="24"/>
      <w:szCs w:val="24"/>
      <w:lang w:eastAsia="en-AU"/>
    </w:rPr>
  </w:style>
  <w:style w:type="paragraph" w:styleId="Footer">
    <w:name w:val="footer"/>
    <w:basedOn w:val="Normal"/>
    <w:link w:val="FooterChar"/>
    <w:uiPriority w:val="99"/>
    <w:rsid w:val="00003E81"/>
    <w:pPr>
      <w:tabs>
        <w:tab w:val="center" w:pos="4513"/>
        <w:tab w:val="right" w:pos="9026"/>
      </w:tabs>
    </w:pPr>
    <w:rPr>
      <w:b/>
      <w:i/>
      <w:sz w:val="16"/>
    </w:rPr>
  </w:style>
  <w:style w:type="character" w:customStyle="1" w:styleId="FooterChar">
    <w:name w:val="Footer Char"/>
    <w:basedOn w:val="DefaultParagraphFont"/>
    <w:link w:val="Footer"/>
    <w:uiPriority w:val="99"/>
    <w:rsid w:val="00003E81"/>
    <w:rPr>
      <w:rFonts w:eastAsia="Times New Roman" w:cs="Times New Roman"/>
      <w:b/>
      <w:i/>
      <w:sz w:val="16"/>
      <w:szCs w:val="24"/>
      <w:lang w:eastAsia="en-AU"/>
    </w:rPr>
  </w:style>
  <w:style w:type="paragraph" w:styleId="NoSpacing">
    <w:name w:val="No Spacing"/>
    <w:link w:val="NoSpacingChar"/>
    <w:uiPriority w:val="1"/>
    <w:qFormat/>
    <w:rsid w:val="00003E8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03E81"/>
    <w:rPr>
      <w:rFonts w:eastAsiaTheme="minorEastAsia"/>
      <w:lang w:val="en-US" w:eastAsia="ja-JP"/>
    </w:rPr>
  </w:style>
  <w:style w:type="paragraph" w:styleId="Title">
    <w:name w:val="Title"/>
    <w:basedOn w:val="Normal"/>
    <w:next w:val="Normal"/>
    <w:link w:val="TitleChar"/>
    <w:qFormat/>
    <w:rsid w:val="00003E81"/>
    <w:pPr>
      <w:pBdr>
        <w:bottom w:val="single" w:sz="8" w:space="4" w:color="429867" w:themeColor="accent1"/>
      </w:pBdr>
      <w:spacing w:after="300"/>
      <w:contextualSpacing/>
    </w:pPr>
    <w:rPr>
      <w:rFonts w:ascii="Calibri" w:eastAsiaTheme="majorEastAsia" w:hAnsi="Calibri" w:cstheme="majorBidi"/>
      <w:b/>
      <w:spacing w:val="5"/>
      <w:kern w:val="28"/>
      <w:sz w:val="52"/>
      <w:szCs w:val="52"/>
    </w:rPr>
  </w:style>
  <w:style w:type="character" w:customStyle="1" w:styleId="TitleChar">
    <w:name w:val="Title Char"/>
    <w:basedOn w:val="DefaultParagraphFont"/>
    <w:link w:val="Title"/>
    <w:rsid w:val="00003E81"/>
    <w:rPr>
      <w:rFonts w:ascii="Calibri" w:eastAsiaTheme="majorEastAsia" w:hAnsi="Calibri" w:cstheme="majorBidi"/>
      <w:b/>
      <w:spacing w:val="5"/>
      <w:kern w:val="28"/>
      <w:sz w:val="52"/>
      <w:szCs w:val="52"/>
      <w:lang w:eastAsia="en-AU"/>
    </w:rPr>
  </w:style>
  <w:style w:type="paragraph" w:customStyle="1" w:styleId="Bullets">
    <w:name w:val="Bullets"/>
    <w:basedOn w:val="Normal"/>
    <w:link w:val="BulletsChar"/>
    <w:rsid w:val="00003E81"/>
    <w:pPr>
      <w:numPr>
        <w:numId w:val="12"/>
      </w:numPr>
      <w:spacing w:before="120" w:after="120"/>
    </w:pPr>
  </w:style>
  <w:style w:type="character" w:customStyle="1" w:styleId="BulletsChar">
    <w:name w:val="Bullets Char"/>
    <w:basedOn w:val="DefaultParagraphFont"/>
    <w:link w:val="Bullets"/>
    <w:rsid w:val="00003E81"/>
    <w:rPr>
      <w:rFonts w:eastAsia="Times New Roman" w:cs="Times New Roman"/>
      <w:sz w:val="24"/>
      <w:szCs w:val="24"/>
      <w:lang w:eastAsia="en-AU"/>
    </w:rPr>
  </w:style>
  <w:style w:type="paragraph" w:styleId="Quote">
    <w:name w:val="Quote"/>
    <w:basedOn w:val="Normal"/>
    <w:next w:val="Normal"/>
    <w:link w:val="QuoteChar"/>
    <w:uiPriority w:val="29"/>
    <w:qFormat/>
    <w:rsid w:val="00003E81"/>
    <w:pPr>
      <w:ind w:left="567" w:right="567"/>
    </w:pPr>
    <w:rPr>
      <w:iCs/>
      <w:color w:val="000000" w:themeColor="text1"/>
    </w:rPr>
  </w:style>
  <w:style w:type="character" w:customStyle="1" w:styleId="QuoteChar">
    <w:name w:val="Quote Char"/>
    <w:basedOn w:val="DefaultParagraphFont"/>
    <w:link w:val="Quote"/>
    <w:uiPriority w:val="29"/>
    <w:rsid w:val="00003E81"/>
    <w:rPr>
      <w:rFonts w:eastAsia="Times New Roman" w:cs="Times New Roman"/>
      <w:iCs/>
      <w:color w:val="000000" w:themeColor="text1"/>
      <w:sz w:val="24"/>
      <w:szCs w:val="24"/>
      <w:lang w:eastAsia="en-AU"/>
    </w:rPr>
  </w:style>
  <w:style w:type="paragraph" w:customStyle="1" w:styleId="Quotebyparticipants">
    <w:name w:val="Quote by participants"/>
    <w:basedOn w:val="Normal"/>
    <w:qFormat/>
    <w:rsid w:val="00003E81"/>
    <w:pPr>
      <w:spacing w:before="240" w:after="240"/>
      <w:ind w:left="567" w:right="567"/>
    </w:pPr>
    <w:rPr>
      <w:i/>
      <w:color w:val="808080" w:themeColor="background1" w:themeShade="80"/>
    </w:rPr>
  </w:style>
  <w:style w:type="character" w:styleId="Emphasis">
    <w:name w:val="Emphasis"/>
    <w:basedOn w:val="DefaultParagraphFont"/>
    <w:rsid w:val="00003E81"/>
    <w:rPr>
      <w:i/>
      <w:iCs/>
    </w:rPr>
  </w:style>
  <w:style w:type="character" w:styleId="Strong">
    <w:name w:val="Strong"/>
    <w:basedOn w:val="DefaultParagraphFont"/>
    <w:rsid w:val="00003E81"/>
    <w:rPr>
      <w:b/>
      <w:bCs/>
    </w:rPr>
  </w:style>
  <w:style w:type="paragraph" w:styleId="Subtitle">
    <w:name w:val="Subtitle"/>
    <w:basedOn w:val="Normal"/>
    <w:next w:val="Normal"/>
    <w:link w:val="SubtitleChar"/>
    <w:rsid w:val="00003E81"/>
    <w:pPr>
      <w:numPr>
        <w:ilvl w:val="1"/>
      </w:numPr>
    </w:pPr>
    <w:rPr>
      <w:rFonts w:asciiTheme="majorHAnsi" w:eastAsiaTheme="majorEastAsia" w:hAnsiTheme="majorHAnsi" w:cstheme="majorBidi"/>
      <w:i/>
      <w:iCs/>
      <w:color w:val="429867" w:themeColor="accent1"/>
      <w:spacing w:val="15"/>
    </w:rPr>
  </w:style>
  <w:style w:type="character" w:customStyle="1" w:styleId="SubtitleChar">
    <w:name w:val="Subtitle Char"/>
    <w:basedOn w:val="DefaultParagraphFont"/>
    <w:link w:val="Subtitle"/>
    <w:rsid w:val="00003E81"/>
    <w:rPr>
      <w:rFonts w:asciiTheme="majorHAnsi" w:eastAsiaTheme="majorEastAsia" w:hAnsiTheme="majorHAnsi" w:cstheme="majorBidi"/>
      <w:i/>
      <w:iCs/>
      <w:color w:val="429867" w:themeColor="accent1"/>
      <w:spacing w:val="15"/>
      <w:sz w:val="24"/>
      <w:szCs w:val="24"/>
      <w:lang w:eastAsia="en-AU"/>
    </w:rPr>
  </w:style>
  <w:style w:type="character" w:styleId="SubtleEmphasis">
    <w:name w:val="Subtle Emphasis"/>
    <w:basedOn w:val="DefaultParagraphFont"/>
    <w:uiPriority w:val="19"/>
    <w:rsid w:val="00003E81"/>
    <w:rPr>
      <w:i/>
      <w:iCs/>
      <w:color w:val="808080" w:themeColor="text1" w:themeTint="7F"/>
    </w:rPr>
  </w:style>
  <w:style w:type="character" w:styleId="IntenseEmphasis">
    <w:name w:val="Intense Emphasis"/>
    <w:basedOn w:val="DefaultParagraphFont"/>
    <w:uiPriority w:val="21"/>
    <w:rsid w:val="00003E81"/>
    <w:rPr>
      <w:b/>
      <w:bCs/>
      <w:i/>
      <w:iCs/>
      <w:color w:val="429867" w:themeColor="accent1"/>
    </w:rPr>
  </w:style>
  <w:style w:type="paragraph" w:styleId="IntenseQuote">
    <w:name w:val="Intense Quote"/>
    <w:basedOn w:val="Normal"/>
    <w:next w:val="Normal"/>
    <w:link w:val="IntenseQuoteChar"/>
    <w:uiPriority w:val="30"/>
    <w:rsid w:val="00003E81"/>
    <w:pPr>
      <w:pBdr>
        <w:bottom w:val="single" w:sz="4" w:space="4" w:color="429867" w:themeColor="accent1"/>
      </w:pBdr>
      <w:spacing w:before="200" w:after="280"/>
      <w:ind w:left="936" w:right="936"/>
    </w:pPr>
    <w:rPr>
      <w:b/>
      <w:bCs/>
      <w:i/>
      <w:iCs/>
      <w:color w:val="429867" w:themeColor="accent1"/>
    </w:rPr>
  </w:style>
  <w:style w:type="character" w:customStyle="1" w:styleId="IntenseQuoteChar">
    <w:name w:val="Intense Quote Char"/>
    <w:basedOn w:val="DefaultParagraphFont"/>
    <w:link w:val="IntenseQuote"/>
    <w:uiPriority w:val="30"/>
    <w:rsid w:val="00003E81"/>
    <w:rPr>
      <w:rFonts w:eastAsia="Times New Roman" w:cs="Times New Roman"/>
      <w:b/>
      <w:bCs/>
      <w:i/>
      <w:iCs/>
      <w:color w:val="429867" w:themeColor="accent1"/>
      <w:sz w:val="24"/>
      <w:szCs w:val="24"/>
      <w:lang w:eastAsia="en-AU"/>
    </w:rPr>
  </w:style>
  <w:style w:type="character" w:styleId="SubtleReference">
    <w:name w:val="Subtle Reference"/>
    <w:basedOn w:val="DefaultParagraphFont"/>
    <w:uiPriority w:val="31"/>
    <w:rsid w:val="00003E81"/>
    <w:rPr>
      <w:smallCaps/>
      <w:color w:val="8AB833" w:themeColor="accent2"/>
      <w:u w:val="single"/>
    </w:rPr>
  </w:style>
  <w:style w:type="character" w:styleId="IntenseReference">
    <w:name w:val="Intense Reference"/>
    <w:basedOn w:val="DefaultParagraphFont"/>
    <w:uiPriority w:val="32"/>
    <w:rsid w:val="00003E81"/>
    <w:rPr>
      <w:b/>
      <w:bCs/>
      <w:smallCaps/>
      <w:color w:val="8AB833" w:themeColor="accent2"/>
      <w:spacing w:val="5"/>
      <w:u w:val="single"/>
    </w:rPr>
  </w:style>
  <w:style w:type="character" w:styleId="BookTitle">
    <w:name w:val="Book Title"/>
    <w:basedOn w:val="DefaultParagraphFont"/>
    <w:uiPriority w:val="33"/>
    <w:rsid w:val="00003E81"/>
    <w:rPr>
      <w:b/>
      <w:bCs/>
      <w:smallCaps/>
      <w:spacing w:val="5"/>
    </w:rPr>
  </w:style>
  <w:style w:type="table" w:styleId="TableGrid">
    <w:name w:val="Table Grid"/>
    <w:basedOn w:val="TableNormal"/>
    <w:rsid w:val="00003E8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03E81"/>
    <w:pPr>
      <w:spacing w:before="120" w:after="200"/>
    </w:pPr>
    <w:rPr>
      <w:b/>
      <w:bCs/>
      <w:szCs w:val="18"/>
    </w:rPr>
  </w:style>
  <w:style w:type="paragraph" w:styleId="FootnoteText">
    <w:name w:val="footnote text"/>
    <w:basedOn w:val="Normal"/>
    <w:link w:val="FootnoteTextChar"/>
    <w:rsid w:val="00003E81"/>
    <w:rPr>
      <w:sz w:val="20"/>
      <w:szCs w:val="20"/>
    </w:rPr>
  </w:style>
  <w:style w:type="character" w:customStyle="1" w:styleId="FootnoteTextChar">
    <w:name w:val="Footnote Text Char"/>
    <w:basedOn w:val="DefaultParagraphFont"/>
    <w:link w:val="FootnoteText"/>
    <w:rsid w:val="00003E81"/>
    <w:rPr>
      <w:rFonts w:eastAsia="Times New Roman" w:cs="Times New Roman"/>
      <w:sz w:val="20"/>
      <w:szCs w:val="20"/>
      <w:lang w:eastAsia="en-AU"/>
    </w:rPr>
  </w:style>
  <w:style w:type="character" w:styleId="FootnoteReference">
    <w:name w:val="footnote reference"/>
    <w:basedOn w:val="DefaultParagraphFont"/>
    <w:rsid w:val="00003E81"/>
    <w:rPr>
      <w:vertAlign w:val="superscript"/>
    </w:rPr>
  </w:style>
  <w:style w:type="paragraph" w:styleId="TableofFigures">
    <w:name w:val="table of figures"/>
    <w:basedOn w:val="Normal"/>
    <w:next w:val="Normal"/>
    <w:uiPriority w:val="99"/>
    <w:rsid w:val="00003E81"/>
  </w:style>
  <w:style w:type="table" w:styleId="TableContemporary">
    <w:name w:val="Table Contemporary"/>
    <w:basedOn w:val="TableNormal"/>
    <w:rsid w:val="00003E81"/>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character" w:customStyle="1" w:styleId="HeaderChar1">
    <w:name w:val="Header Char1"/>
    <w:uiPriority w:val="99"/>
    <w:semiHidden/>
    <w:rsid w:val="00003E81"/>
    <w:rPr>
      <w:sz w:val="22"/>
      <w:szCs w:val="22"/>
      <w:lang w:eastAsia="en-US"/>
    </w:rPr>
  </w:style>
  <w:style w:type="character" w:customStyle="1" w:styleId="FooterChar1">
    <w:name w:val="Footer Char1"/>
    <w:uiPriority w:val="99"/>
    <w:rsid w:val="00003E81"/>
    <w:rPr>
      <w:sz w:val="22"/>
      <w:szCs w:val="22"/>
      <w:lang w:eastAsia="en-US"/>
    </w:rPr>
  </w:style>
  <w:style w:type="paragraph" w:styleId="ListParagraph">
    <w:name w:val="List Paragraph"/>
    <w:basedOn w:val="Normal"/>
    <w:uiPriority w:val="34"/>
    <w:qFormat/>
    <w:rsid w:val="00003E81"/>
    <w:pPr>
      <w:ind w:left="720"/>
      <w:contextualSpacing/>
    </w:pPr>
  </w:style>
  <w:style w:type="character" w:customStyle="1" w:styleId="name">
    <w:name w:val="name"/>
    <w:basedOn w:val="DefaultParagraphFont"/>
    <w:rsid w:val="00003E81"/>
  </w:style>
  <w:style w:type="character" w:customStyle="1" w:styleId="apple-converted-space">
    <w:name w:val="apple-converted-space"/>
    <w:basedOn w:val="DefaultParagraphFont"/>
    <w:rsid w:val="00003E81"/>
  </w:style>
  <w:style w:type="paragraph" w:styleId="NormalWeb">
    <w:name w:val="Normal (Web)"/>
    <w:basedOn w:val="Normal"/>
    <w:uiPriority w:val="99"/>
    <w:unhideWhenUsed/>
    <w:rsid w:val="00003E81"/>
    <w:pPr>
      <w:spacing w:before="100" w:beforeAutospacing="1" w:after="100" w:afterAutospacing="1"/>
    </w:pPr>
    <w:rPr>
      <w:rFonts w:ascii="Times New Roman" w:hAnsi="Times New Roman"/>
    </w:rPr>
  </w:style>
  <w:style w:type="paragraph" w:customStyle="1" w:styleId="Bullet">
    <w:name w:val="Bullet"/>
    <w:basedOn w:val="Bullets"/>
    <w:link w:val="BulletChar"/>
    <w:qFormat/>
    <w:rsid w:val="00ED459C"/>
    <w:pPr>
      <w:numPr>
        <w:numId w:val="1"/>
      </w:numPr>
      <w:tabs>
        <w:tab w:val="num" w:pos="360"/>
      </w:tabs>
      <w:autoSpaceDE w:val="0"/>
      <w:autoSpaceDN w:val="0"/>
      <w:ind w:left="357" w:hanging="357"/>
    </w:pPr>
    <w:rPr>
      <w:rFonts w:ascii="Calibri" w:hAnsi="Calibri" w:cs="Calibri"/>
    </w:rPr>
  </w:style>
  <w:style w:type="character" w:customStyle="1" w:styleId="BulletChar">
    <w:name w:val="Bullet Char"/>
    <w:basedOn w:val="BulletsChar"/>
    <w:link w:val="Bullet"/>
    <w:rsid w:val="00ED459C"/>
    <w:rPr>
      <w:rFonts w:ascii="Calibri" w:eastAsia="Times New Roman" w:hAnsi="Calibri" w:cs="Calibri"/>
      <w:sz w:val="24"/>
      <w:szCs w:val="24"/>
      <w:lang w:eastAsia="en-AU"/>
    </w:rPr>
  </w:style>
  <w:style w:type="character" w:styleId="CommentReference">
    <w:name w:val="annotation reference"/>
    <w:basedOn w:val="DefaultParagraphFont"/>
    <w:rsid w:val="00003E81"/>
    <w:rPr>
      <w:sz w:val="16"/>
      <w:szCs w:val="16"/>
    </w:rPr>
  </w:style>
  <w:style w:type="paragraph" w:styleId="CommentText">
    <w:name w:val="annotation text"/>
    <w:basedOn w:val="Normal"/>
    <w:link w:val="CommentTextChar"/>
    <w:rsid w:val="00003E81"/>
    <w:rPr>
      <w:sz w:val="20"/>
      <w:szCs w:val="20"/>
    </w:rPr>
  </w:style>
  <w:style w:type="character" w:customStyle="1" w:styleId="CommentTextChar">
    <w:name w:val="Comment Text Char"/>
    <w:basedOn w:val="DefaultParagraphFont"/>
    <w:link w:val="CommentText"/>
    <w:rsid w:val="00003E81"/>
    <w:rPr>
      <w:rFonts w:eastAsia="Times New Roman" w:cs="Times New Roman"/>
      <w:sz w:val="20"/>
      <w:szCs w:val="20"/>
      <w:lang w:eastAsia="en-AU"/>
    </w:rPr>
  </w:style>
  <w:style w:type="paragraph" w:styleId="CommentSubject">
    <w:name w:val="annotation subject"/>
    <w:basedOn w:val="CommentText"/>
    <w:next w:val="CommentText"/>
    <w:link w:val="CommentSubjectChar"/>
    <w:rsid w:val="00003E81"/>
    <w:rPr>
      <w:b/>
      <w:bCs/>
    </w:rPr>
  </w:style>
  <w:style w:type="character" w:customStyle="1" w:styleId="CommentSubjectChar">
    <w:name w:val="Comment Subject Char"/>
    <w:basedOn w:val="CommentTextChar"/>
    <w:link w:val="CommentSubject"/>
    <w:rsid w:val="00003E81"/>
    <w:rPr>
      <w:rFonts w:eastAsia="Times New Roman" w:cs="Times New Roman"/>
      <w:b/>
      <w:bCs/>
      <w:sz w:val="20"/>
      <w:szCs w:val="20"/>
      <w:lang w:eastAsia="en-AU"/>
    </w:rPr>
  </w:style>
  <w:style w:type="paragraph" w:styleId="DocumentMap">
    <w:name w:val="Document Map"/>
    <w:basedOn w:val="Normal"/>
    <w:link w:val="DocumentMapChar"/>
    <w:rsid w:val="00003E81"/>
    <w:rPr>
      <w:rFonts w:ascii="Lucida Grande" w:hAnsi="Lucida Grande"/>
    </w:rPr>
  </w:style>
  <w:style w:type="character" w:customStyle="1" w:styleId="DocumentMapChar">
    <w:name w:val="Document Map Char"/>
    <w:basedOn w:val="DefaultParagraphFont"/>
    <w:link w:val="DocumentMap"/>
    <w:rsid w:val="00003E81"/>
    <w:rPr>
      <w:rFonts w:ascii="Lucida Grande" w:eastAsia="Times New Roman" w:hAnsi="Lucida Grande" w:cs="Times New Roman"/>
      <w:sz w:val="24"/>
      <w:szCs w:val="24"/>
      <w:lang w:eastAsia="en-AU"/>
    </w:rPr>
  </w:style>
  <w:style w:type="character" w:styleId="FollowedHyperlink">
    <w:name w:val="FollowedHyperlink"/>
    <w:basedOn w:val="DefaultParagraphFont"/>
    <w:uiPriority w:val="99"/>
    <w:rsid w:val="00003E81"/>
    <w:rPr>
      <w:color w:val="BA6906" w:themeColor="followedHyperlink"/>
      <w:u w:val="single"/>
    </w:rPr>
  </w:style>
  <w:style w:type="paragraph" w:customStyle="1" w:styleId="PFNumLevel2">
    <w:name w:val="PF (Num) Level 2"/>
    <w:basedOn w:val="Normal"/>
    <w:rsid w:val="00003E81"/>
    <w:pPr>
      <w:numPr>
        <w:ilvl w:val="1"/>
        <w:numId w:val="2"/>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szCs w:val="20"/>
      <w:lang w:eastAsia="en-US"/>
    </w:rPr>
  </w:style>
  <w:style w:type="paragraph" w:customStyle="1" w:styleId="PFNumLevel3">
    <w:name w:val="PF (Num) Level 3"/>
    <w:basedOn w:val="Normal"/>
    <w:rsid w:val="00003E81"/>
    <w:pPr>
      <w:numPr>
        <w:ilvl w:val="2"/>
        <w:numId w:val="2"/>
      </w:numPr>
      <w:tabs>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szCs w:val="20"/>
      <w:lang w:eastAsia="en-US"/>
    </w:rPr>
  </w:style>
  <w:style w:type="paragraph" w:customStyle="1" w:styleId="PFNumLevel4">
    <w:name w:val="PF (Num) Level 4"/>
    <w:basedOn w:val="Normal"/>
    <w:rsid w:val="00003E81"/>
    <w:pPr>
      <w:numPr>
        <w:ilvl w:val="3"/>
        <w:numId w:val="2"/>
      </w:numPr>
      <w:tabs>
        <w:tab w:val="left" w:pos="4621"/>
        <w:tab w:val="left" w:pos="5545"/>
        <w:tab w:val="left" w:pos="6469"/>
        <w:tab w:val="left" w:pos="7394"/>
        <w:tab w:val="left" w:pos="8318"/>
        <w:tab w:val="right" w:pos="8930"/>
      </w:tabs>
      <w:spacing w:before="120" w:after="120" w:line="276" w:lineRule="auto"/>
    </w:pPr>
    <w:rPr>
      <w:rFonts w:ascii="Arial" w:hAnsi="Arial"/>
      <w:color w:val="000000"/>
      <w:sz w:val="21"/>
      <w:szCs w:val="20"/>
      <w:lang w:eastAsia="en-US"/>
    </w:rPr>
  </w:style>
  <w:style w:type="paragraph" w:customStyle="1" w:styleId="PFNumLevel5">
    <w:name w:val="PF (Num) Level 5"/>
    <w:basedOn w:val="Normal"/>
    <w:rsid w:val="00003E81"/>
    <w:pPr>
      <w:numPr>
        <w:ilvl w:val="4"/>
        <w:numId w:val="2"/>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szCs w:val="20"/>
      <w:lang w:eastAsia="en-US"/>
    </w:rPr>
  </w:style>
  <w:style w:type="paragraph" w:customStyle="1" w:styleId="Heading1A">
    <w:name w:val="Heading 1A"/>
    <w:basedOn w:val="Heading1"/>
    <w:next w:val="Normal"/>
    <w:rsid w:val="00003E81"/>
    <w:pPr>
      <w:keepLines w:val="0"/>
      <w:numPr>
        <w:numId w:val="2"/>
      </w:numPr>
      <w:tabs>
        <w:tab w:val="left" w:pos="1848"/>
        <w:tab w:val="left" w:pos="2773"/>
        <w:tab w:val="left" w:pos="3697"/>
        <w:tab w:val="left" w:pos="4621"/>
        <w:tab w:val="left" w:pos="5545"/>
        <w:tab w:val="left" w:pos="6469"/>
        <w:tab w:val="left" w:pos="7394"/>
        <w:tab w:val="left" w:pos="8318"/>
        <w:tab w:val="right" w:pos="8930"/>
      </w:tabs>
      <w:spacing w:before="400" w:line="276" w:lineRule="auto"/>
    </w:pPr>
    <w:rPr>
      <w:rFonts w:ascii="Arial" w:eastAsia="Times New Roman" w:hAnsi="Arial" w:cs="Times New Roman"/>
      <w:bCs w:val="0"/>
      <w:color w:val="000000"/>
      <w:kern w:val="28"/>
      <w:lang w:eastAsia="en-US"/>
    </w:rPr>
  </w:style>
  <w:style w:type="paragraph" w:customStyle="1" w:styleId="PFNumLevel6">
    <w:name w:val="PF (Num) Level 6"/>
    <w:basedOn w:val="PFNumLevel4"/>
    <w:rsid w:val="00003E81"/>
    <w:pPr>
      <w:numPr>
        <w:ilvl w:val="5"/>
      </w:numPr>
    </w:pPr>
  </w:style>
  <w:style w:type="paragraph" w:customStyle="1" w:styleId="Table">
    <w:name w:val="Table"/>
    <w:basedOn w:val="Normal"/>
    <w:rsid w:val="00003E81"/>
    <w:pPr>
      <w:spacing w:before="60" w:after="60"/>
    </w:pPr>
    <w:rPr>
      <w:rFonts w:ascii="Arial" w:hAnsi="Arial"/>
      <w:snapToGrid w:val="0"/>
      <w:sz w:val="18"/>
      <w:szCs w:val="20"/>
    </w:rPr>
  </w:style>
  <w:style w:type="table" w:customStyle="1" w:styleId="AABlackTable1">
    <w:name w:val="AABlackTable1"/>
    <w:basedOn w:val="TableNormal"/>
    <w:uiPriority w:val="99"/>
    <w:rsid w:val="00003E81"/>
    <w:pPr>
      <w:spacing w:before="110" w:after="110" w:line="264" w:lineRule="auto"/>
    </w:pPr>
    <w:rPr>
      <w:rFonts w:ascii="Verdana" w:hAnsi="Verdana"/>
      <w:sz w:val="18"/>
      <w:szCs w:val="20"/>
    </w:rPr>
    <w:tblPr>
      <w:tblInd w:w="108" w:type="dxa"/>
      <w:tblBorders>
        <w:top w:val="single" w:sz="4" w:space="0" w:color="000000"/>
        <w:bottom w:val="single" w:sz="4" w:space="0" w:color="000000"/>
        <w:insideH w:val="single" w:sz="4" w:space="0" w:color="000000"/>
        <w:insideV w:val="single" w:sz="4" w:space="0" w:color="000000"/>
      </w:tblBorders>
    </w:tblPr>
    <w:tblStylePr w:type="firstRow">
      <w:rPr>
        <w:b/>
        <w:color w:val="FFFFFF" w:themeColor="background1"/>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solid" w:color="000000" w:fill="000000"/>
      </w:tcPr>
    </w:tblStylePr>
    <w:tblStylePr w:type="fir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tblStylePr w:type="la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style>
  <w:style w:type="paragraph" w:styleId="TOC4">
    <w:name w:val="toc 4"/>
    <w:basedOn w:val="Normal"/>
    <w:next w:val="Normal"/>
    <w:autoRedefine/>
    <w:uiPriority w:val="39"/>
    <w:rsid w:val="00003E81"/>
    <w:pPr>
      <w:ind w:left="720"/>
    </w:pPr>
  </w:style>
  <w:style w:type="paragraph" w:styleId="TOC5">
    <w:name w:val="toc 5"/>
    <w:basedOn w:val="Normal"/>
    <w:next w:val="Normal"/>
    <w:autoRedefine/>
    <w:uiPriority w:val="39"/>
    <w:rsid w:val="00003E81"/>
    <w:pPr>
      <w:ind w:left="960"/>
    </w:pPr>
  </w:style>
  <w:style w:type="paragraph" w:styleId="TOC6">
    <w:name w:val="toc 6"/>
    <w:basedOn w:val="Normal"/>
    <w:next w:val="Normal"/>
    <w:autoRedefine/>
    <w:uiPriority w:val="39"/>
    <w:rsid w:val="00003E81"/>
    <w:pPr>
      <w:ind w:left="1200"/>
    </w:pPr>
  </w:style>
  <w:style w:type="paragraph" w:styleId="TOC7">
    <w:name w:val="toc 7"/>
    <w:basedOn w:val="Normal"/>
    <w:next w:val="Normal"/>
    <w:autoRedefine/>
    <w:uiPriority w:val="39"/>
    <w:rsid w:val="00003E81"/>
    <w:pPr>
      <w:ind w:left="1440"/>
    </w:pPr>
  </w:style>
  <w:style w:type="paragraph" w:styleId="TOC8">
    <w:name w:val="toc 8"/>
    <w:basedOn w:val="Normal"/>
    <w:next w:val="Normal"/>
    <w:autoRedefine/>
    <w:uiPriority w:val="39"/>
    <w:rsid w:val="00003E81"/>
    <w:pPr>
      <w:ind w:left="1680"/>
    </w:pPr>
  </w:style>
  <w:style w:type="paragraph" w:styleId="TOC9">
    <w:name w:val="toc 9"/>
    <w:basedOn w:val="Normal"/>
    <w:next w:val="Normal"/>
    <w:autoRedefine/>
    <w:uiPriority w:val="39"/>
    <w:rsid w:val="00003E81"/>
    <w:pPr>
      <w:ind w:left="1920"/>
    </w:pPr>
  </w:style>
  <w:style w:type="paragraph" w:customStyle="1" w:styleId="Default">
    <w:name w:val="Default"/>
    <w:rsid w:val="00003E81"/>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1BulletList">
    <w:name w:val="1Bullet List"/>
    <w:rsid w:val="00003E81"/>
    <w:pPr>
      <w:numPr>
        <w:numId w:val="3"/>
      </w:numPr>
      <w:tabs>
        <w:tab w:val="left" w:pos="720"/>
      </w:tabs>
      <w:spacing w:after="0" w:line="240" w:lineRule="auto"/>
    </w:pPr>
    <w:rPr>
      <w:rFonts w:ascii="Arial" w:eastAsia="Times New Roman" w:hAnsi="Arial" w:cs="Times New Roman"/>
      <w:snapToGrid w:val="0"/>
      <w:sz w:val="24"/>
      <w:szCs w:val="20"/>
      <w:lang w:val="en-US"/>
    </w:rPr>
  </w:style>
  <w:style w:type="character" w:styleId="PageNumber">
    <w:name w:val="page number"/>
    <w:basedOn w:val="DefaultParagraphFont"/>
    <w:rsid w:val="00003E81"/>
  </w:style>
  <w:style w:type="paragraph" w:customStyle="1" w:styleId="a">
    <w:name w:val="_"/>
    <w:basedOn w:val="Normal"/>
    <w:rsid w:val="00003E81"/>
    <w:pPr>
      <w:widowControl w:val="0"/>
      <w:tabs>
        <w:tab w:val="left" w:pos="720"/>
      </w:tabs>
      <w:ind w:left="720" w:hanging="720"/>
    </w:pPr>
    <w:rPr>
      <w:rFonts w:ascii="Arial" w:hAnsi="Arial"/>
      <w:snapToGrid w:val="0"/>
      <w:sz w:val="20"/>
      <w:szCs w:val="20"/>
      <w:lang w:val="en-US" w:eastAsia="en-US"/>
    </w:rPr>
  </w:style>
  <w:style w:type="paragraph" w:styleId="BodyTextIndent">
    <w:name w:val="Body Text Indent"/>
    <w:basedOn w:val="Normal"/>
    <w:link w:val="BodyTextIndentChar"/>
    <w:rsid w:val="00003E81"/>
    <w:pPr>
      <w:tabs>
        <w:tab w:val="left" w:pos="1440"/>
      </w:tabs>
      <w:suppressAutoHyphens/>
      <w:ind w:left="720"/>
    </w:pPr>
    <w:rPr>
      <w:rFonts w:ascii="Arial" w:hAnsi="Arial"/>
      <w:sz w:val="20"/>
      <w:szCs w:val="20"/>
      <w:lang w:eastAsia="en-US"/>
    </w:rPr>
  </w:style>
  <w:style w:type="character" w:customStyle="1" w:styleId="BodyTextIndentChar">
    <w:name w:val="Body Text Indent Char"/>
    <w:basedOn w:val="DefaultParagraphFont"/>
    <w:link w:val="BodyTextIndent"/>
    <w:rsid w:val="00003E81"/>
    <w:rPr>
      <w:rFonts w:ascii="Arial" w:eastAsia="Times New Roman" w:hAnsi="Arial" w:cs="Times New Roman"/>
      <w:sz w:val="20"/>
      <w:szCs w:val="20"/>
    </w:rPr>
  </w:style>
  <w:style w:type="paragraph" w:customStyle="1" w:styleId="1AutoList1">
    <w:name w:val="1AutoList1"/>
    <w:basedOn w:val="Normal"/>
    <w:rsid w:val="00003E81"/>
    <w:pPr>
      <w:numPr>
        <w:numId w:val="4"/>
      </w:numPr>
    </w:pPr>
    <w:rPr>
      <w:rFonts w:ascii="Arial" w:hAnsi="Arial"/>
      <w:sz w:val="20"/>
      <w:szCs w:val="20"/>
      <w:lang w:eastAsia="en-US"/>
    </w:rPr>
  </w:style>
  <w:style w:type="paragraph" w:styleId="BodyTextIndent2">
    <w:name w:val="Body Text Indent 2"/>
    <w:basedOn w:val="Normal"/>
    <w:link w:val="BodyTextIndent2Char"/>
    <w:rsid w:val="00003E81"/>
    <w:pPr>
      <w:ind w:left="720" w:hanging="360"/>
    </w:pPr>
    <w:rPr>
      <w:rFonts w:ascii="Arial" w:hAnsi="Arial"/>
      <w:sz w:val="20"/>
      <w:szCs w:val="20"/>
      <w:lang w:eastAsia="en-US"/>
    </w:rPr>
  </w:style>
  <w:style w:type="character" w:customStyle="1" w:styleId="BodyTextIndent2Char">
    <w:name w:val="Body Text Indent 2 Char"/>
    <w:basedOn w:val="DefaultParagraphFont"/>
    <w:link w:val="BodyTextIndent2"/>
    <w:rsid w:val="00003E81"/>
    <w:rPr>
      <w:rFonts w:ascii="Arial" w:eastAsia="Times New Roman" w:hAnsi="Arial" w:cs="Times New Roman"/>
      <w:sz w:val="20"/>
      <w:szCs w:val="20"/>
    </w:rPr>
  </w:style>
  <w:style w:type="paragraph" w:styleId="BodyText">
    <w:name w:val="Body Text"/>
    <w:basedOn w:val="Normal"/>
    <w:link w:val="BodyTextChar"/>
    <w:rsid w:val="00003E81"/>
    <w:pPr>
      <w:suppressAutoHyphens/>
      <w:jc w:val="both"/>
    </w:pPr>
    <w:rPr>
      <w:rFonts w:ascii="Arial" w:hAnsi="Arial"/>
      <w:sz w:val="20"/>
      <w:szCs w:val="20"/>
      <w:lang w:eastAsia="en-US"/>
    </w:rPr>
  </w:style>
  <w:style w:type="character" w:customStyle="1" w:styleId="BodyTextChar">
    <w:name w:val="Body Text Char"/>
    <w:basedOn w:val="DefaultParagraphFont"/>
    <w:link w:val="BodyText"/>
    <w:rsid w:val="00003E81"/>
    <w:rPr>
      <w:rFonts w:ascii="Arial" w:eastAsia="Times New Roman" w:hAnsi="Arial" w:cs="Times New Roman"/>
      <w:sz w:val="20"/>
      <w:szCs w:val="20"/>
    </w:rPr>
  </w:style>
  <w:style w:type="paragraph" w:styleId="PlainText">
    <w:name w:val="Plain Text"/>
    <w:basedOn w:val="Normal"/>
    <w:link w:val="PlainTextChar"/>
    <w:rsid w:val="00003E81"/>
    <w:rPr>
      <w:rFonts w:ascii="Courier New" w:hAnsi="Courier New"/>
      <w:sz w:val="20"/>
      <w:szCs w:val="20"/>
      <w:lang w:eastAsia="en-US"/>
    </w:rPr>
  </w:style>
  <w:style w:type="character" w:customStyle="1" w:styleId="PlainTextChar">
    <w:name w:val="Plain Text Char"/>
    <w:basedOn w:val="DefaultParagraphFont"/>
    <w:link w:val="PlainText"/>
    <w:rsid w:val="00003E81"/>
    <w:rPr>
      <w:rFonts w:ascii="Courier New" w:eastAsia="Times New Roman" w:hAnsi="Courier New" w:cs="Times New Roman"/>
      <w:sz w:val="20"/>
      <w:szCs w:val="20"/>
    </w:rPr>
  </w:style>
  <w:style w:type="paragraph" w:styleId="BodyText2">
    <w:name w:val="Body Text 2"/>
    <w:basedOn w:val="Normal"/>
    <w:link w:val="BodyText2Char"/>
    <w:rsid w:val="00003E81"/>
    <w:rPr>
      <w:rFonts w:ascii="Arial" w:hAnsi="Arial"/>
      <w:sz w:val="16"/>
      <w:szCs w:val="20"/>
      <w:lang w:eastAsia="en-US"/>
    </w:rPr>
  </w:style>
  <w:style w:type="character" w:customStyle="1" w:styleId="BodyText2Char">
    <w:name w:val="Body Text 2 Char"/>
    <w:basedOn w:val="DefaultParagraphFont"/>
    <w:link w:val="BodyText2"/>
    <w:rsid w:val="00003E81"/>
    <w:rPr>
      <w:rFonts w:ascii="Arial" w:eastAsia="Times New Roman" w:hAnsi="Arial" w:cs="Times New Roman"/>
      <w:sz w:val="16"/>
      <w:szCs w:val="20"/>
    </w:rPr>
  </w:style>
  <w:style w:type="paragraph" w:customStyle="1" w:styleId="table0">
    <w:name w:val="table"/>
    <w:basedOn w:val="Normal"/>
    <w:rsid w:val="00003E81"/>
    <w:rPr>
      <w:rFonts w:ascii="Arial" w:hAnsi="Arial"/>
      <w:sz w:val="18"/>
      <w:szCs w:val="20"/>
      <w:lang w:eastAsia="en-US"/>
    </w:rPr>
  </w:style>
  <w:style w:type="paragraph" w:styleId="BodyText3">
    <w:name w:val="Body Text 3"/>
    <w:basedOn w:val="Normal"/>
    <w:link w:val="BodyText3Char"/>
    <w:rsid w:val="00003E81"/>
    <w:pPr>
      <w:ind w:right="3982"/>
      <w:jc w:val="both"/>
    </w:pPr>
    <w:rPr>
      <w:rFonts w:ascii="Arial" w:hAnsi="Arial"/>
      <w:sz w:val="16"/>
      <w:szCs w:val="20"/>
      <w:lang w:val="en-US" w:eastAsia="en-US"/>
    </w:rPr>
  </w:style>
  <w:style w:type="character" w:customStyle="1" w:styleId="BodyText3Char">
    <w:name w:val="Body Text 3 Char"/>
    <w:basedOn w:val="DefaultParagraphFont"/>
    <w:link w:val="BodyText3"/>
    <w:rsid w:val="00003E81"/>
    <w:rPr>
      <w:rFonts w:ascii="Arial" w:eastAsia="Times New Roman" w:hAnsi="Arial" w:cs="Times New Roman"/>
      <w:sz w:val="16"/>
      <w:szCs w:val="20"/>
      <w:lang w:val="en-US"/>
    </w:rPr>
  </w:style>
  <w:style w:type="paragraph" w:styleId="BlockText">
    <w:name w:val="Block Text"/>
    <w:basedOn w:val="Normal"/>
    <w:rsid w:val="00003E81"/>
    <w:pPr>
      <w:ind w:left="720" w:right="-25"/>
    </w:pPr>
    <w:rPr>
      <w:rFonts w:ascii="Arial" w:hAnsi="Arial"/>
      <w:i/>
      <w:sz w:val="22"/>
      <w:szCs w:val="20"/>
      <w:lang w:val="en-US" w:eastAsia="en-US"/>
    </w:rPr>
  </w:style>
  <w:style w:type="paragraph" w:customStyle="1" w:styleId="wfxRecipient">
    <w:name w:val="wfxRecipient"/>
    <w:basedOn w:val="Normal"/>
    <w:rsid w:val="00003E81"/>
    <w:rPr>
      <w:rFonts w:ascii="Arial" w:hAnsi="Arial"/>
      <w:sz w:val="22"/>
      <w:szCs w:val="20"/>
      <w:lang w:eastAsia="en-US"/>
    </w:rPr>
  </w:style>
  <w:style w:type="table" w:styleId="TableClassic1">
    <w:name w:val="Table Classic 1"/>
    <w:basedOn w:val="TableNormal"/>
    <w:rsid w:val="00003E81"/>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003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003E81"/>
    <w:rPr>
      <w:rFonts w:ascii="Calibri" w:hAnsi="Calibri" w:cs="Calibri"/>
      <w:noProof/>
    </w:rPr>
  </w:style>
  <w:style w:type="character" w:customStyle="1" w:styleId="EndNoteBibliographyChar">
    <w:name w:val="EndNote Bibliography Char"/>
    <w:basedOn w:val="DefaultParagraphFont"/>
    <w:link w:val="EndNoteBibliography"/>
    <w:rsid w:val="00003E81"/>
    <w:rPr>
      <w:rFonts w:ascii="Calibri" w:eastAsia="Times New Roman" w:hAnsi="Calibri" w:cs="Calibri"/>
      <w:noProof/>
      <w:sz w:val="24"/>
      <w:szCs w:val="24"/>
      <w:lang w:eastAsia="en-AU"/>
    </w:rPr>
  </w:style>
  <w:style w:type="table" w:customStyle="1" w:styleId="TableGrid2">
    <w:name w:val="Table Grid2"/>
    <w:basedOn w:val="TableNormal"/>
    <w:next w:val="TableGrid"/>
    <w:uiPriority w:val="59"/>
    <w:rsid w:val="00003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03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03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003E81"/>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003E81"/>
    <w:rPr>
      <w:rFonts w:ascii="Calibri" w:eastAsia="Times New Roman" w:hAnsi="Calibri" w:cs="Calibri"/>
      <w:noProof/>
      <w:sz w:val="24"/>
      <w:szCs w:val="24"/>
      <w:lang w:eastAsia="en-AU"/>
    </w:rPr>
  </w:style>
  <w:style w:type="table" w:customStyle="1" w:styleId="TableGrid5">
    <w:name w:val="Table Grid5"/>
    <w:basedOn w:val="TableNormal"/>
    <w:next w:val="TableGrid"/>
    <w:uiPriority w:val="59"/>
    <w:rsid w:val="00003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03E81"/>
    <w:pPr>
      <w:spacing w:after="0" w:line="240" w:lineRule="auto"/>
    </w:pPr>
    <w:rPr>
      <w:rFonts w:eastAsia="Times New Roman" w:cs="Times New Roman"/>
      <w:sz w:val="24"/>
      <w:szCs w:val="24"/>
      <w:lang w:eastAsia="en-AU"/>
    </w:rPr>
  </w:style>
  <w:style w:type="paragraph" w:styleId="ListBullet">
    <w:name w:val="List Bullet"/>
    <w:basedOn w:val="Normal"/>
    <w:rsid w:val="00003E81"/>
    <w:pPr>
      <w:numPr>
        <w:numId w:val="6"/>
      </w:numPr>
      <w:contextualSpacing/>
    </w:pPr>
  </w:style>
  <w:style w:type="table" w:customStyle="1" w:styleId="TableGrid51">
    <w:name w:val="Table Grid51"/>
    <w:basedOn w:val="TableNormal"/>
    <w:next w:val="TableGrid"/>
    <w:uiPriority w:val="59"/>
    <w:rsid w:val="00003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new">
    <w:name w:val="Bullets - new"/>
    <w:basedOn w:val="Normal"/>
    <w:qFormat/>
    <w:rsid w:val="00003E81"/>
    <w:pPr>
      <w:autoSpaceDE w:val="0"/>
      <w:autoSpaceDN w:val="0"/>
      <w:spacing w:before="120" w:after="120"/>
      <w:ind w:left="360" w:hanging="360"/>
    </w:pPr>
    <w:rPr>
      <w:rFonts w:eastAsia="Calibri"/>
      <w:szCs w:val="20"/>
      <w:lang w:eastAsia="en-US"/>
    </w:rPr>
  </w:style>
  <w:style w:type="paragraph" w:styleId="EndnoteText">
    <w:name w:val="endnote text"/>
    <w:basedOn w:val="Normal"/>
    <w:link w:val="EndnoteTextChar"/>
    <w:semiHidden/>
    <w:unhideWhenUsed/>
    <w:rsid w:val="00003E81"/>
    <w:rPr>
      <w:sz w:val="20"/>
      <w:szCs w:val="20"/>
    </w:rPr>
  </w:style>
  <w:style w:type="character" w:customStyle="1" w:styleId="EndnoteTextChar">
    <w:name w:val="Endnote Text Char"/>
    <w:basedOn w:val="DefaultParagraphFont"/>
    <w:link w:val="EndnoteText"/>
    <w:semiHidden/>
    <w:rsid w:val="00003E81"/>
    <w:rPr>
      <w:rFonts w:eastAsia="Times New Roman" w:cs="Times New Roman"/>
      <w:sz w:val="20"/>
      <w:szCs w:val="20"/>
      <w:lang w:eastAsia="en-AU"/>
    </w:rPr>
  </w:style>
  <w:style w:type="character" w:styleId="EndnoteReference">
    <w:name w:val="endnote reference"/>
    <w:basedOn w:val="DefaultParagraphFont"/>
    <w:semiHidden/>
    <w:unhideWhenUsed/>
    <w:rsid w:val="00003E81"/>
    <w:rPr>
      <w:vertAlign w:val="superscript"/>
    </w:rPr>
  </w:style>
  <w:style w:type="paragraph" w:customStyle="1" w:styleId="CCS-NumericNumberedList">
    <w:name w:val="CCS-Numeric Numbered List"/>
    <w:basedOn w:val="Normal"/>
    <w:rsid w:val="00003E81"/>
    <w:pPr>
      <w:numPr>
        <w:numId w:val="8"/>
      </w:numPr>
      <w:spacing w:before="120" w:after="120"/>
    </w:pPr>
    <w:rPr>
      <w:rFonts w:eastAsiaTheme="minorHAnsi" w:cstheme="minorHAnsi"/>
      <w:sz w:val="22"/>
      <w:szCs w:val="20"/>
      <w:lang w:eastAsia="zh-CN" w:bidi="th-TH"/>
    </w:rPr>
  </w:style>
  <w:style w:type="paragraph" w:customStyle="1" w:styleId="Normal-nospacing">
    <w:name w:val="Normal - no spacing"/>
    <w:basedOn w:val="Normal"/>
    <w:qFormat/>
    <w:rsid w:val="00003E81"/>
    <w:pPr>
      <w:spacing w:before="120" w:after="120"/>
    </w:pPr>
    <w:rPr>
      <w:rFonts w:eastAsiaTheme="minorHAnsi" w:cstheme="minorHAnsi"/>
      <w:lang w:eastAsia="zh-CN" w:bidi="th-TH"/>
    </w:rPr>
  </w:style>
  <w:style w:type="paragraph" w:customStyle="1" w:styleId="BulletPoints">
    <w:name w:val="Bullet Points"/>
    <w:basedOn w:val="ListParagraph"/>
    <w:rsid w:val="00003E81"/>
    <w:pPr>
      <w:numPr>
        <w:numId w:val="9"/>
      </w:numPr>
      <w:spacing w:after="120"/>
      <w:ind w:left="426" w:hanging="357"/>
      <w:contextualSpacing w:val="0"/>
    </w:pPr>
    <w:rPr>
      <w:rFonts w:eastAsiaTheme="minorHAnsi" w:cstheme="minorHAnsi"/>
      <w:szCs w:val="20"/>
      <w:lang w:eastAsia="zh-CN" w:bidi="th-TH"/>
    </w:rPr>
  </w:style>
  <w:style w:type="paragraph" w:styleId="ListBullet3">
    <w:name w:val="List Bullet 3"/>
    <w:basedOn w:val="Normal"/>
    <w:autoRedefine/>
    <w:rsid w:val="00003E81"/>
    <w:pPr>
      <w:numPr>
        <w:numId w:val="10"/>
      </w:numPr>
    </w:pPr>
    <w:rPr>
      <w:rFonts w:ascii="Arial" w:hAnsi="Arial"/>
      <w:sz w:val="18"/>
      <w:szCs w:val="20"/>
      <w:lang w:eastAsia="en-US"/>
    </w:rPr>
  </w:style>
  <w:style w:type="table" w:customStyle="1" w:styleId="TableGrid6">
    <w:name w:val="Table Grid6"/>
    <w:basedOn w:val="TableNormal"/>
    <w:next w:val="TableGrid"/>
    <w:uiPriority w:val="59"/>
    <w:rsid w:val="00003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CS">
    <w:name w:val="RUCS"/>
    <w:basedOn w:val="Heading3"/>
    <w:link w:val="RUCSChar"/>
    <w:qFormat/>
    <w:rsid w:val="00003E81"/>
  </w:style>
  <w:style w:type="character" w:customStyle="1" w:styleId="RUCSChar">
    <w:name w:val="RUCS Char"/>
    <w:basedOn w:val="Heading3Char"/>
    <w:link w:val="RUCS"/>
    <w:rsid w:val="00003E81"/>
    <w:rPr>
      <w:rFonts w:ascii="Calibri" w:eastAsiaTheme="majorEastAsia" w:hAnsi="Calibri" w:cstheme="majorBidi"/>
      <w:b/>
      <w:bCs/>
      <w:sz w:val="24"/>
      <w:szCs w:val="24"/>
      <w:lang w:eastAsia="en-AU"/>
    </w:rPr>
  </w:style>
  <w:style w:type="table" w:customStyle="1" w:styleId="TableGrid7">
    <w:name w:val="Table Grid7"/>
    <w:basedOn w:val="TableNormal"/>
    <w:next w:val="TableGrid"/>
    <w:rsid w:val="008D75A0"/>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A43B1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1A7B5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74018">
      <w:bodyDiv w:val="1"/>
      <w:marLeft w:val="0"/>
      <w:marRight w:val="0"/>
      <w:marTop w:val="0"/>
      <w:marBottom w:val="0"/>
      <w:divBdr>
        <w:top w:val="none" w:sz="0" w:space="0" w:color="auto"/>
        <w:left w:val="none" w:sz="0" w:space="0" w:color="auto"/>
        <w:bottom w:val="none" w:sz="0" w:space="0" w:color="auto"/>
        <w:right w:val="none" w:sz="0" w:space="0" w:color="auto"/>
      </w:divBdr>
    </w:div>
    <w:div w:id="380902878">
      <w:bodyDiv w:val="1"/>
      <w:marLeft w:val="0"/>
      <w:marRight w:val="0"/>
      <w:marTop w:val="0"/>
      <w:marBottom w:val="0"/>
      <w:divBdr>
        <w:top w:val="none" w:sz="0" w:space="0" w:color="auto"/>
        <w:left w:val="none" w:sz="0" w:space="0" w:color="auto"/>
        <w:bottom w:val="none" w:sz="0" w:space="0" w:color="auto"/>
        <w:right w:val="none" w:sz="0" w:space="0" w:color="auto"/>
      </w:divBdr>
    </w:div>
    <w:div w:id="416250626">
      <w:bodyDiv w:val="1"/>
      <w:marLeft w:val="0"/>
      <w:marRight w:val="0"/>
      <w:marTop w:val="0"/>
      <w:marBottom w:val="0"/>
      <w:divBdr>
        <w:top w:val="none" w:sz="0" w:space="0" w:color="auto"/>
        <w:left w:val="none" w:sz="0" w:space="0" w:color="auto"/>
        <w:bottom w:val="none" w:sz="0" w:space="0" w:color="auto"/>
        <w:right w:val="none" w:sz="0" w:space="0" w:color="auto"/>
      </w:divBdr>
    </w:div>
    <w:div w:id="457185385">
      <w:bodyDiv w:val="1"/>
      <w:marLeft w:val="0"/>
      <w:marRight w:val="0"/>
      <w:marTop w:val="0"/>
      <w:marBottom w:val="0"/>
      <w:divBdr>
        <w:top w:val="none" w:sz="0" w:space="0" w:color="auto"/>
        <w:left w:val="none" w:sz="0" w:space="0" w:color="auto"/>
        <w:bottom w:val="none" w:sz="0" w:space="0" w:color="auto"/>
        <w:right w:val="none" w:sz="0" w:space="0" w:color="auto"/>
      </w:divBdr>
    </w:div>
    <w:div w:id="634795870">
      <w:bodyDiv w:val="1"/>
      <w:marLeft w:val="0"/>
      <w:marRight w:val="0"/>
      <w:marTop w:val="0"/>
      <w:marBottom w:val="0"/>
      <w:divBdr>
        <w:top w:val="none" w:sz="0" w:space="0" w:color="auto"/>
        <w:left w:val="none" w:sz="0" w:space="0" w:color="auto"/>
        <w:bottom w:val="none" w:sz="0" w:space="0" w:color="auto"/>
        <w:right w:val="none" w:sz="0" w:space="0" w:color="auto"/>
      </w:divBdr>
    </w:div>
    <w:div w:id="645859360">
      <w:bodyDiv w:val="1"/>
      <w:marLeft w:val="0"/>
      <w:marRight w:val="0"/>
      <w:marTop w:val="0"/>
      <w:marBottom w:val="0"/>
      <w:divBdr>
        <w:top w:val="none" w:sz="0" w:space="0" w:color="auto"/>
        <w:left w:val="none" w:sz="0" w:space="0" w:color="auto"/>
        <w:bottom w:val="none" w:sz="0" w:space="0" w:color="auto"/>
        <w:right w:val="none" w:sz="0" w:space="0" w:color="auto"/>
      </w:divBdr>
    </w:div>
    <w:div w:id="755444043">
      <w:bodyDiv w:val="1"/>
      <w:marLeft w:val="0"/>
      <w:marRight w:val="0"/>
      <w:marTop w:val="0"/>
      <w:marBottom w:val="0"/>
      <w:divBdr>
        <w:top w:val="none" w:sz="0" w:space="0" w:color="auto"/>
        <w:left w:val="none" w:sz="0" w:space="0" w:color="auto"/>
        <w:bottom w:val="none" w:sz="0" w:space="0" w:color="auto"/>
        <w:right w:val="none" w:sz="0" w:space="0" w:color="auto"/>
      </w:divBdr>
    </w:div>
    <w:div w:id="808745727">
      <w:bodyDiv w:val="1"/>
      <w:marLeft w:val="0"/>
      <w:marRight w:val="0"/>
      <w:marTop w:val="0"/>
      <w:marBottom w:val="0"/>
      <w:divBdr>
        <w:top w:val="none" w:sz="0" w:space="0" w:color="auto"/>
        <w:left w:val="none" w:sz="0" w:space="0" w:color="auto"/>
        <w:bottom w:val="none" w:sz="0" w:space="0" w:color="auto"/>
        <w:right w:val="none" w:sz="0" w:space="0" w:color="auto"/>
      </w:divBdr>
    </w:div>
    <w:div w:id="1052727591">
      <w:bodyDiv w:val="1"/>
      <w:marLeft w:val="0"/>
      <w:marRight w:val="0"/>
      <w:marTop w:val="0"/>
      <w:marBottom w:val="0"/>
      <w:divBdr>
        <w:top w:val="none" w:sz="0" w:space="0" w:color="auto"/>
        <w:left w:val="none" w:sz="0" w:space="0" w:color="auto"/>
        <w:bottom w:val="none" w:sz="0" w:space="0" w:color="auto"/>
        <w:right w:val="none" w:sz="0" w:space="0" w:color="auto"/>
      </w:divBdr>
    </w:div>
    <w:div w:id="1061900183">
      <w:bodyDiv w:val="1"/>
      <w:marLeft w:val="0"/>
      <w:marRight w:val="0"/>
      <w:marTop w:val="0"/>
      <w:marBottom w:val="0"/>
      <w:divBdr>
        <w:top w:val="none" w:sz="0" w:space="0" w:color="auto"/>
        <w:left w:val="none" w:sz="0" w:space="0" w:color="auto"/>
        <w:bottom w:val="none" w:sz="0" w:space="0" w:color="auto"/>
        <w:right w:val="none" w:sz="0" w:space="0" w:color="auto"/>
      </w:divBdr>
    </w:div>
    <w:div w:id="1203400837">
      <w:bodyDiv w:val="1"/>
      <w:marLeft w:val="0"/>
      <w:marRight w:val="0"/>
      <w:marTop w:val="0"/>
      <w:marBottom w:val="0"/>
      <w:divBdr>
        <w:top w:val="none" w:sz="0" w:space="0" w:color="auto"/>
        <w:left w:val="none" w:sz="0" w:space="0" w:color="auto"/>
        <w:bottom w:val="none" w:sz="0" w:space="0" w:color="auto"/>
        <w:right w:val="none" w:sz="0" w:space="0" w:color="auto"/>
      </w:divBdr>
    </w:div>
    <w:div w:id="1486165223">
      <w:bodyDiv w:val="1"/>
      <w:marLeft w:val="0"/>
      <w:marRight w:val="0"/>
      <w:marTop w:val="0"/>
      <w:marBottom w:val="0"/>
      <w:divBdr>
        <w:top w:val="none" w:sz="0" w:space="0" w:color="auto"/>
        <w:left w:val="none" w:sz="0" w:space="0" w:color="auto"/>
        <w:bottom w:val="none" w:sz="0" w:space="0" w:color="auto"/>
        <w:right w:val="none" w:sz="0" w:space="0" w:color="auto"/>
      </w:divBdr>
    </w:div>
    <w:div w:id="1518469581">
      <w:bodyDiv w:val="1"/>
      <w:marLeft w:val="0"/>
      <w:marRight w:val="0"/>
      <w:marTop w:val="0"/>
      <w:marBottom w:val="0"/>
      <w:divBdr>
        <w:top w:val="none" w:sz="0" w:space="0" w:color="auto"/>
        <w:left w:val="none" w:sz="0" w:space="0" w:color="auto"/>
        <w:bottom w:val="none" w:sz="0" w:space="0" w:color="auto"/>
        <w:right w:val="none" w:sz="0" w:space="0" w:color="auto"/>
      </w:divBdr>
    </w:div>
    <w:div w:id="1784377521">
      <w:bodyDiv w:val="1"/>
      <w:marLeft w:val="0"/>
      <w:marRight w:val="0"/>
      <w:marTop w:val="0"/>
      <w:marBottom w:val="0"/>
      <w:divBdr>
        <w:top w:val="none" w:sz="0" w:space="0" w:color="auto"/>
        <w:left w:val="none" w:sz="0" w:space="0" w:color="auto"/>
        <w:bottom w:val="none" w:sz="0" w:space="0" w:color="auto"/>
        <w:right w:val="none" w:sz="0" w:space="0" w:color="auto"/>
      </w:divBdr>
    </w:div>
    <w:div w:id="1806921426">
      <w:bodyDiv w:val="1"/>
      <w:marLeft w:val="0"/>
      <w:marRight w:val="0"/>
      <w:marTop w:val="0"/>
      <w:marBottom w:val="0"/>
      <w:divBdr>
        <w:top w:val="none" w:sz="0" w:space="0" w:color="auto"/>
        <w:left w:val="none" w:sz="0" w:space="0" w:color="auto"/>
        <w:bottom w:val="none" w:sz="0" w:space="0" w:color="auto"/>
        <w:right w:val="none" w:sz="0" w:space="0" w:color="auto"/>
      </w:divBdr>
    </w:div>
    <w:div w:id="1922596057">
      <w:bodyDiv w:val="1"/>
      <w:marLeft w:val="0"/>
      <w:marRight w:val="0"/>
      <w:marTop w:val="0"/>
      <w:marBottom w:val="0"/>
      <w:divBdr>
        <w:top w:val="none" w:sz="0" w:space="0" w:color="auto"/>
        <w:left w:val="none" w:sz="0" w:space="0" w:color="auto"/>
        <w:bottom w:val="none" w:sz="0" w:space="0" w:color="auto"/>
        <w:right w:val="none" w:sz="0" w:space="0" w:color="auto"/>
      </w:divBdr>
    </w:div>
    <w:div w:id="1942102202">
      <w:bodyDiv w:val="1"/>
      <w:marLeft w:val="0"/>
      <w:marRight w:val="0"/>
      <w:marTop w:val="0"/>
      <w:marBottom w:val="0"/>
      <w:divBdr>
        <w:top w:val="none" w:sz="0" w:space="0" w:color="auto"/>
        <w:left w:val="none" w:sz="0" w:space="0" w:color="auto"/>
        <w:bottom w:val="none" w:sz="0" w:space="0" w:color="auto"/>
        <w:right w:val="none" w:sz="0" w:space="0" w:color="auto"/>
      </w:divBdr>
    </w:div>
    <w:div w:id="210922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image" Target="media/image9.emf"/><Relationship Id="rId3" Type="http://schemas.openxmlformats.org/officeDocument/2006/relationships/settings" Target="settings.xml"/><Relationship Id="rId21" Type="http://schemas.openxmlformats.org/officeDocument/2006/relationships/image" Target="media/image4.emf"/><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8.emf"/><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7.emf"/><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6.emf"/><Relationship Id="rId28" Type="http://schemas.openxmlformats.org/officeDocument/2006/relationships/image" Target="media/image11.emf"/><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gen-agedcaredata.gov.au"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429867"/>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7987</Words>
  <Characters>45532</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2019-03-12T00:00:00Z</dcterms:created>
  <dcterms:modified xsi:type="dcterms:W3CDTF">2019-03-12T03:45:00Z</dcterms:modified>
</cp:coreProperties>
</file>