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321A" w14:textId="182B0145" w:rsidR="006C64C5" w:rsidRDefault="00A17638" w:rsidP="004B0AB0">
      <w:pPr>
        <w:spacing w:before="2000"/>
      </w:pPr>
      <w:r>
        <w:rPr>
          <w:noProof/>
        </w:rPr>
        <w:drawing>
          <wp:inline distT="0" distB="0" distL="0" distR="0" wp14:anchorId="7F146917" wp14:editId="031B2D5D">
            <wp:extent cx="3633278" cy="648000"/>
            <wp:effectExtent l="0" t="0" r="5715" b="0"/>
            <wp:docPr id="5" name="Picture 5" descr="Australian Health Services Research Institute (AHSRI) University of Wollongong logo" title="AHSRI and U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hsri-UowLonghandLandscapeColourPositive.png"/>
                    <pic:cNvPicPr/>
                  </pic:nvPicPr>
                  <pic:blipFill>
                    <a:blip r:embed="rId7">
                      <a:extLst>
                        <a:ext uri="{28A0092B-C50C-407E-A947-70E740481C1C}">
                          <a14:useLocalDpi xmlns:a14="http://schemas.microsoft.com/office/drawing/2010/main" val="0"/>
                        </a:ext>
                      </a:extLst>
                    </a:blip>
                    <a:stretch>
                      <a:fillRect/>
                    </a:stretch>
                  </pic:blipFill>
                  <pic:spPr>
                    <a:xfrm>
                      <a:off x="0" y="0"/>
                      <a:ext cx="3633278" cy="648000"/>
                    </a:xfrm>
                    <a:prstGeom prst="rect">
                      <a:avLst/>
                    </a:prstGeom>
                  </pic:spPr>
                </pic:pic>
              </a:graphicData>
            </a:graphic>
          </wp:inline>
        </w:drawing>
      </w:r>
    </w:p>
    <w:p w14:paraId="60A3C7D7" w14:textId="77777777" w:rsidR="00D01EDD" w:rsidRPr="00574C88" w:rsidRDefault="00301675" w:rsidP="004B0AB0">
      <w:pPr>
        <w:pStyle w:val="Title"/>
        <w:pBdr>
          <w:bottom w:val="none" w:sz="0" w:space="0" w:color="auto"/>
        </w:pBdr>
        <w:spacing w:before="3000" w:after="2000"/>
      </w:pPr>
      <w:r w:rsidRPr="00301675">
        <w:t>Structural and individual costs of</w:t>
      </w:r>
      <w:r w:rsidRPr="00F730E6">
        <w:rPr>
          <w:sz w:val="44"/>
          <w:szCs w:val="44"/>
        </w:rPr>
        <w:t xml:space="preserve"> </w:t>
      </w:r>
      <w:r w:rsidRPr="00301675">
        <w:t>residential aged care services in Australia</w:t>
      </w:r>
    </w:p>
    <w:p w14:paraId="2D4AF4B5" w14:textId="4656108A" w:rsidR="00301675" w:rsidRPr="004B0AB0" w:rsidRDefault="00301675" w:rsidP="004B0AB0">
      <w:pPr>
        <w:pStyle w:val="Title"/>
        <w:pBdr>
          <w:bottom w:val="none" w:sz="0" w:space="0" w:color="auto"/>
        </w:pBdr>
        <w:spacing w:before="3000" w:after="2000"/>
        <w:contextualSpacing w:val="0"/>
        <w:rPr>
          <w:sz w:val="44"/>
          <w:szCs w:val="44"/>
        </w:rPr>
      </w:pPr>
      <w:r w:rsidRPr="004B0AB0">
        <w:rPr>
          <w:sz w:val="44"/>
          <w:szCs w:val="44"/>
        </w:rPr>
        <w:t xml:space="preserve">The Resource Utilisation and Classification Study: Report </w:t>
      </w:r>
      <w:r w:rsidR="00AD7803" w:rsidRPr="004B0AB0">
        <w:rPr>
          <w:sz w:val="44"/>
          <w:szCs w:val="44"/>
        </w:rPr>
        <w:t>3</w:t>
      </w:r>
    </w:p>
    <w:p w14:paraId="29C97E03" w14:textId="3E15F13A" w:rsidR="007A06FE" w:rsidRPr="00975A35" w:rsidRDefault="001468C8" w:rsidP="004B0AB0">
      <w:pPr>
        <w:spacing w:before="720"/>
        <w:rPr>
          <w:b/>
          <w:sz w:val="32"/>
          <w:szCs w:val="32"/>
        </w:rPr>
      </w:pPr>
      <w:r>
        <w:rPr>
          <w:b/>
          <w:sz w:val="32"/>
          <w:szCs w:val="32"/>
        </w:rPr>
        <w:t>February</w:t>
      </w:r>
      <w:r w:rsidR="00953754" w:rsidRPr="00975A35">
        <w:rPr>
          <w:b/>
          <w:sz w:val="32"/>
          <w:szCs w:val="32"/>
        </w:rPr>
        <w:t xml:space="preserve"> </w:t>
      </w:r>
      <w:r w:rsidR="00E14A31" w:rsidRPr="00975A35">
        <w:rPr>
          <w:b/>
          <w:sz w:val="32"/>
          <w:szCs w:val="32"/>
        </w:rPr>
        <w:t>201</w:t>
      </w:r>
      <w:r w:rsidR="00373B9B">
        <w:rPr>
          <w:b/>
          <w:sz w:val="32"/>
          <w:szCs w:val="32"/>
        </w:rPr>
        <w:t>9</w:t>
      </w:r>
    </w:p>
    <w:p w14:paraId="31F3FA6E" w14:textId="77777777" w:rsidR="00CF4053" w:rsidRDefault="00CF4053">
      <w:r>
        <w:br w:type="page"/>
      </w:r>
    </w:p>
    <w:p w14:paraId="77DB106B" w14:textId="350555AF" w:rsidR="007B4D02" w:rsidRPr="00B66BB0" w:rsidRDefault="00CF4053" w:rsidP="006E49DF">
      <w:pPr>
        <w:spacing w:after="720"/>
        <w:jc w:val="right"/>
        <w:rPr>
          <w:sz w:val="36"/>
          <w:szCs w:val="36"/>
        </w:rPr>
      </w:pPr>
      <w:r w:rsidRPr="00B66BB0">
        <w:rPr>
          <w:sz w:val="36"/>
          <w:szCs w:val="36"/>
        </w:rPr>
        <w:lastRenderedPageBreak/>
        <w:t>Jenny McNamee</w:t>
      </w:r>
    </w:p>
    <w:p w14:paraId="2A11DD7F" w14:textId="77777777" w:rsidR="00E17993" w:rsidRPr="00B66BB0" w:rsidRDefault="00E17993" w:rsidP="006E49DF">
      <w:pPr>
        <w:spacing w:after="720"/>
        <w:jc w:val="right"/>
        <w:rPr>
          <w:sz w:val="36"/>
          <w:szCs w:val="36"/>
        </w:rPr>
      </w:pPr>
      <w:r w:rsidRPr="00B66BB0">
        <w:rPr>
          <w:sz w:val="36"/>
          <w:szCs w:val="36"/>
        </w:rPr>
        <w:t>Conrad Kobel</w:t>
      </w:r>
    </w:p>
    <w:p w14:paraId="0A6B1819" w14:textId="77777777" w:rsidR="00E17993" w:rsidRPr="00B66BB0" w:rsidRDefault="00E17993" w:rsidP="006E49DF">
      <w:pPr>
        <w:spacing w:after="720"/>
        <w:jc w:val="right"/>
        <w:rPr>
          <w:sz w:val="36"/>
          <w:szCs w:val="36"/>
        </w:rPr>
      </w:pPr>
      <w:r w:rsidRPr="00B66BB0">
        <w:rPr>
          <w:sz w:val="36"/>
          <w:szCs w:val="36"/>
        </w:rPr>
        <w:t>Nicole Rankin</w:t>
      </w:r>
    </w:p>
    <w:p w14:paraId="432786BA" w14:textId="77777777" w:rsidR="00B650E4" w:rsidRDefault="00B650E4" w:rsidP="0071277C">
      <w:pPr>
        <w:sectPr w:rsidR="00B650E4" w:rsidSect="009E0863">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021" w:left="1418" w:header="709" w:footer="709" w:gutter="0"/>
          <w:pgNumType w:start="1"/>
          <w:cols w:space="708"/>
          <w:docGrid w:linePitch="360"/>
        </w:sectPr>
      </w:pPr>
    </w:p>
    <w:p w14:paraId="400CA99A" w14:textId="65015834" w:rsidR="00235FB7" w:rsidRDefault="00626F44" w:rsidP="004B0AB0">
      <w:pPr>
        <w:spacing w:after="240"/>
      </w:pPr>
      <w:r w:rsidRPr="00626F44">
        <w:lastRenderedPageBreak/>
        <w:t xml:space="preserve">This series of papers report on different aspects of a major national study into needs, costs and classification of residential aged care called </w:t>
      </w:r>
      <w:r w:rsidR="00F3433D">
        <w:t>t</w:t>
      </w:r>
      <w:r w:rsidRPr="00626F44">
        <w:t>he Resource Utilisation and Classification Study (RUCS). The RUCS was undertaken during 2018.</w:t>
      </w:r>
    </w:p>
    <w:p w14:paraId="40DF186F" w14:textId="40D34D9D" w:rsidR="0071277C" w:rsidRDefault="0071277C" w:rsidP="004B0AB0">
      <w:pPr>
        <w:spacing w:after="240"/>
      </w:pPr>
      <w:r>
        <w:t xml:space="preserve">This report (Report </w:t>
      </w:r>
      <w:r w:rsidR="0054096C">
        <w:t>3</w:t>
      </w:r>
      <w:r>
        <w:t>) presents the findings of the analysis of structural and individual costs of residential aged care services in Australia.</w:t>
      </w:r>
    </w:p>
    <w:p w14:paraId="28C76F63" w14:textId="572FEDBD" w:rsidR="00975A35" w:rsidRPr="00135D3C" w:rsidRDefault="0071277C" w:rsidP="004B0AB0">
      <w:pPr>
        <w:spacing w:after="240"/>
      </w:pPr>
      <w:r>
        <w:t xml:space="preserve">A summary of the overall RUCS work program and associated reports is provided </w:t>
      </w:r>
      <w:r w:rsidR="00626F44">
        <w:t xml:space="preserve">in </w:t>
      </w:r>
      <w:r>
        <w:fldChar w:fldCharType="begin"/>
      </w:r>
      <w:r>
        <w:instrText xml:space="preserve"> REF _Ref528325443 \h </w:instrText>
      </w:r>
      <w:r>
        <w:fldChar w:fldCharType="separate"/>
      </w:r>
      <w:r w:rsidR="00043266">
        <w:t xml:space="preserve">Appendix </w:t>
      </w:r>
      <w:r w:rsidR="00043266">
        <w:rPr>
          <w:noProof/>
        </w:rPr>
        <w:t>1</w:t>
      </w:r>
      <w:r>
        <w:fldChar w:fldCharType="end"/>
      </w:r>
      <w:r>
        <w:t>.</w:t>
      </w:r>
    </w:p>
    <w:p w14:paraId="232B869A" w14:textId="77777777" w:rsidR="00975A35" w:rsidRPr="00135D3C" w:rsidRDefault="00975A35" w:rsidP="004B0AB0">
      <w:pPr>
        <w:pStyle w:val="ListParagraph"/>
        <w:numPr>
          <w:ilvl w:val="0"/>
          <w:numId w:val="7"/>
        </w:numPr>
        <w:spacing w:after="240"/>
        <w:ind w:left="1418" w:hanging="1418"/>
        <w:contextualSpacing w:val="0"/>
      </w:pPr>
      <w:r w:rsidRPr="00135D3C">
        <w:t>The Australian National Aged Care Classification (AN-ACC)</w:t>
      </w:r>
    </w:p>
    <w:p w14:paraId="4201AD7A" w14:textId="0388465E" w:rsidR="0054096C" w:rsidRDefault="004B0AB0" w:rsidP="004B0AB0">
      <w:pPr>
        <w:pStyle w:val="ListParagraph"/>
        <w:numPr>
          <w:ilvl w:val="0"/>
          <w:numId w:val="7"/>
        </w:numPr>
        <w:spacing w:after="240"/>
        <w:ind w:left="1418" w:hanging="1418"/>
        <w:contextualSpacing w:val="0"/>
      </w:pPr>
      <w:r>
        <w:t>The AN-ACC assessment model</w:t>
      </w:r>
    </w:p>
    <w:p w14:paraId="00479BD5" w14:textId="550399C2" w:rsidR="00975A35" w:rsidRPr="00135D3C" w:rsidRDefault="00975A35" w:rsidP="004B0AB0">
      <w:pPr>
        <w:pStyle w:val="ListParagraph"/>
        <w:numPr>
          <w:ilvl w:val="0"/>
          <w:numId w:val="7"/>
        </w:numPr>
        <w:spacing w:after="240"/>
        <w:ind w:left="1418" w:hanging="1418"/>
        <w:contextualSpacing w:val="0"/>
        <w:rPr>
          <w:b/>
        </w:rPr>
      </w:pPr>
      <w:r w:rsidRPr="00135D3C">
        <w:rPr>
          <w:b/>
        </w:rPr>
        <w:t>Structural and individual costs of residential aged care services in Australia</w:t>
      </w:r>
      <w:r w:rsidR="003B0474">
        <w:rPr>
          <w:b/>
        </w:rPr>
        <w:t xml:space="preserve"> </w:t>
      </w:r>
      <w:r w:rsidR="003B0474">
        <w:t>(this report)</w:t>
      </w:r>
    </w:p>
    <w:p w14:paraId="726529C2" w14:textId="4386CEA6" w:rsidR="00975A35" w:rsidRPr="00135D3C" w:rsidRDefault="00975A35" w:rsidP="004B0AB0">
      <w:pPr>
        <w:pStyle w:val="ListParagraph"/>
        <w:numPr>
          <w:ilvl w:val="0"/>
          <w:numId w:val="7"/>
        </w:numPr>
        <w:spacing w:after="240"/>
        <w:ind w:left="1418" w:hanging="1418"/>
        <w:contextualSpacing w:val="0"/>
      </w:pPr>
      <w:r w:rsidRPr="00135D3C">
        <w:t>Modelling the im</w:t>
      </w:r>
      <w:r w:rsidR="004B0AB0">
        <w:t>pact of the AN-ACC in Australia</w:t>
      </w:r>
    </w:p>
    <w:p w14:paraId="4EF60995" w14:textId="310794E9" w:rsidR="00975A35" w:rsidRPr="00135D3C" w:rsidRDefault="00FD29B5" w:rsidP="004B0AB0">
      <w:pPr>
        <w:pStyle w:val="ListParagraph"/>
        <w:numPr>
          <w:ilvl w:val="0"/>
          <w:numId w:val="7"/>
        </w:numPr>
        <w:spacing w:after="240"/>
        <w:ind w:left="1418" w:hanging="1418"/>
        <w:contextualSpacing w:val="0"/>
      </w:pPr>
      <w:r>
        <w:t>AN-ACC: A f</w:t>
      </w:r>
      <w:r w:rsidR="00975A35" w:rsidRPr="00135D3C">
        <w:t>unding model for t</w:t>
      </w:r>
      <w:r w:rsidR="004B0AB0">
        <w:t>he residential aged care sector</w:t>
      </w:r>
    </w:p>
    <w:p w14:paraId="0ABB82CB" w14:textId="77777777" w:rsidR="00975A35" w:rsidRPr="00135D3C" w:rsidRDefault="00975A35" w:rsidP="004B0AB0">
      <w:pPr>
        <w:pStyle w:val="ListParagraph"/>
        <w:numPr>
          <w:ilvl w:val="0"/>
          <w:numId w:val="7"/>
        </w:numPr>
        <w:spacing w:after="240"/>
        <w:ind w:left="1418" w:hanging="1418"/>
        <w:contextualSpacing w:val="0"/>
      </w:pPr>
      <w:r w:rsidRPr="00135D3C">
        <w:t>AN-ACC: A national classification and funding model for residential aged care: Synthesis and consolidated recommendations</w:t>
      </w:r>
    </w:p>
    <w:p w14:paraId="3D866F1C" w14:textId="6A0ABC62" w:rsidR="00975A35" w:rsidRDefault="00975A35" w:rsidP="004B0AB0">
      <w:pPr>
        <w:pStyle w:val="ListParagraph"/>
        <w:numPr>
          <w:ilvl w:val="0"/>
          <w:numId w:val="7"/>
        </w:numPr>
        <w:spacing w:after="240"/>
        <w:ind w:left="1418" w:hanging="1418"/>
        <w:contextualSpacing w:val="0"/>
        <w:rPr>
          <w:lang w:val="sv-SE"/>
        </w:rPr>
      </w:pPr>
      <w:r w:rsidRPr="00F730E6">
        <w:rPr>
          <w:lang w:val="sv-SE"/>
        </w:rPr>
        <w:t>AN-ACC Technical appendices</w:t>
      </w:r>
    </w:p>
    <w:p w14:paraId="7948B62A" w14:textId="407DDD89" w:rsidR="00DA469E" w:rsidRDefault="004B0AB0" w:rsidP="00E3695E">
      <w:pPr>
        <w:spacing w:before="3000" w:after="240"/>
        <w:rPr>
          <w:lang w:val="sv-SE"/>
        </w:rPr>
      </w:pPr>
      <w:r w:rsidRPr="008F0118">
        <w:rPr>
          <w:b/>
        </w:rPr>
        <w:t>Suggestion citation:</w:t>
      </w:r>
    </w:p>
    <w:p w14:paraId="092C928B" w14:textId="77777777" w:rsidR="004B0AB0" w:rsidRDefault="004B0AB0" w:rsidP="00E3695E">
      <w:pPr>
        <w:spacing w:before="120"/>
      </w:pPr>
      <w:r w:rsidRPr="000A10DE">
        <w:t xml:space="preserve">McNamee J, Kobel C, </w:t>
      </w:r>
      <w:r>
        <w:t xml:space="preserve">and </w:t>
      </w:r>
      <w:r w:rsidRPr="000A10DE">
        <w:t>Rankin N</w:t>
      </w:r>
      <w:r>
        <w:t xml:space="preserve"> </w:t>
      </w:r>
      <w:r w:rsidRPr="000A10DE">
        <w:t>(</w:t>
      </w:r>
      <w:r>
        <w:t>2</w:t>
      </w:r>
      <w:r w:rsidRPr="006143EE">
        <w:t>01</w:t>
      </w:r>
      <w:r>
        <w:t>9</w:t>
      </w:r>
      <w:r w:rsidRPr="006143EE">
        <w:t>)</w:t>
      </w:r>
      <w:r>
        <w:t xml:space="preserve"> </w:t>
      </w:r>
      <w:r w:rsidRPr="00DE7D22">
        <w:rPr>
          <w:i/>
        </w:rPr>
        <w:t>Structural and individual costs of residential aged care services in Australia</w:t>
      </w:r>
      <w:r>
        <w:rPr>
          <w:i/>
        </w:rPr>
        <w:t>.</w:t>
      </w:r>
      <w:r w:rsidRPr="00DE7D22">
        <w:rPr>
          <w:i/>
        </w:rPr>
        <w:t xml:space="preserve"> The Resource Utilisation and Classification Study: Report </w:t>
      </w:r>
      <w:r>
        <w:rPr>
          <w:i/>
        </w:rPr>
        <w:t>3</w:t>
      </w:r>
      <w:r w:rsidRPr="00975A35">
        <w:t>.</w:t>
      </w:r>
      <w:r>
        <w:t xml:space="preserve"> Australian Health Services Research Institute, University of Wollongong.  ISBN: 978-1-74128-297-9.</w:t>
      </w:r>
    </w:p>
    <w:p w14:paraId="31BE677E" w14:textId="1E18A3B8" w:rsidR="00975A35" w:rsidRDefault="00975A35" w:rsidP="00CF4053"/>
    <w:p w14:paraId="6E1C6956" w14:textId="77777777" w:rsidR="00CA1324" w:rsidRDefault="00CA1324" w:rsidP="00CF4053">
      <w:pPr>
        <w:sectPr w:rsidR="00CA1324" w:rsidSect="00B650E4">
          <w:headerReference w:type="default" r:id="rId14"/>
          <w:footerReference w:type="default" r:id="rId15"/>
          <w:pgSz w:w="11906" w:h="16838"/>
          <w:pgMar w:top="1134" w:right="1134" w:bottom="1021" w:left="1418" w:header="709" w:footer="709" w:gutter="0"/>
          <w:pgNumType w:start="1"/>
          <w:cols w:space="708"/>
          <w:docGrid w:linePitch="360"/>
        </w:sectPr>
      </w:pPr>
    </w:p>
    <w:bookmarkStart w:id="0" w:name="_Toc455046509" w:displacedByCustomXml="next"/>
    <w:bookmarkStart w:id="1" w:name="_Toc454984416" w:displacedByCustomXml="next"/>
    <w:bookmarkStart w:id="2" w:name="_Toc420883505" w:displacedByCustomXml="next"/>
    <w:bookmarkStart w:id="3" w:name="_Toc420884055" w:displacedByCustomXml="next"/>
    <w:bookmarkStart w:id="4" w:name="_Toc420921206" w:displacedByCustomXml="next"/>
    <w:bookmarkStart w:id="5" w:name="_Toc420928744" w:displacedByCustomXml="next"/>
    <w:bookmarkStart w:id="6" w:name="_Toc454355989" w:displacedByCustomXml="next"/>
    <w:sdt>
      <w:sdtPr>
        <w:rPr>
          <w:rFonts w:ascii="Times New Roman" w:hAnsi="Times New Roman"/>
          <w:b w:val="0"/>
          <w:bCs/>
          <w:noProof w:val="0"/>
          <w:sz w:val="24"/>
          <w:szCs w:val="24"/>
        </w:rPr>
        <w:id w:val="-1505884234"/>
        <w:docPartObj>
          <w:docPartGallery w:val="Table of Contents"/>
          <w:docPartUnique/>
        </w:docPartObj>
      </w:sdtPr>
      <w:sdtEndPr>
        <w:rPr>
          <w:rFonts w:asciiTheme="minorHAnsi" w:hAnsiTheme="minorHAnsi"/>
          <w:bCs w:val="0"/>
        </w:rPr>
      </w:sdtEndPr>
      <w:sdtContent>
        <w:p w14:paraId="709520D7" w14:textId="77777777" w:rsidR="00C06E8C" w:rsidRPr="00E3695E" w:rsidRDefault="00892ADC" w:rsidP="000E2DFC">
          <w:pPr>
            <w:pStyle w:val="TOC1"/>
            <w:rPr>
              <w:sz w:val="40"/>
              <w:szCs w:val="40"/>
            </w:rPr>
          </w:pPr>
          <w:r w:rsidRPr="00E3695E">
            <w:rPr>
              <w:sz w:val="40"/>
              <w:szCs w:val="40"/>
            </w:rPr>
            <w:t>Contents</w:t>
          </w:r>
          <w:bookmarkEnd w:id="6"/>
          <w:bookmarkEnd w:id="5"/>
          <w:bookmarkEnd w:id="4"/>
          <w:bookmarkEnd w:id="3"/>
          <w:bookmarkEnd w:id="2"/>
          <w:bookmarkEnd w:id="1"/>
          <w:bookmarkEnd w:id="0"/>
        </w:p>
        <w:p w14:paraId="05FDD7FE" w14:textId="10B605F8" w:rsidR="0031041C" w:rsidRDefault="000B0A40">
          <w:pPr>
            <w:pStyle w:val="TOC1"/>
            <w:rPr>
              <w:rFonts w:eastAsiaTheme="minorEastAsia" w:cstheme="minorBidi"/>
              <w:b w:val="0"/>
            </w:rPr>
          </w:pPr>
          <w:r w:rsidRPr="00D10BB2">
            <w:fldChar w:fldCharType="begin"/>
          </w:r>
          <w:r w:rsidRPr="00D10BB2">
            <w:instrText xml:space="preserve"> TOC \o "1-2" </w:instrText>
          </w:r>
          <w:r w:rsidRPr="00D10BB2">
            <w:fldChar w:fldCharType="separate"/>
          </w:r>
          <w:r w:rsidR="0031041C">
            <w:t>Acknowledgements</w:t>
          </w:r>
          <w:r w:rsidR="0031041C">
            <w:tab/>
          </w:r>
          <w:r w:rsidR="0031041C">
            <w:fldChar w:fldCharType="begin"/>
          </w:r>
          <w:r w:rsidR="0031041C">
            <w:instrText xml:space="preserve"> PAGEREF _Toc952727 \h </w:instrText>
          </w:r>
          <w:r w:rsidR="0031041C">
            <w:fldChar w:fldCharType="separate"/>
          </w:r>
          <w:r w:rsidR="00790058">
            <w:t>i</w:t>
          </w:r>
          <w:r w:rsidR="0031041C">
            <w:fldChar w:fldCharType="end"/>
          </w:r>
        </w:p>
        <w:p w14:paraId="7653EAE2" w14:textId="1F0D8430" w:rsidR="0031041C" w:rsidRDefault="0031041C">
          <w:pPr>
            <w:pStyle w:val="TOC1"/>
            <w:rPr>
              <w:rFonts w:eastAsiaTheme="minorEastAsia" w:cstheme="minorBidi"/>
              <w:b w:val="0"/>
            </w:rPr>
          </w:pPr>
          <w:r>
            <w:t>Abbreviations</w:t>
          </w:r>
          <w:r>
            <w:tab/>
          </w:r>
          <w:r>
            <w:fldChar w:fldCharType="begin"/>
          </w:r>
          <w:r>
            <w:instrText xml:space="preserve"> PAGEREF _Toc952728 \h </w:instrText>
          </w:r>
          <w:r>
            <w:fldChar w:fldCharType="separate"/>
          </w:r>
          <w:r w:rsidR="00790058">
            <w:t>ii</w:t>
          </w:r>
          <w:r>
            <w:fldChar w:fldCharType="end"/>
          </w:r>
        </w:p>
        <w:p w14:paraId="0C66E879" w14:textId="3EA2AB8D" w:rsidR="0031041C" w:rsidRDefault="0031041C">
          <w:pPr>
            <w:pStyle w:val="TOC1"/>
            <w:rPr>
              <w:rFonts w:eastAsiaTheme="minorEastAsia" w:cstheme="minorBidi"/>
              <w:b w:val="0"/>
            </w:rPr>
          </w:pPr>
          <w:r>
            <w:t>Glossary of Terms</w:t>
          </w:r>
          <w:r>
            <w:tab/>
          </w:r>
          <w:r>
            <w:fldChar w:fldCharType="begin"/>
          </w:r>
          <w:r>
            <w:instrText xml:space="preserve"> PAGEREF _Toc952729 \h </w:instrText>
          </w:r>
          <w:r>
            <w:fldChar w:fldCharType="separate"/>
          </w:r>
          <w:r w:rsidR="00790058">
            <w:t>iii</w:t>
          </w:r>
          <w:r>
            <w:fldChar w:fldCharType="end"/>
          </w:r>
        </w:p>
        <w:p w14:paraId="62F133E9" w14:textId="594AEFE5" w:rsidR="0031041C" w:rsidRDefault="0031041C">
          <w:pPr>
            <w:pStyle w:val="TOC1"/>
            <w:rPr>
              <w:rFonts w:eastAsiaTheme="minorEastAsia" w:cstheme="minorBidi"/>
              <w:b w:val="0"/>
            </w:rPr>
          </w:pPr>
          <w:r>
            <w:t>Key messages</w:t>
          </w:r>
          <w:r>
            <w:tab/>
          </w:r>
          <w:r>
            <w:fldChar w:fldCharType="begin"/>
          </w:r>
          <w:r>
            <w:instrText xml:space="preserve"> PAGEREF _Toc952730 \h </w:instrText>
          </w:r>
          <w:r>
            <w:fldChar w:fldCharType="separate"/>
          </w:r>
          <w:r w:rsidR="00790058">
            <w:t>1</w:t>
          </w:r>
          <w:r>
            <w:fldChar w:fldCharType="end"/>
          </w:r>
        </w:p>
        <w:p w14:paraId="5A615632" w14:textId="3A3D3D28" w:rsidR="0031041C" w:rsidRDefault="0031041C">
          <w:pPr>
            <w:pStyle w:val="TOC1"/>
            <w:rPr>
              <w:rFonts w:eastAsiaTheme="minorEastAsia" w:cstheme="minorBidi"/>
              <w:b w:val="0"/>
            </w:rPr>
          </w:pPr>
          <w:r>
            <w:t>1</w:t>
          </w:r>
          <w:r>
            <w:rPr>
              <w:rFonts w:eastAsiaTheme="minorEastAsia" w:cstheme="minorBidi"/>
              <w:b w:val="0"/>
            </w:rPr>
            <w:tab/>
          </w:r>
          <w:r>
            <w:t>Introduction</w:t>
          </w:r>
          <w:r>
            <w:tab/>
          </w:r>
          <w:r>
            <w:fldChar w:fldCharType="begin"/>
          </w:r>
          <w:r>
            <w:instrText xml:space="preserve"> PAGEREF _Toc952731 \h </w:instrText>
          </w:r>
          <w:r>
            <w:fldChar w:fldCharType="separate"/>
          </w:r>
          <w:r w:rsidR="00790058">
            <w:t>2</w:t>
          </w:r>
          <w:r>
            <w:fldChar w:fldCharType="end"/>
          </w:r>
        </w:p>
        <w:p w14:paraId="6334B339" w14:textId="2E557FE1" w:rsidR="0031041C" w:rsidRDefault="0031041C">
          <w:pPr>
            <w:pStyle w:val="TOC2"/>
            <w:rPr>
              <w:rFonts w:eastAsiaTheme="minorEastAsia" w:cstheme="minorBidi"/>
              <w:sz w:val="22"/>
              <w:szCs w:val="22"/>
            </w:rPr>
          </w:pPr>
          <w:r>
            <w:t>1.1</w:t>
          </w:r>
          <w:r>
            <w:rPr>
              <w:rFonts w:eastAsiaTheme="minorEastAsia" w:cstheme="minorBidi"/>
              <w:sz w:val="22"/>
              <w:szCs w:val="22"/>
            </w:rPr>
            <w:tab/>
          </w:r>
          <w:r>
            <w:t>Ethical approval</w:t>
          </w:r>
          <w:r>
            <w:tab/>
          </w:r>
          <w:r>
            <w:fldChar w:fldCharType="begin"/>
          </w:r>
          <w:r>
            <w:instrText xml:space="preserve"> PAGEREF _Toc952732 \h </w:instrText>
          </w:r>
          <w:r>
            <w:fldChar w:fldCharType="separate"/>
          </w:r>
          <w:r w:rsidR="00790058">
            <w:t>3</w:t>
          </w:r>
          <w:r>
            <w:fldChar w:fldCharType="end"/>
          </w:r>
        </w:p>
        <w:p w14:paraId="77CC8398" w14:textId="20BA5A04" w:rsidR="0031041C" w:rsidRDefault="0031041C">
          <w:pPr>
            <w:pStyle w:val="TOC1"/>
            <w:rPr>
              <w:rFonts w:eastAsiaTheme="minorEastAsia" w:cstheme="minorBidi"/>
              <w:b w:val="0"/>
            </w:rPr>
          </w:pPr>
          <w:r>
            <w:t>2</w:t>
          </w:r>
          <w:r>
            <w:rPr>
              <w:rFonts w:eastAsiaTheme="minorEastAsia" w:cstheme="minorBidi"/>
              <w:b w:val="0"/>
            </w:rPr>
            <w:tab/>
          </w:r>
          <w:r>
            <w:t>Selection and recruitment of Study Two sites</w:t>
          </w:r>
          <w:r>
            <w:tab/>
          </w:r>
          <w:r>
            <w:fldChar w:fldCharType="begin"/>
          </w:r>
          <w:r>
            <w:instrText xml:space="preserve"> PAGEREF _Toc952733 \h </w:instrText>
          </w:r>
          <w:r>
            <w:fldChar w:fldCharType="separate"/>
          </w:r>
          <w:r w:rsidR="00790058">
            <w:t>4</w:t>
          </w:r>
          <w:r>
            <w:fldChar w:fldCharType="end"/>
          </w:r>
        </w:p>
        <w:p w14:paraId="7BE16204" w14:textId="56E72CEC" w:rsidR="0031041C" w:rsidRDefault="0031041C">
          <w:pPr>
            <w:pStyle w:val="TOC2"/>
            <w:rPr>
              <w:rFonts w:eastAsiaTheme="minorEastAsia" w:cstheme="minorBidi"/>
              <w:sz w:val="22"/>
              <w:szCs w:val="22"/>
            </w:rPr>
          </w:pPr>
          <w:r>
            <w:t>2.1</w:t>
          </w:r>
          <w:r>
            <w:rPr>
              <w:rFonts w:eastAsiaTheme="minorEastAsia" w:cstheme="minorBidi"/>
              <w:sz w:val="22"/>
              <w:szCs w:val="22"/>
            </w:rPr>
            <w:tab/>
          </w:r>
          <w:r>
            <w:t>Sample methodology</w:t>
          </w:r>
          <w:r>
            <w:tab/>
          </w:r>
          <w:r>
            <w:fldChar w:fldCharType="begin"/>
          </w:r>
          <w:r>
            <w:instrText xml:space="preserve"> PAGEREF _Toc952734 \h </w:instrText>
          </w:r>
          <w:r>
            <w:fldChar w:fldCharType="separate"/>
          </w:r>
          <w:r w:rsidR="00790058">
            <w:t>4</w:t>
          </w:r>
          <w:r>
            <w:fldChar w:fldCharType="end"/>
          </w:r>
        </w:p>
        <w:p w14:paraId="107A20C7" w14:textId="60F08780" w:rsidR="0031041C" w:rsidRDefault="0031041C">
          <w:pPr>
            <w:pStyle w:val="TOC2"/>
            <w:rPr>
              <w:rFonts w:eastAsiaTheme="minorEastAsia" w:cstheme="minorBidi"/>
              <w:sz w:val="22"/>
              <w:szCs w:val="22"/>
            </w:rPr>
          </w:pPr>
          <w:r>
            <w:t>2.2</w:t>
          </w:r>
          <w:r>
            <w:rPr>
              <w:rFonts w:eastAsiaTheme="minorEastAsia" w:cstheme="minorBidi"/>
              <w:sz w:val="22"/>
              <w:szCs w:val="22"/>
            </w:rPr>
            <w:tab/>
          </w:r>
          <w:r>
            <w:t>Sample site recruitment</w:t>
          </w:r>
          <w:r>
            <w:tab/>
          </w:r>
          <w:r>
            <w:fldChar w:fldCharType="begin"/>
          </w:r>
          <w:r>
            <w:instrText xml:space="preserve"> PAGEREF _Toc952735 \h </w:instrText>
          </w:r>
          <w:r>
            <w:fldChar w:fldCharType="separate"/>
          </w:r>
          <w:r w:rsidR="00790058">
            <w:t>5</w:t>
          </w:r>
          <w:r>
            <w:fldChar w:fldCharType="end"/>
          </w:r>
        </w:p>
        <w:p w14:paraId="3848265E" w14:textId="23C49C00" w:rsidR="0031041C" w:rsidRDefault="0031041C">
          <w:pPr>
            <w:pStyle w:val="TOC1"/>
            <w:rPr>
              <w:rFonts w:eastAsiaTheme="minorEastAsia" w:cstheme="minorBidi"/>
              <w:b w:val="0"/>
            </w:rPr>
          </w:pPr>
          <w:r>
            <w:t>3</w:t>
          </w:r>
          <w:r>
            <w:rPr>
              <w:rFonts w:eastAsiaTheme="minorEastAsia" w:cstheme="minorBidi"/>
              <w:b w:val="0"/>
            </w:rPr>
            <w:tab/>
          </w:r>
          <w:r>
            <w:t>Study design and data collection</w:t>
          </w:r>
          <w:r>
            <w:tab/>
          </w:r>
          <w:r>
            <w:fldChar w:fldCharType="begin"/>
          </w:r>
          <w:r>
            <w:instrText xml:space="preserve"> PAGEREF _Toc952736 \h </w:instrText>
          </w:r>
          <w:r>
            <w:fldChar w:fldCharType="separate"/>
          </w:r>
          <w:r w:rsidR="00790058">
            <w:t>6</w:t>
          </w:r>
          <w:r>
            <w:fldChar w:fldCharType="end"/>
          </w:r>
        </w:p>
        <w:p w14:paraId="42F4C734" w14:textId="72F25051" w:rsidR="0031041C" w:rsidRDefault="0031041C">
          <w:pPr>
            <w:pStyle w:val="TOC2"/>
            <w:rPr>
              <w:rFonts w:eastAsiaTheme="minorEastAsia" w:cstheme="minorBidi"/>
              <w:sz w:val="22"/>
              <w:szCs w:val="22"/>
            </w:rPr>
          </w:pPr>
          <w:r>
            <w:t>3.1</w:t>
          </w:r>
          <w:r>
            <w:rPr>
              <w:rFonts w:eastAsiaTheme="minorEastAsia" w:cstheme="minorBidi"/>
              <w:sz w:val="22"/>
              <w:szCs w:val="22"/>
            </w:rPr>
            <w:tab/>
          </w:r>
          <w:r>
            <w:t>Overview of design</w:t>
          </w:r>
          <w:r>
            <w:tab/>
          </w:r>
          <w:r>
            <w:fldChar w:fldCharType="begin"/>
          </w:r>
          <w:r>
            <w:instrText xml:space="preserve"> PAGEREF _Toc952737 \h </w:instrText>
          </w:r>
          <w:r>
            <w:fldChar w:fldCharType="separate"/>
          </w:r>
          <w:r w:rsidR="00790058">
            <w:t>6</w:t>
          </w:r>
          <w:r>
            <w:fldChar w:fldCharType="end"/>
          </w:r>
        </w:p>
        <w:p w14:paraId="438AF4AD" w14:textId="00B01CEF" w:rsidR="0031041C" w:rsidRDefault="0031041C">
          <w:pPr>
            <w:pStyle w:val="TOC2"/>
            <w:rPr>
              <w:rFonts w:eastAsiaTheme="minorEastAsia" w:cstheme="minorBidi"/>
              <w:sz w:val="22"/>
              <w:szCs w:val="22"/>
            </w:rPr>
          </w:pPr>
          <w:r>
            <w:t>3.2</w:t>
          </w:r>
          <w:r>
            <w:rPr>
              <w:rFonts w:eastAsiaTheme="minorEastAsia" w:cstheme="minorBidi"/>
              <w:sz w:val="22"/>
              <w:szCs w:val="22"/>
            </w:rPr>
            <w:tab/>
          </w:r>
          <w:r>
            <w:t>Data collection and quality review process</w:t>
          </w:r>
          <w:r>
            <w:tab/>
          </w:r>
          <w:r>
            <w:fldChar w:fldCharType="begin"/>
          </w:r>
          <w:r>
            <w:instrText xml:space="preserve"> PAGEREF _Toc952738 \h </w:instrText>
          </w:r>
          <w:r>
            <w:fldChar w:fldCharType="separate"/>
          </w:r>
          <w:r w:rsidR="00790058">
            <w:t>7</w:t>
          </w:r>
          <w:r>
            <w:fldChar w:fldCharType="end"/>
          </w:r>
        </w:p>
        <w:p w14:paraId="44D96212" w14:textId="2136F7AD" w:rsidR="0031041C" w:rsidRDefault="0031041C">
          <w:pPr>
            <w:pStyle w:val="TOC1"/>
            <w:rPr>
              <w:rFonts w:eastAsiaTheme="minorEastAsia" w:cstheme="minorBidi"/>
              <w:b w:val="0"/>
            </w:rPr>
          </w:pPr>
          <w:r>
            <w:t>4</w:t>
          </w:r>
          <w:r>
            <w:rPr>
              <w:rFonts w:eastAsiaTheme="minorEastAsia" w:cstheme="minorBidi"/>
              <w:b w:val="0"/>
            </w:rPr>
            <w:tab/>
          </w:r>
          <w:r>
            <w:t>Data preparatio</w:t>
          </w:r>
          <w:bookmarkStart w:id="7" w:name="_GoBack"/>
          <w:bookmarkEnd w:id="7"/>
          <w:r>
            <w:t>n</w:t>
          </w:r>
          <w:r>
            <w:tab/>
          </w:r>
          <w:r>
            <w:fldChar w:fldCharType="begin"/>
          </w:r>
          <w:r>
            <w:instrText xml:space="preserve"> PAGEREF _Toc952739 \h </w:instrText>
          </w:r>
          <w:r>
            <w:fldChar w:fldCharType="separate"/>
          </w:r>
          <w:r w:rsidR="00790058">
            <w:t>9</w:t>
          </w:r>
          <w:r>
            <w:fldChar w:fldCharType="end"/>
          </w:r>
        </w:p>
        <w:p w14:paraId="6294227B" w14:textId="27023E34" w:rsidR="0031041C" w:rsidRDefault="0031041C">
          <w:pPr>
            <w:pStyle w:val="TOC2"/>
            <w:rPr>
              <w:rFonts w:eastAsiaTheme="minorEastAsia" w:cstheme="minorBidi"/>
              <w:sz w:val="22"/>
              <w:szCs w:val="22"/>
            </w:rPr>
          </w:pPr>
          <w:r>
            <w:rPr>
              <w:lang w:eastAsia="zh-CN" w:bidi="th-TH"/>
            </w:rPr>
            <w:t>4.1</w:t>
          </w:r>
          <w:r>
            <w:rPr>
              <w:rFonts w:eastAsiaTheme="minorEastAsia" w:cstheme="minorBidi"/>
              <w:sz w:val="22"/>
              <w:szCs w:val="22"/>
            </w:rPr>
            <w:tab/>
          </w:r>
          <w:r>
            <w:rPr>
              <w:lang w:eastAsia="zh-CN" w:bidi="th-TH"/>
            </w:rPr>
            <w:t>Identifying fixed care costs</w:t>
          </w:r>
          <w:r>
            <w:tab/>
          </w:r>
          <w:r>
            <w:fldChar w:fldCharType="begin"/>
          </w:r>
          <w:r>
            <w:instrText xml:space="preserve"> PAGEREF _Toc952740 \h </w:instrText>
          </w:r>
          <w:r>
            <w:fldChar w:fldCharType="separate"/>
          </w:r>
          <w:r w:rsidR="00790058">
            <w:t>9</w:t>
          </w:r>
          <w:r>
            <w:fldChar w:fldCharType="end"/>
          </w:r>
        </w:p>
        <w:p w14:paraId="67FBAFA2" w14:textId="09C5F96C" w:rsidR="0031041C" w:rsidRDefault="0031041C">
          <w:pPr>
            <w:pStyle w:val="TOC1"/>
            <w:rPr>
              <w:rFonts w:eastAsiaTheme="minorEastAsia" w:cstheme="minorBidi"/>
              <w:b w:val="0"/>
            </w:rPr>
          </w:pPr>
          <w:r>
            <w:rPr>
              <w:lang w:eastAsia="zh-CN" w:bidi="th-TH"/>
            </w:rPr>
            <w:t>5</w:t>
          </w:r>
          <w:r>
            <w:rPr>
              <w:rFonts w:eastAsiaTheme="minorEastAsia" w:cstheme="minorBidi"/>
              <w:b w:val="0"/>
            </w:rPr>
            <w:tab/>
          </w:r>
          <w:r>
            <w:rPr>
              <w:lang w:eastAsia="zh-CN" w:bidi="th-TH"/>
            </w:rPr>
            <w:t>Study Two data analysis</w:t>
          </w:r>
          <w:r>
            <w:tab/>
          </w:r>
          <w:r>
            <w:fldChar w:fldCharType="begin"/>
          </w:r>
          <w:r>
            <w:instrText xml:space="preserve"> PAGEREF _Toc952741 \h </w:instrText>
          </w:r>
          <w:r>
            <w:fldChar w:fldCharType="separate"/>
          </w:r>
          <w:r w:rsidR="00790058">
            <w:t>11</w:t>
          </w:r>
          <w:r>
            <w:fldChar w:fldCharType="end"/>
          </w:r>
        </w:p>
        <w:p w14:paraId="3D8DC9B8" w14:textId="5CD9175F" w:rsidR="0031041C" w:rsidRDefault="0031041C">
          <w:pPr>
            <w:pStyle w:val="TOC2"/>
            <w:rPr>
              <w:rFonts w:eastAsiaTheme="minorEastAsia" w:cstheme="minorBidi"/>
              <w:sz w:val="22"/>
              <w:szCs w:val="22"/>
            </w:rPr>
          </w:pPr>
          <w:r>
            <w:rPr>
              <w:lang w:eastAsia="zh-CN" w:bidi="th-TH"/>
            </w:rPr>
            <w:t>5.1</w:t>
          </w:r>
          <w:r>
            <w:rPr>
              <w:rFonts w:eastAsiaTheme="minorEastAsia" w:cstheme="minorBidi"/>
              <w:sz w:val="22"/>
              <w:szCs w:val="22"/>
            </w:rPr>
            <w:tab/>
          </w:r>
          <w:r>
            <w:rPr>
              <w:lang w:eastAsia="zh-CN" w:bidi="th-TH"/>
            </w:rPr>
            <w:t>Analysis approach and statistical methods</w:t>
          </w:r>
          <w:r>
            <w:tab/>
          </w:r>
          <w:r>
            <w:fldChar w:fldCharType="begin"/>
          </w:r>
          <w:r>
            <w:instrText xml:space="preserve"> PAGEREF _Toc952742 \h </w:instrText>
          </w:r>
          <w:r>
            <w:fldChar w:fldCharType="separate"/>
          </w:r>
          <w:r w:rsidR="00790058">
            <w:t>11</w:t>
          </w:r>
          <w:r>
            <w:fldChar w:fldCharType="end"/>
          </w:r>
        </w:p>
        <w:p w14:paraId="038078F4" w14:textId="4FDF8D24" w:rsidR="0031041C" w:rsidRDefault="0031041C">
          <w:pPr>
            <w:pStyle w:val="TOC2"/>
            <w:rPr>
              <w:rFonts w:eastAsiaTheme="minorEastAsia" w:cstheme="minorBidi"/>
              <w:sz w:val="22"/>
              <w:szCs w:val="22"/>
            </w:rPr>
          </w:pPr>
          <w:r>
            <w:rPr>
              <w:lang w:eastAsia="zh-CN" w:bidi="th-TH"/>
            </w:rPr>
            <w:t>5.2</w:t>
          </w:r>
          <w:r>
            <w:rPr>
              <w:rFonts w:eastAsiaTheme="minorEastAsia" w:cstheme="minorBidi"/>
              <w:sz w:val="22"/>
              <w:szCs w:val="22"/>
            </w:rPr>
            <w:tab/>
          </w:r>
          <w:r>
            <w:rPr>
              <w:lang w:eastAsia="zh-CN" w:bidi="th-TH"/>
            </w:rPr>
            <w:t>Descriptive analysis - Fixed care costs</w:t>
          </w:r>
          <w:r>
            <w:tab/>
          </w:r>
          <w:r>
            <w:fldChar w:fldCharType="begin"/>
          </w:r>
          <w:r>
            <w:instrText xml:space="preserve"> PAGEREF _Toc952743 \h </w:instrText>
          </w:r>
          <w:r>
            <w:fldChar w:fldCharType="separate"/>
          </w:r>
          <w:r w:rsidR="00790058">
            <w:t>11</w:t>
          </w:r>
          <w:r>
            <w:fldChar w:fldCharType="end"/>
          </w:r>
        </w:p>
        <w:p w14:paraId="72ACEBB3" w14:textId="1BA038AA" w:rsidR="0031041C" w:rsidRDefault="0031041C">
          <w:pPr>
            <w:pStyle w:val="TOC2"/>
            <w:rPr>
              <w:rFonts w:eastAsiaTheme="minorEastAsia" w:cstheme="minorBidi"/>
              <w:sz w:val="22"/>
              <w:szCs w:val="22"/>
            </w:rPr>
          </w:pPr>
          <w:r>
            <w:rPr>
              <w:lang w:eastAsia="zh-CN" w:bidi="th-TH"/>
            </w:rPr>
            <w:t>5.3</w:t>
          </w:r>
          <w:r>
            <w:rPr>
              <w:rFonts w:eastAsiaTheme="minorEastAsia" w:cstheme="minorBidi"/>
              <w:sz w:val="22"/>
              <w:szCs w:val="22"/>
            </w:rPr>
            <w:tab/>
          </w:r>
          <w:r>
            <w:rPr>
              <w:lang w:eastAsia="zh-CN" w:bidi="th-TH"/>
            </w:rPr>
            <w:t>The effect of seasonality on cost</w:t>
          </w:r>
          <w:r>
            <w:tab/>
          </w:r>
          <w:r>
            <w:fldChar w:fldCharType="begin"/>
          </w:r>
          <w:r>
            <w:instrText xml:space="preserve"> PAGEREF _Toc952744 \h </w:instrText>
          </w:r>
          <w:r>
            <w:fldChar w:fldCharType="separate"/>
          </w:r>
          <w:r w:rsidR="00790058">
            <w:t>16</w:t>
          </w:r>
          <w:r>
            <w:fldChar w:fldCharType="end"/>
          </w:r>
        </w:p>
        <w:p w14:paraId="6EDB21AB" w14:textId="67D9BD08" w:rsidR="0031041C" w:rsidRDefault="0031041C">
          <w:pPr>
            <w:pStyle w:val="TOC1"/>
            <w:rPr>
              <w:rFonts w:eastAsiaTheme="minorEastAsia" w:cstheme="minorBidi"/>
              <w:b w:val="0"/>
            </w:rPr>
          </w:pPr>
          <w:r>
            <w:rPr>
              <w:lang w:eastAsia="zh-CN" w:bidi="th-TH"/>
            </w:rPr>
            <w:t>6</w:t>
          </w:r>
          <w:r>
            <w:rPr>
              <w:rFonts w:eastAsiaTheme="minorEastAsia" w:cstheme="minorBidi"/>
              <w:b w:val="0"/>
            </w:rPr>
            <w:tab/>
          </w:r>
          <w:r>
            <w:rPr>
              <w:lang w:eastAsia="zh-CN" w:bidi="th-TH"/>
            </w:rPr>
            <w:t>Fixed care costs drivers</w:t>
          </w:r>
          <w:r>
            <w:tab/>
          </w:r>
          <w:r>
            <w:fldChar w:fldCharType="begin"/>
          </w:r>
          <w:r>
            <w:instrText xml:space="preserve"> PAGEREF _Toc952745 \h </w:instrText>
          </w:r>
          <w:r>
            <w:fldChar w:fldCharType="separate"/>
          </w:r>
          <w:r w:rsidR="00790058">
            <w:t>17</w:t>
          </w:r>
          <w:r>
            <w:fldChar w:fldCharType="end"/>
          </w:r>
        </w:p>
        <w:p w14:paraId="67A78FAF" w14:textId="55BA8D54" w:rsidR="0031041C" w:rsidRDefault="0031041C">
          <w:pPr>
            <w:pStyle w:val="TOC1"/>
            <w:rPr>
              <w:rFonts w:eastAsiaTheme="minorEastAsia" w:cstheme="minorBidi"/>
              <w:b w:val="0"/>
            </w:rPr>
          </w:pPr>
          <w:r>
            <w:rPr>
              <w:lang w:eastAsia="zh-CN" w:bidi="th-TH"/>
            </w:rPr>
            <w:t>7</w:t>
          </w:r>
          <w:r>
            <w:rPr>
              <w:rFonts w:eastAsiaTheme="minorEastAsia" w:cstheme="minorBidi"/>
              <w:b w:val="0"/>
            </w:rPr>
            <w:tab/>
          </w:r>
          <w:r>
            <w:rPr>
              <w:lang w:eastAsia="zh-CN" w:bidi="th-TH"/>
            </w:rPr>
            <w:t>Discussion</w:t>
          </w:r>
          <w:r>
            <w:tab/>
          </w:r>
          <w:r>
            <w:fldChar w:fldCharType="begin"/>
          </w:r>
          <w:r>
            <w:instrText xml:space="preserve"> PAGEREF _Toc952746 \h </w:instrText>
          </w:r>
          <w:r>
            <w:fldChar w:fldCharType="separate"/>
          </w:r>
          <w:r w:rsidR="00790058">
            <w:t>19</w:t>
          </w:r>
          <w:r>
            <w:fldChar w:fldCharType="end"/>
          </w:r>
        </w:p>
        <w:p w14:paraId="22402270" w14:textId="794CF9EA" w:rsidR="0031041C" w:rsidRDefault="0031041C">
          <w:pPr>
            <w:pStyle w:val="TOC2"/>
            <w:rPr>
              <w:rFonts w:eastAsiaTheme="minorEastAsia" w:cstheme="minorBidi"/>
              <w:sz w:val="22"/>
              <w:szCs w:val="22"/>
            </w:rPr>
          </w:pPr>
          <w:r>
            <w:rPr>
              <w:lang w:eastAsia="zh-CN" w:bidi="th-TH"/>
            </w:rPr>
            <w:t>7.1</w:t>
          </w:r>
          <w:r>
            <w:rPr>
              <w:rFonts w:eastAsiaTheme="minorEastAsia" w:cstheme="minorBidi"/>
              <w:sz w:val="22"/>
              <w:szCs w:val="22"/>
            </w:rPr>
            <w:tab/>
          </w:r>
          <w:r>
            <w:rPr>
              <w:lang w:eastAsia="zh-CN" w:bidi="th-TH"/>
            </w:rPr>
            <w:t>Key findings</w:t>
          </w:r>
          <w:r>
            <w:tab/>
          </w:r>
          <w:r>
            <w:fldChar w:fldCharType="begin"/>
          </w:r>
          <w:r>
            <w:instrText xml:space="preserve"> PAGEREF _Toc952747 \h </w:instrText>
          </w:r>
          <w:r>
            <w:fldChar w:fldCharType="separate"/>
          </w:r>
          <w:r w:rsidR="00790058">
            <w:t>19</w:t>
          </w:r>
          <w:r>
            <w:fldChar w:fldCharType="end"/>
          </w:r>
        </w:p>
        <w:p w14:paraId="1175F1D1" w14:textId="73D1B455" w:rsidR="0031041C" w:rsidRDefault="0031041C">
          <w:pPr>
            <w:pStyle w:val="TOC2"/>
            <w:rPr>
              <w:rFonts w:eastAsiaTheme="minorEastAsia" w:cstheme="minorBidi"/>
              <w:sz w:val="22"/>
              <w:szCs w:val="22"/>
            </w:rPr>
          </w:pPr>
          <w:r>
            <w:rPr>
              <w:lang w:eastAsia="zh-CN" w:bidi="th-TH"/>
            </w:rPr>
            <w:t>7.2</w:t>
          </w:r>
          <w:r>
            <w:rPr>
              <w:rFonts w:eastAsiaTheme="minorEastAsia" w:cstheme="minorBidi"/>
              <w:sz w:val="22"/>
              <w:szCs w:val="22"/>
            </w:rPr>
            <w:tab/>
          </w:r>
          <w:r>
            <w:rPr>
              <w:lang w:eastAsia="zh-CN" w:bidi="th-TH"/>
            </w:rPr>
            <w:t>Funding system implications</w:t>
          </w:r>
          <w:r>
            <w:tab/>
          </w:r>
          <w:r>
            <w:fldChar w:fldCharType="begin"/>
          </w:r>
          <w:r>
            <w:instrText xml:space="preserve"> PAGEREF _Toc952748 \h </w:instrText>
          </w:r>
          <w:r>
            <w:fldChar w:fldCharType="separate"/>
          </w:r>
          <w:r w:rsidR="00790058">
            <w:t>19</w:t>
          </w:r>
          <w:r>
            <w:fldChar w:fldCharType="end"/>
          </w:r>
        </w:p>
        <w:p w14:paraId="74CA8B35" w14:textId="4E984746" w:rsidR="0031041C" w:rsidRDefault="0031041C">
          <w:pPr>
            <w:pStyle w:val="TOC2"/>
            <w:rPr>
              <w:rFonts w:eastAsiaTheme="minorEastAsia" w:cstheme="minorBidi"/>
              <w:sz w:val="22"/>
              <w:szCs w:val="22"/>
            </w:rPr>
          </w:pPr>
          <w:r w:rsidRPr="00934CD0">
            <w:rPr>
              <w:rFonts w:eastAsiaTheme="minorHAnsi" w:cstheme="minorBidi"/>
              <w:lang w:eastAsia="en-US"/>
            </w:rPr>
            <w:t>7.3</w:t>
          </w:r>
          <w:r>
            <w:rPr>
              <w:rFonts w:eastAsiaTheme="minorEastAsia" w:cstheme="minorBidi"/>
              <w:sz w:val="22"/>
              <w:szCs w:val="22"/>
            </w:rPr>
            <w:tab/>
          </w:r>
          <w:r>
            <w:rPr>
              <w:lang w:eastAsia="en-US"/>
            </w:rPr>
            <w:t>The AN-ACC funding model</w:t>
          </w:r>
          <w:r>
            <w:tab/>
          </w:r>
          <w:r>
            <w:fldChar w:fldCharType="begin"/>
          </w:r>
          <w:r>
            <w:instrText xml:space="preserve"> PAGEREF _Toc952749 \h </w:instrText>
          </w:r>
          <w:r>
            <w:fldChar w:fldCharType="separate"/>
          </w:r>
          <w:r w:rsidR="00790058">
            <w:t>20</w:t>
          </w:r>
          <w:r>
            <w:fldChar w:fldCharType="end"/>
          </w:r>
        </w:p>
        <w:p w14:paraId="194B5782" w14:textId="07BAFD1C" w:rsidR="0031041C" w:rsidRDefault="0031041C">
          <w:pPr>
            <w:pStyle w:val="TOC1"/>
            <w:rPr>
              <w:rFonts w:eastAsiaTheme="minorEastAsia" w:cstheme="minorBidi"/>
              <w:b w:val="0"/>
            </w:rPr>
          </w:pPr>
          <w:r>
            <w:t>Appendix 1</w:t>
          </w:r>
          <w:r>
            <w:tab/>
          </w:r>
          <w:r>
            <w:fldChar w:fldCharType="begin"/>
          </w:r>
          <w:r>
            <w:instrText xml:space="preserve"> PAGEREF _Toc952750 \h </w:instrText>
          </w:r>
          <w:r>
            <w:fldChar w:fldCharType="separate"/>
          </w:r>
          <w:r w:rsidR="00790058">
            <w:t>21</w:t>
          </w:r>
          <w:r>
            <w:fldChar w:fldCharType="end"/>
          </w:r>
        </w:p>
        <w:p w14:paraId="7A68D53D" w14:textId="5250F9F4" w:rsidR="0031041C" w:rsidRDefault="0031041C">
          <w:pPr>
            <w:pStyle w:val="TOC1"/>
            <w:rPr>
              <w:rFonts w:eastAsiaTheme="minorEastAsia" w:cstheme="minorBidi"/>
              <w:b w:val="0"/>
            </w:rPr>
          </w:pPr>
          <w:r>
            <w:t>Overview of the Resource Utilisation and Classification Study (RUCS)</w:t>
          </w:r>
          <w:r>
            <w:tab/>
          </w:r>
          <w:r>
            <w:fldChar w:fldCharType="begin"/>
          </w:r>
          <w:r>
            <w:instrText xml:space="preserve"> PAGEREF _Toc952751 \h </w:instrText>
          </w:r>
          <w:r>
            <w:fldChar w:fldCharType="separate"/>
          </w:r>
          <w:r w:rsidR="00790058">
            <w:t>21</w:t>
          </w:r>
          <w:r>
            <w:fldChar w:fldCharType="end"/>
          </w:r>
        </w:p>
        <w:p w14:paraId="22C97C26" w14:textId="01C168A9" w:rsidR="0031041C" w:rsidRDefault="0031041C">
          <w:pPr>
            <w:pStyle w:val="TOC1"/>
            <w:rPr>
              <w:rFonts w:eastAsiaTheme="minorEastAsia" w:cstheme="minorBidi"/>
              <w:b w:val="0"/>
            </w:rPr>
          </w:pPr>
          <w:r>
            <w:t>Appendix 2</w:t>
          </w:r>
          <w:r>
            <w:tab/>
          </w:r>
          <w:r>
            <w:fldChar w:fldCharType="begin"/>
          </w:r>
          <w:r>
            <w:instrText xml:space="preserve"> PAGEREF _Toc952752 \h </w:instrText>
          </w:r>
          <w:r>
            <w:fldChar w:fldCharType="separate"/>
          </w:r>
          <w:r w:rsidR="00790058">
            <w:t>25</w:t>
          </w:r>
          <w:r>
            <w:fldChar w:fldCharType="end"/>
          </w:r>
        </w:p>
        <w:p w14:paraId="26AC825E" w14:textId="61C6D8B1" w:rsidR="0031041C" w:rsidRDefault="0031041C">
          <w:pPr>
            <w:pStyle w:val="TOC1"/>
            <w:rPr>
              <w:rFonts w:eastAsiaTheme="minorEastAsia" w:cstheme="minorBidi"/>
              <w:b w:val="0"/>
            </w:rPr>
          </w:pPr>
          <w:r>
            <w:t>List of participating facilities</w:t>
          </w:r>
          <w:r>
            <w:tab/>
          </w:r>
          <w:r>
            <w:fldChar w:fldCharType="begin"/>
          </w:r>
          <w:r>
            <w:instrText xml:space="preserve"> PAGEREF _Toc952753 \h </w:instrText>
          </w:r>
          <w:r>
            <w:fldChar w:fldCharType="separate"/>
          </w:r>
          <w:r w:rsidR="00790058">
            <w:t>25</w:t>
          </w:r>
          <w:r>
            <w:fldChar w:fldCharType="end"/>
          </w:r>
        </w:p>
        <w:p w14:paraId="43120B58" w14:textId="0B31EF03" w:rsidR="0031041C" w:rsidRDefault="0031041C">
          <w:pPr>
            <w:pStyle w:val="TOC1"/>
            <w:rPr>
              <w:rFonts w:eastAsiaTheme="minorEastAsia" w:cstheme="minorBidi"/>
              <w:b w:val="0"/>
            </w:rPr>
          </w:pPr>
          <w:r>
            <w:t>Appendix 3</w:t>
          </w:r>
          <w:r>
            <w:tab/>
          </w:r>
          <w:r>
            <w:fldChar w:fldCharType="begin"/>
          </w:r>
          <w:r>
            <w:instrText xml:space="preserve"> PAGEREF _Toc952754 \h </w:instrText>
          </w:r>
          <w:r>
            <w:fldChar w:fldCharType="separate"/>
          </w:r>
          <w:r w:rsidR="00790058">
            <w:t>28</w:t>
          </w:r>
          <w:r>
            <w:fldChar w:fldCharType="end"/>
          </w:r>
        </w:p>
        <w:p w14:paraId="2649F57A" w14:textId="5C5FF3E5" w:rsidR="0031041C" w:rsidRDefault="0031041C">
          <w:pPr>
            <w:pStyle w:val="TOC1"/>
            <w:rPr>
              <w:rFonts w:eastAsiaTheme="minorEastAsia" w:cstheme="minorBidi"/>
              <w:b w:val="0"/>
            </w:rPr>
          </w:pPr>
          <w:r>
            <w:t>Study Two data collection items</w:t>
          </w:r>
          <w:r>
            <w:tab/>
          </w:r>
          <w:r>
            <w:fldChar w:fldCharType="begin"/>
          </w:r>
          <w:r>
            <w:instrText xml:space="preserve"> PAGEREF _Toc952755 \h </w:instrText>
          </w:r>
          <w:r>
            <w:fldChar w:fldCharType="separate"/>
          </w:r>
          <w:r w:rsidR="00790058">
            <w:t>28</w:t>
          </w:r>
          <w:r>
            <w:fldChar w:fldCharType="end"/>
          </w:r>
        </w:p>
        <w:p w14:paraId="7E5B203C" w14:textId="2B00F885" w:rsidR="0031041C" w:rsidRDefault="0031041C">
          <w:pPr>
            <w:pStyle w:val="TOC1"/>
            <w:rPr>
              <w:rFonts w:eastAsiaTheme="minorEastAsia" w:cstheme="minorBidi"/>
              <w:b w:val="0"/>
            </w:rPr>
          </w:pPr>
          <w:r>
            <w:t>Appendix 4</w:t>
          </w:r>
          <w:r>
            <w:tab/>
          </w:r>
          <w:r>
            <w:fldChar w:fldCharType="begin"/>
          </w:r>
          <w:r>
            <w:instrText xml:space="preserve"> PAGEREF _Toc952756 \h </w:instrText>
          </w:r>
          <w:r>
            <w:fldChar w:fldCharType="separate"/>
          </w:r>
          <w:r w:rsidR="00790058">
            <w:t>30</w:t>
          </w:r>
          <w:r>
            <w:fldChar w:fldCharType="end"/>
          </w:r>
        </w:p>
        <w:p w14:paraId="08F0929D" w14:textId="5704AA83" w:rsidR="0031041C" w:rsidRDefault="0031041C">
          <w:pPr>
            <w:pStyle w:val="TOC1"/>
            <w:rPr>
              <w:rFonts w:eastAsiaTheme="minorEastAsia" w:cstheme="minorBidi"/>
              <w:b w:val="0"/>
            </w:rPr>
          </w:pPr>
          <w:r>
            <w:t>Residential Care Definitions</w:t>
          </w:r>
          <w:r>
            <w:tab/>
          </w:r>
          <w:r>
            <w:fldChar w:fldCharType="begin"/>
          </w:r>
          <w:r>
            <w:instrText xml:space="preserve"> PAGEREF _Toc952757 \h </w:instrText>
          </w:r>
          <w:r>
            <w:fldChar w:fldCharType="separate"/>
          </w:r>
          <w:r w:rsidR="00790058">
            <w:t>30</w:t>
          </w:r>
          <w:r>
            <w:fldChar w:fldCharType="end"/>
          </w:r>
        </w:p>
        <w:p w14:paraId="207BA758" w14:textId="5655E1F5" w:rsidR="007A06FE" w:rsidRDefault="000B0A40" w:rsidP="001F579A">
          <w:r w:rsidRPr="00D10BB2">
            <w:rPr>
              <w:sz w:val="22"/>
              <w:szCs w:val="22"/>
            </w:rPr>
            <w:fldChar w:fldCharType="end"/>
          </w:r>
        </w:p>
      </w:sdtContent>
    </w:sdt>
    <w:p w14:paraId="42CFA539" w14:textId="77777777" w:rsidR="0042164D" w:rsidRDefault="0042164D">
      <w:bookmarkStart w:id="8" w:name="_Toc454355991"/>
      <w:bookmarkStart w:id="9" w:name="_Toc454984418"/>
      <w:r>
        <w:br w:type="page"/>
      </w:r>
    </w:p>
    <w:p w14:paraId="330255C6" w14:textId="77777777" w:rsidR="007A06FE" w:rsidRPr="00E3695E" w:rsidRDefault="007A06FE" w:rsidP="006671A9">
      <w:pPr>
        <w:pStyle w:val="Caption"/>
        <w:rPr>
          <w:sz w:val="36"/>
          <w:szCs w:val="36"/>
        </w:rPr>
      </w:pPr>
      <w:r w:rsidRPr="00E3695E">
        <w:rPr>
          <w:sz w:val="36"/>
          <w:szCs w:val="36"/>
        </w:rPr>
        <w:lastRenderedPageBreak/>
        <w:t>List of tables</w:t>
      </w:r>
      <w:bookmarkEnd w:id="8"/>
      <w:bookmarkEnd w:id="9"/>
    </w:p>
    <w:p w14:paraId="32EF5EA4" w14:textId="0EE7EF46" w:rsidR="005E6190" w:rsidRDefault="00B16036">
      <w:pPr>
        <w:pStyle w:val="TableofFigures"/>
        <w:tabs>
          <w:tab w:val="left" w:pos="1200"/>
          <w:tab w:val="right" w:leader="dot" w:pos="9344"/>
        </w:tabs>
        <w:rPr>
          <w:rFonts w:eastAsiaTheme="minorEastAsia" w:cstheme="minorBidi"/>
          <w:noProof/>
          <w:sz w:val="22"/>
          <w:szCs w:val="22"/>
        </w:rPr>
      </w:pPr>
      <w:r w:rsidRPr="00C716E0">
        <w:rPr>
          <w:sz w:val="20"/>
          <w:szCs w:val="20"/>
        </w:rPr>
        <w:fldChar w:fldCharType="begin"/>
      </w:r>
      <w:r w:rsidRPr="00C716E0">
        <w:rPr>
          <w:sz w:val="20"/>
          <w:szCs w:val="20"/>
        </w:rPr>
        <w:instrText xml:space="preserve"> TOC \h \z \c "Table" </w:instrText>
      </w:r>
      <w:r w:rsidRPr="00C716E0">
        <w:rPr>
          <w:sz w:val="20"/>
          <w:szCs w:val="20"/>
        </w:rPr>
        <w:fldChar w:fldCharType="separate"/>
      </w:r>
      <w:hyperlink w:anchor="_Toc866582" w:history="1">
        <w:r w:rsidR="005E6190" w:rsidRPr="0059600E">
          <w:rPr>
            <w:rStyle w:val="Hyperlink"/>
            <w:rFonts w:eastAsiaTheme="majorEastAsia"/>
            <w:noProof/>
          </w:rPr>
          <w:t xml:space="preserve">Table 1 </w:t>
        </w:r>
        <w:r w:rsidR="005E6190">
          <w:rPr>
            <w:rFonts w:eastAsiaTheme="minorEastAsia" w:cstheme="minorBidi"/>
            <w:noProof/>
            <w:sz w:val="22"/>
            <w:szCs w:val="22"/>
          </w:rPr>
          <w:tab/>
        </w:r>
        <w:r w:rsidR="005E6190" w:rsidRPr="0059600E">
          <w:rPr>
            <w:rStyle w:val="Hyperlink"/>
            <w:rFonts w:eastAsiaTheme="majorEastAsia"/>
            <w:noProof/>
          </w:rPr>
          <w:t>The Study Two stratified sampling matrix</w:t>
        </w:r>
        <w:r w:rsidR="005E6190">
          <w:rPr>
            <w:noProof/>
            <w:webHidden/>
          </w:rPr>
          <w:tab/>
        </w:r>
        <w:r w:rsidR="005E6190">
          <w:rPr>
            <w:noProof/>
            <w:webHidden/>
          </w:rPr>
          <w:fldChar w:fldCharType="begin"/>
        </w:r>
        <w:r w:rsidR="005E6190">
          <w:rPr>
            <w:noProof/>
            <w:webHidden/>
          </w:rPr>
          <w:instrText xml:space="preserve"> PAGEREF _Toc866582 \h </w:instrText>
        </w:r>
        <w:r w:rsidR="005E6190">
          <w:rPr>
            <w:noProof/>
            <w:webHidden/>
          </w:rPr>
        </w:r>
        <w:r w:rsidR="005E6190">
          <w:rPr>
            <w:noProof/>
            <w:webHidden/>
          </w:rPr>
          <w:fldChar w:fldCharType="separate"/>
        </w:r>
        <w:r w:rsidR="002206B3">
          <w:rPr>
            <w:noProof/>
            <w:webHidden/>
          </w:rPr>
          <w:t>5</w:t>
        </w:r>
        <w:r w:rsidR="005E6190">
          <w:rPr>
            <w:noProof/>
            <w:webHidden/>
          </w:rPr>
          <w:fldChar w:fldCharType="end"/>
        </w:r>
      </w:hyperlink>
    </w:p>
    <w:p w14:paraId="240E809D" w14:textId="37D43C2E" w:rsidR="005E6190" w:rsidRDefault="00790058">
      <w:pPr>
        <w:pStyle w:val="TableofFigures"/>
        <w:tabs>
          <w:tab w:val="left" w:pos="1200"/>
          <w:tab w:val="right" w:leader="dot" w:pos="9344"/>
        </w:tabs>
        <w:rPr>
          <w:rFonts w:eastAsiaTheme="minorEastAsia" w:cstheme="minorBidi"/>
          <w:noProof/>
          <w:sz w:val="22"/>
          <w:szCs w:val="22"/>
        </w:rPr>
      </w:pPr>
      <w:hyperlink w:anchor="_Toc866583" w:history="1">
        <w:r w:rsidR="005E6190" w:rsidRPr="0059600E">
          <w:rPr>
            <w:rStyle w:val="Hyperlink"/>
            <w:rFonts w:eastAsiaTheme="majorEastAsia"/>
            <w:noProof/>
          </w:rPr>
          <w:t xml:space="preserve">Table 2 </w:t>
        </w:r>
        <w:r w:rsidR="005E6190">
          <w:rPr>
            <w:rFonts w:eastAsiaTheme="minorEastAsia" w:cstheme="minorBidi"/>
            <w:noProof/>
            <w:sz w:val="22"/>
            <w:szCs w:val="22"/>
          </w:rPr>
          <w:tab/>
        </w:r>
        <w:r w:rsidR="005E6190" w:rsidRPr="0059600E">
          <w:rPr>
            <w:rStyle w:val="Hyperlink"/>
            <w:rFonts w:eastAsiaTheme="majorEastAsia"/>
            <w:noProof/>
          </w:rPr>
          <w:t>Study Two data collection template overview</w:t>
        </w:r>
        <w:r w:rsidR="005E6190">
          <w:rPr>
            <w:noProof/>
            <w:webHidden/>
          </w:rPr>
          <w:tab/>
        </w:r>
        <w:r w:rsidR="005E6190">
          <w:rPr>
            <w:noProof/>
            <w:webHidden/>
          </w:rPr>
          <w:fldChar w:fldCharType="begin"/>
        </w:r>
        <w:r w:rsidR="005E6190">
          <w:rPr>
            <w:noProof/>
            <w:webHidden/>
          </w:rPr>
          <w:instrText xml:space="preserve"> PAGEREF _Toc866583 \h </w:instrText>
        </w:r>
        <w:r w:rsidR="005E6190">
          <w:rPr>
            <w:noProof/>
            <w:webHidden/>
          </w:rPr>
        </w:r>
        <w:r w:rsidR="005E6190">
          <w:rPr>
            <w:noProof/>
            <w:webHidden/>
          </w:rPr>
          <w:fldChar w:fldCharType="separate"/>
        </w:r>
        <w:r w:rsidR="002206B3">
          <w:rPr>
            <w:noProof/>
            <w:webHidden/>
          </w:rPr>
          <w:t>6</w:t>
        </w:r>
        <w:r w:rsidR="005E6190">
          <w:rPr>
            <w:noProof/>
            <w:webHidden/>
          </w:rPr>
          <w:fldChar w:fldCharType="end"/>
        </w:r>
      </w:hyperlink>
    </w:p>
    <w:p w14:paraId="5B68C201" w14:textId="3EF59051" w:rsidR="005E6190" w:rsidRDefault="00790058">
      <w:pPr>
        <w:pStyle w:val="TableofFigures"/>
        <w:tabs>
          <w:tab w:val="left" w:pos="1200"/>
          <w:tab w:val="right" w:leader="dot" w:pos="9344"/>
        </w:tabs>
        <w:rPr>
          <w:rFonts w:eastAsiaTheme="minorEastAsia" w:cstheme="minorBidi"/>
          <w:noProof/>
          <w:sz w:val="22"/>
          <w:szCs w:val="22"/>
        </w:rPr>
      </w:pPr>
      <w:hyperlink w:anchor="_Toc866584" w:history="1">
        <w:r w:rsidR="005E6190" w:rsidRPr="0059600E">
          <w:rPr>
            <w:rStyle w:val="Hyperlink"/>
            <w:rFonts w:eastAsiaTheme="majorEastAsia"/>
            <w:noProof/>
          </w:rPr>
          <w:t xml:space="preserve">Table 3 </w:t>
        </w:r>
        <w:r w:rsidR="005E6190">
          <w:rPr>
            <w:rFonts w:eastAsiaTheme="minorEastAsia" w:cstheme="minorBidi"/>
            <w:noProof/>
            <w:sz w:val="22"/>
            <w:szCs w:val="22"/>
          </w:rPr>
          <w:tab/>
        </w:r>
        <w:r w:rsidR="005E6190" w:rsidRPr="0059600E">
          <w:rPr>
            <w:rStyle w:val="Hyperlink"/>
            <w:rFonts w:eastAsiaTheme="majorEastAsia"/>
            <w:noProof/>
          </w:rPr>
          <w:t>Cost results by f</w:t>
        </w:r>
        <w:r w:rsidR="005E6190" w:rsidRPr="0059600E">
          <w:rPr>
            <w:rStyle w:val="Hyperlink"/>
            <w:rFonts w:eastAsiaTheme="majorEastAsia"/>
            <w:noProof/>
            <w:lang w:eastAsia="zh-CN" w:bidi="th-TH"/>
          </w:rPr>
          <w:t>acility size</w:t>
        </w:r>
        <w:r w:rsidR="005E6190">
          <w:rPr>
            <w:noProof/>
            <w:webHidden/>
          </w:rPr>
          <w:tab/>
        </w:r>
        <w:r w:rsidR="005E6190">
          <w:rPr>
            <w:noProof/>
            <w:webHidden/>
          </w:rPr>
          <w:fldChar w:fldCharType="begin"/>
        </w:r>
        <w:r w:rsidR="005E6190">
          <w:rPr>
            <w:noProof/>
            <w:webHidden/>
          </w:rPr>
          <w:instrText xml:space="preserve"> PAGEREF _Toc866584 \h </w:instrText>
        </w:r>
        <w:r w:rsidR="005E6190">
          <w:rPr>
            <w:noProof/>
            <w:webHidden/>
          </w:rPr>
        </w:r>
        <w:r w:rsidR="005E6190">
          <w:rPr>
            <w:noProof/>
            <w:webHidden/>
          </w:rPr>
          <w:fldChar w:fldCharType="separate"/>
        </w:r>
        <w:r w:rsidR="002206B3">
          <w:rPr>
            <w:noProof/>
            <w:webHidden/>
          </w:rPr>
          <w:t>13</w:t>
        </w:r>
        <w:r w:rsidR="005E6190">
          <w:rPr>
            <w:noProof/>
            <w:webHidden/>
          </w:rPr>
          <w:fldChar w:fldCharType="end"/>
        </w:r>
      </w:hyperlink>
    </w:p>
    <w:p w14:paraId="5CE77854" w14:textId="5776F70A" w:rsidR="005E6190" w:rsidRDefault="00790058">
      <w:pPr>
        <w:pStyle w:val="TableofFigures"/>
        <w:tabs>
          <w:tab w:val="left" w:pos="1200"/>
          <w:tab w:val="right" w:leader="dot" w:pos="9344"/>
        </w:tabs>
        <w:rPr>
          <w:rFonts w:eastAsiaTheme="minorEastAsia" w:cstheme="minorBidi"/>
          <w:noProof/>
          <w:sz w:val="22"/>
          <w:szCs w:val="22"/>
        </w:rPr>
      </w:pPr>
      <w:hyperlink w:anchor="_Toc866585" w:history="1">
        <w:r w:rsidR="005E6190" w:rsidRPr="0059600E">
          <w:rPr>
            <w:rStyle w:val="Hyperlink"/>
            <w:rFonts w:eastAsiaTheme="majorEastAsia"/>
            <w:noProof/>
          </w:rPr>
          <w:t xml:space="preserve">Table 4 </w:t>
        </w:r>
        <w:r w:rsidR="005E6190">
          <w:rPr>
            <w:rFonts w:eastAsiaTheme="minorEastAsia" w:cstheme="minorBidi"/>
            <w:noProof/>
            <w:sz w:val="22"/>
            <w:szCs w:val="22"/>
          </w:rPr>
          <w:tab/>
        </w:r>
        <w:r w:rsidR="005E6190" w:rsidRPr="0059600E">
          <w:rPr>
            <w:rStyle w:val="Hyperlink"/>
            <w:rFonts w:eastAsiaTheme="majorEastAsia"/>
            <w:noProof/>
          </w:rPr>
          <w:t>Cost results by facility location</w:t>
        </w:r>
        <w:r w:rsidR="005E6190">
          <w:rPr>
            <w:noProof/>
            <w:webHidden/>
          </w:rPr>
          <w:tab/>
        </w:r>
        <w:r w:rsidR="005E6190">
          <w:rPr>
            <w:noProof/>
            <w:webHidden/>
          </w:rPr>
          <w:fldChar w:fldCharType="begin"/>
        </w:r>
        <w:r w:rsidR="005E6190">
          <w:rPr>
            <w:noProof/>
            <w:webHidden/>
          </w:rPr>
          <w:instrText xml:space="preserve"> PAGEREF _Toc866585 \h </w:instrText>
        </w:r>
        <w:r w:rsidR="005E6190">
          <w:rPr>
            <w:noProof/>
            <w:webHidden/>
          </w:rPr>
        </w:r>
        <w:r w:rsidR="005E6190">
          <w:rPr>
            <w:noProof/>
            <w:webHidden/>
          </w:rPr>
          <w:fldChar w:fldCharType="separate"/>
        </w:r>
        <w:r w:rsidR="002206B3">
          <w:rPr>
            <w:noProof/>
            <w:webHidden/>
          </w:rPr>
          <w:t>14</w:t>
        </w:r>
        <w:r w:rsidR="005E6190">
          <w:rPr>
            <w:noProof/>
            <w:webHidden/>
          </w:rPr>
          <w:fldChar w:fldCharType="end"/>
        </w:r>
      </w:hyperlink>
    </w:p>
    <w:p w14:paraId="370011CC" w14:textId="074281A0" w:rsidR="005E6190" w:rsidRDefault="00790058">
      <w:pPr>
        <w:pStyle w:val="TableofFigures"/>
        <w:tabs>
          <w:tab w:val="left" w:pos="1200"/>
          <w:tab w:val="right" w:leader="dot" w:pos="9344"/>
        </w:tabs>
        <w:rPr>
          <w:rFonts w:eastAsiaTheme="minorEastAsia" w:cstheme="minorBidi"/>
          <w:noProof/>
          <w:sz w:val="22"/>
          <w:szCs w:val="22"/>
        </w:rPr>
      </w:pPr>
      <w:hyperlink w:anchor="_Toc866586" w:history="1">
        <w:r w:rsidR="005E6190" w:rsidRPr="0059600E">
          <w:rPr>
            <w:rStyle w:val="Hyperlink"/>
            <w:rFonts w:eastAsiaTheme="majorEastAsia"/>
            <w:noProof/>
          </w:rPr>
          <w:t xml:space="preserve">Table 5 </w:t>
        </w:r>
        <w:r w:rsidR="005E6190">
          <w:rPr>
            <w:rFonts w:eastAsiaTheme="minorEastAsia" w:cstheme="minorBidi"/>
            <w:noProof/>
            <w:sz w:val="22"/>
            <w:szCs w:val="22"/>
          </w:rPr>
          <w:tab/>
        </w:r>
        <w:r w:rsidR="005E6190" w:rsidRPr="0059600E">
          <w:rPr>
            <w:rStyle w:val="Hyperlink"/>
            <w:rFonts w:eastAsiaTheme="majorEastAsia"/>
            <w:noProof/>
          </w:rPr>
          <w:t xml:space="preserve">Cost results by aggregated </w:t>
        </w:r>
        <w:r w:rsidR="005E6190" w:rsidRPr="0059600E">
          <w:rPr>
            <w:rStyle w:val="Hyperlink"/>
            <w:rFonts w:eastAsiaTheme="majorEastAsia"/>
            <w:noProof/>
            <w:lang w:eastAsia="zh-CN" w:bidi="th-TH"/>
          </w:rPr>
          <w:t>facility location</w:t>
        </w:r>
        <w:r w:rsidR="005E6190">
          <w:rPr>
            <w:noProof/>
            <w:webHidden/>
          </w:rPr>
          <w:tab/>
        </w:r>
        <w:r w:rsidR="005E6190">
          <w:rPr>
            <w:noProof/>
            <w:webHidden/>
          </w:rPr>
          <w:fldChar w:fldCharType="begin"/>
        </w:r>
        <w:r w:rsidR="005E6190">
          <w:rPr>
            <w:noProof/>
            <w:webHidden/>
          </w:rPr>
          <w:instrText xml:space="preserve"> PAGEREF _Toc866586 \h </w:instrText>
        </w:r>
        <w:r w:rsidR="005E6190">
          <w:rPr>
            <w:noProof/>
            <w:webHidden/>
          </w:rPr>
        </w:r>
        <w:r w:rsidR="005E6190">
          <w:rPr>
            <w:noProof/>
            <w:webHidden/>
          </w:rPr>
          <w:fldChar w:fldCharType="separate"/>
        </w:r>
        <w:r w:rsidR="002206B3">
          <w:rPr>
            <w:noProof/>
            <w:webHidden/>
          </w:rPr>
          <w:t>15</w:t>
        </w:r>
        <w:r w:rsidR="005E6190">
          <w:rPr>
            <w:noProof/>
            <w:webHidden/>
          </w:rPr>
          <w:fldChar w:fldCharType="end"/>
        </w:r>
      </w:hyperlink>
    </w:p>
    <w:p w14:paraId="18B78C70" w14:textId="572C2469" w:rsidR="005E6190" w:rsidRDefault="00790058">
      <w:pPr>
        <w:pStyle w:val="TableofFigures"/>
        <w:tabs>
          <w:tab w:val="left" w:pos="1200"/>
          <w:tab w:val="right" w:leader="dot" w:pos="9344"/>
        </w:tabs>
        <w:rPr>
          <w:rFonts w:eastAsiaTheme="minorEastAsia" w:cstheme="minorBidi"/>
          <w:noProof/>
          <w:sz w:val="22"/>
          <w:szCs w:val="22"/>
        </w:rPr>
      </w:pPr>
      <w:hyperlink w:anchor="_Toc866587" w:history="1">
        <w:r w:rsidR="005E6190" w:rsidRPr="0059600E">
          <w:rPr>
            <w:rStyle w:val="Hyperlink"/>
            <w:rFonts w:eastAsiaTheme="majorEastAsia"/>
            <w:noProof/>
          </w:rPr>
          <w:t xml:space="preserve">Table 6 </w:t>
        </w:r>
        <w:r w:rsidR="005E6190">
          <w:rPr>
            <w:rFonts w:eastAsiaTheme="minorEastAsia" w:cstheme="minorBidi"/>
            <w:noProof/>
            <w:sz w:val="22"/>
            <w:szCs w:val="22"/>
          </w:rPr>
          <w:tab/>
        </w:r>
        <w:r w:rsidR="005E6190" w:rsidRPr="0059600E">
          <w:rPr>
            <w:rStyle w:val="Hyperlink"/>
            <w:rFonts w:eastAsiaTheme="majorEastAsia"/>
            <w:noProof/>
          </w:rPr>
          <w:t>Cost results by type of facility specialisation</w:t>
        </w:r>
        <w:r w:rsidR="005E6190">
          <w:rPr>
            <w:noProof/>
            <w:webHidden/>
          </w:rPr>
          <w:tab/>
        </w:r>
        <w:r w:rsidR="005E6190">
          <w:rPr>
            <w:noProof/>
            <w:webHidden/>
          </w:rPr>
          <w:fldChar w:fldCharType="begin"/>
        </w:r>
        <w:r w:rsidR="005E6190">
          <w:rPr>
            <w:noProof/>
            <w:webHidden/>
          </w:rPr>
          <w:instrText xml:space="preserve"> PAGEREF _Toc866587 \h </w:instrText>
        </w:r>
        <w:r w:rsidR="005E6190">
          <w:rPr>
            <w:noProof/>
            <w:webHidden/>
          </w:rPr>
        </w:r>
        <w:r w:rsidR="005E6190">
          <w:rPr>
            <w:noProof/>
            <w:webHidden/>
          </w:rPr>
          <w:fldChar w:fldCharType="separate"/>
        </w:r>
        <w:r w:rsidR="002206B3">
          <w:rPr>
            <w:noProof/>
            <w:webHidden/>
          </w:rPr>
          <w:t>16</w:t>
        </w:r>
        <w:r w:rsidR="005E6190">
          <w:rPr>
            <w:noProof/>
            <w:webHidden/>
          </w:rPr>
          <w:fldChar w:fldCharType="end"/>
        </w:r>
      </w:hyperlink>
    </w:p>
    <w:p w14:paraId="5493698C" w14:textId="6E7881B5" w:rsidR="005E6190" w:rsidRDefault="00790058">
      <w:pPr>
        <w:pStyle w:val="TableofFigures"/>
        <w:tabs>
          <w:tab w:val="left" w:pos="1200"/>
          <w:tab w:val="right" w:leader="dot" w:pos="9344"/>
        </w:tabs>
        <w:rPr>
          <w:rFonts w:eastAsiaTheme="minorEastAsia" w:cstheme="minorBidi"/>
          <w:noProof/>
          <w:sz w:val="22"/>
          <w:szCs w:val="22"/>
        </w:rPr>
      </w:pPr>
      <w:hyperlink w:anchor="_Toc866588" w:history="1">
        <w:r w:rsidR="005E6190" w:rsidRPr="0059600E">
          <w:rPr>
            <w:rStyle w:val="Hyperlink"/>
            <w:rFonts w:eastAsiaTheme="majorEastAsia"/>
            <w:noProof/>
          </w:rPr>
          <w:t xml:space="preserve">Table 7 </w:t>
        </w:r>
        <w:r w:rsidR="005E6190">
          <w:rPr>
            <w:rFonts w:eastAsiaTheme="minorEastAsia" w:cstheme="minorBidi"/>
            <w:noProof/>
            <w:sz w:val="22"/>
            <w:szCs w:val="22"/>
          </w:rPr>
          <w:tab/>
        </w:r>
        <w:r w:rsidR="005E6190" w:rsidRPr="0059600E">
          <w:rPr>
            <w:rStyle w:val="Hyperlink"/>
            <w:rFonts w:eastAsiaTheme="majorEastAsia"/>
            <w:noProof/>
          </w:rPr>
          <w:t>Fixed care cost RVUs per occupied bed day</w:t>
        </w:r>
        <w:r w:rsidR="005E6190">
          <w:rPr>
            <w:noProof/>
            <w:webHidden/>
          </w:rPr>
          <w:tab/>
        </w:r>
        <w:r w:rsidR="005E6190">
          <w:rPr>
            <w:noProof/>
            <w:webHidden/>
          </w:rPr>
          <w:fldChar w:fldCharType="begin"/>
        </w:r>
        <w:r w:rsidR="005E6190">
          <w:rPr>
            <w:noProof/>
            <w:webHidden/>
          </w:rPr>
          <w:instrText xml:space="preserve"> PAGEREF _Toc866588 \h </w:instrText>
        </w:r>
        <w:r w:rsidR="005E6190">
          <w:rPr>
            <w:noProof/>
            <w:webHidden/>
          </w:rPr>
        </w:r>
        <w:r w:rsidR="005E6190">
          <w:rPr>
            <w:noProof/>
            <w:webHidden/>
          </w:rPr>
          <w:fldChar w:fldCharType="separate"/>
        </w:r>
        <w:r w:rsidR="002206B3">
          <w:rPr>
            <w:noProof/>
            <w:webHidden/>
          </w:rPr>
          <w:t>18</w:t>
        </w:r>
        <w:r w:rsidR="005E6190">
          <w:rPr>
            <w:noProof/>
            <w:webHidden/>
          </w:rPr>
          <w:fldChar w:fldCharType="end"/>
        </w:r>
      </w:hyperlink>
    </w:p>
    <w:p w14:paraId="76195177" w14:textId="703F772F" w:rsidR="00B16036" w:rsidRDefault="00B16036" w:rsidP="00626F44">
      <w:pPr>
        <w:tabs>
          <w:tab w:val="left" w:pos="1134"/>
          <w:tab w:val="left" w:pos="1200"/>
        </w:tabs>
      </w:pPr>
      <w:r w:rsidRPr="00C716E0">
        <w:rPr>
          <w:sz w:val="20"/>
          <w:szCs w:val="20"/>
        </w:rPr>
        <w:fldChar w:fldCharType="end"/>
      </w:r>
    </w:p>
    <w:p w14:paraId="445737F1" w14:textId="77777777" w:rsidR="00337E34" w:rsidRPr="00E3695E" w:rsidRDefault="00337E34" w:rsidP="00337E34">
      <w:pPr>
        <w:pStyle w:val="Caption"/>
        <w:rPr>
          <w:sz w:val="36"/>
          <w:szCs w:val="36"/>
        </w:rPr>
      </w:pPr>
      <w:r w:rsidRPr="00E3695E">
        <w:rPr>
          <w:sz w:val="36"/>
          <w:szCs w:val="36"/>
        </w:rPr>
        <w:t>List of figures</w:t>
      </w:r>
    </w:p>
    <w:p w14:paraId="6A4FBA95" w14:textId="45E756C7" w:rsidR="005E6190" w:rsidRDefault="00337E34">
      <w:pPr>
        <w:pStyle w:val="TableofFigures"/>
        <w:tabs>
          <w:tab w:val="left" w:pos="1200"/>
          <w:tab w:val="right" w:leader="dot" w:pos="9344"/>
        </w:tabs>
        <w:rPr>
          <w:rFonts w:eastAsiaTheme="minorEastAsia" w:cstheme="minorBidi"/>
          <w:noProof/>
          <w:sz w:val="22"/>
          <w:szCs w:val="22"/>
        </w:rPr>
      </w:pPr>
      <w:r>
        <w:rPr>
          <w:rStyle w:val="Hyperlink"/>
          <w:rFonts w:eastAsiaTheme="majorEastAsia"/>
          <w:noProof/>
        </w:rPr>
        <w:fldChar w:fldCharType="begin"/>
      </w:r>
      <w:r w:rsidRPr="00F73247">
        <w:rPr>
          <w:rStyle w:val="Hyperlink"/>
          <w:rFonts w:eastAsiaTheme="majorEastAsia"/>
          <w:noProof/>
        </w:rPr>
        <w:instrText xml:space="preserve"> TOC \h \z \c "Figure" </w:instrText>
      </w:r>
      <w:r>
        <w:rPr>
          <w:rStyle w:val="Hyperlink"/>
          <w:rFonts w:eastAsiaTheme="majorEastAsia"/>
          <w:noProof/>
        </w:rPr>
        <w:fldChar w:fldCharType="separate"/>
      </w:r>
      <w:hyperlink w:anchor="_Toc866589" w:history="1">
        <w:r w:rsidR="005E6190" w:rsidRPr="00B5011B">
          <w:rPr>
            <w:rStyle w:val="Hyperlink"/>
            <w:rFonts w:eastAsiaTheme="majorEastAsia"/>
            <w:noProof/>
          </w:rPr>
          <w:t xml:space="preserve">Figure 1 </w:t>
        </w:r>
        <w:r w:rsidR="005E6190">
          <w:rPr>
            <w:rFonts w:eastAsiaTheme="minorEastAsia" w:cstheme="minorBidi"/>
            <w:noProof/>
            <w:sz w:val="22"/>
            <w:szCs w:val="22"/>
          </w:rPr>
          <w:tab/>
        </w:r>
        <w:r w:rsidR="005E6190" w:rsidRPr="00B5011B">
          <w:rPr>
            <w:rStyle w:val="Hyperlink"/>
            <w:rFonts w:eastAsiaTheme="majorEastAsia"/>
            <w:noProof/>
          </w:rPr>
          <w:t>The RUCS allocated cost data model</w:t>
        </w:r>
        <w:r w:rsidR="005E6190">
          <w:rPr>
            <w:noProof/>
            <w:webHidden/>
          </w:rPr>
          <w:tab/>
        </w:r>
        <w:r w:rsidR="005E6190">
          <w:rPr>
            <w:noProof/>
            <w:webHidden/>
          </w:rPr>
          <w:fldChar w:fldCharType="begin"/>
        </w:r>
        <w:r w:rsidR="005E6190">
          <w:rPr>
            <w:noProof/>
            <w:webHidden/>
          </w:rPr>
          <w:instrText xml:space="preserve"> PAGEREF _Toc866589 \h </w:instrText>
        </w:r>
        <w:r w:rsidR="005E6190">
          <w:rPr>
            <w:noProof/>
            <w:webHidden/>
          </w:rPr>
        </w:r>
        <w:r w:rsidR="005E6190">
          <w:rPr>
            <w:noProof/>
            <w:webHidden/>
          </w:rPr>
          <w:fldChar w:fldCharType="separate"/>
        </w:r>
        <w:r w:rsidR="002206B3">
          <w:rPr>
            <w:noProof/>
            <w:webHidden/>
          </w:rPr>
          <w:t>10</w:t>
        </w:r>
        <w:r w:rsidR="005E6190">
          <w:rPr>
            <w:noProof/>
            <w:webHidden/>
          </w:rPr>
          <w:fldChar w:fldCharType="end"/>
        </w:r>
      </w:hyperlink>
    </w:p>
    <w:p w14:paraId="0FB5D507" w14:textId="47BA9E88" w:rsidR="005E6190" w:rsidRDefault="00790058">
      <w:pPr>
        <w:pStyle w:val="TableofFigures"/>
        <w:tabs>
          <w:tab w:val="left" w:pos="1200"/>
          <w:tab w:val="right" w:leader="dot" w:pos="9344"/>
        </w:tabs>
        <w:rPr>
          <w:rFonts w:eastAsiaTheme="minorEastAsia" w:cstheme="minorBidi"/>
          <w:noProof/>
          <w:sz w:val="22"/>
          <w:szCs w:val="22"/>
        </w:rPr>
      </w:pPr>
      <w:hyperlink w:anchor="_Toc866590" w:history="1">
        <w:r w:rsidR="005E6190" w:rsidRPr="00B5011B">
          <w:rPr>
            <w:rStyle w:val="Hyperlink"/>
            <w:rFonts w:eastAsiaTheme="majorEastAsia"/>
            <w:noProof/>
          </w:rPr>
          <w:t xml:space="preserve">Figure 2 </w:t>
        </w:r>
        <w:r w:rsidR="005E6190">
          <w:rPr>
            <w:rFonts w:eastAsiaTheme="minorEastAsia" w:cstheme="minorBidi"/>
            <w:noProof/>
            <w:sz w:val="22"/>
            <w:szCs w:val="22"/>
          </w:rPr>
          <w:tab/>
        </w:r>
        <w:r w:rsidR="005E6190" w:rsidRPr="00B5011B">
          <w:rPr>
            <w:rStyle w:val="Hyperlink"/>
            <w:rFonts w:eastAsiaTheme="majorEastAsia"/>
            <w:noProof/>
          </w:rPr>
          <w:t>Fixed cost per occupied bed day by size and occupancy rate</w:t>
        </w:r>
        <w:r w:rsidR="005E6190">
          <w:rPr>
            <w:noProof/>
            <w:webHidden/>
          </w:rPr>
          <w:tab/>
        </w:r>
        <w:r w:rsidR="005E6190">
          <w:rPr>
            <w:noProof/>
            <w:webHidden/>
          </w:rPr>
          <w:fldChar w:fldCharType="begin"/>
        </w:r>
        <w:r w:rsidR="005E6190">
          <w:rPr>
            <w:noProof/>
            <w:webHidden/>
          </w:rPr>
          <w:instrText xml:space="preserve"> PAGEREF _Toc866590 \h </w:instrText>
        </w:r>
        <w:r w:rsidR="005E6190">
          <w:rPr>
            <w:noProof/>
            <w:webHidden/>
          </w:rPr>
        </w:r>
        <w:r w:rsidR="005E6190">
          <w:rPr>
            <w:noProof/>
            <w:webHidden/>
          </w:rPr>
          <w:fldChar w:fldCharType="separate"/>
        </w:r>
        <w:r w:rsidR="002206B3">
          <w:rPr>
            <w:noProof/>
            <w:webHidden/>
          </w:rPr>
          <w:t>12</w:t>
        </w:r>
        <w:r w:rsidR="005E6190">
          <w:rPr>
            <w:noProof/>
            <w:webHidden/>
          </w:rPr>
          <w:fldChar w:fldCharType="end"/>
        </w:r>
      </w:hyperlink>
    </w:p>
    <w:p w14:paraId="4DBA1A6D" w14:textId="0EF6CC22" w:rsidR="005E6190" w:rsidRDefault="00790058">
      <w:pPr>
        <w:pStyle w:val="TableofFigures"/>
        <w:tabs>
          <w:tab w:val="left" w:pos="1200"/>
          <w:tab w:val="right" w:leader="dot" w:pos="9344"/>
        </w:tabs>
        <w:rPr>
          <w:rFonts w:eastAsiaTheme="minorEastAsia" w:cstheme="minorBidi"/>
          <w:noProof/>
          <w:sz w:val="22"/>
          <w:szCs w:val="22"/>
        </w:rPr>
      </w:pPr>
      <w:hyperlink w:anchor="_Toc866591" w:history="1">
        <w:r w:rsidR="005E6190" w:rsidRPr="00B5011B">
          <w:rPr>
            <w:rStyle w:val="Hyperlink"/>
            <w:rFonts w:eastAsiaTheme="majorEastAsia"/>
            <w:noProof/>
          </w:rPr>
          <w:t xml:space="preserve">Figure 3 </w:t>
        </w:r>
        <w:r w:rsidR="005E6190">
          <w:rPr>
            <w:rFonts w:eastAsiaTheme="minorEastAsia" w:cstheme="minorBidi"/>
            <w:noProof/>
            <w:sz w:val="22"/>
            <w:szCs w:val="22"/>
          </w:rPr>
          <w:tab/>
        </w:r>
        <w:r w:rsidR="005E6190" w:rsidRPr="00B5011B">
          <w:rPr>
            <w:rStyle w:val="Hyperlink"/>
            <w:rFonts w:eastAsiaTheme="majorEastAsia"/>
            <w:noProof/>
          </w:rPr>
          <w:t>Fixed cost per occupied bed day by size groups and occupancy rate</w:t>
        </w:r>
        <w:r w:rsidR="005E6190">
          <w:rPr>
            <w:noProof/>
            <w:webHidden/>
          </w:rPr>
          <w:tab/>
        </w:r>
        <w:r w:rsidR="005E6190">
          <w:rPr>
            <w:noProof/>
            <w:webHidden/>
          </w:rPr>
          <w:fldChar w:fldCharType="begin"/>
        </w:r>
        <w:r w:rsidR="005E6190">
          <w:rPr>
            <w:noProof/>
            <w:webHidden/>
          </w:rPr>
          <w:instrText xml:space="preserve"> PAGEREF _Toc866591 \h </w:instrText>
        </w:r>
        <w:r w:rsidR="005E6190">
          <w:rPr>
            <w:noProof/>
            <w:webHidden/>
          </w:rPr>
        </w:r>
        <w:r w:rsidR="005E6190">
          <w:rPr>
            <w:noProof/>
            <w:webHidden/>
          </w:rPr>
          <w:fldChar w:fldCharType="separate"/>
        </w:r>
        <w:r w:rsidR="002206B3">
          <w:rPr>
            <w:noProof/>
            <w:webHidden/>
          </w:rPr>
          <w:t>13</w:t>
        </w:r>
        <w:r w:rsidR="005E6190">
          <w:rPr>
            <w:noProof/>
            <w:webHidden/>
          </w:rPr>
          <w:fldChar w:fldCharType="end"/>
        </w:r>
      </w:hyperlink>
    </w:p>
    <w:p w14:paraId="779499DE" w14:textId="2DC03244" w:rsidR="005E6190" w:rsidRDefault="00790058">
      <w:pPr>
        <w:pStyle w:val="TableofFigures"/>
        <w:tabs>
          <w:tab w:val="left" w:pos="1200"/>
          <w:tab w:val="right" w:leader="dot" w:pos="9344"/>
        </w:tabs>
        <w:rPr>
          <w:rFonts w:eastAsiaTheme="minorEastAsia" w:cstheme="minorBidi"/>
          <w:noProof/>
          <w:sz w:val="22"/>
          <w:szCs w:val="22"/>
        </w:rPr>
      </w:pPr>
      <w:hyperlink w:anchor="_Toc866592" w:history="1">
        <w:r w:rsidR="005E6190" w:rsidRPr="00B5011B">
          <w:rPr>
            <w:rStyle w:val="Hyperlink"/>
            <w:rFonts w:eastAsiaTheme="majorEastAsia"/>
            <w:noProof/>
          </w:rPr>
          <w:t xml:space="preserve">Figure 4 </w:t>
        </w:r>
        <w:r w:rsidR="005E6190">
          <w:rPr>
            <w:rFonts w:eastAsiaTheme="minorEastAsia" w:cstheme="minorBidi"/>
            <w:noProof/>
            <w:sz w:val="22"/>
            <w:szCs w:val="22"/>
          </w:rPr>
          <w:tab/>
        </w:r>
        <w:r w:rsidR="005E6190" w:rsidRPr="00B5011B">
          <w:rPr>
            <w:rStyle w:val="Hyperlink"/>
            <w:rFonts w:eastAsiaTheme="majorEastAsia"/>
            <w:noProof/>
          </w:rPr>
          <w:t>Branching model of fixed care cost RVUs</w:t>
        </w:r>
        <w:r w:rsidR="005E6190">
          <w:rPr>
            <w:noProof/>
            <w:webHidden/>
          </w:rPr>
          <w:tab/>
        </w:r>
        <w:r w:rsidR="005E6190">
          <w:rPr>
            <w:noProof/>
            <w:webHidden/>
          </w:rPr>
          <w:fldChar w:fldCharType="begin"/>
        </w:r>
        <w:r w:rsidR="005E6190">
          <w:rPr>
            <w:noProof/>
            <w:webHidden/>
          </w:rPr>
          <w:instrText xml:space="preserve"> PAGEREF _Toc866592 \h </w:instrText>
        </w:r>
        <w:r w:rsidR="005E6190">
          <w:rPr>
            <w:noProof/>
            <w:webHidden/>
          </w:rPr>
        </w:r>
        <w:r w:rsidR="005E6190">
          <w:rPr>
            <w:noProof/>
            <w:webHidden/>
          </w:rPr>
          <w:fldChar w:fldCharType="separate"/>
        </w:r>
        <w:r w:rsidR="002206B3">
          <w:rPr>
            <w:noProof/>
            <w:webHidden/>
          </w:rPr>
          <w:t>17</w:t>
        </w:r>
        <w:r w:rsidR="005E6190">
          <w:rPr>
            <w:noProof/>
            <w:webHidden/>
          </w:rPr>
          <w:fldChar w:fldCharType="end"/>
        </w:r>
      </w:hyperlink>
    </w:p>
    <w:p w14:paraId="5802BCDC" w14:textId="2D317D6B" w:rsidR="0018369B" w:rsidRDefault="00337E34" w:rsidP="00B16036">
      <w:r>
        <w:fldChar w:fldCharType="end"/>
      </w:r>
    </w:p>
    <w:p w14:paraId="7C143A3B" w14:textId="77777777" w:rsidR="006E49DF" w:rsidRDefault="006E49DF" w:rsidP="00B16036"/>
    <w:p w14:paraId="2F0AE25F" w14:textId="77777777" w:rsidR="006E49DF" w:rsidRDefault="006E49DF" w:rsidP="00B16036">
      <w:pPr>
        <w:sectPr w:rsidR="006E49DF" w:rsidSect="006E49DF">
          <w:headerReference w:type="default" r:id="rId16"/>
          <w:footerReference w:type="default" r:id="rId17"/>
          <w:pgSz w:w="11906" w:h="16838"/>
          <w:pgMar w:top="1134" w:right="1134" w:bottom="1021" w:left="1418" w:header="709" w:footer="709" w:gutter="0"/>
          <w:pgNumType w:start="1"/>
          <w:cols w:space="708"/>
          <w:docGrid w:linePitch="360"/>
        </w:sectPr>
      </w:pPr>
    </w:p>
    <w:p w14:paraId="4F9B1095" w14:textId="0F7D2367" w:rsidR="00953754" w:rsidRDefault="00953754" w:rsidP="00C06B51">
      <w:pPr>
        <w:pStyle w:val="Heading1"/>
        <w:numPr>
          <w:ilvl w:val="0"/>
          <w:numId w:val="0"/>
        </w:numPr>
      </w:pPr>
      <w:bookmarkStart w:id="10" w:name="_Toc952727"/>
      <w:bookmarkStart w:id="11" w:name="_Toc471369418"/>
      <w:bookmarkStart w:id="12" w:name="_Ref467164317"/>
      <w:r>
        <w:lastRenderedPageBreak/>
        <w:t>Acknowledgements</w:t>
      </w:r>
      <w:bookmarkEnd w:id="10"/>
    </w:p>
    <w:p w14:paraId="179D41EF" w14:textId="0AE64443" w:rsidR="00F14A29" w:rsidRPr="006C3AD5" w:rsidRDefault="00F14A29" w:rsidP="0098545C">
      <w:pPr>
        <w:spacing w:before="240"/>
      </w:pPr>
      <w:r w:rsidRPr="006C3AD5">
        <w:t xml:space="preserve">We wish to acknowledge and thank all of those who supported this </w:t>
      </w:r>
      <w:r w:rsidR="008816FF">
        <w:t>s</w:t>
      </w:r>
      <w:r w:rsidRPr="006C3AD5">
        <w:t>tudy</w:t>
      </w:r>
      <w:r w:rsidR="007B0267" w:rsidRPr="006C3AD5">
        <w:t xml:space="preserve"> </w:t>
      </w:r>
      <w:r w:rsidR="006C3AD5" w:rsidRPr="006C3AD5">
        <w:t xml:space="preserve">and </w:t>
      </w:r>
      <w:r w:rsidR="007B0267" w:rsidRPr="006C3AD5">
        <w:t>in particular the 107 aged care provider organisations and facilities who committed their staff time and pr</w:t>
      </w:r>
      <w:r w:rsidR="00E3695E">
        <w:t>ovided their data for analysis.</w:t>
      </w:r>
    </w:p>
    <w:p w14:paraId="1E2A7B5F" w14:textId="6F709D4E" w:rsidR="007B0267" w:rsidRDefault="00E17993" w:rsidP="0098545C">
      <w:pPr>
        <w:spacing w:before="240"/>
      </w:pPr>
      <w:r w:rsidRPr="006C3AD5">
        <w:t xml:space="preserve">Thank </w:t>
      </w:r>
      <w:r w:rsidR="003A109D" w:rsidRPr="006C3AD5">
        <w:t xml:space="preserve">you </w:t>
      </w:r>
      <w:r w:rsidR="007B0267" w:rsidRPr="006C3AD5">
        <w:t xml:space="preserve">also to the members of our clinical expert panels and project advisory bodies, in particular the Sector Reference Group. The study design and data analysis for Study Two drew heavily on the advice received from those within the sector who </w:t>
      </w:r>
      <w:r w:rsidR="006C3AD5">
        <w:t xml:space="preserve">are most familiar with </w:t>
      </w:r>
      <w:r w:rsidR="007B0267" w:rsidRPr="006C3AD5">
        <w:t>the issues faced and the capacity of residential aged care</w:t>
      </w:r>
      <w:r w:rsidR="003A109D" w:rsidRPr="006C3AD5">
        <w:t xml:space="preserve"> </w:t>
      </w:r>
      <w:r w:rsidR="007B0267" w:rsidRPr="006C3AD5">
        <w:t xml:space="preserve">facilities to participate in studies such as this. </w:t>
      </w:r>
    </w:p>
    <w:p w14:paraId="4E4FA229" w14:textId="270C5F49" w:rsidR="00EB1E2A" w:rsidRPr="006C3AD5" w:rsidRDefault="00EB1E2A" w:rsidP="0098545C">
      <w:pPr>
        <w:spacing w:before="240"/>
      </w:pPr>
      <w:r w:rsidRPr="00F25EE9">
        <w:t xml:space="preserve">Particular thanks </w:t>
      </w:r>
      <w:r w:rsidR="00F25EE9" w:rsidRPr="00F25EE9">
        <w:t xml:space="preserve">go </w:t>
      </w:r>
      <w:r w:rsidRPr="00F25EE9">
        <w:t xml:space="preserve">to Melissa </w:t>
      </w:r>
      <w:r w:rsidR="00F25EE9" w:rsidRPr="00F25EE9">
        <w:t>C</w:t>
      </w:r>
      <w:r w:rsidR="0050125C">
        <w:t>rampton and Rob Montefiore-Gard</w:t>
      </w:r>
      <w:r w:rsidR="00F25EE9" w:rsidRPr="00F25EE9">
        <w:t>ner and the</w:t>
      </w:r>
      <w:r w:rsidR="00301675" w:rsidRPr="00F25EE9">
        <w:t xml:space="preserve"> team </w:t>
      </w:r>
      <w:r w:rsidR="00F25EE9" w:rsidRPr="00F25EE9">
        <w:t xml:space="preserve">in the </w:t>
      </w:r>
      <w:r w:rsidR="00F25EE9">
        <w:t xml:space="preserve">Funding Reform Section within the Residential and Flexible Aged Care Division of the </w:t>
      </w:r>
      <w:r w:rsidR="00E433A5">
        <w:t xml:space="preserve">Commonwealth </w:t>
      </w:r>
      <w:r w:rsidR="00F25EE9">
        <w:t>Department of Health</w:t>
      </w:r>
      <w:r w:rsidR="00734860">
        <w:t>.</w:t>
      </w:r>
    </w:p>
    <w:p w14:paraId="3DC4A763" w14:textId="60DA667B" w:rsidR="008F6966" w:rsidRDefault="007B0267" w:rsidP="0098545C">
      <w:pPr>
        <w:spacing w:before="240"/>
      </w:pPr>
      <w:r w:rsidRPr="006C3AD5">
        <w:t xml:space="preserve">Finally, we </w:t>
      </w:r>
      <w:r w:rsidR="00F25EE9">
        <w:t xml:space="preserve">wish to </w:t>
      </w:r>
      <w:r w:rsidRPr="006C3AD5">
        <w:t xml:space="preserve">acknowledge the work of </w:t>
      </w:r>
      <w:r w:rsidR="008F6966" w:rsidRPr="006C3AD5">
        <w:t xml:space="preserve">StewartBrown </w:t>
      </w:r>
      <w:r w:rsidRPr="006C3AD5">
        <w:t xml:space="preserve">in supporting this study; </w:t>
      </w:r>
      <w:r w:rsidR="008F6966" w:rsidRPr="006C3AD5">
        <w:t xml:space="preserve">for providing advice </w:t>
      </w:r>
      <w:r w:rsidRPr="006C3AD5">
        <w:t xml:space="preserve">on the data collection design and for coordinating </w:t>
      </w:r>
      <w:r w:rsidR="006C3AD5" w:rsidRPr="006C3AD5">
        <w:t>and quality checking</w:t>
      </w:r>
      <w:r w:rsidR="006C3AD5">
        <w:t xml:space="preserve"> the data collection; </w:t>
      </w:r>
      <w:r>
        <w:t xml:space="preserve">and </w:t>
      </w:r>
      <w:r w:rsidR="006C3AD5">
        <w:t>for providing assistance to</w:t>
      </w:r>
      <w:r>
        <w:t xml:space="preserve"> </w:t>
      </w:r>
      <w:r w:rsidR="006C3AD5">
        <w:t xml:space="preserve">aged care organisations </w:t>
      </w:r>
      <w:r w:rsidR="00E3695E">
        <w:t>in the provision of their data.</w:t>
      </w:r>
    </w:p>
    <w:p w14:paraId="3C5649B9" w14:textId="77777777" w:rsidR="008F6966" w:rsidRDefault="008F6966" w:rsidP="00DE25CE"/>
    <w:p w14:paraId="5556FFFE" w14:textId="1ADC084A" w:rsidR="00953754" w:rsidRDefault="00953754" w:rsidP="00DE25CE">
      <w:pPr>
        <w:rPr>
          <w:rFonts w:eastAsiaTheme="majorEastAsia"/>
        </w:rPr>
      </w:pPr>
      <w:r>
        <w:br w:type="page"/>
      </w:r>
    </w:p>
    <w:p w14:paraId="0AA08365" w14:textId="01E0484C" w:rsidR="00E17993" w:rsidRPr="00E17993" w:rsidRDefault="00E71949" w:rsidP="00C06B51">
      <w:pPr>
        <w:pStyle w:val="Heading1"/>
        <w:numPr>
          <w:ilvl w:val="0"/>
          <w:numId w:val="0"/>
        </w:numPr>
      </w:pPr>
      <w:bookmarkStart w:id="13" w:name="_Toc952728"/>
      <w:r w:rsidRPr="00E71949">
        <w:lastRenderedPageBreak/>
        <w:t>A</w:t>
      </w:r>
      <w:bookmarkEnd w:id="11"/>
      <w:r w:rsidR="00C87053">
        <w:t>bbreviations</w:t>
      </w:r>
      <w:bookmarkEnd w:id="13"/>
    </w:p>
    <w:tbl>
      <w:tblPr>
        <w:tblW w:w="8873" w:type="dxa"/>
        <w:tblLook w:val="04A0" w:firstRow="1" w:lastRow="0" w:firstColumn="1" w:lastColumn="0" w:noHBand="0" w:noVBand="1"/>
        <w:tblCaption w:val="Abbreviations"/>
        <w:tblDescription w:val="This table is a list of abbreviations used throughout the Resource Utilisation Classification Study (RUCS) report. This table is to be read left to right, top to bottom (abbreviation followed by full term)."/>
      </w:tblPr>
      <w:tblGrid>
        <w:gridCol w:w="1809"/>
        <w:gridCol w:w="7064"/>
      </w:tblGrid>
      <w:tr w:rsidR="00CB56BC" w:rsidRPr="0098545C" w14:paraId="59CADEF1" w14:textId="77777777" w:rsidTr="00E3695E">
        <w:trPr>
          <w:trHeight w:val="300"/>
          <w:tblHeader/>
        </w:trPr>
        <w:tc>
          <w:tcPr>
            <w:tcW w:w="1809" w:type="dxa"/>
            <w:tcBorders>
              <w:top w:val="nil"/>
              <w:left w:val="nil"/>
              <w:bottom w:val="nil"/>
              <w:right w:val="nil"/>
            </w:tcBorders>
            <w:shd w:val="clear" w:color="auto" w:fill="auto"/>
            <w:noWrap/>
          </w:tcPr>
          <w:p w14:paraId="7E152FD5" w14:textId="469CF26D" w:rsidR="00CB56BC" w:rsidRPr="00E3695E" w:rsidRDefault="00E3695E" w:rsidP="0098545C">
            <w:pPr>
              <w:spacing w:before="40" w:after="40"/>
              <w:rPr>
                <w:rFonts w:ascii="Calibri" w:hAnsi="Calibri" w:cs="Calibri"/>
                <w:b/>
                <w:color w:val="000000"/>
                <w:sz w:val="20"/>
                <w:szCs w:val="20"/>
              </w:rPr>
            </w:pPr>
            <w:r>
              <w:rPr>
                <w:rFonts w:ascii="Calibri" w:hAnsi="Calibri" w:cs="Calibri"/>
                <w:b/>
                <w:color w:val="000000"/>
                <w:sz w:val="20"/>
                <w:szCs w:val="20"/>
              </w:rPr>
              <w:t>Abbreviation</w:t>
            </w:r>
          </w:p>
        </w:tc>
        <w:tc>
          <w:tcPr>
            <w:tcW w:w="7064" w:type="dxa"/>
            <w:tcBorders>
              <w:top w:val="nil"/>
              <w:left w:val="nil"/>
              <w:bottom w:val="nil"/>
              <w:right w:val="nil"/>
            </w:tcBorders>
            <w:shd w:val="clear" w:color="auto" w:fill="auto"/>
            <w:noWrap/>
          </w:tcPr>
          <w:p w14:paraId="0DD90614" w14:textId="54F5FA2D" w:rsidR="00CB56BC" w:rsidRPr="00E3695E" w:rsidRDefault="00E3695E" w:rsidP="0098545C">
            <w:pPr>
              <w:spacing w:before="40" w:after="40"/>
              <w:rPr>
                <w:rFonts w:ascii="Calibri" w:hAnsi="Calibri" w:cs="Calibri"/>
                <w:b/>
                <w:color w:val="000000"/>
                <w:sz w:val="20"/>
                <w:szCs w:val="20"/>
              </w:rPr>
            </w:pPr>
            <w:r>
              <w:rPr>
                <w:rFonts w:ascii="Calibri" w:hAnsi="Calibri" w:cs="Calibri"/>
                <w:b/>
                <w:color w:val="000000"/>
                <w:sz w:val="20"/>
                <w:szCs w:val="20"/>
              </w:rPr>
              <w:t>Full term</w:t>
            </w:r>
          </w:p>
        </w:tc>
      </w:tr>
      <w:tr w:rsidR="00E3695E" w:rsidRPr="0098545C" w14:paraId="148BE0AD" w14:textId="77777777" w:rsidTr="005405C5">
        <w:trPr>
          <w:trHeight w:val="300"/>
        </w:trPr>
        <w:tc>
          <w:tcPr>
            <w:tcW w:w="1809" w:type="dxa"/>
            <w:tcBorders>
              <w:top w:val="nil"/>
              <w:left w:val="nil"/>
              <w:bottom w:val="nil"/>
              <w:right w:val="nil"/>
            </w:tcBorders>
            <w:shd w:val="clear" w:color="auto" w:fill="auto"/>
            <w:noWrap/>
          </w:tcPr>
          <w:p w14:paraId="442C5867" w14:textId="7C7D2287" w:rsidR="00E3695E" w:rsidRPr="0098545C" w:rsidRDefault="00E3695E" w:rsidP="00E3695E">
            <w:pPr>
              <w:spacing w:before="40" w:after="40"/>
              <w:rPr>
                <w:rFonts w:ascii="Calibri" w:hAnsi="Calibri" w:cs="Calibri"/>
                <w:color w:val="000000"/>
                <w:sz w:val="20"/>
                <w:szCs w:val="20"/>
              </w:rPr>
            </w:pPr>
            <w:r w:rsidRPr="0098545C">
              <w:rPr>
                <w:rFonts w:ascii="Calibri" w:hAnsi="Calibri" w:cs="Calibri"/>
                <w:color w:val="000000"/>
                <w:sz w:val="20"/>
                <w:szCs w:val="20"/>
              </w:rPr>
              <w:t>ACFI</w:t>
            </w:r>
          </w:p>
        </w:tc>
        <w:tc>
          <w:tcPr>
            <w:tcW w:w="7064" w:type="dxa"/>
            <w:tcBorders>
              <w:top w:val="nil"/>
              <w:left w:val="nil"/>
              <w:bottom w:val="nil"/>
              <w:right w:val="nil"/>
            </w:tcBorders>
            <w:shd w:val="clear" w:color="auto" w:fill="auto"/>
            <w:noWrap/>
          </w:tcPr>
          <w:p w14:paraId="74484BAB" w14:textId="67A29026" w:rsidR="00E3695E" w:rsidRPr="0098545C" w:rsidRDefault="00E3695E" w:rsidP="00E3695E">
            <w:pPr>
              <w:spacing w:before="40" w:after="40"/>
              <w:rPr>
                <w:rFonts w:ascii="Calibri" w:hAnsi="Calibri" w:cs="Calibri"/>
                <w:color w:val="000000"/>
                <w:sz w:val="20"/>
                <w:szCs w:val="20"/>
              </w:rPr>
            </w:pPr>
            <w:r w:rsidRPr="0098545C">
              <w:rPr>
                <w:rFonts w:ascii="Calibri" w:hAnsi="Calibri" w:cs="Calibri"/>
                <w:color w:val="000000"/>
                <w:sz w:val="20"/>
                <w:szCs w:val="20"/>
              </w:rPr>
              <w:t>Aged Care Funding Instrument</w:t>
            </w:r>
          </w:p>
        </w:tc>
      </w:tr>
      <w:tr w:rsidR="00A23DF6" w:rsidRPr="0098545C" w14:paraId="7DE9DB54" w14:textId="77777777" w:rsidTr="005405C5">
        <w:trPr>
          <w:trHeight w:val="300"/>
        </w:trPr>
        <w:tc>
          <w:tcPr>
            <w:tcW w:w="1809" w:type="dxa"/>
            <w:tcBorders>
              <w:top w:val="nil"/>
              <w:left w:val="nil"/>
              <w:bottom w:val="nil"/>
              <w:right w:val="nil"/>
            </w:tcBorders>
            <w:shd w:val="clear" w:color="auto" w:fill="auto"/>
            <w:noWrap/>
          </w:tcPr>
          <w:p w14:paraId="21E3968B" w14:textId="0F902E43" w:rsidR="00A23DF6" w:rsidRPr="0098545C" w:rsidRDefault="00A23DF6" w:rsidP="0098545C">
            <w:pPr>
              <w:spacing w:before="40" w:after="40"/>
              <w:rPr>
                <w:rFonts w:ascii="Calibri" w:hAnsi="Calibri" w:cs="Calibri"/>
                <w:color w:val="000000"/>
                <w:sz w:val="20"/>
                <w:szCs w:val="20"/>
              </w:rPr>
            </w:pPr>
            <w:r>
              <w:rPr>
                <w:rFonts w:ascii="Calibri" w:hAnsi="Calibri" w:cs="Calibri"/>
                <w:color w:val="000000"/>
                <w:sz w:val="20"/>
                <w:szCs w:val="20"/>
              </w:rPr>
              <w:t>AHSRI</w:t>
            </w:r>
          </w:p>
        </w:tc>
        <w:tc>
          <w:tcPr>
            <w:tcW w:w="7064" w:type="dxa"/>
            <w:tcBorders>
              <w:top w:val="nil"/>
              <w:left w:val="nil"/>
              <w:bottom w:val="nil"/>
              <w:right w:val="nil"/>
            </w:tcBorders>
            <w:shd w:val="clear" w:color="auto" w:fill="auto"/>
            <w:noWrap/>
          </w:tcPr>
          <w:p w14:paraId="331313C2" w14:textId="294B86D9" w:rsidR="00A23DF6" w:rsidRPr="0098545C" w:rsidRDefault="00A23DF6" w:rsidP="0098545C">
            <w:pPr>
              <w:spacing w:before="40" w:after="40"/>
              <w:rPr>
                <w:rFonts w:ascii="Calibri" w:hAnsi="Calibri" w:cs="Calibri"/>
                <w:color w:val="000000"/>
                <w:sz w:val="20"/>
                <w:szCs w:val="20"/>
              </w:rPr>
            </w:pPr>
            <w:r>
              <w:rPr>
                <w:rFonts w:ascii="Calibri" w:hAnsi="Calibri" w:cs="Calibri"/>
                <w:color w:val="000000"/>
                <w:sz w:val="20"/>
                <w:szCs w:val="20"/>
              </w:rPr>
              <w:t>Australian Health Services Research Institute</w:t>
            </w:r>
          </w:p>
        </w:tc>
      </w:tr>
      <w:tr w:rsidR="002F1148" w:rsidRPr="0098545C" w14:paraId="470C79B1" w14:textId="77777777" w:rsidTr="005405C5">
        <w:trPr>
          <w:trHeight w:val="300"/>
        </w:trPr>
        <w:tc>
          <w:tcPr>
            <w:tcW w:w="1809" w:type="dxa"/>
            <w:tcBorders>
              <w:top w:val="nil"/>
              <w:left w:val="nil"/>
              <w:bottom w:val="nil"/>
              <w:right w:val="nil"/>
            </w:tcBorders>
            <w:shd w:val="clear" w:color="auto" w:fill="auto"/>
            <w:noWrap/>
          </w:tcPr>
          <w:p w14:paraId="23958476" w14:textId="50DC6AEB" w:rsidR="002F1148" w:rsidRPr="0098545C" w:rsidRDefault="002F1148" w:rsidP="0098545C">
            <w:pPr>
              <w:spacing w:before="40" w:after="40"/>
              <w:rPr>
                <w:rFonts w:ascii="Calibri" w:hAnsi="Calibri" w:cs="Calibri"/>
                <w:color w:val="000000"/>
                <w:sz w:val="20"/>
                <w:szCs w:val="20"/>
              </w:rPr>
            </w:pPr>
            <w:r w:rsidRPr="0098545C">
              <w:rPr>
                <w:rFonts w:ascii="Calibri" w:hAnsi="Calibri" w:cs="Calibri"/>
                <w:color w:val="000000"/>
                <w:sz w:val="20"/>
                <w:szCs w:val="20"/>
              </w:rPr>
              <w:t>AN-ACC</w:t>
            </w:r>
          </w:p>
        </w:tc>
        <w:tc>
          <w:tcPr>
            <w:tcW w:w="7064" w:type="dxa"/>
            <w:tcBorders>
              <w:top w:val="nil"/>
              <w:left w:val="nil"/>
              <w:bottom w:val="nil"/>
              <w:right w:val="nil"/>
            </w:tcBorders>
            <w:shd w:val="clear" w:color="auto" w:fill="auto"/>
            <w:noWrap/>
          </w:tcPr>
          <w:p w14:paraId="3A0759CA" w14:textId="65B8B21E" w:rsidR="002F1148" w:rsidRPr="0098545C" w:rsidRDefault="002F1148" w:rsidP="0098545C">
            <w:pPr>
              <w:spacing w:before="40" w:after="40"/>
              <w:rPr>
                <w:rFonts w:ascii="Calibri" w:hAnsi="Calibri" w:cs="Calibri"/>
                <w:color w:val="000000"/>
                <w:sz w:val="20"/>
                <w:szCs w:val="20"/>
              </w:rPr>
            </w:pPr>
            <w:r w:rsidRPr="0098545C">
              <w:rPr>
                <w:rFonts w:ascii="Calibri" w:hAnsi="Calibri" w:cs="Calibri"/>
                <w:color w:val="000000"/>
                <w:sz w:val="20"/>
                <w:szCs w:val="20"/>
              </w:rPr>
              <w:t>Australian National Aged Care Classification</w:t>
            </w:r>
          </w:p>
        </w:tc>
      </w:tr>
      <w:tr w:rsidR="00B624D7" w:rsidRPr="0098545C" w14:paraId="3E825EB3" w14:textId="77777777" w:rsidTr="005405C5">
        <w:trPr>
          <w:trHeight w:val="300"/>
        </w:trPr>
        <w:tc>
          <w:tcPr>
            <w:tcW w:w="1809" w:type="dxa"/>
            <w:tcBorders>
              <w:top w:val="nil"/>
              <w:left w:val="nil"/>
              <w:bottom w:val="nil"/>
              <w:right w:val="nil"/>
            </w:tcBorders>
            <w:shd w:val="clear" w:color="auto" w:fill="auto"/>
            <w:noWrap/>
          </w:tcPr>
          <w:p w14:paraId="386799F4" w14:textId="5293984D" w:rsidR="00B624D7" w:rsidRPr="0098545C" w:rsidRDefault="00B624D7" w:rsidP="0098545C">
            <w:pPr>
              <w:spacing w:before="40" w:after="40"/>
              <w:rPr>
                <w:rFonts w:ascii="Calibri" w:hAnsi="Calibri" w:cs="Calibri"/>
                <w:color w:val="000000"/>
                <w:sz w:val="20"/>
                <w:szCs w:val="20"/>
              </w:rPr>
            </w:pPr>
            <w:r>
              <w:rPr>
                <w:rFonts w:ascii="Calibri" w:hAnsi="Calibri" w:cs="Calibri"/>
                <w:color w:val="000000"/>
                <w:sz w:val="20"/>
                <w:szCs w:val="20"/>
              </w:rPr>
              <w:t>ANOVA</w:t>
            </w:r>
          </w:p>
        </w:tc>
        <w:tc>
          <w:tcPr>
            <w:tcW w:w="7064" w:type="dxa"/>
            <w:tcBorders>
              <w:top w:val="nil"/>
              <w:left w:val="nil"/>
              <w:bottom w:val="nil"/>
              <w:right w:val="nil"/>
            </w:tcBorders>
            <w:shd w:val="clear" w:color="auto" w:fill="auto"/>
            <w:noWrap/>
          </w:tcPr>
          <w:p w14:paraId="798A022D" w14:textId="3C7AEF29" w:rsidR="00B624D7" w:rsidRPr="00B624D7" w:rsidRDefault="00B624D7" w:rsidP="00E433A5">
            <w:pPr>
              <w:spacing w:before="40" w:after="40"/>
              <w:rPr>
                <w:rFonts w:ascii="Calibri" w:hAnsi="Calibri" w:cs="Calibri"/>
                <w:color w:val="000000"/>
                <w:sz w:val="20"/>
                <w:szCs w:val="20"/>
              </w:rPr>
            </w:pPr>
            <w:r w:rsidRPr="00B624D7">
              <w:rPr>
                <w:sz w:val="20"/>
                <w:szCs w:val="20"/>
                <w:lang w:eastAsia="zh-CN" w:bidi="th-TH"/>
              </w:rPr>
              <w:t>Analysis of variance</w:t>
            </w:r>
          </w:p>
        </w:tc>
      </w:tr>
      <w:tr w:rsidR="00CB56BC" w:rsidRPr="0098545C" w14:paraId="6C2A8A71" w14:textId="77777777" w:rsidTr="005405C5">
        <w:trPr>
          <w:trHeight w:val="300"/>
        </w:trPr>
        <w:tc>
          <w:tcPr>
            <w:tcW w:w="1809" w:type="dxa"/>
            <w:tcBorders>
              <w:top w:val="nil"/>
              <w:left w:val="nil"/>
              <w:bottom w:val="nil"/>
              <w:right w:val="nil"/>
            </w:tcBorders>
            <w:shd w:val="clear" w:color="auto" w:fill="auto"/>
            <w:noWrap/>
            <w:hideMark/>
          </w:tcPr>
          <w:p w14:paraId="56D7ADCC"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CALD</w:t>
            </w:r>
          </w:p>
        </w:tc>
        <w:tc>
          <w:tcPr>
            <w:tcW w:w="7064" w:type="dxa"/>
            <w:tcBorders>
              <w:top w:val="nil"/>
              <w:left w:val="nil"/>
              <w:bottom w:val="nil"/>
              <w:right w:val="nil"/>
            </w:tcBorders>
            <w:shd w:val="clear" w:color="auto" w:fill="auto"/>
            <w:noWrap/>
            <w:hideMark/>
          </w:tcPr>
          <w:p w14:paraId="2B335AAE"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Culturally and Linguistically Diverse</w:t>
            </w:r>
          </w:p>
        </w:tc>
      </w:tr>
      <w:tr w:rsidR="009759CB" w:rsidRPr="0098545C" w14:paraId="048887FA" w14:textId="77777777" w:rsidTr="005405C5">
        <w:trPr>
          <w:trHeight w:val="300"/>
        </w:trPr>
        <w:tc>
          <w:tcPr>
            <w:tcW w:w="1809" w:type="dxa"/>
            <w:tcBorders>
              <w:top w:val="nil"/>
              <w:left w:val="nil"/>
              <w:bottom w:val="nil"/>
              <w:right w:val="nil"/>
            </w:tcBorders>
            <w:shd w:val="clear" w:color="auto" w:fill="auto"/>
            <w:noWrap/>
          </w:tcPr>
          <w:p w14:paraId="560862C0" w14:textId="651FB757" w:rsidR="009759CB" w:rsidRPr="0098545C" w:rsidRDefault="00D03CC2" w:rsidP="0098545C">
            <w:pPr>
              <w:spacing w:before="40" w:after="40"/>
              <w:rPr>
                <w:rFonts w:ascii="Calibri" w:hAnsi="Calibri" w:cs="Calibri"/>
                <w:color w:val="000000"/>
                <w:sz w:val="20"/>
                <w:szCs w:val="20"/>
              </w:rPr>
            </w:pPr>
            <w:r w:rsidRPr="0098545C">
              <w:rPr>
                <w:rFonts w:ascii="Calibri" w:hAnsi="Calibri" w:cs="Calibri"/>
                <w:color w:val="000000"/>
                <w:sz w:val="20"/>
                <w:szCs w:val="20"/>
              </w:rPr>
              <w:t>CV</w:t>
            </w:r>
          </w:p>
        </w:tc>
        <w:tc>
          <w:tcPr>
            <w:tcW w:w="7064" w:type="dxa"/>
            <w:tcBorders>
              <w:top w:val="nil"/>
              <w:left w:val="nil"/>
              <w:bottom w:val="nil"/>
              <w:right w:val="nil"/>
            </w:tcBorders>
            <w:shd w:val="clear" w:color="auto" w:fill="auto"/>
            <w:noWrap/>
          </w:tcPr>
          <w:p w14:paraId="1AC14BE0" w14:textId="1F978058" w:rsidR="009759CB" w:rsidRPr="0098545C" w:rsidRDefault="00D03CC2" w:rsidP="0098545C">
            <w:pPr>
              <w:spacing w:before="40" w:after="40"/>
              <w:rPr>
                <w:rFonts w:ascii="Calibri" w:hAnsi="Calibri" w:cs="Calibri"/>
                <w:color w:val="000000"/>
                <w:sz w:val="20"/>
                <w:szCs w:val="20"/>
              </w:rPr>
            </w:pPr>
            <w:r w:rsidRPr="0098545C">
              <w:rPr>
                <w:rFonts w:ascii="Calibri" w:hAnsi="Calibri" w:cs="Calibri"/>
                <w:color w:val="000000"/>
                <w:sz w:val="20"/>
                <w:szCs w:val="20"/>
              </w:rPr>
              <w:t>Coefficient of variation</w:t>
            </w:r>
          </w:p>
        </w:tc>
      </w:tr>
      <w:tr w:rsidR="00CB56BC" w:rsidRPr="0098545C" w14:paraId="05E6261A" w14:textId="77777777" w:rsidTr="005405C5">
        <w:trPr>
          <w:trHeight w:val="300"/>
        </w:trPr>
        <w:tc>
          <w:tcPr>
            <w:tcW w:w="1809" w:type="dxa"/>
            <w:tcBorders>
              <w:top w:val="nil"/>
              <w:left w:val="nil"/>
              <w:bottom w:val="nil"/>
              <w:right w:val="nil"/>
            </w:tcBorders>
            <w:shd w:val="clear" w:color="auto" w:fill="auto"/>
            <w:noWrap/>
          </w:tcPr>
          <w:p w14:paraId="2293BD9A" w14:textId="7FE82A73" w:rsidR="00CB56BC" w:rsidRPr="0098545C" w:rsidRDefault="005405C5" w:rsidP="005405C5">
            <w:pPr>
              <w:spacing w:before="40" w:after="40"/>
              <w:rPr>
                <w:rFonts w:ascii="Calibri" w:hAnsi="Calibri" w:cs="Calibri"/>
                <w:color w:val="000000"/>
                <w:sz w:val="20"/>
                <w:szCs w:val="20"/>
              </w:rPr>
            </w:pPr>
            <w:r>
              <w:rPr>
                <w:rFonts w:ascii="Calibri" w:hAnsi="Calibri" w:cs="Calibri"/>
                <w:color w:val="000000"/>
                <w:sz w:val="20"/>
                <w:szCs w:val="20"/>
              </w:rPr>
              <w:t>The Department</w:t>
            </w:r>
          </w:p>
        </w:tc>
        <w:tc>
          <w:tcPr>
            <w:tcW w:w="7064" w:type="dxa"/>
            <w:tcBorders>
              <w:top w:val="nil"/>
              <w:left w:val="nil"/>
              <w:bottom w:val="nil"/>
              <w:right w:val="nil"/>
            </w:tcBorders>
            <w:shd w:val="clear" w:color="auto" w:fill="auto"/>
            <w:noWrap/>
            <w:hideMark/>
          </w:tcPr>
          <w:p w14:paraId="18DD893A" w14:textId="2821F8C9" w:rsidR="00CB56BC" w:rsidRPr="0098545C" w:rsidRDefault="00E433A5" w:rsidP="005405C5">
            <w:pPr>
              <w:spacing w:before="40" w:after="40"/>
              <w:rPr>
                <w:rFonts w:ascii="Calibri" w:hAnsi="Calibri" w:cs="Calibri"/>
                <w:color w:val="000000"/>
                <w:sz w:val="20"/>
                <w:szCs w:val="20"/>
              </w:rPr>
            </w:pPr>
            <w:r>
              <w:rPr>
                <w:rFonts w:ascii="Calibri" w:hAnsi="Calibri" w:cs="Calibri"/>
                <w:color w:val="000000"/>
                <w:sz w:val="20"/>
                <w:szCs w:val="20"/>
              </w:rPr>
              <w:t xml:space="preserve">Commonwealth </w:t>
            </w:r>
            <w:r w:rsidR="00CB56BC" w:rsidRPr="0098545C">
              <w:rPr>
                <w:rFonts w:ascii="Calibri" w:hAnsi="Calibri" w:cs="Calibri"/>
                <w:color w:val="000000"/>
                <w:sz w:val="20"/>
                <w:szCs w:val="20"/>
              </w:rPr>
              <w:t>Department of Health</w:t>
            </w:r>
            <w:r w:rsidR="00BA4679">
              <w:rPr>
                <w:rFonts w:ascii="Calibri" w:hAnsi="Calibri" w:cs="Calibri"/>
                <w:color w:val="000000"/>
                <w:sz w:val="20"/>
                <w:szCs w:val="20"/>
              </w:rPr>
              <w:t xml:space="preserve"> </w:t>
            </w:r>
          </w:p>
        </w:tc>
      </w:tr>
      <w:tr w:rsidR="00CB56BC" w:rsidRPr="0098545C" w14:paraId="7ACF0201" w14:textId="77777777" w:rsidTr="005405C5">
        <w:trPr>
          <w:trHeight w:val="300"/>
        </w:trPr>
        <w:tc>
          <w:tcPr>
            <w:tcW w:w="1809" w:type="dxa"/>
            <w:tcBorders>
              <w:top w:val="nil"/>
              <w:left w:val="nil"/>
              <w:bottom w:val="nil"/>
              <w:right w:val="nil"/>
            </w:tcBorders>
            <w:shd w:val="clear" w:color="auto" w:fill="auto"/>
            <w:noWrap/>
            <w:hideMark/>
          </w:tcPr>
          <w:p w14:paraId="6950777A"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M</w:t>
            </w:r>
            <w:r w:rsidR="00486B34" w:rsidRPr="0098545C">
              <w:rPr>
                <w:rFonts w:ascii="Calibri" w:hAnsi="Calibri" w:cs="Calibri"/>
                <w:color w:val="000000"/>
                <w:sz w:val="20"/>
                <w:szCs w:val="20"/>
              </w:rPr>
              <w:t>MM</w:t>
            </w:r>
          </w:p>
        </w:tc>
        <w:tc>
          <w:tcPr>
            <w:tcW w:w="7064" w:type="dxa"/>
            <w:tcBorders>
              <w:top w:val="nil"/>
              <w:left w:val="nil"/>
              <w:bottom w:val="nil"/>
              <w:right w:val="nil"/>
            </w:tcBorders>
            <w:shd w:val="clear" w:color="auto" w:fill="auto"/>
            <w:noWrap/>
            <w:hideMark/>
          </w:tcPr>
          <w:p w14:paraId="4F0480D3" w14:textId="77777777" w:rsidR="00A37C6A"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M</w:t>
            </w:r>
            <w:r w:rsidR="00486B34" w:rsidRPr="0098545C">
              <w:rPr>
                <w:rFonts w:ascii="Calibri" w:hAnsi="Calibri" w:cs="Calibri"/>
                <w:color w:val="000000"/>
                <w:sz w:val="20"/>
                <w:szCs w:val="20"/>
              </w:rPr>
              <w:t>odified Monash Model</w:t>
            </w:r>
          </w:p>
        </w:tc>
      </w:tr>
      <w:tr w:rsidR="003B0474" w:rsidRPr="0098545C" w14:paraId="3C1F699D" w14:textId="77777777" w:rsidTr="005405C5">
        <w:trPr>
          <w:trHeight w:val="300"/>
        </w:trPr>
        <w:tc>
          <w:tcPr>
            <w:tcW w:w="1809" w:type="dxa"/>
            <w:tcBorders>
              <w:top w:val="nil"/>
              <w:left w:val="nil"/>
              <w:bottom w:val="nil"/>
              <w:right w:val="nil"/>
            </w:tcBorders>
            <w:shd w:val="clear" w:color="auto" w:fill="auto"/>
            <w:noWrap/>
          </w:tcPr>
          <w:p w14:paraId="7E2A7A29" w14:textId="68FDBE32" w:rsidR="003B0474" w:rsidRPr="0098545C" w:rsidRDefault="003B0474" w:rsidP="0098545C">
            <w:pPr>
              <w:spacing w:before="40" w:after="40"/>
              <w:rPr>
                <w:rFonts w:ascii="Calibri" w:hAnsi="Calibri" w:cs="Calibri"/>
                <w:color w:val="000000"/>
                <w:sz w:val="20"/>
                <w:szCs w:val="20"/>
              </w:rPr>
            </w:pPr>
            <w:r>
              <w:rPr>
                <w:rFonts w:ascii="Calibri" w:hAnsi="Calibri" w:cs="Calibri"/>
                <w:color w:val="000000"/>
                <w:sz w:val="20"/>
                <w:szCs w:val="20"/>
              </w:rPr>
              <w:t>NWAU</w:t>
            </w:r>
          </w:p>
        </w:tc>
        <w:tc>
          <w:tcPr>
            <w:tcW w:w="7064" w:type="dxa"/>
            <w:tcBorders>
              <w:top w:val="nil"/>
              <w:left w:val="nil"/>
              <w:bottom w:val="nil"/>
              <w:right w:val="nil"/>
            </w:tcBorders>
            <w:shd w:val="clear" w:color="auto" w:fill="auto"/>
            <w:noWrap/>
          </w:tcPr>
          <w:p w14:paraId="3E9D85B6" w14:textId="25DAE942" w:rsidR="003B0474" w:rsidRPr="0098545C" w:rsidRDefault="003B0474" w:rsidP="0098545C">
            <w:pPr>
              <w:spacing w:before="40" w:after="40"/>
              <w:rPr>
                <w:rFonts w:ascii="Calibri" w:hAnsi="Calibri" w:cs="Calibri"/>
                <w:color w:val="000000"/>
                <w:sz w:val="20"/>
                <w:szCs w:val="20"/>
              </w:rPr>
            </w:pPr>
            <w:r>
              <w:rPr>
                <w:rFonts w:ascii="Calibri" w:hAnsi="Calibri" w:cs="Calibri"/>
                <w:color w:val="000000"/>
                <w:sz w:val="20"/>
                <w:szCs w:val="20"/>
              </w:rPr>
              <w:t>National Weighted Activity Unit</w:t>
            </w:r>
          </w:p>
        </w:tc>
      </w:tr>
      <w:tr w:rsidR="00CB56BC" w:rsidRPr="0098545C" w14:paraId="6E9E27BD" w14:textId="77777777" w:rsidTr="005405C5">
        <w:trPr>
          <w:trHeight w:val="300"/>
        </w:trPr>
        <w:tc>
          <w:tcPr>
            <w:tcW w:w="1809" w:type="dxa"/>
            <w:tcBorders>
              <w:top w:val="nil"/>
              <w:left w:val="nil"/>
              <w:bottom w:val="nil"/>
              <w:right w:val="nil"/>
            </w:tcBorders>
            <w:shd w:val="clear" w:color="auto" w:fill="auto"/>
            <w:noWrap/>
            <w:hideMark/>
          </w:tcPr>
          <w:p w14:paraId="001C0131"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RAC</w:t>
            </w:r>
          </w:p>
        </w:tc>
        <w:tc>
          <w:tcPr>
            <w:tcW w:w="7064" w:type="dxa"/>
            <w:tcBorders>
              <w:top w:val="nil"/>
              <w:left w:val="nil"/>
              <w:bottom w:val="nil"/>
              <w:right w:val="nil"/>
            </w:tcBorders>
            <w:shd w:val="clear" w:color="auto" w:fill="auto"/>
            <w:noWrap/>
            <w:hideMark/>
          </w:tcPr>
          <w:p w14:paraId="4D6674DD"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Residential Aged Care</w:t>
            </w:r>
          </w:p>
        </w:tc>
      </w:tr>
      <w:tr w:rsidR="00CB56BC" w:rsidRPr="0098545C" w14:paraId="67A3A288" w14:textId="77777777" w:rsidTr="005405C5">
        <w:trPr>
          <w:trHeight w:val="300"/>
        </w:trPr>
        <w:tc>
          <w:tcPr>
            <w:tcW w:w="1809" w:type="dxa"/>
            <w:tcBorders>
              <w:top w:val="nil"/>
              <w:left w:val="nil"/>
              <w:bottom w:val="nil"/>
              <w:right w:val="nil"/>
            </w:tcBorders>
            <w:shd w:val="clear" w:color="auto" w:fill="auto"/>
            <w:noWrap/>
            <w:hideMark/>
          </w:tcPr>
          <w:p w14:paraId="446763A3"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RACF</w:t>
            </w:r>
          </w:p>
        </w:tc>
        <w:tc>
          <w:tcPr>
            <w:tcW w:w="7064" w:type="dxa"/>
            <w:tcBorders>
              <w:top w:val="nil"/>
              <w:left w:val="nil"/>
              <w:bottom w:val="nil"/>
              <w:right w:val="nil"/>
            </w:tcBorders>
            <w:shd w:val="clear" w:color="auto" w:fill="auto"/>
            <w:noWrap/>
            <w:hideMark/>
          </w:tcPr>
          <w:p w14:paraId="4D66464C"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bCs/>
                <w:color w:val="000000"/>
                <w:sz w:val="20"/>
                <w:szCs w:val="20"/>
              </w:rPr>
              <w:t>Residential Aged Care Facilit</w:t>
            </w:r>
            <w:r w:rsidR="00933A58" w:rsidRPr="0098545C">
              <w:rPr>
                <w:rFonts w:ascii="Calibri" w:hAnsi="Calibri" w:cs="Calibri"/>
                <w:bCs/>
                <w:color w:val="000000"/>
                <w:sz w:val="20"/>
                <w:szCs w:val="20"/>
              </w:rPr>
              <w:t>y</w:t>
            </w:r>
          </w:p>
        </w:tc>
      </w:tr>
      <w:tr w:rsidR="00B624D7" w:rsidRPr="0098545C" w14:paraId="58AF8A2C" w14:textId="77777777" w:rsidTr="005405C5">
        <w:trPr>
          <w:trHeight w:val="300"/>
        </w:trPr>
        <w:tc>
          <w:tcPr>
            <w:tcW w:w="1809" w:type="dxa"/>
            <w:tcBorders>
              <w:top w:val="nil"/>
              <w:left w:val="nil"/>
              <w:bottom w:val="nil"/>
              <w:right w:val="nil"/>
            </w:tcBorders>
            <w:shd w:val="clear" w:color="auto" w:fill="auto"/>
            <w:noWrap/>
          </w:tcPr>
          <w:p w14:paraId="7457FC8D" w14:textId="6154A0B6" w:rsidR="00B624D7" w:rsidRPr="0098545C" w:rsidRDefault="00B624D7" w:rsidP="0098545C">
            <w:pPr>
              <w:spacing w:before="40" w:after="40"/>
              <w:rPr>
                <w:rFonts w:ascii="Calibri" w:hAnsi="Calibri" w:cs="Calibri"/>
                <w:color w:val="000000"/>
                <w:sz w:val="20"/>
                <w:szCs w:val="20"/>
              </w:rPr>
            </w:pPr>
            <w:r>
              <w:rPr>
                <w:rFonts w:ascii="Calibri" w:hAnsi="Calibri" w:cs="Calibri"/>
                <w:color w:val="000000"/>
                <w:sz w:val="20"/>
                <w:szCs w:val="20"/>
              </w:rPr>
              <w:t>RN</w:t>
            </w:r>
          </w:p>
        </w:tc>
        <w:tc>
          <w:tcPr>
            <w:tcW w:w="7064" w:type="dxa"/>
            <w:tcBorders>
              <w:top w:val="nil"/>
              <w:left w:val="nil"/>
              <w:bottom w:val="nil"/>
              <w:right w:val="nil"/>
            </w:tcBorders>
            <w:shd w:val="clear" w:color="auto" w:fill="auto"/>
            <w:noWrap/>
          </w:tcPr>
          <w:p w14:paraId="6E80A7BA" w14:textId="06A64115" w:rsidR="00B624D7" w:rsidRPr="0098545C" w:rsidRDefault="00B624D7" w:rsidP="0098545C">
            <w:pPr>
              <w:spacing w:before="40" w:after="40"/>
              <w:rPr>
                <w:rFonts w:ascii="Calibri" w:hAnsi="Calibri" w:cs="Calibri"/>
                <w:color w:val="000000"/>
                <w:sz w:val="20"/>
                <w:szCs w:val="20"/>
              </w:rPr>
            </w:pPr>
            <w:r>
              <w:rPr>
                <w:rFonts w:ascii="Calibri" w:hAnsi="Calibri" w:cs="Calibri"/>
                <w:color w:val="000000"/>
                <w:sz w:val="20"/>
                <w:szCs w:val="20"/>
              </w:rPr>
              <w:t>Registered nurse</w:t>
            </w:r>
          </w:p>
        </w:tc>
      </w:tr>
      <w:tr w:rsidR="00EF5D5E" w:rsidRPr="0098545C" w14:paraId="70E106D4" w14:textId="77777777" w:rsidTr="005405C5">
        <w:trPr>
          <w:trHeight w:val="300"/>
        </w:trPr>
        <w:tc>
          <w:tcPr>
            <w:tcW w:w="1809" w:type="dxa"/>
            <w:tcBorders>
              <w:top w:val="nil"/>
              <w:left w:val="nil"/>
              <w:bottom w:val="nil"/>
              <w:right w:val="nil"/>
            </w:tcBorders>
            <w:shd w:val="clear" w:color="auto" w:fill="auto"/>
            <w:noWrap/>
          </w:tcPr>
          <w:p w14:paraId="733F276A" w14:textId="569A0506" w:rsidR="00EF5D5E" w:rsidRPr="0098545C" w:rsidRDefault="00EF5D5E" w:rsidP="0098545C">
            <w:pPr>
              <w:spacing w:before="40" w:after="40"/>
              <w:rPr>
                <w:rFonts w:ascii="Calibri" w:hAnsi="Calibri" w:cs="Calibri"/>
                <w:color w:val="000000"/>
                <w:sz w:val="20"/>
                <w:szCs w:val="20"/>
              </w:rPr>
            </w:pPr>
            <w:r w:rsidRPr="0098545C">
              <w:rPr>
                <w:rFonts w:ascii="Calibri" w:hAnsi="Calibri" w:cs="Calibri"/>
                <w:color w:val="000000"/>
                <w:sz w:val="20"/>
                <w:szCs w:val="20"/>
              </w:rPr>
              <w:t>RUCS</w:t>
            </w:r>
          </w:p>
        </w:tc>
        <w:tc>
          <w:tcPr>
            <w:tcW w:w="7064" w:type="dxa"/>
            <w:tcBorders>
              <w:top w:val="nil"/>
              <w:left w:val="nil"/>
              <w:bottom w:val="nil"/>
              <w:right w:val="nil"/>
            </w:tcBorders>
            <w:shd w:val="clear" w:color="auto" w:fill="auto"/>
            <w:noWrap/>
          </w:tcPr>
          <w:p w14:paraId="58D7FBBA" w14:textId="3AE3FBB1" w:rsidR="00EF5D5E" w:rsidRPr="0098545C" w:rsidRDefault="00EF5D5E" w:rsidP="0098545C">
            <w:pPr>
              <w:spacing w:before="40" w:after="40"/>
              <w:rPr>
                <w:rFonts w:ascii="Calibri" w:hAnsi="Calibri" w:cs="Calibri"/>
                <w:color w:val="000000"/>
                <w:sz w:val="20"/>
                <w:szCs w:val="20"/>
              </w:rPr>
            </w:pPr>
            <w:r w:rsidRPr="0098545C">
              <w:rPr>
                <w:rFonts w:ascii="Calibri" w:hAnsi="Calibri" w:cs="Calibri"/>
                <w:color w:val="000000"/>
                <w:sz w:val="20"/>
                <w:szCs w:val="20"/>
              </w:rPr>
              <w:t>Resource Utilisation and Classification Study</w:t>
            </w:r>
          </w:p>
        </w:tc>
      </w:tr>
      <w:tr w:rsidR="00CB56BC" w:rsidRPr="0098545C" w14:paraId="65A124B7" w14:textId="77777777" w:rsidTr="005405C5">
        <w:trPr>
          <w:trHeight w:val="300"/>
        </w:trPr>
        <w:tc>
          <w:tcPr>
            <w:tcW w:w="1809" w:type="dxa"/>
            <w:tcBorders>
              <w:top w:val="nil"/>
              <w:left w:val="nil"/>
              <w:bottom w:val="nil"/>
              <w:right w:val="nil"/>
            </w:tcBorders>
            <w:shd w:val="clear" w:color="auto" w:fill="auto"/>
            <w:noWrap/>
            <w:hideMark/>
          </w:tcPr>
          <w:p w14:paraId="0B9F1BD8"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RVU</w:t>
            </w:r>
          </w:p>
        </w:tc>
        <w:tc>
          <w:tcPr>
            <w:tcW w:w="7064" w:type="dxa"/>
            <w:tcBorders>
              <w:top w:val="nil"/>
              <w:left w:val="nil"/>
              <w:bottom w:val="nil"/>
              <w:right w:val="nil"/>
            </w:tcBorders>
            <w:shd w:val="clear" w:color="auto" w:fill="auto"/>
            <w:noWrap/>
            <w:hideMark/>
          </w:tcPr>
          <w:p w14:paraId="71FBD82D" w14:textId="77777777" w:rsidR="00CB56BC" w:rsidRPr="0098545C" w:rsidRDefault="00CB56BC" w:rsidP="0098545C">
            <w:pPr>
              <w:spacing w:before="40" w:after="40"/>
              <w:rPr>
                <w:rFonts w:ascii="Calibri" w:hAnsi="Calibri" w:cs="Calibri"/>
                <w:color w:val="000000"/>
                <w:sz w:val="20"/>
                <w:szCs w:val="20"/>
              </w:rPr>
            </w:pPr>
            <w:r w:rsidRPr="0098545C">
              <w:rPr>
                <w:rFonts w:ascii="Calibri" w:hAnsi="Calibri" w:cs="Calibri"/>
                <w:color w:val="000000"/>
                <w:sz w:val="20"/>
                <w:szCs w:val="20"/>
              </w:rPr>
              <w:t>Relative Value Unit</w:t>
            </w:r>
          </w:p>
        </w:tc>
      </w:tr>
    </w:tbl>
    <w:p w14:paraId="0D2C1425" w14:textId="77777777" w:rsidR="004522F7" w:rsidRDefault="004522F7">
      <w:r>
        <w:br w:type="page"/>
      </w:r>
    </w:p>
    <w:p w14:paraId="73674E6C" w14:textId="49011438" w:rsidR="00E17993" w:rsidRDefault="004522F7" w:rsidP="00C06B51">
      <w:pPr>
        <w:pStyle w:val="Heading1"/>
        <w:numPr>
          <w:ilvl w:val="0"/>
          <w:numId w:val="0"/>
        </w:numPr>
      </w:pPr>
      <w:bookmarkStart w:id="14" w:name="_Toc952729"/>
      <w:r>
        <w:lastRenderedPageBreak/>
        <w:t>Glossary of Terms</w:t>
      </w:r>
      <w:bookmarkEnd w:id="14"/>
    </w:p>
    <w:p w14:paraId="497196CA" w14:textId="43B4BA74" w:rsidR="00626F44" w:rsidRPr="00626F44" w:rsidRDefault="00626F44" w:rsidP="004B6CB0"/>
    <w:tbl>
      <w:tblPr>
        <w:tblStyle w:val="TableGrid"/>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of Terms"/>
        <w:tblDescription w:val="This table is a list of terms used throughout the Resource Utilisation Classification Study (RUCS) report. This table is to be read left to right, top to bottom (term followed by description)."/>
      </w:tblPr>
      <w:tblGrid>
        <w:gridCol w:w="2739"/>
        <w:gridCol w:w="6477"/>
      </w:tblGrid>
      <w:tr w:rsidR="005567D1" w:rsidRPr="00433D5D" w14:paraId="7CDAC382" w14:textId="77777777" w:rsidTr="002206B3">
        <w:trPr>
          <w:tblHeader/>
        </w:trPr>
        <w:tc>
          <w:tcPr>
            <w:tcW w:w="1486" w:type="pct"/>
          </w:tcPr>
          <w:p w14:paraId="314DB823" w14:textId="47769A13" w:rsidR="005567D1" w:rsidRPr="00433D5D" w:rsidRDefault="005567D1" w:rsidP="005567D1">
            <w:pPr>
              <w:spacing w:beforeLines="40" w:before="96" w:afterLines="40" w:after="96" w:line="276" w:lineRule="auto"/>
              <w:rPr>
                <w:sz w:val="20"/>
                <w:szCs w:val="20"/>
              </w:rPr>
            </w:pPr>
            <w:r>
              <w:rPr>
                <w:b/>
                <w:sz w:val="20"/>
                <w:szCs w:val="20"/>
              </w:rPr>
              <w:t>Term</w:t>
            </w:r>
          </w:p>
        </w:tc>
        <w:tc>
          <w:tcPr>
            <w:tcW w:w="3514" w:type="pct"/>
          </w:tcPr>
          <w:p w14:paraId="0D9DE159" w14:textId="2C01A5F1" w:rsidR="005567D1" w:rsidRDefault="005567D1" w:rsidP="005567D1">
            <w:pPr>
              <w:spacing w:beforeLines="40" w:before="96" w:afterLines="40" w:after="96" w:line="276" w:lineRule="auto"/>
              <w:rPr>
                <w:sz w:val="20"/>
                <w:szCs w:val="20"/>
              </w:rPr>
            </w:pPr>
            <w:r>
              <w:rPr>
                <w:b/>
                <w:sz w:val="20"/>
                <w:szCs w:val="20"/>
              </w:rPr>
              <w:t>Description</w:t>
            </w:r>
          </w:p>
        </w:tc>
      </w:tr>
      <w:tr w:rsidR="005567D1" w:rsidRPr="00433D5D" w14:paraId="39C9D5BB" w14:textId="77777777" w:rsidTr="00E3695E">
        <w:tc>
          <w:tcPr>
            <w:tcW w:w="1486" w:type="pct"/>
          </w:tcPr>
          <w:p w14:paraId="2681C527" w14:textId="77777777" w:rsidR="005567D1" w:rsidRPr="00433D5D" w:rsidRDefault="005567D1" w:rsidP="005567D1">
            <w:pPr>
              <w:spacing w:beforeLines="40" w:before="96" w:afterLines="40" w:after="96" w:line="276" w:lineRule="auto"/>
              <w:rPr>
                <w:sz w:val="20"/>
                <w:szCs w:val="20"/>
              </w:rPr>
            </w:pPr>
            <w:r w:rsidRPr="00433D5D">
              <w:rPr>
                <w:sz w:val="20"/>
                <w:szCs w:val="20"/>
              </w:rPr>
              <w:t>Aged Care Funding Instrument</w:t>
            </w:r>
            <w:r>
              <w:rPr>
                <w:sz w:val="20"/>
                <w:szCs w:val="20"/>
              </w:rPr>
              <w:t xml:space="preserve"> (ACFI)</w:t>
            </w:r>
          </w:p>
        </w:tc>
        <w:tc>
          <w:tcPr>
            <w:tcW w:w="3514" w:type="pct"/>
          </w:tcPr>
          <w:p w14:paraId="5B753046" w14:textId="77777777" w:rsidR="005567D1" w:rsidRPr="00433D5D" w:rsidRDefault="005567D1" w:rsidP="005567D1">
            <w:pPr>
              <w:spacing w:beforeLines="40" w:before="96" w:afterLines="40" w:after="96" w:line="276" w:lineRule="auto"/>
              <w:rPr>
                <w:sz w:val="20"/>
                <w:szCs w:val="20"/>
              </w:rPr>
            </w:pPr>
            <w:r>
              <w:rPr>
                <w:sz w:val="20"/>
                <w:szCs w:val="20"/>
              </w:rPr>
              <w:t>The existing</w:t>
            </w:r>
            <w:r w:rsidRPr="00433D5D">
              <w:rPr>
                <w:sz w:val="20"/>
                <w:szCs w:val="20"/>
              </w:rPr>
              <w:t xml:space="preserve"> </w:t>
            </w:r>
            <w:r>
              <w:rPr>
                <w:sz w:val="20"/>
                <w:szCs w:val="20"/>
              </w:rPr>
              <w:t>resource allocation instrument used to determine care subsidies in Australian residential aged care.</w:t>
            </w:r>
          </w:p>
        </w:tc>
      </w:tr>
      <w:tr w:rsidR="005567D1" w:rsidRPr="00433D5D" w14:paraId="1D795CB9" w14:textId="77777777" w:rsidTr="00E3695E">
        <w:tc>
          <w:tcPr>
            <w:tcW w:w="1486" w:type="pct"/>
          </w:tcPr>
          <w:p w14:paraId="5998BC97" w14:textId="56DE3CFF" w:rsidR="005567D1" w:rsidRPr="00433D5D" w:rsidRDefault="005567D1" w:rsidP="005567D1">
            <w:pPr>
              <w:spacing w:beforeLines="40" w:before="96" w:afterLines="40" w:after="96" w:line="276" w:lineRule="auto"/>
              <w:rPr>
                <w:sz w:val="20"/>
                <w:szCs w:val="20"/>
              </w:rPr>
            </w:pPr>
            <w:r>
              <w:rPr>
                <w:sz w:val="20"/>
                <w:szCs w:val="20"/>
              </w:rPr>
              <w:t>Australian National Aged Care Classification (AN-ACC) system</w:t>
            </w:r>
          </w:p>
        </w:tc>
        <w:tc>
          <w:tcPr>
            <w:tcW w:w="3514" w:type="pct"/>
          </w:tcPr>
          <w:p w14:paraId="5387D814" w14:textId="26D6E6AB" w:rsidR="005567D1" w:rsidRDefault="005567D1" w:rsidP="005567D1">
            <w:pPr>
              <w:spacing w:beforeLines="40" w:before="96" w:afterLines="40" w:after="96" w:line="276" w:lineRule="auto"/>
              <w:rPr>
                <w:sz w:val="20"/>
                <w:szCs w:val="20"/>
              </w:rPr>
            </w:pPr>
            <w:r>
              <w:rPr>
                <w:sz w:val="20"/>
                <w:szCs w:val="20"/>
              </w:rPr>
              <w:t>C</w:t>
            </w:r>
            <w:r w:rsidRPr="000D56A8">
              <w:rPr>
                <w:sz w:val="20"/>
                <w:szCs w:val="20"/>
              </w:rPr>
              <w:t xml:space="preserve">onsists of the AN-ACC assessment, AN-ACC </w:t>
            </w:r>
            <w:r>
              <w:rPr>
                <w:sz w:val="20"/>
                <w:szCs w:val="20"/>
              </w:rPr>
              <w:t xml:space="preserve">casemix </w:t>
            </w:r>
            <w:r w:rsidRPr="000D56A8">
              <w:rPr>
                <w:sz w:val="20"/>
                <w:szCs w:val="20"/>
              </w:rPr>
              <w:t xml:space="preserve">classification and </w:t>
            </w:r>
            <w:r>
              <w:rPr>
                <w:sz w:val="20"/>
                <w:szCs w:val="20"/>
              </w:rPr>
              <w:t xml:space="preserve">AN-ACC </w:t>
            </w:r>
            <w:r w:rsidRPr="000D56A8">
              <w:rPr>
                <w:sz w:val="20"/>
                <w:szCs w:val="20"/>
              </w:rPr>
              <w:t>funding model</w:t>
            </w:r>
            <w:r>
              <w:rPr>
                <w:sz w:val="20"/>
                <w:szCs w:val="20"/>
              </w:rPr>
              <w:t>.</w:t>
            </w:r>
          </w:p>
        </w:tc>
      </w:tr>
      <w:tr w:rsidR="005567D1" w:rsidRPr="00433D5D" w14:paraId="0367D025" w14:textId="77777777" w:rsidTr="00E3695E">
        <w:tc>
          <w:tcPr>
            <w:tcW w:w="1486" w:type="pct"/>
          </w:tcPr>
          <w:p w14:paraId="112FA182" w14:textId="77777777" w:rsidR="005567D1" w:rsidRPr="00B55D63" w:rsidRDefault="005567D1" w:rsidP="005567D1">
            <w:pPr>
              <w:spacing w:beforeLines="40" w:before="96" w:afterLines="40" w:after="96" w:line="276" w:lineRule="auto"/>
              <w:rPr>
                <w:sz w:val="20"/>
                <w:szCs w:val="20"/>
              </w:rPr>
            </w:pPr>
            <w:r w:rsidRPr="00B55D63">
              <w:rPr>
                <w:sz w:val="20"/>
                <w:szCs w:val="20"/>
              </w:rPr>
              <w:t>Casemix</w:t>
            </w:r>
          </w:p>
        </w:tc>
        <w:tc>
          <w:tcPr>
            <w:tcW w:w="3514" w:type="pct"/>
          </w:tcPr>
          <w:p w14:paraId="6B53A82E" w14:textId="3B869164" w:rsidR="005567D1" w:rsidRPr="00B55D63" w:rsidRDefault="005567D1" w:rsidP="005567D1">
            <w:pPr>
              <w:spacing w:beforeLines="40" w:before="96" w:afterLines="40" w:after="96" w:line="276" w:lineRule="auto"/>
              <w:rPr>
                <w:sz w:val="20"/>
                <w:szCs w:val="20"/>
              </w:rPr>
            </w:pPr>
            <w:r w:rsidRPr="00B55D63">
              <w:rPr>
                <w:sz w:val="20"/>
                <w:szCs w:val="20"/>
              </w:rPr>
              <w:t>A system that allocates service recipients into</w:t>
            </w:r>
            <w:r>
              <w:rPr>
                <w:sz w:val="20"/>
                <w:szCs w:val="20"/>
              </w:rPr>
              <w:t xml:space="preserve"> classes</w:t>
            </w:r>
            <w:r w:rsidRPr="00B55D63">
              <w:rPr>
                <w:sz w:val="20"/>
                <w:szCs w:val="20"/>
              </w:rPr>
              <w:t>. Care recipients within a class will have similar clinical attributes and their care will involve similar levels of resource consumption.</w:t>
            </w:r>
          </w:p>
        </w:tc>
      </w:tr>
      <w:tr w:rsidR="005567D1" w:rsidRPr="00433D5D" w14:paraId="50F7C833" w14:textId="77777777" w:rsidTr="00E3695E">
        <w:tc>
          <w:tcPr>
            <w:tcW w:w="1486" w:type="pct"/>
          </w:tcPr>
          <w:p w14:paraId="40A8D06A" w14:textId="77777777" w:rsidR="005567D1" w:rsidRPr="00433D5D" w:rsidRDefault="005567D1" w:rsidP="005567D1">
            <w:pPr>
              <w:spacing w:beforeLines="40" w:before="96" w:afterLines="40" w:after="96" w:line="276" w:lineRule="auto"/>
              <w:rPr>
                <w:sz w:val="20"/>
                <w:szCs w:val="20"/>
              </w:rPr>
            </w:pPr>
            <w:r>
              <w:rPr>
                <w:sz w:val="20"/>
                <w:szCs w:val="20"/>
              </w:rPr>
              <w:t xml:space="preserve">Coefficient of variation (CV) </w:t>
            </w:r>
          </w:p>
        </w:tc>
        <w:tc>
          <w:tcPr>
            <w:tcW w:w="3514" w:type="pct"/>
          </w:tcPr>
          <w:p w14:paraId="27505C75" w14:textId="77777777" w:rsidR="005567D1" w:rsidRPr="00433D5D" w:rsidRDefault="005567D1" w:rsidP="005567D1">
            <w:pPr>
              <w:spacing w:beforeLines="40" w:before="96" w:afterLines="40" w:after="96" w:line="276" w:lineRule="auto"/>
              <w:rPr>
                <w:sz w:val="20"/>
                <w:szCs w:val="20"/>
              </w:rPr>
            </w:pPr>
            <w:r>
              <w:rPr>
                <w:sz w:val="20"/>
                <w:szCs w:val="20"/>
              </w:rPr>
              <w:t>A statistical measure of homogeneity within a group. This is calculated as the standard deviation divided by the mean (x 100) and in casemix systems is usually measured for care costs or care time. A low CV is a measure of good homogeneity within a class.</w:t>
            </w:r>
          </w:p>
        </w:tc>
      </w:tr>
      <w:tr w:rsidR="005567D1" w:rsidRPr="00433D5D" w14:paraId="284F52B2" w14:textId="77777777" w:rsidTr="00E3695E">
        <w:tc>
          <w:tcPr>
            <w:tcW w:w="1486" w:type="pct"/>
          </w:tcPr>
          <w:p w14:paraId="4CC8223F" w14:textId="77777777" w:rsidR="005567D1" w:rsidRPr="00433D5D" w:rsidRDefault="005567D1" w:rsidP="005567D1">
            <w:pPr>
              <w:spacing w:beforeLines="40" w:before="96" w:afterLines="40" w:after="96" w:line="276" w:lineRule="auto"/>
              <w:rPr>
                <w:sz w:val="20"/>
                <w:szCs w:val="20"/>
              </w:rPr>
            </w:pPr>
            <w:r>
              <w:rPr>
                <w:sz w:val="20"/>
                <w:szCs w:val="20"/>
              </w:rPr>
              <w:t>Corporate costs</w:t>
            </w:r>
          </w:p>
        </w:tc>
        <w:tc>
          <w:tcPr>
            <w:tcW w:w="3514" w:type="pct"/>
          </w:tcPr>
          <w:p w14:paraId="34D69CEF" w14:textId="77777777" w:rsidR="005567D1" w:rsidRPr="00433D5D" w:rsidRDefault="005567D1" w:rsidP="005567D1">
            <w:pPr>
              <w:spacing w:beforeLines="40" w:before="96" w:afterLines="40" w:after="96" w:line="276" w:lineRule="auto"/>
              <w:rPr>
                <w:sz w:val="20"/>
                <w:szCs w:val="20"/>
              </w:rPr>
            </w:pPr>
            <w:r>
              <w:rPr>
                <w:sz w:val="20"/>
                <w:szCs w:val="20"/>
              </w:rPr>
              <w:t>The costs of the corporate operations of the organisation or the ‘head office’ operations. These include executive functions, finance, human resources and payroll services and information technology.</w:t>
            </w:r>
          </w:p>
        </w:tc>
      </w:tr>
      <w:tr w:rsidR="005567D1" w:rsidRPr="00433D5D" w14:paraId="52C0222C" w14:textId="77777777" w:rsidTr="00E3695E">
        <w:tc>
          <w:tcPr>
            <w:tcW w:w="1486" w:type="pct"/>
          </w:tcPr>
          <w:p w14:paraId="0624304A" w14:textId="77777777" w:rsidR="005567D1" w:rsidRDefault="005567D1" w:rsidP="005567D1">
            <w:pPr>
              <w:spacing w:beforeLines="40" w:before="96" w:afterLines="40" w:after="96" w:line="276" w:lineRule="auto"/>
              <w:rPr>
                <w:sz w:val="20"/>
                <w:szCs w:val="20"/>
              </w:rPr>
            </w:pPr>
            <w:r>
              <w:rPr>
                <w:sz w:val="20"/>
                <w:szCs w:val="20"/>
              </w:rPr>
              <w:t>Fixed care costs</w:t>
            </w:r>
          </w:p>
        </w:tc>
        <w:tc>
          <w:tcPr>
            <w:tcW w:w="3514" w:type="pct"/>
          </w:tcPr>
          <w:p w14:paraId="355D2E25" w14:textId="48C2466F" w:rsidR="005567D1" w:rsidRDefault="005567D1" w:rsidP="005567D1">
            <w:pPr>
              <w:spacing w:beforeLines="40" w:before="96" w:afterLines="40" w:after="96" w:line="276" w:lineRule="auto"/>
              <w:rPr>
                <w:sz w:val="20"/>
                <w:szCs w:val="20"/>
              </w:rPr>
            </w:pPr>
            <w:r>
              <w:rPr>
                <w:sz w:val="20"/>
                <w:szCs w:val="20"/>
              </w:rPr>
              <w:t>The costs of care-related services that are not driven by the care needs of individual residents but by care costs consumed equally by all residents plus facility characteristics. These include the costs of shared care and a proportion of the costs of facility management, care co-ordination, administration and education. In a blended funding model these costs are funded through a fixed payment per day for each facility type.</w:t>
            </w:r>
          </w:p>
        </w:tc>
      </w:tr>
      <w:tr w:rsidR="005567D1" w:rsidRPr="00433D5D" w14:paraId="1502D6AA" w14:textId="77777777" w:rsidTr="00E3695E">
        <w:tc>
          <w:tcPr>
            <w:tcW w:w="1486" w:type="pct"/>
          </w:tcPr>
          <w:p w14:paraId="2FEBDEEE" w14:textId="77777777" w:rsidR="005567D1" w:rsidRDefault="005567D1" w:rsidP="005567D1">
            <w:pPr>
              <w:spacing w:beforeLines="40" w:before="96" w:afterLines="40" w:after="96" w:line="276" w:lineRule="auto"/>
              <w:rPr>
                <w:sz w:val="20"/>
                <w:szCs w:val="20"/>
              </w:rPr>
            </w:pPr>
            <w:r>
              <w:rPr>
                <w:sz w:val="20"/>
                <w:szCs w:val="20"/>
              </w:rPr>
              <w:t>Hotel costs</w:t>
            </w:r>
          </w:p>
        </w:tc>
        <w:tc>
          <w:tcPr>
            <w:tcW w:w="3514" w:type="pct"/>
          </w:tcPr>
          <w:p w14:paraId="06D42E5A" w14:textId="37BD1E9A" w:rsidR="005567D1" w:rsidRPr="00433D5D" w:rsidRDefault="005567D1" w:rsidP="005567D1">
            <w:pPr>
              <w:spacing w:beforeLines="40" w:before="96" w:afterLines="40" w:after="96" w:line="276" w:lineRule="auto"/>
              <w:rPr>
                <w:sz w:val="20"/>
                <w:szCs w:val="20"/>
              </w:rPr>
            </w:pPr>
            <w:r>
              <w:rPr>
                <w:sz w:val="20"/>
                <w:szCs w:val="20"/>
              </w:rPr>
              <w:t>The non-care related costs of providing accommodation within an aged care facility. These include catering, cleaning, laundry, maintenance and utilities. Hotel costs are out of scope for this analysis.</w:t>
            </w:r>
          </w:p>
        </w:tc>
      </w:tr>
      <w:tr w:rsidR="005567D1" w:rsidRPr="00433D5D" w14:paraId="1E9D407D" w14:textId="77777777" w:rsidTr="00E3695E">
        <w:tc>
          <w:tcPr>
            <w:tcW w:w="1486" w:type="pct"/>
          </w:tcPr>
          <w:p w14:paraId="28F1F26E" w14:textId="77777777" w:rsidR="005567D1" w:rsidRDefault="005567D1" w:rsidP="005567D1">
            <w:pPr>
              <w:spacing w:beforeLines="40" w:before="96" w:afterLines="40" w:after="96" w:line="276" w:lineRule="auto"/>
              <w:rPr>
                <w:sz w:val="20"/>
                <w:szCs w:val="20"/>
              </w:rPr>
            </w:pPr>
            <w:r>
              <w:rPr>
                <w:sz w:val="20"/>
                <w:szCs w:val="20"/>
              </w:rPr>
              <w:t>Individual care</w:t>
            </w:r>
          </w:p>
        </w:tc>
        <w:tc>
          <w:tcPr>
            <w:tcW w:w="3514" w:type="pct"/>
          </w:tcPr>
          <w:p w14:paraId="64EE220D" w14:textId="0C65A4E7" w:rsidR="005567D1" w:rsidRDefault="005567D1" w:rsidP="005567D1">
            <w:pPr>
              <w:spacing w:beforeLines="40" w:before="96" w:afterLines="40" w:after="96" w:line="276" w:lineRule="auto"/>
              <w:rPr>
                <w:sz w:val="20"/>
                <w:szCs w:val="20"/>
              </w:rPr>
            </w:pPr>
            <w:r>
              <w:rPr>
                <w:sz w:val="20"/>
                <w:szCs w:val="20"/>
              </w:rPr>
              <w:t>Care that is is tailored to the needs of an individual resident. Differences in individual care time between residents are likely to be associated with differences in assessed function, cognition, behaviour and health status.</w:t>
            </w:r>
          </w:p>
        </w:tc>
      </w:tr>
      <w:tr w:rsidR="005567D1" w:rsidRPr="00433D5D" w14:paraId="3333E292" w14:textId="77777777" w:rsidTr="00E3695E">
        <w:tc>
          <w:tcPr>
            <w:tcW w:w="1486" w:type="pct"/>
          </w:tcPr>
          <w:p w14:paraId="11BFC73E" w14:textId="77777777" w:rsidR="005567D1" w:rsidRDefault="005567D1" w:rsidP="005567D1">
            <w:pPr>
              <w:spacing w:beforeLines="40" w:before="96" w:afterLines="40" w:after="96" w:line="276" w:lineRule="auto"/>
              <w:rPr>
                <w:sz w:val="20"/>
                <w:szCs w:val="20"/>
              </w:rPr>
            </w:pPr>
            <w:r>
              <w:rPr>
                <w:sz w:val="20"/>
                <w:szCs w:val="20"/>
              </w:rPr>
              <w:t>Modified Monash Model</w:t>
            </w:r>
          </w:p>
        </w:tc>
        <w:tc>
          <w:tcPr>
            <w:tcW w:w="3514" w:type="pct"/>
          </w:tcPr>
          <w:p w14:paraId="054B421C" w14:textId="77777777" w:rsidR="005567D1" w:rsidRDefault="005567D1" w:rsidP="005567D1">
            <w:pPr>
              <w:spacing w:beforeLines="40" w:before="96" w:afterLines="40" w:after="96" w:line="276" w:lineRule="auto"/>
              <w:rPr>
                <w:sz w:val="20"/>
                <w:szCs w:val="20"/>
              </w:rPr>
            </w:pPr>
            <w:r>
              <w:rPr>
                <w:sz w:val="20"/>
                <w:szCs w:val="20"/>
              </w:rPr>
              <w:t>A geographical classification system based on population data that categorises metropolitan, regional, rural and remote into seven levels according to geographical remoteness and town size.</w:t>
            </w:r>
          </w:p>
        </w:tc>
      </w:tr>
      <w:tr w:rsidR="005567D1" w:rsidRPr="00433D5D" w14:paraId="43D3FCC2" w14:textId="77777777" w:rsidTr="00E3695E">
        <w:tc>
          <w:tcPr>
            <w:tcW w:w="1486" w:type="pct"/>
          </w:tcPr>
          <w:p w14:paraId="788E063F" w14:textId="206EBFB3" w:rsidR="005567D1" w:rsidRPr="00433D5D" w:rsidRDefault="005567D1" w:rsidP="005567D1">
            <w:pPr>
              <w:spacing w:beforeLines="40" w:before="96" w:afterLines="40" w:after="96" w:line="276" w:lineRule="auto"/>
              <w:rPr>
                <w:sz w:val="20"/>
                <w:szCs w:val="20"/>
              </w:rPr>
            </w:pPr>
            <w:r w:rsidRPr="009F3545">
              <w:rPr>
                <w:rFonts w:ascii="Calibri" w:hAnsi="Calibri" w:cs="Calibri"/>
                <w:sz w:val="20"/>
                <w:szCs w:val="20"/>
              </w:rPr>
              <w:t>National Weighted Activity Unit (NWAU)</w:t>
            </w:r>
          </w:p>
        </w:tc>
        <w:tc>
          <w:tcPr>
            <w:tcW w:w="3514" w:type="pct"/>
          </w:tcPr>
          <w:p w14:paraId="7B92A514" w14:textId="27258312" w:rsidR="005567D1" w:rsidRPr="00433D5D" w:rsidRDefault="005567D1" w:rsidP="005567D1">
            <w:pPr>
              <w:spacing w:beforeLines="40" w:before="96" w:afterLines="40" w:after="96" w:line="276" w:lineRule="auto"/>
              <w:rPr>
                <w:sz w:val="20"/>
                <w:szCs w:val="20"/>
              </w:rPr>
            </w:pPr>
            <w:r w:rsidRPr="009F3545">
              <w:rPr>
                <w:rFonts w:ascii="Calibri" w:hAnsi="Calibri" w:cs="Calibri"/>
                <w:sz w:val="20"/>
                <w:szCs w:val="20"/>
              </w:rPr>
              <w:t>In the context of this study, a measure of relative price. An NWAU of 1.2 means that the price of the activity is 20% above the national average. An NWAU of 0.5 means that the price is 50% below national average.</w:t>
            </w:r>
          </w:p>
        </w:tc>
      </w:tr>
      <w:tr w:rsidR="005567D1" w:rsidRPr="00433D5D" w14:paraId="7B5C81BF" w14:textId="77777777" w:rsidTr="00E3695E">
        <w:tc>
          <w:tcPr>
            <w:tcW w:w="1486" w:type="pct"/>
          </w:tcPr>
          <w:p w14:paraId="6887CFEE" w14:textId="77777777" w:rsidR="005567D1" w:rsidRPr="00433D5D" w:rsidRDefault="005567D1" w:rsidP="005567D1">
            <w:pPr>
              <w:spacing w:beforeLines="40" w:before="96" w:afterLines="40" w:after="96" w:line="276" w:lineRule="auto"/>
              <w:rPr>
                <w:sz w:val="20"/>
                <w:szCs w:val="20"/>
              </w:rPr>
            </w:pPr>
            <w:r w:rsidRPr="00433D5D">
              <w:rPr>
                <w:sz w:val="20"/>
                <w:szCs w:val="20"/>
              </w:rPr>
              <w:t>Permanent resident</w:t>
            </w:r>
          </w:p>
        </w:tc>
        <w:tc>
          <w:tcPr>
            <w:tcW w:w="3514" w:type="pct"/>
          </w:tcPr>
          <w:p w14:paraId="3D40D5F2" w14:textId="77777777" w:rsidR="005567D1" w:rsidRPr="00433D5D" w:rsidRDefault="005567D1" w:rsidP="005567D1">
            <w:pPr>
              <w:spacing w:beforeLines="40" w:before="96" w:afterLines="40" w:after="96" w:line="276" w:lineRule="auto"/>
              <w:rPr>
                <w:sz w:val="20"/>
                <w:szCs w:val="20"/>
              </w:rPr>
            </w:pPr>
            <w:r w:rsidRPr="00433D5D">
              <w:rPr>
                <w:sz w:val="20"/>
                <w:szCs w:val="20"/>
              </w:rPr>
              <w:t>A person who enters residential aged care as their o</w:t>
            </w:r>
            <w:r>
              <w:rPr>
                <w:sz w:val="20"/>
                <w:szCs w:val="20"/>
              </w:rPr>
              <w:t xml:space="preserve">ngoing </w:t>
            </w:r>
            <w:r w:rsidRPr="00433D5D">
              <w:rPr>
                <w:sz w:val="20"/>
                <w:szCs w:val="20"/>
              </w:rPr>
              <w:t>place of residence.</w:t>
            </w:r>
          </w:p>
        </w:tc>
      </w:tr>
      <w:tr w:rsidR="005567D1" w:rsidRPr="00433D5D" w14:paraId="0B07C53A" w14:textId="77777777" w:rsidTr="00E3695E">
        <w:tc>
          <w:tcPr>
            <w:tcW w:w="1486" w:type="pct"/>
          </w:tcPr>
          <w:p w14:paraId="26EA7E9D" w14:textId="77777777" w:rsidR="005567D1" w:rsidRPr="00433D5D" w:rsidRDefault="005567D1" w:rsidP="005567D1">
            <w:pPr>
              <w:spacing w:beforeLines="40" w:before="96" w:afterLines="40" w:after="96" w:line="276" w:lineRule="auto"/>
              <w:rPr>
                <w:sz w:val="20"/>
                <w:szCs w:val="20"/>
              </w:rPr>
            </w:pPr>
            <w:r>
              <w:rPr>
                <w:sz w:val="20"/>
                <w:szCs w:val="20"/>
              </w:rPr>
              <w:t>Relative Value Unit (RVU)</w:t>
            </w:r>
          </w:p>
        </w:tc>
        <w:tc>
          <w:tcPr>
            <w:tcW w:w="3514" w:type="pct"/>
          </w:tcPr>
          <w:p w14:paraId="0D081B30" w14:textId="2AC0E8CC" w:rsidR="005567D1" w:rsidRPr="00433D5D" w:rsidRDefault="005567D1" w:rsidP="005567D1">
            <w:pPr>
              <w:spacing w:beforeLines="40" w:before="96" w:afterLines="40" w:after="96" w:line="276" w:lineRule="auto"/>
              <w:rPr>
                <w:sz w:val="20"/>
                <w:szCs w:val="20"/>
              </w:rPr>
            </w:pPr>
            <w:r w:rsidRPr="009F3545">
              <w:rPr>
                <w:rFonts w:ascii="Calibri" w:hAnsi="Calibri" w:cs="Calibri"/>
                <w:sz w:val="20"/>
                <w:szCs w:val="20"/>
              </w:rPr>
              <w:t xml:space="preserve">In the context of this study, a measure of relative resource consumption (staff time or dollars). An RVU of 1.2 means that the cost is 20% above the </w:t>
            </w:r>
            <w:r w:rsidRPr="009F3545">
              <w:rPr>
                <w:rFonts w:ascii="Calibri" w:hAnsi="Calibri" w:cs="Calibri"/>
                <w:sz w:val="20"/>
                <w:szCs w:val="20"/>
              </w:rPr>
              <w:lastRenderedPageBreak/>
              <w:t xml:space="preserve">national average. An RVU </w:t>
            </w:r>
            <w:r>
              <w:rPr>
                <w:rFonts w:ascii="Calibri" w:hAnsi="Calibri" w:cs="Calibri"/>
                <w:sz w:val="20"/>
                <w:szCs w:val="20"/>
              </w:rPr>
              <w:t xml:space="preserve">of </w:t>
            </w:r>
            <w:r w:rsidRPr="009F3545">
              <w:rPr>
                <w:rFonts w:ascii="Calibri" w:hAnsi="Calibri" w:cs="Calibri"/>
                <w:sz w:val="20"/>
                <w:szCs w:val="20"/>
              </w:rPr>
              <w:t>0.5 means that the cost is 50% below national average.</w:t>
            </w:r>
          </w:p>
        </w:tc>
      </w:tr>
      <w:tr w:rsidR="005567D1" w:rsidRPr="00433D5D" w14:paraId="4D9CEE02" w14:textId="77777777" w:rsidTr="00E3695E">
        <w:tc>
          <w:tcPr>
            <w:tcW w:w="1486" w:type="pct"/>
          </w:tcPr>
          <w:p w14:paraId="4425EBCE" w14:textId="77777777" w:rsidR="005567D1" w:rsidRPr="00433D5D" w:rsidRDefault="005567D1" w:rsidP="005567D1">
            <w:pPr>
              <w:spacing w:beforeLines="40" w:before="96" w:afterLines="40" w:after="96" w:line="276" w:lineRule="auto"/>
              <w:rPr>
                <w:sz w:val="20"/>
                <w:szCs w:val="20"/>
              </w:rPr>
            </w:pPr>
            <w:r w:rsidRPr="00433D5D">
              <w:rPr>
                <w:sz w:val="20"/>
                <w:szCs w:val="20"/>
              </w:rPr>
              <w:lastRenderedPageBreak/>
              <w:t>Residential aged care</w:t>
            </w:r>
          </w:p>
        </w:tc>
        <w:tc>
          <w:tcPr>
            <w:tcW w:w="3514" w:type="pct"/>
          </w:tcPr>
          <w:p w14:paraId="7DD41E57" w14:textId="5602DE0C" w:rsidR="005567D1" w:rsidRPr="00433D5D" w:rsidRDefault="005567D1" w:rsidP="005567D1">
            <w:pPr>
              <w:spacing w:beforeLines="40" w:before="96" w:afterLines="40" w:after="96" w:line="276" w:lineRule="auto"/>
              <w:rPr>
                <w:sz w:val="20"/>
                <w:szCs w:val="20"/>
              </w:rPr>
            </w:pPr>
            <w:r w:rsidRPr="00433D5D">
              <w:rPr>
                <w:sz w:val="20"/>
                <w:szCs w:val="20"/>
              </w:rPr>
              <w:t>Personal and/or nursing care that is provided to a person in a residential aged care service</w:t>
            </w:r>
            <w:r>
              <w:rPr>
                <w:sz w:val="20"/>
                <w:szCs w:val="20"/>
              </w:rPr>
              <w:t xml:space="preserve">. In addition to care, the </w:t>
            </w:r>
            <w:r w:rsidRPr="00433D5D">
              <w:rPr>
                <w:sz w:val="20"/>
                <w:szCs w:val="20"/>
              </w:rPr>
              <w:t>person is also provided with accommodation that includes meals, cleaning services, furniture and equipment. The residential aged care service must meet certain building standards and appropriate staffing in supplying the provision of that care and accommodation.</w:t>
            </w:r>
          </w:p>
        </w:tc>
      </w:tr>
      <w:tr w:rsidR="005567D1" w:rsidRPr="00433D5D" w14:paraId="705387AA" w14:textId="77777777" w:rsidTr="00E3695E">
        <w:tc>
          <w:tcPr>
            <w:tcW w:w="1486" w:type="pct"/>
          </w:tcPr>
          <w:p w14:paraId="1863AD0D" w14:textId="77777777" w:rsidR="005567D1" w:rsidRPr="00433D5D" w:rsidRDefault="005567D1" w:rsidP="005567D1">
            <w:pPr>
              <w:spacing w:beforeLines="40" w:before="96" w:afterLines="40" w:after="96" w:line="276" w:lineRule="auto"/>
              <w:rPr>
                <w:sz w:val="20"/>
                <w:szCs w:val="20"/>
              </w:rPr>
            </w:pPr>
            <w:r>
              <w:rPr>
                <w:sz w:val="20"/>
                <w:szCs w:val="20"/>
              </w:rPr>
              <w:t>Respite care</w:t>
            </w:r>
          </w:p>
        </w:tc>
        <w:tc>
          <w:tcPr>
            <w:tcW w:w="3514" w:type="pct"/>
          </w:tcPr>
          <w:p w14:paraId="42F29BE5" w14:textId="5BA7B78B" w:rsidR="005567D1" w:rsidRPr="00433D5D" w:rsidRDefault="005567D1" w:rsidP="005567D1">
            <w:pPr>
              <w:spacing w:beforeLines="40" w:before="96" w:afterLines="40" w:after="96" w:line="276" w:lineRule="auto"/>
              <w:rPr>
                <w:sz w:val="20"/>
                <w:szCs w:val="20"/>
              </w:rPr>
            </w:pPr>
            <w:r>
              <w:rPr>
                <w:sz w:val="20"/>
                <w:szCs w:val="20"/>
              </w:rPr>
              <w:t>S</w:t>
            </w:r>
            <w:r w:rsidRPr="00B55D63">
              <w:rPr>
                <w:sz w:val="20"/>
                <w:szCs w:val="20"/>
              </w:rPr>
              <w:t>hort term care for a person within a residential care facility for short periods of time on a once-off or regular basis. The main purpose of respite is to provide relief for the usual carer</w:t>
            </w:r>
            <w:r>
              <w:rPr>
                <w:sz w:val="20"/>
                <w:szCs w:val="20"/>
              </w:rPr>
              <w:t>.</w:t>
            </w:r>
          </w:p>
        </w:tc>
      </w:tr>
      <w:tr w:rsidR="005567D1" w:rsidRPr="00433D5D" w14:paraId="0BFDE2AA" w14:textId="77777777" w:rsidTr="00E3695E">
        <w:tc>
          <w:tcPr>
            <w:tcW w:w="1486" w:type="pct"/>
          </w:tcPr>
          <w:p w14:paraId="4F887F0A" w14:textId="77777777" w:rsidR="005567D1" w:rsidRPr="00B55D63" w:rsidRDefault="005567D1" w:rsidP="005567D1">
            <w:pPr>
              <w:spacing w:beforeLines="40" w:before="96" w:afterLines="40" w:after="96" w:line="276" w:lineRule="auto"/>
              <w:rPr>
                <w:sz w:val="20"/>
                <w:szCs w:val="20"/>
              </w:rPr>
            </w:pPr>
            <w:r w:rsidRPr="00B55D63">
              <w:rPr>
                <w:sz w:val="20"/>
                <w:szCs w:val="20"/>
              </w:rPr>
              <w:t>Shared care</w:t>
            </w:r>
          </w:p>
        </w:tc>
        <w:tc>
          <w:tcPr>
            <w:tcW w:w="3514" w:type="pct"/>
          </w:tcPr>
          <w:p w14:paraId="427E8D42" w14:textId="77777777" w:rsidR="005567D1" w:rsidRDefault="005567D1" w:rsidP="005567D1">
            <w:pPr>
              <w:spacing w:beforeLines="40" w:before="96" w:afterLines="40" w:after="96" w:line="276" w:lineRule="auto"/>
              <w:rPr>
                <w:sz w:val="20"/>
                <w:szCs w:val="20"/>
              </w:rPr>
            </w:pPr>
            <w:r>
              <w:rPr>
                <w:sz w:val="20"/>
                <w:szCs w:val="20"/>
              </w:rPr>
              <w:t>Care that is not tailored to individual resident needs and that all residents generally benefit from equally. This includes activities such as general supervision in common areas, night supervision clinical care management and quality activities and incidental brief interactions with residents.</w:t>
            </w:r>
          </w:p>
        </w:tc>
      </w:tr>
      <w:tr w:rsidR="005567D1" w:rsidRPr="00433D5D" w14:paraId="3E090F23" w14:textId="77777777" w:rsidTr="00E3695E">
        <w:tc>
          <w:tcPr>
            <w:tcW w:w="1486" w:type="pct"/>
            <w:shd w:val="clear" w:color="auto" w:fill="auto"/>
          </w:tcPr>
          <w:p w14:paraId="25ED4463" w14:textId="77777777" w:rsidR="005567D1" w:rsidRPr="00370776" w:rsidRDefault="005567D1" w:rsidP="005567D1">
            <w:pPr>
              <w:spacing w:beforeLines="40" w:before="96" w:afterLines="40" w:after="96" w:line="276" w:lineRule="auto"/>
              <w:rPr>
                <w:sz w:val="20"/>
                <w:szCs w:val="20"/>
              </w:rPr>
            </w:pPr>
            <w:r w:rsidRPr="00370776">
              <w:rPr>
                <w:sz w:val="20"/>
                <w:szCs w:val="20"/>
              </w:rPr>
              <w:t>Total care costs</w:t>
            </w:r>
          </w:p>
        </w:tc>
        <w:tc>
          <w:tcPr>
            <w:tcW w:w="3514" w:type="pct"/>
            <w:shd w:val="clear" w:color="auto" w:fill="auto"/>
          </w:tcPr>
          <w:p w14:paraId="1A655F63" w14:textId="7BBC519B" w:rsidR="005567D1" w:rsidRPr="00370776" w:rsidRDefault="005567D1" w:rsidP="005567D1">
            <w:pPr>
              <w:spacing w:beforeLines="40" w:before="96" w:afterLines="40" w:after="96" w:line="276" w:lineRule="auto"/>
              <w:rPr>
                <w:sz w:val="20"/>
                <w:szCs w:val="20"/>
              </w:rPr>
            </w:pPr>
            <w:r w:rsidRPr="00370776">
              <w:rPr>
                <w:sz w:val="20"/>
                <w:szCs w:val="20"/>
              </w:rPr>
              <w:t>This is the total of costs identified as care related in both Study One and Study Two. It is the total of the individual costs of care and the shared and fixed costs of care for a facility. Total care costs exclu</w:t>
            </w:r>
            <w:r>
              <w:rPr>
                <w:sz w:val="20"/>
                <w:szCs w:val="20"/>
              </w:rPr>
              <w:t>de the costs of hotel services.</w:t>
            </w:r>
          </w:p>
        </w:tc>
      </w:tr>
      <w:tr w:rsidR="005567D1" w:rsidRPr="00433D5D" w14:paraId="21F1092F" w14:textId="77777777" w:rsidTr="00E3695E">
        <w:tc>
          <w:tcPr>
            <w:tcW w:w="1486" w:type="pct"/>
          </w:tcPr>
          <w:p w14:paraId="7C969810" w14:textId="77777777" w:rsidR="005567D1" w:rsidRPr="00B55D63" w:rsidRDefault="005567D1" w:rsidP="005567D1">
            <w:pPr>
              <w:spacing w:beforeLines="40" w:before="96" w:afterLines="40" w:after="96" w:line="276" w:lineRule="auto"/>
              <w:rPr>
                <w:sz w:val="20"/>
                <w:szCs w:val="20"/>
              </w:rPr>
            </w:pPr>
            <w:r w:rsidRPr="00B55D63">
              <w:rPr>
                <w:sz w:val="20"/>
                <w:szCs w:val="20"/>
              </w:rPr>
              <w:t>Variable costs</w:t>
            </w:r>
          </w:p>
        </w:tc>
        <w:tc>
          <w:tcPr>
            <w:tcW w:w="3514" w:type="pct"/>
          </w:tcPr>
          <w:p w14:paraId="3854A2A9" w14:textId="4B7D193F" w:rsidR="005567D1" w:rsidRPr="00433D5D" w:rsidRDefault="005567D1" w:rsidP="005567D1">
            <w:pPr>
              <w:spacing w:beforeLines="40" w:before="96" w:afterLines="40" w:after="96" w:line="276" w:lineRule="auto"/>
              <w:rPr>
                <w:sz w:val="20"/>
                <w:szCs w:val="20"/>
              </w:rPr>
            </w:pPr>
            <w:r>
              <w:rPr>
                <w:sz w:val="20"/>
                <w:szCs w:val="20"/>
              </w:rPr>
              <w:t>The costs of providing care that is in response to the assessed care needs of individual residents. These costs include a proportion of care staff salary costs that relate to individual care (as opposed to shared care) and the related costs of clinical supplies. In a blended funding model these costs are funded based on the casemix class of the resident.</w:t>
            </w:r>
          </w:p>
        </w:tc>
      </w:tr>
    </w:tbl>
    <w:p w14:paraId="662B8722" w14:textId="04354D28" w:rsidR="00241EB9" w:rsidRDefault="00241EB9">
      <w:pPr>
        <w:rPr>
          <w:rFonts w:ascii="Calibri" w:eastAsiaTheme="majorEastAsia" w:hAnsi="Calibri" w:cstheme="majorBidi"/>
          <w:b/>
          <w:bCs/>
          <w:sz w:val="28"/>
          <w:szCs w:val="28"/>
        </w:rPr>
      </w:pPr>
      <w:bookmarkStart w:id="15" w:name="_Toc528953001"/>
    </w:p>
    <w:p w14:paraId="3989EF1B" w14:textId="77777777" w:rsidR="00A25746" w:rsidRDefault="00A25746" w:rsidP="00C06B51">
      <w:pPr>
        <w:pStyle w:val="Heading1"/>
        <w:numPr>
          <w:ilvl w:val="0"/>
          <w:numId w:val="0"/>
        </w:numPr>
        <w:sectPr w:rsidR="00A25746" w:rsidSect="008641E0">
          <w:footerReference w:type="default" r:id="rId18"/>
          <w:pgSz w:w="11906" w:h="16838"/>
          <w:pgMar w:top="1134" w:right="1134" w:bottom="1021" w:left="1418" w:header="708" w:footer="708" w:gutter="0"/>
          <w:pgNumType w:fmt="lowerRoman" w:start="1"/>
          <w:cols w:space="708"/>
          <w:docGrid w:linePitch="360"/>
        </w:sectPr>
      </w:pPr>
    </w:p>
    <w:p w14:paraId="4D149111" w14:textId="5293E97E" w:rsidR="00EB5765" w:rsidRDefault="00EB5765" w:rsidP="00C06B51">
      <w:pPr>
        <w:pStyle w:val="Heading1"/>
        <w:numPr>
          <w:ilvl w:val="0"/>
          <w:numId w:val="0"/>
        </w:numPr>
      </w:pPr>
      <w:bookmarkStart w:id="16" w:name="_Toc952730"/>
      <w:r>
        <w:lastRenderedPageBreak/>
        <w:t>Key messages</w:t>
      </w:r>
      <w:bookmarkEnd w:id="15"/>
      <w:bookmarkEnd w:id="16"/>
    </w:p>
    <w:p w14:paraId="0E970202" w14:textId="68FD908C" w:rsidR="004225A4" w:rsidRPr="004225A4" w:rsidRDefault="004225A4" w:rsidP="004225A4">
      <w:pPr>
        <w:pStyle w:val="Bullets"/>
        <w:rPr>
          <w:rFonts w:eastAsiaTheme="minorHAnsi"/>
          <w:lang w:eastAsia="en-US"/>
        </w:rPr>
      </w:pPr>
      <w:r w:rsidRPr="00E17993">
        <w:rPr>
          <w:rFonts w:eastAsiaTheme="minorHAnsi"/>
          <w:lang w:eastAsia="en-US"/>
        </w:rPr>
        <w:t xml:space="preserve">This </w:t>
      </w:r>
      <w:r>
        <w:rPr>
          <w:rFonts w:eastAsiaTheme="minorHAnsi"/>
          <w:lang w:eastAsia="en-US"/>
        </w:rPr>
        <w:t xml:space="preserve">report describes the study design, analysis and results of </w:t>
      </w:r>
      <w:r w:rsidR="00B758AB">
        <w:rPr>
          <w:rFonts w:eastAsiaTheme="minorHAnsi"/>
          <w:lang w:eastAsia="en-US"/>
        </w:rPr>
        <w:t>the fixed and variable cost analysis report (</w:t>
      </w:r>
      <w:r>
        <w:rPr>
          <w:rFonts w:eastAsiaTheme="minorHAnsi"/>
          <w:lang w:eastAsia="en-US"/>
        </w:rPr>
        <w:t>Study Two</w:t>
      </w:r>
      <w:r w:rsidR="00B758AB">
        <w:rPr>
          <w:rFonts w:eastAsiaTheme="minorHAnsi"/>
          <w:lang w:eastAsia="en-US"/>
        </w:rPr>
        <w:t>)</w:t>
      </w:r>
      <w:r w:rsidR="00AA15ED">
        <w:rPr>
          <w:rFonts w:eastAsiaTheme="minorHAnsi"/>
          <w:lang w:eastAsia="en-US"/>
        </w:rPr>
        <w:t xml:space="preserve"> </w:t>
      </w:r>
      <w:r>
        <w:rPr>
          <w:rFonts w:eastAsiaTheme="minorHAnsi"/>
          <w:lang w:eastAsia="en-US"/>
        </w:rPr>
        <w:t xml:space="preserve">of the </w:t>
      </w:r>
      <w:r w:rsidRPr="00E17993">
        <w:rPr>
          <w:rFonts w:eastAsiaTheme="minorHAnsi"/>
          <w:lang w:eastAsia="en-US"/>
        </w:rPr>
        <w:t>Resou</w:t>
      </w:r>
      <w:r>
        <w:rPr>
          <w:rFonts w:eastAsiaTheme="minorHAnsi"/>
          <w:lang w:eastAsia="en-US"/>
        </w:rPr>
        <w:t>r</w:t>
      </w:r>
      <w:r w:rsidRPr="00E17993">
        <w:rPr>
          <w:rFonts w:eastAsiaTheme="minorHAnsi"/>
          <w:lang w:eastAsia="en-US"/>
        </w:rPr>
        <w:t>ce Utilisation and Classification Study (RUCS</w:t>
      </w:r>
      <w:r w:rsidR="0050125C">
        <w:rPr>
          <w:rFonts w:eastAsiaTheme="minorHAnsi"/>
          <w:lang w:eastAsia="en-US"/>
        </w:rPr>
        <w:t>)</w:t>
      </w:r>
      <w:r w:rsidR="004E3DCF">
        <w:rPr>
          <w:rFonts w:eastAsiaTheme="minorHAnsi"/>
          <w:lang w:eastAsia="en-US"/>
        </w:rPr>
        <w:t>.</w:t>
      </w:r>
    </w:p>
    <w:p w14:paraId="1162DA46" w14:textId="3C75B587" w:rsidR="00C7776C" w:rsidRPr="004225A4" w:rsidRDefault="004225A4" w:rsidP="00C7776C">
      <w:pPr>
        <w:pStyle w:val="Bullets"/>
        <w:rPr>
          <w:rFonts w:eastAsiaTheme="minorHAnsi"/>
          <w:lang w:eastAsia="en-US"/>
        </w:rPr>
      </w:pPr>
      <w:r>
        <w:rPr>
          <w:rFonts w:eastAsiaTheme="minorHAnsi"/>
          <w:lang w:eastAsia="en-US"/>
        </w:rPr>
        <w:t>The purpose of</w:t>
      </w:r>
      <w:r w:rsidR="00C7776C" w:rsidRPr="00E17993">
        <w:rPr>
          <w:rFonts w:eastAsiaTheme="minorHAnsi"/>
          <w:lang w:eastAsia="en-US"/>
        </w:rPr>
        <w:t xml:space="preserve"> </w:t>
      </w:r>
      <w:r w:rsidR="00B758AB">
        <w:rPr>
          <w:rFonts w:eastAsiaTheme="minorHAnsi"/>
          <w:lang w:eastAsia="en-US"/>
        </w:rPr>
        <w:t>the cost analysis study</w:t>
      </w:r>
      <w:r w:rsidR="00C7776C" w:rsidRPr="00E17993">
        <w:rPr>
          <w:rFonts w:eastAsiaTheme="minorHAnsi"/>
          <w:lang w:eastAsia="en-US"/>
        </w:rPr>
        <w:t xml:space="preserve"> was to </w:t>
      </w:r>
      <w:r w:rsidR="00C7776C">
        <w:t xml:space="preserve">identify the drivers of fixed </w:t>
      </w:r>
      <w:r w:rsidR="00F51444">
        <w:t>care</w:t>
      </w:r>
      <w:r w:rsidR="0077250C">
        <w:t>-</w:t>
      </w:r>
      <w:r w:rsidR="00F51444">
        <w:t xml:space="preserve">related </w:t>
      </w:r>
      <w:r w:rsidR="00C7776C">
        <w:t>cost</w:t>
      </w:r>
      <w:r w:rsidR="0077250C">
        <w:t>s</w:t>
      </w:r>
      <w:r w:rsidR="00C7776C">
        <w:t xml:space="preserve"> for residential aged care facilities</w:t>
      </w:r>
      <w:r w:rsidR="00A83EAC">
        <w:t xml:space="preserve">. These are costs that </w:t>
      </w:r>
      <w:r w:rsidR="00C7776C">
        <w:t>relate to</w:t>
      </w:r>
      <w:r w:rsidR="00CC7B11">
        <w:t xml:space="preserve"> shared care and </w:t>
      </w:r>
      <w:r w:rsidR="00C7776C">
        <w:t>the characteristics of facilities rather than the care needs of individual residents.</w:t>
      </w:r>
    </w:p>
    <w:p w14:paraId="290E0E85" w14:textId="539176F8" w:rsidR="00465041" w:rsidRDefault="00A83EAC" w:rsidP="00A83EAC">
      <w:pPr>
        <w:pStyle w:val="Bullets"/>
      </w:pPr>
      <w:r>
        <w:t>Study Two was undertaken using a nationally representative sample of facilities across Australia which included an oversampling of remote and very remote facilities.</w:t>
      </w:r>
    </w:p>
    <w:p w14:paraId="27B36D1E" w14:textId="0EE0F767" w:rsidR="00B528A7" w:rsidRPr="00706BBA" w:rsidRDefault="00B528A7" w:rsidP="00C7776C">
      <w:pPr>
        <w:pStyle w:val="Bullets"/>
      </w:pPr>
      <w:r>
        <w:rPr>
          <w:lang w:eastAsia="zh-CN" w:bidi="th-TH"/>
        </w:rPr>
        <w:t xml:space="preserve">The sample facilities </w:t>
      </w:r>
      <w:r w:rsidR="0077250C">
        <w:rPr>
          <w:lang w:eastAsia="zh-CN" w:bidi="th-TH"/>
        </w:rPr>
        <w:t>r</w:t>
      </w:r>
      <w:r>
        <w:rPr>
          <w:lang w:eastAsia="zh-CN" w:bidi="th-TH"/>
        </w:rPr>
        <w:t>eported,</w:t>
      </w:r>
      <w:r w:rsidRPr="007850AF">
        <w:rPr>
          <w:lang w:eastAsia="zh-CN" w:bidi="th-TH"/>
        </w:rPr>
        <w:t xml:space="preserve"> on average</w:t>
      </w:r>
      <w:r w:rsidR="00A83EAC">
        <w:rPr>
          <w:lang w:eastAsia="zh-CN" w:bidi="th-TH"/>
        </w:rPr>
        <w:t>,</w:t>
      </w:r>
      <w:r w:rsidRPr="007850AF">
        <w:rPr>
          <w:lang w:eastAsia="zh-CN" w:bidi="th-TH"/>
        </w:rPr>
        <w:t xml:space="preserve"> 6</w:t>
      </w:r>
      <w:r w:rsidR="00706BBA">
        <w:rPr>
          <w:lang w:eastAsia="zh-CN" w:bidi="th-TH"/>
        </w:rPr>
        <w:t>9</w:t>
      </w:r>
      <w:r w:rsidRPr="007850AF">
        <w:rPr>
          <w:lang w:eastAsia="zh-CN" w:bidi="th-TH"/>
        </w:rPr>
        <w:t xml:space="preserve"> approved </w:t>
      </w:r>
      <w:r w:rsidR="00A83EAC">
        <w:rPr>
          <w:lang w:eastAsia="zh-CN" w:bidi="th-TH"/>
        </w:rPr>
        <w:t xml:space="preserve">residential care </w:t>
      </w:r>
      <w:r w:rsidRPr="007850AF">
        <w:rPr>
          <w:lang w:eastAsia="zh-CN" w:bidi="th-TH"/>
        </w:rPr>
        <w:t>places</w:t>
      </w:r>
      <w:r w:rsidR="00A83EAC">
        <w:rPr>
          <w:lang w:eastAsia="zh-CN" w:bidi="th-TH"/>
        </w:rPr>
        <w:t>. This ranged</w:t>
      </w:r>
      <w:r w:rsidRPr="007850AF">
        <w:rPr>
          <w:lang w:eastAsia="zh-CN" w:bidi="th-TH"/>
        </w:rPr>
        <w:t xml:space="preserve"> from </w:t>
      </w:r>
      <w:r w:rsidR="00A83EAC">
        <w:rPr>
          <w:lang w:eastAsia="zh-CN" w:bidi="th-TH"/>
        </w:rPr>
        <w:t>very small facilities (</w:t>
      </w:r>
      <w:r w:rsidR="00B758AB">
        <w:rPr>
          <w:lang w:eastAsia="zh-CN" w:bidi="th-TH"/>
        </w:rPr>
        <w:t>eight</w:t>
      </w:r>
      <w:r w:rsidRPr="007850AF">
        <w:rPr>
          <w:lang w:eastAsia="zh-CN" w:bidi="th-TH"/>
        </w:rPr>
        <w:t xml:space="preserve"> </w:t>
      </w:r>
      <w:r w:rsidR="00A83EAC">
        <w:rPr>
          <w:lang w:eastAsia="zh-CN" w:bidi="th-TH"/>
        </w:rPr>
        <w:t xml:space="preserve">places) </w:t>
      </w:r>
      <w:r w:rsidRPr="007850AF">
        <w:rPr>
          <w:lang w:eastAsia="zh-CN" w:bidi="th-TH"/>
        </w:rPr>
        <w:t xml:space="preserve">up to </w:t>
      </w:r>
      <w:r w:rsidR="00A83EAC">
        <w:rPr>
          <w:lang w:eastAsia="zh-CN" w:bidi="th-TH"/>
        </w:rPr>
        <w:t>large facilities with more than 1</w:t>
      </w:r>
      <w:r w:rsidR="00706BBA">
        <w:rPr>
          <w:lang w:eastAsia="zh-CN" w:bidi="th-TH"/>
        </w:rPr>
        <w:t>5</w:t>
      </w:r>
      <w:r w:rsidR="00A83EAC">
        <w:rPr>
          <w:lang w:eastAsia="zh-CN" w:bidi="th-TH"/>
        </w:rPr>
        <w:t xml:space="preserve">0 approved </w:t>
      </w:r>
      <w:r w:rsidRPr="007850AF">
        <w:rPr>
          <w:lang w:eastAsia="zh-CN" w:bidi="th-TH"/>
        </w:rPr>
        <w:t xml:space="preserve">places. </w:t>
      </w:r>
      <w:r w:rsidR="00370776" w:rsidRPr="00F14378">
        <w:rPr>
          <w:lang w:eastAsia="zh-CN" w:bidi="th-TH"/>
        </w:rPr>
        <w:t xml:space="preserve">The </w:t>
      </w:r>
      <w:r w:rsidR="00F14378" w:rsidRPr="00F14378">
        <w:rPr>
          <w:lang w:eastAsia="zh-CN" w:bidi="th-TH"/>
        </w:rPr>
        <w:t xml:space="preserve">fixed care related </w:t>
      </w:r>
      <w:r w:rsidRPr="00F14378">
        <w:rPr>
          <w:lang w:eastAsia="zh-CN" w:bidi="th-TH"/>
        </w:rPr>
        <w:t xml:space="preserve">costs across all facilities was </w:t>
      </w:r>
      <w:r w:rsidR="00F14378" w:rsidRPr="00F14378">
        <w:rPr>
          <w:lang w:eastAsia="zh-CN" w:bidi="th-TH"/>
        </w:rPr>
        <w:t xml:space="preserve">3% higher than the </w:t>
      </w:r>
      <w:r w:rsidR="00F14378" w:rsidRPr="00706BBA">
        <w:rPr>
          <w:lang w:eastAsia="zh-CN" w:bidi="th-TH"/>
        </w:rPr>
        <w:t xml:space="preserve">average cost of individual care identified in </w:t>
      </w:r>
      <w:r w:rsidR="00B758AB">
        <w:rPr>
          <w:lang w:eastAsia="zh-CN" w:bidi="th-TH"/>
        </w:rPr>
        <w:t>the service utilisation and classification development study (</w:t>
      </w:r>
      <w:r w:rsidR="00F14378" w:rsidRPr="00706BBA">
        <w:rPr>
          <w:lang w:eastAsia="zh-CN" w:bidi="th-TH"/>
        </w:rPr>
        <w:t>Study One</w:t>
      </w:r>
      <w:r w:rsidR="00B758AB">
        <w:rPr>
          <w:lang w:eastAsia="zh-CN" w:bidi="th-TH"/>
        </w:rPr>
        <w:t>)</w:t>
      </w:r>
      <w:r w:rsidR="004E3DCF">
        <w:rPr>
          <w:lang w:eastAsia="zh-CN" w:bidi="th-TH"/>
        </w:rPr>
        <w:t>.</w:t>
      </w:r>
    </w:p>
    <w:p w14:paraId="75C95BF3" w14:textId="268E0358" w:rsidR="00B528A7" w:rsidRPr="00706BBA" w:rsidRDefault="00B528A7" w:rsidP="00B528A7">
      <w:pPr>
        <w:pStyle w:val="Bullets"/>
      </w:pPr>
      <w:r w:rsidRPr="00706BBA">
        <w:t xml:space="preserve">The overall proportion of </w:t>
      </w:r>
      <w:r w:rsidR="002D2590" w:rsidRPr="00706BBA">
        <w:t xml:space="preserve">fixed care </w:t>
      </w:r>
      <w:r w:rsidRPr="00706BBA">
        <w:t xml:space="preserve">costs in residential facilities </w:t>
      </w:r>
      <w:r w:rsidR="002D2590" w:rsidRPr="00706BBA">
        <w:t>(i.e.</w:t>
      </w:r>
      <w:r w:rsidR="00F14378" w:rsidRPr="00706BBA">
        <w:t xml:space="preserve"> </w:t>
      </w:r>
      <w:r w:rsidR="002D2590" w:rsidRPr="00706BBA">
        <w:t>relating to care management or</w:t>
      </w:r>
      <w:r w:rsidRPr="00706BBA">
        <w:t xml:space="preserve"> </w:t>
      </w:r>
      <w:r w:rsidR="00F14378" w:rsidRPr="00706BBA">
        <w:t>shared care</w:t>
      </w:r>
      <w:r w:rsidR="002D2590" w:rsidRPr="00706BBA">
        <w:t xml:space="preserve">) </w:t>
      </w:r>
      <w:r w:rsidRPr="00706BBA">
        <w:t xml:space="preserve">is </w:t>
      </w:r>
      <w:r w:rsidR="00661C6A" w:rsidRPr="00706BBA">
        <w:t>51</w:t>
      </w:r>
      <w:r w:rsidRPr="00706BBA">
        <w:t>%</w:t>
      </w:r>
      <w:r w:rsidR="0077250C">
        <w:t xml:space="preserve"> with </w:t>
      </w:r>
      <w:r w:rsidR="00661C6A" w:rsidRPr="00706BBA">
        <w:t>49</w:t>
      </w:r>
      <w:r w:rsidR="00DC086D" w:rsidRPr="00706BBA">
        <w:t xml:space="preserve">% </w:t>
      </w:r>
      <w:r w:rsidR="002D2590" w:rsidRPr="00706BBA">
        <w:t xml:space="preserve">of costs </w:t>
      </w:r>
      <w:r w:rsidR="0077250C">
        <w:t>being r</w:t>
      </w:r>
      <w:r w:rsidR="00DC086D" w:rsidRPr="00706BBA">
        <w:t>elated to individual care</w:t>
      </w:r>
      <w:r w:rsidRPr="00706BBA">
        <w:t>.</w:t>
      </w:r>
    </w:p>
    <w:p w14:paraId="376C52BF" w14:textId="3741EDB4" w:rsidR="002D2590" w:rsidRPr="00706BBA" w:rsidRDefault="002D2590" w:rsidP="00B528A7">
      <w:pPr>
        <w:pStyle w:val="Bullets"/>
      </w:pPr>
      <w:r w:rsidRPr="00706BBA">
        <w:t>The fixed care costs include the costs of managing care within the facility, the costs of providing direct care that is shared across all residents roughly equally</w:t>
      </w:r>
      <w:r w:rsidR="0077250C">
        <w:t xml:space="preserve"> (s</w:t>
      </w:r>
      <w:r w:rsidRPr="00706BBA">
        <w:t>uch as general supervision of meals, recreation and night shift cover</w:t>
      </w:r>
      <w:r w:rsidR="0077250C">
        <w:t>)</w:t>
      </w:r>
      <w:r w:rsidRPr="00706BBA">
        <w:t xml:space="preserve"> and the relevant proportion of corporate overheads.</w:t>
      </w:r>
    </w:p>
    <w:p w14:paraId="4E4D860F" w14:textId="6AC97136" w:rsidR="002D2590" w:rsidRDefault="002D2590" w:rsidP="002D2590">
      <w:pPr>
        <w:pStyle w:val="Bullets"/>
      </w:pPr>
      <w:r>
        <w:t>This report confirms that there are significant differences in fixed care related costs of residential aged care that are associated with characteristics of the facility</w:t>
      </w:r>
      <w:r w:rsidR="0077250C">
        <w:t>.</w:t>
      </w:r>
    </w:p>
    <w:p w14:paraId="2A193DF4" w14:textId="60CB3FD9" w:rsidR="002D2590" w:rsidRPr="002D2590" w:rsidRDefault="002D2590" w:rsidP="002D2590">
      <w:pPr>
        <w:pStyle w:val="Bullets"/>
      </w:pPr>
      <w:r>
        <w:t xml:space="preserve">The facility characteristics associated with significant differences in fixed care cost drivers </w:t>
      </w:r>
      <w:r w:rsidR="00135308">
        <w:t xml:space="preserve">are </w:t>
      </w:r>
      <w:r>
        <w:t xml:space="preserve">remoteness, </w:t>
      </w:r>
      <w:r w:rsidRPr="002D2590">
        <w:t>facility size of less than 30 approved beds in remote locations, and the provision of specialised care for</w:t>
      </w:r>
      <w:r w:rsidR="004E3DCF">
        <w:t xml:space="preserve"> indigenous or homeless people.</w:t>
      </w:r>
    </w:p>
    <w:p w14:paraId="55512751" w14:textId="6D4BCC97" w:rsidR="00C7776C" w:rsidRDefault="002D2590" w:rsidP="00B528A7">
      <w:pPr>
        <w:pStyle w:val="Bullets"/>
      </w:pPr>
      <w:r>
        <w:rPr>
          <w:lang w:eastAsia="zh-CN" w:bidi="th-TH"/>
        </w:rPr>
        <w:t xml:space="preserve">The </w:t>
      </w:r>
      <w:r w:rsidR="00C7776C">
        <w:rPr>
          <w:lang w:eastAsia="zh-CN" w:bidi="th-TH"/>
        </w:rPr>
        <w:t xml:space="preserve">findings of this study </w:t>
      </w:r>
      <w:r>
        <w:rPr>
          <w:lang w:eastAsia="zh-CN" w:bidi="th-TH"/>
        </w:rPr>
        <w:t xml:space="preserve">relating to </w:t>
      </w:r>
      <w:r w:rsidR="00C7776C">
        <w:rPr>
          <w:lang w:eastAsia="zh-CN" w:bidi="th-TH"/>
        </w:rPr>
        <w:t xml:space="preserve">the total average care cost per day and the proportion of fixed and individual care components </w:t>
      </w:r>
      <w:r w:rsidR="00706BBA">
        <w:rPr>
          <w:lang w:eastAsia="zh-CN" w:bidi="th-TH"/>
        </w:rPr>
        <w:t xml:space="preserve">are consistent </w:t>
      </w:r>
      <w:r w:rsidR="00C7776C">
        <w:rPr>
          <w:lang w:eastAsia="zh-CN" w:bidi="th-TH"/>
        </w:rPr>
        <w:t xml:space="preserve">with the </w:t>
      </w:r>
      <w:r w:rsidR="004225A4">
        <w:rPr>
          <w:lang w:eastAsia="zh-CN" w:bidi="th-TH"/>
        </w:rPr>
        <w:t>high level findings of Study One</w:t>
      </w:r>
      <w:r w:rsidR="00C7776C">
        <w:rPr>
          <w:lang w:eastAsia="zh-CN" w:bidi="th-TH"/>
        </w:rPr>
        <w:t>.</w:t>
      </w:r>
      <w:r w:rsidR="00C7776C" w:rsidRPr="00C7776C">
        <w:rPr>
          <w:lang w:eastAsia="zh-CN" w:bidi="th-TH"/>
        </w:rPr>
        <w:t xml:space="preserve"> </w:t>
      </w:r>
      <w:r w:rsidR="00CC7B11">
        <w:rPr>
          <w:lang w:eastAsia="zh-CN" w:bidi="th-TH"/>
        </w:rPr>
        <w:t>C</w:t>
      </w:r>
      <w:r w:rsidR="004225A4">
        <w:rPr>
          <w:lang w:eastAsia="zh-CN" w:bidi="th-TH"/>
        </w:rPr>
        <w:t>ombining</w:t>
      </w:r>
      <w:r w:rsidR="00C7776C">
        <w:rPr>
          <w:lang w:eastAsia="zh-CN" w:bidi="th-TH"/>
        </w:rPr>
        <w:t xml:space="preserve"> the findings of the two studies support</w:t>
      </w:r>
      <w:r w:rsidR="00CC7B11">
        <w:rPr>
          <w:lang w:eastAsia="zh-CN" w:bidi="th-TH"/>
        </w:rPr>
        <w:t>s</w:t>
      </w:r>
      <w:r w:rsidR="00C7776C">
        <w:rPr>
          <w:lang w:eastAsia="zh-CN" w:bidi="th-TH"/>
        </w:rPr>
        <w:t xml:space="preserve"> the development of a single harmonised funding model</w:t>
      </w:r>
      <w:r w:rsidR="004225A4">
        <w:rPr>
          <w:lang w:eastAsia="zh-CN" w:bidi="th-TH"/>
        </w:rPr>
        <w:t>.</w:t>
      </w:r>
    </w:p>
    <w:p w14:paraId="2C2610B3" w14:textId="4C50CB14" w:rsidR="0077250C" w:rsidRDefault="006B0CD0" w:rsidP="00AB0F93">
      <w:pPr>
        <w:pStyle w:val="Bullets"/>
      </w:pPr>
      <w:bookmarkStart w:id="17" w:name="_Toc468967310"/>
      <w:bookmarkStart w:id="18" w:name="_Ref468108265"/>
      <w:r>
        <w:rPr>
          <w:lang w:eastAsia="zh-CN" w:bidi="th-TH"/>
        </w:rPr>
        <w:t xml:space="preserve">The findings included in </w:t>
      </w:r>
      <w:r w:rsidR="00F12BDE">
        <w:rPr>
          <w:lang w:eastAsia="zh-CN" w:bidi="th-TH"/>
        </w:rPr>
        <w:t xml:space="preserve">this </w:t>
      </w:r>
      <w:r>
        <w:rPr>
          <w:lang w:eastAsia="zh-CN" w:bidi="th-TH"/>
        </w:rPr>
        <w:t xml:space="preserve">report </w:t>
      </w:r>
      <w:r w:rsidR="00CC7B11">
        <w:rPr>
          <w:lang w:eastAsia="zh-CN" w:bidi="th-TH"/>
        </w:rPr>
        <w:t>in combination with</w:t>
      </w:r>
      <w:r>
        <w:rPr>
          <w:lang w:eastAsia="zh-CN" w:bidi="th-TH"/>
        </w:rPr>
        <w:t xml:space="preserve"> the findings of </w:t>
      </w:r>
      <w:r w:rsidRPr="00B758AB">
        <w:rPr>
          <w:lang w:eastAsia="zh-CN" w:bidi="th-TH"/>
        </w:rPr>
        <w:t xml:space="preserve">Study One </w:t>
      </w:r>
      <w:r w:rsidR="00CC7B11" w:rsidRPr="00B758AB">
        <w:rPr>
          <w:lang w:eastAsia="zh-CN" w:bidi="th-TH"/>
        </w:rPr>
        <w:t>a</w:t>
      </w:r>
      <w:r w:rsidR="00CC7B11">
        <w:rPr>
          <w:lang w:eastAsia="zh-CN" w:bidi="th-TH"/>
        </w:rPr>
        <w:t>re the evidence underpinning</w:t>
      </w:r>
      <w:r>
        <w:rPr>
          <w:lang w:eastAsia="zh-CN" w:bidi="th-TH"/>
        </w:rPr>
        <w:t xml:space="preserve"> the design of a </w:t>
      </w:r>
      <w:r w:rsidR="00CC7B11">
        <w:rPr>
          <w:lang w:eastAsia="zh-CN" w:bidi="th-TH"/>
        </w:rPr>
        <w:t xml:space="preserve">new </w:t>
      </w:r>
      <w:r>
        <w:rPr>
          <w:lang w:eastAsia="zh-CN" w:bidi="th-TH"/>
        </w:rPr>
        <w:t>blended payment model for Australian residential aged care</w:t>
      </w:r>
      <w:r w:rsidR="000E7893">
        <w:rPr>
          <w:lang w:eastAsia="zh-CN" w:bidi="th-TH"/>
        </w:rPr>
        <w:t>.</w:t>
      </w:r>
      <w:r>
        <w:rPr>
          <w:lang w:eastAsia="zh-CN" w:bidi="th-TH"/>
        </w:rPr>
        <w:t xml:space="preserve"> This model include</w:t>
      </w:r>
      <w:r w:rsidR="00CC7B11">
        <w:rPr>
          <w:lang w:eastAsia="zh-CN" w:bidi="th-TH"/>
        </w:rPr>
        <w:t>s</w:t>
      </w:r>
      <w:r>
        <w:rPr>
          <w:lang w:eastAsia="zh-CN" w:bidi="th-TH"/>
        </w:rPr>
        <w:t xml:space="preserve"> a variable payment based on the </w:t>
      </w:r>
      <w:r w:rsidRPr="00135D3C">
        <w:t>Australian National Aged Care Classification</w:t>
      </w:r>
      <w:r>
        <w:rPr>
          <w:lang w:eastAsia="zh-CN" w:bidi="th-TH"/>
        </w:rPr>
        <w:t xml:space="preserve"> (AN-ACC) and a fixed payment based on fixed costs of care</w:t>
      </w:r>
      <w:bookmarkEnd w:id="17"/>
      <w:bookmarkEnd w:id="18"/>
      <w:r w:rsidR="004E3DCF">
        <w:rPr>
          <w:lang w:eastAsia="zh-CN" w:bidi="th-TH"/>
        </w:rPr>
        <w:t>.</w:t>
      </w:r>
    </w:p>
    <w:p w14:paraId="2D89E3A5" w14:textId="4B5B6BEF" w:rsidR="00EB5765" w:rsidRDefault="00EB5765" w:rsidP="00AB0F93">
      <w:pPr>
        <w:pStyle w:val="Bullets"/>
      </w:pPr>
      <w:r>
        <w:br w:type="page"/>
      </w:r>
    </w:p>
    <w:p w14:paraId="19970A7B" w14:textId="2EE09C50" w:rsidR="006E49DF" w:rsidRDefault="006E49DF" w:rsidP="008D734C">
      <w:pPr>
        <w:sectPr w:rsidR="006E49DF" w:rsidSect="00A25746">
          <w:pgSz w:w="11906" w:h="16838"/>
          <w:pgMar w:top="1134" w:right="1134" w:bottom="1021" w:left="1418" w:header="708" w:footer="708" w:gutter="0"/>
          <w:pgNumType w:start="1"/>
          <w:cols w:space="708"/>
          <w:docGrid w:linePitch="360"/>
        </w:sectPr>
      </w:pPr>
    </w:p>
    <w:p w14:paraId="5279C296" w14:textId="1D2C8F7B" w:rsidR="00875F09" w:rsidRPr="00A25746" w:rsidRDefault="00E3769B" w:rsidP="008816FF">
      <w:pPr>
        <w:pStyle w:val="Heading1"/>
        <w:ind w:left="431" w:hanging="431"/>
      </w:pPr>
      <w:bookmarkStart w:id="19" w:name="_Toc473044038"/>
      <w:bookmarkStart w:id="20" w:name="_Toc473102110"/>
      <w:bookmarkStart w:id="21" w:name="_Toc473621430"/>
      <w:bookmarkStart w:id="22" w:name="_Toc473621507"/>
      <w:bookmarkStart w:id="23" w:name="_Toc473645586"/>
      <w:bookmarkStart w:id="24" w:name="_Toc473645974"/>
      <w:bookmarkStart w:id="25" w:name="_Toc473646166"/>
      <w:bookmarkStart w:id="26" w:name="_Toc473646548"/>
      <w:bookmarkStart w:id="27" w:name="_Toc473708202"/>
      <w:bookmarkStart w:id="28" w:name="_Toc473708249"/>
      <w:bookmarkStart w:id="29" w:name="_Toc473726070"/>
      <w:bookmarkStart w:id="30" w:name="_Toc473726182"/>
      <w:bookmarkStart w:id="31" w:name="_Toc473726287"/>
      <w:bookmarkStart w:id="32" w:name="_Toc515031462"/>
      <w:bookmarkStart w:id="33" w:name="_Toc515031512"/>
      <w:bookmarkStart w:id="34" w:name="_Introduction"/>
      <w:bookmarkStart w:id="35" w:name="_Toc952731"/>
      <w:bookmarkEnd w:id="1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C64F75">
        <w:lastRenderedPageBreak/>
        <w:t>Introduction</w:t>
      </w:r>
      <w:bookmarkEnd w:id="35"/>
    </w:p>
    <w:p w14:paraId="777E543C" w14:textId="1D9B07EC" w:rsidR="00723EFC" w:rsidRDefault="00A23DF6" w:rsidP="0098545C">
      <w:pPr>
        <w:spacing w:before="240"/>
      </w:pPr>
      <w:bookmarkStart w:id="36" w:name="_Ref468114647"/>
      <w:r>
        <w:t>T</w:t>
      </w:r>
      <w:r w:rsidRPr="00905D86">
        <w:t>he Australian Health Services Research Institute (AHSRI), University of Wollongong</w:t>
      </w:r>
      <w:r w:rsidR="00187CC7">
        <w:t>,</w:t>
      </w:r>
      <w:r w:rsidRPr="00905D86">
        <w:t xml:space="preserve"> </w:t>
      </w:r>
      <w:r>
        <w:t xml:space="preserve">was </w:t>
      </w:r>
      <w:r w:rsidRPr="00905D86">
        <w:t xml:space="preserve">commissioned by the Commonwealth Department of Health (the Department) </w:t>
      </w:r>
      <w:r>
        <w:t xml:space="preserve">in August 2017 </w:t>
      </w:r>
      <w:r w:rsidRPr="00905D86">
        <w:t xml:space="preserve">to undertake </w:t>
      </w:r>
      <w:r>
        <w:t>the ‘R</w:t>
      </w:r>
      <w:r w:rsidRPr="00905D86">
        <w:t xml:space="preserve">esource </w:t>
      </w:r>
      <w:r>
        <w:t>U</w:t>
      </w:r>
      <w:r w:rsidRPr="00905D86">
        <w:t xml:space="preserve">tilisation and </w:t>
      </w:r>
      <w:r>
        <w:t>C</w:t>
      </w:r>
      <w:r w:rsidRPr="00905D86">
        <w:t xml:space="preserve">lassification </w:t>
      </w:r>
      <w:r>
        <w:t>S</w:t>
      </w:r>
      <w:r w:rsidRPr="00905D86">
        <w:t>tudy</w:t>
      </w:r>
      <w:r>
        <w:t>’</w:t>
      </w:r>
      <w:r w:rsidRPr="00905D86">
        <w:t xml:space="preserve"> (RUCS)</w:t>
      </w:r>
      <w:r>
        <w:t xml:space="preserve">. </w:t>
      </w:r>
      <w:r w:rsidR="00723EFC" w:rsidRPr="00723EFC">
        <w:t>The RUCS is an important national study commissioned by the Department</w:t>
      </w:r>
      <w:r w:rsidR="00BA4679">
        <w:t xml:space="preserve"> </w:t>
      </w:r>
      <w:r w:rsidR="00723EFC" w:rsidRPr="00723EFC">
        <w:t>to inform the development of future funding models for residential aged care in Australia.</w:t>
      </w:r>
    </w:p>
    <w:p w14:paraId="242ACD49" w14:textId="1D2C2252" w:rsidR="00E31A31" w:rsidRDefault="00E17993" w:rsidP="0098545C">
      <w:pPr>
        <w:spacing w:before="240"/>
      </w:pPr>
      <w:r>
        <w:t xml:space="preserve">The purpose of </w:t>
      </w:r>
      <w:r w:rsidR="009D10A7">
        <w:t>the analysis</w:t>
      </w:r>
      <w:r w:rsidR="00AB0F93">
        <w:t xml:space="preserve"> </w:t>
      </w:r>
      <w:r w:rsidR="00587BA1">
        <w:t>covered</w:t>
      </w:r>
      <w:r w:rsidR="00AB0F93">
        <w:t xml:space="preserve"> in this </w:t>
      </w:r>
      <w:r w:rsidR="001C40BC">
        <w:t>report</w:t>
      </w:r>
      <w:r w:rsidR="00AB0F93">
        <w:t xml:space="preserve"> is</w:t>
      </w:r>
      <w:r>
        <w:t xml:space="preserve"> to ide</w:t>
      </w:r>
      <w:r w:rsidR="003D0784">
        <w:t xml:space="preserve">ntify the drivers of </w:t>
      </w:r>
      <w:r w:rsidR="00F51444">
        <w:t xml:space="preserve">care related costs that are </w:t>
      </w:r>
      <w:r w:rsidR="003D0784">
        <w:t xml:space="preserve">fixed </w:t>
      </w:r>
      <w:r>
        <w:t>for residential aged care facilities</w:t>
      </w:r>
      <w:r w:rsidR="003D0784">
        <w:t>. These are costs</w:t>
      </w:r>
      <w:r>
        <w:t xml:space="preserve"> that relate to the characteristics of facilities rather than the care needs of </w:t>
      </w:r>
      <w:r w:rsidR="003D0784">
        <w:t xml:space="preserve">individual </w:t>
      </w:r>
      <w:r>
        <w:t xml:space="preserve">residents. </w:t>
      </w:r>
      <w:r w:rsidR="00F51444">
        <w:t>This s</w:t>
      </w:r>
      <w:r>
        <w:t xml:space="preserve">tudy </w:t>
      </w:r>
      <w:r w:rsidR="009D10A7">
        <w:t>wa</w:t>
      </w:r>
      <w:r>
        <w:t xml:space="preserve">s the second of four separate </w:t>
      </w:r>
      <w:r w:rsidR="00135308">
        <w:t xml:space="preserve">but </w:t>
      </w:r>
      <w:r>
        <w:t xml:space="preserve">interrelated and overlapping studies undertaken to inform the design and implementation strategies for future funding reforms in the Australian residential aged care sector. </w:t>
      </w:r>
      <w:r w:rsidR="003D0784">
        <w:t>A brief outline of the overall R</w:t>
      </w:r>
      <w:r w:rsidR="009C48C2">
        <w:t>UCS</w:t>
      </w:r>
      <w:r w:rsidR="003D0784">
        <w:t xml:space="preserve"> </w:t>
      </w:r>
      <w:r w:rsidR="00AB0F93">
        <w:t>is</w:t>
      </w:r>
      <w:r w:rsidR="003D0784">
        <w:t xml:space="preserve"> provided in </w:t>
      </w:r>
      <w:r w:rsidR="003D0784">
        <w:fldChar w:fldCharType="begin"/>
      </w:r>
      <w:r w:rsidR="003D0784">
        <w:instrText xml:space="preserve"> REF _Ref528325443 \h </w:instrText>
      </w:r>
      <w:r w:rsidR="003D0784">
        <w:fldChar w:fldCharType="separate"/>
      </w:r>
      <w:r w:rsidR="00043266">
        <w:t xml:space="preserve">Appendix </w:t>
      </w:r>
      <w:r w:rsidR="00043266">
        <w:rPr>
          <w:noProof/>
        </w:rPr>
        <w:t>1</w:t>
      </w:r>
      <w:r w:rsidR="003D0784">
        <w:fldChar w:fldCharType="end"/>
      </w:r>
      <w:r w:rsidR="003D0784">
        <w:t>.</w:t>
      </w:r>
    </w:p>
    <w:p w14:paraId="1912265D" w14:textId="1745DFC3" w:rsidR="00D83A51" w:rsidRDefault="00D83A51" w:rsidP="00481C5A">
      <w:pPr>
        <w:spacing w:before="240"/>
      </w:pPr>
      <w:r>
        <w:t xml:space="preserve">The overall design of </w:t>
      </w:r>
      <w:r w:rsidR="00B758AB">
        <w:t>the fixed and variable costs analysis study (</w:t>
      </w:r>
      <w:r>
        <w:t>Study Two</w:t>
      </w:r>
      <w:r w:rsidR="00B758AB">
        <w:t>)</w:t>
      </w:r>
      <w:r>
        <w:t xml:space="preserve"> was developed following extensive consultation with stakeholders across the aged care industry. The consultation process commenced in early 2017 with the </w:t>
      </w:r>
      <w:r w:rsidR="003D0784">
        <w:t xml:space="preserve">development and </w:t>
      </w:r>
      <w:r>
        <w:t xml:space="preserve">delivery of the </w:t>
      </w:r>
      <w:r w:rsidRPr="000A10DE">
        <w:t>initial options paper</w:t>
      </w:r>
      <w:r w:rsidR="000A10DE">
        <w:t xml:space="preserve">, </w:t>
      </w:r>
      <w:r w:rsidR="000A10DE" w:rsidRPr="00CF4053">
        <w:rPr>
          <w:i/>
        </w:rPr>
        <w:t>Alternative Aged Care Assessment, Classification System and Funding Models</w:t>
      </w:r>
      <w:r w:rsidR="000A10DE">
        <w:rPr>
          <w:rStyle w:val="FootnoteReference"/>
          <w:i/>
        </w:rPr>
        <w:footnoteReference w:id="1"/>
      </w:r>
      <w:r w:rsidR="000A10DE">
        <w:rPr>
          <w:i/>
        </w:rPr>
        <w:t xml:space="preserve">, </w:t>
      </w:r>
      <w:r>
        <w:t xml:space="preserve">and continued into the final stages of the study design in early 2018. </w:t>
      </w:r>
      <w:r w:rsidR="003D0784">
        <w:t>Consultations</w:t>
      </w:r>
      <w:r>
        <w:t xml:space="preserve"> involved presentations and discussions at a number of stakeholder forums, a national ‘roadshow’</w:t>
      </w:r>
      <w:r w:rsidR="007E6042">
        <w:t xml:space="preserve"> </w:t>
      </w:r>
      <w:r>
        <w:t xml:space="preserve">of </w:t>
      </w:r>
      <w:r w:rsidR="003431E3">
        <w:t xml:space="preserve">10 </w:t>
      </w:r>
      <w:r w:rsidR="003D0784">
        <w:t xml:space="preserve">separate information </w:t>
      </w:r>
      <w:r w:rsidR="003431E3">
        <w:t xml:space="preserve">sessions </w:t>
      </w:r>
      <w:r>
        <w:t xml:space="preserve">and meetings of </w:t>
      </w:r>
      <w:r w:rsidR="00626F44">
        <w:t xml:space="preserve">a </w:t>
      </w:r>
      <w:r>
        <w:t>Sector Reference Group</w:t>
      </w:r>
      <w:r w:rsidR="00BA4679">
        <w:t xml:space="preserve"> convened by the Department</w:t>
      </w:r>
      <w:r w:rsidR="004E3DCF">
        <w:t>.</w:t>
      </w:r>
    </w:p>
    <w:p w14:paraId="68568424" w14:textId="1A2F7199" w:rsidR="00E31A31" w:rsidRDefault="00E31A31" w:rsidP="00E31A31">
      <w:pPr>
        <w:spacing w:before="240"/>
      </w:pPr>
      <w:r>
        <w:t>The identification of costs that are fixed</w:t>
      </w:r>
      <w:r w:rsidR="006A344C">
        <w:t>,</w:t>
      </w:r>
      <w:r>
        <w:t xml:space="preserve"> and not driven by the care needs of individual</w:t>
      </w:r>
      <w:r w:rsidR="000A7716">
        <w:t xml:space="preserve"> residents</w:t>
      </w:r>
      <w:r w:rsidR="0077250C">
        <w:t>,</w:t>
      </w:r>
      <w:r>
        <w:t xml:space="preserve"> is </w:t>
      </w:r>
      <w:r w:rsidR="006A344C">
        <w:t xml:space="preserve">a </w:t>
      </w:r>
      <w:r>
        <w:t>critical</w:t>
      </w:r>
      <w:r w:rsidR="006A344C">
        <w:t xml:space="preserve"> element</w:t>
      </w:r>
      <w:r>
        <w:t xml:space="preserve"> in the design of the</w:t>
      </w:r>
      <w:r w:rsidR="000A7716">
        <w:t xml:space="preserve"> residential aged care</w:t>
      </w:r>
      <w:r>
        <w:t xml:space="preserve"> blended funding model.</w:t>
      </w:r>
      <w:r w:rsidR="00E14CFE">
        <w:t xml:space="preserve"> </w:t>
      </w:r>
      <w:r w:rsidR="005A3A28">
        <w:t>A</w:t>
      </w:r>
      <w:r w:rsidR="00E14CFE">
        <w:t xml:space="preserve"> blended model </w:t>
      </w:r>
      <w:r w:rsidR="000A7716">
        <w:t>consider</w:t>
      </w:r>
      <w:r w:rsidR="0077250C">
        <w:t xml:space="preserve">s </w:t>
      </w:r>
      <w:r w:rsidR="000A7716">
        <w:t>separately</w:t>
      </w:r>
      <w:r w:rsidR="00E14CFE">
        <w:t xml:space="preserve"> </w:t>
      </w:r>
      <w:r w:rsidR="000A7716">
        <w:t>the costs related to individual</w:t>
      </w:r>
      <w:r w:rsidR="00812ACE">
        <w:t>ised</w:t>
      </w:r>
      <w:r w:rsidR="000A7716">
        <w:t xml:space="preserve"> care and the </w:t>
      </w:r>
      <w:r w:rsidR="00812ACE">
        <w:t>fixed</w:t>
      </w:r>
      <w:r w:rsidR="000A7716">
        <w:t xml:space="preserve"> care costs </w:t>
      </w:r>
      <w:r w:rsidR="005A3A28">
        <w:t>and calculates an appropriate</w:t>
      </w:r>
      <w:r w:rsidR="00E14CFE">
        <w:t xml:space="preserve"> level of </w:t>
      </w:r>
      <w:r w:rsidR="00812ACE">
        <w:t>funding</w:t>
      </w:r>
      <w:r w:rsidR="00E14CFE">
        <w:t xml:space="preserve"> based on the cos</w:t>
      </w:r>
      <w:r w:rsidR="005A3A28">
        <w:t>t drivers in each case. The conceptual basis for this model</w:t>
      </w:r>
      <w:r w:rsidR="00E14CFE">
        <w:t xml:space="preserve"> </w:t>
      </w:r>
      <w:r w:rsidR="005A3A28">
        <w:t xml:space="preserve">is </w:t>
      </w:r>
      <w:r w:rsidR="00E14CFE">
        <w:t>that variable costs are</w:t>
      </w:r>
      <w:r w:rsidR="006A344C">
        <w:t xml:space="preserve"> </w:t>
      </w:r>
      <w:r w:rsidR="00E14CFE">
        <w:t>driven by individual resident care need</w:t>
      </w:r>
      <w:r w:rsidR="005A3A28">
        <w:t>s</w:t>
      </w:r>
      <w:r w:rsidR="006A344C">
        <w:t xml:space="preserve"> </w:t>
      </w:r>
      <w:r w:rsidR="00E14CFE">
        <w:t>and that fixed</w:t>
      </w:r>
      <w:r w:rsidR="00871492">
        <w:t xml:space="preserve"> care</w:t>
      </w:r>
      <w:r w:rsidR="00E14CFE">
        <w:t xml:space="preserve"> costs are </w:t>
      </w:r>
      <w:r w:rsidR="00812ACE">
        <w:t xml:space="preserve">related to the </w:t>
      </w:r>
      <w:r w:rsidR="00E14CFE">
        <w:t>characteristics of the facility</w:t>
      </w:r>
      <w:r w:rsidR="00AB0F93">
        <w:t xml:space="preserve"> as well as care costs that are shared equally by all residents</w:t>
      </w:r>
      <w:r w:rsidR="00E14CFE">
        <w:t>.</w:t>
      </w:r>
    </w:p>
    <w:p w14:paraId="5A18486C" w14:textId="44319186" w:rsidR="00F55B15" w:rsidRDefault="00E17993" w:rsidP="005F6DFA">
      <w:pPr>
        <w:spacing w:before="240"/>
      </w:pPr>
      <w:r>
        <w:t xml:space="preserve">The fixed care costs include activities such as clinical management, supervision and training as well as the costs of providing shared care within the facility. Shared care is care that is provided generally for the benefit of all residents. It includes time spent in </w:t>
      </w:r>
      <w:r w:rsidR="005A3A28">
        <w:t xml:space="preserve">supervising residents during </w:t>
      </w:r>
      <w:r w:rsidR="005F6DFA">
        <w:t xml:space="preserve">meals and during recreational activities in lounge areas </w:t>
      </w:r>
      <w:r>
        <w:t>and other common spaces</w:t>
      </w:r>
      <w:r w:rsidR="005F6DFA">
        <w:t>. It also includes</w:t>
      </w:r>
      <w:r>
        <w:t xml:space="preserve"> </w:t>
      </w:r>
      <w:r w:rsidR="005F6DFA">
        <w:t xml:space="preserve">supervision across the whole facility during night shift and </w:t>
      </w:r>
      <w:r w:rsidR="00A07697">
        <w:t>brief</w:t>
      </w:r>
      <w:r>
        <w:t xml:space="preserve"> interactions with residents during which individ</w:t>
      </w:r>
      <w:r w:rsidR="005F6DFA">
        <w:t>ualised care is not provided</w:t>
      </w:r>
      <w:r>
        <w:t xml:space="preserve">. </w:t>
      </w:r>
      <w:r w:rsidR="0078593D">
        <w:t>The increased costs of accessing appropriate care staffing and clinical supplies due to remoteness are also facility characteristic related costs and these are included in</w:t>
      </w:r>
      <w:r w:rsidR="004E3DCF">
        <w:t xml:space="preserve"> the fixed care costs analysis.</w:t>
      </w:r>
    </w:p>
    <w:p w14:paraId="709F2DEC" w14:textId="5577E217" w:rsidR="00F55B15" w:rsidRDefault="00F55B15" w:rsidP="005F6DFA">
      <w:pPr>
        <w:spacing w:before="240"/>
      </w:pPr>
      <w:r>
        <w:lastRenderedPageBreak/>
        <w:t>S</w:t>
      </w:r>
      <w:r w:rsidR="00110CC4">
        <w:t>tudy Two involved the</w:t>
      </w:r>
      <w:r w:rsidR="00E17993">
        <w:t xml:space="preserve"> collection of </w:t>
      </w:r>
      <w:r w:rsidR="00110CC4">
        <w:t xml:space="preserve">detailed </w:t>
      </w:r>
      <w:r w:rsidR="00E17993">
        <w:t xml:space="preserve">financial, activity and facility profile data from a nationally representative sample of facilities across Australia. </w:t>
      </w:r>
      <w:r w:rsidR="000C5D0C">
        <w:t>Unlike Study One</w:t>
      </w:r>
      <w:r w:rsidR="00A43B3F">
        <w:t xml:space="preserve">, no resident level assessment or care activity data were collected for this study. </w:t>
      </w:r>
      <w:r w:rsidR="00E17993">
        <w:t xml:space="preserve">The data </w:t>
      </w:r>
      <w:r w:rsidR="0077250C">
        <w:t>were</w:t>
      </w:r>
      <w:r w:rsidR="00E17993">
        <w:t xml:space="preserve"> collected retrospectively </w:t>
      </w:r>
      <w:r w:rsidR="0077250C">
        <w:t xml:space="preserve">for </w:t>
      </w:r>
      <w:r w:rsidR="00E17993">
        <w:t>the eighteen month period July 2016 – December 2017. The profile and activity data w</w:t>
      </w:r>
      <w:r w:rsidR="00AB0F93">
        <w:t>ere</w:t>
      </w:r>
      <w:r w:rsidR="00E17993">
        <w:t xml:space="preserve"> analysed along with the financial data to identify the characteristics of facilities that are associated with observed </w:t>
      </w:r>
      <w:r w:rsidR="00BC2E7A">
        <w:t xml:space="preserve">significant </w:t>
      </w:r>
      <w:r w:rsidR="00E17993">
        <w:t>differences in fixed</w:t>
      </w:r>
      <w:r w:rsidR="00BC2E7A">
        <w:t xml:space="preserve"> care</w:t>
      </w:r>
      <w:r w:rsidR="00E17993">
        <w:t xml:space="preserve"> costs</w:t>
      </w:r>
      <w:r w:rsidR="005F6DFA">
        <w:t xml:space="preserve"> and that may be cost drivers</w:t>
      </w:r>
      <w:r w:rsidR="004E3DCF">
        <w:t>.</w:t>
      </w:r>
    </w:p>
    <w:p w14:paraId="207A2327" w14:textId="10FE783E" w:rsidR="00B30E39" w:rsidRDefault="00A07697" w:rsidP="005F6DFA">
      <w:pPr>
        <w:spacing w:before="240"/>
      </w:pPr>
      <w:r>
        <w:t xml:space="preserve">StewartBrown – Chartered Accountants </w:t>
      </w:r>
      <w:r w:rsidR="000C5D0C" w:rsidRPr="00B30E39">
        <w:t>were engaged to support the data collection for the study and to provide advice on the design of the data collection tool</w:t>
      </w:r>
      <w:r w:rsidR="00BC2E7A">
        <w:t xml:space="preserve">. The aim of the tool design was </w:t>
      </w:r>
      <w:r w:rsidR="0077250C">
        <w:t xml:space="preserve">to </w:t>
      </w:r>
      <w:r>
        <w:t xml:space="preserve">meet the requirements of the study </w:t>
      </w:r>
      <w:r w:rsidR="00BC2E7A">
        <w:t xml:space="preserve">without placing undue </w:t>
      </w:r>
      <w:r w:rsidR="000C5D0C" w:rsidRPr="00B30E39">
        <w:t xml:space="preserve">burden of data collection </w:t>
      </w:r>
      <w:r w:rsidR="00BC2E7A">
        <w:t>on the</w:t>
      </w:r>
      <w:r w:rsidR="000C5D0C" w:rsidRPr="00B30E39">
        <w:t xml:space="preserve"> </w:t>
      </w:r>
      <w:r w:rsidR="007E6042" w:rsidRPr="00B30E39">
        <w:t>participating</w:t>
      </w:r>
      <w:r w:rsidR="000C5D0C" w:rsidRPr="00B30E39">
        <w:t xml:space="preserve"> facilities.</w:t>
      </w:r>
    </w:p>
    <w:p w14:paraId="0E7B4C16" w14:textId="7031F8E1" w:rsidR="000C5D0C" w:rsidRDefault="00B30E39" w:rsidP="005F6DFA">
      <w:pPr>
        <w:spacing w:before="240"/>
      </w:pPr>
      <w:r>
        <w:t xml:space="preserve">The </w:t>
      </w:r>
      <w:r w:rsidR="00F25EE9">
        <w:t>main deliverable for Study Two wa</w:t>
      </w:r>
      <w:r>
        <w:t xml:space="preserve">s the results of </w:t>
      </w:r>
      <w:r w:rsidR="00F25EE9">
        <w:t xml:space="preserve">fixed cost </w:t>
      </w:r>
      <w:r>
        <w:t>analysis and the identification of drivers of the fixed cost</w:t>
      </w:r>
      <w:r w:rsidR="0058552F">
        <w:t>s</w:t>
      </w:r>
      <w:r>
        <w:t xml:space="preserve"> </w:t>
      </w:r>
      <w:r w:rsidR="0058552F">
        <w:t xml:space="preserve">of providing </w:t>
      </w:r>
      <w:r>
        <w:t>residential aged care. These drivers were expected to be identified from a set of facility characteristics that include si</w:t>
      </w:r>
      <w:r w:rsidR="000C4B4B">
        <w:t>ze (number of beds), regional location</w:t>
      </w:r>
      <w:r>
        <w:t xml:space="preserve">, facility ownership and different areas of specialisation such as dementia care, and provision of </w:t>
      </w:r>
      <w:r w:rsidR="00944E0E">
        <w:t>care to indigenous communities.</w:t>
      </w:r>
    </w:p>
    <w:p w14:paraId="2EACBC63" w14:textId="6DD10889" w:rsidR="00E17993" w:rsidRDefault="00E17993" w:rsidP="005F6DFA">
      <w:pPr>
        <w:spacing w:before="240"/>
      </w:pPr>
      <w:r>
        <w:t>The scope for the detailed financial analysis in Study Two includes</w:t>
      </w:r>
      <w:r w:rsidR="00F55B15">
        <w:t>:</w:t>
      </w:r>
    </w:p>
    <w:p w14:paraId="33C3E075" w14:textId="040697CD" w:rsidR="005F6DFA" w:rsidRPr="00944E0E" w:rsidRDefault="00EB320A" w:rsidP="00C718E7">
      <w:pPr>
        <w:pStyle w:val="Bullets"/>
      </w:pPr>
      <w:r>
        <w:t>c</w:t>
      </w:r>
      <w:r w:rsidR="005F6DFA" w:rsidRPr="00944E0E">
        <w:t xml:space="preserve">orporate costs for the </w:t>
      </w:r>
      <w:r w:rsidR="00A43B3F" w:rsidRPr="00944E0E">
        <w:t xml:space="preserve">facility </w:t>
      </w:r>
      <w:r w:rsidR="00626F44">
        <w:t>(w</w:t>
      </w:r>
      <w:r w:rsidR="00A43B3F" w:rsidRPr="00944E0E">
        <w:t xml:space="preserve">here a facility is part of a larger </w:t>
      </w:r>
      <w:r w:rsidR="005F6DFA" w:rsidRPr="00944E0E">
        <w:t>organisation</w:t>
      </w:r>
      <w:r w:rsidR="00A43B3F" w:rsidRPr="00944E0E">
        <w:t xml:space="preserve">, </w:t>
      </w:r>
      <w:r w:rsidR="008F5F39" w:rsidRPr="00944E0E">
        <w:t xml:space="preserve">these </w:t>
      </w:r>
      <w:r w:rsidR="00AB0F93">
        <w:t>are</w:t>
      </w:r>
      <w:r w:rsidR="008F5F39" w:rsidRPr="00944E0E">
        <w:t xml:space="preserve"> proportionally allocated to the facility</w:t>
      </w:r>
      <w:r w:rsidR="00626F44">
        <w:t>)</w:t>
      </w:r>
    </w:p>
    <w:p w14:paraId="7C86AEB5" w14:textId="1A409A0D" w:rsidR="00E17993" w:rsidRPr="00944E0E" w:rsidRDefault="00EB320A" w:rsidP="00C718E7">
      <w:pPr>
        <w:pStyle w:val="Bullets"/>
      </w:pPr>
      <w:r>
        <w:t>c</w:t>
      </w:r>
      <w:r w:rsidR="0058552F" w:rsidRPr="00944E0E">
        <w:t>osts of c</w:t>
      </w:r>
      <w:r w:rsidR="00E17993" w:rsidRPr="00944E0E">
        <w:t>lin</w:t>
      </w:r>
      <w:r w:rsidR="004E3DCF">
        <w:t>ical management of the facility</w:t>
      </w:r>
    </w:p>
    <w:p w14:paraId="55E95D86" w14:textId="67FFC02A" w:rsidR="00E17993" w:rsidRPr="00944E0E" w:rsidRDefault="00EB320A" w:rsidP="00C718E7">
      <w:pPr>
        <w:pStyle w:val="Bullets"/>
      </w:pPr>
      <w:r>
        <w:t>c</w:t>
      </w:r>
      <w:r w:rsidR="0058552F" w:rsidRPr="00944E0E">
        <w:t>osts of c</w:t>
      </w:r>
      <w:r w:rsidR="00E17993" w:rsidRPr="00944E0E">
        <w:t>linical supervision, trai</w:t>
      </w:r>
      <w:r w:rsidR="004E3DCF">
        <w:t>ning and care quality assurance</w:t>
      </w:r>
    </w:p>
    <w:p w14:paraId="74B5BC9C" w14:textId="0713FB51" w:rsidR="00E17993" w:rsidRPr="00944E0E" w:rsidRDefault="00EB320A" w:rsidP="00C718E7">
      <w:pPr>
        <w:pStyle w:val="Bullets"/>
      </w:pPr>
      <w:r>
        <w:t>c</w:t>
      </w:r>
      <w:r w:rsidR="00E17993" w:rsidRPr="00944E0E">
        <w:t>are staff salaries related to shared care time</w:t>
      </w:r>
      <w:r w:rsidR="00135308">
        <w:t>.</w:t>
      </w:r>
    </w:p>
    <w:p w14:paraId="70EDF603" w14:textId="1E9722BB" w:rsidR="00F55B15" w:rsidRDefault="00E17993" w:rsidP="0098545C">
      <w:pPr>
        <w:spacing w:before="240"/>
      </w:pPr>
      <w:r>
        <w:t xml:space="preserve">In addition to the costs that were in scope for detailed analysis, </w:t>
      </w:r>
      <w:r w:rsidR="00F51444">
        <w:t xml:space="preserve">the study also examined </w:t>
      </w:r>
      <w:r>
        <w:t xml:space="preserve">hotel and accommodation costs. Although these costs are out of scope for the proposed funding model, analysis of differences in overall service costs provides a better understanding of issues such as overall service sustainability, particularly for small facilities and those in remote regions. </w:t>
      </w:r>
      <w:r w:rsidR="005F6DFA">
        <w:t xml:space="preserve">Service sustainability is </w:t>
      </w:r>
      <w:r>
        <w:t>addressed through supplementary payments under the current funding model</w:t>
      </w:r>
      <w:r w:rsidR="00135308">
        <w:t>. While not included in this report, a separate a</w:t>
      </w:r>
      <w:r>
        <w:t xml:space="preserve">nalysis </w:t>
      </w:r>
      <w:r w:rsidR="00F51444">
        <w:t xml:space="preserve">of hotel and accommodation costs </w:t>
      </w:r>
      <w:r w:rsidR="00135308">
        <w:t xml:space="preserve">could be used to </w:t>
      </w:r>
      <w:r>
        <w:t xml:space="preserve">inform </w:t>
      </w:r>
      <w:r w:rsidR="00135308">
        <w:t xml:space="preserve">future </w:t>
      </w:r>
      <w:r>
        <w:t>d</w:t>
      </w:r>
      <w:r w:rsidR="005F6DFA">
        <w:t xml:space="preserve">ecisions regarding </w:t>
      </w:r>
      <w:r>
        <w:t>supplem</w:t>
      </w:r>
      <w:r w:rsidR="00F55B15">
        <w:t>entary payments.</w:t>
      </w:r>
    </w:p>
    <w:p w14:paraId="0DCE3704" w14:textId="0D57A7C3" w:rsidR="00E17993" w:rsidRPr="000A23FE" w:rsidRDefault="006D67C3" w:rsidP="00E17993">
      <w:pPr>
        <w:spacing w:before="240"/>
      </w:pPr>
      <w:r>
        <w:t>The findings of Study Two were</w:t>
      </w:r>
      <w:r w:rsidR="000A23FE" w:rsidRPr="000A23FE">
        <w:t xml:space="preserve"> used to </w:t>
      </w:r>
      <w:r w:rsidR="00E17993" w:rsidRPr="000A23FE">
        <w:t xml:space="preserve">inform </w:t>
      </w:r>
      <w:r w:rsidR="000A23FE" w:rsidRPr="000A23FE">
        <w:t xml:space="preserve">fixed payment </w:t>
      </w:r>
      <w:r w:rsidR="00E17993" w:rsidRPr="000A23FE">
        <w:t xml:space="preserve">design </w:t>
      </w:r>
      <w:r w:rsidR="000A23FE" w:rsidRPr="000A23FE">
        <w:t xml:space="preserve">elements </w:t>
      </w:r>
      <w:r w:rsidR="00E17993" w:rsidRPr="000A23FE">
        <w:t xml:space="preserve">of the </w:t>
      </w:r>
      <w:r w:rsidR="000A23FE" w:rsidRPr="000A23FE">
        <w:t xml:space="preserve">fixed and variable blended payment system modelled and tested in </w:t>
      </w:r>
      <w:r w:rsidR="00B40D45">
        <w:t>the casemix profiling study (Study Three)</w:t>
      </w:r>
      <w:r w:rsidR="00B758AB">
        <w:t>.</w:t>
      </w:r>
    </w:p>
    <w:p w14:paraId="792AAD4B" w14:textId="68725143" w:rsidR="0092208F" w:rsidRDefault="0092208F" w:rsidP="008816FF">
      <w:pPr>
        <w:pStyle w:val="Heading2"/>
        <w:numPr>
          <w:ilvl w:val="1"/>
          <w:numId w:val="20"/>
        </w:numPr>
        <w:ind w:left="578" w:hanging="578"/>
      </w:pPr>
      <w:bookmarkStart w:id="37" w:name="_Toc528844260"/>
      <w:bookmarkStart w:id="38" w:name="_Toc952732"/>
      <w:r>
        <w:t>Ethic</w:t>
      </w:r>
      <w:r w:rsidR="00626F44">
        <w:t>al approval</w:t>
      </w:r>
      <w:bookmarkEnd w:id="37"/>
      <w:bookmarkEnd w:id="38"/>
    </w:p>
    <w:p w14:paraId="3B215771" w14:textId="616AB311" w:rsidR="00F55B15" w:rsidRDefault="0092208F" w:rsidP="00583392">
      <w:pPr>
        <w:pStyle w:val="Normal-nospacing"/>
        <w:spacing w:before="240" w:after="0"/>
        <w:rPr>
          <w:rFonts w:ascii="Calibri" w:eastAsiaTheme="majorEastAsia" w:hAnsi="Calibri" w:cstheme="majorBidi"/>
          <w:b/>
          <w:bCs/>
          <w:sz w:val="28"/>
          <w:szCs w:val="28"/>
        </w:rPr>
      </w:pPr>
      <w:r>
        <w:t xml:space="preserve">Ethical approval for all components of the RUCS was granted prior to its commencement by the University of Wollongong </w:t>
      </w:r>
      <w:r w:rsidR="00626F44">
        <w:t>and</w:t>
      </w:r>
      <w:r>
        <w:t xml:space="preserve"> Illawarra Sh</w:t>
      </w:r>
      <w:r w:rsidR="000C4B4B">
        <w:t xml:space="preserve">oalhaven Local Health District </w:t>
      </w:r>
      <w:r w:rsidR="00626F44">
        <w:t xml:space="preserve">Health and Medical Human Research </w:t>
      </w:r>
      <w:r w:rsidR="000C4B4B">
        <w:t>E</w:t>
      </w:r>
      <w:r>
        <w:t xml:space="preserve">thics </w:t>
      </w:r>
      <w:r w:rsidR="000C4B4B">
        <w:t>C</w:t>
      </w:r>
      <w:r>
        <w:t>ommittee</w:t>
      </w:r>
      <w:r w:rsidR="005B34CA">
        <w:t xml:space="preserve"> (</w:t>
      </w:r>
      <w:r w:rsidR="00626F44">
        <w:t>a</w:t>
      </w:r>
      <w:r w:rsidR="005B34CA">
        <w:t>pproval date 21/02/2</w:t>
      </w:r>
      <w:r w:rsidR="00DE7844">
        <w:t>0</w:t>
      </w:r>
      <w:r w:rsidR="005B34CA">
        <w:t>18, Ethics Number 2017/546)</w:t>
      </w:r>
      <w:r w:rsidR="0098545C">
        <w:t>.</w:t>
      </w:r>
      <w:r w:rsidR="00F55B15">
        <w:br w:type="page"/>
      </w:r>
    </w:p>
    <w:p w14:paraId="09244C5E" w14:textId="77777777" w:rsidR="00953754" w:rsidRDefault="00F55B15" w:rsidP="00C06B51">
      <w:pPr>
        <w:pStyle w:val="Heading1"/>
      </w:pPr>
      <w:bookmarkStart w:id="39" w:name="_Toc952733"/>
      <w:r>
        <w:lastRenderedPageBreak/>
        <w:t>S</w:t>
      </w:r>
      <w:r w:rsidR="003D2687">
        <w:t xml:space="preserve">election </w:t>
      </w:r>
      <w:r w:rsidR="005426D7">
        <w:t>and recruitment of S</w:t>
      </w:r>
      <w:r w:rsidR="003D2687">
        <w:t xml:space="preserve">tudy </w:t>
      </w:r>
      <w:r>
        <w:t xml:space="preserve">Two </w:t>
      </w:r>
      <w:r w:rsidR="003D2687">
        <w:t>sites</w:t>
      </w:r>
      <w:bookmarkEnd w:id="39"/>
    </w:p>
    <w:p w14:paraId="50925C1C" w14:textId="77777777" w:rsidR="003D2687" w:rsidRDefault="003D2687" w:rsidP="008816FF">
      <w:pPr>
        <w:pStyle w:val="Heading2"/>
      </w:pPr>
      <w:bookmarkStart w:id="40" w:name="_Toc952734"/>
      <w:r>
        <w:t>Sampl</w:t>
      </w:r>
      <w:r w:rsidR="00E3769B">
        <w:t>e methodology</w:t>
      </w:r>
      <w:bookmarkEnd w:id="40"/>
    </w:p>
    <w:p w14:paraId="68726DF9" w14:textId="5563FBA2" w:rsidR="00F55B15" w:rsidRDefault="00BB3D2B" w:rsidP="00F55B15">
      <w:r>
        <w:t>This study was designed to include a nationally representative sample of</w:t>
      </w:r>
      <w:r w:rsidR="00F55B15">
        <w:t xml:space="preserve"> residential aged care facilities</w:t>
      </w:r>
      <w:r w:rsidR="00135308">
        <w:t xml:space="preserve">. The sampling framework included </w:t>
      </w:r>
      <w:r w:rsidR="00F55B15">
        <w:t>state</w:t>
      </w:r>
      <w:r w:rsidR="00135308">
        <w:t>/territory</w:t>
      </w:r>
      <w:r w:rsidR="00F55B15">
        <w:t xml:space="preserve">, </w:t>
      </w:r>
      <w:r w:rsidR="00135308">
        <w:t xml:space="preserve">remoteness (as measured by the </w:t>
      </w:r>
      <w:r w:rsidR="00F55B15">
        <w:t>‘Australian Standard Geographical Classification – Remoteness Areas’</w:t>
      </w:r>
      <w:r w:rsidR="00135308">
        <w:t>)</w:t>
      </w:r>
      <w:r w:rsidR="00F12BDE">
        <w:t>,</w:t>
      </w:r>
      <w:r w:rsidR="00F55B15">
        <w:t xml:space="preserve"> </w:t>
      </w:r>
      <w:r w:rsidR="00135308">
        <w:t>ownership (</w:t>
      </w:r>
      <w:r w:rsidR="00F55B15">
        <w:t>‘Business Entity Type’</w:t>
      </w:r>
      <w:r w:rsidR="00DF7146">
        <w:t>)</w:t>
      </w:r>
      <w:r w:rsidR="00F12BDE">
        <w:t xml:space="preserve"> and size</w:t>
      </w:r>
      <w:r w:rsidR="00F55B15">
        <w:t>.</w:t>
      </w:r>
    </w:p>
    <w:p w14:paraId="08F1CE8A" w14:textId="77777777" w:rsidR="00F55B15" w:rsidRDefault="00F55B15" w:rsidP="00BB3D2B">
      <w:pPr>
        <w:spacing w:before="240"/>
      </w:pPr>
      <w:r>
        <w:t>To calculate the required sample size for this study, the following assumptions were applied:</w:t>
      </w:r>
    </w:p>
    <w:p w14:paraId="3F8D38E2" w14:textId="166CDECA" w:rsidR="00F55B15" w:rsidRDefault="00F55B15" w:rsidP="00F55B15">
      <w:pPr>
        <w:pStyle w:val="Bullets"/>
      </w:pPr>
      <w:r>
        <w:t>The statistic of interest was the average</w:t>
      </w:r>
      <w:r w:rsidRPr="00E00A69">
        <w:t xml:space="preserve"> </w:t>
      </w:r>
      <w:r w:rsidR="00E00A69" w:rsidRPr="00E00A69">
        <w:rPr>
          <w:rFonts w:cs="Calibri"/>
          <w:color w:val="000000"/>
        </w:rPr>
        <w:t>Aged Care Funding Instrument</w:t>
      </w:r>
      <w:r w:rsidR="00E00A69">
        <w:t xml:space="preserve"> (</w:t>
      </w:r>
      <w:r>
        <w:t>ACFI</w:t>
      </w:r>
      <w:r w:rsidR="00E00A69">
        <w:t>)</w:t>
      </w:r>
      <w:r>
        <w:t xml:space="preserve"> payment per resident per day (as an</w:t>
      </w:r>
      <w:r w:rsidR="00DF7146">
        <w:t xml:space="preserve"> indicator of resident care cost</w:t>
      </w:r>
      <w:r>
        <w:t>). The statistic was based on the 2014</w:t>
      </w:r>
      <w:r w:rsidR="00DF7146">
        <w:t>/</w:t>
      </w:r>
      <w:r>
        <w:t xml:space="preserve">15 </w:t>
      </w:r>
      <w:r w:rsidR="00DF7146">
        <w:t>Commonwealth daily funding allocation</w:t>
      </w:r>
      <w:r>
        <w:t xml:space="preserve"> per facility. The average payment per day across all facilities for this period was $150 with a standard deviation of $35 (x ̅ </w:t>
      </w:r>
      <w:r>
        <w:rPr>
          <w:rFonts w:ascii="Cambria Math" w:hAnsi="Cambria Math" w:cs="Cambria Math"/>
        </w:rPr>
        <w:t>≅</w:t>
      </w:r>
      <w:r>
        <w:t xml:space="preserve"> $150, s </w:t>
      </w:r>
      <w:r>
        <w:rPr>
          <w:rFonts w:ascii="Cambria Math" w:hAnsi="Cambria Math" w:cs="Cambria Math"/>
        </w:rPr>
        <w:t>≅</w:t>
      </w:r>
      <w:r w:rsidR="00944E0E">
        <w:t xml:space="preserve"> $35).</w:t>
      </w:r>
    </w:p>
    <w:p w14:paraId="27CC0B26" w14:textId="14908A78" w:rsidR="00F55B15" w:rsidRDefault="00F55B15" w:rsidP="00F55B15">
      <w:pPr>
        <w:pStyle w:val="Bullets"/>
      </w:pPr>
      <w:r>
        <w:t>A 95% confidence interval</w:t>
      </w:r>
      <w:r w:rsidR="006912EE">
        <w:t xml:space="preserve"> in the sample size determination</w:t>
      </w:r>
      <w:r>
        <w:t>.</w:t>
      </w:r>
    </w:p>
    <w:p w14:paraId="59D46A80" w14:textId="2231839E" w:rsidR="00F55B15" w:rsidRDefault="00F55B15" w:rsidP="00F55B15">
      <w:pPr>
        <w:pStyle w:val="Bullets"/>
      </w:pPr>
      <w:r>
        <w:t>Sensitivity analysis of the margin of error was performed in order to estimate the sample size required for this study. It was determined that with a margin of error of $10 per day, the sample size required would be approxima</w:t>
      </w:r>
      <w:r w:rsidR="00944E0E">
        <w:t>tely 80 non-remote facilities.</w:t>
      </w:r>
    </w:p>
    <w:p w14:paraId="45068518" w14:textId="556DA2A2" w:rsidR="00F55B15" w:rsidRDefault="00F55B15" w:rsidP="00F55B15">
      <w:pPr>
        <w:pStyle w:val="Bullets"/>
      </w:pPr>
      <w:r>
        <w:t xml:space="preserve">As it is likely that remoteness </w:t>
      </w:r>
      <w:r w:rsidR="00AB0F93">
        <w:t>is</w:t>
      </w:r>
      <w:r>
        <w:t xml:space="preserve"> a key influencing factor in facility level fixed costs, a census of facilities in remote areas (approximately 30) was proposed in addition to the 80 identified by the sensitivit</w:t>
      </w:r>
      <w:r w:rsidR="00DF7146">
        <w:t xml:space="preserve">y analysis. This </w:t>
      </w:r>
      <w:r>
        <w:t xml:space="preserve">oversampling of remote and very remote services </w:t>
      </w:r>
      <w:r w:rsidR="00DF7146">
        <w:t xml:space="preserve">would enable valid analysis of </w:t>
      </w:r>
      <w:r w:rsidR="00B758AB">
        <w:t>remoteness a</w:t>
      </w:r>
      <w:r w:rsidR="004E3DCF">
        <w:t>s a driver of fixed cost.</w:t>
      </w:r>
    </w:p>
    <w:p w14:paraId="1EC171D7" w14:textId="77777777" w:rsidR="00F55B15" w:rsidRDefault="00F55B15" w:rsidP="0098545C">
      <w:pPr>
        <w:spacing w:before="240"/>
      </w:pPr>
      <w:r>
        <w:t>Based on these assumptions the total sample size required was 110 facilities.</w:t>
      </w:r>
    </w:p>
    <w:p w14:paraId="6AB95CE5" w14:textId="7B7C5C23" w:rsidR="00F55B15" w:rsidRDefault="00F55B15" w:rsidP="00DF7146">
      <w:pPr>
        <w:spacing w:before="240"/>
      </w:pPr>
      <w:r>
        <w:t>The levels of stratification identi</w:t>
      </w:r>
      <w:r w:rsidR="00DF7146">
        <w:t>fied within the</w:t>
      </w:r>
      <w:r w:rsidR="003431E3">
        <w:t xml:space="preserve"> sample include</w:t>
      </w:r>
      <w:r w:rsidR="00DF7146">
        <w:t>d</w:t>
      </w:r>
      <w:r w:rsidR="0098545C">
        <w:t>:</w:t>
      </w:r>
    </w:p>
    <w:p w14:paraId="642DA02B" w14:textId="5785FE1C" w:rsidR="00F55B15" w:rsidRDefault="009C48C2" w:rsidP="00F55B15">
      <w:pPr>
        <w:pStyle w:val="Bullets"/>
      </w:pPr>
      <w:r>
        <w:t>l</w:t>
      </w:r>
      <w:r w:rsidR="00F55B15">
        <w:t>arge (100+ beds), medium (50-99 beds) and small (</w:t>
      </w:r>
      <w:r w:rsidR="00F12BDE">
        <w:t xml:space="preserve">less than </w:t>
      </w:r>
      <w:r w:rsidR="004E3DCF">
        <w:t>50 beds) facilities</w:t>
      </w:r>
    </w:p>
    <w:p w14:paraId="45668FCD" w14:textId="513A7257" w:rsidR="00F55B15" w:rsidRDefault="009C48C2" w:rsidP="00F55B15">
      <w:pPr>
        <w:pStyle w:val="Bullets"/>
      </w:pPr>
      <w:r>
        <w:t>m</w:t>
      </w:r>
      <w:r w:rsidR="00F55B15">
        <w:t>ajor city/metropolitan, inner regional, outer regional, re</w:t>
      </w:r>
      <w:r w:rsidR="00DE7844">
        <w:t>mote and very remote facilities</w:t>
      </w:r>
    </w:p>
    <w:p w14:paraId="0AA780D2" w14:textId="51FB5D30" w:rsidR="00F55B15" w:rsidRDefault="009C48C2" w:rsidP="00F55B15">
      <w:pPr>
        <w:pStyle w:val="Bullets"/>
      </w:pPr>
      <w:r>
        <w:t>p</w:t>
      </w:r>
      <w:r w:rsidR="00F55B15">
        <w:t>rivate for profit, not for profit, and government run facilities.</w:t>
      </w:r>
    </w:p>
    <w:p w14:paraId="5705A77E" w14:textId="6701F804" w:rsidR="003431E3" w:rsidRDefault="003431E3" w:rsidP="0098545C">
      <w:pPr>
        <w:spacing w:before="240"/>
      </w:pPr>
      <w:r>
        <w:t xml:space="preserve">The number of facilities included within each of the stratified sampling groups is provided in </w:t>
      </w:r>
      <w:r w:rsidR="0064286F">
        <w:fldChar w:fldCharType="begin"/>
      </w:r>
      <w:r w:rsidR="0064286F">
        <w:instrText xml:space="preserve"> REF _Ref532912977 \h </w:instrText>
      </w:r>
      <w:r w:rsidR="0064286F">
        <w:fldChar w:fldCharType="separate"/>
      </w:r>
      <w:r w:rsidR="00043266">
        <w:t xml:space="preserve">Table </w:t>
      </w:r>
      <w:r w:rsidR="00043266">
        <w:rPr>
          <w:noProof/>
        </w:rPr>
        <w:t>1</w:t>
      </w:r>
      <w:r w:rsidR="0064286F">
        <w:fldChar w:fldCharType="end"/>
      </w:r>
      <w:r w:rsidR="004E3DCF">
        <w:t>.</w:t>
      </w:r>
    </w:p>
    <w:p w14:paraId="655986D2" w14:textId="6D40A635" w:rsidR="000A40B3" w:rsidRDefault="00F55B15" w:rsidP="00DF7146">
      <w:pPr>
        <w:spacing w:before="240"/>
      </w:pPr>
      <w:r>
        <w:t>Facilities were initially selected randomly withi</w:t>
      </w:r>
      <w:r w:rsidR="003431E3">
        <w:t>n the stratification levels</w:t>
      </w:r>
      <w:r w:rsidR="007E0955">
        <w:t xml:space="preserve"> </w:t>
      </w:r>
      <w:r w:rsidR="00EF5D5E">
        <w:t xml:space="preserve">after </w:t>
      </w:r>
      <w:r w:rsidR="007E0955">
        <w:t xml:space="preserve">excluding </w:t>
      </w:r>
      <w:r w:rsidR="00EF5D5E">
        <w:t>from the available pool a</w:t>
      </w:r>
      <w:r w:rsidR="007E0955">
        <w:t>n</w:t>
      </w:r>
      <w:r w:rsidR="006240CB">
        <w:t>y</w:t>
      </w:r>
      <w:r w:rsidR="007E0955">
        <w:t xml:space="preserve"> facilities </w:t>
      </w:r>
      <w:r w:rsidR="00EF5D5E">
        <w:t>subject to sanctions</w:t>
      </w:r>
      <w:r w:rsidR="007E0955">
        <w:t xml:space="preserve"> for issues of care quality</w:t>
      </w:r>
      <w:r w:rsidR="003431E3">
        <w:t xml:space="preserve">. </w:t>
      </w:r>
      <w:r w:rsidR="007E0955">
        <w:t xml:space="preserve">The overall selection was then reviewed to ensure that it contained a mix of facilities </w:t>
      </w:r>
      <w:r w:rsidR="00EF5D5E">
        <w:t>providing</w:t>
      </w:r>
      <w:r w:rsidR="007E0955">
        <w:t xml:space="preserve"> services to target populations such as indigenous,</w:t>
      </w:r>
      <w:r w:rsidR="007E0955" w:rsidRPr="00B758AB">
        <w:t xml:space="preserve"> </w:t>
      </w:r>
      <w:r w:rsidR="00B758AB" w:rsidRPr="00B758AB">
        <w:t>c</w:t>
      </w:r>
      <w:r w:rsidR="00B758AB" w:rsidRPr="00B758AB">
        <w:rPr>
          <w:rFonts w:ascii="Calibri" w:hAnsi="Calibri" w:cs="Calibri"/>
          <w:color w:val="000000"/>
        </w:rPr>
        <w:t>ulturally and linguistically diverse</w:t>
      </w:r>
      <w:r w:rsidR="00B758AB" w:rsidRPr="00B758AB">
        <w:t xml:space="preserve"> </w:t>
      </w:r>
      <w:r w:rsidR="00B758AB">
        <w:t>(</w:t>
      </w:r>
      <w:r w:rsidR="007E0955">
        <w:t>CALD</w:t>
      </w:r>
      <w:r w:rsidR="00B758AB">
        <w:t>)</w:t>
      </w:r>
      <w:r w:rsidR="007E0955">
        <w:t>, disabi</w:t>
      </w:r>
      <w:r w:rsidR="00EF5D5E">
        <w:t>lity and mental health and people</w:t>
      </w:r>
      <w:r w:rsidR="007E0955">
        <w:t xml:space="preserve"> with a history of homelessness and drug and alcohol issues. We also ensured that the sample provided a reasonable mix of facilities operated by large and small provider organisations</w:t>
      </w:r>
      <w:r w:rsidR="00EF5D5E">
        <w:t xml:space="preserve"> and </w:t>
      </w:r>
      <w:r w:rsidR="007E0955">
        <w:t>stand-alone facilities.</w:t>
      </w:r>
    </w:p>
    <w:p w14:paraId="36537F06" w14:textId="66897AC3" w:rsidR="007A44F3" w:rsidRDefault="007A44F3">
      <w:r>
        <w:br w:type="page"/>
      </w:r>
    </w:p>
    <w:p w14:paraId="34C171AF" w14:textId="1EFA9CD5" w:rsidR="00465041" w:rsidRDefault="00E818B4" w:rsidP="00200A6E">
      <w:pPr>
        <w:pStyle w:val="Caption"/>
        <w:keepNext/>
      </w:pPr>
      <w:bookmarkStart w:id="41" w:name="_Ref532912977"/>
      <w:bookmarkStart w:id="42" w:name="_Toc866582"/>
      <w:r>
        <w:lastRenderedPageBreak/>
        <w:t xml:space="preserve">Table </w:t>
      </w:r>
      <w:r w:rsidR="0098668B">
        <w:rPr>
          <w:noProof/>
        </w:rPr>
        <w:fldChar w:fldCharType="begin"/>
      </w:r>
      <w:r w:rsidR="0098668B">
        <w:rPr>
          <w:noProof/>
        </w:rPr>
        <w:instrText xml:space="preserve"> SEQ Table \* ARABIC </w:instrText>
      </w:r>
      <w:r w:rsidR="0098668B">
        <w:rPr>
          <w:noProof/>
        </w:rPr>
        <w:fldChar w:fldCharType="separate"/>
      </w:r>
      <w:r w:rsidR="00043266">
        <w:rPr>
          <w:noProof/>
        </w:rPr>
        <w:t>1</w:t>
      </w:r>
      <w:r w:rsidR="0098668B">
        <w:rPr>
          <w:noProof/>
        </w:rPr>
        <w:fldChar w:fldCharType="end"/>
      </w:r>
      <w:bookmarkEnd w:id="41"/>
      <w:r w:rsidR="003025EF">
        <w:rPr>
          <w:noProof/>
        </w:rPr>
        <w:t xml:space="preserve"> </w:t>
      </w:r>
      <w:r w:rsidR="003431E3">
        <w:tab/>
        <w:t>The Study Two stratified sampling matrix</w:t>
      </w:r>
      <w:bookmarkEnd w:id="42"/>
    </w:p>
    <w:p w14:paraId="0F5F4AC8" w14:textId="0A806C2A" w:rsidR="00530C62" w:rsidRPr="00530C62" w:rsidRDefault="00530C62" w:rsidP="00530C62">
      <w:r>
        <w:rPr>
          <w:noProof/>
        </w:rPr>
        <w:drawing>
          <wp:inline distT="0" distB="0" distL="0" distR="0" wp14:anchorId="7BC23543" wp14:editId="13DC3412">
            <wp:extent cx="6080760" cy="3006576"/>
            <wp:effectExtent l="0" t="0" r="0" b="3810"/>
            <wp:docPr id="1" name="Picture 1" descr="This picture shows the study Two stratified sampling matrix specifying type (private for profit, not for profit, government), size (small, medium, large), and number of facilities that were included in each geographically defined category.  ACT/TAS – All Regions: 3 (size and type not applicable). NSW – Major City: Private for Profit: Small -1, Medium – 3, Large2; Not for Profit: Small – 2, Medium – 4, Large – 3; Government: total of 1 for both NSW – Major City and NSW - Regional category (size not applicable). NSW – Regional: Private for Profit: 2 (size not applicable); Not for Profit: Small – 3, Medium – 3, Large – 1. QLD – Major City: Private for Profit: Small – 1, Medium – 2, Large 1; Not for Profit: Small – 1, Medium – 2, Large – 2; Government: total of 1 for both QLD – Major City and QLD – Regional category (size not applicable). QLD Regional: Private for Profit: 1 (size not applicable); Not for Profit: Small – 2, Medium – 2, Large – 1. SA – Major City: Private for Profit: 2 (size not applicable); Not for Profit: Small – 1, Medium – 2, Large – 1; Government: total of 1 for both SA – Major City and SA – Regional category. SA – Regional: 2 (type and size not applicable). VIC – Major City: Private for Profit: Small – 1, Medium – 3, Large – 2; Not for Profit: Small – 2, Medium – 2, Large – 1; Government: 1 (size not applicable). VIC – Regional: Private for Profit: 2 (size not applicable); Not for Profit: 2 (size not applicable); Government: 3 (size not applicable). WA – Major City: Private for Profit: 2 (size not applicable); Not for Profit: Small – 2, Medium – 2, Large – 1; Government: total of 1 for both WA – Major City and WA – Regional category. WA – Regional: Private for Profit and Private not for Profit: total of 1 (size not applicable). Remote/ Very Remote: 30 facilities (type and number not applicable)." title="Table 1 The Study Two stratified sampling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3554" cy="3007957"/>
                    </a:xfrm>
                    <a:prstGeom prst="rect">
                      <a:avLst/>
                    </a:prstGeom>
                  </pic:spPr>
                </pic:pic>
              </a:graphicData>
            </a:graphic>
          </wp:inline>
        </w:drawing>
      </w:r>
    </w:p>
    <w:p w14:paraId="451C53DF" w14:textId="779B5F0D" w:rsidR="003D2687" w:rsidRDefault="003D2687" w:rsidP="008816FF">
      <w:pPr>
        <w:pStyle w:val="Heading2"/>
      </w:pPr>
      <w:bookmarkStart w:id="43" w:name="_Toc533108180"/>
      <w:bookmarkStart w:id="44" w:name="_Toc533152865"/>
      <w:bookmarkStart w:id="45" w:name="_Toc952735"/>
      <w:bookmarkEnd w:id="43"/>
      <w:bookmarkEnd w:id="44"/>
      <w:r>
        <w:t>S</w:t>
      </w:r>
      <w:r w:rsidR="00E3769B">
        <w:t>ample s</w:t>
      </w:r>
      <w:r>
        <w:t>ite</w:t>
      </w:r>
      <w:r w:rsidR="00E3769B">
        <w:t xml:space="preserve"> recruitment</w:t>
      </w:r>
      <w:bookmarkEnd w:id="45"/>
    </w:p>
    <w:p w14:paraId="7395507C" w14:textId="0890ABE4" w:rsidR="00F55B15" w:rsidRDefault="00F55B15" w:rsidP="00F55B15">
      <w:r>
        <w:t xml:space="preserve">A key contact within </w:t>
      </w:r>
      <w:r w:rsidR="00EF5D5E">
        <w:t>each sample facility or parent organisation</w:t>
      </w:r>
      <w:r>
        <w:t xml:space="preserve">, as appropriate, was </w:t>
      </w:r>
      <w:r w:rsidR="00F3468D">
        <w:t xml:space="preserve">formally </w:t>
      </w:r>
      <w:r>
        <w:t>approached</w:t>
      </w:r>
      <w:r w:rsidR="00F3468D">
        <w:t xml:space="preserve"> by AHSRI</w:t>
      </w:r>
      <w:r>
        <w:t xml:space="preserve"> through a letter of invitation</w:t>
      </w:r>
      <w:r w:rsidR="007C5211">
        <w:t xml:space="preserve"> to </w:t>
      </w:r>
      <w:r w:rsidR="00F3468D">
        <w:t xml:space="preserve">participate in </w:t>
      </w:r>
      <w:r w:rsidR="007C5211">
        <w:t>Study Two</w:t>
      </w:r>
      <w:r>
        <w:t xml:space="preserve">. </w:t>
      </w:r>
      <w:r w:rsidR="00CE4C16">
        <w:t>In</w:t>
      </w:r>
      <w:r w:rsidR="00CE4C16" w:rsidRPr="00CE4C16">
        <w:t xml:space="preserve"> cases where a facility declined, another facility from the same sampling cell was invited to participate. </w:t>
      </w:r>
      <w:r>
        <w:t>Agreement to participate was</w:t>
      </w:r>
      <w:r w:rsidR="009A2DE1">
        <w:t xml:space="preserve"> confirmed </w:t>
      </w:r>
      <w:r>
        <w:t>in writing</w:t>
      </w:r>
      <w:r w:rsidR="00B54029">
        <w:t>.</w:t>
      </w:r>
    </w:p>
    <w:p w14:paraId="4F52F884" w14:textId="2A675689" w:rsidR="00F55B15" w:rsidRDefault="00F55B15" w:rsidP="009A2DE1">
      <w:pPr>
        <w:spacing w:before="240"/>
      </w:pPr>
      <w:r>
        <w:t>In some instances more detailed information about the study</w:t>
      </w:r>
      <w:r w:rsidR="00B36C14">
        <w:t>,</w:t>
      </w:r>
      <w:r>
        <w:t xml:space="preserve"> </w:t>
      </w:r>
      <w:r w:rsidR="00B36C14">
        <w:t>including the study protocol</w:t>
      </w:r>
      <w:r w:rsidR="00135308">
        <w:t>,</w:t>
      </w:r>
      <w:r w:rsidR="00B36C14">
        <w:t xml:space="preserve"> </w:t>
      </w:r>
      <w:r w:rsidR="009A2DE1">
        <w:t xml:space="preserve">was </w:t>
      </w:r>
      <w:r w:rsidR="00B36C14">
        <w:t>provided</w:t>
      </w:r>
      <w:r w:rsidR="009A2DE1">
        <w:t xml:space="preserve"> </w:t>
      </w:r>
      <w:r w:rsidR="00B36C14">
        <w:t>to</w:t>
      </w:r>
      <w:r w:rsidR="008F0587">
        <w:t xml:space="preserve"> organisations </w:t>
      </w:r>
      <w:r w:rsidR="009A2DE1">
        <w:t xml:space="preserve">for </w:t>
      </w:r>
      <w:r w:rsidR="008F0587">
        <w:t xml:space="preserve">their </w:t>
      </w:r>
      <w:r w:rsidR="009A2DE1">
        <w:t>consideration</w:t>
      </w:r>
      <w:r w:rsidR="00B36C14">
        <w:t xml:space="preserve"> and an offer of support </w:t>
      </w:r>
      <w:r w:rsidR="00F3468D">
        <w:t xml:space="preserve">for the data collection process </w:t>
      </w:r>
      <w:r>
        <w:t xml:space="preserve">through </w:t>
      </w:r>
      <w:r w:rsidR="004C6EDF">
        <w:t>StewartBrown</w:t>
      </w:r>
      <w:r w:rsidR="00B36C14">
        <w:t xml:space="preserve"> was made in cases where </w:t>
      </w:r>
      <w:r w:rsidR="001C021C">
        <w:t>limited</w:t>
      </w:r>
      <w:r>
        <w:t xml:space="preserve"> local resources would make participation difficult.</w:t>
      </w:r>
    </w:p>
    <w:p w14:paraId="65A149F3" w14:textId="5273D8DE" w:rsidR="001A46D0" w:rsidRDefault="00F55B15" w:rsidP="00F3468D">
      <w:pPr>
        <w:spacing w:before="240"/>
      </w:pPr>
      <w:r>
        <w:t xml:space="preserve">The recruitment process occurred </w:t>
      </w:r>
      <w:r w:rsidR="00F3468D">
        <w:t xml:space="preserve">over the period from </w:t>
      </w:r>
      <w:r w:rsidR="00BD6772">
        <w:t>Jan</w:t>
      </w:r>
      <w:r>
        <w:t xml:space="preserve">uary </w:t>
      </w:r>
      <w:r w:rsidR="00F3468D">
        <w:t>to</w:t>
      </w:r>
      <w:r>
        <w:t xml:space="preserve"> August 2018.</w:t>
      </w:r>
      <w:r w:rsidR="00944E0E">
        <w:t xml:space="preserve"> </w:t>
      </w:r>
      <w:r w:rsidR="00F3468D">
        <w:t xml:space="preserve">On confirmation of participation </w:t>
      </w:r>
      <w:r w:rsidR="009A2DE1">
        <w:t xml:space="preserve">the relevant contact details for each participating </w:t>
      </w:r>
      <w:r w:rsidR="00F3468D">
        <w:t xml:space="preserve">facility were </w:t>
      </w:r>
      <w:r w:rsidR="009A2DE1">
        <w:t>prov</w:t>
      </w:r>
      <w:r w:rsidR="00AB0F93">
        <w:t>ided</w:t>
      </w:r>
      <w:r w:rsidR="009A2DE1">
        <w:t xml:space="preserve"> to StewartBrown</w:t>
      </w:r>
      <w:r w:rsidR="008F0587">
        <w:t xml:space="preserve"> to initiate the data collection process.</w:t>
      </w:r>
    </w:p>
    <w:p w14:paraId="18ABC51F" w14:textId="51D51913" w:rsidR="007A44F3" w:rsidRDefault="00F55B15" w:rsidP="00944E0E">
      <w:pPr>
        <w:spacing w:before="240"/>
      </w:pPr>
      <w:r>
        <w:t xml:space="preserve">The list of facilities recruited to the study is provided in </w:t>
      </w:r>
      <w:r w:rsidR="005B34CA">
        <w:rPr>
          <w:highlight w:val="yellow"/>
        </w:rPr>
        <w:fldChar w:fldCharType="begin"/>
      </w:r>
      <w:r w:rsidR="005B34CA">
        <w:instrText xml:space="preserve"> REF _Ref528920996 \h </w:instrText>
      </w:r>
      <w:r w:rsidR="005B34CA">
        <w:rPr>
          <w:highlight w:val="yellow"/>
        </w:rPr>
      </w:r>
      <w:r w:rsidR="005B34CA">
        <w:rPr>
          <w:highlight w:val="yellow"/>
        </w:rPr>
        <w:fldChar w:fldCharType="separate"/>
      </w:r>
      <w:r w:rsidR="00043266">
        <w:t>Appendix 2</w:t>
      </w:r>
      <w:r w:rsidR="005B34CA">
        <w:rPr>
          <w:highlight w:val="yellow"/>
        </w:rPr>
        <w:fldChar w:fldCharType="end"/>
      </w:r>
      <w:r>
        <w:t>.</w:t>
      </w:r>
    </w:p>
    <w:p w14:paraId="73D26A86" w14:textId="77E1489E" w:rsidR="00F55B15" w:rsidRDefault="00F55B15" w:rsidP="00944E0E">
      <w:pPr>
        <w:spacing w:before="240"/>
        <w:rPr>
          <w:rFonts w:ascii="Calibri" w:eastAsiaTheme="majorEastAsia" w:hAnsi="Calibri" w:cstheme="majorBidi"/>
          <w:b/>
          <w:bCs/>
          <w:sz w:val="28"/>
          <w:szCs w:val="28"/>
        </w:rPr>
      </w:pPr>
      <w:r>
        <w:br w:type="page"/>
      </w:r>
    </w:p>
    <w:p w14:paraId="6A4D911C" w14:textId="77777777" w:rsidR="005426D7" w:rsidRDefault="00E3769B" w:rsidP="00C06B51">
      <w:pPr>
        <w:pStyle w:val="Heading1"/>
      </w:pPr>
      <w:bookmarkStart w:id="46" w:name="_Toc952736"/>
      <w:r>
        <w:lastRenderedPageBreak/>
        <w:t>Study design and data</w:t>
      </w:r>
      <w:r w:rsidR="00F55B15">
        <w:t xml:space="preserve"> collection</w:t>
      </w:r>
      <w:bookmarkEnd w:id="46"/>
    </w:p>
    <w:p w14:paraId="3CC4D7E2" w14:textId="37B23A75" w:rsidR="00E3769B" w:rsidRDefault="00E3769B" w:rsidP="008816FF">
      <w:pPr>
        <w:pStyle w:val="Heading2"/>
      </w:pPr>
      <w:bookmarkStart w:id="47" w:name="_Toc952737"/>
      <w:r>
        <w:t>Overview of design</w:t>
      </w:r>
      <w:bookmarkEnd w:id="47"/>
    </w:p>
    <w:p w14:paraId="669AC47A" w14:textId="47EDC243" w:rsidR="00E031D7" w:rsidRDefault="006D6E29" w:rsidP="00E031D7">
      <w:pPr>
        <w:spacing w:before="240"/>
      </w:pPr>
      <w:r>
        <w:t xml:space="preserve">The overall design of Study Two </w:t>
      </w:r>
      <w:r w:rsidR="00135308">
        <w:t xml:space="preserve">consisted of </w:t>
      </w:r>
      <w:r>
        <w:t>two main components</w:t>
      </w:r>
      <w:r w:rsidR="004C6EDF">
        <w:t>;</w:t>
      </w:r>
      <w:r>
        <w:t xml:space="preserve"> the design and methodology for data collection and the cost allocation and analysis</w:t>
      </w:r>
      <w:r w:rsidR="004E3DCF">
        <w:t>.</w:t>
      </w:r>
    </w:p>
    <w:p w14:paraId="5A70722E" w14:textId="760555AC" w:rsidR="00B63B16" w:rsidRDefault="00017CDD" w:rsidP="00017CDD">
      <w:pPr>
        <w:spacing w:before="240"/>
      </w:pPr>
      <w:r>
        <w:t xml:space="preserve">The design of the data collection template was finalised </w:t>
      </w:r>
      <w:r w:rsidR="004C25A4">
        <w:t>with input from</w:t>
      </w:r>
      <w:r>
        <w:t xml:space="preserve"> StewartBrown. </w:t>
      </w:r>
      <w:r w:rsidR="004C25A4">
        <w:t xml:space="preserve">As </w:t>
      </w:r>
      <w:r w:rsidR="004A6E0F">
        <w:t xml:space="preserve">StewartBrown operates a financial benchmarking program </w:t>
      </w:r>
      <w:r w:rsidR="00B002DC">
        <w:t>involving</w:t>
      </w:r>
      <w:r w:rsidR="004A6E0F">
        <w:t xml:space="preserve"> a</w:t>
      </w:r>
      <w:r w:rsidR="00F75E91">
        <w:t>pproximately 900</w:t>
      </w:r>
      <w:r w:rsidR="00B06894">
        <w:t xml:space="preserve"> </w:t>
      </w:r>
      <w:r w:rsidR="005B34CA">
        <w:t xml:space="preserve">residential </w:t>
      </w:r>
      <w:r w:rsidR="00B06894">
        <w:t>facilitie</w:t>
      </w:r>
      <w:r w:rsidR="00E66574">
        <w:t>s across Australia</w:t>
      </w:r>
      <w:r w:rsidR="004A6E0F">
        <w:t>,</w:t>
      </w:r>
      <w:r w:rsidR="00F75E91">
        <w:t xml:space="preserve"> </w:t>
      </w:r>
      <w:r w:rsidR="004C25A4">
        <w:t>it was considered that s</w:t>
      </w:r>
      <w:r w:rsidR="00170B22">
        <w:t xml:space="preserve">tudy participation </w:t>
      </w:r>
      <w:r w:rsidR="004C25A4">
        <w:t>would be</w:t>
      </w:r>
      <w:r w:rsidR="007E7347">
        <w:t xml:space="preserve"> facilitated by aligning </w:t>
      </w:r>
      <w:r w:rsidR="00B002DC">
        <w:t>the data collection</w:t>
      </w:r>
      <w:r w:rsidR="007E7347">
        <w:t xml:space="preserve"> </w:t>
      </w:r>
      <w:r w:rsidR="00170B22">
        <w:t>wherever possible</w:t>
      </w:r>
      <w:r w:rsidR="00E66574">
        <w:t xml:space="preserve"> with the</w:t>
      </w:r>
      <w:r w:rsidR="004C25A4">
        <w:t xml:space="preserve">ir </w:t>
      </w:r>
      <w:r w:rsidR="005A0F28">
        <w:t>process</w:t>
      </w:r>
      <w:r w:rsidR="00170B22">
        <w:t>.</w:t>
      </w:r>
      <w:r w:rsidR="00F75E91">
        <w:t xml:space="preserve"> The </w:t>
      </w:r>
      <w:r w:rsidR="005A0F28">
        <w:t>Study Two data collection</w:t>
      </w:r>
      <w:r w:rsidR="001E3A74">
        <w:t xml:space="preserve"> tool</w:t>
      </w:r>
      <w:r w:rsidR="005A0F28">
        <w:t xml:space="preserve"> was</w:t>
      </w:r>
      <w:r w:rsidR="00B002DC">
        <w:t xml:space="preserve"> therefore</w:t>
      </w:r>
      <w:r w:rsidR="005A0F28">
        <w:t xml:space="preserve"> developed based on the </w:t>
      </w:r>
      <w:r w:rsidR="00F75E91">
        <w:t xml:space="preserve">StewartBrown </w:t>
      </w:r>
      <w:r w:rsidR="001E3A74">
        <w:t xml:space="preserve">template </w:t>
      </w:r>
      <w:r w:rsidR="00F75E91">
        <w:t xml:space="preserve">with adjustments </w:t>
      </w:r>
      <w:r w:rsidR="001E3A74">
        <w:t>made</w:t>
      </w:r>
      <w:r w:rsidR="005B34CA">
        <w:t>, as</w:t>
      </w:r>
      <w:r w:rsidR="00B002DC">
        <w:t xml:space="preserve"> appropriate</w:t>
      </w:r>
      <w:r w:rsidR="005B34CA">
        <w:t>,</w:t>
      </w:r>
      <w:r w:rsidR="001E3A74">
        <w:t xml:space="preserve"> </w:t>
      </w:r>
      <w:r w:rsidR="00F75E91">
        <w:t xml:space="preserve">to accommodate the </w:t>
      </w:r>
      <w:r w:rsidR="00E66574">
        <w:t>specific</w:t>
      </w:r>
      <w:r w:rsidR="001E3A74">
        <w:t xml:space="preserve"> </w:t>
      </w:r>
      <w:r w:rsidR="00B758AB">
        <w:t xml:space="preserve">cost analysis </w:t>
      </w:r>
      <w:r w:rsidR="001E3A74">
        <w:t>requirements</w:t>
      </w:r>
      <w:r w:rsidR="004E3DCF">
        <w:t>.</w:t>
      </w:r>
    </w:p>
    <w:p w14:paraId="26D94433" w14:textId="43E38A24" w:rsidR="00F55B15" w:rsidRDefault="00B002DC" w:rsidP="008058AE">
      <w:pPr>
        <w:spacing w:before="240"/>
      </w:pPr>
      <w:r>
        <w:t>The data collection tool i</w:t>
      </w:r>
      <w:r w:rsidR="00F55B15">
        <w:t xml:space="preserve">s an Excel workbook </w:t>
      </w:r>
      <w:r w:rsidR="001E3A74">
        <w:t>with</w:t>
      </w:r>
      <w:r w:rsidR="00F55B15">
        <w:t xml:space="preserve"> five separate tabs. Four of these tabs were </w:t>
      </w:r>
      <w:r w:rsidR="001E3A74">
        <w:t>used for the collection of data and the fifth included statements of scope and data item definitions to support the</w:t>
      </w:r>
      <w:r w:rsidR="00F55B15">
        <w:t xml:space="preserve"> collection. </w:t>
      </w:r>
      <w:r w:rsidR="001E3A74">
        <w:t xml:space="preserve">Each of the </w:t>
      </w:r>
      <w:r w:rsidR="0024641E">
        <w:t xml:space="preserve">four data </w:t>
      </w:r>
      <w:r>
        <w:t xml:space="preserve">collection </w:t>
      </w:r>
      <w:r w:rsidR="00F55B15">
        <w:t xml:space="preserve">tabs </w:t>
      </w:r>
      <w:r w:rsidR="00E66574">
        <w:t xml:space="preserve">are </w:t>
      </w:r>
      <w:r>
        <w:t>listed</w:t>
      </w:r>
      <w:r w:rsidR="001E3A74">
        <w:t xml:space="preserve"> in </w:t>
      </w:r>
      <w:r w:rsidR="001E3A74">
        <w:fldChar w:fldCharType="begin"/>
      </w:r>
      <w:r w:rsidR="001E3A74">
        <w:instrText xml:space="preserve"> REF _Ref528512093 \h </w:instrText>
      </w:r>
      <w:r w:rsidR="001E3A74">
        <w:fldChar w:fldCharType="separate"/>
      </w:r>
      <w:r w:rsidR="00043266">
        <w:t xml:space="preserve">Table </w:t>
      </w:r>
      <w:r w:rsidR="00043266">
        <w:rPr>
          <w:noProof/>
        </w:rPr>
        <w:t>2</w:t>
      </w:r>
      <w:r w:rsidR="001E3A74">
        <w:fldChar w:fldCharType="end"/>
      </w:r>
      <w:r w:rsidR="001E3A74">
        <w:t xml:space="preserve"> </w:t>
      </w:r>
      <w:r w:rsidR="00FC6E57">
        <w:t xml:space="preserve">below </w:t>
      </w:r>
      <w:r>
        <w:t xml:space="preserve">with </w:t>
      </w:r>
      <w:r w:rsidR="001E3A74">
        <w:t xml:space="preserve">the </w:t>
      </w:r>
      <w:r w:rsidR="00F55B15">
        <w:t xml:space="preserve">purpose </w:t>
      </w:r>
      <w:r w:rsidR="00E66574">
        <w:t xml:space="preserve">of </w:t>
      </w:r>
      <w:r>
        <w:t xml:space="preserve">collecting </w:t>
      </w:r>
      <w:r w:rsidR="005B34CA">
        <w:t>the data identified in e</w:t>
      </w:r>
      <w:r>
        <w:t>ach</w:t>
      </w:r>
      <w:r w:rsidR="005B34CA">
        <w:t xml:space="preserve"> case</w:t>
      </w:r>
      <w:r w:rsidR="00E66574">
        <w:t>.</w:t>
      </w:r>
      <w:r w:rsidR="008058AE">
        <w:t xml:space="preserve"> The</w:t>
      </w:r>
      <w:r w:rsidR="00535FB0">
        <w:t xml:space="preserve"> </w:t>
      </w:r>
      <w:r w:rsidR="00FC6E57">
        <w:t xml:space="preserve">full </w:t>
      </w:r>
      <w:r w:rsidR="00535FB0">
        <w:t>list</w:t>
      </w:r>
      <w:r w:rsidR="008058AE">
        <w:t xml:space="preserve"> </w:t>
      </w:r>
      <w:r w:rsidR="00FC6E57">
        <w:t xml:space="preserve">of </w:t>
      </w:r>
      <w:r w:rsidR="008058AE">
        <w:t xml:space="preserve">data items </w:t>
      </w:r>
      <w:r w:rsidR="00535FB0">
        <w:t xml:space="preserve">included in the collection </w:t>
      </w:r>
      <w:r w:rsidR="006B3CFD">
        <w:t xml:space="preserve">and the corresponding data definitions </w:t>
      </w:r>
      <w:r w:rsidR="00535FB0">
        <w:t xml:space="preserve">are provided in </w:t>
      </w:r>
      <w:r w:rsidR="005B34CA">
        <w:fldChar w:fldCharType="begin"/>
      </w:r>
      <w:r w:rsidR="005B34CA">
        <w:instrText xml:space="preserve"> REF _Ref528921339 \h </w:instrText>
      </w:r>
      <w:r w:rsidR="005B34CA">
        <w:fldChar w:fldCharType="separate"/>
      </w:r>
      <w:r w:rsidR="00043266">
        <w:t>Appendix 3</w:t>
      </w:r>
      <w:r w:rsidR="005B34CA">
        <w:fldChar w:fldCharType="end"/>
      </w:r>
      <w:r w:rsidR="006B3CFD">
        <w:t xml:space="preserve"> and </w:t>
      </w:r>
      <w:r w:rsidR="006B3CFD">
        <w:fldChar w:fldCharType="begin"/>
      </w:r>
      <w:r w:rsidR="006B3CFD">
        <w:instrText xml:space="preserve"> REF _Ref528932761 \h </w:instrText>
      </w:r>
      <w:r w:rsidR="006B3CFD">
        <w:fldChar w:fldCharType="separate"/>
      </w:r>
      <w:r w:rsidR="00043266">
        <w:t>Appendix 4</w:t>
      </w:r>
      <w:r w:rsidR="006B3CFD">
        <w:fldChar w:fldCharType="end"/>
      </w:r>
      <w:r w:rsidR="004E3DCF">
        <w:t>.</w:t>
      </w:r>
    </w:p>
    <w:p w14:paraId="781A2B2C" w14:textId="0D2082B8" w:rsidR="00465041" w:rsidRDefault="00E818B4" w:rsidP="00877115">
      <w:pPr>
        <w:pStyle w:val="Caption"/>
        <w:keepNext/>
      </w:pPr>
      <w:bookmarkStart w:id="48" w:name="_Ref528512093"/>
      <w:bookmarkStart w:id="49" w:name="_Toc866583"/>
      <w:r>
        <w:t>Table</w:t>
      </w:r>
      <w:r w:rsidR="001E3A74">
        <w:t xml:space="preserve"> </w:t>
      </w:r>
      <w:r w:rsidR="0098668B">
        <w:rPr>
          <w:noProof/>
        </w:rPr>
        <w:fldChar w:fldCharType="begin"/>
      </w:r>
      <w:r w:rsidR="0098668B">
        <w:rPr>
          <w:noProof/>
        </w:rPr>
        <w:instrText xml:space="preserve"> SEQ Table \* ARABIC </w:instrText>
      </w:r>
      <w:r w:rsidR="0098668B">
        <w:rPr>
          <w:noProof/>
        </w:rPr>
        <w:fldChar w:fldCharType="separate"/>
      </w:r>
      <w:r w:rsidR="00043266">
        <w:rPr>
          <w:noProof/>
        </w:rPr>
        <w:t>2</w:t>
      </w:r>
      <w:r w:rsidR="0098668B">
        <w:rPr>
          <w:noProof/>
        </w:rPr>
        <w:fldChar w:fldCharType="end"/>
      </w:r>
      <w:bookmarkEnd w:id="48"/>
      <w:r w:rsidR="003025EF">
        <w:rPr>
          <w:noProof/>
        </w:rPr>
        <w:t xml:space="preserve"> </w:t>
      </w:r>
      <w:r w:rsidR="00B002DC">
        <w:tab/>
      </w:r>
      <w:r w:rsidR="001E3A74" w:rsidRPr="00B002DC">
        <w:t>Study Two data collection template overview</w:t>
      </w:r>
      <w:bookmarkEnd w:id="49"/>
    </w:p>
    <w:tbl>
      <w:tblPr>
        <w:tblStyle w:val="TableGrid"/>
        <w:tblW w:w="0" w:type="auto"/>
        <w:tblLook w:val="04A0" w:firstRow="1" w:lastRow="0" w:firstColumn="1" w:lastColumn="0" w:noHBand="0" w:noVBand="1"/>
        <w:tblCaption w:val="Table 2  Study Two data collection template overview"/>
        <w:tblDescription w:val="The data collection tool is an Excel workbook with five separate tabs. Table 2 lists four of these tabs that were used for the collection of data by StewartBrown and describes the purpose of collection for each tab. This table is to be read as a series of rows from left to right ('data collected' then 'purpose of collection'), top to bottom."/>
      </w:tblPr>
      <w:tblGrid>
        <w:gridCol w:w="3369"/>
        <w:gridCol w:w="5975"/>
      </w:tblGrid>
      <w:tr w:rsidR="008058AE" w:rsidRPr="00626F44" w14:paraId="54EB53B6" w14:textId="77777777" w:rsidTr="005567D1">
        <w:trPr>
          <w:tblHeader/>
        </w:trPr>
        <w:tc>
          <w:tcPr>
            <w:tcW w:w="3369" w:type="dxa"/>
            <w:shd w:val="clear" w:color="auto" w:fill="D9D9D9" w:themeFill="background1" w:themeFillShade="D9"/>
          </w:tcPr>
          <w:p w14:paraId="1EF71E3D" w14:textId="77777777" w:rsidR="008058AE" w:rsidRPr="007E5399" w:rsidRDefault="008058AE" w:rsidP="00944E0E">
            <w:pPr>
              <w:spacing w:before="40" w:after="40"/>
              <w:rPr>
                <w:b/>
                <w:sz w:val="20"/>
                <w:szCs w:val="20"/>
              </w:rPr>
            </w:pPr>
            <w:r w:rsidRPr="007E5399">
              <w:rPr>
                <w:b/>
                <w:sz w:val="20"/>
                <w:szCs w:val="20"/>
              </w:rPr>
              <w:t>Tab – Data collected</w:t>
            </w:r>
          </w:p>
        </w:tc>
        <w:tc>
          <w:tcPr>
            <w:tcW w:w="5975" w:type="dxa"/>
            <w:shd w:val="clear" w:color="auto" w:fill="D9D9D9" w:themeFill="background1" w:themeFillShade="D9"/>
          </w:tcPr>
          <w:p w14:paraId="094FC954" w14:textId="77777777" w:rsidR="008058AE" w:rsidRPr="007E5399" w:rsidRDefault="008058AE" w:rsidP="00944E0E">
            <w:pPr>
              <w:spacing w:before="40" w:after="40"/>
              <w:rPr>
                <w:b/>
                <w:sz w:val="20"/>
                <w:szCs w:val="20"/>
              </w:rPr>
            </w:pPr>
            <w:r w:rsidRPr="007E5399">
              <w:rPr>
                <w:b/>
                <w:sz w:val="20"/>
                <w:szCs w:val="20"/>
              </w:rPr>
              <w:t>Pur</w:t>
            </w:r>
            <w:r w:rsidR="00465041" w:rsidRPr="007E5399">
              <w:rPr>
                <w:b/>
                <w:sz w:val="20"/>
                <w:szCs w:val="20"/>
              </w:rPr>
              <w:t>po</w:t>
            </w:r>
            <w:r w:rsidRPr="007E5399">
              <w:rPr>
                <w:b/>
                <w:sz w:val="20"/>
                <w:szCs w:val="20"/>
              </w:rPr>
              <w:t xml:space="preserve">se </w:t>
            </w:r>
            <w:r w:rsidR="00171B8A" w:rsidRPr="007E5399">
              <w:rPr>
                <w:b/>
                <w:sz w:val="20"/>
                <w:szCs w:val="20"/>
              </w:rPr>
              <w:t>of collection</w:t>
            </w:r>
          </w:p>
        </w:tc>
      </w:tr>
      <w:tr w:rsidR="008058AE" w:rsidRPr="00626F44" w14:paraId="279DF356" w14:textId="77777777" w:rsidTr="003025EF">
        <w:tc>
          <w:tcPr>
            <w:tcW w:w="3369" w:type="dxa"/>
          </w:tcPr>
          <w:p w14:paraId="62F74FCC" w14:textId="77777777" w:rsidR="008058AE" w:rsidRPr="007E5399" w:rsidRDefault="008058AE" w:rsidP="00944E0E">
            <w:pPr>
              <w:spacing w:before="40" w:after="40"/>
              <w:rPr>
                <w:sz w:val="20"/>
                <w:szCs w:val="20"/>
              </w:rPr>
            </w:pPr>
            <w:r w:rsidRPr="007E5399">
              <w:rPr>
                <w:sz w:val="20"/>
                <w:szCs w:val="20"/>
              </w:rPr>
              <w:t>Tab 1 -</w:t>
            </w:r>
            <w:r w:rsidR="004915BC" w:rsidRPr="007E5399">
              <w:rPr>
                <w:sz w:val="20"/>
                <w:szCs w:val="20"/>
              </w:rPr>
              <w:t xml:space="preserve"> </w:t>
            </w:r>
            <w:r w:rsidRPr="007E5399">
              <w:rPr>
                <w:sz w:val="20"/>
                <w:szCs w:val="20"/>
              </w:rPr>
              <w:t>Residential facility profile data</w:t>
            </w:r>
          </w:p>
        </w:tc>
        <w:tc>
          <w:tcPr>
            <w:tcW w:w="5975" w:type="dxa"/>
          </w:tcPr>
          <w:p w14:paraId="44BD276A" w14:textId="6E1A6628" w:rsidR="008058AE" w:rsidRPr="007E5399" w:rsidRDefault="009B4C1E" w:rsidP="003025EF">
            <w:pPr>
              <w:spacing w:before="40" w:after="40"/>
              <w:rPr>
                <w:b/>
                <w:sz w:val="20"/>
                <w:szCs w:val="20"/>
              </w:rPr>
            </w:pPr>
            <w:r w:rsidRPr="007E5399">
              <w:rPr>
                <w:sz w:val="20"/>
                <w:szCs w:val="20"/>
              </w:rPr>
              <w:t>T</w:t>
            </w:r>
            <w:r w:rsidR="008058AE" w:rsidRPr="007E5399">
              <w:rPr>
                <w:sz w:val="20"/>
                <w:szCs w:val="20"/>
              </w:rPr>
              <w:t xml:space="preserve">o enable the analysis of characteristics of facilities other than size, </w:t>
            </w:r>
            <w:r w:rsidR="003025EF">
              <w:rPr>
                <w:sz w:val="20"/>
                <w:szCs w:val="20"/>
              </w:rPr>
              <w:t>geographical location</w:t>
            </w:r>
            <w:r w:rsidR="003025EF" w:rsidRPr="007E5399">
              <w:rPr>
                <w:sz w:val="20"/>
                <w:szCs w:val="20"/>
              </w:rPr>
              <w:t xml:space="preserve"> </w:t>
            </w:r>
            <w:r w:rsidR="008058AE" w:rsidRPr="007E5399">
              <w:rPr>
                <w:sz w:val="20"/>
                <w:szCs w:val="20"/>
              </w:rPr>
              <w:t>and ownership type that may drive costs.</w:t>
            </w:r>
            <w:r w:rsidR="00B002DC" w:rsidRPr="007E5399">
              <w:rPr>
                <w:sz w:val="20"/>
                <w:szCs w:val="20"/>
              </w:rPr>
              <w:t xml:space="preserve"> These included building design and service delivery model.</w:t>
            </w:r>
          </w:p>
        </w:tc>
      </w:tr>
      <w:tr w:rsidR="008058AE" w:rsidRPr="00626F44" w14:paraId="630D68DB" w14:textId="77777777" w:rsidTr="003025EF">
        <w:tc>
          <w:tcPr>
            <w:tcW w:w="3369" w:type="dxa"/>
          </w:tcPr>
          <w:p w14:paraId="718CFE4F" w14:textId="77777777" w:rsidR="008058AE" w:rsidRPr="007E5399" w:rsidRDefault="008058AE" w:rsidP="00944E0E">
            <w:pPr>
              <w:spacing w:before="40" w:after="40"/>
              <w:rPr>
                <w:sz w:val="20"/>
                <w:szCs w:val="20"/>
              </w:rPr>
            </w:pPr>
            <w:r w:rsidRPr="007E5399">
              <w:rPr>
                <w:sz w:val="20"/>
                <w:szCs w:val="20"/>
              </w:rPr>
              <w:t>Tab 2 -</w:t>
            </w:r>
            <w:r w:rsidR="004915BC" w:rsidRPr="007E5399">
              <w:rPr>
                <w:sz w:val="20"/>
                <w:szCs w:val="20"/>
              </w:rPr>
              <w:t xml:space="preserve"> </w:t>
            </w:r>
            <w:r w:rsidRPr="007E5399">
              <w:rPr>
                <w:sz w:val="20"/>
                <w:szCs w:val="20"/>
              </w:rPr>
              <w:t>Financial data</w:t>
            </w:r>
          </w:p>
        </w:tc>
        <w:tc>
          <w:tcPr>
            <w:tcW w:w="5975" w:type="dxa"/>
          </w:tcPr>
          <w:p w14:paraId="49051542" w14:textId="55B7E761" w:rsidR="008058AE" w:rsidRPr="007E5399" w:rsidRDefault="009B4C1E" w:rsidP="00DC6C9D">
            <w:pPr>
              <w:spacing w:before="40" w:after="40"/>
              <w:rPr>
                <w:b/>
                <w:sz w:val="20"/>
                <w:szCs w:val="20"/>
              </w:rPr>
            </w:pPr>
            <w:r w:rsidRPr="007E5399">
              <w:rPr>
                <w:sz w:val="20"/>
                <w:szCs w:val="20"/>
              </w:rPr>
              <w:t>To enable the</w:t>
            </w:r>
            <w:r w:rsidR="008058AE" w:rsidRPr="007E5399">
              <w:rPr>
                <w:sz w:val="20"/>
                <w:szCs w:val="20"/>
              </w:rPr>
              <w:t xml:space="preserve"> analysis of </w:t>
            </w:r>
            <w:r w:rsidRPr="007E5399">
              <w:rPr>
                <w:sz w:val="20"/>
                <w:szCs w:val="20"/>
              </w:rPr>
              <w:t xml:space="preserve">fixed </w:t>
            </w:r>
            <w:r w:rsidR="008058AE" w:rsidRPr="007E5399">
              <w:rPr>
                <w:sz w:val="20"/>
                <w:szCs w:val="20"/>
              </w:rPr>
              <w:t>cost per bed day</w:t>
            </w:r>
            <w:r w:rsidRPr="007E5399">
              <w:rPr>
                <w:sz w:val="20"/>
                <w:szCs w:val="20"/>
              </w:rPr>
              <w:t xml:space="preserve"> across different facilities</w:t>
            </w:r>
            <w:r w:rsidR="008058AE" w:rsidRPr="007E5399">
              <w:rPr>
                <w:sz w:val="20"/>
                <w:szCs w:val="20"/>
              </w:rPr>
              <w:t>. Expense data was provided in a detailed breakdown by salary and non-salary expense types to enable analysis at a granular level</w:t>
            </w:r>
            <w:r w:rsidR="00535FB0" w:rsidRPr="007E5399">
              <w:rPr>
                <w:sz w:val="20"/>
                <w:szCs w:val="20"/>
              </w:rPr>
              <w:t>. Data were provided for corporate, direct and indirect care related and hotel and accommodation expenses.</w:t>
            </w:r>
          </w:p>
        </w:tc>
      </w:tr>
      <w:tr w:rsidR="008058AE" w:rsidRPr="00626F44" w14:paraId="63B858DA" w14:textId="77777777" w:rsidTr="003025EF">
        <w:tc>
          <w:tcPr>
            <w:tcW w:w="3369" w:type="dxa"/>
          </w:tcPr>
          <w:p w14:paraId="147C7845" w14:textId="77777777" w:rsidR="008058AE" w:rsidRPr="007E5399" w:rsidRDefault="008058AE" w:rsidP="00944E0E">
            <w:pPr>
              <w:spacing w:before="40" w:after="40"/>
              <w:rPr>
                <w:sz w:val="20"/>
                <w:szCs w:val="20"/>
              </w:rPr>
            </w:pPr>
            <w:r w:rsidRPr="007E5399">
              <w:rPr>
                <w:sz w:val="20"/>
                <w:szCs w:val="20"/>
              </w:rPr>
              <w:t>Tab 3 -</w:t>
            </w:r>
            <w:r w:rsidR="004915BC" w:rsidRPr="007E5399">
              <w:rPr>
                <w:sz w:val="20"/>
                <w:szCs w:val="20"/>
              </w:rPr>
              <w:t xml:space="preserve"> </w:t>
            </w:r>
            <w:r w:rsidRPr="007E5399">
              <w:rPr>
                <w:sz w:val="20"/>
                <w:szCs w:val="20"/>
              </w:rPr>
              <w:t>Bed day and occupancy data</w:t>
            </w:r>
          </w:p>
        </w:tc>
        <w:tc>
          <w:tcPr>
            <w:tcW w:w="5975" w:type="dxa"/>
          </w:tcPr>
          <w:p w14:paraId="061EB953" w14:textId="77777777" w:rsidR="008058AE" w:rsidRPr="007E5399" w:rsidRDefault="009B4C1E" w:rsidP="00944E0E">
            <w:pPr>
              <w:spacing w:before="40" w:after="40"/>
              <w:rPr>
                <w:b/>
                <w:sz w:val="20"/>
                <w:szCs w:val="20"/>
              </w:rPr>
            </w:pPr>
            <w:r w:rsidRPr="007E5399">
              <w:rPr>
                <w:sz w:val="20"/>
                <w:szCs w:val="20"/>
              </w:rPr>
              <w:t>T</w:t>
            </w:r>
            <w:r w:rsidR="008058AE" w:rsidRPr="007E5399">
              <w:rPr>
                <w:sz w:val="20"/>
                <w:szCs w:val="20"/>
              </w:rPr>
              <w:t>o enable the analysis of changes in occupancy and potential seasonal effects.</w:t>
            </w:r>
          </w:p>
        </w:tc>
      </w:tr>
      <w:tr w:rsidR="008058AE" w:rsidRPr="00626F44" w14:paraId="709CAF5A" w14:textId="77777777" w:rsidTr="003025EF">
        <w:tc>
          <w:tcPr>
            <w:tcW w:w="3369" w:type="dxa"/>
          </w:tcPr>
          <w:p w14:paraId="323589C6" w14:textId="231CD2D8" w:rsidR="008058AE" w:rsidRPr="007E5399" w:rsidRDefault="008058AE" w:rsidP="00944E0E">
            <w:pPr>
              <w:spacing w:before="40" w:after="40"/>
              <w:rPr>
                <w:sz w:val="20"/>
                <w:szCs w:val="20"/>
              </w:rPr>
            </w:pPr>
            <w:r w:rsidRPr="007E5399">
              <w:rPr>
                <w:sz w:val="20"/>
                <w:szCs w:val="20"/>
              </w:rPr>
              <w:t>Tab 4 -</w:t>
            </w:r>
            <w:r w:rsidR="004915BC" w:rsidRPr="007E5399">
              <w:rPr>
                <w:sz w:val="20"/>
                <w:szCs w:val="20"/>
              </w:rPr>
              <w:t xml:space="preserve"> </w:t>
            </w:r>
            <w:r w:rsidR="00AB0F93" w:rsidRPr="007E5399">
              <w:rPr>
                <w:sz w:val="20"/>
                <w:szCs w:val="20"/>
              </w:rPr>
              <w:t>Staff h</w:t>
            </w:r>
            <w:r w:rsidRPr="007E5399">
              <w:rPr>
                <w:sz w:val="20"/>
                <w:szCs w:val="20"/>
              </w:rPr>
              <w:t>ours</w:t>
            </w:r>
          </w:p>
        </w:tc>
        <w:tc>
          <w:tcPr>
            <w:tcW w:w="5975" w:type="dxa"/>
          </w:tcPr>
          <w:p w14:paraId="4AF33DF5" w14:textId="7F4F76D9" w:rsidR="008058AE" w:rsidRPr="007E5399" w:rsidRDefault="00535FB0" w:rsidP="00944E0E">
            <w:pPr>
              <w:spacing w:before="40" w:after="40"/>
              <w:rPr>
                <w:sz w:val="20"/>
                <w:szCs w:val="20"/>
              </w:rPr>
            </w:pPr>
            <w:r w:rsidRPr="007E5399">
              <w:rPr>
                <w:sz w:val="20"/>
                <w:szCs w:val="20"/>
                <w:shd w:val="clear" w:color="auto" w:fill="FFFFFF" w:themeFill="background1"/>
              </w:rPr>
              <w:t xml:space="preserve">To enable an analysis of differential costs </w:t>
            </w:r>
            <w:r w:rsidR="00B002DC" w:rsidRPr="007E5399">
              <w:rPr>
                <w:sz w:val="20"/>
                <w:szCs w:val="20"/>
                <w:shd w:val="clear" w:color="auto" w:fill="FFFFFF" w:themeFill="background1"/>
              </w:rPr>
              <w:t>across</w:t>
            </w:r>
            <w:r w:rsidRPr="007E5399">
              <w:rPr>
                <w:sz w:val="20"/>
                <w:szCs w:val="20"/>
                <w:shd w:val="clear" w:color="auto" w:fill="FFFFFF" w:themeFill="background1"/>
              </w:rPr>
              <w:t xml:space="preserve"> salary groups and to distinguish </w:t>
            </w:r>
            <w:r w:rsidR="009B4C1E" w:rsidRPr="007E5399">
              <w:rPr>
                <w:sz w:val="20"/>
                <w:szCs w:val="20"/>
                <w:shd w:val="clear" w:color="auto" w:fill="FFFFFF" w:themeFill="background1"/>
              </w:rPr>
              <w:t>between</w:t>
            </w:r>
            <w:r w:rsidR="009B4C1E" w:rsidRPr="007E5399">
              <w:rPr>
                <w:sz w:val="20"/>
                <w:szCs w:val="20"/>
              </w:rPr>
              <w:t xml:space="preserve"> the salary and agency staff related costs.</w:t>
            </w:r>
          </w:p>
        </w:tc>
      </w:tr>
    </w:tbl>
    <w:p w14:paraId="07BD06EE" w14:textId="022DAEEB" w:rsidR="009B4C1E" w:rsidRDefault="000B15AB" w:rsidP="0093320C">
      <w:pPr>
        <w:spacing w:before="240"/>
      </w:pPr>
      <w:r>
        <w:t>The data collection</w:t>
      </w:r>
      <w:r w:rsidR="00FC6E57">
        <w:t xml:space="preserve"> process</w:t>
      </w:r>
      <w:r w:rsidR="004C25A4">
        <w:t xml:space="preserve"> was supported by StewartBrown through the </w:t>
      </w:r>
      <w:r>
        <w:t>provision</w:t>
      </w:r>
      <w:r w:rsidR="005B34CA">
        <w:t xml:space="preserve"> of the data collection tool</w:t>
      </w:r>
      <w:r w:rsidR="00FC6E57">
        <w:t xml:space="preserve"> to participants</w:t>
      </w:r>
      <w:r w:rsidR="004C25A4">
        <w:t xml:space="preserve">, managing the </w:t>
      </w:r>
      <w:r>
        <w:t xml:space="preserve">data submission </w:t>
      </w:r>
      <w:r w:rsidR="004C25A4">
        <w:t xml:space="preserve">process </w:t>
      </w:r>
      <w:r>
        <w:t xml:space="preserve">and </w:t>
      </w:r>
      <w:r w:rsidR="004C25A4">
        <w:t>providing</w:t>
      </w:r>
      <w:r>
        <w:t xml:space="preserve"> assistance and advice </w:t>
      </w:r>
      <w:r w:rsidR="004C25A4">
        <w:t>on</w:t>
      </w:r>
      <w:r>
        <w:t xml:space="preserve"> the completion of the template as required. </w:t>
      </w:r>
      <w:r w:rsidR="00FC6E57">
        <w:t xml:space="preserve">StewartBrown were in a position to enhance the data collection process using </w:t>
      </w:r>
      <w:r>
        <w:t>the</w:t>
      </w:r>
      <w:r w:rsidR="00FC6E57">
        <w:t>ir</w:t>
      </w:r>
      <w:r>
        <w:t xml:space="preserve"> </w:t>
      </w:r>
      <w:r w:rsidR="009B4C1E">
        <w:t xml:space="preserve">established relationships and </w:t>
      </w:r>
      <w:r w:rsidR="00FC6E57">
        <w:t xml:space="preserve">extensive </w:t>
      </w:r>
      <w:r w:rsidR="009B4C1E">
        <w:t>knowledge of the sector</w:t>
      </w:r>
      <w:r w:rsidR="00B002DC">
        <w:t xml:space="preserve"> and conducted the first level of data quality checking on receipt of submissions</w:t>
      </w:r>
      <w:r w:rsidR="00C42143">
        <w:t>.</w:t>
      </w:r>
    </w:p>
    <w:p w14:paraId="4E6AAB8D" w14:textId="2959AB24" w:rsidR="00707121" w:rsidRDefault="0035338C" w:rsidP="00663A3E">
      <w:pPr>
        <w:spacing w:before="240"/>
      </w:pPr>
      <w:r>
        <w:t>A critical design feature of the RUCS was that t</w:t>
      </w:r>
      <w:r w:rsidR="009A1DC0">
        <w:t xml:space="preserve">he </w:t>
      </w:r>
      <w:r w:rsidR="007E7347">
        <w:t xml:space="preserve">cost </w:t>
      </w:r>
      <w:r w:rsidR="009A1DC0">
        <w:t xml:space="preserve">data collections </w:t>
      </w:r>
      <w:r w:rsidR="0044566D">
        <w:t xml:space="preserve">and the costing processes </w:t>
      </w:r>
      <w:r>
        <w:t>for</w:t>
      </w:r>
      <w:r w:rsidR="009A1DC0">
        <w:t xml:space="preserve"> </w:t>
      </w:r>
      <w:r w:rsidR="0044566D">
        <w:t xml:space="preserve">the </w:t>
      </w:r>
      <w:r w:rsidR="009A1DC0">
        <w:t xml:space="preserve">Study One and </w:t>
      </w:r>
      <w:r w:rsidR="0044566D">
        <w:t xml:space="preserve">Study </w:t>
      </w:r>
      <w:r w:rsidR="009A1DC0">
        <w:t xml:space="preserve">Two </w:t>
      </w:r>
      <w:r w:rsidR="0044566D">
        <w:t xml:space="preserve">facilities </w:t>
      </w:r>
      <w:r w:rsidR="009A1DC0">
        <w:t>were aligned</w:t>
      </w:r>
      <w:r w:rsidR="0044566D">
        <w:t>.</w:t>
      </w:r>
      <w:r w:rsidR="0024641E">
        <w:t xml:space="preserve"> This </w:t>
      </w:r>
      <w:r w:rsidR="009A1DC0">
        <w:t>enable</w:t>
      </w:r>
      <w:r w:rsidR="009B1D94">
        <w:t>d</w:t>
      </w:r>
      <w:r w:rsidR="009A1DC0">
        <w:t xml:space="preserve"> comparison </w:t>
      </w:r>
      <w:r w:rsidR="0024641E">
        <w:t>across</w:t>
      </w:r>
      <w:r w:rsidR="009A1DC0">
        <w:t xml:space="preserve"> the two collections</w:t>
      </w:r>
      <w:r w:rsidR="0024641E">
        <w:t xml:space="preserve"> and</w:t>
      </w:r>
      <w:r w:rsidR="0024641E" w:rsidRPr="0024641E">
        <w:t xml:space="preserve"> </w:t>
      </w:r>
      <w:r w:rsidR="0024641E">
        <w:t>was an additional source of overall data validation</w:t>
      </w:r>
      <w:r w:rsidR="009A1DC0">
        <w:t xml:space="preserve">. </w:t>
      </w:r>
      <w:r>
        <w:t xml:space="preserve">This </w:t>
      </w:r>
      <w:r w:rsidR="0044566D">
        <w:t xml:space="preserve">also </w:t>
      </w:r>
      <w:r>
        <w:t>ensured that</w:t>
      </w:r>
      <w:r w:rsidR="009A1DC0">
        <w:t xml:space="preserve"> results of </w:t>
      </w:r>
      <w:r w:rsidR="0024641E">
        <w:t>Study One and Study Two</w:t>
      </w:r>
      <w:r w:rsidR="009A1DC0">
        <w:t xml:space="preserve"> </w:t>
      </w:r>
      <w:r>
        <w:t xml:space="preserve">could </w:t>
      </w:r>
      <w:r w:rsidR="009A1DC0">
        <w:t xml:space="preserve">be </w:t>
      </w:r>
      <w:r>
        <w:t xml:space="preserve">harmoniously combined </w:t>
      </w:r>
      <w:r w:rsidR="00663A3E">
        <w:t xml:space="preserve">in the </w:t>
      </w:r>
      <w:r>
        <w:lastRenderedPageBreak/>
        <w:t xml:space="preserve">development of </w:t>
      </w:r>
      <w:r w:rsidR="00663A3E">
        <w:t xml:space="preserve">the </w:t>
      </w:r>
      <w:r w:rsidR="00996A78">
        <w:t xml:space="preserve">blended </w:t>
      </w:r>
      <w:r w:rsidR="00663A3E">
        <w:t xml:space="preserve">(fixed and variable) </w:t>
      </w:r>
      <w:r w:rsidR="00996A78">
        <w:t xml:space="preserve">funding </w:t>
      </w:r>
      <w:r w:rsidR="00996A78" w:rsidRPr="00373B9B">
        <w:t>system</w:t>
      </w:r>
      <w:r w:rsidR="00944E0E" w:rsidRPr="00373B9B">
        <w:t>.</w:t>
      </w:r>
      <w:r w:rsidR="007E7347" w:rsidRPr="00373B9B">
        <w:t xml:space="preserve"> The cost</w:t>
      </w:r>
      <w:r w:rsidR="0044566D" w:rsidRPr="00373B9B">
        <w:t xml:space="preserve"> allocation </w:t>
      </w:r>
      <w:r w:rsidR="00373B9B">
        <w:t>methodology</w:t>
      </w:r>
      <w:r w:rsidR="00433475" w:rsidRPr="00373B9B">
        <w:t xml:space="preserve"> is described in </w:t>
      </w:r>
      <w:r w:rsidR="007E7347" w:rsidRPr="00373B9B">
        <w:t xml:space="preserve">Report </w:t>
      </w:r>
      <w:r w:rsidR="00433475" w:rsidRPr="00373B9B">
        <w:t>7</w:t>
      </w:r>
      <w:r w:rsidR="007E7347" w:rsidRPr="00373B9B">
        <w:t>.</w:t>
      </w:r>
    </w:p>
    <w:p w14:paraId="6D442752" w14:textId="77777777" w:rsidR="00953754" w:rsidRDefault="00AD1500" w:rsidP="008816FF">
      <w:pPr>
        <w:pStyle w:val="Heading2"/>
      </w:pPr>
      <w:bookmarkStart w:id="50" w:name="_Toc952738"/>
      <w:r>
        <w:t xml:space="preserve">Data collection </w:t>
      </w:r>
      <w:r w:rsidR="00F55B15">
        <w:t xml:space="preserve">and quality review </w:t>
      </w:r>
      <w:r w:rsidR="005426D7">
        <w:t>process</w:t>
      </w:r>
      <w:bookmarkEnd w:id="50"/>
    </w:p>
    <w:p w14:paraId="08E557F8" w14:textId="3126B8CE" w:rsidR="00264B96" w:rsidRDefault="00171B8A" w:rsidP="00264B96">
      <w:pPr>
        <w:spacing w:before="240"/>
      </w:pPr>
      <w:r>
        <w:t>The</w:t>
      </w:r>
      <w:r w:rsidR="00F55B15">
        <w:t xml:space="preserve"> data </w:t>
      </w:r>
      <w:r w:rsidR="00EE206E">
        <w:t xml:space="preserve">collection </w:t>
      </w:r>
      <w:r w:rsidR="00DF46C3">
        <w:t xml:space="preserve">process was managed </w:t>
      </w:r>
      <w:r w:rsidR="009D656F">
        <w:t>by</w:t>
      </w:r>
      <w:r w:rsidR="00DF46C3">
        <w:t xml:space="preserve"> </w:t>
      </w:r>
      <w:r w:rsidR="00630A2F">
        <w:t>StewartBrown</w:t>
      </w:r>
      <w:r w:rsidR="009D656F">
        <w:t xml:space="preserve"> and was </w:t>
      </w:r>
      <w:r w:rsidR="00630A2F">
        <w:t xml:space="preserve">initiated </w:t>
      </w:r>
      <w:r w:rsidR="00E14F1E">
        <w:t xml:space="preserve">for each facility </w:t>
      </w:r>
      <w:r w:rsidR="00395C9C">
        <w:t>as</w:t>
      </w:r>
      <w:r w:rsidR="00630A2F">
        <w:t xml:space="preserve"> </w:t>
      </w:r>
      <w:r w:rsidR="00EE206E">
        <w:t xml:space="preserve">formal </w:t>
      </w:r>
      <w:r w:rsidR="00630A2F">
        <w:t>confirmation of study participation was received</w:t>
      </w:r>
      <w:r w:rsidR="00E14F1E">
        <w:t xml:space="preserve"> by AHSRI</w:t>
      </w:r>
      <w:r w:rsidR="0010344A">
        <w:t>. The data co</w:t>
      </w:r>
      <w:r w:rsidR="00395C9C">
        <w:t xml:space="preserve">llection </w:t>
      </w:r>
      <w:r w:rsidR="00DF46C3">
        <w:t xml:space="preserve">process occurred between </w:t>
      </w:r>
      <w:r w:rsidR="008432C6">
        <w:t>March</w:t>
      </w:r>
      <w:r w:rsidR="00DF46C3">
        <w:t xml:space="preserve"> and </w:t>
      </w:r>
      <w:r w:rsidR="008432C6" w:rsidRPr="008432C6">
        <w:t>August</w:t>
      </w:r>
      <w:r w:rsidR="00395C9C" w:rsidRPr="008432C6">
        <w:t xml:space="preserve"> 2018</w:t>
      </w:r>
      <w:r w:rsidR="00DF46C3">
        <w:t xml:space="preserve">. </w:t>
      </w:r>
      <w:r w:rsidR="00590FDE">
        <w:t>W</w:t>
      </w:r>
      <w:r w:rsidR="00925357">
        <w:t>eekly teleconference</w:t>
      </w:r>
      <w:r w:rsidR="002E5844">
        <w:t>s were held</w:t>
      </w:r>
      <w:r w:rsidR="00925357">
        <w:t xml:space="preserve"> between AHSRI and StewartBrown to monito</w:t>
      </w:r>
      <w:r w:rsidR="00395C9C">
        <w:t>r progress with data collection and to</w:t>
      </w:r>
      <w:r w:rsidR="00925357">
        <w:t xml:space="preserve"> discuss any issues. </w:t>
      </w:r>
      <w:r w:rsidR="00264B96" w:rsidRPr="000F04B7">
        <w:t xml:space="preserve">Facilities with limited capability were offered additional assistance </w:t>
      </w:r>
      <w:r w:rsidR="000F04B7" w:rsidRPr="000F04B7">
        <w:t xml:space="preserve">from StewartBrown </w:t>
      </w:r>
      <w:r w:rsidR="00264B96" w:rsidRPr="000F04B7">
        <w:t>in the provision of data</w:t>
      </w:r>
      <w:r w:rsidR="0024641E" w:rsidRPr="000F04B7">
        <w:t>.</w:t>
      </w:r>
    </w:p>
    <w:p w14:paraId="0C45D9FC" w14:textId="6E0757EA" w:rsidR="007C6574" w:rsidRPr="00B002DC" w:rsidRDefault="00A842B4" w:rsidP="00734860">
      <w:pPr>
        <w:spacing w:before="240"/>
      </w:pPr>
      <w:r>
        <w:t>Data q</w:t>
      </w:r>
      <w:r w:rsidRPr="007C6574">
        <w:t xml:space="preserve">uality </w:t>
      </w:r>
      <w:r w:rsidRPr="00A842B4">
        <w:t>checking for Study Two submissions was undertaken through a number of different mechanisms.</w:t>
      </w:r>
      <w:r w:rsidR="007C6574" w:rsidRPr="00A842B4">
        <w:t xml:space="preserve"> The dat</w:t>
      </w:r>
      <w:r w:rsidR="007C6574" w:rsidRPr="007C6574">
        <w:t>a collection tool itself included calculated fields and check validations t</w:t>
      </w:r>
      <w:r>
        <w:t>o provide feedback at the time of data entry</w:t>
      </w:r>
      <w:r w:rsidR="007C6574" w:rsidRPr="007C6574">
        <w:t xml:space="preserve">. </w:t>
      </w:r>
      <w:r w:rsidR="00171B8A" w:rsidRPr="007C6574">
        <w:t>S</w:t>
      </w:r>
      <w:r w:rsidR="008B029C" w:rsidRPr="007C6574">
        <w:t>tewart</w:t>
      </w:r>
      <w:r w:rsidR="00F55B15" w:rsidRPr="007C6574">
        <w:t xml:space="preserve">Brown undertook </w:t>
      </w:r>
      <w:r>
        <w:t>high level</w:t>
      </w:r>
      <w:r w:rsidR="00F55B15" w:rsidRPr="007C6574">
        <w:t xml:space="preserve"> data quality validation checks on the </w:t>
      </w:r>
      <w:r w:rsidR="00EC3E16" w:rsidRPr="007C6574">
        <w:t>submissions</w:t>
      </w:r>
      <w:r w:rsidR="00EC3E16">
        <w:t xml:space="preserve"> </w:t>
      </w:r>
      <w:r w:rsidR="00F55B15">
        <w:t xml:space="preserve">as </w:t>
      </w:r>
      <w:r w:rsidR="00EC3E16">
        <w:t>they were</w:t>
      </w:r>
      <w:r w:rsidR="00F55B15">
        <w:t xml:space="preserve"> returned</w:t>
      </w:r>
      <w:r w:rsidR="007C6574">
        <w:t xml:space="preserve"> and</w:t>
      </w:r>
      <w:r w:rsidR="00264B96">
        <w:t xml:space="preserve"> </w:t>
      </w:r>
      <w:r>
        <w:t xml:space="preserve">contacted the facility to seek clarification or corrections to the </w:t>
      </w:r>
      <w:r w:rsidR="00264B96">
        <w:t>submission</w:t>
      </w:r>
      <w:r w:rsidR="00C42143">
        <w:t>s.</w:t>
      </w:r>
    </w:p>
    <w:p w14:paraId="616C6875" w14:textId="1ECE197C" w:rsidR="00F55B15" w:rsidRDefault="00135308" w:rsidP="00925357">
      <w:pPr>
        <w:spacing w:before="240"/>
      </w:pPr>
      <w:r>
        <w:t xml:space="preserve">The </w:t>
      </w:r>
      <w:r w:rsidR="00F55B15">
        <w:t>data check</w:t>
      </w:r>
      <w:r w:rsidR="00BD6772">
        <w:t>s</w:t>
      </w:r>
      <w:r w:rsidR="00F55B15">
        <w:t xml:space="preserve"> undertaken by StewartBrown included:</w:t>
      </w:r>
    </w:p>
    <w:p w14:paraId="16F04685" w14:textId="06015473" w:rsidR="00F55B15" w:rsidRDefault="00E226C7" w:rsidP="00F55B15">
      <w:pPr>
        <w:pStyle w:val="Bullets"/>
      </w:pPr>
      <w:r>
        <w:t>I</w:t>
      </w:r>
      <w:r w:rsidR="00F55B15">
        <w:t>nternal validation checks to identify any missing data and</w:t>
      </w:r>
      <w:r w:rsidR="00C42143">
        <w:t>/or outliers.</w:t>
      </w:r>
    </w:p>
    <w:p w14:paraId="1ACE1304" w14:textId="50660338" w:rsidR="00F55B15" w:rsidRDefault="00E226C7" w:rsidP="00F55B15">
      <w:pPr>
        <w:pStyle w:val="Bullets"/>
      </w:pPr>
      <w:r>
        <w:t>C</w:t>
      </w:r>
      <w:r w:rsidR="00F55B15">
        <w:t>onsistency and reasonableness checks on the data. These were undertaken by comparing individual facility financial performance data with measures of industry average performance. These measures were based on the aggregated data to the StewartBrown Aged Care Financial Performance Surv</w:t>
      </w:r>
      <w:r w:rsidR="00C42143">
        <w:t>ey results for the same period.</w:t>
      </w:r>
    </w:p>
    <w:p w14:paraId="6EBC4ADB" w14:textId="36CF84E4" w:rsidR="00F55B15" w:rsidRDefault="00F55B15" w:rsidP="00F55B15">
      <w:pPr>
        <w:pStyle w:val="Bullets"/>
      </w:pPr>
      <w:r>
        <w:t>The exploration of significant di</w:t>
      </w:r>
      <w:r w:rsidR="00023FD8">
        <w:t>screpancies in a data</w:t>
      </w:r>
      <w:r>
        <w:t xml:space="preserve"> submission</w:t>
      </w:r>
      <w:r w:rsidR="00023FD8">
        <w:t xml:space="preserve"> </w:t>
      </w:r>
      <w:r>
        <w:t>through t</w:t>
      </w:r>
      <w:r w:rsidR="00023FD8">
        <w:t>he</w:t>
      </w:r>
      <w:r>
        <w:t xml:space="preserve"> </w:t>
      </w:r>
      <w:r w:rsidR="00023FD8">
        <w:t xml:space="preserve">detailed </w:t>
      </w:r>
      <w:r>
        <w:t xml:space="preserve">investigation of </w:t>
      </w:r>
      <w:r w:rsidR="00023FD8">
        <w:t xml:space="preserve">the </w:t>
      </w:r>
      <w:r>
        <w:t xml:space="preserve">facility </w:t>
      </w:r>
      <w:r w:rsidR="00A842B4">
        <w:t>profile and characteristics</w:t>
      </w:r>
      <w:r>
        <w:t>.</w:t>
      </w:r>
    </w:p>
    <w:p w14:paraId="48909B8F" w14:textId="7A325BD8" w:rsidR="00F55B15" w:rsidRDefault="00F55B15" w:rsidP="00734860">
      <w:pPr>
        <w:spacing w:before="240"/>
      </w:pPr>
      <w:r>
        <w:t>Although 110 facilities initially agreed to participate in Study Two, data w</w:t>
      </w:r>
      <w:r w:rsidR="00AB0F93">
        <w:t>ere</w:t>
      </w:r>
      <w:r>
        <w:t xml:space="preserve"> received for 107 facilities only</w:t>
      </w:r>
      <w:r w:rsidR="00AB0F93">
        <w:t>.</w:t>
      </w:r>
      <w:r>
        <w:t xml:space="preserve"> </w:t>
      </w:r>
      <w:r w:rsidR="00A842B4">
        <w:t xml:space="preserve">The data were forwarded to </w:t>
      </w:r>
      <w:r w:rsidR="00A842B4" w:rsidRPr="00BB3D2B">
        <w:t xml:space="preserve">AHSRI </w:t>
      </w:r>
      <w:r w:rsidR="00A842B4">
        <w:t>as they cleared the StewartBrown quality checks</w:t>
      </w:r>
      <w:r w:rsidR="00C42143">
        <w:t>.</w:t>
      </w:r>
    </w:p>
    <w:p w14:paraId="6ECE0D4B" w14:textId="774211DB" w:rsidR="008D76CB" w:rsidRPr="000F04B7" w:rsidRDefault="002465C6" w:rsidP="000F04B7">
      <w:pPr>
        <w:spacing w:before="240"/>
      </w:pPr>
      <w:r w:rsidRPr="00EF33DB">
        <w:t xml:space="preserve">The </w:t>
      </w:r>
      <w:r w:rsidR="009D656F">
        <w:t xml:space="preserve">subsequent </w:t>
      </w:r>
      <w:r w:rsidRPr="00EF33DB">
        <w:t xml:space="preserve">AHSRI review of data determined that data </w:t>
      </w:r>
      <w:r>
        <w:t>for</w:t>
      </w:r>
      <w:r w:rsidRPr="00EF33DB">
        <w:t xml:space="preserve"> 106 of the 107 participating facilities was suitable for </w:t>
      </w:r>
      <w:r>
        <w:t xml:space="preserve">fixed cost </w:t>
      </w:r>
      <w:r w:rsidRPr="00EF33DB">
        <w:t>analysis</w:t>
      </w:r>
      <w:r w:rsidRPr="007C6574">
        <w:t xml:space="preserve">. </w:t>
      </w:r>
      <w:r w:rsidR="008D76CB" w:rsidRPr="000F04B7">
        <w:t xml:space="preserve">Due to the variable levels of resources and capability within the participating organisations there were differing levels of compliance </w:t>
      </w:r>
      <w:r w:rsidR="00BB3D2B" w:rsidRPr="000F04B7">
        <w:t>with</w:t>
      </w:r>
      <w:r w:rsidR="008D76CB" w:rsidRPr="000F04B7">
        <w:t xml:space="preserve"> full completion of the template</w:t>
      </w:r>
      <w:r w:rsidR="00016147">
        <w:t>:</w:t>
      </w:r>
    </w:p>
    <w:p w14:paraId="71E0E510" w14:textId="77777777" w:rsidR="000F04B7" w:rsidRPr="000F04B7" w:rsidRDefault="000F04B7" w:rsidP="002A3F10">
      <w:pPr>
        <w:pStyle w:val="Bullets"/>
      </w:pPr>
      <w:r w:rsidRPr="000F04B7">
        <w:t>104 facilities provided year-to-date for the two financial year periods.</w:t>
      </w:r>
    </w:p>
    <w:p w14:paraId="5BC08987" w14:textId="755BA8CB" w:rsidR="001C6C6F" w:rsidRPr="000F04B7" w:rsidRDefault="000F04B7" w:rsidP="002A3F10">
      <w:pPr>
        <w:pStyle w:val="Bullets"/>
      </w:pPr>
      <w:r w:rsidRPr="000F04B7">
        <w:t xml:space="preserve">In addition, </w:t>
      </w:r>
      <w:r w:rsidR="00BD6772" w:rsidRPr="000F04B7">
        <w:t>17</w:t>
      </w:r>
      <w:r w:rsidR="007C6574">
        <w:t xml:space="preserve"> of these </w:t>
      </w:r>
      <w:r w:rsidR="008D76CB" w:rsidRPr="000F04B7">
        <w:t xml:space="preserve">facilities were able to provide monthly data across a financial, bed </w:t>
      </w:r>
      <w:r w:rsidR="001C6C6F" w:rsidRPr="000F04B7">
        <w:t>activity and staffing measures.</w:t>
      </w:r>
    </w:p>
    <w:p w14:paraId="46057E91" w14:textId="1786BD32" w:rsidR="008D76CB" w:rsidRPr="000F04B7" w:rsidRDefault="00626F44" w:rsidP="002A3F10">
      <w:pPr>
        <w:pStyle w:val="Bullets"/>
      </w:pPr>
      <w:r>
        <w:t>Two</w:t>
      </w:r>
      <w:r w:rsidR="008D76CB" w:rsidRPr="000F04B7">
        <w:t xml:space="preserve"> facilities provided data for only one of the financial year periods (i.e</w:t>
      </w:r>
      <w:r w:rsidR="007E6042">
        <w:t>.</w:t>
      </w:r>
      <w:r w:rsidR="008D76CB" w:rsidRPr="000F04B7">
        <w:t xml:space="preserve"> FY 2016/17 or July to December 2017)</w:t>
      </w:r>
      <w:r>
        <w:t>.</w:t>
      </w:r>
    </w:p>
    <w:p w14:paraId="220716C0" w14:textId="77777777" w:rsidR="00F56B16" w:rsidRPr="000F04B7" w:rsidRDefault="00F56B16" w:rsidP="002A3F10">
      <w:pPr>
        <w:pStyle w:val="Bullets"/>
      </w:pPr>
      <w:r w:rsidRPr="000F04B7">
        <w:t>All facilities were able to provide monthly bed activity data.</w:t>
      </w:r>
    </w:p>
    <w:p w14:paraId="05007FEC" w14:textId="377D044F" w:rsidR="00F56B16" w:rsidRDefault="00F56B16" w:rsidP="002A3F10">
      <w:pPr>
        <w:pStyle w:val="Bullets"/>
      </w:pPr>
      <w:r w:rsidRPr="000F04B7">
        <w:t>One facilit</w:t>
      </w:r>
      <w:r w:rsidR="001C6C6F" w:rsidRPr="000F04B7">
        <w:t>y provided data for only the first six</w:t>
      </w:r>
      <w:r w:rsidRPr="000F04B7">
        <w:t xml:space="preserve"> months</w:t>
      </w:r>
      <w:r w:rsidR="001C6C6F" w:rsidRPr="000F04B7">
        <w:t xml:space="preserve"> of the financial year 2016/17 and </w:t>
      </w:r>
      <w:r w:rsidR="000F04B7">
        <w:t xml:space="preserve">the month of </w:t>
      </w:r>
      <w:r w:rsidR="001C6C6F" w:rsidRPr="000F04B7">
        <w:t>December 2017</w:t>
      </w:r>
      <w:r w:rsidRPr="000F04B7">
        <w:t xml:space="preserve"> </w:t>
      </w:r>
      <w:r w:rsidR="00EF33DB">
        <w:t xml:space="preserve">as it was closed for renovation for a large part of </w:t>
      </w:r>
      <w:r w:rsidR="007C6574">
        <w:t>the data collection period. This</w:t>
      </w:r>
      <w:r w:rsidR="00EF33DB">
        <w:t xml:space="preserve"> facility was</w:t>
      </w:r>
      <w:r w:rsidRPr="000F04B7">
        <w:t xml:space="preserve"> excluded from the </w:t>
      </w:r>
      <w:r w:rsidR="00E14F1E">
        <w:t>s</w:t>
      </w:r>
      <w:r w:rsidRPr="000F04B7">
        <w:t>tudy</w:t>
      </w:r>
      <w:r w:rsidR="007C6574">
        <w:t xml:space="preserve"> analysis</w:t>
      </w:r>
      <w:r w:rsidR="001C6C6F" w:rsidRPr="000F04B7">
        <w:t>.</w:t>
      </w:r>
    </w:p>
    <w:p w14:paraId="521B09DD" w14:textId="227656CE" w:rsidR="0046042F" w:rsidRPr="000F04B7" w:rsidRDefault="0046042F" w:rsidP="0046042F">
      <w:pPr>
        <w:pStyle w:val="Bullets"/>
        <w:numPr>
          <w:ilvl w:val="0"/>
          <w:numId w:val="34"/>
        </w:numPr>
        <w:ind w:left="357" w:hanging="357"/>
      </w:pPr>
      <w:r>
        <w:lastRenderedPageBreak/>
        <w:t>100 facilities provided hotel related expense data.</w:t>
      </w:r>
    </w:p>
    <w:p w14:paraId="29F14CAB" w14:textId="63B46577" w:rsidR="00DC6C9D" w:rsidRDefault="00DC6C9D" w:rsidP="00DC6C9D">
      <w:pPr>
        <w:spacing w:before="240"/>
      </w:pPr>
      <w:r>
        <w:t>In summary</w:t>
      </w:r>
      <w:r w:rsidR="00135308">
        <w:t>,</w:t>
      </w:r>
      <w:r>
        <w:t xml:space="preserve"> </w:t>
      </w:r>
      <w:r w:rsidRPr="007C6574">
        <w:t xml:space="preserve">data </w:t>
      </w:r>
      <w:r>
        <w:t>received</w:t>
      </w:r>
      <w:r w:rsidRPr="007C6574">
        <w:t xml:space="preserve"> for Study Two included:</w:t>
      </w:r>
    </w:p>
    <w:p w14:paraId="2916FCB6" w14:textId="77777777" w:rsidR="00DC6C9D" w:rsidRDefault="00DC6C9D" w:rsidP="00DC6C9D">
      <w:pPr>
        <w:pStyle w:val="Bullets"/>
      </w:pPr>
      <w:r>
        <w:t>Profile data including characteristics of the facility that may provide some insight regarding differences in cost. This facility profile data included details such as the nature of facility ownership (i.e. private for-profit, private not-for-profit or government), physical layout of the facility or history of building works or renovation, and the use of casual, agency staff and volunteers in the provision of care.</w:t>
      </w:r>
    </w:p>
    <w:p w14:paraId="71E99B9E" w14:textId="01FC0005" w:rsidR="00DC6C9D" w:rsidRDefault="00DC6C9D" w:rsidP="00DC6C9D">
      <w:pPr>
        <w:pStyle w:val="Bullets"/>
      </w:pPr>
      <w:r>
        <w:t xml:space="preserve">Two separate sets of expense data; one for the 12 month period July 2016 to June 2017 and a separate one for the six months July to December 2017. Facilities were asked to provide these data on a monthly basis if possible. </w:t>
      </w:r>
      <w:r w:rsidR="00135308">
        <w:t xml:space="preserve">However, </w:t>
      </w:r>
      <w:r>
        <w:t xml:space="preserve">a number of facilities </w:t>
      </w:r>
      <w:r w:rsidR="00135308">
        <w:t xml:space="preserve">had </w:t>
      </w:r>
      <w:r>
        <w:t xml:space="preserve">reporting systems </w:t>
      </w:r>
      <w:r w:rsidR="00135308">
        <w:t xml:space="preserve">that </w:t>
      </w:r>
      <w:r>
        <w:t>did not support reporting of retrospective periods on a month by month basis. These facilities therefore provided data on a year-to-date basis for both financial reporting periods.</w:t>
      </w:r>
    </w:p>
    <w:p w14:paraId="77154512" w14:textId="77777777" w:rsidR="00DC6C9D" w:rsidRDefault="00DC6C9D" w:rsidP="00DC6C9D">
      <w:pPr>
        <w:pStyle w:val="Bullets"/>
      </w:pPr>
      <w:r>
        <w:t>Monthly bed occupancy data summarised on a quarterly and annual basis. Where an annual occupancy rate was less than 80%, an explanation for this was sought. The bed occupancy data included both permanent and respite care residents.</w:t>
      </w:r>
    </w:p>
    <w:p w14:paraId="0607B330" w14:textId="1F041313" w:rsidR="00DC6C9D" w:rsidRDefault="00DC6C9D" w:rsidP="00DC6C9D">
      <w:pPr>
        <w:pStyle w:val="Bullets"/>
      </w:pPr>
      <w:r>
        <w:t>Paid staff time data with a detailed breakdown for normal and overtime hours and paid leave. This was requested on a monthly basis wherever possible.</w:t>
      </w:r>
    </w:p>
    <w:p w14:paraId="0B24EF81" w14:textId="77777777" w:rsidR="00F55B15" w:rsidRDefault="00F55B15">
      <w:pPr>
        <w:rPr>
          <w:rFonts w:ascii="Calibri" w:eastAsiaTheme="majorEastAsia" w:hAnsi="Calibri" w:cstheme="majorBidi"/>
          <w:b/>
          <w:bCs/>
          <w:sz w:val="28"/>
          <w:szCs w:val="28"/>
        </w:rPr>
      </w:pPr>
      <w:r>
        <w:br w:type="page"/>
      </w:r>
    </w:p>
    <w:p w14:paraId="2304E1B6" w14:textId="67706688" w:rsidR="003D2687" w:rsidRPr="00B720B3" w:rsidRDefault="00E3769B" w:rsidP="00C06B51">
      <w:pPr>
        <w:pStyle w:val="Heading1"/>
      </w:pPr>
      <w:bookmarkStart w:id="51" w:name="_Toc952739"/>
      <w:bookmarkStart w:id="52" w:name="_Ref528329972"/>
      <w:r w:rsidRPr="00B720B3">
        <w:lastRenderedPageBreak/>
        <w:t>Data p</w:t>
      </w:r>
      <w:r w:rsidR="004F2BE2" w:rsidRPr="00B720B3">
        <w:t>reparat</w:t>
      </w:r>
      <w:r w:rsidRPr="00B720B3">
        <w:t>ion</w:t>
      </w:r>
      <w:bookmarkEnd w:id="51"/>
      <w:bookmarkEnd w:id="52"/>
    </w:p>
    <w:bookmarkEnd w:id="36"/>
    <w:p w14:paraId="505B3ABC" w14:textId="2D42D263" w:rsidR="00463BFB" w:rsidRDefault="00331EF0">
      <w:pPr>
        <w:spacing w:before="240"/>
        <w:rPr>
          <w:lang w:eastAsia="zh-CN" w:bidi="th-TH"/>
        </w:rPr>
      </w:pPr>
      <w:r>
        <w:rPr>
          <w:lang w:eastAsia="zh-CN" w:bidi="th-TH"/>
        </w:rPr>
        <w:t>The submissions from across the two financial year periods for each facility were combined</w:t>
      </w:r>
      <w:r w:rsidR="009D656F">
        <w:rPr>
          <w:lang w:eastAsia="zh-CN" w:bidi="th-TH"/>
        </w:rPr>
        <w:t xml:space="preserve"> into a single data set</w:t>
      </w:r>
      <w:r>
        <w:rPr>
          <w:lang w:eastAsia="zh-CN" w:bidi="th-TH"/>
        </w:rPr>
        <w:t xml:space="preserve">. </w:t>
      </w:r>
      <w:r w:rsidR="009D656F">
        <w:rPr>
          <w:lang w:eastAsia="zh-CN" w:bidi="th-TH"/>
        </w:rPr>
        <w:t xml:space="preserve">Issues identified through the </w:t>
      </w:r>
      <w:r w:rsidR="009D656F" w:rsidRPr="00463BFB">
        <w:rPr>
          <w:lang w:eastAsia="zh-CN" w:bidi="th-TH"/>
        </w:rPr>
        <w:t>AHSRI</w:t>
      </w:r>
      <w:r w:rsidR="009D656F">
        <w:rPr>
          <w:lang w:eastAsia="zh-CN" w:bidi="th-TH"/>
        </w:rPr>
        <w:t xml:space="preserve"> </w:t>
      </w:r>
      <w:r w:rsidR="00FF0E00">
        <w:rPr>
          <w:lang w:eastAsia="zh-CN" w:bidi="th-TH"/>
        </w:rPr>
        <w:t>d</w:t>
      </w:r>
      <w:r w:rsidR="00C4024E" w:rsidRPr="00463BFB">
        <w:rPr>
          <w:lang w:eastAsia="zh-CN" w:bidi="th-TH"/>
        </w:rPr>
        <w:t xml:space="preserve">ata quality checks </w:t>
      </w:r>
      <w:r w:rsidR="00E37C4E">
        <w:rPr>
          <w:lang w:eastAsia="zh-CN" w:bidi="th-TH"/>
        </w:rPr>
        <w:t xml:space="preserve">were </w:t>
      </w:r>
      <w:r w:rsidR="009D656F">
        <w:rPr>
          <w:lang w:eastAsia="zh-CN" w:bidi="th-TH"/>
        </w:rPr>
        <w:t xml:space="preserve">addressed </w:t>
      </w:r>
      <w:r w:rsidR="00E37C4E">
        <w:rPr>
          <w:lang w:eastAsia="zh-CN" w:bidi="th-TH"/>
        </w:rPr>
        <w:t xml:space="preserve">to prepare the data for analysis. </w:t>
      </w:r>
      <w:r w:rsidR="009B6A09">
        <w:rPr>
          <w:lang w:eastAsia="zh-CN" w:bidi="th-TH"/>
        </w:rPr>
        <w:t xml:space="preserve">These </w:t>
      </w:r>
      <w:r w:rsidR="00E37C4E">
        <w:rPr>
          <w:lang w:eastAsia="zh-CN" w:bidi="th-TH"/>
        </w:rPr>
        <w:t xml:space="preserve">issues </w:t>
      </w:r>
      <w:r w:rsidR="009B6A09">
        <w:rPr>
          <w:lang w:eastAsia="zh-CN" w:bidi="th-TH"/>
        </w:rPr>
        <w:t xml:space="preserve">were each </w:t>
      </w:r>
      <w:r w:rsidR="009D656F">
        <w:rPr>
          <w:lang w:eastAsia="zh-CN" w:bidi="th-TH"/>
        </w:rPr>
        <w:t xml:space="preserve">resolved </w:t>
      </w:r>
      <w:r>
        <w:rPr>
          <w:lang w:eastAsia="zh-CN" w:bidi="th-TH"/>
        </w:rPr>
        <w:t>as follows:</w:t>
      </w:r>
    </w:p>
    <w:p w14:paraId="6CACF3CD" w14:textId="73FDBF78" w:rsidR="00052E0F" w:rsidRPr="00463BFB" w:rsidRDefault="003B40DE" w:rsidP="00331EF0">
      <w:pPr>
        <w:pStyle w:val="Bullets"/>
        <w:rPr>
          <w:lang w:eastAsia="zh-CN" w:bidi="th-TH"/>
        </w:rPr>
      </w:pPr>
      <w:r w:rsidRPr="00463BFB">
        <w:rPr>
          <w:lang w:eastAsia="zh-CN" w:bidi="th-TH"/>
        </w:rPr>
        <w:t xml:space="preserve">A number of facilities </w:t>
      </w:r>
      <w:r w:rsidR="00463BFB">
        <w:rPr>
          <w:lang w:eastAsia="zh-CN" w:bidi="th-TH"/>
        </w:rPr>
        <w:t>did</w:t>
      </w:r>
      <w:r w:rsidRPr="00463BFB">
        <w:rPr>
          <w:lang w:eastAsia="zh-CN" w:bidi="th-TH"/>
        </w:rPr>
        <w:t xml:space="preserve"> not report corporate </w:t>
      </w:r>
      <w:r w:rsidR="00463BFB">
        <w:rPr>
          <w:lang w:eastAsia="zh-CN" w:bidi="th-TH"/>
        </w:rPr>
        <w:t>expenses for their facilities</w:t>
      </w:r>
      <w:r w:rsidRPr="00463BFB">
        <w:rPr>
          <w:lang w:eastAsia="zh-CN" w:bidi="th-TH"/>
        </w:rPr>
        <w:t xml:space="preserve">. </w:t>
      </w:r>
      <w:r w:rsidR="00135308">
        <w:rPr>
          <w:lang w:eastAsia="zh-CN" w:bidi="th-TH"/>
        </w:rPr>
        <w:t xml:space="preserve">In these cases, </w:t>
      </w:r>
      <w:r w:rsidR="00E37C4E">
        <w:rPr>
          <w:lang w:eastAsia="zh-CN" w:bidi="th-TH"/>
        </w:rPr>
        <w:t xml:space="preserve">corporate costs </w:t>
      </w:r>
      <w:r w:rsidR="00135308">
        <w:rPr>
          <w:lang w:eastAsia="zh-CN" w:bidi="th-TH"/>
        </w:rPr>
        <w:t xml:space="preserve">were </w:t>
      </w:r>
      <w:r w:rsidR="00463BFB">
        <w:rPr>
          <w:lang w:eastAsia="zh-CN" w:bidi="th-TH"/>
        </w:rPr>
        <w:t>estimated based on the average corporate expense reported for other facilities in the same size category</w:t>
      </w:r>
      <w:r w:rsidR="00E37C4E">
        <w:rPr>
          <w:lang w:eastAsia="zh-CN" w:bidi="th-TH"/>
        </w:rPr>
        <w:t xml:space="preserve"> (excluding gov</w:t>
      </w:r>
      <w:r w:rsidR="00463BFB">
        <w:rPr>
          <w:lang w:eastAsia="zh-CN" w:bidi="th-TH"/>
        </w:rPr>
        <w:t xml:space="preserve">ernment facilities and single </w:t>
      </w:r>
      <w:r w:rsidR="00E37C4E">
        <w:rPr>
          <w:lang w:eastAsia="zh-CN" w:bidi="th-TH"/>
        </w:rPr>
        <w:t>facility providers)</w:t>
      </w:r>
      <w:r w:rsidR="00463BFB">
        <w:rPr>
          <w:lang w:eastAsia="zh-CN" w:bidi="th-TH"/>
        </w:rPr>
        <w:t>.</w:t>
      </w:r>
    </w:p>
    <w:p w14:paraId="5AA63596" w14:textId="7928D28E" w:rsidR="00D33F0F" w:rsidRPr="00463BFB" w:rsidRDefault="00E37C4E" w:rsidP="00331EF0">
      <w:pPr>
        <w:pStyle w:val="Bullets"/>
        <w:rPr>
          <w:lang w:eastAsia="zh-CN" w:bidi="th-TH"/>
        </w:rPr>
      </w:pPr>
      <w:r>
        <w:rPr>
          <w:lang w:eastAsia="zh-CN" w:bidi="th-TH"/>
        </w:rPr>
        <w:t>H</w:t>
      </w:r>
      <w:r w:rsidRPr="00463BFB">
        <w:rPr>
          <w:lang w:eastAsia="zh-CN" w:bidi="th-TH"/>
        </w:rPr>
        <w:t>otel costs</w:t>
      </w:r>
      <w:r>
        <w:rPr>
          <w:lang w:eastAsia="zh-CN" w:bidi="th-TH"/>
        </w:rPr>
        <w:t xml:space="preserve"> </w:t>
      </w:r>
      <w:r w:rsidR="00DD7B3C">
        <w:rPr>
          <w:lang w:eastAsia="zh-CN" w:bidi="th-TH"/>
        </w:rPr>
        <w:t>were not provided</w:t>
      </w:r>
      <w:r>
        <w:rPr>
          <w:lang w:eastAsia="zh-CN" w:bidi="th-TH"/>
        </w:rPr>
        <w:t xml:space="preserve"> for six facilities</w:t>
      </w:r>
      <w:r w:rsidR="00C4024E" w:rsidRPr="00463BFB">
        <w:rPr>
          <w:lang w:eastAsia="zh-CN" w:bidi="th-TH"/>
        </w:rPr>
        <w:t xml:space="preserve">. </w:t>
      </w:r>
      <w:r w:rsidR="00135308">
        <w:rPr>
          <w:lang w:eastAsia="zh-CN" w:bidi="th-TH"/>
        </w:rPr>
        <w:t>In these cases, t</w:t>
      </w:r>
      <w:r>
        <w:rPr>
          <w:lang w:eastAsia="zh-CN" w:bidi="th-TH"/>
        </w:rPr>
        <w:t xml:space="preserve">hese were </w:t>
      </w:r>
      <w:r w:rsidR="00DD7B3C">
        <w:rPr>
          <w:lang w:eastAsia="zh-CN" w:bidi="th-TH"/>
        </w:rPr>
        <w:t>estimated</w:t>
      </w:r>
      <w:r>
        <w:rPr>
          <w:lang w:eastAsia="zh-CN" w:bidi="th-TH"/>
        </w:rPr>
        <w:t xml:space="preserve"> </w:t>
      </w:r>
      <w:r w:rsidR="00DD7B3C">
        <w:rPr>
          <w:lang w:eastAsia="zh-CN" w:bidi="th-TH"/>
        </w:rPr>
        <w:t xml:space="preserve">based on the average proportion of hotel costs </w:t>
      </w:r>
      <w:r w:rsidR="00331EF0">
        <w:rPr>
          <w:lang w:eastAsia="zh-CN" w:bidi="th-TH"/>
        </w:rPr>
        <w:t>across all sample facilities</w:t>
      </w:r>
      <w:r w:rsidR="00DD7B3C">
        <w:rPr>
          <w:lang w:eastAsia="zh-CN" w:bidi="th-TH"/>
        </w:rPr>
        <w:t xml:space="preserve">. It is important to note that none of these six facilities were remote and that </w:t>
      </w:r>
      <w:r>
        <w:rPr>
          <w:lang w:eastAsia="zh-CN" w:bidi="th-TH"/>
        </w:rPr>
        <w:t xml:space="preserve">these </w:t>
      </w:r>
      <w:r w:rsidR="00DD7B3C">
        <w:rPr>
          <w:lang w:eastAsia="zh-CN" w:bidi="th-TH"/>
        </w:rPr>
        <w:t>estimations were not used in the Study Two an</w:t>
      </w:r>
      <w:r w:rsidR="00331EF0">
        <w:rPr>
          <w:lang w:eastAsia="zh-CN" w:bidi="th-TH"/>
        </w:rPr>
        <w:t>alysis of hotel costs</w:t>
      </w:r>
      <w:r>
        <w:rPr>
          <w:lang w:eastAsia="zh-CN" w:bidi="th-TH"/>
        </w:rPr>
        <w:t xml:space="preserve">, but for the distribution of </w:t>
      </w:r>
      <w:r w:rsidR="00DD7B3C">
        <w:rPr>
          <w:lang w:eastAsia="zh-CN" w:bidi="th-TH"/>
        </w:rPr>
        <w:t>corporat</w:t>
      </w:r>
      <w:r>
        <w:rPr>
          <w:lang w:eastAsia="zh-CN" w:bidi="th-TH"/>
        </w:rPr>
        <w:t>e and indirect costs only</w:t>
      </w:r>
      <w:r w:rsidR="00DD7B3C">
        <w:rPr>
          <w:lang w:eastAsia="zh-CN" w:bidi="th-TH"/>
        </w:rPr>
        <w:t>.</w:t>
      </w:r>
    </w:p>
    <w:p w14:paraId="1074E713" w14:textId="6B8E0034" w:rsidR="00D33F0F" w:rsidRPr="009B6A09" w:rsidRDefault="00E37C4E" w:rsidP="0005572E">
      <w:pPr>
        <w:pStyle w:val="Bullets"/>
        <w:rPr>
          <w:lang w:eastAsia="zh-CN" w:bidi="th-TH"/>
        </w:rPr>
      </w:pPr>
      <w:r>
        <w:rPr>
          <w:lang w:eastAsia="zh-CN" w:bidi="th-TH"/>
        </w:rPr>
        <w:t xml:space="preserve">Where the hours of work were reported by staff type but the salary costs reported in total </w:t>
      </w:r>
      <w:r w:rsidR="00E24223">
        <w:rPr>
          <w:lang w:eastAsia="zh-CN" w:bidi="th-TH"/>
        </w:rPr>
        <w:t xml:space="preserve">(four facilities only), the salary costs were split across the staff types based on the hours worked weighted by the </w:t>
      </w:r>
      <w:r w:rsidR="003B40DE" w:rsidRPr="009B6A09">
        <w:rPr>
          <w:lang w:eastAsia="zh-CN" w:bidi="th-TH"/>
        </w:rPr>
        <w:t xml:space="preserve">national average hourly rates </w:t>
      </w:r>
      <w:r w:rsidR="00AE0CF1">
        <w:rPr>
          <w:lang w:eastAsia="zh-CN" w:bidi="th-TH"/>
        </w:rPr>
        <w:t>by staff category.</w:t>
      </w:r>
    </w:p>
    <w:p w14:paraId="20A53107" w14:textId="0A6BCC79" w:rsidR="0005572E" w:rsidRDefault="00E24223" w:rsidP="00E21C63">
      <w:pPr>
        <w:pStyle w:val="Bullets"/>
        <w:rPr>
          <w:lang w:eastAsia="zh-CN" w:bidi="th-TH"/>
        </w:rPr>
      </w:pPr>
      <w:r>
        <w:rPr>
          <w:lang w:eastAsia="zh-CN" w:bidi="th-TH"/>
        </w:rPr>
        <w:t xml:space="preserve">A small number of </w:t>
      </w:r>
      <w:r w:rsidR="003B40DE" w:rsidRPr="009B6A09">
        <w:rPr>
          <w:lang w:eastAsia="zh-CN" w:bidi="th-TH"/>
        </w:rPr>
        <w:t>facilities</w:t>
      </w:r>
      <w:r>
        <w:rPr>
          <w:lang w:eastAsia="zh-CN" w:bidi="th-TH"/>
        </w:rPr>
        <w:t xml:space="preserve"> (five)</w:t>
      </w:r>
      <w:r w:rsidR="003B40DE" w:rsidRPr="009B6A09">
        <w:rPr>
          <w:lang w:eastAsia="zh-CN" w:bidi="th-TH"/>
        </w:rPr>
        <w:t xml:space="preserve"> reported high ca</w:t>
      </w:r>
      <w:r w:rsidR="009B6A09">
        <w:rPr>
          <w:lang w:eastAsia="zh-CN" w:bidi="th-TH"/>
        </w:rPr>
        <w:t>r</w:t>
      </w:r>
      <w:r w:rsidR="003B40DE" w:rsidRPr="009B6A09">
        <w:rPr>
          <w:lang w:eastAsia="zh-CN" w:bidi="th-TH"/>
        </w:rPr>
        <w:t xml:space="preserve">e management staff costs </w:t>
      </w:r>
      <w:r>
        <w:rPr>
          <w:lang w:eastAsia="zh-CN" w:bidi="th-TH"/>
        </w:rPr>
        <w:t xml:space="preserve">and no </w:t>
      </w:r>
      <w:r w:rsidR="00B624D7">
        <w:rPr>
          <w:lang w:eastAsia="zh-CN" w:bidi="th-TH"/>
        </w:rPr>
        <w:t xml:space="preserve">registered nurse </w:t>
      </w:r>
      <w:r w:rsidR="009B6A09">
        <w:rPr>
          <w:lang w:eastAsia="zh-CN" w:bidi="th-TH"/>
        </w:rPr>
        <w:t xml:space="preserve">and </w:t>
      </w:r>
      <w:r w:rsidR="002B2C4A">
        <w:rPr>
          <w:lang w:eastAsia="zh-CN" w:bidi="th-TH"/>
        </w:rPr>
        <w:t>enrolled nurse</w:t>
      </w:r>
      <w:r w:rsidR="009B6A09">
        <w:rPr>
          <w:lang w:eastAsia="zh-CN" w:bidi="th-TH"/>
        </w:rPr>
        <w:t xml:space="preserve"> salary costs</w:t>
      </w:r>
      <w:r>
        <w:rPr>
          <w:lang w:eastAsia="zh-CN" w:bidi="th-TH"/>
        </w:rPr>
        <w:t xml:space="preserve">. These </w:t>
      </w:r>
      <w:r w:rsidR="009B6A09">
        <w:rPr>
          <w:lang w:eastAsia="zh-CN" w:bidi="th-TH"/>
        </w:rPr>
        <w:t>tended to be smaller facilities</w:t>
      </w:r>
      <w:r>
        <w:rPr>
          <w:lang w:eastAsia="zh-CN" w:bidi="th-TH"/>
        </w:rPr>
        <w:t xml:space="preserve">. The care management staff costs in these cases were split between </w:t>
      </w:r>
      <w:r w:rsidR="003B40DE" w:rsidRPr="009B6A09">
        <w:rPr>
          <w:lang w:eastAsia="zh-CN" w:bidi="th-TH"/>
        </w:rPr>
        <w:t xml:space="preserve">individual care and shared care </w:t>
      </w:r>
      <w:r>
        <w:rPr>
          <w:lang w:eastAsia="zh-CN" w:bidi="th-TH"/>
        </w:rPr>
        <w:t xml:space="preserve">based on the </w:t>
      </w:r>
      <w:r w:rsidR="002B2C4A">
        <w:rPr>
          <w:lang w:eastAsia="zh-CN" w:bidi="th-TH"/>
        </w:rPr>
        <w:t>registered nurse</w:t>
      </w:r>
      <w:r>
        <w:rPr>
          <w:lang w:eastAsia="zh-CN" w:bidi="th-TH"/>
        </w:rPr>
        <w:t xml:space="preserve"> split </w:t>
      </w:r>
      <w:r w:rsidR="00331EF0">
        <w:rPr>
          <w:lang w:eastAsia="zh-CN" w:bidi="th-TH"/>
        </w:rPr>
        <w:t>(i.e. 47% individual/</w:t>
      </w:r>
      <w:r w:rsidR="003B40DE" w:rsidRPr="009B6A09">
        <w:rPr>
          <w:lang w:eastAsia="zh-CN" w:bidi="th-TH"/>
        </w:rPr>
        <w:t>53% shared care</w:t>
      </w:r>
      <w:r w:rsidR="00331EF0">
        <w:rPr>
          <w:lang w:eastAsia="zh-CN" w:bidi="th-TH"/>
        </w:rPr>
        <w:t>)</w:t>
      </w:r>
      <w:r w:rsidR="003B40DE" w:rsidRPr="009B6A09">
        <w:rPr>
          <w:lang w:eastAsia="zh-CN" w:bidi="th-TH"/>
        </w:rPr>
        <w:t>.</w:t>
      </w:r>
    </w:p>
    <w:p w14:paraId="02C2E167" w14:textId="2904C121" w:rsidR="0044566D" w:rsidRPr="0044566D" w:rsidRDefault="0044566D" w:rsidP="008816FF">
      <w:pPr>
        <w:pStyle w:val="Heading2"/>
        <w:rPr>
          <w:lang w:eastAsia="zh-CN" w:bidi="th-TH"/>
        </w:rPr>
      </w:pPr>
      <w:bookmarkStart w:id="53" w:name="_Toc952740"/>
      <w:r w:rsidRPr="0044566D">
        <w:rPr>
          <w:lang w:eastAsia="zh-CN" w:bidi="th-TH"/>
        </w:rPr>
        <w:t>Identifying fixed care costs</w:t>
      </w:r>
      <w:bookmarkEnd w:id="53"/>
    </w:p>
    <w:p w14:paraId="0E1574A7" w14:textId="72E58B3A" w:rsidR="005733BF" w:rsidRDefault="005733BF" w:rsidP="0005572E">
      <w:pPr>
        <w:rPr>
          <w:lang w:eastAsia="zh-CN" w:bidi="th-TH"/>
        </w:rPr>
      </w:pPr>
      <w:r>
        <w:rPr>
          <w:lang w:eastAsia="zh-CN" w:bidi="th-TH"/>
        </w:rPr>
        <w:t>The total operating costs</w:t>
      </w:r>
      <w:r w:rsidR="0005572E">
        <w:rPr>
          <w:lang w:eastAsia="zh-CN" w:bidi="th-TH"/>
        </w:rPr>
        <w:t xml:space="preserve"> for each facility were divided into corporate, direct </w:t>
      </w:r>
      <w:r w:rsidR="00CD1333">
        <w:rPr>
          <w:lang w:eastAsia="zh-CN" w:bidi="th-TH"/>
        </w:rPr>
        <w:t xml:space="preserve">care, facility </w:t>
      </w:r>
      <w:r w:rsidR="0005572E">
        <w:rPr>
          <w:lang w:eastAsia="zh-CN" w:bidi="th-TH"/>
        </w:rPr>
        <w:t xml:space="preserve">indirect and hotel related costs. These </w:t>
      </w:r>
      <w:r w:rsidR="004A495A">
        <w:rPr>
          <w:lang w:eastAsia="zh-CN" w:bidi="th-TH"/>
        </w:rPr>
        <w:t xml:space="preserve">were clearly </w:t>
      </w:r>
      <w:r w:rsidR="005F0DD8">
        <w:rPr>
          <w:lang w:eastAsia="zh-CN" w:bidi="th-TH"/>
        </w:rPr>
        <w:t xml:space="preserve">defined </w:t>
      </w:r>
      <w:r w:rsidR="004A495A">
        <w:rPr>
          <w:lang w:eastAsia="zh-CN" w:bidi="th-TH"/>
        </w:rPr>
        <w:t>in the data collection tool and include the following types of</w:t>
      </w:r>
      <w:r>
        <w:rPr>
          <w:lang w:eastAsia="zh-CN" w:bidi="th-TH"/>
        </w:rPr>
        <w:t xml:space="preserve"> costs:</w:t>
      </w:r>
    </w:p>
    <w:p w14:paraId="7A3016A8" w14:textId="22B76F58" w:rsidR="0005572E" w:rsidRDefault="004A495A" w:rsidP="004A495A">
      <w:pPr>
        <w:pStyle w:val="Bullets"/>
        <w:rPr>
          <w:lang w:eastAsia="zh-CN" w:bidi="th-TH"/>
        </w:rPr>
      </w:pPr>
      <w:r w:rsidRPr="005733BF">
        <w:rPr>
          <w:b/>
          <w:lang w:eastAsia="zh-CN" w:bidi="th-TH"/>
        </w:rPr>
        <w:t>Corporate</w:t>
      </w:r>
      <w:r>
        <w:rPr>
          <w:lang w:eastAsia="zh-CN" w:bidi="th-TH"/>
        </w:rPr>
        <w:t xml:space="preserve"> – </w:t>
      </w:r>
      <w:r w:rsidR="004A10E5">
        <w:rPr>
          <w:lang w:eastAsia="zh-CN" w:bidi="th-TH"/>
        </w:rPr>
        <w:t>E</w:t>
      </w:r>
      <w:r>
        <w:rPr>
          <w:lang w:eastAsia="zh-CN" w:bidi="th-TH"/>
        </w:rPr>
        <w:t>xecutive</w:t>
      </w:r>
      <w:r w:rsidR="005F0DD8">
        <w:rPr>
          <w:lang w:eastAsia="zh-CN" w:bidi="th-TH"/>
        </w:rPr>
        <w:t xml:space="preserve"> operations</w:t>
      </w:r>
      <w:r>
        <w:rPr>
          <w:lang w:eastAsia="zh-CN" w:bidi="th-TH"/>
        </w:rPr>
        <w:t>, finance, information technology, human resources an</w:t>
      </w:r>
      <w:r w:rsidR="00E21C63">
        <w:rPr>
          <w:lang w:eastAsia="zh-CN" w:bidi="th-TH"/>
        </w:rPr>
        <w:t>d</w:t>
      </w:r>
      <w:r>
        <w:rPr>
          <w:lang w:eastAsia="zh-CN" w:bidi="th-TH"/>
        </w:rPr>
        <w:t xml:space="preserve"> payroll services</w:t>
      </w:r>
      <w:r w:rsidR="009C48C2">
        <w:rPr>
          <w:lang w:eastAsia="zh-CN" w:bidi="th-TH"/>
        </w:rPr>
        <w:t>.</w:t>
      </w:r>
    </w:p>
    <w:p w14:paraId="6077FCDC" w14:textId="5BE7E454" w:rsidR="007A3045" w:rsidRDefault="007A3045" w:rsidP="007A3045">
      <w:pPr>
        <w:pStyle w:val="Bullets"/>
        <w:rPr>
          <w:lang w:eastAsia="zh-CN" w:bidi="th-TH"/>
        </w:rPr>
      </w:pPr>
      <w:r>
        <w:rPr>
          <w:b/>
          <w:lang w:eastAsia="zh-CN" w:bidi="th-TH"/>
        </w:rPr>
        <w:t>Facility indirect</w:t>
      </w:r>
      <w:r>
        <w:rPr>
          <w:lang w:eastAsia="zh-CN" w:bidi="th-TH"/>
        </w:rPr>
        <w:t xml:space="preserve"> – </w:t>
      </w:r>
      <w:r w:rsidR="004A10E5">
        <w:rPr>
          <w:lang w:eastAsia="zh-CN" w:bidi="th-TH"/>
        </w:rPr>
        <w:t>N</w:t>
      </w:r>
      <w:r>
        <w:rPr>
          <w:lang w:eastAsia="zh-CN" w:bidi="th-TH"/>
        </w:rPr>
        <w:t>on-care staff salaries, facility administration, workers com</w:t>
      </w:r>
      <w:r w:rsidR="00AE0CF1">
        <w:rPr>
          <w:lang w:eastAsia="zh-CN" w:bidi="th-TH"/>
        </w:rPr>
        <w:t>pensation and other insurances.</w:t>
      </w:r>
    </w:p>
    <w:p w14:paraId="7BA566D2" w14:textId="00743B89" w:rsidR="004A495A" w:rsidRDefault="004A495A" w:rsidP="004A495A">
      <w:pPr>
        <w:pStyle w:val="Bullets"/>
        <w:rPr>
          <w:lang w:eastAsia="zh-CN" w:bidi="th-TH"/>
        </w:rPr>
      </w:pPr>
      <w:r w:rsidRPr="005733BF">
        <w:rPr>
          <w:b/>
          <w:lang w:eastAsia="zh-CN" w:bidi="th-TH"/>
        </w:rPr>
        <w:t>Direct care</w:t>
      </w:r>
      <w:r>
        <w:rPr>
          <w:lang w:eastAsia="zh-CN" w:bidi="th-TH"/>
        </w:rPr>
        <w:t xml:space="preserve"> – </w:t>
      </w:r>
      <w:r w:rsidR="004A10E5">
        <w:rPr>
          <w:lang w:eastAsia="zh-CN" w:bidi="th-TH"/>
        </w:rPr>
        <w:t>S</w:t>
      </w:r>
      <w:r w:rsidR="00CD1333">
        <w:rPr>
          <w:lang w:eastAsia="zh-CN" w:bidi="th-TH"/>
        </w:rPr>
        <w:t xml:space="preserve">alary costs for care </w:t>
      </w:r>
      <w:r>
        <w:rPr>
          <w:lang w:eastAsia="zh-CN" w:bidi="th-TH"/>
        </w:rPr>
        <w:t xml:space="preserve">staff and </w:t>
      </w:r>
      <w:r w:rsidR="00CD1333">
        <w:rPr>
          <w:lang w:eastAsia="zh-CN" w:bidi="th-TH"/>
        </w:rPr>
        <w:t xml:space="preserve">care related </w:t>
      </w:r>
      <w:r>
        <w:rPr>
          <w:lang w:eastAsia="zh-CN" w:bidi="th-TH"/>
        </w:rPr>
        <w:t>consumables</w:t>
      </w:r>
      <w:r w:rsidR="009C48C2">
        <w:rPr>
          <w:lang w:eastAsia="zh-CN" w:bidi="th-TH"/>
        </w:rPr>
        <w:t>.</w:t>
      </w:r>
    </w:p>
    <w:p w14:paraId="00067188" w14:textId="2C5D421D" w:rsidR="0005572E" w:rsidRDefault="005733BF" w:rsidP="0005572E">
      <w:pPr>
        <w:pStyle w:val="Bullets"/>
        <w:rPr>
          <w:lang w:eastAsia="zh-CN" w:bidi="th-TH"/>
        </w:rPr>
      </w:pPr>
      <w:r w:rsidRPr="005733BF">
        <w:rPr>
          <w:b/>
          <w:lang w:eastAsia="zh-CN" w:bidi="th-TH"/>
        </w:rPr>
        <w:t>Hotel</w:t>
      </w:r>
      <w:r>
        <w:rPr>
          <w:lang w:eastAsia="zh-CN" w:bidi="th-TH"/>
        </w:rPr>
        <w:t xml:space="preserve"> – </w:t>
      </w:r>
      <w:r w:rsidR="004A10E5">
        <w:rPr>
          <w:lang w:eastAsia="zh-CN" w:bidi="th-TH"/>
        </w:rPr>
        <w:t>C</w:t>
      </w:r>
      <w:r>
        <w:rPr>
          <w:lang w:eastAsia="zh-CN" w:bidi="th-TH"/>
        </w:rPr>
        <w:t>leaning, laundry, utilities, building maintenance</w:t>
      </w:r>
      <w:r w:rsidR="00135308">
        <w:rPr>
          <w:lang w:eastAsia="zh-CN" w:bidi="th-TH"/>
        </w:rPr>
        <w:t>.</w:t>
      </w:r>
    </w:p>
    <w:p w14:paraId="1CC9719B" w14:textId="1365AD4D" w:rsidR="00CD1333" w:rsidRDefault="00CD1333" w:rsidP="00AE0CF1">
      <w:pPr>
        <w:spacing w:before="240"/>
        <w:rPr>
          <w:lang w:eastAsia="zh-CN" w:bidi="th-TH"/>
        </w:rPr>
      </w:pPr>
      <w:r>
        <w:rPr>
          <w:lang w:eastAsia="zh-CN" w:bidi="th-TH"/>
        </w:rPr>
        <w:t>A s</w:t>
      </w:r>
      <w:r w:rsidR="0005572E">
        <w:rPr>
          <w:lang w:eastAsia="zh-CN" w:bidi="th-TH"/>
        </w:rPr>
        <w:t>tandard health cost allocation</w:t>
      </w:r>
      <w:r w:rsidR="005733BF">
        <w:rPr>
          <w:lang w:eastAsia="zh-CN" w:bidi="th-TH"/>
        </w:rPr>
        <w:t xml:space="preserve"> methodology</w:t>
      </w:r>
      <w:r>
        <w:rPr>
          <w:lang w:eastAsia="zh-CN" w:bidi="th-TH"/>
        </w:rPr>
        <w:t xml:space="preserve"> was </w:t>
      </w:r>
      <w:r w:rsidR="00D64A64">
        <w:rPr>
          <w:lang w:eastAsia="zh-CN" w:bidi="th-TH"/>
        </w:rPr>
        <w:t>used</w:t>
      </w:r>
      <w:r>
        <w:rPr>
          <w:lang w:eastAsia="zh-CN" w:bidi="th-TH"/>
        </w:rPr>
        <w:t xml:space="preserve"> to distribute the corporate and </w:t>
      </w:r>
      <w:r w:rsidR="00D64A64">
        <w:rPr>
          <w:lang w:eastAsia="zh-CN" w:bidi="th-TH"/>
        </w:rPr>
        <w:t xml:space="preserve">facility </w:t>
      </w:r>
      <w:r>
        <w:rPr>
          <w:lang w:eastAsia="zh-CN" w:bidi="th-TH"/>
        </w:rPr>
        <w:t xml:space="preserve">indirect costs </w:t>
      </w:r>
      <w:r w:rsidR="007A3045">
        <w:rPr>
          <w:lang w:eastAsia="zh-CN" w:bidi="th-TH"/>
        </w:rPr>
        <w:t xml:space="preserve">across the direct care and hotel related cost areas. </w:t>
      </w:r>
      <w:r w:rsidR="00637681">
        <w:rPr>
          <w:lang w:eastAsia="zh-CN" w:bidi="th-TH"/>
        </w:rPr>
        <w:t>The care</w:t>
      </w:r>
      <w:r w:rsidR="00135308">
        <w:rPr>
          <w:lang w:eastAsia="zh-CN" w:bidi="th-TH"/>
        </w:rPr>
        <w:t>-</w:t>
      </w:r>
      <w:r w:rsidR="00637681">
        <w:rPr>
          <w:lang w:eastAsia="zh-CN" w:bidi="th-TH"/>
        </w:rPr>
        <w:t>related costs were then separated into individual resident care costs and the fixed care</w:t>
      </w:r>
      <w:r w:rsidR="00135308">
        <w:rPr>
          <w:lang w:eastAsia="zh-CN" w:bidi="th-TH"/>
        </w:rPr>
        <w:t>-</w:t>
      </w:r>
      <w:r w:rsidR="00D64A64">
        <w:rPr>
          <w:lang w:eastAsia="zh-CN" w:bidi="th-TH"/>
        </w:rPr>
        <w:t xml:space="preserve">related </w:t>
      </w:r>
      <w:r w:rsidR="00637681">
        <w:rPr>
          <w:lang w:eastAsia="zh-CN" w:bidi="th-TH"/>
        </w:rPr>
        <w:t>costs</w:t>
      </w:r>
      <w:r w:rsidR="00A83EAC">
        <w:rPr>
          <w:lang w:eastAsia="zh-CN" w:bidi="th-TH"/>
        </w:rPr>
        <w:t>. This was based on</w:t>
      </w:r>
      <w:r w:rsidR="00D64A64">
        <w:rPr>
          <w:lang w:eastAsia="zh-CN" w:bidi="th-TH"/>
        </w:rPr>
        <w:t xml:space="preserve"> the output of the Study One cost analysis which </w:t>
      </w:r>
      <w:r w:rsidR="00A83EAC">
        <w:rPr>
          <w:lang w:eastAsia="zh-CN" w:bidi="th-TH"/>
        </w:rPr>
        <w:t>used</w:t>
      </w:r>
      <w:r w:rsidR="00D64A64">
        <w:rPr>
          <w:lang w:eastAsia="zh-CN" w:bidi="th-TH"/>
        </w:rPr>
        <w:t xml:space="preserve"> resident-level service utilisation data</w:t>
      </w:r>
      <w:r w:rsidR="00A83EAC">
        <w:rPr>
          <w:lang w:eastAsia="zh-CN" w:bidi="th-TH"/>
        </w:rPr>
        <w:t xml:space="preserve"> to identify individual care costs</w:t>
      </w:r>
      <w:r w:rsidR="00D64A64">
        <w:rPr>
          <w:lang w:eastAsia="zh-CN" w:bidi="th-TH"/>
        </w:rPr>
        <w:t>.</w:t>
      </w:r>
    </w:p>
    <w:p w14:paraId="1BEC9FE1" w14:textId="746F31D0" w:rsidR="00135308" w:rsidRDefault="00E21C63" w:rsidP="00802478">
      <w:pPr>
        <w:spacing w:before="240"/>
        <w:rPr>
          <w:lang w:eastAsia="zh-CN" w:bidi="th-TH"/>
        </w:rPr>
      </w:pPr>
      <w:r w:rsidRPr="003D5FAA">
        <w:rPr>
          <w:lang w:eastAsia="zh-CN" w:bidi="th-TH"/>
        </w:rPr>
        <w:t xml:space="preserve">The review of the </w:t>
      </w:r>
      <w:r w:rsidR="00E00A69" w:rsidRPr="00135D3C">
        <w:t>Australian National Aged Care Classification</w:t>
      </w:r>
      <w:r w:rsidR="00E00A69" w:rsidRPr="003D5FAA">
        <w:rPr>
          <w:lang w:eastAsia="zh-CN" w:bidi="th-TH"/>
        </w:rPr>
        <w:t xml:space="preserve"> </w:t>
      </w:r>
      <w:r w:rsidR="00E00A69">
        <w:rPr>
          <w:lang w:eastAsia="zh-CN" w:bidi="th-TH"/>
        </w:rPr>
        <w:t>(</w:t>
      </w:r>
      <w:r w:rsidRPr="003D5FAA">
        <w:rPr>
          <w:lang w:eastAsia="zh-CN" w:bidi="th-TH"/>
        </w:rPr>
        <w:t>AN-ACC</w:t>
      </w:r>
      <w:r w:rsidR="00E00A69">
        <w:rPr>
          <w:lang w:eastAsia="zh-CN" w:bidi="th-TH"/>
        </w:rPr>
        <w:t>)</w:t>
      </w:r>
      <w:r w:rsidRPr="003D5FAA">
        <w:rPr>
          <w:lang w:eastAsia="zh-CN" w:bidi="th-TH"/>
        </w:rPr>
        <w:t xml:space="preserve"> profile by facility type in Study One identified that the residents in specialised homelessness facilities tended to be more mobile and require less assistance in self-care tasks than the</w:t>
      </w:r>
      <w:r>
        <w:rPr>
          <w:lang w:eastAsia="zh-CN" w:bidi="th-TH"/>
        </w:rPr>
        <w:t xml:space="preserve"> general population of residents in care</w:t>
      </w:r>
      <w:r w:rsidR="009138B0">
        <w:rPr>
          <w:lang w:eastAsia="zh-CN" w:bidi="th-TH"/>
        </w:rPr>
        <w:t xml:space="preserve">. A lesser amount of the total costs per bed day for those facilities was, </w:t>
      </w:r>
      <w:r w:rsidR="009138B0">
        <w:rPr>
          <w:lang w:eastAsia="zh-CN" w:bidi="th-TH"/>
        </w:rPr>
        <w:lastRenderedPageBreak/>
        <w:t>therefore, identified as individual care</w:t>
      </w:r>
      <w:r w:rsidR="009138B0" w:rsidRPr="009138B0">
        <w:rPr>
          <w:lang w:eastAsia="zh-CN" w:bidi="th-TH"/>
        </w:rPr>
        <w:t xml:space="preserve"> </w:t>
      </w:r>
      <w:r w:rsidR="009138B0">
        <w:rPr>
          <w:lang w:eastAsia="zh-CN" w:bidi="th-TH"/>
        </w:rPr>
        <w:t xml:space="preserve">related. </w:t>
      </w:r>
      <w:r w:rsidR="00802478">
        <w:rPr>
          <w:lang w:eastAsia="zh-CN" w:bidi="th-TH"/>
        </w:rPr>
        <w:t xml:space="preserve">For all </w:t>
      </w:r>
      <w:r w:rsidR="009138B0">
        <w:rPr>
          <w:lang w:eastAsia="zh-CN" w:bidi="th-TH"/>
        </w:rPr>
        <w:t xml:space="preserve">other </w:t>
      </w:r>
      <w:r w:rsidR="00802478">
        <w:rPr>
          <w:lang w:eastAsia="zh-CN" w:bidi="th-TH"/>
        </w:rPr>
        <w:t>types of facilities the facility characteristics were not found to be a dete</w:t>
      </w:r>
      <w:r w:rsidR="00AE0CF1">
        <w:rPr>
          <w:lang w:eastAsia="zh-CN" w:bidi="th-TH"/>
        </w:rPr>
        <w:t>rminant of resident complexity.</w:t>
      </w:r>
    </w:p>
    <w:p w14:paraId="3E5323FA" w14:textId="3BFF9AEC" w:rsidR="00E21C63" w:rsidRDefault="00802478" w:rsidP="00802478">
      <w:pPr>
        <w:spacing w:before="240"/>
        <w:rPr>
          <w:lang w:eastAsia="zh-CN" w:bidi="th-TH"/>
        </w:rPr>
      </w:pPr>
      <w:r>
        <w:rPr>
          <w:lang w:eastAsia="zh-CN" w:bidi="th-TH"/>
        </w:rPr>
        <w:t xml:space="preserve">The average overall casemix complexity for </w:t>
      </w:r>
      <w:r w:rsidR="009138B0">
        <w:rPr>
          <w:lang w:eastAsia="zh-CN" w:bidi="th-TH"/>
        </w:rPr>
        <w:t xml:space="preserve">all </w:t>
      </w:r>
      <w:r>
        <w:rPr>
          <w:lang w:eastAsia="zh-CN" w:bidi="th-TH"/>
        </w:rPr>
        <w:t xml:space="preserve">facilities </w:t>
      </w:r>
      <w:r w:rsidR="009138B0">
        <w:rPr>
          <w:lang w:eastAsia="zh-CN" w:bidi="th-TH"/>
        </w:rPr>
        <w:t xml:space="preserve">other than homelessness care facilities </w:t>
      </w:r>
      <w:r>
        <w:rPr>
          <w:lang w:eastAsia="zh-CN" w:bidi="th-TH"/>
        </w:rPr>
        <w:t xml:space="preserve">was set at a </w:t>
      </w:r>
      <w:r w:rsidR="00B624D7">
        <w:rPr>
          <w:lang w:eastAsia="zh-CN" w:bidi="th-TH"/>
        </w:rPr>
        <w:t>relative value unit (</w:t>
      </w:r>
      <w:r>
        <w:rPr>
          <w:lang w:eastAsia="zh-CN" w:bidi="th-TH"/>
        </w:rPr>
        <w:t>RVU</w:t>
      </w:r>
      <w:r w:rsidR="00B624D7">
        <w:rPr>
          <w:lang w:eastAsia="zh-CN" w:bidi="th-TH"/>
        </w:rPr>
        <w:t>)</w:t>
      </w:r>
      <w:r>
        <w:rPr>
          <w:lang w:eastAsia="zh-CN" w:bidi="th-TH"/>
        </w:rPr>
        <w:t xml:space="preserve"> of 1.00</w:t>
      </w:r>
      <w:r w:rsidR="009138B0">
        <w:rPr>
          <w:lang w:eastAsia="zh-CN" w:bidi="th-TH"/>
        </w:rPr>
        <w:t xml:space="preserve">, and for </w:t>
      </w:r>
      <w:r>
        <w:rPr>
          <w:lang w:eastAsia="zh-CN" w:bidi="th-TH"/>
        </w:rPr>
        <w:t xml:space="preserve">homelessness care </w:t>
      </w:r>
      <w:r w:rsidR="009138B0">
        <w:rPr>
          <w:lang w:eastAsia="zh-CN" w:bidi="th-TH"/>
        </w:rPr>
        <w:t>facilities at an</w:t>
      </w:r>
      <w:r>
        <w:rPr>
          <w:lang w:eastAsia="zh-CN" w:bidi="th-TH"/>
        </w:rPr>
        <w:t xml:space="preserve"> RVU of 0.78.</w:t>
      </w:r>
      <w:r w:rsidR="00135308">
        <w:rPr>
          <w:lang w:eastAsia="zh-CN" w:bidi="th-TH"/>
        </w:rPr>
        <w:t xml:space="preserve"> This was based on an analysis of data from Study One.</w:t>
      </w:r>
    </w:p>
    <w:p w14:paraId="602D42DC" w14:textId="60A7AACE" w:rsidR="005733BF" w:rsidRPr="00373B9B" w:rsidRDefault="005F0DD8" w:rsidP="007A3045">
      <w:pPr>
        <w:spacing w:before="240"/>
        <w:rPr>
          <w:lang w:eastAsia="zh-CN" w:bidi="th-TH"/>
        </w:rPr>
      </w:pPr>
      <w:r w:rsidRPr="00373B9B">
        <w:rPr>
          <w:lang w:eastAsia="zh-CN" w:bidi="th-TH"/>
        </w:rPr>
        <w:t xml:space="preserve">The result of </w:t>
      </w:r>
      <w:r w:rsidR="007A3045" w:rsidRPr="00373B9B">
        <w:rPr>
          <w:lang w:eastAsia="zh-CN" w:bidi="th-TH"/>
        </w:rPr>
        <w:t>th</w:t>
      </w:r>
      <w:r w:rsidR="00D64A64" w:rsidRPr="00373B9B">
        <w:rPr>
          <w:lang w:eastAsia="zh-CN" w:bidi="th-TH"/>
        </w:rPr>
        <w:t>e</w:t>
      </w:r>
      <w:r w:rsidR="007A3045" w:rsidRPr="00373B9B">
        <w:rPr>
          <w:lang w:eastAsia="zh-CN" w:bidi="th-TH"/>
        </w:rPr>
        <w:t xml:space="preserve"> cost allocation process was </w:t>
      </w:r>
      <w:r w:rsidRPr="00373B9B">
        <w:rPr>
          <w:lang w:eastAsia="zh-CN" w:bidi="th-TH"/>
        </w:rPr>
        <w:t>the identification of</w:t>
      </w:r>
      <w:r w:rsidR="00A83EAC" w:rsidRPr="00373B9B">
        <w:rPr>
          <w:lang w:eastAsia="zh-CN" w:bidi="th-TH"/>
        </w:rPr>
        <w:t xml:space="preserve"> </w:t>
      </w:r>
      <w:r w:rsidRPr="00373B9B">
        <w:rPr>
          <w:lang w:eastAsia="zh-CN" w:bidi="th-TH"/>
        </w:rPr>
        <w:t>three distinct types of costs</w:t>
      </w:r>
      <w:r w:rsidR="00A83EAC" w:rsidRPr="00373B9B">
        <w:rPr>
          <w:lang w:eastAsia="zh-CN" w:bidi="th-TH"/>
        </w:rPr>
        <w:t xml:space="preserve"> </w:t>
      </w:r>
      <w:r w:rsidR="00D64A64" w:rsidRPr="00373B9B">
        <w:rPr>
          <w:lang w:eastAsia="zh-CN" w:bidi="th-TH"/>
        </w:rPr>
        <w:t>within</w:t>
      </w:r>
      <w:r w:rsidR="007A3045" w:rsidRPr="00373B9B">
        <w:rPr>
          <w:lang w:eastAsia="zh-CN" w:bidi="th-TH"/>
        </w:rPr>
        <w:t xml:space="preserve"> each facility</w:t>
      </w:r>
      <w:r w:rsidR="00A83EAC" w:rsidRPr="00373B9B">
        <w:rPr>
          <w:lang w:eastAsia="zh-CN" w:bidi="th-TH"/>
        </w:rPr>
        <w:t>:</w:t>
      </w:r>
    </w:p>
    <w:p w14:paraId="68C625F7" w14:textId="2533F2F2" w:rsidR="007A3045" w:rsidRPr="00373B9B" w:rsidRDefault="007A3045" w:rsidP="00373B9B">
      <w:pPr>
        <w:pStyle w:val="Bullets"/>
        <w:rPr>
          <w:lang w:eastAsia="zh-CN" w:bidi="th-TH"/>
        </w:rPr>
      </w:pPr>
      <w:r w:rsidRPr="00373B9B">
        <w:rPr>
          <w:b/>
          <w:shd w:val="clear" w:color="auto" w:fill="FFFFFF" w:themeFill="background1"/>
          <w:lang w:eastAsia="zh-CN" w:bidi="th-TH"/>
        </w:rPr>
        <w:t>Individual care costs</w:t>
      </w:r>
      <w:r w:rsidRPr="00373B9B">
        <w:rPr>
          <w:shd w:val="clear" w:color="auto" w:fill="FFFFFF" w:themeFill="background1"/>
          <w:lang w:eastAsia="zh-CN" w:bidi="th-TH"/>
        </w:rPr>
        <w:t xml:space="preserve"> - </w:t>
      </w:r>
      <w:r w:rsidR="004A10E5">
        <w:rPr>
          <w:shd w:val="clear" w:color="auto" w:fill="FFFFFF" w:themeFill="background1"/>
          <w:lang w:eastAsia="zh-CN" w:bidi="th-TH"/>
        </w:rPr>
        <w:t>T</w:t>
      </w:r>
      <w:r w:rsidRPr="00373B9B">
        <w:rPr>
          <w:shd w:val="clear" w:color="auto" w:fill="FFFFFF" w:themeFill="background1"/>
          <w:lang w:eastAsia="zh-CN" w:bidi="th-TH"/>
        </w:rPr>
        <w:t>he costs of direct individual resident care.</w:t>
      </w:r>
    </w:p>
    <w:p w14:paraId="14AB5AA3" w14:textId="215221CC" w:rsidR="007A3045" w:rsidRPr="00373B9B" w:rsidRDefault="007A3045" w:rsidP="00373B9B">
      <w:pPr>
        <w:pStyle w:val="Bullets"/>
        <w:rPr>
          <w:lang w:eastAsia="zh-CN" w:bidi="th-TH"/>
        </w:rPr>
      </w:pPr>
      <w:r w:rsidRPr="00373B9B">
        <w:rPr>
          <w:b/>
          <w:shd w:val="clear" w:color="auto" w:fill="FFFFFF" w:themeFill="background1"/>
          <w:lang w:eastAsia="zh-CN" w:bidi="th-TH"/>
        </w:rPr>
        <w:t>Fixed care costs</w:t>
      </w:r>
      <w:r w:rsidRPr="00373B9B">
        <w:rPr>
          <w:shd w:val="clear" w:color="auto" w:fill="FFFFFF" w:themeFill="background1"/>
          <w:lang w:eastAsia="zh-CN" w:bidi="th-TH"/>
        </w:rPr>
        <w:t xml:space="preserve"> - </w:t>
      </w:r>
      <w:r w:rsidR="004A10E5">
        <w:rPr>
          <w:shd w:val="clear" w:color="auto" w:fill="FFFFFF" w:themeFill="background1"/>
          <w:lang w:eastAsia="zh-CN" w:bidi="th-TH"/>
        </w:rPr>
        <w:t>T</w:t>
      </w:r>
      <w:r w:rsidRPr="00373B9B">
        <w:rPr>
          <w:shd w:val="clear" w:color="auto" w:fill="FFFFFF" w:themeFill="background1"/>
          <w:lang w:eastAsia="zh-CN" w:bidi="th-TH"/>
        </w:rPr>
        <w:t>he costs of direct shared care and care related indirect costs.</w:t>
      </w:r>
    </w:p>
    <w:p w14:paraId="69BB73B4" w14:textId="51D83BD1" w:rsidR="00802478" w:rsidRDefault="007A3045" w:rsidP="00373B9B">
      <w:pPr>
        <w:pStyle w:val="Bullets"/>
        <w:rPr>
          <w:lang w:eastAsia="zh-CN" w:bidi="th-TH"/>
        </w:rPr>
      </w:pPr>
      <w:r w:rsidRPr="007A3045">
        <w:rPr>
          <w:b/>
          <w:shd w:val="clear" w:color="auto" w:fill="FFFFFF" w:themeFill="background1"/>
          <w:lang w:eastAsia="zh-CN" w:bidi="th-TH"/>
        </w:rPr>
        <w:t>Hotel costs</w:t>
      </w:r>
      <w:r>
        <w:rPr>
          <w:shd w:val="clear" w:color="auto" w:fill="FFFFFF" w:themeFill="background1"/>
          <w:lang w:eastAsia="zh-CN" w:bidi="th-TH"/>
        </w:rPr>
        <w:t xml:space="preserve"> - </w:t>
      </w:r>
      <w:r w:rsidR="004A10E5">
        <w:rPr>
          <w:shd w:val="clear" w:color="auto" w:fill="FFFFFF" w:themeFill="background1"/>
          <w:lang w:eastAsia="zh-CN" w:bidi="th-TH"/>
        </w:rPr>
        <w:t>H</w:t>
      </w:r>
      <w:r w:rsidRPr="005F0DD8">
        <w:rPr>
          <w:shd w:val="clear" w:color="auto" w:fill="FFFFFF" w:themeFill="background1"/>
          <w:lang w:eastAsia="zh-CN" w:bidi="th-TH"/>
        </w:rPr>
        <w:t xml:space="preserve">otel and non-care related </w:t>
      </w:r>
      <w:r w:rsidR="00D64A64" w:rsidRPr="005F0DD8">
        <w:rPr>
          <w:shd w:val="clear" w:color="auto" w:fill="FFFFFF" w:themeFill="background1"/>
          <w:lang w:eastAsia="zh-CN" w:bidi="th-TH"/>
        </w:rPr>
        <w:t xml:space="preserve">indirect </w:t>
      </w:r>
      <w:r w:rsidRPr="005F0DD8">
        <w:rPr>
          <w:shd w:val="clear" w:color="auto" w:fill="FFFFFF" w:themeFill="background1"/>
          <w:lang w:eastAsia="zh-CN" w:bidi="th-TH"/>
        </w:rPr>
        <w:t>costs</w:t>
      </w:r>
      <w:r w:rsidR="005F0DD8" w:rsidRPr="005F0DD8">
        <w:rPr>
          <w:shd w:val="clear" w:color="auto" w:fill="FFFFFF" w:themeFill="background1"/>
          <w:lang w:eastAsia="zh-CN" w:bidi="th-TH"/>
        </w:rPr>
        <w:t xml:space="preserve"> which are o</w:t>
      </w:r>
      <w:r w:rsidR="005F0DD8" w:rsidRPr="005F0DD8">
        <w:rPr>
          <w:lang w:eastAsia="zh-CN" w:bidi="th-TH"/>
        </w:rPr>
        <w:t>ut of scope for fixed care cost analysis.</w:t>
      </w:r>
    </w:p>
    <w:p w14:paraId="7C9A278C" w14:textId="3FF657EB" w:rsidR="00802478" w:rsidRPr="009138B0" w:rsidRDefault="00637681" w:rsidP="008A644B">
      <w:pPr>
        <w:spacing w:before="240"/>
        <w:rPr>
          <w:shd w:val="clear" w:color="auto" w:fill="FFFFFF" w:themeFill="background1"/>
          <w:lang w:eastAsia="zh-CN" w:bidi="th-TH"/>
        </w:rPr>
      </w:pPr>
      <w:r>
        <w:rPr>
          <w:lang w:eastAsia="zh-CN" w:bidi="th-TH"/>
        </w:rPr>
        <w:fldChar w:fldCharType="begin"/>
      </w:r>
      <w:r>
        <w:rPr>
          <w:lang w:eastAsia="zh-CN" w:bidi="th-TH"/>
        </w:rPr>
        <w:instrText xml:space="preserve"> REF _Ref532563547 \h </w:instrText>
      </w:r>
      <w:r>
        <w:rPr>
          <w:lang w:eastAsia="zh-CN" w:bidi="th-TH"/>
        </w:rPr>
      </w:r>
      <w:r>
        <w:rPr>
          <w:lang w:eastAsia="zh-CN" w:bidi="th-TH"/>
        </w:rPr>
        <w:fldChar w:fldCharType="separate"/>
      </w:r>
      <w:r w:rsidR="00043266">
        <w:t xml:space="preserve">Figure </w:t>
      </w:r>
      <w:r w:rsidR="00043266">
        <w:rPr>
          <w:noProof/>
        </w:rPr>
        <w:t>1</w:t>
      </w:r>
      <w:r>
        <w:rPr>
          <w:lang w:eastAsia="zh-CN" w:bidi="th-TH"/>
        </w:rPr>
        <w:fldChar w:fldCharType="end"/>
      </w:r>
      <w:r>
        <w:rPr>
          <w:lang w:eastAsia="zh-CN" w:bidi="th-TH"/>
        </w:rPr>
        <w:t xml:space="preserve"> illustrates the different </w:t>
      </w:r>
      <w:r w:rsidR="00A83EAC">
        <w:rPr>
          <w:lang w:eastAsia="zh-CN" w:bidi="th-TH"/>
        </w:rPr>
        <w:t>types</w:t>
      </w:r>
      <w:r>
        <w:rPr>
          <w:lang w:eastAsia="zh-CN" w:bidi="th-TH"/>
        </w:rPr>
        <w:t xml:space="preserve"> of costs identified</w:t>
      </w:r>
      <w:r w:rsidR="00A83EAC">
        <w:rPr>
          <w:lang w:eastAsia="zh-CN" w:bidi="th-TH"/>
        </w:rPr>
        <w:t xml:space="preserve"> for analysis</w:t>
      </w:r>
      <w:r>
        <w:rPr>
          <w:lang w:eastAsia="zh-CN" w:bidi="th-TH"/>
        </w:rPr>
        <w:t xml:space="preserve">. The individual care costs were the focus of the </w:t>
      </w:r>
      <w:r w:rsidR="00022B88">
        <w:rPr>
          <w:lang w:eastAsia="zh-CN" w:bidi="th-TH"/>
        </w:rPr>
        <w:t xml:space="preserve">Study One analysis and the </w:t>
      </w:r>
      <w:r>
        <w:rPr>
          <w:lang w:eastAsia="zh-CN" w:bidi="th-TH"/>
        </w:rPr>
        <w:t xml:space="preserve">basis for the </w:t>
      </w:r>
      <w:r w:rsidR="00022B88">
        <w:rPr>
          <w:lang w:eastAsia="zh-CN" w:bidi="th-TH"/>
        </w:rPr>
        <w:t xml:space="preserve">development of the AN-ACC classification system. The fixed </w:t>
      </w:r>
      <w:r w:rsidR="00E77DED">
        <w:rPr>
          <w:lang w:eastAsia="zh-CN" w:bidi="th-TH"/>
        </w:rPr>
        <w:t xml:space="preserve">care </w:t>
      </w:r>
      <w:r w:rsidR="00022B88">
        <w:rPr>
          <w:lang w:eastAsia="zh-CN" w:bidi="th-TH"/>
        </w:rPr>
        <w:t xml:space="preserve">costs </w:t>
      </w:r>
      <w:r>
        <w:rPr>
          <w:lang w:eastAsia="zh-CN" w:bidi="th-TH"/>
        </w:rPr>
        <w:t xml:space="preserve">were the subject of analysis in Study Two. </w:t>
      </w:r>
      <w:r w:rsidR="00A83EAC">
        <w:rPr>
          <w:shd w:val="clear" w:color="auto" w:fill="FFFFFF" w:themeFill="background1"/>
          <w:lang w:eastAsia="zh-CN" w:bidi="th-TH"/>
        </w:rPr>
        <w:t>The cost allocation methodology is outlined in detail in Report 7</w:t>
      </w:r>
      <w:r w:rsidR="00135308">
        <w:rPr>
          <w:shd w:val="clear" w:color="auto" w:fill="FFFFFF" w:themeFill="background1"/>
          <w:lang w:eastAsia="zh-CN" w:bidi="th-TH"/>
        </w:rPr>
        <w:t>.</w:t>
      </w:r>
    </w:p>
    <w:p w14:paraId="67BBD688" w14:textId="146CD736" w:rsidR="00A37C6A" w:rsidRDefault="00E818B4" w:rsidP="00E818B4">
      <w:pPr>
        <w:pStyle w:val="Caption"/>
      </w:pPr>
      <w:bookmarkStart w:id="54" w:name="_Ref532563547"/>
      <w:bookmarkStart w:id="55" w:name="_Toc866589"/>
      <w:r>
        <w:t xml:space="preserve">Figure </w:t>
      </w:r>
      <w:r w:rsidR="0098668B">
        <w:rPr>
          <w:noProof/>
        </w:rPr>
        <w:fldChar w:fldCharType="begin"/>
      </w:r>
      <w:r w:rsidR="0098668B">
        <w:rPr>
          <w:noProof/>
        </w:rPr>
        <w:instrText xml:space="preserve"> SEQ Figure \* ARABIC </w:instrText>
      </w:r>
      <w:r w:rsidR="0098668B">
        <w:rPr>
          <w:noProof/>
        </w:rPr>
        <w:fldChar w:fldCharType="separate"/>
      </w:r>
      <w:r w:rsidR="00043266">
        <w:rPr>
          <w:noProof/>
        </w:rPr>
        <w:t>1</w:t>
      </w:r>
      <w:r w:rsidR="0098668B">
        <w:rPr>
          <w:noProof/>
        </w:rPr>
        <w:fldChar w:fldCharType="end"/>
      </w:r>
      <w:bookmarkEnd w:id="54"/>
      <w:r w:rsidR="003025EF">
        <w:rPr>
          <w:noProof/>
        </w:rPr>
        <w:t xml:space="preserve"> </w:t>
      </w:r>
      <w:r w:rsidR="00A37C6A">
        <w:tab/>
      </w:r>
      <w:r w:rsidR="00594BE0">
        <w:t xml:space="preserve">The </w:t>
      </w:r>
      <w:r w:rsidR="007A61B1">
        <w:t xml:space="preserve">RUCS </w:t>
      </w:r>
      <w:r w:rsidR="00E77DED">
        <w:t>allocated cost</w:t>
      </w:r>
      <w:r w:rsidR="00A37C6A">
        <w:t xml:space="preserve"> data model</w:t>
      </w:r>
      <w:bookmarkEnd w:id="55"/>
    </w:p>
    <w:p w14:paraId="2E88E0B3" w14:textId="2FDB3727" w:rsidR="00AE0CF1" w:rsidRPr="00AE0CF1" w:rsidRDefault="00AE0CF1" w:rsidP="00AE0CF1">
      <w:r>
        <w:rPr>
          <w:noProof/>
        </w:rPr>
        <w:drawing>
          <wp:inline distT="0" distB="0" distL="0" distR="0" wp14:anchorId="07DF8DB1" wp14:editId="5BFAC933">
            <wp:extent cx="5939790" cy="2748280"/>
            <wp:effectExtent l="0" t="0" r="3810" b="0"/>
            <wp:docPr id="4" name="Picture 4" descr="Figure 1 illustrates the different types of costs identified for analysis. Individual care costs include corporate allocation and direct individual care costs. Fixed care costs inclule corporate allocation, shared care and indirect care related costs. Hotel costs include corporate allocation, hotel, and indirect - non-care related costs." title="Figure 1  The RUCS allocated cost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2748280"/>
                    </a:xfrm>
                    <a:prstGeom prst="rect">
                      <a:avLst/>
                    </a:prstGeom>
                  </pic:spPr>
                </pic:pic>
              </a:graphicData>
            </a:graphic>
          </wp:inline>
        </w:drawing>
      </w:r>
    </w:p>
    <w:p w14:paraId="2F96A7D7" w14:textId="77777777" w:rsidR="00943BA0" w:rsidRDefault="00C45272">
      <w:pPr>
        <w:rPr>
          <w:lang w:eastAsia="zh-CN" w:bidi="th-TH"/>
        </w:rPr>
      </w:pPr>
      <w:r>
        <w:rPr>
          <w:lang w:eastAsia="zh-CN" w:bidi="th-TH"/>
        </w:rPr>
        <w:br w:type="page"/>
      </w:r>
    </w:p>
    <w:p w14:paraId="41B1A9FD" w14:textId="77777777" w:rsidR="00F55B15" w:rsidRDefault="00F55B15" w:rsidP="00C06B51">
      <w:pPr>
        <w:pStyle w:val="Heading1"/>
        <w:rPr>
          <w:lang w:eastAsia="zh-CN" w:bidi="th-TH"/>
        </w:rPr>
      </w:pPr>
      <w:bookmarkStart w:id="56" w:name="_Toc952741"/>
      <w:r>
        <w:rPr>
          <w:lang w:eastAsia="zh-CN" w:bidi="th-TH"/>
        </w:rPr>
        <w:lastRenderedPageBreak/>
        <w:t>Study Two data analysis</w:t>
      </w:r>
      <w:bookmarkEnd w:id="56"/>
      <w:r>
        <w:rPr>
          <w:lang w:eastAsia="zh-CN" w:bidi="th-TH"/>
        </w:rPr>
        <w:t xml:space="preserve"> </w:t>
      </w:r>
    </w:p>
    <w:p w14:paraId="57D3224E" w14:textId="77777777" w:rsidR="00F55B15" w:rsidRPr="008B7115" w:rsidRDefault="00F55B15" w:rsidP="008816FF">
      <w:pPr>
        <w:pStyle w:val="Heading2"/>
        <w:rPr>
          <w:lang w:eastAsia="zh-CN" w:bidi="th-TH"/>
        </w:rPr>
      </w:pPr>
      <w:bookmarkStart w:id="57" w:name="_Toc952742"/>
      <w:r w:rsidRPr="008B7115">
        <w:rPr>
          <w:lang w:eastAsia="zh-CN" w:bidi="th-TH"/>
        </w:rPr>
        <w:t>Analysis approach and statistical methods</w:t>
      </w:r>
      <w:bookmarkEnd w:id="57"/>
    </w:p>
    <w:p w14:paraId="7EF0EC89" w14:textId="6CFF8C31" w:rsidR="00877FEC" w:rsidRDefault="009D7563" w:rsidP="00877FEC">
      <w:pPr>
        <w:rPr>
          <w:lang w:eastAsia="zh-CN" w:bidi="th-TH"/>
        </w:rPr>
      </w:pPr>
      <w:r w:rsidRPr="003025EF">
        <w:rPr>
          <w:lang w:eastAsia="zh-CN" w:bidi="th-TH"/>
        </w:rPr>
        <w:t xml:space="preserve">The </w:t>
      </w:r>
      <w:r w:rsidR="00661C6A" w:rsidRPr="003025EF">
        <w:rPr>
          <w:lang w:eastAsia="zh-CN" w:bidi="th-TH"/>
        </w:rPr>
        <w:t xml:space="preserve">goal </w:t>
      </w:r>
      <w:r w:rsidR="0018318E" w:rsidRPr="003025EF">
        <w:rPr>
          <w:lang w:eastAsia="zh-CN" w:bidi="th-TH"/>
        </w:rPr>
        <w:t xml:space="preserve">of the analysis </w:t>
      </w:r>
      <w:r w:rsidR="00661C6A" w:rsidRPr="003025EF">
        <w:rPr>
          <w:lang w:eastAsia="zh-CN" w:bidi="th-TH"/>
        </w:rPr>
        <w:t xml:space="preserve">was </w:t>
      </w:r>
      <w:r w:rsidR="00CC6726">
        <w:rPr>
          <w:lang w:eastAsia="zh-CN" w:bidi="th-TH"/>
        </w:rPr>
        <w:t xml:space="preserve">the identification of cost drivers and </w:t>
      </w:r>
      <w:r w:rsidR="00661C6A" w:rsidRPr="003025EF">
        <w:rPr>
          <w:lang w:eastAsia="zh-CN" w:bidi="th-TH"/>
        </w:rPr>
        <w:t xml:space="preserve">facility characteristics </w:t>
      </w:r>
      <w:r w:rsidR="00560A17" w:rsidRPr="003025EF">
        <w:rPr>
          <w:lang w:eastAsia="zh-CN" w:bidi="th-TH"/>
        </w:rPr>
        <w:t>that are associated with substantial differences in fixed care cost per bed day. The</w:t>
      </w:r>
      <w:r w:rsidR="003E1112" w:rsidRPr="003025EF">
        <w:rPr>
          <w:lang w:eastAsia="zh-CN" w:bidi="th-TH"/>
        </w:rPr>
        <w:t>se</w:t>
      </w:r>
      <w:r w:rsidR="00560A17" w:rsidRPr="003025EF">
        <w:rPr>
          <w:lang w:eastAsia="zh-CN" w:bidi="th-TH"/>
        </w:rPr>
        <w:t xml:space="preserve"> </w:t>
      </w:r>
      <w:r w:rsidR="00661C6A" w:rsidRPr="003025EF">
        <w:rPr>
          <w:lang w:eastAsia="zh-CN" w:bidi="th-TH"/>
        </w:rPr>
        <w:t xml:space="preserve">findings </w:t>
      </w:r>
      <w:r w:rsidR="00B0775E">
        <w:rPr>
          <w:lang w:eastAsia="zh-CN" w:bidi="th-TH"/>
        </w:rPr>
        <w:t xml:space="preserve">inform </w:t>
      </w:r>
      <w:r w:rsidR="003E1112" w:rsidRPr="003025EF">
        <w:rPr>
          <w:lang w:eastAsia="zh-CN" w:bidi="th-TH"/>
        </w:rPr>
        <w:t xml:space="preserve">the </w:t>
      </w:r>
      <w:r w:rsidR="00B0775E">
        <w:rPr>
          <w:lang w:eastAsia="zh-CN" w:bidi="th-TH"/>
        </w:rPr>
        <w:t xml:space="preserve">calculation of </w:t>
      </w:r>
      <w:r w:rsidR="005F0DD8">
        <w:rPr>
          <w:lang w:eastAsia="zh-CN" w:bidi="th-TH"/>
        </w:rPr>
        <w:t xml:space="preserve">base care tariffs for </w:t>
      </w:r>
      <w:r w:rsidR="003E1112" w:rsidRPr="003025EF">
        <w:rPr>
          <w:lang w:eastAsia="zh-CN" w:bidi="th-TH"/>
        </w:rPr>
        <w:t xml:space="preserve">different </w:t>
      </w:r>
      <w:r w:rsidR="005F0DD8">
        <w:rPr>
          <w:lang w:eastAsia="zh-CN" w:bidi="th-TH"/>
        </w:rPr>
        <w:t xml:space="preserve">facility types </w:t>
      </w:r>
      <w:r w:rsidR="003E1112" w:rsidRPr="003025EF">
        <w:rPr>
          <w:lang w:eastAsia="zh-CN" w:bidi="th-TH"/>
        </w:rPr>
        <w:t>in the blen</w:t>
      </w:r>
      <w:r w:rsidR="00257FFD" w:rsidRPr="003025EF">
        <w:rPr>
          <w:lang w:eastAsia="zh-CN" w:bidi="th-TH"/>
        </w:rPr>
        <w:t>ded funding model</w:t>
      </w:r>
      <w:r w:rsidR="00F55B15" w:rsidRPr="003025EF">
        <w:rPr>
          <w:lang w:eastAsia="zh-CN" w:bidi="th-TH"/>
        </w:rPr>
        <w:t>.</w:t>
      </w:r>
    </w:p>
    <w:p w14:paraId="369685AF" w14:textId="5DCFE3F2" w:rsidR="00CC6726" w:rsidRDefault="00CB687B" w:rsidP="00626CB7">
      <w:pPr>
        <w:spacing w:before="240"/>
      </w:pPr>
      <w:r>
        <w:t xml:space="preserve">Initial </w:t>
      </w:r>
      <w:r w:rsidR="009138B0">
        <w:t xml:space="preserve">high level </w:t>
      </w:r>
      <w:r>
        <w:t xml:space="preserve">data analysis was performed </w:t>
      </w:r>
      <w:r w:rsidR="009138B0">
        <w:t xml:space="preserve">to </w:t>
      </w:r>
      <w:r>
        <w:t xml:space="preserve">identify any </w:t>
      </w:r>
      <w:r w:rsidR="009138B0">
        <w:t xml:space="preserve">potential </w:t>
      </w:r>
      <w:r w:rsidR="00876856">
        <w:t>data issues.</w:t>
      </w:r>
      <w:r w:rsidR="00B0775E">
        <w:t xml:space="preserve"> T</w:t>
      </w:r>
      <w:r>
        <w:t xml:space="preserve">here were 12 government facilities in the sample. Those facilities reported </w:t>
      </w:r>
      <w:r w:rsidR="009138B0">
        <w:t xml:space="preserve">substantially </w:t>
      </w:r>
      <w:r>
        <w:t>different cost</w:t>
      </w:r>
      <w:r w:rsidR="009138B0">
        <w:t>s</w:t>
      </w:r>
      <w:r>
        <w:t xml:space="preserve"> and </w:t>
      </w:r>
      <w:r w:rsidR="009138B0">
        <w:t>care st</w:t>
      </w:r>
      <w:r>
        <w:t>aff mix</w:t>
      </w:r>
      <w:r w:rsidR="00B0775E">
        <w:t xml:space="preserve"> and data on individualised care costs were not available as government facilities had been excluded from Study One</w:t>
      </w:r>
      <w:r>
        <w:t>.</w:t>
      </w:r>
      <w:r w:rsidR="009138B0">
        <w:t xml:space="preserve"> </w:t>
      </w:r>
      <w:r w:rsidR="00B0775E">
        <w:t xml:space="preserve">On this basis, they were </w:t>
      </w:r>
      <w:r w:rsidR="009138B0">
        <w:t xml:space="preserve">removed from further analysis. </w:t>
      </w:r>
      <w:r>
        <w:t xml:space="preserve">A further five facilities were identified as low cost outliers </w:t>
      </w:r>
      <w:r w:rsidR="009138B0">
        <w:t>for the</w:t>
      </w:r>
      <w:r>
        <w:t xml:space="preserve"> fixed </w:t>
      </w:r>
      <w:r w:rsidR="009138B0">
        <w:t xml:space="preserve">care </w:t>
      </w:r>
      <w:r>
        <w:t>cost per occupied bed day</w:t>
      </w:r>
      <w:r w:rsidR="009138B0">
        <w:t xml:space="preserve">. These additional low cost outlier facilities were also </w:t>
      </w:r>
      <w:r>
        <w:t>removed from the analysis.</w:t>
      </w:r>
    </w:p>
    <w:p w14:paraId="6D2CA49B" w14:textId="4C5E9202" w:rsidR="00CC6726" w:rsidRDefault="00626CB7" w:rsidP="00CC6726">
      <w:pPr>
        <w:spacing w:before="240"/>
      </w:pPr>
      <w:r>
        <w:rPr>
          <w:lang w:eastAsia="zh-CN" w:bidi="th-TH"/>
        </w:rPr>
        <w:t xml:space="preserve">The data </w:t>
      </w:r>
      <w:r w:rsidR="00B0775E">
        <w:rPr>
          <w:lang w:eastAsia="zh-CN" w:bidi="th-TH"/>
        </w:rPr>
        <w:t xml:space="preserve">are </w:t>
      </w:r>
      <w:r w:rsidRPr="00CC6726">
        <w:rPr>
          <w:lang w:eastAsia="zh-CN" w:bidi="th-TH"/>
        </w:rPr>
        <w:t xml:space="preserve">presented </w:t>
      </w:r>
      <w:r w:rsidR="00B0775E">
        <w:rPr>
          <w:lang w:eastAsia="zh-CN" w:bidi="th-TH"/>
        </w:rPr>
        <w:t xml:space="preserve">below </w:t>
      </w:r>
      <w:r w:rsidRPr="00CC6726">
        <w:rPr>
          <w:lang w:eastAsia="zh-CN" w:bidi="th-TH"/>
        </w:rPr>
        <w:t xml:space="preserve">in a </w:t>
      </w:r>
      <w:r w:rsidR="00CB687B" w:rsidRPr="003025EF">
        <w:t xml:space="preserve">series of tables that </w:t>
      </w:r>
      <w:r w:rsidRPr="003025EF">
        <w:t>present key characteristics such as</w:t>
      </w:r>
      <w:r w:rsidR="004A410D">
        <w:t xml:space="preserve"> </w:t>
      </w:r>
      <w:r w:rsidRPr="003025EF">
        <w:t>facility size (</w:t>
      </w:r>
      <w:r w:rsidR="004A410D">
        <w:t xml:space="preserve">based on </w:t>
      </w:r>
      <w:r w:rsidRPr="003025EF">
        <w:t>number of approved beds)</w:t>
      </w:r>
      <w:r w:rsidR="00B0775E">
        <w:t>. F</w:t>
      </w:r>
      <w:r w:rsidRPr="003025EF">
        <w:t xml:space="preserve">ixed costs per bed day </w:t>
      </w:r>
      <w:r w:rsidR="004A410D">
        <w:t xml:space="preserve">is calculated in each case </w:t>
      </w:r>
      <w:r w:rsidRPr="003025EF">
        <w:t>based on both the approved bed numbers and the actual occupied bed days</w:t>
      </w:r>
      <w:r w:rsidR="004A410D">
        <w:t xml:space="preserve">. </w:t>
      </w:r>
      <w:r w:rsidR="00CB687B" w:rsidRPr="003025EF">
        <w:t xml:space="preserve">The </w:t>
      </w:r>
      <w:r w:rsidR="00B0775E">
        <w:t>Coefficient of Variation (</w:t>
      </w:r>
      <w:r w:rsidR="00CB687B" w:rsidRPr="003025EF">
        <w:t>CV</w:t>
      </w:r>
      <w:r w:rsidR="00B0775E">
        <w:t>)</w:t>
      </w:r>
      <w:r w:rsidR="00CB687B" w:rsidRPr="003025EF">
        <w:t xml:space="preserve"> of cost is also presented to provide an indication of cost variability </w:t>
      </w:r>
      <w:r w:rsidR="004A410D">
        <w:t>with</w:t>
      </w:r>
      <w:r w:rsidR="00CB687B" w:rsidRPr="003025EF">
        <w:t xml:space="preserve">in each </w:t>
      </w:r>
      <w:r w:rsidR="004A410D">
        <w:t>category</w:t>
      </w:r>
      <w:r w:rsidR="00CB687B" w:rsidRPr="003025EF">
        <w:t xml:space="preserve">. </w:t>
      </w:r>
      <w:r w:rsidR="004A410D">
        <w:t xml:space="preserve">The mean cost calculation takes into account that, depending on their size, facilities contribute differently to the average cost per bed day. </w:t>
      </w:r>
      <w:r w:rsidR="00CC6726">
        <w:t>The CV</w:t>
      </w:r>
      <w:r w:rsidR="004A410D">
        <w:t>, however,</w:t>
      </w:r>
      <w:r w:rsidR="00CC6726">
        <w:t xml:space="preserve"> is </w:t>
      </w:r>
      <w:r w:rsidR="004A410D">
        <w:t xml:space="preserve">calculated on </w:t>
      </w:r>
      <w:r w:rsidR="00CC6726">
        <w:t>the facility-level cost per bed day (occupied o</w:t>
      </w:r>
      <w:r w:rsidR="004A410D">
        <w:t>r approved) regardless of individual facility bed numbers</w:t>
      </w:r>
      <w:r w:rsidR="00CC6726">
        <w:t>.</w:t>
      </w:r>
    </w:p>
    <w:p w14:paraId="257ADB3E" w14:textId="1199AE15" w:rsidR="00626CB7" w:rsidRDefault="00B0775E" w:rsidP="0071311E">
      <w:pPr>
        <w:spacing w:before="240"/>
        <w:rPr>
          <w:lang w:eastAsia="zh-CN" w:bidi="th-TH"/>
        </w:rPr>
      </w:pPr>
      <w:r>
        <w:t xml:space="preserve">Statistical testing was undertaken to determine </w:t>
      </w:r>
      <w:r w:rsidR="00626CB7">
        <w:t>whether any observed group differences constituted</w:t>
      </w:r>
      <w:r w:rsidR="00626CB7">
        <w:rPr>
          <w:lang w:eastAsia="zh-CN" w:bidi="th-TH"/>
        </w:rPr>
        <w:t xml:space="preserve"> statistically significant differences using either t-tests or </w:t>
      </w:r>
      <w:r>
        <w:rPr>
          <w:lang w:eastAsia="zh-CN" w:bidi="th-TH"/>
        </w:rPr>
        <w:t>a</w:t>
      </w:r>
      <w:r w:rsidR="00626CB7" w:rsidRPr="007E6042">
        <w:rPr>
          <w:lang w:eastAsia="zh-CN" w:bidi="th-TH"/>
        </w:rPr>
        <w:t>nalysis of variance (ANOVA)</w:t>
      </w:r>
      <w:r w:rsidR="00626CB7">
        <w:rPr>
          <w:lang w:eastAsia="zh-CN" w:bidi="th-TH"/>
        </w:rPr>
        <w:t xml:space="preserve">. </w:t>
      </w:r>
      <w:r>
        <w:rPr>
          <w:caps/>
          <w:lang w:eastAsia="zh-CN" w:bidi="th-TH"/>
        </w:rPr>
        <w:t>A</w:t>
      </w:r>
      <w:r w:rsidR="00CC6726">
        <w:rPr>
          <w:lang w:eastAsia="zh-CN" w:bidi="th-TH"/>
        </w:rPr>
        <w:t xml:space="preserve"> multi-level modelling </w:t>
      </w:r>
      <w:r w:rsidR="0071311E">
        <w:rPr>
          <w:lang w:eastAsia="zh-CN" w:bidi="th-TH"/>
        </w:rPr>
        <w:t>using a classification tree approach</w:t>
      </w:r>
      <w:r w:rsidR="00CC6726">
        <w:rPr>
          <w:lang w:eastAsia="zh-CN" w:bidi="th-TH"/>
        </w:rPr>
        <w:t xml:space="preserve"> </w:t>
      </w:r>
      <w:r w:rsidR="00626CB7">
        <w:rPr>
          <w:lang w:eastAsia="zh-CN" w:bidi="th-TH"/>
        </w:rPr>
        <w:t xml:space="preserve">was </w:t>
      </w:r>
      <w:r>
        <w:rPr>
          <w:lang w:eastAsia="zh-CN" w:bidi="th-TH"/>
        </w:rPr>
        <w:t xml:space="preserve">developed </w:t>
      </w:r>
      <w:r w:rsidR="00626CB7">
        <w:rPr>
          <w:lang w:eastAsia="zh-CN" w:bidi="th-TH"/>
        </w:rPr>
        <w:t>to identify the most relevant cost drivers</w:t>
      </w:r>
      <w:r w:rsidR="0071311E">
        <w:rPr>
          <w:lang w:eastAsia="zh-CN" w:bidi="th-TH"/>
        </w:rPr>
        <w:t xml:space="preserve"> and quantify their relative impact</w:t>
      </w:r>
      <w:r w:rsidR="00626CB7">
        <w:rPr>
          <w:lang w:eastAsia="zh-CN" w:bidi="th-TH"/>
        </w:rPr>
        <w:t xml:space="preserve">. For the statistical analysis p-values &lt; 0.05 were considered </w:t>
      </w:r>
      <w:r w:rsidR="004A410D">
        <w:rPr>
          <w:lang w:eastAsia="zh-CN" w:bidi="th-TH"/>
        </w:rPr>
        <w:t xml:space="preserve">as </w:t>
      </w:r>
      <w:r w:rsidR="00626CB7">
        <w:rPr>
          <w:lang w:eastAsia="zh-CN" w:bidi="th-TH"/>
        </w:rPr>
        <w:t>statistically significant.</w:t>
      </w:r>
    </w:p>
    <w:p w14:paraId="07FB29B5" w14:textId="66EE2EF3" w:rsidR="00DB2529" w:rsidRDefault="00DB2529" w:rsidP="00177C74">
      <w:pPr>
        <w:spacing w:before="240"/>
        <w:rPr>
          <w:lang w:eastAsia="zh-CN" w:bidi="th-TH"/>
        </w:rPr>
      </w:pPr>
      <w:r w:rsidRPr="00E375F2">
        <w:rPr>
          <w:b/>
          <w:i/>
          <w:lang w:eastAsia="zh-CN" w:bidi="th-TH"/>
        </w:rPr>
        <w:t xml:space="preserve">The cost results in this analysis </w:t>
      </w:r>
      <w:r w:rsidR="00B0775E">
        <w:rPr>
          <w:b/>
          <w:i/>
          <w:lang w:eastAsia="zh-CN" w:bidi="th-TH"/>
        </w:rPr>
        <w:t>were</w:t>
      </w:r>
      <w:r w:rsidRPr="00E375F2">
        <w:rPr>
          <w:b/>
          <w:i/>
          <w:lang w:eastAsia="zh-CN" w:bidi="th-TH"/>
        </w:rPr>
        <w:t xml:space="preserve"> calibrated </w:t>
      </w:r>
      <w:r w:rsidR="00B0775E">
        <w:rPr>
          <w:b/>
          <w:i/>
          <w:lang w:eastAsia="zh-CN" w:bidi="th-TH"/>
        </w:rPr>
        <w:t xml:space="preserve">based on </w:t>
      </w:r>
      <w:r w:rsidRPr="00E375F2">
        <w:rPr>
          <w:b/>
          <w:i/>
          <w:lang w:eastAsia="zh-CN" w:bidi="th-TH"/>
        </w:rPr>
        <w:t xml:space="preserve">the </w:t>
      </w:r>
      <w:r w:rsidR="00CB687B" w:rsidRPr="00E375F2">
        <w:rPr>
          <w:b/>
          <w:i/>
          <w:lang w:eastAsia="zh-CN" w:bidi="th-TH"/>
        </w:rPr>
        <w:t xml:space="preserve">average </w:t>
      </w:r>
      <w:r w:rsidRPr="00E375F2">
        <w:rPr>
          <w:b/>
          <w:i/>
          <w:lang w:eastAsia="zh-CN" w:bidi="th-TH"/>
        </w:rPr>
        <w:t>individual care cost per day</w:t>
      </w:r>
      <w:r w:rsidR="004A410D" w:rsidRPr="00E375F2">
        <w:rPr>
          <w:b/>
          <w:i/>
          <w:lang w:eastAsia="zh-CN" w:bidi="th-TH"/>
        </w:rPr>
        <w:t xml:space="preserve"> identified in Study One</w:t>
      </w:r>
      <w:r w:rsidR="00B0775E">
        <w:rPr>
          <w:b/>
          <w:i/>
          <w:lang w:eastAsia="zh-CN" w:bidi="th-TH"/>
        </w:rPr>
        <w:t>. This w</w:t>
      </w:r>
      <w:r w:rsidR="004A410D" w:rsidRPr="00E375F2">
        <w:rPr>
          <w:b/>
          <w:i/>
          <w:lang w:eastAsia="zh-CN" w:bidi="th-TH"/>
        </w:rPr>
        <w:t>as</w:t>
      </w:r>
      <w:r w:rsidRPr="00E375F2">
        <w:rPr>
          <w:b/>
          <w:i/>
          <w:lang w:eastAsia="zh-CN" w:bidi="th-TH"/>
        </w:rPr>
        <w:t xml:space="preserve"> </w:t>
      </w:r>
      <w:r w:rsidR="00E375F2">
        <w:rPr>
          <w:b/>
          <w:i/>
          <w:lang w:eastAsia="zh-CN" w:bidi="th-TH"/>
        </w:rPr>
        <w:t xml:space="preserve">assigned </w:t>
      </w:r>
      <w:r w:rsidRPr="00E375F2">
        <w:rPr>
          <w:b/>
          <w:i/>
          <w:lang w:eastAsia="zh-CN" w:bidi="th-TH"/>
        </w:rPr>
        <w:t>an RVU of 1.00</w:t>
      </w:r>
      <w:r w:rsidRPr="00BB3829">
        <w:rPr>
          <w:lang w:eastAsia="zh-CN" w:bidi="th-TH"/>
        </w:rPr>
        <w:t>.</w:t>
      </w:r>
    </w:p>
    <w:p w14:paraId="138A0B58" w14:textId="5BFA52AB" w:rsidR="00943BA0" w:rsidRDefault="00943BA0" w:rsidP="008816FF">
      <w:pPr>
        <w:pStyle w:val="Heading2"/>
        <w:rPr>
          <w:lang w:eastAsia="zh-CN" w:bidi="th-TH"/>
        </w:rPr>
      </w:pPr>
      <w:bookmarkStart w:id="58" w:name="_Toc533152874"/>
      <w:bookmarkStart w:id="59" w:name="_Ref532825140"/>
      <w:bookmarkStart w:id="60" w:name="_Toc952743"/>
      <w:bookmarkEnd w:id="58"/>
      <w:r>
        <w:rPr>
          <w:lang w:eastAsia="zh-CN" w:bidi="th-TH"/>
        </w:rPr>
        <w:t>Descriptive analysis</w:t>
      </w:r>
      <w:bookmarkEnd w:id="59"/>
      <w:r w:rsidR="0064286F">
        <w:rPr>
          <w:lang w:eastAsia="zh-CN" w:bidi="th-TH"/>
        </w:rPr>
        <w:t xml:space="preserve"> - Fixed care costs</w:t>
      </w:r>
      <w:bookmarkEnd w:id="60"/>
    </w:p>
    <w:p w14:paraId="07F13CC1" w14:textId="228CAA6B" w:rsidR="007850AF" w:rsidRDefault="00035885" w:rsidP="006E1F8F">
      <w:pPr>
        <w:rPr>
          <w:lang w:eastAsia="zh-CN" w:bidi="th-TH"/>
        </w:rPr>
      </w:pPr>
      <w:r w:rsidRPr="007850AF">
        <w:rPr>
          <w:lang w:eastAsia="zh-CN" w:bidi="th-TH"/>
        </w:rPr>
        <w:t xml:space="preserve">Cost data </w:t>
      </w:r>
      <w:r w:rsidR="005A6BD4">
        <w:rPr>
          <w:lang w:eastAsia="zh-CN" w:bidi="th-TH"/>
        </w:rPr>
        <w:t>were</w:t>
      </w:r>
      <w:r w:rsidR="004A410D">
        <w:rPr>
          <w:lang w:eastAsia="zh-CN" w:bidi="th-TH"/>
        </w:rPr>
        <w:t xml:space="preserve"> received</w:t>
      </w:r>
      <w:r w:rsidR="005C491F" w:rsidRPr="007850AF">
        <w:rPr>
          <w:lang w:eastAsia="zh-CN" w:bidi="th-TH"/>
        </w:rPr>
        <w:t xml:space="preserve"> for </w:t>
      </w:r>
      <w:r w:rsidR="004A410D">
        <w:rPr>
          <w:lang w:eastAsia="zh-CN" w:bidi="th-TH"/>
        </w:rPr>
        <w:t>106 facilities</w:t>
      </w:r>
      <w:r w:rsidR="007A44F3">
        <w:rPr>
          <w:lang w:eastAsia="zh-CN" w:bidi="th-TH"/>
        </w:rPr>
        <w:t>.</w:t>
      </w:r>
      <w:r w:rsidR="006E1F8F">
        <w:rPr>
          <w:lang w:eastAsia="zh-CN" w:bidi="th-TH"/>
        </w:rPr>
        <w:t xml:space="preserve"> After removal of </w:t>
      </w:r>
      <w:r w:rsidR="004A410D">
        <w:rPr>
          <w:lang w:eastAsia="zh-CN" w:bidi="th-TH"/>
        </w:rPr>
        <w:t xml:space="preserve">government facilities and low cost outliers </w:t>
      </w:r>
      <w:r w:rsidR="006E1F8F">
        <w:rPr>
          <w:lang w:eastAsia="zh-CN" w:bidi="th-TH"/>
        </w:rPr>
        <w:t xml:space="preserve">the </w:t>
      </w:r>
      <w:r w:rsidR="00B0775E">
        <w:rPr>
          <w:lang w:eastAsia="zh-CN" w:bidi="th-TH"/>
        </w:rPr>
        <w:t xml:space="preserve">final </w:t>
      </w:r>
      <w:r w:rsidR="006E1F8F">
        <w:rPr>
          <w:lang w:eastAsia="zh-CN" w:bidi="th-TH"/>
        </w:rPr>
        <w:t xml:space="preserve">sample size </w:t>
      </w:r>
      <w:r w:rsidR="004A410D">
        <w:rPr>
          <w:lang w:eastAsia="zh-CN" w:bidi="th-TH"/>
        </w:rPr>
        <w:t xml:space="preserve">was </w:t>
      </w:r>
      <w:r w:rsidR="006E1F8F" w:rsidRPr="006E1F8F">
        <w:rPr>
          <w:lang w:eastAsia="zh-CN" w:bidi="th-TH"/>
        </w:rPr>
        <w:t xml:space="preserve">89 facilities. </w:t>
      </w:r>
      <w:r w:rsidR="00B528A7" w:rsidRPr="006E1F8F">
        <w:rPr>
          <w:lang w:eastAsia="zh-CN" w:bidi="th-TH"/>
        </w:rPr>
        <w:t xml:space="preserve">These </w:t>
      </w:r>
      <w:r w:rsidR="004A410D">
        <w:rPr>
          <w:lang w:eastAsia="zh-CN" w:bidi="th-TH"/>
        </w:rPr>
        <w:t xml:space="preserve">facilities </w:t>
      </w:r>
      <w:r w:rsidR="00B528A7" w:rsidRPr="006E1F8F">
        <w:rPr>
          <w:lang w:eastAsia="zh-CN" w:bidi="th-TH"/>
        </w:rPr>
        <w:t>reported</w:t>
      </w:r>
      <w:r w:rsidR="00A00A39" w:rsidRPr="006E1F8F">
        <w:rPr>
          <w:lang w:eastAsia="zh-CN" w:bidi="th-TH"/>
        </w:rPr>
        <w:t xml:space="preserve"> </w:t>
      </w:r>
      <w:r w:rsidR="004A410D">
        <w:rPr>
          <w:lang w:eastAsia="zh-CN" w:bidi="th-TH"/>
        </w:rPr>
        <w:t xml:space="preserve">an </w:t>
      </w:r>
      <w:r w:rsidR="00A00A39" w:rsidRPr="006E1F8F">
        <w:rPr>
          <w:lang w:eastAsia="zh-CN" w:bidi="th-TH"/>
        </w:rPr>
        <w:t>average</w:t>
      </w:r>
      <w:r w:rsidR="004A410D">
        <w:rPr>
          <w:lang w:eastAsia="zh-CN" w:bidi="th-TH"/>
        </w:rPr>
        <w:t xml:space="preserve"> of</w:t>
      </w:r>
      <w:r w:rsidR="00A00A39" w:rsidRPr="006E1F8F">
        <w:rPr>
          <w:lang w:eastAsia="zh-CN" w:bidi="th-TH"/>
        </w:rPr>
        <w:t xml:space="preserve"> 6</w:t>
      </w:r>
      <w:r w:rsidR="006E1F8F" w:rsidRPr="006E1F8F">
        <w:rPr>
          <w:lang w:eastAsia="zh-CN" w:bidi="th-TH"/>
        </w:rPr>
        <w:t>9</w:t>
      </w:r>
      <w:r w:rsidR="00A00A39" w:rsidRPr="006E1F8F">
        <w:rPr>
          <w:lang w:eastAsia="zh-CN" w:bidi="th-TH"/>
        </w:rPr>
        <w:t xml:space="preserve"> approved places ranging from </w:t>
      </w:r>
      <w:r w:rsidR="004A410D">
        <w:rPr>
          <w:lang w:eastAsia="zh-CN" w:bidi="th-TH"/>
        </w:rPr>
        <w:t xml:space="preserve">small facilities with as few as </w:t>
      </w:r>
      <w:r w:rsidR="00A00A39" w:rsidRPr="006E1F8F">
        <w:rPr>
          <w:lang w:eastAsia="zh-CN" w:bidi="th-TH"/>
        </w:rPr>
        <w:t xml:space="preserve">8 </w:t>
      </w:r>
      <w:r w:rsidR="004A410D">
        <w:rPr>
          <w:lang w:eastAsia="zh-CN" w:bidi="th-TH"/>
        </w:rPr>
        <w:t xml:space="preserve">places </w:t>
      </w:r>
      <w:r w:rsidR="00A00A39" w:rsidRPr="006E1F8F">
        <w:rPr>
          <w:lang w:eastAsia="zh-CN" w:bidi="th-TH"/>
        </w:rPr>
        <w:t xml:space="preserve">up to 176 places. </w:t>
      </w:r>
      <w:r w:rsidR="00A00A39" w:rsidRPr="00BB3829">
        <w:rPr>
          <w:lang w:eastAsia="zh-CN" w:bidi="th-TH"/>
        </w:rPr>
        <w:t xml:space="preserve">The </w:t>
      </w:r>
      <w:r w:rsidR="006E1F8F" w:rsidRPr="00BB3829">
        <w:rPr>
          <w:lang w:eastAsia="zh-CN" w:bidi="th-TH"/>
        </w:rPr>
        <w:t xml:space="preserve">average </w:t>
      </w:r>
      <w:r w:rsidR="00A00A39" w:rsidRPr="00BB3829">
        <w:rPr>
          <w:lang w:eastAsia="zh-CN" w:bidi="th-TH"/>
        </w:rPr>
        <w:t xml:space="preserve">total </w:t>
      </w:r>
      <w:r w:rsidR="00370776" w:rsidRPr="00BB3829">
        <w:rPr>
          <w:lang w:eastAsia="zh-CN" w:bidi="th-TH"/>
        </w:rPr>
        <w:t>care</w:t>
      </w:r>
      <w:r w:rsidR="00A00A39" w:rsidRPr="00BB3829">
        <w:rPr>
          <w:lang w:eastAsia="zh-CN" w:bidi="th-TH"/>
        </w:rPr>
        <w:t xml:space="preserve"> </w:t>
      </w:r>
      <w:r w:rsidR="004A410D">
        <w:rPr>
          <w:lang w:eastAsia="zh-CN" w:bidi="th-TH"/>
        </w:rPr>
        <w:t>costs across all facilities</w:t>
      </w:r>
      <w:r w:rsidR="00E375F2">
        <w:rPr>
          <w:lang w:eastAsia="zh-CN" w:bidi="th-TH"/>
        </w:rPr>
        <w:t xml:space="preserve"> (i.e. fixed care plus individual care) had a value</w:t>
      </w:r>
      <w:r w:rsidR="004A410D">
        <w:rPr>
          <w:lang w:eastAsia="zh-CN" w:bidi="th-TH"/>
        </w:rPr>
        <w:t xml:space="preserve"> of </w:t>
      </w:r>
      <w:r w:rsidR="006E1F8F" w:rsidRPr="00BB3829">
        <w:rPr>
          <w:lang w:eastAsia="zh-CN" w:bidi="th-TH"/>
        </w:rPr>
        <w:t>2.02 RVU</w:t>
      </w:r>
      <w:r w:rsidR="00A00A39" w:rsidRPr="00BB3829">
        <w:rPr>
          <w:lang w:eastAsia="zh-CN" w:bidi="th-TH"/>
        </w:rPr>
        <w:t xml:space="preserve"> per occupied bed day. This </w:t>
      </w:r>
      <w:r w:rsidR="006E1F8F" w:rsidRPr="00BB3829">
        <w:rPr>
          <w:lang w:eastAsia="zh-CN" w:bidi="th-TH"/>
        </w:rPr>
        <w:t xml:space="preserve">was </w:t>
      </w:r>
      <w:r w:rsidR="00A00A39" w:rsidRPr="00BB3829">
        <w:rPr>
          <w:lang w:eastAsia="zh-CN" w:bidi="th-TH"/>
        </w:rPr>
        <w:t xml:space="preserve">very similar to the high level Study One finding of </w:t>
      </w:r>
      <w:r w:rsidR="00E375F2">
        <w:rPr>
          <w:lang w:eastAsia="zh-CN" w:bidi="th-TH"/>
        </w:rPr>
        <w:t xml:space="preserve">a total care cost of </w:t>
      </w:r>
      <w:r w:rsidR="006E1F8F" w:rsidRPr="00BB3829">
        <w:rPr>
          <w:lang w:eastAsia="zh-CN" w:bidi="th-TH"/>
        </w:rPr>
        <w:t>2.12 RVU</w:t>
      </w:r>
      <w:r w:rsidR="00A00A39" w:rsidRPr="00BB3829">
        <w:rPr>
          <w:lang w:eastAsia="zh-CN" w:bidi="th-TH"/>
        </w:rPr>
        <w:t xml:space="preserve"> per occupied bed day.</w:t>
      </w:r>
    </w:p>
    <w:p w14:paraId="2CA667E2" w14:textId="63B5DC46" w:rsidR="007850AF" w:rsidRDefault="007850AF" w:rsidP="007850AF">
      <w:pPr>
        <w:spacing w:before="240"/>
        <w:rPr>
          <w:lang w:eastAsia="zh-CN" w:bidi="th-TH"/>
        </w:rPr>
      </w:pPr>
      <w:r>
        <w:rPr>
          <w:lang w:eastAsia="zh-CN" w:bidi="th-TH"/>
        </w:rPr>
        <w:t>This alignment of high level costing results between Study One and Study Two is a</w:t>
      </w:r>
      <w:r w:rsidR="006E1F8F">
        <w:rPr>
          <w:lang w:eastAsia="zh-CN" w:bidi="th-TH"/>
        </w:rPr>
        <w:t>n</w:t>
      </w:r>
      <w:r>
        <w:rPr>
          <w:lang w:eastAsia="zh-CN" w:bidi="th-TH"/>
        </w:rPr>
        <w:t xml:space="preserve"> </w:t>
      </w:r>
      <w:r w:rsidR="006E1F8F">
        <w:rPr>
          <w:lang w:eastAsia="zh-CN" w:bidi="th-TH"/>
        </w:rPr>
        <w:t xml:space="preserve">important </w:t>
      </w:r>
      <w:r>
        <w:rPr>
          <w:lang w:eastAsia="zh-CN" w:bidi="th-TH"/>
        </w:rPr>
        <w:t xml:space="preserve">finding for the overall RUCS project. This </w:t>
      </w:r>
      <w:r w:rsidR="00421B24">
        <w:rPr>
          <w:lang w:eastAsia="zh-CN" w:bidi="th-TH"/>
        </w:rPr>
        <w:t xml:space="preserve">result </w:t>
      </w:r>
      <w:r>
        <w:rPr>
          <w:lang w:eastAsia="zh-CN" w:bidi="th-TH"/>
        </w:rPr>
        <w:t>means that</w:t>
      </w:r>
      <w:r w:rsidR="00B0775E">
        <w:rPr>
          <w:lang w:eastAsia="zh-CN" w:bidi="th-TH"/>
        </w:rPr>
        <w:t>:</w:t>
      </w:r>
    </w:p>
    <w:p w14:paraId="242339F9" w14:textId="065845A5" w:rsidR="00421B24" w:rsidRDefault="00421B24" w:rsidP="00426EDB">
      <w:pPr>
        <w:pStyle w:val="ListParagraph"/>
        <w:numPr>
          <w:ilvl w:val="0"/>
          <w:numId w:val="25"/>
        </w:numPr>
        <w:spacing w:before="240"/>
        <w:rPr>
          <w:lang w:eastAsia="zh-CN" w:bidi="th-TH"/>
        </w:rPr>
      </w:pPr>
      <w:r>
        <w:rPr>
          <w:lang w:eastAsia="zh-CN" w:bidi="th-TH"/>
        </w:rPr>
        <w:t xml:space="preserve">The separate samples of facilities used in the two studies </w:t>
      </w:r>
      <w:r w:rsidR="0046745A">
        <w:rPr>
          <w:lang w:eastAsia="zh-CN" w:bidi="th-TH"/>
        </w:rPr>
        <w:t xml:space="preserve">are </w:t>
      </w:r>
      <w:r>
        <w:rPr>
          <w:lang w:eastAsia="zh-CN" w:bidi="th-TH"/>
        </w:rPr>
        <w:t xml:space="preserve">not </w:t>
      </w:r>
      <w:r w:rsidR="00E375F2">
        <w:rPr>
          <w:lang w:eastAsia="zh-CN" w:bidi="th-TH"/>
        </w:rPr>
        <w:t>biased.</w:t>
      </w:r>
    </w:p>
    <w:p w14:paraId="5FF391A4" w14:textId="03823455" w:rsidR="00426EDB" w:rsidRDefault="00421B24" w:rsidP="00426EDB">
      <w:pPr>
        <w:pStyle w:val="ListParagraph"/>
        <w:numPr>
          <w:ilvl w:val="0"/>
          <w:numId w:val="25"/>
        </w:numPr>
        <w:spacing w:before="240"/>
        <w:rPr>
          <w:lang w:eastAsia="zh-CN" w:bidi="th-TH"/>
        </w:rPr>
      </w:pPr>
      <w:r>
        <w:rPr>
          <w:lang w:eastAsia="zh-CN" w:bidi="th-TH"/>
        </w:rPr>
        <w:lastRenderedPageBreak/>
        <w:t xml:space="preserve">The single month of data collection for each facility in Study One </w:t>
      </w:r>
      <w:r w:rsidR="006E1F8F">
        <w:rPr>
          <w:lang w:eastAsia="zh-CN" w:bidi="th-TH"/>
        </w:rPr>
        <w:t>w</w:t>
      </w:r>
      <w:r>
        <w:rPr>
          <w:lang w:eastAsia="zh-CN" w:bidi="th-TH"/>
        </w:rPr>
        <w:t xml:space="preserve">as not adversely impacted by either seasonal </w:t>
      </w:r>
      <w:r w:rsidR="00426EDB">
        <w:rPr>
          <w:lang w:eastAsia="zh-CN" w:bidi="th-TH"/>
        </w:rPr>
        <w:t>effects or</w:t>
      </w:r>
      <w:r>
        <w:rPr>
          <w:lang w:eastAsia="zh-CN" w:bidi="th-TH"/>
        </w:rPr>
        <w:t xml:space="preserve"> the </w:t>
      </w:r>
      <w:r w:rsidR="005C4A45">
        <w:rPr>
          <w:lang w:eastAsia="zh-CN" w:bidi="th-TH"/>
        </w:rPr>
        <w:t xml:space="preserve">month-to-month </w:t>
      </w:r>
      <w:r w:rsidR="006E1F8F">
        <w:rPr>
          <w:lang w:eastAsia="zh-CN" w:bidi="th-TH"/>
        </w:rPr>
        <w:t>fluctuations.</w:t>
      </w:r>
    </w:p>
    <w:p w14:paraId="046B1219" w14:textId="351E4FA3" w:rsidR="00426EDB" w:rsidRDefault="00D25C9F" w:rsidP="00426EDB">
      <w:pPr>
        <w:pStyle w:val="ListParagraph"/>
        <w:numPr>
          <w:ilvl w:val="0"/>
          <w:numId w:val="25"/>
        </w:numPr>
        <w:spacing w:before="240"/>
        <w:rPr>
          <w:lang w:eastAsia="zh-CN" w:bidi="th-TH"/>
        </w:rPr>
      </w:pPr>
      <w:r>
        <w:rPr>
          <w:lang w:eastAsia="zh-CN" w:bidi="th-TH"/>
        </w:rPr>
        <w:t>The two data collections support the development of a single harmonised funding model</w:t>
      </w:r>
      <w:r w:rsidR="005C4A45">
        <w:rPr>
          <w:lang w:eastAsia="zh-CN" w:bidi="th-TH"/>
        </w:rPr>
        <w:t>.</w:t>
      </w:r>
    </w:p>
    <w:p w14:paraId="1427C161" w14:textId="6BAD9BB9" w:rsidR="0093733E" w:rsidRDefault="007850AF" w:rsidP="007850AF">
      <w:pPr>
        <w:spacing w:before="240"/>
        <w:rPr>
          <w:lang w:eastAsia="zh-CN" w:bidi="th-TH"/>
        </w:rPr>
      </w:pPr>
      <w:r>
        <w:rPr>
          <w:lang w:eastAsia="zh-CN" w:bidi="th-TH"/>
        </w:rPr>
        <w:t xml:space="preserve">The </w:t>
      </w:r>
      <w:r w:rsidR="006E1F8F">
        <w:rPr>
          <w:lang w:eastAsia="zh-CN" w:bidi="th-TH"/>
        </w:rPr>
        <w:t xml:space="preserve">average </w:t>
      </w:r>
      <w:r>
        <w:rPr>
          <w:lang w:eastAsia="zh-CN" w:bidi="th-TH"/>
        </w:rPr>
        <w:t>t</w:t>
      </w:r>
      <w:r w:rsidR="00F73114" w:rsidRPr="007850AF">
        <w:rPr>
          <w:lang w:eastAsia="zh-CN" w:bidi="th-TH"/>
        </w:rPr>
        <w:t xml:space="preserve">otal fixed care cost per </w:t>
      </w:r>
      <w:r w:rsidR="00A00A39" w:rsidRPr="007850AF">
        <w:rPr>
          <w:lang w:eastAsia="zh-CN" w:bidi="th-TH"/>
        </w:rPr>
        <w:t xml:space="preserve">occupied bed </w:t>
      </w:r>
      <w:r w:rsidR="00F73114" w:rsidRPr="007850AF">
        <w:rPr>
          <w:lang w:eastAsia="zh-CN" w:bidi="th-TH"/>
        </w:rPr>
        <w:t xml:space="preserve">day </w:t>
      </w:r>
      <w:r w:rsidR="00E375F2">
        <w:rPr>
          <w:lang w:eastAsia="zh-CN" w:bidi="th-TH"/>
        </w:rPr>
        <w:t xml:space="preserve">for this sample </w:t>
      </w:r>
      <w:r>
        <w:rPr>
          <w:lang w:eastAsia="zh-CN" w:bidi="th-TH"/>
        </w:rPr>
        <w:t xml:space="preserve">was </w:t>
      </w:r>
      <w:r w:rsidR="001850ED">
        <w:rPr>
          <w:lang w:eastAsia="zh-CN" w:bidi="th-TH"/>
        </w:rPr>
        <w:t>1.03 R</w:t>
      </w:r>
      <w:r w:rsidR="006E1F8F">
        <w:rPr>
          <w:lang w:eastAsia="zh-CN" w:bidi="th-TH"/>
        </w:rPr>
        <w:t>VU.</w:t>
      </w:r>
      <w:r w:rsidR="00A00A39" w:rsidRPr="007850AF">
        <w:rPr>
          <w:lang w:eastAsia="zh-CN" w:bidi="th-TH"/>
        </w:rPr>
        <w:t xml:space="preserve"> This </w:t>
      </w:r>
      <w:r w:rsidR="00E375F2">
        <w:rPr>
          <w:lang w:eastAsia="zh-CN" w:bidi="th-TH"/>
        </w:rPr>
        <w:t>equates</w:t>
      </w:r>
      <w:r w:rsidR="00A00A39" w:rsidRPr="007850AF">
        <w:rPr>
          <w:lang w:eastAsia="zh-CN" w:bidi="th-TH"/>
        </w:rPr>
        <w:t xml:space="preserve"> to </w:t>
      </w:r>
      <w:r w:rsidR="001850ED">
        <w:rPr>
          <w:lang w:eastAsia="zh-CN" w:bidi="th-TH"/>
        </w:rPr>
        <w:t>51</w:t>
      </w:r>
      <w:r w:rsidR="00F73114" w:rsidRPr="007850AF">
        <w:rPr>
          <w:lang w:eastAsia="zh-CN" w:bidi="th-TH"/>
        </w:rPr>
        <w:t>%</w:t>
      </w:r>
      <w:r w:rsidR="00B07732">
        <w:rPr>
          <w:lang w:eastAsia="zh-CN" w:bidi="th-TH"/>
        </w:rPr>
        <w:t xml:space="preserve"> of the total </w:t>
      </w:r>
      <w:r w:rsidR="00370776">
        <w:rPr>
          <w:lang w:eastAsia="zh-CN" w:bidi="th-TH"/>
        </w:rPr>
        <w:t>care</w:t>
      </w:r>
      <w:r w:rsidR="00B07732">
        <w:rPr>
          <w:lang w:eastAsia="zh-CN" w:bidi="th-TH"/>
        </w:rPr>
        <w:t xml:space="preserve"> cost per occupied bed day</w:t>
      </w:r>
      <w:r w:rsidR="00146476">
        <w:rPr>
          <w:lang w:eastAsia="zh-CN" w:bidi="th-TH"/>
        </w:rPr>
        <w:t xml:space="preserve"> RVU of 2.02</w:t>
      </w:r>
      <w:r w:rsidR="00876856">
        <w:rPr>
          <w:lang w:eastAsia="zh-CN" w:bidi="th-TH"/>
        </w:rPr>
        <w:t>.</w:t>
      </w:r>
    </w:p>
    <w:p w14:paraId="3B7EDDB0" w14:textId="6B6A6DAE" w:rsidR="00FF4F43" w:rsidRDefault="002D05A9" w:rsidP="00FF4F43">
      <w:pPr>
        <w:spacing w:before="240"/>
        <w:rPr>
          <w:lang w:eastAsia="zh-CN" w:bidi="th-TH"/>
        </w:rPr>
      </w:pPr>
      <w:r w:rsidRPr="002D05A9">
        <w:rPr>
          <w:shd w:val="clear" w:color="auto" w:fill="FFFF00"/>
          <w:lang w:eastAsia="zh-CN" w:bidi="th-TH"/>
        </w:rPr>
        <w:fldChar w:fldCharType="begin"/>
      </w:r>
      <w:r w:rsidRPr="002D05A9">
        <w:rPr>
          <w:shd w:val="clear" w:color="auto" w:fill="FFFF00"/>
          <w:lang w:eastAsia="zh-CN" w:bidi="th-TH"/>
        </w:rPr>
        <w:instrText xml:space="preserve"> REF _Ref533104143 \h  \* MERGEFORMAT </w:instrText>
      </w:r>
      <w:r w:rsidRPr="002D05A9">
        <w:rPr>
          <w:shd w:val="clear" w:color="auto" w:fill="FFFF00"/>
          <w:lang w:eastAsia="zh-CN" w:bidi="th-TH"/>
        </w:rPr>
      </w:r>
      <w:r w:rsidRPr="002D05A9">
        <w:rPr>
          <w:shd w:val="clear" w:color="auto" w:fill="FFFF00"/>
          <w:lang w:eastAsia="zh-CN" w:bidi="th-TH"/>
        </w:rPr>
        <w:fldChar w:fldCharType="separate"/>
      </w:r>
      <w:r w:rsidR="00043266">
        <w:t xml:space="preserve">Figure </w:t>
      </w:r>
      <w:r w:rsidR="00043266">
        <w:rPr>
          <w:noProof/>
        </w:rPr>
        <w:t>2</w:t>
      </w:r>
      <w:r w:rsidRPr="002D05A9">
        <w:rPr>
          <w:shd w:val="clear" w:color="auto" w:fill="FFFF00"/>
          <w:lang w:eastAsia="zh-CN" w:bidi="th-TH"/>
        </w:rPr>
        <w:fldChar w:fldCharType="end"/>
      </w:r>
      <w:r w:rsidR="00FF4F43" w:rsidRPr="002D05A9">
        <w:rPr>
          <w:lang w:eastAsia="zh-CN" w:bidi="th-TH"/>
        </w:rPr>
        <w:t xml:space="preserve"> </w:t>
      </w:r>
      <w:r w:rsidRPr="002D05A9">
        <w:rPr>
          <w:lang w:eastAsia="zh-CN" w:bidi="th-TH"/>
        </w:rPr>
        <w:t xml:space="preserve">shows the </w:t>
      </w:r>
      <w:r w:rsidR="00E375F2">
        <w:rPr>
          <w:lang w:eastAsia="zh-CN" w:bidi="th-TH"/>
        </w:rPr>
        <w:t xml:space="preserve">fixed care cost distribution by </w:t>
      </w:r>
      <w:r>
        <w:rPr>
          <w:lang w:eastAsia="zh-CN" w:bidi="th-TH"/>
        </w:rPr>
        <w:t>size</w:t>
      </w:r>
      <w:r w:rsidR="00E375F2">
        <w:rPr>
          <w:lang w:eastAsia="zh-CN" w:bidi="th-TH"/>
        </w:rPr>
        <w:t xml:space="preserve"> and occupancy rate with each dot representing</w:t>
      </w:r>
      <w:r>
        <w:rPr>
          <w:lang w:eastAsia="zh-CN" w:bidi="th-TH"/>
        </w:rPr>
        <w:t xml:space="preserve"> a </w:t>
      </w:r>
      <w:r w:rsidR="00E375F2">
        <w:rPr>
          <w:lang w:eastAsia="zh-CN" w:bidi="th-TH"/>
        </w:rPr>
        <w:t xml:space="preserve">single </w:t>
      </w:r>
      <w:r>
        <w:rPr>
          <w:lang w:eastAsia="zh-CN" w:bidi="th-TH"/>
        </w:rPr>
        <w:t xml:space="preserve">facility. The </w:t>
      </w:r>
      <w:r w:rsidR="00E375F2">
        <w:rPr>
          <w:lang w:eastAsia="zh-CN" w:bidi="th-TH"/>
        </w:rPr>
        <w:t xml:space="preserve">x-axis </w:t>
      </w:r>
      <w:r>
        <w:rPr>
          <w:lang w:eastAsia="zh-CN" w:bidi="th-TH"/>
        </w:rPr>
        <w:t xml:space="preserve">represents the number of </w:t>
      </w:r>
      <w:r w:rsidR="00E375F2">
        <w:rPr>
          <w:lang w:eastAsia="zh-CN" w:bidi="th-TH"/>
        </w:rPr>
        <w:t>facility approved places, and the y-axis</w:t>
      </w:r>
      <w:r w:rsidR="00A54628">
        <w:rPr>
          <w:lang w:eastAsia="zh-CN" w:bidi="th-TH"/>
        </w:rPr>
        <w:t xml:space="preserve"> indicates</w:t>
      </w:r>
      <w:r w:rsidR="00E375F2">
        <w:rPr>
          <w:lang w:eastAsia="zh-CN" w:bidi="th-TH"/>
        </w:rPr>
        <w:t xml:space="preserve"> </w:t>
      </w:r>
      <w:r>
        <w:rPr>
          <w:lang w:eastAsia="zh-CN" w:bidi="th-TH"/>
        </w:rPr>
        <w:t>the</w:t>
      </w:r>
      <w:r w:rsidR="00FF4F43">
        <w:rPr>
          <w:lang w:eastAsia="zh-CN" w:bidi="th-TH"/>
        </w:rPr>
        <w:t xml:space="preserve"> fixed cost </w:t>
      </w:r>
      <w:r>
        <w:rPr>
          <w:lang w:eastAsia="zh-CN" w:bidi="th-TH"/>
        </w:rPr>
        <w:t>per occupied bed day. The different colour</w:t>
      </w:r>
      <w:r w:rsidR="00A54628">
        <w:rPr>
          <w:lang w:eastAsia="zh-CN" w:bidi="th-TH"/>
        </w:rPr>
        <w:t>ed dots indicate different</w:t>
      </w:r>
      <w:r>
        <w:rPr>
          <w:lang w:eastAsia="zh-CN" w:bidi="th-TH"/>
        </w:rPr>
        <w:t xml:space="preserve"> occupancy rates. It can be observed that dots are generally scattered around</w:t>
      </w:r>
      <w:r w:rsidR="00A54628">
        <w:rPr>
          <w:lang w:eastAsia="zh-CN" w:bidi="th-TH"/>
        </w:rPr>
        <w:t xml:space="preserve"> the sample average of 1.03 RVU with the</w:t>
      </w:r>
      <w:r>
        <w:rPr>
          <w:lang w:eastAsia="zh-CN" w:bidi="th-TH"/>
        </w:rPr>
        <w:t xml:space="preserve"> </w:t>
      </w:r>
      <w:r w:rsidR="00A54628">
        <w:rPr>
          <w:lang w:eastAsia="zh-CN" w:bidi="th-TH"/>
        </w:rPr>
        <w:t>most notable</w:t>
      </w:r>
      <w:r>
        <w:rPr>
          <w:lang w:eastAsia="zh-CN" w:bidi="th-TH"/>
        </w:rPr>
        <w:t xml:space="preserve"> exceptions </w:t>
      </w:r>
      <w:r w:rsidR="00A54628">
        <w:rPr>
          <w:lang w:eastAsia="zh-CN" w:bidi="th-TH"/>
        </w:rPr>
        <w:t xml:space="preserve">being the </w:t>
      </w:r>
      <w:r>
        <w:rPr>
          <w:lang w:eastAsia="zh-CN" w:bidi="th-TH"/>
        </w:rPr>
        <w:t>smaller facilities which also tend to have lower occupancy rates.</w:t>
      </w:r>
    </w:p>
    <w:p w14:paraId="2D8E72B0" w14:textId="6E19D9DF" w:rsidR="00A00A39" w:rsidRDefault="00DB2529" w:rsidP="006739C3">
      <w:pPr>
        <w:pStyle w:val="Caption"/>
        <w:keepNext/>
      </w:pPr>
      <w:bookmarkStart w:id="61" w:name="_Ref533104143"/>
      <w:bookmarkStart w:id="62" w:name="_Toc866590"/>
      <w:r>
        <w:t xml:space="preserve">Figure </w:t>
      </w:r>
      <w:r w:rsidR="00433475">
        <w:rPr>
          <w:noProof/>
        </w:rPr>
        <w:fldChar w:fldCharType="begin"/>
      </w:r>
      <w:r w:rsidR="00433475">
        <w:rPr>
          <w:noProof/>
        </w:rPr>
        <w:instrText xml:space="preserve"> SEQ Figure \* ARABIC </w:instrText>
      </w:r>
      <w:r w:rsidR="00433475">
        <w:rPr>
          <w:noProof/>
        </w:rPr>
        <w:fldChar w:fldCharType="separate"/>
      </w:r>
      <w:r w:rsidR="00043266">
        <w:rPr>
          <w:noProof/>
        </w:rPr>
        <w:t>2</w:t>
      </w:r>
      <w:r w:rsidR="00433475">
        <w:rPr>
          <w:noProof/>
        </w:rPr>
        <w:fldChar w:fldCharType="end"/>
      </w:r>
      <w:bookmarkEnd w:id="61"/>
      <w:r w:rsidR="003025EF">
        <w:rPr>
          <w:noProof/>
        </w:rPr>
        <w:t xml:space="preserve"> </w:t>
      </w:r>
      <w:r w:rsidR="00A00A39">
        <w:tab/>
      </w:r>
      <w:r w:rsidR="001850ED">
        <w:t>Fixed cost per occupied bed day</w:t>
      </w:r>
      <w:r w:rsidR="006739C3">
        <w:t xml:space="preserve"> by size and occupancy rate</w:t>
      </w:r>
      <w:bookmarkEnd w:id="62"/>
    </w:p>
    <w:p w14:paraId="1B392846" w14:textId="6D45EBF8" w:rsidR="0093320C" w:rsidRDefault="003025EF" w:rsidP="0093320C">
      <w:r>
        <w:rPr>
          <w:noProof/>
          <w:color w:val="1F497D"/>
        </w:rPr>
        <w:drawing>
          <wp:inline distT="0" distB="0" distL="0" distR="0" wp14:anchorId="35F78C26" wp14:editId="17F8DEDF">
            <wp:extent cx="5999811" cy="3505200"/>
            <wp:effectExtent l="0" t="0" r="1270" b="0"/>
            <wp:docPr id="6" name="Picture 6" descr="Figure 2 shows the fixed care cost distribution by size and occupancy rate with each dot representing a single facility. The x-axis represents the number of facility approved places, and the y-axis indicates the fixed cost per occupied bed day. It can be observed that dots are generally scattered around the sample average of 1.03 RVU with the most notable exceptions being the smaller facilities which also tend to have lower occupancy rates." title="Figure 2 Fixed cost per occupied bed day by size and occupa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_figure.png"/>
                    <pic:cNvPicPr/>
                  </pic:nvPicPr>
                  <pic:blipFill>
                    <a:blip r:embed="rId21">
                      <a:extLst>
                        <a:ext uri="{28A0092B-C50C-407E-A947-70E740481C1C}">
                          <a14:useLocalDpi xmlns:a14="http://schemas.microsoft.com/office/drawing/2010/main" val="0"/>
                        </a:ext>
                      </a:extLst>
                    </a:blip>
                    <a:stretch>
                      <a:fillRect/>
                    </a:stretch>
                  </pic:blipFill>
                  <pic:spPr>
                    <a:xfrm>
                      <a:off x="0" y="0"/>
                      <a:ext cx="6025201" cy="3520034"/>
                    </a:xfrm>
                    <a:prstGeom prst="rect">
                      <a:avLst/>
                    </a:prstGeom>
                  </pic:spPr>
                </pic:pic>
              </a:graphicData>
            </a:graphic>
          </wp:inline>
        </w:drawing>
      </w:r>
    </w:p>
    <w:p w14:paraId="2E7A772A" w14:textId="175100B3" w:rsidR="006739C3" w:rsidRDefault="006739C3" w:rsidP="005F68BC">
      <w:pPr>
        <w:spacing w:before="240"/>
      </w:pPr>
      <w:r>
        <w:fldChar w:fldCharType="begin"/>
      </w:r>
      <w:r>
        <w:instrText xml:space="preserve"> REF _Ref533158523 \h </w:instrText>
      </w:r>
      <w:r>
        <w:fldChar w:fldCharType="separate"/>
      </w:r>
      <w:r w:rsidR="00043266">
        <w:t xml:space="preserve">Figure </w:t>
      </w:r>
      <w:r w:rsidR="00043266">
        <w:rPr>
          <w:noProof/>
        </w:rPr>
        <w:t>3</w:t>
      </w:r>
      <w:r>
        <w:fldChar w:fldCharType="end"/>
      </w:r>
      <w:r>
        <w:t xml:space="preserve"> is similar to the previous figure in that is displays size</w:t>
      </w:r>
      <w:r>
        <w:rPr>
          <w:lang w:eastAsia="zh-CN" w:bidi="th-TH"/>
        </w:rPr>
        <w:t xml:space="preserve">, cost and occupancy rates. But </w:t>
      </w:r>
      <w:r w:rsidR="00A54628">
        <w:rPr>
          <w:lang w:eastAsia="zh-CN" w:bidi="th-TH"/>
        </w:rPr>
        <w:t xml:space="preserve">the </w:t>
      </w:r>
      <w:r>
        <w:rPr>
          <w:lang w:eastAsia="zh-CN" w:bidi="th-TH"/>
        </w:rPr>
        <w:t xml:space="preserve">facilities are now grouped </w:t>
      </w:r>
      <w:r w:rsidR="00A54628">
        <w:rPr>
          <w:lang w:eastAsia="zh-CN" w:bidi="th-TH"/>
        </w:rPr>
        <w:t>based on the</w:t>
      </w:r>
      <w:r>
        <w:rPr>
          <w:lang w:eastAsia="zh-CN" w:bidi="th-TH"/>
        </w:rPr>
        <w:t xml:space="preserve"> number of approved places in 30 bed increments. The dots for each facility are overlayed by boxplots to visualise the central tendency</w:t>
      </w:r>
      <w:r w:rsidR="00A54628">
        <w:rPr>
          <w:lang w:eastAsia="zh-CN" w:bidi="th-TH"/>
        </w:rPr>
        <w:t xml:space="preserve"> (mean)</w:t>
      </w:r>
      <w:r>
        <w:rPr>
          <w:lang w:eastAsia="zh-CN" w:bidi="th-TH"/>
        </w:rPr>
        <w:t xml:space="preserve"> and spread.</w:t>
      </w:r>
      <w:r w:rsidR="00A54628">
        <w:rPr>
          <w:lang w:eastAsia="zh-CN" w:bidi="th-TH"/>
        </w:rPr>
        <w:t xml:space="preserve"> The smaller sized facilities are clearly associated with higher cost per occupied bed day and increased</w:t>
      </w:r>
      <w:r>
        <w:rPr>
          <w:lang w:eastAsia="zh-CN" w:bidi="th-TH"/>
        </w:rPr>
        <w:t xml:space="preserve"> </w:t>
      </w:r>
      <w:r w:rsidR="00A54628">
        <w:rPr>
          <w:lang w:eastAsia="zh-CN" w:bidi="th-TH"/>
        </w:rPr>
        <w:t>amounts of cost variability.</w:t>
      </w:r>
    </w:p>
    <w:p w14:paraId="588CC5F6" w14:textId="613A3B8B" w:rsidR="00DB2529" w:rsidRDefault="00DB2529" w:rsidP="006739C3">
      <w:pPr>
        <w:pStyle w:val="Caption"/>
        <w:keepNext/>
      </w:pPr>
      <w:bookmarkStart w:id="63" w:name="_Ref533158523"/>
      <w:bookmarkStart w:id="64" w:name="_Toc866591"/>
      <w:r>
        <w:lastRenderedPageBreak/>
        <w:t xml:space="preserve">Figure </w:t>
      </w:r>
      <w:r w:rsidR="00433475">
        <w:rPr>
          <w:b w:val="0"/>
          <w:bCs w:val="0"/>
          <w:noProof/>
        </w:rPr>
        <w:fldChar w:fldCharType="begin"/>
      </w:r>
      <w:r w:rsidR="00433475">
        <w:rPr>
          <w:noProof/>
        </w:rPr>
        <w:instrText xml:space="preserve"> SEQ Figure \* ARABIC </w:instrText>
      </w:r>
      <w:r w:rsidR="00433475">
        <w:rPr>
          <w:b w:val="0"/>
          <w:bCs w:val="0"/>
          <w:noProof/>
        </w:rPr>
        <w:fldChar w:fldCharType="separate"/>
      </w:r>
      <w:r w:rsidR="00043266">
        <w:rPr>
          <w:noProof/>
        </w:rPr>
        <w:t>3</w:t>
      </w:r>
      <w:r w:rsidR="00433475">
        <w:rPr>
          <w:b w:val="0"/>
          <w:bCs w:val="0"/>
          <w:noProof/>
        </w:rPr>
        <w:fldChar w:fldCharType="end"/>
      </w:r>
      <w:bookmarkEnd w:id="63"/>
      <w:r w:rsidR="006739C3">
        <w:rPr>
          <w:b w:val="0"/>
          <w:bCs w:val="0"/>
          <w:noProof/>
        </w:rPr>
        <w:t xml:space="preserve"> </w:t>
      </w:r>
      <w:r w:rsidR="009B3EDA">
        <w:rPr>
          <w:b w:val="0"/>
          <w:bCs w:val="0"/>
          <w:noProof/>
        </w:rPr>
        <w:tab/>
      </w:r>
      <w:r w:rsidR="009B3EDA">
        <w:t>Fixed cost per occupied bed day</w:t>
      </w:r>
      <w:r w:rsidR="006739C3">
        <w:t xml:space="preserve"> by size groups and occupancy rate</w:t>
      </w:r>
      <w:bookmarkEnd w:id="64"/>
    </w:p>
    <w:p w14:paraId="539997F8" w14:textId="4958BC1C" w:rsidR="0093320C" w:rsidRDefault="009B3EDA" w:rsidP="0093320C">
      <w:r>
        <w:rPr>
          <w:noProof/>
        </w:rPr>
        <w:drawing>
          <wp:inline distT="0" distB="0" distL="0" distR="0" wp14:anchorId="6C355623" wp14:editId="4333F1CE">
            <wp:extent cx="5939790" cy="3638550"/>
            <wp:effectExtent l="0" t="0" r="3810" b="0"/>
            <wp:docPr id="7" name="Picture 7" descr="Figure 3 is displays size, cost and occupancy rates. The facilities are grouped based on the number of approved places in 30 bed increments. The dots for each facility are overlayed by boxplots to visualise the central tendency (mean) and spread. The smaller sized facilities are clearly associated with higher cost per occupied bed day and increased amounts of cost variability." title="Figure 3 Fixed cost per occupied bed day by size groups and occupa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figure1.png"/>
                    <pic:cNvPicPr/>
                  </pic:nvPicPr>
                  <pic:blipFill>
                    <a:blip r:embed="rId22">
                      <a:extLst>
                        <a:ext uri="{28A0092B-C50C-407E-A947-70E740481C1C}">
                          <a14:useLocalDpi xmlns:a14="http://schemas.microsoft.com/office/drawing/2010/main" val="0"/>
                        </a:ext>
                      </a:extLst>
                    </a:blip>
                    <a:stretch>
                      <a:fillRect/>
                    </a:stretch>
                  </pic:blipFill>
                  <pic:spPr>
                    <a:xfrm>
                      <a:off x="0" y="0"/>
                      <a:ext cx="5984156" cy="3665727"/>
                    </a:xfrm>
                    <a:prstGeom prst="rect">
                      <a:avLst/>
                    </a:prstGeom>
                  </pic:spPr>
                </pic:pic>
              </a:graphicData>
            </a:graphic>
          </wp:inline>
        </w:drawing>
      </w:r>
    </w:p>
    <w:p w14:paraId="7D064E6D" w14:textId="1D21A940" w:rsidR="00FF4F43" w:rsidRPr="0093320C" w:rsidRDefault="00DB2529" w:rsidP="008816FF">
      <w:pPr>
        <w:pStyle w:val="Heading3"/>
      </w:pPr>
      <w:r>
        <w:t>Facility size</w:t>
      </w:r>
    </w:p>
    <w:p w14:paraId="37CFA2D4" w14:textId="2402C0B1" w:rsidR="002749A3" w:rsidRDefault="00A25618" w:rsidP="00C8178D">
      <w:pPr>
        <w:spacing w:before="240"/>
        <w:rPr>
          <w:lang w:eastAsia="zh-CN" w:bidi="th-TH"/>
        </w:rPr>
      </w:pPr>
      <w:r>
        <w:rPr>
          <w:lang w:eastAsia="zh-CN" w:bidi="th-TH"/>
        </w:rPr>
        <w:fldChar w:fldCharType="begin"/>
      </w:r>
      <w:r>
        <w:rPr>
          <w:lang w:eastAsia="zh-CN" w:bidi="th-TH"/>
        </w:rPr>
        <w:instrText xml:space="preserve"> REF _Ref528760649 \h </w:instrText>
      </w:r>
      <w:r>
        <w:rPr>
          <w:lang w:eastAsia="zh-CN" w:bidi="th-TH"/>
        </w:rPr>
      </w:r>
      <w:r>
        <w:rPr>
          <w:lang w:eastAsia="zh-CN" w:bidi="th-TH"/>
        </w:rPr>
        <w:fldChar w:fldCharType="separate"/>
      </w:r>
      <w:r w:rsidR="00043266">
        <w:t xml:space="preserve">Table </w:t>
      </w:r>
      <w:r w:rsidR="00043266">
        <w:rPr>
          <w:noProof/>
        </w:rPr>
        <w:t>3</w:t>
      </w:r>
      <w:r>
        <w:rPr>
          <w:lang w:eastAsia="zh-CN" w:bidi="th-TH"/>
        </w:rPr>
        <w:fldChar w:fldCharType="end"/>
      </w:r>
      <w:r>
        <w:rPr>
          <w:lang w:eastAsia="zh-CN" w:bidi="th-TH"/>
        </w:rPr>
        <w:t xml:space="preserve"> </w:t>
      </w:r>
      <w:r w:rsidR="002749A3">
        <w:rPr>
          <w:lang w:eastAsia="zh-CN" w:bidi="th-TH"/>
        </w:rPr>
        <w:t xml:space="preserve">includes </w:t>
      </w:r>
      <w:r w:rsidR="00A54628">
        <w:rPr>
          <w:lang w:eastAsia="zh-CN" w:bidi="th-TH"/>
        </w:rPr>
        <w:t xml:space="preserve">the fixed care cost </w:t>
      </w:r>
      <w:r w:rsidR="002749A3">
        <w:rPr>
          <w:lang w:eastAsia="zh-CN" w:bidi="th-TH"/>
        </w:rPr>
        <w:t xml:space="preserve">results </w:t>
      </w:r>
      <w:r w:rsidR="00DB2529">
        <w:rPr>
          <w:lang w:eastAsia="zh-CN" w:bidi="th-TH"/>
        </w:rPr>
        <w:t>by facility size</w:t>
      </w:r>
      <w:r w:rsidR="00056E96">
        <w:rPr>
          <w:lang w:eastAsia="zh-CN" w:bidi="th-TH"/>
        </w:rPr>
        <w:t xml:space="preserve"> (number of approved beds)</w:t>
      </w:r>
      <w:r w:rsidR="00DB2529">
        <w:rPr>
          <w:lang w:eastAsia="zh-CN" w:bidi="th-TH"/>
        </w:rPr>
        <w:t>, with facilities group</w:t>
      </w:r>
      <w:r w:rsidR="00056E96">
        <w:rPr>
          <w:lang w:eastAsia="zh-CN" w:bidi="th-TH"/>
        </w:rPr>
        <w:t>ed</w:t>
      </w:r>
      <w:r w:rsidR="00DB2529">
        <w:rPr>
          <w:lang w:eastAsia="zh-CN" w:bidi="th-TH"/>
        </w:rPr>
        <w:t xml:space="preserve"> based on </w:t>
      </w:r>
      <w:r w:rsidR="006102B0">
        <w:rPr>
          <w:lang w:eastAsia="zh-CN" w:bidi="th-TH"/>
        </w:rPr>
        <w:t>30 bed increments</w:t>
      </w:r>
      <w:r w:rsidR="00DB2529">
        <w:rPr>
          <w:lang w:eastAsia="zh-CN" w:bidi="th-TH"/>
        </w:rPr>
        <w:t xml:space="preserve">. </w:t>
      </w:r>
      <w:r w:rsidR="00C8178D">
        <w:rPr>
          <w:lang w:eastAsia="zh-CN" w:bidi="th-TH"/>
        </w:rPr>
        <w:t xml:space="preserve">There was a good spread of </w:t>
      </w:r>
      <w:r w:rsidR="00345342">
        <w:rPr>
          <w:lang w:eastAsia="zh-CN" w:bidi="th-TH"/>
        </w:rPr>
        <w:t>size</w:t>
      </w:r>
      <w:r w:rsidR="00C8178D">
        <w:rPr>
          <w:lang w:eastAsia="zh-CN" w:bidi="th-TH"/>
        </w:rPr>
        <w:t xml:space="preserve"> across the sample. The mean total </w:t>
      </w:r>
      <w:r w:rsidR="00A54628">
        <w:rPr>
          <w:lang w:eastAsia="zh-CN" w:bidi="th-TH"/>
        </w:rPr>
        <w:t xml:space="preserve">care cost </w:t>
      </w:r>
      <w:r w:rsidR="00C8178D">
        <w:rPr>
          <w:lang w:eastAsia="zh-CN" w:bidi="th-TH"/>
        </w:rPr>
        <w:t xml:space="preserve">RVU per </w:t>
      </w:r>
      <w:r w:rsidR="00056E96">
        <w:rPr>
          <w:lang w:eastAsia="zh-CN" w:bidi="th-TH"/>
        </w:rPr>
        <w:t xml:space="preserve">occupied </w:t>
      </w:r>
      <w:r w:rsidR="00C8178D">
        <w:rPr>
          <w:lang w:eastAsia="zh-CN" w:bidi="th-TH"/>
        </w:rPr>
        <w:t xml:space="preserve">bed day for the facilities with </w:t>
      </w:r>
      <w:r w:rsidR="00056E96">
        <w:rPr>
          <w:lang w:eastAsia="zh-CN" w:bidi="th-TH"/>
        </w:rPr>
        <w:t>up to 29</w:t>
      </w:r>
      <w:r w:rsidR="00C8178D">
        <w:rPr>
          <w:lang w:eastAsia="zh-CN" w:bidi="th-TH"/>
        </w:rPr>
        <w:t xml:space="preserve"> beds</w:t>
      </w:r>
      <w:r w:rsidR="00056E96">
        <w:rPr>
          <w:lang w:eastAsia="zh-CN" w:bidi="th-TH"/>
        </w:rPr>
        <w:t xml:space="preserve"> (referred to as ‘small’)</w:t>
      </w:r>
      <w:r w:rsidR="00C8178D">
        <w:rPr>
          <w:lang w:eastAsia="zh-CN" w:bidi="th-TH"/>
        </w:rPr>
        <w:t xml:space="preserve">, the highest cost group, was 3.17. </w:t>
      </w:r>
      <w:r w:rsidR="00056E96">
        <w:rPr>
          <w:lang w:eastAsia="zh-CN" w:bidi="th-TH"/>
        </w:rPr>
        <w:t xml:space="preserve">This group also reported the highest fixed care costs and the largest within-group </w:t>
      </w:r>
      <w:r w:rsidR="00A54628">
        <w:rPr>
          <w:lang w:eastAsia="zh-CN" w:bidi="th-TH"/>
        </w:rPr>
        <w:t xml:space="preserve">fixed care related </w:t>
      </w:r>
      <w:r w:rsidR="00056E96">
        <w:rPr>
          <w:lang w:eastAsia="zh-CN" w:bidi="th-TH"/>
        </w:rPr>
        <w:t>cost variability</w:t>
      </w:r>
      <w:r w:rsidR="00A54628">
        <w:rPr>
          <w:lang w:eastAsia="zh-CN" w:bidi="th-TH"/>
        </w:rPr>
        <w:t xml:space="preserve"> </w:t>
      </w:r>
      <w:r w:rsidR="002B2C4A">
        <w:rPr>
          <w:rFonts w:ascii="Calibri" w:hAnsi="Calibri" w:cs="Calibri"/>
          <w:color w:val="000000"/>
          <w:sz w:val="20"/>
          <w:szCs w:val="20"/>
        </w:rPr>
        <w:t>–</w:t>
      </w:r>
      <w:r w:rsidR="00056E96">
        <w:rPr>
          <w:lang w:eastAsia="zh-CN" w:bidi="th-TH"/>
        </w:rPr>
        <w:t xml:space="preserve"> evidenced by the higher CV.</w:t>
      </w:r>
      <w:r w:rsidR="00E00A69">
        <w:rPr>
          <w:lang w:eastAsia="zh-CN" w:bidi="th-TH"/>
        </w:rPr>
        <w:t xml:space="preserve"> </w:t>
      </w:r>
      <w:r w:rsidR="00C8178D">
        <w:rPr>
          <w:lang w:eastAsia="zh-CN" w:bidi="th-TH"/>
        </w:rPr>
        <w:t>The costs per bed day across the remaining facility size groupings differed very little</w:t>
      </w:r>
      <w:r w:rsidR="00345342">
        <w:rPr>
          <w:lang w:eastAsia="zh-CN" w:bidi="th-TH"/>
        </w:rPr>
        <w:t xml:space="preserve"> with RVUs ranging from only 1.91 to 2.04</w:t>
      </w:r>
      <w:r w:rsidR="00056E96">
        <w:rPr>
          <w:lang w:eastAsia="zh-CN" w:bidi="th-TH"/>
        </w:rPr>
        <w:t xml:space="preserve"> for total cost per occupied bed day and 0.91 to 1.04 for fixed care cost per occupied bed day</w:t>
      </w:r>
      <w:r w:rsidR="00C8178D">
        <w:rPr>
          <w:lang w:eastAsia="zh-CN" w:bidi="th-TH"/>
        </w:rPr>
        <w:t xml:space="preserve">. </w:t>
      </w:r>
      <w:r w:rsidR="00B0775E">
        <w:rPr>
          <w:lang w:eastAsia="zh-CN" w:bidi="th-TH"/>
        </w:rPr>
        <w:t>T</w:t>
      </w:r>
      <w:r w:rsidR="00200A6E">
        <w:rPr>
          <w:lang w:eastAsia="zh-CN" w:bidi="th-TH"/>
        </w:rPr>
        <w:t>he difference observed between small facilities and all other facilities was statistically significant.</w:t>
      </w:r>
    </w:p>
    <w:p w14:paraId="204880C2" w14:textId="1AA30DF9" w:rsidR="00FA20D4" w:rsidRDefault="00E818B4" w:rsidP="002D6C04">
      <w:pPr>
        <w:pStyle w:val="Caption"/>
        <w:keepNext/>
        <w:rPr>
          <w:lang w:eastAsia="zh-CN" w:bidi="th-TH"/>
        </w:rPr>
      </w:pPr>
      <w:bookmarkStart w:id="65" w:name="_Ref528760649"/>
      <w:bookmarkStart w:id="66" w:name="_Toc866584"/>
      <w:r>
        <w:t>Table</w:t>
      </w:r>
      <w:r w:rsidR="00727252">
        <w:t xml:space="preserve"> </w:t>
      </w:r>
      <w:r w:rsidR="0098668B">
        <w:rPr>
          <w:noProof/>
        </w:rPr>
        <w:fldChar w:fldCharType="begin"/>
      </w:r>
      <w:r w:rsidR="0098668B">
        <w:rPr>
          <w:noProof/>
        </w:rPr>
        <w:instrText xml:space="preserve"> SEQ Table \* ARABIC </w:instrText>
      </w:r>
      <w:r w:rsidR="0098668B">
        <w:rPr>
          <w:noProof/>
        </w:rPr>
        <w:fldChar w:fldCharType="separate"/>
      </w:r>
      <w:r w:rsidR="00043266">
        <w:rPr>
          <w:noProof/>
        </w:rPr>
        <w:t>3</w:t>
      </w:r>
      <w:r w:rsidR="0098668B">
        <w:rPr>
          <w:noProof/>
        </w:rPr>
        <w:fldChar w:fldCharType="end"/>
      </w:r>
      <w:bookmarkEnd w:id="65"/>
      <w:r w:rsidR="00AA7ACA">
        <w:rPr>
          <w:noProof/>
        </w:rPr>
        <w:t xml:space="preserve"> </w:t>
      </w:r>
      <w:r w:rsidR="00727252">
        <w:tab/>
        <w:t>Cost results by f</w:t>
      </w:r>
      <w:r w:rsidR="000321D5">
        <w:rPr>
          <w:lang w:eastAsia="zh-CN" w:bidi="th-TH"/>
        </w:rPr>
        <w:t>acility size</w:t>
      </w:r>
      <w:bookmarkEnd w:id="66"/>
      <w:r w:rsidR="000321D5">
        <w:rPr>
          <w:lang w:eastAsia="zh-CN" w:bidi="th-TH"/>
        </w:rPr>
        <w:t xml:space="preserve"> </w:t>
      </w:r>
    </w:p>
    <w:p w14:paraId="7C5BD44F" w14:textId="30460BED" w:rsidR="00D4353F" w:rsidRPr="00D4353F" w:rsidRDefault="00D4353F" w:rsidP="00D4353F">
      <w:pPr>
        <w:rPr>
          <w:lang w:eastAsia="zh-CN" w:bidi="th-TH"/>
        </w:rPr>
      </w:pPr>
      <w:r>
        <w:rPr>
          <w:noProof/>
        </w:rPr>
        <w:drawing>
          <wp:inline distT="0" distB="0" distL="0" distR="0" wp14:anchorId="0A444E7B" wp14:editId="610E14BE">
            <wp:extent cx="5939790" cy="1700530"/>
            <wp:effectExtent l="0" t="0" r="3810" b="0"/>
            <wp:docPr id="8" name="Picture 8" descr="This picture includes the fixed care cost results by facility size (number of approved beds), with facilities grouped based on 30 bed increments. There was a good spread of size across the sample. The mean total care cost RVU per occupied bed day for the facilities with up to 29 beds (referred to as ‘small’), the highest cost group, was 3.17. This group also reported the highest fixed care costs and the largest within-group fixed care related cost variability – evidenced by the higher CV. The costs per bed day across the remaining facility size groupings differed very little with RVUs ranging from only 1.91 to 2.04 for total cost per occupied bed day and 0.91 to 1.04 for fixed care cost per occupied bed day. The difference observed between small facilities and all other facilities was statistically significant." title="Table 3  Cost results by facility si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39790" cy="1700530"/>
                    </a:xfrm>
                    <a:prstGeom prst="rect">
                      <a:avLst/>
                    </a:prstGeom>
                  </pic:spPr>
                </pic:pic>
              </a:graphicData>
            </a:graphic>
          </wp:inline>
        </w:drawing>
      </w:r>
    </w:p>
    <w:p w14:paraId="6DE701E2" w14:textId="20B7FBEF" w:rsidR="00D60A23" w:rsidRDefault="00A54628" w:rsidP="00345342">
      <w:pPr>
        <w:spacing w:before="240"/>
        <w:rPr>
          <w:lang w:eastAsia="zh-CN" w:bidi="th-TH"/>
        </w:rPr>
      </w:pPr>
      <w:r>
        <w:t xml:space="preserve">While not presented in the table above, the facility groups were investigated for potential skewness towards larger or smaller size facilities within each group. However, it could be </w:t>
      </w:r>
      <w:r>
        <w:lastRenderedPageBreak/>
        <w:t>confirmed that this was not the</w:t>
      </w:r>
      <w:r>
        <w:rPr>
          <w:lang w:eastAsia="zh-CN" w:bidi="th-TH"/>
        </w:rPr>
        <w:t xml:space="preserve"> case as </w:t>
      </w:r>
      <w:r w:rsidR="00345342">
        <w:rPr>
          <w:lang w:eastAsia="zh-CN" w:bidi="th-TH"/>
        </w:rPr>
        <w:t xml:space="preserve">the mean and median bed numbers </w:t>
      </w:r>
      <w:r>
        <w:rPr>
          <w:lang w:eastAsia="zh-CN" w:bidi="th-TH"/>
        </w:rPr>
        <w:t xml:space="preserve">were almost identical </w:t>
      </w:r>
      <w:r w:rsidR="00D4353F">
        <w:rPr>
          <w:lang w:eastAsia="zh-CN" w:bidi="th-TH"/>
        </w:rPr>
        <w:t>for each group.</w:t>
      </w:r>
    </w:p>
    <w:p w14:paraId="6C19BA2F" w14:textId="738634A1" w:rsidR="00D60A23" w:rsidRDefault="00D60A23" w:rsidP="008F5732">
      <w:pPr>
        <w:spacing w:before="240"/>
        <w:rPr>
          <w:lang w:eastAsia="zh-CN" w:bidi="th-TH"/>
        </w:rPr>
      </w:pPr>
      <w:r>
        <w:rPr>
          <w:lang w:eastAsia="zh-CN" w:bidi="th-TH"/>
        </w:rPr>
        <w:t xml:space="preserve">The fixed care RVUs </w:t>
      </w:r>
      <w:r w:rsidR="00FC0679">
        <w:rPr>
          <w:lang w:eastAsia="zh-CN" w:bidi="th-TH"/>
        </w:rPr>
        <w:t>are presented</w:t>
      </w:r>
      <w:r>
        <w:rPr>
          <w:lang w:eastAsia="zh-CN" w:bidi="th-TH"/>
        </w:rPr>
        <w:t xml:space="preserve"> based on both the costs per approved bed day and per occupied bed day.</w:t>
      </w:r>
      <w:r w:rsidR="00FC0679" w:rsidRPr="00FC0679">
        <w:rPr>
          <w:lang w:eastAsia="zh-CN" w:bidi="th-TH"/>
        </w:rPr>
        <w:t xml:space="preserve"> </w:t>
      </w:r>
      <w:r w:rsidR="00FC0679">
        <w:rPr>
          <w:lang w:eastAsia="zh-CN" w:bidi="th-TH"/>
        </w:rPr>
        <w:t xml:space="preserve">It is interesting to note that, </w:t>
      </w:r>
      <w:r w:rsidR="00056E96">
        <w:rPr>
          <w:lang w:eastAsia="zh-CN" w:bidi="th-TH"/>
        </w:rPr>
        <w:t>a</w:t>
      </w:r>
      <w:r w:rsidR="00FC0679">
        <w:rPr>
          <w:lang w:eastAsia="zh-CN" w:bidi="th-TH"/>
        </w:rPr>
        <w:t>part from having higher costs</w:t>
      </w:r>
      <w:r w:rsidR="00B0775E">
        <w:rPr>
          <w:lang w:eastAsia="zh-CN" w:bidi="th-TH"/>
        </w:rPr>
        <w:t>,</w:t>
      </w:r>
      <w:r w:rsidR="00FC0679">
        <w:rPr>
          <w:lang w:eastAsia="zh-CN" w:bidi="th-TH"/>
        </w:rPr>
        <w:t xml:space="preserve"> </w:t>
      </w:r>
      <w:r>
        <w:rPr>
          <w:lang w:eastAsia="zh-CN" w:bidi="th-TH"/>
        </w:rPr>
        <w:t xml:space="preserve">the group of facilities </w:t>
      </w:r>
      <w:r w:rsidR="00FC0679">
        <w:rPr>
          <w:lang w:eastAsia="zh-CN" w:bidi="th-TH"/>
        </w:rPr>
        <w:t>with less than 30 beds also reports a</w:t>
      </w:r>
      <w:r>
        <w:rPr>
          <w:lang w:eastAsia="zh-CN" w:bidi="th-TH"/>
        </w:rPr>
        <w:t xml:space="preserve"> </w:t>
      </w:r>
      <w:r w:rsidR="00FC0679">
        <w:rPr>
          <w:lang w:eastAsia="zh-CN" w:bidi="th-TH"/>
        </w:rPr>
        <w:t xml:space="preserve">much </w:t>
      </w:r>
      <w:r>
        <w:rPr>
          <w:lang w:eastAsia="zh-CN" w:bidi="th-TH"/>
        </w:rPr>
        <w:t>large</w:t>
      </w:r>
      <w:r w:rsidR="00FC0679">
        <w:rPr>
          <w:lang w:eastAsia="zh-CN" w:bidi="th-TH"/>
        </w:rPr>
        <w:t>r</w:t>
      </w:r>
      <w:r>
        <w:rPr>
          <w:lang w:eastAsia="zh-CN" w:bidi="th-TH"/>
        </w:rPr>
        <w:t xml:space="preserve"> difference </w:t>
      </w:r>
      <w:r w:rsidR="00FC0679">
        <w:rPr>
          <w:lang w:eastAsia="zh-CN" w:bidi="th-TH"/>
        </w:rPr>
        <w:t>between the</w:t>
      </w:r>
      <w:r>
        <w:rPr>
          <w:lang w:eastAsia="zh-CN" w:bidi="th-TH"/>
        </w:rPr>
        <w:t xml:space="preserve"> cost per occupied and approved bed days</w:t>
      </w:r>
      <w:r w:rsidR="00FC0679">
        <w:rPr>
          <w:lang w:eastAsia="zh-CN" w:bidi="th-TH"/>
        </w:rPr>
        <w:t xml:space="preserve"> than the larger facilities. This suggests</w:t>
      </w:r>
      <w:r w:rsidR="00D2316A">
        <w:rPr>
          <w:lang w:eastAsia="zh-CN" w:bidi="th-TH"/>
        </w:rPr>
        <w:t xml:space="preserve"> that</w:t>
      </w:r>
      <w:r w:rsidR="00FC0679">
        <w:rPr>
          <w:lang w:eastAsia="zh-CN" w:bidi="th-TH"/>
        </w:rPr>
        <w:t xml:space="preserve"> small facilities are</w:t>
      </w:r>
      <w:r>
        <w:rPr>
          <w:lang w:eastAsia="zh-CN" w:bidi="th-TH"/>
        </w:rPr>
        <w:t xml:space="preserve"> </w:t>
      </w:r>
      <w:r w:rsidR="00056E96">
        <w:rPr>
          <w:lang w:eastAsia="zh-CN" w:bidi="th-TH"/>
        </w:rPr>
        <w:t xml:space="preserve">more likely to experience lower </w:t>
      </w:r>
      <w:r w:rsidR="00D2316A">
        <w:rPr>
          <w:lang w:eastAsia="zh-CN" w:bidi="th-TH"/>
        </w:rPr>
        <w:t xml:space="preserve">or variable </w:t>
      </w:r>
      <w:r w:rsidR="00056E96">
        <w:rPr>
          <w:lang w:eastAsia="zh-CN" w:bidi="th-TH"/>
        </w:rPr>
        <w:t>occupancy rates a</w:t>
      </w:r>
      <w:r w:rsidR="00D2316A">
        <w:rPr>
          <w:lang w:eastAsia="zh-CN" w:bidi="th-TH"/>
        </w:rPr>
        <w:t xml:space="preserve">nd that they are </w:t>
      </w:r>
      <w:r w:rsidR="00FC0679">
        <w:rPr>
          <w:lang w:eastAsia="zh-CN" w:bidi="th-TH"/>
        </w:rPr>
        <w:t>impac</w:t>
      </w:r>
      <w:r>
        <w:rPr>
          <w:lang w:eastAsia="zh-CN" w:bidi="th-TH"/>
        </w:rPr>
        <w:t xml:space="preserve">ted by </w:t>
      </w:r>
      <w:r w:rsidR="00FC0679">
        <w:rPr>
          <w:lang w:eastAsia="zh-CN" w:bidi="th-TH"/>
        </w:rPr>
        <w:t xml:space="preserve">the </w:t>
      </w:r>
      <w:r w:rsidR="00426006">
        <w:rPr>
          <w:lang w:eastAsia="zh-CN" w:bidi="th-TH"/>
        </w:rPr>
        <w:t xml:space="preserve">increased </w:t>
      </w:r>
      <w:r w:rsidR="00FC0679">
        <w:rPr>
          <w:lang w:eastAsia="zh-CN" w:bidi="th-TH"/>
        </w:rPr>
        <w:t>cost</w:t>
      </w:r>
      <w:r w:rsidR="00426006">
        <w:rPr>
          <w:lang w:eastAsia="zh-CN" w:bidi="th-TH"/>
        </w:rPr>
        <w:t>s</w:t>
      </w:r>
      <w:r w:rsidR="00FC0679">
        <w:rPr>
          <w:lang w:eastAsia="zh-CN" w:bidi="th-TH"/>
        </w:rPr>
        <w:t xml:space="preserve"> </w:t>
      </w:r>
      <w:r w:rsidR="00D2316A">
        <w:rPr>
          <w:lang w:eastAsia="zh-CN" w:bidi="th-TH"/>
        </w:rPr>
        <w:t>per bed day as a result</w:t>
      </w:r>
      <w:r>
        <w:rPr>
          <w:lang w:eastAsia="zh-CN" w:bidi="th-TH"/>
        </w:rPr>
        <w:t>.</w:t>
      </w:r>
      <w:r w:rsidR="002A6AB2">
        <w:rPr>
          <w:lang w:eastAsia="zh-CN" w:bidi="th-TH"/>
        </w:rPr>
        <w:t xml:space="preserve"> This </w:t>
      </w:r>
      <w:r w:rsidR="00D2316A">
        <w:rPr>
          <w:lang w:eastAsia="zh-CN" w:bidi="th-TH"/>
        </w:rPr>
        <w:t xml:space="preserve">issue </w:t>
      </w:r>
      <w:r w:rsidR="00B0775E">
        <w:rPr>
          <w:lang w:eastAsia="zh-CN" w:bidi="th-TH"/>
        </w:rPr>
        <w:t>can</w:t>
      </w:r>
      <w:r w:rsidR="002A6AB2">
        <w:rPr>
          <w:lang w:eastAsia="zh-CN" w:bidi="th-TH"/>
        </w:rPr>
        <w:t xml:space="preserve"> also be seen in </w:t>
      </w:r>
      <w:r w:rsidR="002A6AB2">
        <w:rPr>
          <w:lang w:eastAsia="zh-CN" w:bidi="th-TH"/>
        </w:rPr>
        <w:fldChar w:fldCharType="begin"/>
      </w:r>
      <w:r w:rsidR="002A6AB2">
        <w:rPr>
          <w:lang w:eastAsia="zh-CN" w:bidi="th-TH"/>
        </w:rPr>
        <w:instrText xml:space="preserve"> REF _Ref533104143 \h </w:instrText>
      </w:r>
      <w:r w:rsidR="002A6AB2">
        <w:rPr>
          <w:lang w:eastAsia="zh-CN" w:bidi="th-TH"/>
        </w:rPr>
      </w:r>
      <w:r w:rsidR="002A6AB2">
        <w:rPr>
          <w:lang w:eastAsia="zh-CN" w:bidi="th-TH"/>
        </w:rPr>
        <w:fldChar w:fldCharType="separate"/>
      </w:r>
      <w:r w:rsidR="00043266">
        <w:t xml:space="preserve">Figure </w:t>
      </w:r>
      <w:r w:rsidR="00043266">
        <w:rPr>
          <w:noProof/>
        </w:rPr>
        <w:t>2</w:t>
      </w:r>
      <w:r w:rsidR="002A6AB2">
        <w:rPr>
          <w:lang w:eastAsia="zh-CN" w:bidi="th-TH"/>
        </w:rPr>
        <w:fldChar w:fldCharType="end"/>
      </w:r>
      <w:r w:rsidR="00D2316A">
        <w:rPr>
          <w:lang w:eastAsia="zh-CN" w:bidi="th-TH"/>
        </w:rPr>
        <w:t xml:space="preserve"> and </w:t>
      </w:r>
      <w:r w:rsidR="00D2316A">
        <w:rPr>
          <w:lang w:eastAsia="zh-CN" w:bidi="th-TH"/>
        </w:rPr>
        <w:fldChar w:fldCharType="begin"/>
      </w:r>
      <w:r w:rsidR="00D2316A">
        <w:rPr>
          <w:lang w:eastAsia="zh-CN" w:bidi="th-TH"/>
        </w:rPr>
        <w:instrText xml:space="preserve"> REF _Ref533158523 \h </w:instrText>
      </w:r>
      <w:r w:rsidR="00D2316A">
        <w:rPr>
          <w:lang w:eastAsia="zh-CN" w:bidi="th-TH"/>
        </w:rPr>
      </w:r>
      <w:r w:rsidR="00D2316A">
        <w:rPr>
          <w:lang w:eastAsia="zh-CN" w:bidi="th-TH"/>
        </w:rPr>
        <w:fldChar w:fldCharType="separate"/>
      </w:r>
      <w:r w:rsidR="00043266">
        <w:t xml:space="preserve">Figure </w:t>
      </w:r>
      <w:r w:rsidR="00043266">
        <w:rPr>
          <w:noProof/>
        </w:rPr>
        <w:t>3</w:t>
      </w:r>
      <w:r w:rsidR="00D2316A">
        <w:rPr>
          <w:lang w:eastAsia="zh-CN" w:bidi="th-TH"/>
        </w:rPr>
        <w:fldChar w:fldCharType="end"/>
      </w:r>
      <w:r w:rsidR="002A6AB2">
        <w:rPr>
          <w:lang w:eastAsia="zh-CN" w:bidi="th-TH"/>
        </w:rPr>
        <w:t>.</w:t>
      </w:r>
    </w:p>
    <w:p w14:paraId="5D8FFB4B" w14:textId="053D3C00" w:rsidR="00C8178D" w:rsidRDefault="009E242D" w:rsidP="008816FF">
      <w:pPr>
        <w:pStyle w:val="Heading3"/>
        <w:rPr>
          <w:lang w:eastAsia="zh-CN" w:bidi="th-TH"/>
        </w:rPr>
      </w:pPr>
      <w:r>
        <w:rPr>
          <w:lang w:eastAsia="zh-CN" w:bidi="th-TH"/>
        </w:rPr>
        <w:t xml:space="preserve">Facility </w:t>
      </w:r>
      <w:r w:rsidR="002A6AB2">
        <w:rPr>
          <w:lang w:eastAsia="zh-CN" w:bidi="th-TH"/>
        </w:rPr>
        <w:t>location</w:t>
      </w:r>
    </w:p>
    <w:p w14:paraId="6F54C4BE" w14:textId="5C5EED93" w:rsidR="00340952" w:rsidRDefault="00FA20D4" w:rsidP="001D55CD">
      <w:pPr>
        <w:spacing w:before="240"/>
        <w:rPr>
          <w:lang w:eastAsia="zh-CN" w:bidi="th-TH"/>
        </w:rPr>
      </w:pPr>
      <w:r>
        <w:rPr>
          <w:lang w:eastAsia="zh-CN" w:bidi="th-TH"/>
        </w:rPr>
        <w:fldChar w:fldCharType="begin"/>
      </w:r>
      <w:r>
        <w:rPr>
          <w:lang w:eastAsia="zh-CN" w:bidi="th-TH"/>
        </w:rPr>
        <w:instrText xml:space="preserve"> REF _Ref528760790 \h </w:instrText>
      </w:r>
      <w:r>
        <w:rPr>
          <w:lang w:eastAsia="zh-CN" w:bidi="th-TH"/>
        </w:rPr>
      </w:r>
      <w:r>
        <w:rPr>
          <w:lang w:eastAsia="zh-CN" w:bidi="th-TH"/>
        </w:rPr>
        <w:fldChar w:fldCharType="separate"/>
      </w:r>
      <w:r w:rsidR="00043266">
        <w:t xml:space="preserve">Table </w:t>
      </w:r>
      <w:r w:rsidR="00043266">
        <w:rPr>
          <w:noProof/>
        </w:rPr>
        <w:t>4</w:t>
      </w:r>
      <w:r>
        <w:rPr>
          <w:lang w:eastAsia="zh-CN" w:bidi="th-TH"/>
        </w:rPr>
        <w:fldChar w:fldCharType="end"/>
      </w:r>
      <w:r>
        <w:rPr>
          <w:lang w:eastAsia="zh-CN" w:bidi="th-TH"/>
        </w:rPr>
        <w:t xml:space="preserve"> presents the cost results </w:t>
      </w:r>
      <w:r w:rsidR="00D2316A">
        <w:rPr>
          <w:lang w:eastAsia="zh-CN" w:bidi="th-TH"/>
        </w:rPr>
        <w:t>based on facility</w:t>
      </w:r>
      <w:r>
        <w:rPr>
          <w:lang w:eastAsia="zh-CN" w:bidi="th-TH"/>
        </w:rPr>
        <w:t xml:space="preserve"> </w:t>
      </w:r>
      <w:r w:rsidR="002A6AB2">
        <w:rPr>
          <w:lang w:eastAsia="zh-CN" w:bidi="th-TH"/>
        </w:rPr>
        <w:t xml:space="preserve">location </w:t>
      </w:r>
      <w:r w:rsidR="00D2316A">
        <w:rPr>
          <w:lang w:eastAsia="zh-CN" w:bidi="th-TH"/>
        </w:rPr>
        <w:t>using</w:t>
      </w:r>
      <w:r w:rsidR="002A6AB2">
        <w:rPr>
          <w:lang w:eastAsia="zh-CN" w:bidi="th-TH"/>
        </w:rPr>
        <w:t xml:space="preserve"> the </w:t>
      </w:r>
      <w:r>
        <w:rPr>
          <w:lang w:eastAsia="zh-CN" w:bidi="th-TH"/>
        </w:rPr>
        <w:t>Modified Monash Model (MMM)</w:t>
      </w:r>
      <w:r w:rsidR="00D56267">
        <w:rPr>
          <w:lang w:eastAsia="zh-CN" w:bidi="th-TH"/>
        </w:rPr>
        <w:t xml:space="preserve"> classification</w:t>
      </w:r>
      <w:r>
        <w:rPr>
          <w:lang w:eastAsia="zh-CN" w:bidi="th-TH"/>
        </w:rPr>
        <w:t>. This model</w:t>
      </w:r>
      <w:r w:rsidR="002A6AB2">
        <w:rPr>
          <w:lang w:eastAsia="zh-CN" w:bidi="th-TH"/>
        </w:rPr>
        <w:t xml:space="preserve"> classifies locations (i.e. suburb and postcode) from 1 = most metropolitan to 7 = most remote.</w:t>
      </w:r>
      <w:r>
        <w:rPr>
          <w:lang w:eastAsia="zh-CN" w:bidi="th-TH"/>
        </w:rPr>
        <w:t xml:space="preserve"> </w:t>
      </w:r>
      <w:r w:rsidR="002A6AB2">
        <w:rPr>
          <w:lang w:eastAsia="zh-CN" w:bidi="th-TH"/>
        </w:rPr>
        <w:t xml:space="preserve">While there is no official terminology for </w:t>
      </w:r>
      <w:r w:rsidR="00D2316A">
        <w:rPr>
          <w:lang w:eastAsia="zh-CN" w:bidi="th-TH"/>
        </w:rPr>
        <w:t xml:space="preserve">those classes, in this report class 1 </w:t>
      </w:r>
      <w:r w:rsidR="002A6AB2">
        <w:rPr>
          <w:lang w:eastAsia="zh-CN" w:bidi="th-TH"/>
        </w:rPr>
        <w:t xml:space="preserve">will be referred to as metropolitan, 2 to 5 as regional and 6 </w:t>
      </w:r>
      <w:r w:rsidR="00D2316A">
        <w:rPr>
          <w:lang w:eastAsia="zh-CN" w:bidi="th-TH"/>
        </w:rPr>
        <w:t>and</w:t>
      </w:r>
      <w:r w:rsidR="002A6AB2">
        <w:rPr>
          <w:lang w:eastAsia="zh-CN" w:bidi="th-TH"/>
        </w:rPr>
        <w:t xml:space="preserve"> 7 as remote. When </w:t>
      </w:r>
      <w:r w:rsidR="00D2316A">
        <w:rPr>
          <w:lang w:eastAsia="zh-CN" w:bidi="th-TH"/>
        </w:rPr>
        <w:t xml:space="preserve">a </w:t>
      </w:r>
      <w:r w:rsidR="002A6AB2">
        <w:rPr>
          <w:lang w:eastAsia="zh-CN" w:bidi="th-TH"/>
        </w:rPr>
        <w:t xml:space="preserve">distinction </w:t>
      </w:r>
      <w:r w:rsidR="00D2316A">
        <w:rPr>
          <w:lang w:eastAsia="zh-CN" w:bidi="th-TH"/>
        </w:rPr>
        <w:t xml:space="preserve">is made </w:t>
      </w:r>
      <w:r w:rsidR="002A6AB2">
        <w:rPr>
          <w:lang w:eastAsia="zh-CN" w:bidi="th-TH"/>
        </w:rPr>
        <w:t xml:space="preserve">between </w:t>
      </w:r>
      <w:r w:rsidR="00D2316A">
        <w:rPr>
          <w:lang w:eastAsia="zh-CN" w:bidi="th-TH"/>
        </w:rPr>
        <w:t xml:space="preserve">MMM classes </w:t>
      </w:r>
      <w:r w:rsidR="002A6AB2">
        <w:rPr>
          <w:lang w:eastAsia="zh-CN" w:bidi="th-TH"/>
        </w:rPr>
        <w:t>6 and 7</w:t>
      </w:r>
      <w:r w:rsidR="00D2316A">
        <w:rPr>
          <w:lang w:eastAsia="zh-CN" w:bidi="th-TH"/>
        </w:rPr>
        <w:t xml:space="preserve">, they are </w:t>
      </w:r>
      <w:r w:rsidR="002A6AB2">
        <w:rPr>
          <w:lang w:eastAsia="zh-CN" w:bidi="th-TH"/>
        </w:rPr>
        <w:t xml:space="preserve">referred to as </w:t>
      </w:r>
      <w:r w:rsidR="00D2316A">
        <w:rPr>
          <w:lang w:eastAsia="zh-CN" w:bidi="th-TH"/>
        </w:rPr>
        <w:t>‘remote’ and ‘</w:t>
      </w:r>
      <w:r w:rsidR="002A6AB2">
        <w:rPr>
          <w:lang w:eastAsia="zh-CN" w:bidi="th-TH"/>
        </w:rPr>
        <w:t>very remote</w:t>
      </w:r>
      <w:r w:rsidR="00D2316A">
        <w:rPr>
          <w:lang w:eastAsia="zh-CN" w:bidi="th-TH"/>
        </w:rPr>
        <w:t>’</w:t>
      </w:r>
      <w:r w:rsidR="002A6AB2">
        <w:rPr>
          <w:lang w:eastAsia="zh-CN" w:bidi="th-TH"/>
        </w:rPr>
        <w:t xml:space="preserve">. </w:t>
      </w:r>
      <w:r w:rsidR="0077317A">
        <w:rPr>
          <w:lang w:eastAsia="zh-CN" w:bidi="th-TH"/>
        </w:rPr>
        <w:t xml:space="preserve">There is an uneven spread of facilities across the MMM classes in the sample. This is the result of the nationally representative sampling of metropolitan and regional areas and the </w:t>
      </w:r>
      <w:r w:rsidR="00340952">
        <w:rPr>
          <w:lang w:eastAsia="zh-CN" w:bidi="th-TH"/>
        </w:rPr>
        <w:t xml:space="preserve">oversampling of </w:t>
      </w:r>
      <w:r w:rsidR="0077317A">
        <w:rPr>
          <w:lang w:eastAsia="zh-CN" w:bidi="th-TH"/>
        </w:rPr>
        <w:t xml:space="preserve">facilities in </w:t>
      </w:r>
      <w:r w:rsidR="00340952">
        <w:rPr>
          <w:lang w:eastAsia="zh-CN" w:bidi="th-TH"/>
        </w:rPr>
        <w:t xml:space="preserve">remote </w:t>
      </w:r>
      <w:r w:rsidR="0077317A">
        <w:rPr>
          <w:lang w:eastAsia="zh-CN" w:bidi="th-TH"/>
        </w:rPr>
        <w:t xml:space="preserve">locations. The number of facilities included </w:t>
      </w:r>
      <w:r w:rsidR="00B357F6">
        <w:rPr>
          <w:lang w:eastAsia="zh-CN" w:bidi="th-TH"/>
        </w:rPr>
        <w:t>in the individual</w:t>
      </w:r>
      <w:r w:rsidR="0077317A">
        <w:rPr>
          <w:lang w:eastAsia="zh-CN" w:bidi="th-TH"/>
        </w:rPr>
        <w:t xml:space="preserve"> MMM classes 3, 4 and 5 </w:t>
      </w:r>
      <w:r w:rsidR="00B357F6">
        <w:rPr>
          <w:lang w:eastAsia="zh-CN" w:bidi="th-TH"/>
        </w:rPr>
        <w:t>is</w:t>
      </w:r>
      <w:r w:rsidR="0077317A">
        <w:rPr>
          <w:lang w:eastAsia="zh-CN" w:bidi="th-TH"/>
        </w:rPr>
        <w:t xml:space="preserve"> relatively small</w:t>
      </w:r>
      <w:r w:rsidR="002A6AB2">
        <w:rPr>
          <w:lang w:eastAsia="zh-CN" w:bidi="th-TH"/>
        </w:rPr>
        <w:t xml:space="preserve"> and results for these classes should be </w:t>
      </w:r>
      <w:r w:rsidR="00B357F6">
        <w:rPr>
          <w:lang w:eastAsia="zh-CN" w:bidi="th-TH"/>
        </w:rPr>
        <w:t>considered</w:t>
      </w:r>
      <w:r w:rsidR="002A6AB2">
        <w:rPr>
          <w:lang w:eastAsia="zh-CN" w:bidi="th-TH"/>
        </w:rPr>
        <w:t xml:space="preserve"> with caution</w:t>
      </w:r>
      <w:r w:rsidR="0077317A">
        <w:rPr>
          <w:lang w:eastAsia="zh-CN" w:bidi="th-TH"/>
        </w:rPr>
        <w:t>.</w:t>
      </w:r>
    </w:p>
    <w:p w14:paraId="596008A2" w14:textId="50C61363" w:rsidR="0013756D" w:rsidRDefault="00E82205" w:rsidP="001D55CD">
      <w:pPr>
        <w:spacing w:before="240"/>
        <w:rPr>
          <w:lang w:eastAsia="zh-CN" w:bidi="th-TH"/>
        </w:rPr>
      </w:pPr>
      <w:r>
        <w:rPr>
          <w:lang w:eastAsia="zh-CN" w:bidi="th-TH"/>
        </w:rPr>
        <w:t>T</w:t>
      </w:r>
      <w:r w:rsidR="009E242D">
        <w:rPr>
          <w:lang w:eastAsia="zh-CN" w:bidi="th-TH"/>
        </w:rPr>
        <w:t xml:space="preserve">he mean </w:t>
      </w:r>
      <w:r>
        <w:rPr>
          <w:lang w:eastAsia="zh-CN" w:bidi="th-TH"/>
        </w:rPr>
        <w:t xml:space="preserve">facility </w:t>
      </w:r>
      <w:r w:rsidR="009E242D">
        <w:rPr>
          <w:lang w:eastAsia="zh-CN" w:bidi="th-TH"/>
        </w:rPr>
        <w:t xml:space="preserve">bed </w:t>
      </w:r>
      <w:r>
        <w:rPr>
          <w:lang w:eastAsia="zh-CN" w:bidi="th-TH"/>
        </w:rPr>
        <w:t>numbers</w:t>
      </w:r>
      <w:r w:rsidR="009E242D">
        <w:rPr>
          <w:lang w:eastAsia="zh-CN" w:bidi="th-TH"/>
        </w:rPr>
        <w:t xml:space="preserve"> </w:t>
      </w:r>
      <w:r w:rsidR="00065F42">
        <w:rPr>
          <w:lang w:eastAsia="zh-CN" w:bidi="th-TH"/>
        </w:rPr>
        <w:t xml:space="preserve">for </w:t>
      </w:r>
      <w:r>
        <w:rPr>
          <w:lang w:eastAsia="zh-CN" w:bidi="th-TH"/>
        </w:rPr>
        <w:t xml:space="preserve">facilities in </w:t>
      </w:r>
      <w:r w:rsidR="00065F42">
        <w:rPr>
          <w:lang w:eastAsia="zh-CN" w:bidi="th-TH"/>
        </w:rPr>
        <w:t xml:space="preserve">each MMM class is presented </w:t>
      </w:r>
      <w:r>
        <w:rPr>
          <w:lang w:eastAsia="zh-CN" w:bidi="th-TH"/>
        </w:rPr>
        <w:t xml:space="preserve">in this table and it </w:t>
      </w:r>
      <w:r w:rsidR="00065F42">
        <w:rPr>
          <w:lang w:eastAsia="zh-CN" w:bidi="th-TH"/>
        </w:rPr>
        <w:t xml:space="preserve">shows </w:t>
      </w:r>
      <w:r>
        <w:rPr>
          <w:lang w:eastAsia="zh-CN" w:bidi="th-TH"/>
        </w:rPr>
        <w:t xml:space="preserve">clearly </w:t>
      </w:r>
      <w:r w:rsidR="00065F42">
        <w:rPr>
          <w:lang w:eastAsia="zh-CN" w:bidi="th-TH"/>
        </w:rPr>
        <w:t xml:space="preserve">that the </w:t>
      </w:r>
      <w:r w:rsidR="002A6AB2">
        <w:rPr>
          <w:lang w:eastAsia="zh-CN" w:bidi="th-TH"/>
        </w:rPr>
        <w:t xml:space="preserve">average </w:t>
      </w:r>
      <w:r w:rsidR="0077317A">
        <w:rPr>
          <w:lang w:eastAsia="zh-CN" w:bidi="th-TH"/>
        </w:rPr>
        <w:t>facilit</w:t>
      </w:r>
      <w:r w:rsidR="002A6AB2">
        <w:rPr>
          <w:lang w:eastAsia="zh-CN" w:bidi="th-TH"/>
        </w:rPr>
        <w:t>y size is much smaller</w:t>
      </w:r>
      <w:r w:rsidR="0077317A">
        <w:rPr>
          <w:lang w:eastAsia="zh-CN" w:bidi="th-TH"/>
        </w:rPr>
        <w:t xml:space="preserve"> </w:t>
      </w:r>
      <w:r w:rsidR="00AC74D4">
        <w:rPr>
          <w:lang w:eastAsia="zh-CN" w:bidi="th-TH"/>
        </w:rPr>
        <w:t>in MMM classes 6 and 7, the remote and very remote regions of the country.</w:t>
      </w:r>
      <w:r>
        <w:rPr>
          <w:lang w:eastAsia="zh-CN" w:bidi="th-TH"/>
        </w:rPr>
        <w:t xml:space="preserve"> </w:t>
      </w:r>
      <w:r w:rsidR="00065F42">
        <w:rPr>
          <w:lang w:eastAsia="zh-CN" w:bidi="th-TH"/>
        </w:rPr>
        <w:t>The</w:t>
      </w:r>
      <w:r>
        <w:rPr>
          <w:lang w:eastAsia="zh-CN" w:bidi="th-TH"/>
        </w:rPr>
        <w:t>se</w:t>
      </w:r>
      <w:r w:rsidR="00065F42">
        <w:rPr>
          <w:lang w:eastAsia="zh-CN" w:bidi="th-TH"/>
        </w:rPr>
        <w:t xml:space="preserve"> </w:t>
      </w:r>
      <w:r w:rsidR="00AC74D4">
        <w:rPr>
          <w:lang w:eastAsia="zh-CN" w:bidi="th-TH"/>
        </w:rPr>
        <w:t>facilities</w:t>
      </w:r>
      <w:r w:rsidR="00B357F6">
        <w:rPr>
          <w:lang w:eastAsia="zh-CN" w:bidi="th-TH"/>
        </w:rPr>
        <w:t xml:space="preserve"> also</w:t>
      </w:r>
      <w:r w:rsidR="00AC74D4">
        <w:rPr>
          <w:lang w:eastAsia="zh-CN" w:bidi="th-TH"/>
        </w:rPr>
        <w:t xml:space="preserve"> report significantly </w:t>
      </w:r>
      <w:r w:rsidR="00FF6B0F">
        <w:rPr>
          <w:lang w:eastAsia="zh-CN" w:bidi="th-TH"/>
        </w:rPr>
        <w:t xml:space="preserve">higher fixed </w:t>
      </w:r>
      <w:r w:rsidR="00AC74D4">
        <w:rPr>
          <w:lang w:eastAsia="zh-CN" w:bidi="th-TH"/>
        </w:rPr>
        <w:t xml:space="preserve">care </w:t>
      </w:r>
      <w:r w:rsidR="00FF6B0F">
        <w:rPr>
          <w:lang w:eastAsia="zh-CN" w:bidi="th-TH"/>
        </w:rPr>
        <w:t>and total</w:t>
      </w:r>
      <w:r w:rsidR="00AC74D4">
        <w:rPr>
          <w:lang w:eastAsia="zh-CN" w:bidi="th-TH"/>
        </w:rPr>
        <w:t xml:space="preserve"> </w:t>
      </w:r>
      <w:r w:rsidR="00FF6B0F">
        <w:rPr>
          <w:lang w:eastAsia="zh-CN" w:bidi="th-TH"/>
        </w:rPr>
        <w:t>care</w:t>
      </w:r>
      <w:r w:rsidR="00AC74D4">
        <w:rPr>
          <w:lang w:eastAsia="zh-CN" w:bidi="th-TH"/>
        </w:rPr>
        <w:t xml:space="preserve"> related costs</w:t>
      </w:r>
      <w:r>
        <w:rPr>
          <w:lang w:eastAsia="zh-CN" w:bidi="th-TH"/>
        </w:rPr>
        <w:t>. It is interesting</w:t>
      </w:r>
      <w:r w:rsidR="00FF6B0F">
        <w:rPr>
          <w:lang w:eastAsia="zh-CN" w:bidi="th-TH"/>
        </w:rPr>
        <w:t xml:space="preserve"> to note</w:t>
      </w:r>
      <w:r w:rsidR="00AC74D4">
        <w:rPr>
          <w:lang w:eastAsia="zh-CN" w:bidi="th-TH"/>
        </w:rPr>
        <w:t xml:space="preserve"> that </w:t>
      </w:r>
      <w:r>
        <w:rPr>
          <w:lang w:eastAsia="zh-CN" w:bidi="th-TH"/>
        </w:rPr>
        <w:t xml:space="preserve">the </w:t>
      </w:r>
      <w:r w:rsidR="00AC74D4">
        <w:rPr>
          <w:lang w:eastAsia="zh-CN" w:bidi="th-TH"/>
        </w:rPr>
        <w:t xml:space="preserve">MMM 7 </w:t>
      </w:r>
      <w:r>
        <w:rPr>
          <w:lang w:eastAsia="zh-CN" w:bidi="th-TH"/>
        </w:rPr>
        <w:t xml:space="preserve">facilities </w:t>
      </w:r>
      <w:r w:rsidR="00AC74D4">
        <w:rPr>
          <w:lang w:eastAsia="zh-CN" w:bidi="th-TH"/>
        </w:rPr>
        <w:t xml:space="preserve">report very similar </w:t>
      </w:r>
      <w:r>
        <w:rPr>
          <w:lang w:eastAsia="zh-CN" w:bidi="th-TH"/>
        </w:rPr>
        <w:t xml:space="preserve">costs </w:t>
      </w:r>
      <w:r w:rsidR="00AC74D4">
        <w:rPr>
          <w:lang w:eastAsia="zh-CN" w:bidi="th-TH"/>
        </w:rPr>
        <w:t xml:space="preserve">to </w:t>
      </w:r>
      <w:r>
        <w:rPr>
          <w:lang w:eastAsia="zh-CN" w:bidi="th-TH"/>
        </w:rPr>
        <w:t xml:space="preserve">group of </w:t>
      </w:r>
      <w:r w:rsidR="00AC74D4">
        <w:rPr>
          <w:lang w:eastAsia="zh-CN" w:bidi="th-TH"/>
        </w:rPr>
        <w:t xml:space="preserve">facilities </w:t>
      </w:r>
      <w:r>
        <w:rPr>
          <w:lang w:eastAsia="zh-CN" w:bidi="th-TH"/>
        </w:rPr>
        <w:t xml:space="preserve">with less than 30 beds </w:t>
      </w:r>
      <w:r w:rsidR="00AC74D4">
        <w:rPr>
          <w:lang w:eastAsia="zh-CN" w:bidi="th-TH"/>
        </w:rPr>
        <w:t xml:space="preserve">in </w:t>
      </w:r>
      <w:r w:rsidR="00AC74D4">
        <w:rPr>
          <w:lang w:eastAsia="zh-CN" w:bidi="th-TH"/>
        </w:rPr>
        <w:fldChar w:fldCharType="begin"/>
      </w:r>
      <w:r w:rsidR="00AC74D4">
        <w:rPr>
          <w:lang w:eastAsia="zh-CN" w:bidi="th-TH"/>
        </w:rPr>
        <w:instrText xml:space="preserve"> REF _Ref528760649 \h </w:instrText>
      </w:r>
      <w:r w:rsidR="00AC74D4">
        <w:rPr>
          <w:lang w:eastAsia="zh-CN" w:bidi="th-TH"/>
        </w:rPr>
      </w:r>
      <w:r w:rsidR="00AC74D4">
        <w:rPr>
          <w:lang w:eastAsia="zh-CN" w:bidi="th-TH"/>
        </w:rPr>
        <w:fldChar w:fldCharType="separate"/>
      </w:r>
      <w:r w:rsidR="00043266">
        <w:t xml:space="preserve">Table </w:t>
      </w:r>
      <w:r w:rsidR="00043266">
        <w:rPr>
          <w:noProof/>
        </w:rPr>
        <w:t>3</w:t>
      </w:r>
      <w:r w:rsidR="00AC74D4">
        <w:rPr>
          <w:lang w:eastAsia="zh-CN" w:bidi="th-TH"/>
        </w:rPr>
        <w:fldChar w:fldCharType="end"/>
      </w:r>
      <w:r>
        <w:rPr>
          <w:lang w:eastAsia="zh-CN" w:bidi="th-TH"/>
        </w:rPr>
        <w:t>. This suggests a</w:t>
      </w:r>
      <w:r w:rsidR="00AC74D4">
        <w:rPr>
          <w:lang w:eastAsia="zh-CN" w:bidi="th-TH"/>
        </w:rPr>
        <w:t xml:space="preserve"> </w:t>
      </w:r>
      <w:r w:rsidR="002A6AB2">
        <w:rPr>
          <w:lang w:eastAsia="zh-CN" w:bidi="th-TH"/>
        </w:rPr>
        <w:t>substantial</w:t>
      </w:r>
      <w:r w:rsidR="00AC74D4">
        <w:rPr>
          <w:lang w:eastAsia="zh-CN" w:bidi="th-TH"/>
        </w:rPr>
        <w:t xml:space="preserve"> level of </w:t>
      </w:r>
      <w:r w:rsidR="002A6AB2">
        <w:rPr>
          <w:lang w:eastAsia="zh-CN" w:bidi="th-TH"/>
        </w:rPr>
        <w:t xml:space="preserve">correspondence </w:t>
      </w:r>
      <w:r w:rsidR="00AC74D4">
        <w:rPr>
          <w:lang w:eastAsia="zh-CN" w:bidi="th-TH"/>
        </w:rPr>
        <w:t>between the</w:t>
      </w:r>
      <w:r>
        <w:rPr>
          <w:lang w:eastAsia="zh-CN" w:bidi="th-TH"/>
        </w:rPr>
        <w:t xml:space="preserve"> facility categories of ‘small’ and ‘</w:t>
      </w:r>
      <w:r w:rsidR="00B357F6">
        <w:rPr>
          <w:lang w:eastAsia="zh-CN" w:bidi="th-TH"/>
        </w:rPr>
        <w:t xml:space="preserve">very </w:t>
      </w:r>
      <w:r>
        <w:rPr>
          <w:lang w:eastAsia="zh-CN" w:bidi="th-TH"/>
        </w:rPr>
        <w:t>remote’</w:t>
      </w:r>
      <w:r w:rsidR="00D4353F">
        <w:rPr>
          <w:lang w:eastAsia="zh-CN" w:bidi="th-TH"/>
        </w:rPr>
        <w:t>.</w:t>
      </w:r>
    </w:p>
    <w:p w14:paraId="5E6C1F33" w14:textId="710126F1" w:rsidR="008E0CC0" w:rsidRDefault="00E818B4" w:rsidP="005B72B0">
      <w:pPr>
        <w:pStyle w:val="Caption"/>
        <w:keepNext/>
      </w:pPr>
      <w:bookmarkStart w:id="67" w:name="_Ref528760790"/>
      <w:bookmarkStart w:id="68" w:name="_Toc866585"/>
      <w:r>
        <w:t>Table</w:t>
      </w:r>
      <w:r w:rsidR="00A25618">
        <w:t xml:space="preserve"> </w:t>
      </w:r>
      <w:r w:rsidR="0098668B">
        <w:rPr>
          <w:noProof/>
        </w:rPr>
        <w:fldChar w:fldCharType="begin"/>
      </w:r>
      <w:r w:rsidR="0098668B">
        <w:rPr>
          <w:noProof/>
        </w:rPr>
        <w:instrText xml:space="preserve"> SEQ Table \* ARABIC </w:instrText>
      </w:r>
      <w:r w:rsidR="0098668B">
        <w:rPr>
          <w:noProof/>
        </w:rPr>
        <w:fldChar w:fldCharType="separate"/>
      </w:r>
      <w:r w:rsidR="00043266">
        <w:rPr>
          <w:noProof/>
        </w:rPr>
        <w:t>4</w:t>
      </w:r>
      <w:r w:rsidR="0098668B">
        <w:rPr>
          <w:noProof/>
        </w:rPr>
        <w:fldChar w:fldCharType="end"/>
      </w:r>
      <w:bookmarkEnd w:id="67"/>
      <w:r w:rsidR="00AA7ACA">
        <w:rPr>
          <w:noProof/>
        </w:rPr>
        <w:t xml:space="preserve"> </w:t>
      </w:r>
      <w:r w:rsidR="00A25618">
        <w:tab/>
        <w:t xml:space="preserve">Cost results by </w:t>
      </w:r>
      <w:r w:rsidR="001E2910">
        <w:t>facility location</w:t>
      </w:r>
      <w:bookmarkEnd w:id="68"/>
    </w:p>
    <w:p w14:paraId="543FD3C6" w14:textId="056C0668" w:rsidR="002B66E0" w:rsidRPr="002B66E0" w:rsidRDefault="002B66E0" w:rsidP="002B66E0">
      <w:r>
        <w:rPr>
          <w:noProof/>
        </w:rPr>
        <w:drawing>
          <wp:inline distT="0" distB="0" distL="0" distR="0" wp14:anchorId="1C3E8379" wp14:editId="600DDFAD">
            <wp:extent cx="6056963" cy="2133600"/>
            <wp:effectExtent l="0" t="0" r="1270" b="0"/>
            <wp:docPr id="9" name="Picture 9" descr="The results in this picture also suggest that the average fixed care costs in regional facilities are lower than both metropolitan and remote services. These results should also be considered with caution as the sample size for each of the regional MMM classes is small. The costs reported for MMM classes 6 and 7 are much higher than the metropolitan and regional areas with total cost RVUs of 2.41 and 3.41 respectively, and fixed care cost RVUs also substantially higher than those of non-remote facilities. These observed differences between remote and non-remote facilities are statistically significant." title="Table 4  Cost results by facilit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58172" cy="2134026"/>
                    </a:xfrm>
                    <a:prstGeom prst="rect">
                      <a:avLst/>
                    </a:prstGeom>
                  </pic:spPr>
                </pic:pic>
              </a:graphicData>
            </a:graphic>
          </wp:inline>
        </w:drawing>
      </w:r>
    </w:p>
    <w:p w14:paraId="0F160317" w14:textId="51776F2C" w:rsidR="00E0655A" w:rsidRDefault="0045329F" w:rsidP="00D26D1C">
      <w:pPr>
        <w:spacing w:before="240"/>
        <w:rPr>
          <w:lang w:eastAsia="zh-CN" w:bidi="th-TH"/>
        </w:rPr>
      </w:pPr>
      <w:r>
        <w:rPr>
          <w:lang w:eastAsia="zh-CN" w:bidi="th-TH"/>
        </w:rPr>
        <w:t xml:space="preserve">The </w:t>
      </w:r>
      <w:r w:rsidR="00396DCF">
        <w:rPr>
          <w:lang w:eastAsia="zh-CN" w:bidi="th-TH"/>
        </w:rPr>
        <w:fldChar w:fldCharType="begin"/>
      </w:r>
      <w:r w:rsidR="00396DCF">
        <w:rPr>
          <w:lang w:eastAsia="zh-CN" w:bidi="th-TH"/>
        </w:rPr>
        <w:instrText xml:space="preserve"> REF _Ref528760790 \h </w:instrText>
      </w:r>
      <w:r w:rsidR="00396DCF">
        <w:rPr>
          <w:lang w:eastAsia="zh-CN" w:bidi="th-TH"/>
        </w:rPr>
      </w:r>
      <w:r w:rsidR="00396DCF">
        <w:rPr>
          <w:lang w:eastAsia="zh-CN" w:bidi="th-TH"/>
        </w:rPr>
        <w:fldChar w:fldCharType="separate"/>
      </w:r>
      <w:r w:rsidR="00043266">
        <w:t xml:space="preserve">Table </w:t>
      </w:r>
      <w:r w:rsidR="00043266">
        <w:rPr>
          <w:noProof/>
        </w:rPr>
        <w:t>4</w:t>
      </w:r>
      <w:r w:rsidR="00396DCF">
        <w:rPr>
          <w:lang w:eastAsia="zh-CN" w:bidi="th-TH"/>
        </w:rPr>
        <w:fldChar w:fldCharType="end"/>
      </w:r>
      <w:r w:rsidR="00396DCF">
        <w:rPr>
          <w:lang w:eastAsia="zh-CN" w:bidi="th-TH"/>
        </w:rPr>
        <w:t xml:space="preserve"> </w:t>
      </w:r>
      <w:r>
        <w:rPr>
          <w:lang w:eastAsia="zh-CN" w:bidi="th-TH"/>
        </w:rPr>
        <w:t xml:space="preserve">results </w:t>
      </w:r>
      <w:r w:rsidR="002A6AB2">
        <w:rPr>
          <w:lang w:eastAsia="zh-CN" w:bidi="th-TH"/>
        </w:rPr>
        <w:t xml:space="preserve">also suggest that </w:t>
      </w:r>
      <w:r w:rsidR="008F3BF0">
        <w:rPr>
          <w:lang w:eastAsia="zh-CN" w:bidi="th-TH"/>
        </w:rPr>
        <w:t xml:space="preserve">the </w:t>
      </w:r>
      <w:r w:rsidR="002A6AB2">
        <w:rPr>
          <w:lang w:eastAsia="zh-CN" w:bidi="th-TH"/>
        </w:rPr>
        <w:t xml:space="preserve">average </w:t>
      </w:r>
      <w:r w:rsidR="008F3BF0">
        <w:rPr>
          <w:lang w:eastAsia="zh-CN" w:bidi="th-TH"/>
        </w:rPr>
        <w:t>fixed care costs i</w:t>
      </w:r>
      <w:r w:rsidR="00E0655A">
        <w:rPr>
          <w:lang w:eastAsia="zh-CN" w:bidi="th-TH"/>
        </w:rPr>
        <w:t xml:space="preserve">n regional facilities </w:t>
      </w:r>
      <w:r w:rsidR="008F3BF0">
        <w:rPr>
          <w:lang w:eastAsia="zh-CN" w:bidi="th-TH"/>
        </w:rPr>
        <w:t>are low</w:t>
      </w:r>
      <w:r>
        <w:rPr>
          <w:lang w:eastAsia="zh-CN" w:bidi="th-TH"/>
        </w:rPr>
        <w:t>er than both metropolitan and remote services</w:t>
      </w:r>
      <w:r w:rsidR="00396DCF">
        <w:rPr>
          <w:lang w:eastAsia="zh-CN" w:bidi="th-TH"/>
        </w:rPr>
        <w:t>. The</w:t>
      </w:r>
      <w:r w:rsidR="00833DAE">
        <w:rPr>
          <w:lang w:eastAsia="zh-CN" w:bidi="th-TH"/>
        </w:rPr>
        <w:t>se</w:t>
      </w:r>
      <w:r w:rsidR="00396DCF">
        <w:rPr>
          <w:lang w:eastAsia="zh-CN" w:bidi="th-TH"/>
        </w:rPr>
        <w:t xml:space="preserve"> </w:t>
      </w:r>
      <w:r w:rsidR="00833DAE">
        <w:rPr>
          <w:lang w:eastAsia="zh-CN" w:bidi="th-TH"/>
        </w:rPr>
        <w:t xml:space="preserve">results should also be considered </w:t>
      </w:r>
      <w:r w:rsidR="00853D00">
        <w:rPr>
          <w:lang w:eastAsia="zh-CN" w:bidi="th-TH"/>
        </w:rPr>
        <w:t xml:space="preserve">with caution </w:t>
      </w:r>
      <w:r w:rsidR="00833DAE">
        <w:rPr>
          <w:lang w:eastAsia="zh-CN" w:bidi="th-TH"/>
        </w:rPr>
        <w:t>as the sample size</w:t>
      </w:r>
      <w:r w:rsidR="00396DCF">
        <w:rPr>
          <w:lang w:eastAsia="zh-CN" w:bidi="th-TH"/>
        </w:rPr>
        <w:t xml:space="preserve"> for each of the </w:t>
      </w:r>
      <w:r w:rsidR="00E64239">
        <w:rPr>
          <w:lang w:eastAsia="zh-CN" w:bidi="th-TH"/>
        </w:rPr>
        <w:t xml:space="preserve">regional MMM </w:t>
      </w:r>
      <w:r w:rsidR="00396DCF">
        <w:rPr>
          <w:lang w:eastAsia="zh-CN" w:bidi="th-TH"/>
        </w:rPr>
        <w:t>classes</w:t>
      </w:r>
      <w:r w:rsidR="00833DAE">
        <w:rPr>
          <w:lang w:eastAsia="zh-CN" w:bidi="th-TH"/>
        </w:rPr>
        <w:t xml:space="preserve"> is</w:t>
      </w:r>
      <w:r w:rsidR="00396DCF">
        <w:rPr>
          <w:lang w:eastAsia="zh-CN" w:bidi="th-TH"/>
        </w:rPr>
        <w:t xml:space="preserve"> small</w:t>
      </w:r>
      <w:r w:rsidR="00954A8C">
        <w:rPr>
          <w:lang w:eastAsia="zh-CN" w:bidi="th-TH"/>
        </w:rPr>
        <w:t xml:space="preserve">. </w:t>
      </w:r>
      <w:r>
        <w:rPr>
          <w:lang w:eastAsia="zh-CN" w:bidi="th-TH"/>
        </w:rPr>
        <w:t xml:space="preserve">This may also be related to the fact that metropolitan facilities have had a greater ability to access </w:t>
      </w:r>
      <w:r>
        <w:rPr>
          <w:lang w:eastAsia="zh-CN" w:bidi="th-TH"/>
        </w:rPr>
        <w:lastRenderedPageBreak/>
        <w:t>Commonwealth funding under the current ACFI system</w:t>
      </w:r>
      <w:r w:rsidR="00954A8C">
        <w:rPr>
          <w:lang w:eastAsia="zh-CN" w:bidi="th-TH"/>
        </w:rPr>
        <w:t>. Further reviews in future may be required to explore</w:t>
      </w:r>
      <w:r>
        <w:rPr>
          <w:lang w:eastAsia="zh-CN" w:bidi="th-TH"/>
        </w:rPr>
        <w:t xml:space="preserve"> </w:t>
      </w:r>
      <w:r w:rsidR="00954A8C">
        <w:rPr>
          <w:lang w:eastAsia="zh-CN" w:bidi="th-TH"/>
        </w:rPr>
        <w:t>this finding</w:t>
      </w:r>
      <w:r>
        <w:rPr>
          <w:lang w:eastAsia="zh-CN" w:bidi="th-TH"/>
        </w:rPr>
        <w:t xml:space="preserve">. </w:t>
      </w:r>
    </w:p>
    <w:p w14:paraId="7E7A131E" w14:textId="3B9DD762" w:rsidR="00E64239" w:rsidRDefault="00E64239" w:rsidP="00D26D1C">
      <w:pPr>
        <w:spacing w:before="240"/>
        <w:rPr>
          <w:lang w:eastAsia="zh-CN" w:bidi="th-TH"/>
        </w:rPr>
      </w:pPr>
      <w:r>
        <w:rPr>
          <w:lang w:eastAsia="zh-CN" w:bidi="th-TH"/>
        </w:rPr>
        <w:t xml:space="preserve">The costs reported for MMM classes 6 and 7 are much higher than the metropolitan and regional areas with total cost RVUs of 2.41 and 3.41 </w:t>
      </w:r>
      <w:r w:rsidR="00954A8C">
        <w:rPr>
          <w:lang w:eastAsia="zh-CN" w:bidi="th-TH"/>
        </w:rPr>
        <w:t xml:space="preserve">respectively, </w:t>
      </w:r>
      <w:r>
        <w:rPr>
          <w:lang w:eastAsia="zh-CN" w:bidi="th-TH"/>
        </w:rPr>
        <w:t xml:space="preserve">and </w:t>
      </w:r>
      <w:r w:rsidR="00833DAE">
        <w:rPr>
          <w:lang w:eastAsia="zh-CN" w:bidi="th-TH"/>
        </w:rPr>
        <w:t xml:space="preserve">fixed care cost RVUs also </w:t>
      </w:r>
      <w:r w:rsidR="001E2910">
        <w:rPr>
          <w:lang w:eastAsia="zh-CN" w:bidi="th-TH"/>
        </w:rPr>
        <w:t xml:space="preserve">substantially </w:t>
      </w:r>
      <w:r w:rsidR="00833DAE">
        <w:rPr>
          <w:lang w:eastAsia="zh-CN" w:bidi="th-TH"/>
        </w:rPr>
        <w:t>higher than those of non-remote facilities.</w:t>
      </w:r>
      <w:r w:rsidR="00661C6A">
        <w:rPr>
          <w:lang w:eastAsia="zh-CN" w:bidi="th-TH"/>
        </w:rPr>
        <w:t xml:space="preserve"> These observed differences between remote and non-remote facilities are statistically significant.</w:t>
      </w:r>
    </w:p>
    <w:p w14:paraId="0E3F9ACF" w14:textId="4265C36D" w:rsidR="00943BA0" w:rsidRDefault="00833DAE" w:rsidP="00BF02CD">
      <w:pPr>
        <w:spacing w:before="240" w:after="200"/>
        <w:rPr>
          <w:lang w:eastAsia="zh-CN" w:bidi="th-TH"/>
        </w:rPr>
      </w:pPr>
      <w:r>
        <w:rPr>
          <w:lang w:eastAsia="zh-CN" w:bidi="th-TH"/>
        </w:rPr>
        <w:t>To t</w:t>
      </w:r>
      <w:r w:rsidR="008F3BF0">
        <w:rPr>
          <w:lang w:eastAsia="zh-CN" w:bidi="th-TH"/>
        </w:rPr>
        <w:t xml:space="preserve">est </w:t>
      </w:r>
      <w:r w:rsidR="00772424">
        <w:rPr>
          <w:lang w:eastAsia="zh-CN" w:bidi="th-TH"/>
        </w:rPr>
        <w:t>whether there are real</w:t>
      </w:r>
      <w:r w:rsidR="008F3BF0">
        <w:rPr>
          <w:lang w:eastAsia="zh-CN" w:bidi="th-TH"/>
        </w:rPr>
        <w:t xml:space="preserve"> </w:t>
      </w:r>
      <w:r w:rsidR="00772424">
        <w:rPr>
          <w:lang w:eastAsia="zh-CN" w:bidi="th-TH"/>
        </w:rPr>
        <w:t>differences in fixed care</w:t>
      </w:r>
      <w:r w:rsidR="008F3BF0">
        <w:rPr>
          <w:lang w:eastAsia="zh-CN" w:bidi="th-TH"/>
        </w:rPr>
        <w:t xml:space="preserve"> cost</w:t>
      </w:r>
      <w:r w:rsidR="00772424">
        <w:rPr>
          <w:lang w:eastAsia="zh-CN" w:bidi="th-TH"/>
        </w:rPr>
        <w:t>s</w:t>
      </w:r>
      <w:r w:rsidR="008F3BF0">
        <w:rPr>
          <w:lang w:eastAsia="zh-CN" w:bidi="th-TH"/>
        </w:rPr>
        <w:t xml:space="preserve"> </w:t>
      </w:r>
      <w:r>
        <w:rPr>
          <w:lang w:eastAsia="zh-CN" w:bidi="th-TH"/>
        </w:rPr>
        <w:t xml:space="preserve">between </w:t>
      </w:r>
      <w:r w:rsidR="002A7972">
        <w:rPr>
          <w:lang w:eastAsia="zh-CN" w:bidi="th-TH"/>
        </w:rPr>
        <w:t xml:space="preserve">the </w:t>
      </w:r>
      <w:r w:rsidR="00772424">
        <w:rPr>
          <w:lang w:eastAsia="zh-CN" w:bidi="th-TH"/>
        </w:rPr>
        <w:t xml:space="preserve">facilities in regional locations (MMM 2-5), </w:t>
      </w:r>
      <w:r w:rsidR="003A2563">
        <w:rPr>
          <w:lang w:eastAsia="zh-CN" w:bidi="th-TH"/>
        </w:rPr>
        <w:t xml:space="preserve">the </w:t>
      </w:r>
      <w:r w:rsidR="00954A8C">
        <w:rPr>
          <w:lang w:eastAsia="zh-CN" w:bidi="th-TH"/>
        </w:rPr>
        <w:t>geographic location classes</w:t>
      </w:r>
      <w:r w:rsidR="00772424">
        <w:rPr>
          <w:lang w:eastAsia="zh-CN" w:bidi="th-TH"/>
        </w:rPr>
        <w:t xml:space="preserve"> have been combined into three groups in </w:t>
      </w:r>
      <w:r w:rsidR="00772424">
        <w:rPr>
          <w:lang w:eastAsia="zh-CN" w:bidi="th-TH"/>
        </w:rPr>
        <w:fldChar w:fldCharType="begin"/>
      </w:r>
      <w:r w:rsidR="00772424">
        <w:rPr>
          <w:lang w:eastAsia="zh-CN" w:bidi="th-TH"/>
        </w:rPr>
        <w:instrText xml:space="preserve"> REF _Ref528767437 \h </w:instrText>
      </w:r>
      <w:r w:rsidR="00772424">
        <w:rPr>
          <w:lang w:eastAsia="zh-CN" w:bidi="th-TH"/>
        </w:rPr>
      </w:r>
      <w:r w:rsidR="00772424">
        <w:rPr>
          <w:lang w:eastAsia="zh-CN" w:bidi="th-TH"/>
        </w:rPr>
        <w:fldChar w:fldCharType="separate"/>
      </w:r>
      <w:r w:rsidR="00043266">
        <w:t xml:space="preserve">Table </w:t>
      </w:r>
      <w:r w:rsidR="00043266">
        <w:rPr>
          <w:noProof/>
        </w:rPr>
        <w:t>5</w:t>
      </w:r>
      <w:r w:rsidR="00772424">
        <w:rPr>
          <w:lang w:eastAsia="zh-CN" w:bidi="th-TH"/>
        </w:rPr>
        <w:fldChar w:fldCharType="end"/>
      </w:r>
      <w:r w:rsidR="00772424">
        <w:rPr>
          <w:lang w:eastAsia="zh-CN" w:bidi="th-TH"/>
        </w:rPr>
        <w:t xml:space="preserve"> below. The m</w:t>
      </w:r>
      <w:r>
        <w:rPr>
          <w:lang w:eastAsia="zh-CN" w:bidi="th-TH"/>
        </w:rPr>
        <w:t>etropolitan</w:t>
      </w:r>
      <w:r w:rsidR="00772424">
        <w:rPr>
          <w:lang w:eastAsia="zh-CN" w:bidi="th-TH"/>
        </w:rPr>
        <w:t xml:space="preserve"> group includes MMM class 1 only</w:t>
      </w:r>
      <w:r>
        <w:rPr>
          <w:lang w:eastAsia="zh-CN" w:bidi="th-TH"/>
        </w:rPr>
        <w:t xml:space="preserve">, </w:t>
      </w:r>
      <w:r w:rsidR="00772424">
        <w:rPr>
          <w:lang w:eastAsia="zh-CN" w:bidi="th-TH"/>
        </w:rPr>
        <w:t xml:space="preserve">the </w:t>
      </w:r>
      <w:r>
        <w:rPr>
          <w:lang w:eastAsia="zh-CN" w:bidi="th-TH"/>
        </w:rPr>
        <w:t xml:space="preserve">regional </w:t>
      </w:r>
      <w:r w:rsidR="00772424">
        <w:rPr>
          <w:lang w:eastAsia="zh-CN" w:bidi="th-TH"/>
        </w:rPr>
        <w:t xml:space="preserve">group </w:t>
      </w:r>
      <w:r w:rsidR="00E07F7E">
        <w:rPr>
          <w:lang w:eastAsia="zh-CN" w:bidi="th-TH"/>
        </w:rPr>
        <w:t>combines</w:t>
      </w:r>
      <w:r w:rsidR="00772424">
        <w:rPr>
          <w:lang w:eastAsia="zh-CN" w:bidi="th-TH"/>
        </w:rPr>
        <w:t xml:space="preserve"> MMM classes 2-5, </w:t>
      </w:r>
      <w:r>
        <w:rPr>
          <w:lang w:eastAsia="zh-CN" w:bidi="th-TH"/>
        </w:rPr>
        <w:t xml:space="preserve">and </w:t>
      </w:r>
      <w:r w:rsidR="00772424">
        <w:rPr>
          <w:lang w:eastAsia="zh-CN" w:bidi="th-TH"/>
        </w:rPr>
        <w:t xml:space="preserve">the </w:t>
      </w:r>
      <w:r w:rsidR="003A2563">
        <w:rPr>
          <w:lang w:eastAsia="zh-CN" w:bidi="th-TH"/>
        </w:rPr>
        <w:t>remote</w:t>
      </w:r>
      <w:r w:rsidR="00E07F7E">
        <w:rPr>
          <w:lang w:eastAsia="zh-CN" w:bidi="th-TH"/>
        </w:rPr>
        <w:t xml:space="preserve"> group combines</w:t>
      </w:r>
      <w:r w:rsidR="003A2563">
        <w:rPr>
          <w:lang w:eastAsia="zh-CN" w:bidi="th-TH"/>
        </w:rPr>
        <w:t xml:space="preserve"> </w:t>
      </w:r>
      <w:r w:rsidR="00772424">
        <w:rPr>
          <w:lang w:eastAsia="zh-CN" w:bidi="th-TH"/>
        </w:rPr>
        <w:t>MMM Class 6</w:t>
      </w:r>
      <w:r w:rsidR="00E07F7E">
        <w:rPr>
          <w:lang w:eastAsia="zh-CN" w:bidi="th-TH"/>
        </w:rPr>
        <w:t xml:space="preserve"> and </w:t>
      </w:r>
      <w:r w:rsidR="00772424">
        <w:rPr>
          <w:lang w:eastAsia="zh-CN" w:bidi="th-TH"/>
        </w:rPr>
        <w:t>7</w:t>
      </w:r>
      <w:r w:rsidR="003A2563">
        <w:rPr>
          <w:lang w:eastAsia="zh-CN" w:bidi="th-TH"/>
        </w:rPr>
        <w:t xml:space="preserve">. </w:t>
      </w:r>
      <w:r w:rsidR="00E07F7E">
        <w:rPr>
          <w:lang w:eastAsia="zh-CN" w:bidi="th-TH"/>
        </w:rPr>
        <w:t>In this table t</w:t>
      </w:r>
      <w:r w:rsidR="00D26D1C">
        <w:rPr>
          <w:lang w:eastAsia="zh-CN" w:bidi="th-TH"/>
        </w:rPr>
        <w:t>he CVs</w:t>
      </w:r>
      <w:r w:rsidR="00E07F7E">
        <w:rPr>
          <w:lang w:eastAsia="zh-CN" w:bidi="th-TH"/>
        </w:rPr>
        <w:t xml:space="preserve"> </w:t>
      </w:r>
      <w:r w:rsidR="002A7972">
        <w:rPr>
          <w:lang w:eastAsia="zh-CN" w:bidi="th-TH"/>
        </w:rPr>
        <w:t>are</w:t>
      </w:r>
      <w:r w:rsidR="00E07F7E">
        <w:rPr>
          <w:lang w:eastAsia="zh-CN" w:bidi="th-TH"/>
        </w:rPr>
        <w:t xml:space="preserve"> low, particularly for the metropolitan and regional groups, suggesting that the aggregation of MMM classes </w:t>
      </w:r>
      <w:r w:rsidR="002A7972">
        <w:rPr>
          <w:lang w:eastAsia="zh-CN" w:bidi="th-TH"/>
        </w:rPr>
        <w:t>is appropriate for the analysis of fixed care costs. The greatest level of variabilit</w:t>
      </w:r>
      <w:r w:rsidR="00E725F1">
        <w:rPr>
          <w:lang w:eastAsia="zh-CN" w:bidi="th-TH"/>
        </w:rPr>
        <w:t xml:space="preserve">y </w:t>
      </w:r>
      <w:r w:rsidR="002A7972">
        <w:rPr>
          <w:lang w:eastAsia="zh-CN" w:bidi="th-TH"/>
        </w:rPr>
        <w:t xml:space="preserve">remains within </w:t>
      </w:r>
      <w:r w:rsidR="002E73F3">
        <w:rPr>
          <w:lang w:eastAsia="zh-CN" w:bidi="th-TH"/>
        </w:rPr>
        <w:t>the group of remote facilities.</w:t>
      </w:r>
    </w:p>
    <w:p w14:paraId="09C531C2" w14:textId="41625427" w:rsidR="00152CD0" w:rsidRDefault="00E818B4" w:rsidP="00152CD0">
      <w:pPr>
        <w:pStyle w:val="Caption"/>
        <w:keepNext/>
        <w:rPr>
          <w:lang w:eastAsia="zh-CN" w:bidi="th-TH"/>
        </w:rPr>
      </w:pPr>
      <w:bookmarkStart w:id="69" w:name="_Ref528767437"/>
      <w:bookmarkStart w:id="70" w:name="_Toc866586"/>
      <w:r>
        <w:t>Table</w:t>
      </w:r>
      <w:r w:rsidR="00114678">
        <w:t xml:space="preserve"> </w:t>
      </w:r>
      <w:r w:rsidR="0098668B">
        <w:rPr>
          <w:noProof/>
        </w:rPr>
        <w:fldChar w:fldCharType="begin"/>
      </w:r>
      <w:r w:rsidR="0098668B">
        <w:rPr>
          <w:noProof/>
        </w:rPr>
        <w:instrText xml:space="preserve"> SEQ Table \* ARABIC </w:instrText>
      </w:r>
      <w:r w:rsidR="0098668B">
        <w:rPr>
          <w:noProof/>
        </w:rPr>
        <w:fldChar w:fldCharType="separate"/>
      </w:r>
      <w:r w:rsidR="00043266">
        <w:rPr>
          <w:noProof/>
        </w:rPr>
        <w:t>5</w:t>
      </w:r>
      <w:r w:rsidR="0098668B">
        <w:rPr>
          <w:noProof/>
        </w:rPr>
        <w:fldChar w:fldCharType="end"/>
      </w:r>
      <w:bookmarkEnd w:id="69"/>
      <w:r w:rsidR="00AA7ACA">
        <w:rPr>
          <w:noProof/>
        </w:rPr>
        <w:t xml:space="preserve"> </w:t>
      </w:r>
      <w:r w:rsidR="00114678">
        <w:tab/>
        <w:t>Cost</w:t>
      </w:r>
      <w:r w:rsidR="000B274E">
        <w:t xml:space="preserve"> results</w:t>
      </w:r>
      <w:r w:rsidR="00114678">
        <w:t xml:space="preserve"> by </w:t>
      </w:r>
      <w:r w:rsidR="000B274E">
        <w:t xml:space="preserve">aggregated </w:t>
      </w:r>
      <w:r w:rsidR="001E2910">
        <w:rPr>
          <w:lang w:eastAsia="zh-CN" w:bidi="th-TH"/>
        </w:rPr>
        <w:t>facility location</w:t>
      </w:r>
      <w:bookmarkEnd w:id="70"/>
    </w:p>
    <w:p w14:paraId="1E646522" w14:textId="198B1788" w:rsidR="002A7972" w:rsidRPr="004F2BE2" w:rsidRDefault="002B66E0" w:rsidP="00944E0E">
      <w:pPr>
        <w:rPr>
          <w:lang w:eastAsia="zh-CN" w:bidi="th-TH"/>
        </w:rPr>
      </w:pPr>
      <w:r>
        <w:rPr>
          <w:noProof/>
        </w:rPr>
        <w:drawing>
          <wp:inline distT="0" distB="0" distL="0" distR="0" wp14:anchorId="3C2D4288" wp14:editId="0624DFDB">
            <wp:extent cx="5939790" cy="1286510"/>
            <wp:effectExtent l="0" t="0" r="3810" b="8890"/>
            <wp:docPr id="11" name="Picture 11" descr="In this picture geographic location calsses have been combined into three groups. The metropolitan group includes MMM class 1 only, the regional group combines MMM classes 2-5, and the remote group combines MMM Class 6 and 7. In this picture CVs are low, particularly for the metropolitan and regional groups, suggesting that the aggregation of MMM classes is appropriate for the analysis of fixed care costs. The greatest level of variability remains within the group of remote facilities." title="Table 5 Cost results by aggregated facilit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39790" cy="1286510"/>
                    </a:xfrm>
                    <a:prstGeom prst="rect">
                      <a:avLst/>
                    </a:prstGeom>
                  </pic:spPr>
                </pic:pic>
              </a:graphicData>
            </a:graphic>
          </wp:inline>
        </w:drawing>
      </w:r>
    </w:p>
    <w:p w14:paraId="6647005F" w14:textId="0BE75E86" w:rsidR="00944E0E" w:rsidRPr="004F2BE2" w:rsidRDefault="0027557F" w:rsidP="008816FF">
      <w:pPr>
        <w:pStyle w:val="Heading3"/>
      </w:pPr>
      <w:r>
        <w:t>Facility specialisation</w:t>
      </w:r>
    </w:p>
    <w:p w14:paraId="79179D31" w14:textId="4253FE51" w:rsidR="00864FE6" w:rsidRDefault="009E043B" w:rsidP="00944E0E">
      <w:pPr>
        <w:spacing w:before="240"/>
        <w:rPr>
          <w:lang w:eastAsia="zh-CN" w:bidi="th-TH"/>
        </w:rPr>
      </w:pPr>
      <w:r>
        <w:rPr>
          <w:lang w:eastAsia="zh-CN" w:bidi="th-TH"/>
        </w:rPr>
        <w:t xml:space="preserve">In </w:t>
      </w:r>
      <w:r>
        <w:rPr>
          <w:lang w:eastAsia="zh-CN" w:bidi="th-TH"/>
        </w:rPr>
        <w:fldChar w:fldCharType="begin"/>
      </w:r>
      <w:r>
        <w:rPr>
          <w:lang w:eastAsia="zh-CN" w:bidi="th-TH"/>
        </w:rPr>
        <w:instrText xml:space="preserve"> REF _Ref528768927 \h </w:instrText>
      </w:r>
      <w:r>
        <w:rPr>
          <w:lang w:eastAsia="zh-CN" w:bidi="th-TH"/>
        </w:rPr>
      </w:r>
      <w:r>
        <w:rPr>
          <w:lang w:eastAsia="zh-CN" w:bidi="th-TH"/>
        </w:rPr>
        <w:fldChar w:fldCharType="separate"/>
      </w:r>
      <w:r w:rsidR="00043266">
        <w:t xml:space="preserve">Table </w:t>
      </w:r>
      <w:r w:rsidR="00043266">
        <w:rPr>
          <w:noProof/>
        </w:rPr>
        <w:t>6</w:t>
      </w:r>
      <w:r>
        <w:rPr>
          <w:lang w:eastAsia="zh-CN" w:bidi="th-TH"/>
        </w:rPr>
        <w:fldChar w:fldCharType="end"/>
      </w:r>
      <w:r w:rsidR="00FF0E00">
        <w:rPr>
          <w:lang w:eastAsia="zh-CN" w:bidi="th-TH"/>
        </w:rPr>
        <w:t xml:space="preserve"> the results of the review of costs for areas of facility specialisation are presented. </w:t>
      </w:r>
      <w:r w:rsidR="00905F52">
        <w:rPr>
          <w:lang w:eastAsia="zh-CN" w:bidi="th-TH"/>
        </w:rPr>
        <w:t>A</w:t>
      </w:r>
      <w:r w:rsidR="00ED10CC">
        <w:rPr>
          <w:lang w:eastAsia="zh-CN" w:bidi="th-TH"/>
        </w:rPr>
        <w:t>reas of specialisation were identified by the facility within the data collection tem</w:t>
      </w:r>
      <w:r w:rsidR="00905F52">
        <w:rPr>
          <w:lang w:eastAsia="zh-CN" w:bidi="th-TH"/>
        </w:rPr>
        <w:t>plate and this was validated based on</w:t>
      </w:r>
      <w:r w:rsidR="00ED10CC">
        <w:rPr>
          <w:lang w:eastAsia="zh-CN" w:bidi="th-TH"/>
        </w:rPr>
        <w:t xml:space="preserve"> </w:t>
      </w:r>
      <w:r w:rsidR="00905F52">
        <w:rPr>
          <w:lang w:eastAsia="zh-CN" w:bidi="th-TH"/>
        </w:rPr>
        <w:t xml:space="preserve">a review of </w:t>
      </w:r>
      <w:r w:rsidR="00ED10CC">
        <w:rPr>
          <w:lang w:eastAsia="zh-CN" w:bidi="th-TH"/>
        </w:rPr>
        <w:t>the facility</w:t>
      </w:r>
      <w:r w:rsidR="00905F52">
        <w:rPr>
          <w:lang w:eastAsia="zh-CN" w:bidi="th-TH"/>
        </w:rPr>
        <w:t>’s</w:t>
      </w:r>
      <w:r w:rsidR="00ED10CC">
        <w:rPr>
          <w:lang w:eastAsia="zh-CN" w:bidi="th-TH"/>
        </w:rPr>
        <w:t xml:space="preserve"> website. </w:t>
      </w:r>
      <w:r w:rsidR="002A2D70">
        <w:rPr>
          <w:lang w:eastAsia="zh-CN" w:bidi="th-TH"/>
        </w:rPr>
        <w:t xml:space="preserve">Facilities were only considered to be providers of specialised care where their description of care services on their </w:t>
      </w:r>
      <w:r w:rsidR="00ED10CC">
        <w:rPr>
          <w:lang w:eastAsia="zh-CN" w:bidi="th-TH"/>
        </w:rPr>
        <w:t xml:space="preserve">website </w:t>
      </w:r>
      <w:r w:rsidR="002A2D70">
        <w:rPr>
          <w:lang w:eastAsia="zh-CN" w:bidi="th-TH"/>
        </w:rPr>
        <w:t xml:space="preserve">contained </w:t>
      </w:r>
      <w:r w:rsidR="00ED10CC">
        <w:rPr>
          <w:lang w:eastAsia="zh-CN" w:bidi="th-TH"/>
        </w:rPr>
        <w:t xml:space="preserve">evidence of how services are tailored to the specific needs of their target resident populations. </w:t>
      </w:r>
      <w:r w:rsidR="00905F52">
        <w:rPr>
          <w:lang w:eastAsia="zh-CN" w:bidi="th-TH"/>
        </w:rPr>
        <w:t xml:space="preserve">The cost RVUs for each area of specialisation are presented </w:t>
      </w:r>
      <w:r w:rsidR="002A2D70">
        <w:rPr>
          <w:lang w:eastAsia="zh-CN" w:bidi="th-TH"/>
        </w:rPr>
        <w:t xml:space="preserve">alongside </w:t>
      </w:r>
      <w:r w:rsidR="00905F52">
        <w:rPr>
          <w:lang w:eastAsia="zh-CN" w:bidi="th-TH"/>
        </w:rPr>
        <w:t xml:space="preserve">the results for facilities that </w:t>
      </w:r>
      <w:r w:rsidR="00CE6E7B">
        <w:rPr>
          <w:lang w:eastAsia="zh-CN" w:bidi="th-TH"/>
        </w:rPr>
        <w:t>d</w:t>
      </w:r>
      <w:r w:rsidR="002A2D70">
        <w:rPr>
          <w:lang w:eastAsia="zh-CN" w:bidi="th-TH"/>
        </w:rPr>
        <w:t>o</w:t>
      </w:r>
      <w:r w:rsidR="00CE6E7B">
        <w:rPr>
          <w:lang w:eastAsia="zh-CN" w:bidi="th-TH"/>
        </w:rPr>
        <w:t xml:space="preserve"> not provide th</w:t>
      </w:r>
      <w:r w:rsidR="002A2D70">
        <w:rPr>
          <w:lang w:eastAsia="zh-CN" w:bidi="th-TH"/>
        </w:rPr>
        <w:t>e</w:t>
      </w:r>
      <w:r w:rsidR="00CE6E7B">
        <w:rPr>
          <w:lang w:eastAsia="zh-CN" w:bidi="th-TH"/>
        </w:rPr>
        <w:t xml:space="preserve"> specialised service</w:t>
      </w:r>
      <w:r w:rsidR="002A2D70">
        <w:rPr>
          <w:lang w:eastAsia="zh-CN" w:bidi="th-TH"/>
        </w:rPr>
        <w:t xml:space="preserve"> in each case.</w:t>
      </w:r>
    </w:p>
    <w:p w14:paraId="477C1BAE" w14:textId="35FDCCC0" w:rsidR="005976DC" w:rsidRDefault="00E818B4" w:rsidP="00BF02CD">
      <w:pPr>
        <w:pStyle w:val="Caption"/>
        <w:keepNext/>
        <w:spacing w:after="240"/>
      </w:pPr>
      <w:bookmarkStart w:id="71" w:name="_Ref528768927"/>
      <w:bookmarkStart w:id="72" w:name="_Toc866587"/>
      <w:r>
        <w:lastRenderedPageBreak/>
        <w:t>Table</w:t>
      </w:r>
      <w:r w:rsidR="009E043B">
        <w:t xml:space="preserve"> </w:t>
      </w:r>
      <w:r w:rsidR="0098668B">
        <w:rPr>
          <w:noProof/>
        </w:rPr>
        <w:fldChar w:fldCharType="begin"/>
      </w:r>
      <w:r w:rsidR="0098668B">
        <w:rPr>
          <w:noProof/>
        </w:rPr>
        <w:instrText xml:space="preserve"> SEQ Table \* ARABIC </w:instrText>
      </w:r>
      <w:r w:rsidR="0098668B">
        <w:rPr>
          <w:noProof/>
        </w:rPr>
        <w:fldChar w:fldCharType="separate"/>
      </w:r>
      <w:r w:rsidR="00043266">
        <w:rPr>
          <w:noProof/>
        </w:rPr>
        <w:t>6</w:t>
      </w:r>
      <w:r w:rsidR="0098668B">
        <w:rPr>
          <w:noProof/>
        </w:rPr>
        <w:fldChar w:fldCharType="end"/>
      </w:r>
      <w:bookmarkEnd w:id="71"/>
      <w:r w:rsidR="00AA7ACA">
        <w:rPr>
          <w:noProof/>
        </w:rPr>
        <w:t xml:space="preserve"> </w:t>
      </w:r>
      <w:r w:rsidR="009E043B">
        <w:tab/>
        <w:t>Cost</w:t>
      </w:r>
      <w:r w:rsidR="00150EF0">
        <w:t xml:space="preserve"> results</w:t>
      </w:r>
      <w:r w:rsidR="009E043B">
        <w:t xml:space="preserve"> by type of facility specialisation</w:t>
      </w:r>
      <w:bookmarkEnd w:id="72"/>
    </w:p>
    <w:p w14:paraId="64A4AB7A" w14:textId="79324BCD" w:rsidR="00876744" w:rsidRDefault="002E73F3" w:rsidP="00876744">
      <w:r>
        <w:rPr>
          <w:noProof/>
        </w:rPr>
        <w:drawing>
          <wp:inline distT="0" distB="0" distL="0" distR="0" wp14:anchorId="1992F68E" wp14:editId="5D2F9432">
            <wp:extent cx="5939790" cy="2653030"/>
            <wp:effectExtent l="0" t="0" r="3810" b="0"/>
            <wp:docPr id="12" name="Picture 12" descr="This picture presents the review of costs for areas of facility specialisation including palliative care, disability, indigenous care, homelessness, dementia. Specialisation in palliative care or dementia was not found to be associated with increased fixed care costs. Significantly higher costs were found for facilities with specialisations in indigenous care (although these services also tend to be small and remote), and homelessness services." title="Table 6 Cost results by type of facility speci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9790" cy="2653030"/>
                    </a:xfrm>
                    <a:prstGeom prst="rect">
                      <a:avLst/>
                    </a:prstGeom>
                  </pic:spPr>
                </pic:pic>
              </a:graphicData>
            </a:graphic>
          </wp:inline>
        </w:drawing>
      </w:r>
    </w:p>
    <w:p w14:paraId="64B17303" w14:textId="35C6738A" w:rsidR="00373B9B" w:rsidRDefault="00853D00" w:rsidP="00864FE6">
      <w:pPr>
        <w:spacing w:before="240"/>
        <w:rPr>
          <w:lang w:eastAsia="zh-CN" w:bidi="th-TH"/>
        </w:rPr>
      </w:pPr>
      <w:r>
        <w:rPr>
          <w:lang w:eastAsia="zh-CN" w:bidi="th-TH"/>
        </w:rPr>
        <w:t>S</w:t>
      </w:r>
      <w:r w:rsidR="00864FE6">
        <w:rPr>
          <w:lang w:eastAsia="zh-CN" w:bidi="th-TH"/>
        </w:rPr>
        <w:t>pe</w:t>
      </w:r>
      <w:r w:rsidR="004C7B49">
        <w:rPr>
          <w:lang w:eastAsia="zh-CN" w:bidi="th-TH"/>
        </w:rPr>
        <w:t>cialisation</w:t>
      </w:r>
      <w:r w:rsidR="00864FE6">
        <w:rPr>
          <w:lang w:eastAsia="zh-CN" w:bidi="th-TH"/>
        </w:rPr>
        <w:t xml:space="preserve"> </w:t>
      </w:r>
      <w:r w:rsidR="004C7B49">
        <w:rPr>
          <w:lang w:eastAsia="zh-CN" w:bidi="th-TH"/>
        </w:rPr>
        <w:t>in palliative care or</w:t>
      </w:r>
      <w:r w:rsidR="00864FE6">
        <w:rPr>
          <w:lang w:eastAsia="zh-CN" w:bidi="th-TH"/>
        </w:rPr>
        <w:t xml:space="preserve"> dementia </w:t>
      </w:r>
      <w:r w:rsidR="004C7B49">
        <w:rPr>
          <w:lang w:eastAsia="zh-CN" w:bidi="th-TH"/>
        </w:rPr>
        <w:t>was</w:t>
      </w:r>
      <w:r w:rsidR="00864FE6">
        <w:rPr>
          <w:lang w:eastAsia="zh-CN" w:bidi="th-TH"/>
        </w:rPr>
        <w:t xml:space="preserve"> not found to </w:t>
      </w:r>
      <w:r>
        <w:rPr>
          <w:lang w:eastAsia="zh-CN" w:bidi="th-TH"/>
        </w:rPr>
        <w:t xml:space="preserve">be </w:t>
      </w:r>
      <w:r w:rsidR="00864FE6">
        <w:rPr>
          <w:lang w:eastAsia="zh-CN" w:bidi="th-TH"/>
        </w:rPr>
        <w:t>associated with increased fixed care cost</w:t>
      </w:r>
      <w:r>
        <w:rPr>
          <w:lang w:eastAsia="zh-CN" w:bidi="th-TH"/>
        </w:rPr>
        <w:t>s</w:t>
      </w:r>
      <w:r w:rsidR="00864FE6">
        <w:rPr>
          <w:lang w:eastAsia="zh-CN" w:bidi="th-TH"/>
        </w:rPr>
        <w:t xml:space="preserve">. </w:t>
      </w:r>
      <w:r>
        <w:rPr>
          <w:lang w:eastAsia="zh-CN" w:bidi="th-TH"/>
        </w:rPr>
        <w:t xml:space="preserve">Instead, the </w:t>
      </w:r>
      <w:r w:rsidR="00864FE6">
        <w:rPr>
          <w:lang w:eastAsia="zh-CN" w:bidi="th-TH"/>
        </w:rPr>
        <w:t xml:space="preserve">costs for these services </w:t>
      </w:r>
      <w:r>
        <w:rPr>
          <w:lang w:eastAsia="zh-CN" w:bidi="th-TH"/>
        </w:rPr>
        <w:t>are associated with t</w:t>
      </w:r>
      <w:r w:rsidR="00864FE6">
        <w:rPr>
          <w:lang w:eastAsia="zh-CN" w:bidi="th-TH"/>
        </w:rPr>
        <w:t>he individual care needs of residents and capture</w:t>
      </w:r>
      <w:r w:rsidR="002E73F3">
        <w:rPr>
          <w:lang w:eastAsia="zh-CN" w:bidi="th-TH"/>
        </w:rPr>
        <w:t>d by the AN-ACC classification.</w:t>
      </w:r>
    </w:p>
    <w:p w14:paraId="0546E2B7" w14:textId="79E8CACE" w:rsidR="00864FE6" w:rsidRDefault="002A2D70" w:rsidP="00864FE6">
      <w:pPr>
        <w:spacing w:before="240"/>
        <w:rPr>
          <w:lang w:eastAsia="zh-CN" w:bidi="th-TH"/>
        </w:rPr>
      </w:pPr>
      <w:r>
        <w:rPr>
          <w:lang w:eastAsia="zh-CN" w:bidi="th-TH"/>
        </w:rPr>
        <w:t>The costs for facilities that provided specialised service</w:t>
      </w:r>
      <w:r w:rsidR="00373B9B">
        <w:rPr>
          <w:lang w:eastAsia="zh-CN" w:bidi="th-TH"/>
        </w:rPr>
        <w:t>s for those with backgrounds of financial disadvantage were also reviewed. Although the costs were reported as higher, the facilities in this group were substantially the same facilities as those providing specialised services for homeless and indigenous people. It was therefore considered not to be a distinct area of specialisation and removed.</w:t>
      </w:r>
    </w:p>
    <w:p w14:paraId="5B6E6F7B" w14:textId="74C68971" w:rsidR="004C7B49" w:rsidRDefault="00373B9B" w:rsidP="002B6FC5">
      <w:pPr>
        <w:spacing w:before="240"/>
        <w:rPr>
          <w:lang w:eastAsia="zh-CN" w:bidi="th-TH"/>
        </w:rPr>
      </w:pPr>
      <w:r>
        <w:rPr>
          <w:lang w:eastAsia="zh-CN" w:bidi="th-TH"/>
        </w:rPr>
        <w:t>S</w:t>
      </w:r>
      <w:r w:rsidR="00853D00">
        <w:rPr>
          <w:lang w:eastAsia="zh-CN" w:bidi="th-TH"/>
        </w:rPr>
        <w:t xml:space="preserve">ignificantly </w:t>
      </w:r>
      <w:r w:rsidR="00CE6E7B">
        <w:rPr>
          <w:lang w:eastAsia="zh-CN" w:bidi="th-TH"/>
        </w:rPr>
        <w:t xml:space="preserve">higher costs </w:t>
      </w:r>
      <w:r w:rsidR="00853D00">
        <w:rPr>
          <w:lang w:eastAsia="zh-CN" w:bidi="th-TH"/>
        </w:rPr>
        <w:t xml:space="preserve">were found for </w:t>
      </w:r>
      <w:r w:rsidR="00CE6E7B">
        <w:rPr>
          <w:lang w:eastAsia="zh-CN" w:bidi="th-TH"/>
        </w:rPr>
        <w:t>facilities</w:t>
      </w:r>
      <w:r>
        <w:rPr>
          <w:lang w:eastAsia="zh-CN" w:bidi="th-TH"/>
        </w:rPr>
        <w:t xml:space="preserve"> </w:t>
      </w:r>
      <w:r w:rsidR="00CE6E7B">
        <w:rPr>
          <w:lang w:eastAsia="zh-CN" w:bidi="th-TH"/>
        </w:rPr>
        <w:t xml:space="preserve">with </w:t>
      </w:r>
      <w:r w:rsidR="004C7B49">
        <w:rPr>
          <w:lang w:eastAsia="zh-CN" w:bidi="th-TH"/>
        </w:rPr>
        <w:t>specialisation</w:t>
      </w:r>
      <w:r w:rsidR="00853D00">
        <w:rPr>
          <w:lang w:eastAsia="zh-CN" w:bidi="th-TH"/>
        </w:rPr>
        <w:t>s</w:t>
      </w:r>
      <w:r w:rsidR="00F60D76">
        <w:rPr>
          <w:lang w:eastAsia="zh-CN" w:bidi="th-TH"/>
        </w:rPr>
        <w:t xml:space="preserve"> in</w:t>
      </w:r>
      <w:r w:rsidR="002B6FC5">
        <w:rPr>
          <w:lang w:eastAsia="zh-CN" w:bidi="th-TH"/>
        </w:rPr>
        <w:t xml:space="preserve"> i</w:t>
      </w:r>
      <w:r w:rsidR="00A955BA">
        <w:rPr>
          <w:lang w:eastAsia="zh-CN" w:bidi="th-TH"/>
        </w:rPr>
        <w:t xml:space="preserve">ndigenous </w:t>
      </w:r>
      <w:r w:rsidR="004C7B49">
        <w:rPr>
          <w:lang w:eastAsia="zh-CN" w:bidi="th-TH"/>
        </w:rPr>
        <w:t xml:space="preserve">care </w:t>
      </w:r>
      <w:r w:rsidR="00A955BA">
        <w:rPr>
          <w:lang w:eastAsia="zh-CN" w:bidi="th-TH"/>
        </w:rPr>
        <w:t>(although these services also tend to be small and remote)</w:t>
      </w:r>
      <w:r w:rsidR="002B6FC5">
        <w:rPr>
          <w:lang w:eastAsia="zh-CN" w:bidi="th-TH"/>
        </w:rPr>
        <w:t>, and h</w:t>
      </w:r>
      <w:r w:rsidR="00A955BA">
        <w:rPr>
          <w:lang w:eastAsia="zh-CN" w:bidi="th-TH"/>
        </w:rPr>
        <w:t>omelessness services</w:t>
      </w:r>
      <w:r w:rsidR="002B6FC5">
        <w:rPr>
          <w:lang w:eastAsia="zh-CN" w:bidi="th-TH"/>
        </w:rPr>
        <w:t>.</w:t>
      </w:r>
    </w:p>
    <w:p w14:paraId="6304A217" w14:textId="3D77E98D" w:rsidR="00F157FB" w:rsidRDefault="000F242B" w:rsidP="008816FF">
      <w:pPr>
        <w:pStyle w:val="Heading2"/>
        <w:rPr>
          <w:lang w:eastAsia="zh-CN" w:bidi="th-TH"/>
        </w:rPr>
      </w:pPr>
      <w:bookmarkStart w:id="73" w:name="_Toc952744"/>
      <w:r>
        <w:rPr>
          <w:lang w:eastAsia="zh-CN" w:bidi="th-TH"/>
        </w:rPr>
        <w:t>The effect of s</w:t>
      </w:r>
      <w:r w:rsidR="00F157FB">
        <w:rPr>
          <w:lang w:eastAsia="zh-CN" w:bidi="th-TH"/>
        </w:rPr>
        <w:t xml:space="preserve">easonality </w:t>
      </w:r>
      <w:r>
        <w:rPr>
          <w:lang w:eastAsia="zh-CN" w:bidi="th-TH"/>
        </w:rPr>
        <w:t>on</w:t>
      </w:r>
      <w:r w:rsidR="00F157FB">
        <w:rPr>
          <w:lang w:eastAsia="zh-CN" w:bidi="th-TH"/>
        </w:rPr>
        <w:t xml:space="preserve"> cost</w:t>
      </w:r>
      <w:bookmarkEnd w:id="73"/>
    </w:p>
    <w:p w14:paraId="3DC10BA9" w14:textId="7FE18D2C" w:rsidR="00853D00" w:rsidRDefault="00F157FB" w:rsidP="00853D00">
      <w:pPr>
        <w:pStyle w:val="Normal-nospacing"/>
      </w:pPr>
      <w:r>
        <w:t>The issue of seasonality was also tested in this data set. This was done for two main reasons</w:t>
      </w:r>
      <w:r w:rsidR="00853D00">
        <w:t>. T</w:t>
      </w:r>
      <w:r>
        <w:t>he first was to understand whether, for different parts of the country</w:t>
      </w:r>
      <w:r w:rsidR="00853D00">
        <w:t>,</w:t>
      </w:r>
      <w:r>
        <w:t xml:space="preserve"> there was a seasonal affect that should be considered in a funding model</w:t>
      </w:r>
      <w:r w:rsidR="00853D00">
        <w:t>. T</w:t>
      </w:r>
      <w:r>
        <w:t>he second was to ascertain whether the single month of data collection in each of the Study One facilities could have been impacted by seasonal affects that would require adjustment</w:t>
      </w:r>
      <w:r w:rsidR="000E5AF4">
        <w:t xml:space="preserve">. This was </w:t>
      </w:r>
      <w:r>
        <w:t xml:space="preserve">informed by the </w:t>
      </w:r>
      <w:r w:rsidR="002E73F3">
        <w:t>18 months of data in Study Two.</w:t>
      </w:r>
    </w:p>
    <w:p w14:paraId="43CB2A8A" w14:textId="266F671E" w:rsidR="00F157FB" w:rsidRDefault="00F157FB" w:rsidP="00853D00">
      <w:pPr>
        <w:pStyle w:val="Normal-nospacing"/>
      </w:pPr>
      <w:r>
        <w:t>Only 16 facilities were able to provide monthly financial data for this analysis. While there is some monthly variation across the year</w:t>
      </w:r>
      <w:r w:rsidR="00853D00">
        <w:t>,</w:t>
      </w:r>
      <w:r>
        <w:t xml:space="preserve"> no seasonal effect or pattern was detected. This remains true when adjusting for other characteristics of facilities such as state/territory, geographical location and size. The significant monthly fluctuations that were seen within facilities may be due to other issues including the timing of financial accounting transactions.</w:t>
      </w:r>
    </w:p>
    <w:p w14:paraId="35EAFE6A" w14:textId="36BF1A57" w:rsidR="00943BA0" w:rsidRDefault="00943BA0" w:rsidP="00AB188B">
      <w:pPr>
        <w:pStyle w:val="Bullets"/>
        <w:numPr>
          <w:ilvl w:val="0"/>
          <w:numId w:val="0"/>
        </w:numPr>
        <w:ind w:left="357" w:hanging="357"/>
        <w:rPr>
          <w:lang w:eastAsia="zh-CN" w:bidi="th-TH"/>
        </w:rPr>
      </w:pPr>
      <w:r>
        <w:rPr>
          <w:lang w:eastAsia="zh-CN" w:bidi="th-TH"/>
        </w:rPr>
        <w:br w:type="page"/>
      </w:r>
    </w:p>
    <w:p w14:paraId="132EF4CA" w14:textId="6AC67EA9" w:rsidR="00943BA0" w:rsidRDefault="00854D68" w:rsidP="00C06B51">
      <w:pPr>
        <w:pStyle w:val="Heading1"/>
        <w:rPr>
          <w:lang w:eastAsia="zh-CN" w:bidi="th-TH"/>
        </w:rPr>
      </w:pPr>
      <w:bookmarkStart w:id="74" w:name="_Toc952745"/>
      <w:r>
        <w:rPr>
          <w:lang w:eastAsia="zh-CN" w:bidi="th-TH"/>
        </w:rPr>
        <w:lastRenderedPageBreak/>
        <w:t>Fixed care cost</w:t>
      </w:r>
      <w:r w:rsidR="00B50443">
        <w:rPr>
          <w:lang w:eastAsia="zh-CN" w:bidi="th-TH"/>
        </w:rPr>
        <w:t>s</w:t>
      </w:r>
      <w:r w:rsidR="00E3769B">
        <w:rPr>
          <w:lang w:eastAsia="zh-CN" w:bidi="th-TH"/>
        </w:rPr>
        <w:t xml:space="preserve"> </w:t>
      </w:r>
      <w:r w:rsidR="00CA05AF">
        <w:rPr>
          <w:lang w:eastAsia="zh-CN" w:bidi="th-TH"/>
        </w:rPr>
        <w:t>drivers</w:t>
      </w:r>
      <w:bookmarkEnd w:id="74"/>
    </w:p>
    <w:p w14:paraId="06B88636" w14:textId="0CCF6C4A" w:rsidR="00CA05AF" w:rsidRDefault="0098051F" w:rsidP="00CE052B">
      <w:pPr>
        <w:rPr>
          <w:lang w:eastAsia="zh-CN" w:bidi="th-TH"/>
        </w:rPr>
      </w:pPr>
      <w:r>
        <w:rPr>
          <w:lang w:eastAsia="zh-CN" w:bidi="th-TH"/>
        </w:rPr>
        <w:t xml:space="preserve">The </w:t>
      </w:r>
      <w:r w:rsidR="00FC5828">
        <w:rPr>
          <w:lang w:eastAsia="zh-CN" w:bidi="th-TH"/>
        </w:rPr>
        <w:t xml:space="preserve">analysis </w:t>
      </w:r>
      <w:r w:rsidR="004979E1">
        <w:rPr>
          <w:lang w:eastAsia="zh-CN" w:bidi="th-TH"/>
        </w:rPr>
        <w:t xml:space="preserve">presented </w:t>
      </w:r>
      <w:r>
        <w:rPr>
          <w:lang w:eastAsia="zh-CN" w:bidi="th-TH"/>
        </w:rPr>
        <w:t xml:space="preserve">in Section </w:t>
      </w:r>
      <w:r>
        <w:rPr>
          <w:lang w:eastAsia="zh-CN" w:bidi="th-TH"/>
        </w:rPr>
        <w:fldChar w:fldCharType="begin"/>
      </w:r>
      <w:r>
        <w:rPr>
          <w:lang w:eastAsia="zh-CN" w:bidi="th-TH"/>
        </w:rPr>
        <w:instrText xml:space="preserve"> REF _Ref532825140 \r \h </w:instrText>
      </w:r>
      <w:r>
        <w:rPr>
          <w:lang w:eastAsia="zh-CN" w:bidi="th-TH"/>
        </w:rPr>
      </w:r>
      <w:r>
        <w:rPr>
          <w:lang w:eastAsia="zh-CN" w:bidi="th-TH"/>
        </w:rPr>
        <w:fldChar w:fldCharType="separate"/>
      </w:r>
      <w:r w:rsidR="00043266">
        <w:rPr>
          <w:lang w:eastAsia="zh-CN" w:bidi="th-TH"/>
        </w:rPr>
        <w:t>5.2</w:t>
      </w:r>
      <w:r>
        <w:rPr>
          <w:lang w:eastAsia="zh-CN" w:bidi="th-TH"/>
        </w:rPr>
        <w:fldChar w:fldCharType="end"/>
      </w:r>
      <w:r>
        <w:rPr>
          <w:lang w:eastAsia="zh-CN" w:bidi="th-TH"/>
        </w:rPr>
        <w:t xml:space="preserve"> </w:t>
      </w:r>
      <w:r w:rsidR="0013691C">
        <w:rPr>
          <w:lang w:eastAsia="zh-CN" w:bidi="th-TH"/>
        </w:rPr>
        <w:t xml:space="preserve">clearly identified </w:t>
      </w:r>
      <w:r>
        <w:rPr>
          <w:lang w:eastAsia="zh-CN" w:bidi="th-TH"/>
        </w:rPr>
        <w:t xml:space="preserve">fixed care cost </w:t>
      </w:r>
      <w:r w:rsidR="007D17B0">
        <w:rPr>
          <w:lang w:eastAsia="zh-CN" w:bidi="th-TH"/>
        </w:rPr>
        <w:t xml:space="preserve">differences </w:t>
      </w:r>
      <w:r w:rsidR="0013691C">
        <w:rPr>
          <w:lang w:eastAsia="zh-CN" w:bidi="th-TH"/>
        </w:rPr>
        <w:t xml:space="preserve">that were </w:t>
      </w:r>
      <w:r>
        <w:rPr>
          <w:lang w:eastAsia="zh-CN" w:bidi="th-TH"/>
        </w:rPr>
        <w:t xml:space="preserve">associated with </w:t>
      </w:r>
      <w:r w:rsidR="007D17B0">
        <w:rPr>
          <w:lang w:eastAsia="zh-CN" w:bidi="th-TH"/>
        </w:rPr>
        <w:t xml:space="preserve">the </w:t>
      </w:r>
      <w:r w:rsidR="002D6C33">
        <w:rPr>
          <w:lang w:eastAsia="zh-CN" w:bidi="th-TH"/>
        </w:rPr>
        <w:t xml:space="preserve">facility </w:t>
      </w:r>
      <w:r w:rsidR="007D17B0">
        <w:rPr>
          <w:lang w:eastAsia="zh-CN" w:bidi="th-TH"/>
        </w:rPr>
        <w:t xml:space="preserve">characteristics </w:t>
      </w:r>
      <w:r w:rsidR="002D6C33">
        <w:rPr>
          <w:lang w:eastAsia="zh-CN" w:bidi="th-TH"/>
        </w:rPr>
        <w:t xml:space="preserve">of </w:t>
      </w:r>
      <w:r w:rsidR="007D17B0">
        <w:rPr>
          <w:lang w:eastAsia="zh-CN" w:bidi="th-TH"/>
        </w:rPr>
        <w:t xml:space="preserve">remoteness, size, </w:t>
      </w:r>
      <w:r w:rsidR="002D6C33">
        <w:rPr>
          <w:lang w:eastAsia="zh-CN" w:bidi="th-TH"/>
        </w:rPr>
        <w:t xml:space="preserve">low bed occupancy, </w:t>
      </w:r>
      <w:r w:rsidR="007D17B0">
        <w:rPr>
          <w:lang w:eastAsia="zh-CN" w:bidi="th-TH"/>
        </w:rPr>
        <w:t xml:space="preserve">and </w:t>
      </w:r>
      <w:r w:rsidR="002D6C33">
        <w:rPr>
          <w:lang w:eastAsia="zh-CN" w:bidi="th-TH"/>
        </w:rPr>
        <w:t xml:space="preserve">indigenous and homelessness service </w:t>
      </w:r>
      <w:r w:rsidR="007D17B0">
        <w:rPr>
          <w:lang w:eastAsia="zh-CN" w:bidi="th-TH"/>
        </w:rPr>
        <w:t>specialisations</w:t>
      </w:r>
      <w:r w:rsidR="002D6C33">
        <w:rPr>
          <w:lang w:eastAsia="zh-CN" w:bidi="th-TH"/>
        </w:rPr>
        <w:t xml:space="preserve">. </w:t>
      </w:r>
      <w:r w:rsidR="00FC5828">
        <w:rPr>
          <w:lang w:eastAsia="zh-CN" w:bidi="th-TH"/>
        </w:rPr>
        <w:t xml:space="preserve">These characteristics were subsequently </w:t>
      </w:r>
      <w:r w:rsidR="007D17B0">
        <w:rPr>
          <w:lang w:eastAsia="zh-CN" w:bidi="th-TH"/>
        </w:rPr>
        <w:t>included</w:t>
      </w:r>
      <w:r w:rsidR="002D6C33">
        <w:rPr>
          <w:lang w:eastAsia="zh-CN" w:bidi="th-TH"/>
        </w:rPr>
        <w:t xml:space="preserve"> in multi-level modelling </w:t>
      </w:r>
      <w:r w:rsidR="00FC5828">
        <w:rPr>
          <w:lang w:eastAsia="zh-CN" w:bidi="th-TH"/>
        </w:rPr>
        <w:t xml:space="preserve">to </w:t>
      </w:r>
      <w:r w:rsidR="004979E1">
        <w:rPr>
          <w:lang w:eastAsia="zh-CN" w:bidi="th-TH"/>
        </w:rPr>
        <w:t xml:space="preserve">determine the relative cost increases attributable to </w:t>
      </w:r>
      <w:r w:rsidR="00200A6E">
        <w:rPr>
          <w:lang w:eastAsia="zh-CN" w:bidi="th-TH"/>
        </w:rPr>
        <w:t>these characteristics.</w:t>
      </w:r>
    </w:p>
    <w:p w14:paraId="4F1E7A21" w14:textId="60269337" w:rsidR="00CA05AF" w:rsidRDefault="00CA05AF" w:rsidP="00CA05AF">
      <w:pPr>
        <w:spacing w:before="240"/>
        <w:rPr>
          <w:lang w:eastAsia="zh-CN" w:bidi="th-TH"/>
        </w:rPr>
      </w:pPr>
      <w:r>
        <w:rPr>
          <w:lang w:eastAsia="zh-CN" w:bidi="th-TH"/>
        </w:rPr>
        <w:t xml:space="preserve">In </w:t>
      </w:r>
      <w:r>
        <w:rPr>
          <w:lang w:eastAsia="zh-CN" w:bidi="th-TH"/>
        </w:rPr>
        <w:fldChar w:fldCharType="begin"/>
      </w:r>
      <w:r>
        <w:rPr>
          <w:lang w:eastAsia="zh-CN" w:bidi="th-TH"/>
        </w:rPr>
        <w:instrText xml:space="preserve"> REF _Ref533166426 \h </w:instrText>
      </w:r>
      <w:r>
        <w:rPr>
          <w:lang w:eastAsia="zh-CN" w:bidi="th-TH"/>
        </w:rPr>
      </w:r>
      <w:r>
        <w:rPr>
          <w:lang w:eastAsia="zh-CN" w:bidi="th-TH"/>
        </w:rPr>
        <w:fldChar w:fldCharType="separate"/>
      </w:r>
      <w:r w:rsidR="00043266">
        <w:t xml:space="preserve">Figure </w:t>
      </w:r>
      <w:r w:rsidR="00043266">
        <w:rPr>
          <w:noProof/>
        </w:rPr>
        <w:t>4</w:t>
      </w:r>
      <w:r>
        <w:rPr>
          <w:lang w:eastAsia="zh-CN" w:bidi="th-TH"/>
        </w:rPr>
        <w:fldChar w:fldCharType="end"/>
      </w:r>
      <w:r>
        <w:rPr>
          <w:lang w:eastAsia="zh-CN" w:bidi="th-TH"/>
        </w:rPr>
        <w:t xml:space="preserve"> the combinations of these characteristics that are associated with differences in fixed care costs are presented in a branching model</w:t>
      </w:r>
      <w:r w:rsidR="00771904">
        <w:rPr>
          <w:lang w:eastAsia="zh-CN" w:bidi="th-TH"/>
        </w:rPr>
        <w:t xml:space="preserve"> which contains six distinct facility type categories</w:t>
      </w:r>
      <w:r>
        <w:rPr>
          <w:lang w:eastAsia="zh-CN" w:bidi="th-TH"/>
        </w:rPr>
        <w:t xml:space="preserve">. The first level of split is for remote (MMM 6 and 7) versus non remote facilities and within the remote branch the </w:t>
      </w:r>
      <w:r w:rsidR="009B2384">
        <w:rPr>
          <w:lang w:eastAsia="zh-CN" w:bidi="th-TH"/>
        </w:rPr>
        <w:t>key cost driver is</w:t>
      </w:r>
      <w:r>
        <w:rPr>
          <w:lang w:eastAsia="zh-CN" w:bidi="th-TH"/>
        </w:rPr>
        <w:t xml:space="preserve"> indigenous specialisation</w:t>
      </w:r>
      <w:r w:rsidR="009B2384">
        <w:rPr>
          <w:lang w:eastAsia="zh-CN" w:bidi="th-TH"/>
        </w:rPr>
        <w:t xml:space="preserve"> </w:t>
      </w:r>
      <w:r w:rsidR="00187CC7">
        <w:t>–</w:t>
      </w:r>
      <w:r>
        <w:rPr>
          <w:lang w:eastAsia="zh-CN" w:bidi="th-TH"/>
        </w:rPr>
        <w:t xml:space="preserve"> within which there is a large cost difference between the remote and very remote services. </w:t>
      </w:r>
      <w:r w:rsidR="009B2384">
        <w:rPr>
          <w:lang w:eastAsia="zh-CN" w:bidi="th-TH"/>
        </w:rPr>
        <w:t>For remote non-indigenous services, the facility size is the most significant driver of fixed care cost. In non-remote facilities the most significant driver of fixed care costs is the provision of homelessness care.</w:t>
      </w:r>
    </w:p>
    <w:p w14:paraId="53DE4134" w14:textId="50412C6B" w:rsidR="0013691C" w:rsidRDefault="0013691C" w:rsidP="006A62FB">
      <w:pPr>
        <w:pStyle w:val="Caption"/>
        <w:spacing w:after="120"/>
      </w:pPr>
      <w:bookmarkStart w:id="75" w:name="_Ref533166426"/>
      <w:bookmarkStart w:id="76" w:name="_Toc866592"/>
      <w:r>
        <w:t xml:space="preserve">Figure </w:t>
      </w:r>
      <w:r>
        <w:rPr>
          <w:noProof/>
        </w:rPr>
        <w:fldChar w:fldCharType="begin"/>
      </w:r>
      <w:r>
        <w:rPr>
          <w:noProof/>
        </w:rPr>
        <w:instrText xml:space="preserve"> SEQ Figure \* ARABIC </w:instrText>
      </w:r>
      <w:r>
        <w:rPr>
          <w:noProof/>
        </w:rPr>
        <w:fldChar w:fldCharType="separate"/>
      </w:r>
      <w:r w:rsidR="00043266">
        <w:rPr>
          <w:noProof/>
        </w:rPr>
        <w:t>4</w:t>
      </w:r>
      <w:r>
        <w:rPr>
          <w:noProof/>
        </w:rPr>
        <w:fldChar w:fldCharType="end"/>
      </w:r>
      <w:bookmarkEnd w:id="75"/>
      <w:r>
        <w:t xml:space="preserve"> </w:t>
      </w:r>
      <w:r w:rsidR="00200A6E">
        <w:tab/>
      </w:r>
      <w:r>
        <w:t xml:space="preserve">Branching model </w:t>
      </w:r>
      <w:r w:rsidR="00CA05AF">
        <w:t xml:space="preserve">of </w:t>
      </w:r>
      <w:r>
        <w:t>fixed care cost RVUs</w:t>
      </w:r>
      <w:bookmarkEnd w:id="76"/>
    </w:p>
    <w:p w14:paraId="65397580" w14:textId="3B7F3968" w:rsidR="0013691C" w:rsidRDefault="006A62FB" w:rsidP="00CE052B">
      <w:r>
        <w:rPr>
          <w:noProof/>
        </w:rPr>
        <w:drawing>
          <wp:inline distT="0" distB="0" distL="0" distR="0" wp14:anchorId="41D503A4" wp14:editId="22674202">
            <wp:extent cx="5494020" cy="5381837"/>
            <wp:effectExtent l="0" t="0" r="0" b="9525"/>
            <wp:docPr id="14" name="Picture 14" descr="Figure 4 shows the branching model of fixed care cost RVUs.  All facilities (n = 89 RVU =1.03, (c_v ) = 69) are split into Remote and Not Remote.  Remote Facilities are split into Indigenous specialization and No indigenous specialization.  Indigenous specialization is split into MMM 7 (n = 3, RVU = 4.63, (c_v ) = 34) and MMM 6 (n = 5, RVU = 1.62, (c_v ) = 16). No indigenous specialization is split into Up to 29 beds (n = 7, RVU = 1.87, (c_v ) = 35) and 30 or more beds (n = 4, RVU = 1.06, (c_v ) = 28).  Not Remote facilities are split into Homeless specialization (n = 3, RVU = 1.79, (c_v ) = 22) and No homeless specialisation (n = 67, RVU = 0.95, (c_v ) = 33)." title="Figure 4 Branching model of fixed care cost R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14720" cy="5402115"/>
                    </a:xfrm>
                    <a:prstGeom prst="rect">
                      <a:avLst/>
                    </a:prstGeom>
                  </pic:spPr>
                </pic:pic>
              </a:graphicData>
            </a:graphic>
          </wp:inline>
        </w:drawing>
      </w:r>
    </w:p>
    <w:p w14:paraId="3765833C" w14:textId="46C2370C" w:rsidR="009B2384" w:rsidRDefault="00CA05AF" w:rsidP="00CA05AF">
      <w:pPr>
        <w:spacing w:before="240"/>
        <w:rPr>
          <w:lang w:eastAsia="zh-CN" w:bidi="th-TH"/>
        </w:rPr>
      </w:pPr>
      <w:r>
        <w:rPr>
          <w:lang w:eastAsia="zh-CN" w:bidi="th-TH"/>
        </w:rPr>
        <w:lastRenderedPageBreak/>
        <w:t xml:space="preserve">In </w:t>
      </w:r>
      <w:r>
        <w:rPr>
          <w:lang w:eastAsia="zh-CN" w:bidi="th-TH"/>
        </w:rPr>
        <w:fldChar w:fldCharType="begin"/>
      </w:r>
      <w:r>
        <w:rPr>
          <w:lang w:eastAsia="zh-CN" w:bidi="th-TH"/>
        </w:rPr>
        <w:instrText xml:space="preserve"> REF _Ref533108429 \h </w:instrText>
      </w:r>
      <w:r>
        <w:rPr>
          <w:lang w:eastAsia="zh-CN" w:bidi="th-TH"/>
        </w:rPr>
      </w:r>
      <w:r>
        <w:rPr>
          <w:lang w:eastAsia="zh-CN" w:bidi="th-TH"/>
        </w:rPr>
        <w:fldChar w:fldCharType="separate"/>
      </w:r>
      <w:r w:rsidR="00043266">
        <w:t xml:space="preserve">Table </w:t>
      </w:r>
      <w:r w:rsidR="00043266">
        <w:rPr>
          <w:noProof/>
        </w:rPr>
        <w:t>7</w:t>
      </w:r>
      <w:r>
        <w:rPr>
          <w:lang w:eastAsia="zh-CN" w:bidi="th-TH"/>
        </w:rPr>
        <w:fldChar w:fldCharType="end"/>
      </w:r>
      <w:r>
        <w:rPr>
          <w:lang w:eastAsia="zh-CN" w:bidi="th-TH"/>
        </w:rPr>
        <w:t xml:space="preserve"> each of the </w:t>
      </w:r>
      <w:r w:rsidR="00771904">
        <w:rPr>
          <w:lang w:eastAsia="zh-CN" w:bidi="th-TH"/>
        </w:rPr>
        <w:t xml:space="preserve">six combinations of facility </w:t>
      </w:r>
      <w:r>
        <w:rPr>
          <w:lang w:eastAsia="zh-CN" w:bidi="th-TH"/>
        </w:rPr>
        <w:t xml:space="preserve">characteristics that are key drivers of fixed care costs are listed along with the number of facilities in the sample and the relative cost represented by the RVU. </w:t>
      </w:r>
      <w:r w:rsidR="009B2384">
        <w:rPr>
          <w:lang w:eastAsia="zh-CN" w:bidi="th-TH"/>
        </w:rPr>
        <w:t xml:space="preserve">The overall RVU is 1.03 </w:t>
      </w:r>
      <w:r w:rsidR="00771904">
        <w:rPr>
          <w:lang w:eastAsia="zh-CN" w:bidi="th-TH"/>
        </w:rPr>
        <w:t>indicating</w:t>
      </w:r>
      <w:r w:rsidR="009B2384">
        <w:rPr>
          <w:lang w:eastAsia="zh-CN" w:bidi="th-TH"/>
        </w:rPr>
        <w:t xml:space="preserve"> that the average daily fixed care costs per resident across this national sample is about 3% higher than the average daily cost of individual care </w:t>
      </w:r>
      <w:r w:rsidR="00771904">
        <w:rPr>
          <w:lang w:eastAsia="zh-CN" w:bidi="th-TH"/>
        </w:rPr>
        <w:t xml:space="preserve">represented </w:t>
      </w:r>
      <w:r w:rsidR="009B2384">
        <w:rPr>
          <w:lang w:eastAsia="zh-CN" w:bidi="th-TH"/>
        </w:rPr>
        <w:t xml:space="preserve">across </w:t>
      </w:r>
      <w:r w:rsidR="00771904">
        <w:rPr>
          <w:lang w:eastAsia="zh-CN" w:bidi="th-TH"/>
        </w:rPr>
        <w:t>the 13</w:t>
      </w:r>
      <w:r w:rsidR="009B2384">
        <w:rPr>
          <w:lang w:eastAsia="zh-CN" w:bidi="th-TH"/>
        </w:rPr>
        <w:t xml:space="preserve"> AN-ACC classes (see Repor</w:t>
      </w:r>
      <w:r w:rsidR="002E73F3">
        <w:rPr>
          <w:lang w:eastAsia="zh-CN" w:bidi="th-TH"/>
        </w:rPr>
        <w:t>t 1).</w:t>
      </w:r>
    </w:p>
    <w:p w14:paraId="6615E577" w14:textId="74A6F5E8" w:rsidR="00F157FB" w:rsidRDefault="00853D00" w:rsidP="00CA05AF">
      <w:pPr>
        <w:spacing w:before="240"/>
        <w:rPr>
          <w:lang w:eastAsia="zh-CN" w:bidi="th-TH"/>
        </w:rPr>
      </w:pPr>
      <w:r>
        <w:rPr>
          <w:lang w:eastAsia="zh-CN" w:bidi="th-TH"/>
        </w:rPr>
        <w:t>There is almost a five-fold cost difference between Category 1 (</w:t>
      </w:r>
      <w:r w:rsidR="00771904">
        <w:rPr>
          <w:lang w:eastAsia="zh-CN" w:bidi="th-TH"/>
        </w:rPr>
        <w:t>very remote indigenous services</w:t>
      </w:r>
      <w:r>
        <w:rPr>
          <w:lang w:eastAsia="zh-CN" w:bidi="th-TH"/>
        </w:rPr>
        <w:t>)</w:t>
      </w:r>
      <w:r w:rsidR="00F157FB">
        <w:rPr>
          <w:lang w:eastAsia="zh-CN" w:bidi="th-TH"/>
        </w:rPr>
        <w:t xml:space="preserve"> and </w:t>
      </w:r>
      <w:r>
        <w:rPr>
          <w:lang w:eastAsia="zh-CN" w:bidi="th-TH"/>
        </w:rPr>
        <w:t>Category 6 (</w:t>
      </w:r>
      <w:r w:rsidR="00F157FB">
        <w:rPr>
          <w:lang w:eastAsia="zh-CN" w:bidi="th-TH"/>
        </w:rPr>
        <w:t>the vast majority of facilities</w:t>
      </w:r>
      <w:r>
        <w:rPr>
          <w:lang w:eastAsia="zh-CN" w:bidi="th-TH"/>
        </w:rPr>
        <w:t>).</w:t>
      </w:r>
    </w:p>
    <w:p w14:paraId="43A33ABB" w14:textId="04C217F2" w:rsidR="0013691C" w:rsidRDefault="00F157FB" w:rsidP="00F157FB">
      <w:pPr>
        <w:spacing w:before="240"/>
        <w:rPr>
          <w:lang w:eastAsia="zh-CN" w:bidi="th-TH"/>
        </w:rPr>
      </w:pPr>
      <w:r>
        <w:rPr>
          <w:lang w:eastAsia="zh-CN" w:bidi="th-TH"/>
        </w:rPr>
        <w:t>The o</w:t>
      </w:r>
      <w:r w:rsidR="009B2384">
        <w:rPr>
          <w:lang w:eastAsia="zh-CN" w:bidi="th-TH"/>
        </w:rPr>
        <w:t xml:space="preserve">verall CV </w:t>
      </w:r>
      <w:r w:rsidR="00A97B8A">
        <w:rPr>
          <w:lang w:eastAsia="zh-CN" w:bidi="th-TH"/>
        </w:rPr>
        <w:t xml:space="preserve">of </w:t>
      </w:r>
      <w:r w:rsidR="00D67EB9">
        <w:rPr>
          <w:lang w:eastAsia="zh-CN" w:bidi="th-TH"/>
        </w:rPr>
        <w:t>0.</w:t>
      </w:r>
      <w:r w:rsidR="00A97B8A">
        <w:rPr>
          <w:lang w:eastAsia="zh-CN" w:bidi="th-TH"/>
        </w:rPr>
        <w:t>69 across all facility type categories is reduced substantially at the level of individual category</w:t>
      </w:r>
      <w:r>
        <w:rPr>
          <w:lang w:eastAsia="zh-CN" w:bidi="th-TH"/>
        </w:rPr>
        <w:t>. This</w:t>
      </w:r>
      <w:r w:rsidR="00A97B8A">
        <w:rPr>
          <w:lang w:eastAsia="zh-CN" w:bidi="th-TH"/>
        </w:rPr>
        <w:t xml:space="preserve"> indicates that the groupings have the ability to explain a lot of the variation in fixed care costs between facilities and</w:t>
      </w:r>
      <w:r>
        <w:rPr>
          <w:lang w:eastAsia="zh-CN" w:bidi="th-TH"/>
        </w:rPr>
        <w:t xml:space="preserve"> that</w:t>
      </w:r>
      <w:r w:rsidR="00A97B8A">
        <w:rPr>
          <w:lang w:eastAsia="zh-CN" w:bidi="th-TH"/>
        </w:rPr>
        <w:t xml:space="preserve"> there is a high level of cost homogeneity within the categories. </w:t>
      </w:r>
      <w:r>
        <w:rPr>
          <w:lang w:eastAsia="zh-CN" w:bidi="th-TH"/>
        </w:rPr>
        <w:t>This is a key finding in considering the use of these categories as a basis for funding.</w:t>
      </w:r>
    </w:p>
    <w:p w14:paraId="4155FBE3" w14:textId="330EA0B7" w:rsidR="002D6C33" w:rsidRDefault="0013691C" w:rsidP="00BE1CF3">
      <w:pPr>
        <w:pStyle w:val="Caption"/>
        <w:keepNext/>
      </w:pPr>
      <w:bookmarkStart w:id="77" w:name="_Ref533108429"/>
      <w:bookmarkStart w:id="78" w:name="_Toc866588"/>
      <w:r>
        <w:t xml:space="preserve">Table </w:t>
      </w:r>
      <w:r>
        <w:rPr>
          <w:noProof/>
        </w:rPr>
        <w:fldChar w:fldCharType="begin"/>
      </w:r>
      <w:r>
        <w:rPr>
          <w:noProof/>
        </w:rPr>
        <w:instrText xml:space="preserve"> SEQ Table \* ARABIC </w:instrText>
      </w:r>
      <w:r>
        <w:rPr>
          <w:noProof/>
        </w:rPr>
        <w:fldChar w:fldCharType="separate"/>
      </w:r>
      <w:r w:rsidR="00043266">
        <w:rPr>
          <w:noProof/>
        </w:rPr>
        <w:t>7</w:t>
      </w:r>
      <w:r>
        <w:rPr>
          <w:noProof/>
        </w:rPr>
        <w:fldChar w:fldCharType="end"/>
      </w:r>
      <w:bookmarkEnd w:id="77"/>
      <w:r w:rsidR="003025EF">
        <w:rPr>
          <w:noProof/>
        </w:rPr>
        <w:t xml:space="preserve"> </w:t>
      </w:r>
      <w:r>
        <w:tab/>
        <w:t>Fixed care cost RVUs per occupied bed day</w:t>
      </w:r>
      <w:bookmarkEnd w:id="78"/>
    </w:p>
    <w:p w14:paraId="5338674B" w14:textId="1471363E" w:rsidR="005931D8" w:rsidRPr="005931D8" w:rsidRDefault="005931D8" w:rsidP="005931D8">
      <w:r>
        <w:rPr>
          <w:noProof/>
        </w:rPr>
        <w:drawing>
          <wp:inline distT="0" distB="0" distL="0" distR="0" wp14:anchorId="563AA178" wp14:editId="35EC335B">
            <wp:extent cx="5939790" cy="3009265"/>
            <wp:effectExtent l="0" t="0" r="3810" b="635"/>
            <wp:docPr id="15" name="Picture 15" descr="Row 1 (header row): Column one: Cat code, Column two: Category description, Column three: N, Column four: Fixed care RVU per occupied bed day, column 5: Fixed care CV.&#10;Row 1: Cat code: 1, Category description: Very remote (MMM=7), indigenous care, N: 3, Fixed care RVU per occupied bed day: 4,63 Fixed care CV: 0.34.&#10;Row 2: Cat code: 2, Category description: Remote (MMM=6), indigenous care, N: 5, Fixed care RVU per occupied bed day: 1,62, Fixed care CV: 0.16.&#10;Row 3: Cat code 3, Category description: Remote (MMM=6-7), non-indigenous, up to 29 approved beds, N: 7, Fixed care RVU per occupied bed day: 1.87, Fixed care CV: 0.35.&#10;Row 4: Cat code 4, Category description: Remote (MMM=6-7), non-indigenous, 30 or more approved beds, N: 4, Fixed care RVU per occupied bed day: 1.06, Fixed care CV: 0.28.&#10;Row 5: Cat code 5, Category description: Specialised homeless, N: 3, Fixed care RVU per occupied bed day: 1.79, Fixed care CV: 0.22.&#10;Row 6: Cat code 6, All other Residential Aged Care Facilities (RACFs), N 67, Fixed care RVU per occupied bed day: 0.95, Fixed care CV: 0.33.&#10;Row 7: Total, Total N: 89, Total Fixed care RVU per occupied bed day: 1.03, Total Fixed care CV: 0.69.&#10;" title="Table 7  Fixed care cost RVUs per occupied bed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39790" cy="3009265"/>
                    </a:xfrm>
                    <a:prstGeom prst="rect">
                      <a:avLst/>
                    </a:prstGeom>
                  </pic:spPr>
                </pic:pic>
              </a:graphicData>
            </a:graphic>
          </wp:inline>
        </w:drawing>
      </w:r>
    </w:p>
    <w:p w14:paraId="2D1EF7D9" w14:textId="77777777" w:rsidR="00152CD0" w:rsidRDefault="00152CD0">
      <w:pPr>
        <w:rPr>
          <w:lang w:eastAsia="zh-CN" w:bidi="th-TH"/>
        </w:rPr>
      </w:pPr>
      <w:r>
        <w:rPr>
          <w:lang w:eastAsia="zh-CN" w:bidi="th-TH"/>
        </w:rPr>
        <w:br w:type="page"/>
      </w:r>
    </w:p>
    <w:p w14:paraId="7983DBF8" w14:textId="55980E71" w:rsidR="00943BA0" w:rsidRDefault="00943BA0" w:rsidP="00C06B51">
      <w:pPr>
        <w:pStyle w:val="Heading1"/>
        <w:rPr>
          <w:lang w:eastAsia="zh-CN" w:bidi="th-TH"/>
        </w:rPr>
      </w:pPr>
      <w:bookmarkStart w:id="79" w:name="_Toc952746"/>
      <w:r>
        <w:rPr>
          <w:lang w:eastAsia="zh-CN" w:bidi="th-TH"/>
        </w:rPr>
        <w:lastRenderedPageBreak/>
        <w:t>Discussion</w:t>
      </w:r>
      <w:bookmarkEnd w:id="79"/>
    </w:p>
    <w:p w14:paraId="456EF5D1" w14:textId="747CCA43" w:rsidR="00602F62" w:rsidRDefault="00853D00" w:rsidP="00602F62">
      <w:pPr>
        <w:spacing w:before="120" w:after="120"/>
      </w:pPr>
      <w:r>
        <w:t xml:space="preserve">This is the first time that the fixed care costs of Australian residential aged care have been </w:t>
      </w:r>
      <w:r w:rsidR="00992E62">
        <w:t xml:space="preserve">calculated. This was done after accounting for </w:t>
      </w:r>
      <w:r>
        <w:t>the cost of individual resident</w:t>
      </w:r>
      <w:r w:rsidR="00992E62">
        <w:t xml:space="preserve"> care</w:t>
      </w:r>
      <w:r>
        <w:t>.</w:t>
      </w:r>
      <w:r w:rsidR="00992E62">
        <w:t xml:space="preserve"> The key finding is that</w:t>
      </w:r>
      <w:r w:rsidR="00602F62">
        <w:t xml:space="preserve">, after adjusting for differences in the casemix profile of residents, fixed care costs </w:t>
      </w:r>
      <w:r w:rsidR="00992E62">
        <w:t xml:space="preserve">are </w:t>
      </w:r>
      <w:r w:rsidR="00602F62">
        <w:t xml:space="preserve">consistent and predictable based on facility type. This provides the </w:t>
      </w:r>
      <w:r w:rsidR="00992E62">
        <w:t xml:space="preserve">evidence for </w:t>
      </w:r>
      <w:r w:rsidR="00602F62">
        <w:t>a blended payment model for residential aged care that provides greater certainty and stability for both the government</w:t>
      </w:r>
      <w:r w:rsidR="00992E62">
        <w:t xml:space="preserve"> (</w:t>
      </w:r>
      <w:r w:rsidR="00602F62">
        <w:t>as funder</w:t>
      </w:r>
      <w:r w:rsidR="00992E62">
        <w:t>)</w:t>
      </w:r>
      <w:r w:rsidR="002C707C">
        <w:t xml:space="preserve"> and aged care providers.</w:t>
      </w:r>
    </w:p>
    <w:p w14:paraId="187D4F41" w14:textId="77777777" w:rsidR="00854D68" w:rsidRDefault="00854D68" w:rsidP="008816FF">
      <w:pPr>
        <w:pStyle w:val="Heading2"/>
        <w:rPr>
          <w:lang w:eastAsia="zh-CN" w:bidi="th-TH"/>
        </w:rPr>
      </w:pPr>
      <w:bookmarkStart w:id="80" w:name="_Toc952747"/>
      <w:r>
        <w:rPr>
          <w:lang w:eastAsia="zh-CN" w:bidi="th-TH"/>
        </w:rPr>
        <w:t>Key findings</w:t>
      </w:r>
      <w:bookmarkEnd w:id="80"/>
    </w:p>
    <w:p w14:paraId="36F0885F" w14:textId="12197AEB" w:rsidR="004F150B" w:rsidRDefault="009F657C" w:rsidP="005931D8">
      <w:pPr>
        <w:spacing w:before="240" w:after="120"/>
        <w:rPr>
          <w:lang w:eastAsia="zh-CN" w:bidi="th-TH"/>
        </w:rPr>
      </w:pPr>
      <w:r>
        <w:rPr>
          <w:lang w:eastAsia="zh-CN" w:bidi="th-TH"/>
        </w:rPr>
        <w:t xml:space="preserve">The </w:t>
      </w:r>
      <w:r w:rsidR="00992E62">
        <w:rPr>
          <w:lang w:eastAsia="zh-CN" w:bidi="th-TH"/>
        </w:rPr>
        <w:t>key outcome of this study is the categorisation of facilities into six levels defined by fixed care costs.</w:t>
      </w:r>
      <w:r w:rsidR="009651AA">
        <w:rPr>
          <w:lang w:eastAsia="zh-CN" w:bidi="th-TH"/>
        </w:rPr>
        <w:t xml:space="preserve"> </w:t>
      </w:r>
      <w:r w:rsidR="00992E62">
        <w:rPr>
          <w:lang w:eastAsia="zh-CN" w:bidi="th-TH"/>
        </w:rPr>
        <w:t>W</w:t>
      </w:r>
      <w:r w:rsidR="004A7039">
        <w:rPr>
          <w:lang w:eastAsia="zh-CN" w:bidi="th-TH"/>
        </w:rPr>
        <w:t xml:space="preserve">ithin each </w:t>
      </w:r>
      <w:r w:rsidR="00992E62">
        <w:rPr>
          <w:lang w:eastAsia="zh-CN" w:bidi="th-TH"/>
        </w:rPr>
        <w:t>c</w:t>
      </w:r>
      <w:r w:rsidR="009651AA">
        <w:rPr>
          <w:lang w:eastAsia="zh-CN" w:bidi="th-TH"/>
        </w:rPr>
        <w:t>ategor</w:t>
      </w:r>
      <w:r w:rsidR="00992E62">
        <w:rPr>
          <w:lang w:eastAsia="zh-CN" w:bidi="th-TH"/>
        </w:rPr>
        <w:t>y,</w:t>
      </w:r>
      <w:r w:rsidR="009651AA">
        <w:rPr>
          <w:lang w:eastAsia="zh-CN" w:bidi="th-TH"/>
        </w:rPr>
        <w:t xml:space="preserve"> </w:t>
      </w:r>
      <w:r w:rsidR="004F150B">
        <w:rPr>
          <w:lang w:eastAsia="zh-CN" w:bidi="th-TH"/>
        </w:rPr>
        <w:t xml:space="preserve">the fixed care cost per bed day </w:t>
      </w:r>
      <w:r w:rsidR="004A7039">
        <w:rPr>
          <w:lang w:eastAsia="zh-CN" w:bidi="th-TH"/>
        </w:rPr>
        <w:t>is</w:t>
      </w:r>
      <w:r w:rsidR="002C707C">
        <w:rPr>
          <w:lang w:eastAsia="zh-CN" w:bidi="th-TH"/>
        </w:rPr>
        <w:t xml:space="preserve"> very similar.</w:t>
      </w:r>
    </w:p>
    <w:p w14:paraId="11FE9AA4" w14:textId="1A7D8DD6" w:rsidR="004F150B" w:rsidRDefault="004F150B" w:rsidP="009F657C">
      <w:pPr>
        <w:rPr>
          <w:lang w:eastAsia="zh-CN" w:bidi="th-TH"/>
        </w:rPr>
      </w:pPr>
      <w:r>
        <w:rPr>
          <w:lang w:eastAsia="zh-CN" w:bidi="th-TH"/>
        </w:rPr>
        <w:t>Related to this</w:t>
      </w:r>
      <w:r w:rsidR="00992E62">
        <w:rPr>
          <w:lang w:eastAsia="zh-CN" w:bidi="th-TH"/>
        </w:rPr>
        <w:t>,</w:t>
      </w:r>
      <w:r>
        <w:rPr>
          <w:lang w:eastAsia="zh-CN" w:bidi="th-TH"/>
        </w:rPr>
        <w:t xml:space="preserve"> </w:t>
      </w:r>
      <w:r w:rsidR="004A7039">
        <w:rPr>
          <w:lang w:eastAsia="zh-CN" w:bidi="th-TH"/>
        </w:rPr>
        <w:t xml:space="preserve">the </w:t>
      </w:r>
      <w:r>
        <w:rPr>
          <w:lang w:eastAsia="zh-CN" w:bidi="th-TH"/>
        </w:rPr>
        <w:t xml:space="preserve">additional findings </w:t>
      </w:r>
      <w:r w:rsidR="00992E62">
        <w:rPr>
          <w:lang w:eastAsia="zh-CN" w:bidi="th-TH"/>
        </w:rPr>
        <w:t xml:space="preserve">are </w:t>
      </w:r>
      <w:r>
        <w:rPr>
          <w:lang w:eastAsia="zh-CN" w:bidi="th-TH"/>
        </w:rPr>
        <w:t>that</w:t>
      </w:r>
      <w:r w:rsidR="00992E62">
        <w:rPr>
          <w:lang w:eastAsia="zh-CN" w:bidi="th-TH"/>
        </w:rPr>
        <w:t>:</w:t>
      </w:r>
    </w:p>
    <w:p w14:paraId="4CCFD47C" w14:textId="2895A779" w:rsidR="009C0381" w:rsidRDefault="009C0381" w:rsidP="002C5953">
      <w:pPr>
        <w:pStyle w:val="Bullets"/>
        <w:rPr>
          <w:lang w:eastAsia="zh-CN" w:bidi="th-TH"/>
        </w:rPr>
      </w:pPr>
      <w:r>
        <w:rPr>
          <w:lang w:eastAsia="zh-CN" w:bidi="th-TH"/>
        </w:rPr>
        <w:t xml:space="preserve">Differences in fixed care cost between facilities is substantially explained by the </w:t>
      </w:r>
      <w:r w:rsidR="009651AA">
        <w:rPr>
          <w:lang w:eastAsia="zh-CN" w:bidi="th-TH"/>
        </w:rPr>
        <w:t xml:space="preserve">degree </w:t>
      </w:r>
      <w:r>
        <w:rPr>
          <w:lang w:eastAsia="zh-CN" w:bidi="th-TH"/>
        </w:rPr>
        <w:t xml:space="preserve">of remoteness of facility location, the </w:t>
      </w:r>
      <w:r w:rsidR="009651AA">
        <w:rPr>
          <w:lang w:eastAsia="zh-CN" w:bidi="th-TH"/>
        </w:rPr>
        <w:t>facility</w:t>
      </w:r>
      <w:r w:rsidR="0053572A">
        <w:rPr>
          <w:lang w:eastAsia="zh-CN" w:bidi="th-TH"/>
        </w:rPr>
        <w:t xml:space="preserve"> </w:t>
      </w:r>
      <w:r w:rsidR="009651AA">
        <w:rPr>
          <w:lang w:eastAsia="zh-CN" w:bidi="th-TH"/>
        </w:rPr>
        <w:t>size i</w:t>
      </w:r>
      <w:r w:rsidR="0053572A">
        <w:rPr>
          <w:lang w:eastAsia="zh-CN" w:bidi="th-TH"/>
        </w:rPr>
        <w:t>n</w:t>
      </w:r>
      <w:r>
        <w:rPr>
          <w:lang w:eastAsia="zh-CN" w:bidi="th-TH"/>
        </w:rPr>
        <w:t xml:space="preserve"> remote location</w:t>
      </w:r>
      <w:r w:rsidR="0053572A">
        <w:rPr>
          <w:lang w:eastAsia="zh-CN" w:bidi="th-TH"/>
        </w:rPr>
        <w:t>s</w:t>
      </w:r>
      <w:r>
        <w:rPr>
          <w:lang w:eastAsia="zh-CN" w:bidi="th-TH"/>
        </w:rPr>
        <w:t xml:space="preserve"> and whether the</w:t>
      </w:r>
      <w:r w:rsidR="0053572A">
        <w:rPr>
          <w:lang w:eastAsia="zh-CN" w:bidi="th-TH"/>
        </w:rPr>
        <w:t xml:space="preserve">y </w:t>
      </w:r>
      <w:r>
        <w:rPr>
          <w:lang w:eastAsia="zh-CN" w:bidi="th-TH"/>
        </w:rPr>
        <w:t xml:space="preserve">provide specialised care for people </w:t>
      </w:r>
      <w:r w:rsidR="004A7039">
        <w:rPr>
          <w:lang w:eastAsia="zh-CN" w:bidi="th-TH"/>
        </w:rPr>
        <w:t>from</w:t>
      </w:r>
      <w:r>
        <w:rPr>
          <w:lang w:eastAsia="zh-CN" w:bidi="th-TH"/>
        </w:rPr>
        <w:t xml:space="preserve"> an indigenous background or with a personal history of homelessness.</w:t>
      </w:r>
    </w:p>
    <w:p w14:paraId="2DFF03F3" w14:textId="10584121" w:rsidR="009C0381" w:rsidRDefault="009C0381" w:rsidP="002C5953">
      <w:pPr>
        <w:pStyle w:val="Bullets"/>
        <w:rPr>
          <w:lang w:eastAsia="zh-CN" w:bidi="th-TH"/>
        </w:rPr>
      </w:pPr>
      <w:r>
        <w:rPr>
          <w:lang w:eastAsia="zh-CN" w:bidi="th-TH"/>
        </w:rPr>
        <w:t xml:space="preserve">The cost homogeneity within these categories is very high which indicates that the </w:t>
      </w:r>
      <w:r w:rsidR="0053572A">
        <w:rPr>
          <w:lang w:eastAsia="zh-CN" w:bidi="th-TH"/>
        </w:rPr>
        <w:t xml:space="preserve">fixed care </w:t>
      </w:r>
      <w:r>
        <w:rPr>
          <w:lang w:eastAsia="zh-CN" w:bidi="th-TH"/>
        </w:rPr>
        <w:t xml:space="preserve">cost per bed day is highly predictable </w:t>
      </w:r>
      <w:r w:rsidR="0053572A">
        <w:rPr>
          <w:lang w:eastAsia="zh-CN" w:bidi="th-TH"/>
        </w:rPr>
        <w:t>based on</w:t>
      </w:r>
      <w:r>
        <w:rPr>
          <w:lang w:eastAsia="zh-CN" w:bidi="th-TH"/>
        </w:rPr>
        <w:t xml:space="preserve"> </w:t>
      </w:r>
      <w:r w:rsidR="009651AA">
        <w:rPr>
          <w:lang w:eastAsia="zh-CN" w:bidi="th-TH"/>
        </w:rPr>
        <w:t xml:space="preserve">these </w:t>
      </w:r>
      <w:r>
        <w:rPr>
          <w:lang w:eastAsia="zh-CN" w:bidi="th-TH"/>
        </w:rPr>
        <w:t xml:space="preserve">facility </w:t>
      </w:r>
      <w:r w:rsidR="009F657C">
        <w:rPr>
          <w:lang w:eastAsia="zh-CN" w:bidi="th-TH"/>
        </w:rPr>
        <w:t>characteristics</w:t>
      </w:r>
      <w:r>
        <w:rPr>
          <w:lang w:eastAsia="zh-CN" w:bidi="th-TH"/>
        </w:rPr>
        <w:t>.</w:t>
      </w:r>
    </w:p>
    <w:p w14:paraId="7B69E4BF" w14:textId="12826E7F" w:rsidR="002C5953" w:rsidRDefault="002C5953" w:rsidP="002C5953">
      <w:pPr>
        <w:pStyle w:val="Bullets"/>
        <w:rPr>
          <w:lang w:eastAsia="zh-CN" w:bidi="th-TH"/>
        </w:rPr>
      </w:pPr>
      <w:r>
        <w:rPr>
          <w:lang w:eastAsia="zh-CN" w:bidi="th-TH"/>
        </w:rPr>
        <w:t>Cost relativities per occupied bed day rang</w:t>
      </w:r>
      <w:r w:rsidR="00992E62">
        <w:rPr>
          <w:lang w:eastAsia="zh-CN" w:bidi="th-TH"/>
        </w:rPr>
        <w:t>e</w:t>
      </w:r>
      <w:r>
        <w:rPr>
          <w:lang w:eastAsia="zh-CN" w:bidi="th-TH"/>
        </w:rPr>
        <w:t xml:space="preserve"> from </w:t>
      </w:r>
      <w:r w:rsidR="009651AA">
        <w:rPr>
          <w:lang w:eastAsia="zh-CN" w:bidi="th-TH"/>
        </w:rPr>
        <w:t>an</w:t>
      </w:r>
      <w:r>
        <w:rPr>
          <w:lang w:eastAsia="zh-CN" w:bidi="th-TH"/>
        </w:rPr>
        <w:t xml:space="preserve"> RVU of 4.63 for indigenous services in very remote locations to</w:t>
      </w:r>
      <w:r w:rsidR="009651AA">
        <w:rPr>
          <w:lang w:eastAsia="zh-CN" w:bidi="th-TH"/>
        </w:rPr>
        <w:t xml:space="preserve"> </w:t>
      </w:r>
      <w:r>
        <w:rPr>
          <w:lang w:eastAsia="zh-CN" w:bidi="th-TH"/>
        </w:rPr>
        <w:t xml:space="preserve">0.95 for facilities that provide care that is </w:t>
      </w:r>
      <w:r w:rsidR="009651AA">
        <w:rPr>
          <w:lang w:eastAsia="zh-CN" w:bidi="th-TH"/>
        </w:rPr>
        <w:t xml:space="preserve">not </w:t>
      </w:r>
      <w:r>
        <w:rPr>
          <w:lang w:eastAsia="zh-CN" w:bidi="th-TH"/>
        </w:rPr>
        <w:t xml:space="preserve">targeted to </w:t>
      </w:r>
      <w:r w:rsidR="009651AA">
        <w:rPr>
          <w:lang w:eastAsia="zh-CN" w:bidi="th-TH"/>
        </w:rPr>
        <w:t xml:space="preserve">either </w:t>
      </w:r>
      <w:r>
        <w:rPr>
          <w:lang w:eastAsia="zh-CN" w:bidi="th-TH"/>
        </w:rPr>
        <w:t>geographically or socioeconomically disadvantaged groups.</w:t>
      </w:r>
    </w:p>
    <w:p w14:paraId="5CAD91A5" w14:textId="49001466" w:rsidR="0053572A" w:rsidRDefault="00992E62" w:rsidP="002C5953">
      <w:pPr>
        <w:pStyle w:val="Bullets"/>
        <w:rPr>
          <w:lang w:eastAsia="zh-CN" w:bidi="th-TH"/>
        </w:rPr>
      </w:pPr>
      <w:r>
        <w:rPr>
          <w:lang w:eastAsia="zh-CN" w:bidi="th-TH"/>
        </w:rPr>
        <w:t>F</w:t>
      </w:r>
      <w:r w:rsidR="009C0381">
        <w:rPr>
          <w:lang w:eastAsia="zh-CN" w:bidi="th-TH"/>
        </w:rPr>
        <w:t>or the vast majority of facilities</w:t>
      </w:r>
      <w:r>
        <w:rPr>
          <w:lang w:eastAsia="zh-CN" w:bidi="th-TH"/>
        </w:rPr>
        <w:t xml:space="preserve"> (Category 6)</w:t>
      </w:r>
      <w:r w:rsidR="004A7039">
        <w:rPr>
          <w:lang w:eastAsia="zh-CN" w:bidi="th-TH"/>
        </w:rPr>
        <w:t>,</w:t>
      </w:r>
      <w:r w:rsidR="009C0381">
        <w:rPr>
          <w:lang w:eastAsia="zh-CN" w:bidi="th-TH"/>
        </w:rPr>
        <w:t xml:space="preserve"> the </w:t>
      </w:r>
      <w:r w:rsidR="0053572A">
        <w:rPr>
          <w:lang w:eastAsia="zh-CN" w:bidi="th-TH"/>
        </w:rPr>
        <w:t xml:space="preserve">fixed care </w:t>
      </w:r>
      <w:r w:rsidR="009C0381">
        <w:rPr>
          <w:lang w:eastAsia="zh-CN" w:bidi="th-TH"/>
        </w:rPr>
        <w:t xml:space="preserve">cost </w:t>
      </w:r>
      <w:r w:rsidR="0053572A">
        <w:rPr>
          <w:lang w:eastAsia="zh-CN" w:bidi="th-TH"/>
        </w:rPr>
        <w:t xml:space="preserve">per bed day is 0.95 of the daily average </w:t>
      </w:r>
      <w:r w:rsidR="004A7039">
        <w:rPr>
          <w:lang w:eastAsia="zh-CN" w:bidi="th-TH"/>
        </w:rPr>
        <w:t>cost</w:t>
      </w:r>
      <w:r w:rsidR="0053572A">
        <w:rPr>
          <w:lang w:eastAsia="zh-CN" w:bidi="th-TH"/>
        </w:rPr>
        <w:t xml:space="preserve">. </w:t>
      </w:r>
      <w:r w:rsidR="002C5953">
        <w:rPr>
          <w:lang w:eastAsia="zh-CN" w:bidi="th-TH"/>
        </w:rPr>
        <w:t xml:space="preserve">In </w:t>
      </w:r>
      <w:r>
        <w:rPr>
          <w:lang w:eastAsia="zh-CN" w:bidi="th-TH"/>
        </w:rPr>
        <w:t xml:space="preserve">contrast, </w:t>
      </w:r>
      <w:r w:rsidR="0053572A">
        <w:rPr>
          <w:lang w:eastAsia="zh-CN" w:bidi="th-TH"/>
        </w:rPr>
        <w:t>t</w:t>
      </w:r>
      <w:r w:rsidR="002C5953">
        <w:rPr>
          <w:lang w:eastAsia="zh-CN" w:bidi="th-TH"/>
        </w:rPr>
        <w:t>he fixed care cost</w:t>
      </w:r>
      <w:r>
        <w:rPr>
          <w:lang w:eastAsia="zh-CN" w:bidi="th-TH"/>
        </w:rPr>
        <w:t xml:space="preserve"> for Category 1 </w:t>
      </w:r>
      <w:r w:rsidR="0053572A">
        <w:rPr>
          <w:lang w:eastAsia="zh-CN" w:bidi="th-TH"/>
        </w:rPr>
        <w:t>is 4.6</w:t>
      </w:r>
      <w:r w:rsidR="002C5953">
        <w:rPr>
          <w:lang w:eastAsia="zh-CN" w:bidi="th-TH"/>
        </w:rPr>
        <w:t>3</w:t>
      </w:r>
      <w:r w:rsidR="0053572A">
        <w:rPr>
          <w:lang w:eastAsia="zh-CN" w:bidi="th-TH"/>
        </w:rPr>
        <w:t xml:space="preserve"> times the a</w:t>
      </w:r>
      <w:r w:rsidR="005931D8">
        <w:rPr>
          <w:lang w:eastAsia="zh-CN" w:bidi="th-TH"/>
        </w:rPr>
        <w:t>verage individual care bed day.</w:t>
      </w:r>
    </w:p>
    <w:p w14:paraId="604B38A5" w14:textId="0934D72F" w:rsidR="009C0381" w:rsidRDefault="009C0381" w:rsidP="009F657C">
      <w:pPr>
        <w:pStyle w:val="Bullets"/>
        <w:rPr>
          <w:lang w:eastAsia="zh-CN" w:bidi="th-TH"/>
        </w:rPr>
      </w:pPr>
      <w:r>
        <w:rPr>
          <w:lang w:eastAsia="zh-CN" w:bidi="th-TH"/>
        </w:rPr>
        <w:t xml:space="preserve">Overall, </w:t>
      </w:r>
      <w:r w:rsidR="009F657C">
        <w:rPr>
          <w:lang w:eastAsia="zh-CN" w:bidi="th-TH"/>
        </w:rPr>
        <w:t xml:space="preserve">fixed care costs account for just over 50% of the daily </w:t>
      </w:r>
      <w:r>
        <w:rPr>
          <w:lang w:eastAsia="zh-CN" w:bidi="th-TH"/>
        </w:rPr>
        <w:t xml:space="preserve">total </w:t>
      </w:r>
      <w:r w:rsidR="009F657C">
        <w:rPr>
          <w:lang w:eastAsia="zh-CN" w:bidi="th-TH"/>
        </w:rPr>
        <w:t xml:space="preserve">cost of providing </w:t>
      </w:r>
      <w:r>
        <w:rPr>
          <w:lang w:eastAsia="zh-CN" w:bidi="th-TH"/>
        </w:rPr>
        <w:t xml:space="preserve">residential </w:t>
      </w:r>
      <w:r w:rsidR="009F657C">
        <w:rPr>
          <w:lang w:eastAsia="zh-CN" w:bidi="th-TH"/>
        </w:rPr>
        <w:t>care</w:t>
      </w:r>
      <w:r>
        <w:rPr>
          <w:lang w:eastAsia="zh-CN" w:bidi="th-TH"/>
        </w:rPr>
        <w:t>.</w:t>
      </w:r>
    </w:p>
    <w:p w14:paraId="5A5D8834" w14:textId="632FE530" w:rsidR="00854D68" w:rsidRDefault="00224483" w:rsidP="008816FF">
      <w:pPr>
        <w:pStyle w:val="Heading2"/>
        <w:rPr>
          <w:lang w:eastAsia="zh-CN" w:bidi="th-TH"/>
        </w:rPr>
      </w:pPr>
      <w:bookmarkStart w:id="81" w:name="_Toc952748"/>
      <w:r>
        <w:rPr>
          <w:lang w:eastAsia="zh-CN" w:bidi="th-TH"/>
        </w:rPr>
        <w:t>F</w:t>
      </w:r>
      <w:r w:rsidR="00854D68">
        <w:rPr>
          <w:lang w:eastAsia="zh-CN" w:bidi="th-TH"/>
        </w:rPr>
        <w:t xml:space="preserve">unding system </w:t>
      </w:r>
      <w:r>
        <w:rPr>
          <w:lang w:eastAsia="zh-CN" w:bidi="th-TH"/>
        </w:rPr>
        <w:t>implications</w:t>
      </w:r>
      <w:bookmarkEnd w:id="81"/>
    </w:p>
    <w:p w14:paraId="6DA8ABDD" w14:textId="46ADE6FB" w:rsidR="002C5953" w:rsidRDefault="002C5953" w:rsidP="002C5953">
      <w:pPr>
        <w:rPr>
          <w:lang w:eastAsia="zh-CN" w:bidi="th-TH"/>
        </w:rPr>
      </w:pPr>
      <w:r>
        <w:rPr>
          <w:lang w:eastAsia="zh-CN" w:bidi="th-TH"/>
        </w:rPr>
        <w:t xml:space="preserve">The findings of </w:t>
      </w:r>
      <w:r w:rsidR="00B47690">
        <w:rPr>
          <w:lang w:eastAsia="zh-CN" w:bidi="th-TH"/>
        </w:rPr>
        <w:t>this s</w:t>
      </w:r>
      <w:r>
        <w:rPr>
          <w:lang w:eastAsia="zh-CN" w:bidi="th-TH"/>
        </w:rPr>
        <w:t xml:space="preserve">tudy </w:t>
      </w:r>
      <w:r w:rsidR="00B47690">
        <w:rPr>
          <w:lang w:eastAsia="zh-CN" w:bidi="th-TH"/>
        </w:rPr>
        <w:t>s</w:t>
      </w:r>
      <w:r>
        <w:rPr>
          <w:lang w:eastAsia="zh-CN" w:bidi="th-TH"/>
        </w:rPr>
        <w:t xml:space="preserve">upport the development of </w:t>
      </w:r>
      <w:r w:rsidR="00B47690">
        <w:rPr>
          <w:lang w:eastAsia="zh-CN" w:bidi="th-TH"/>
        </w:rPr>
        <w:t xml:space="preserve">a </w:t>
      </w:r>
      <w:r>
        <w:rPr>
          <w:lang w:eastAsia="zh-CN" w:bidi="th-TH"/>
        </w:rPr>
        <w:t xml:space="preserve">blended funding model that </w:t>
      </w:r>
      <w:r>
        <w:t xml:space="preserve">comprises a fixed per diem price for the </w:t>
      </w:r>
      <w:r w:rsidR="00EE2D5F">
        <w:t xml:space="preserve">fixed costs of </w:t>
      </w:r>
      <w:r>
        <w:t>care</w:t>
      </w:r>
      <w:r w:rsidR="00EE2D5F">
        <w:t>, including shared, non-individualised care</w:t>
      </w:r>
      <w:r w:rsidR="009651AA">
        <w:t>,</w:t>
      </w:r>
      <w:r w:rsidR="00EE2D5F">
        <w:t xml:space="preserve"> </w:t>
      </w:r>
      <w:r>
        <w:t>and a variable price per day for the costs of individual care.</w:t>
      </w:r>
    </w:p>
    <w:p w14:paraId="4F6EF0C9" w14:textId="7AB67402" w:rsidR="00EE2D5F" w:rsidRDefault="00B47690" w:rsidP="002C5953">
      <w:pPr>
        <w:spacing w:before="240"/>
        <w:rPr>
          <w:lang w:eastAsia="zh-CN" w:bidi="th-TH"/>
        </w:rPr>
      </w:pPr>
      <w:r>
        <w:rPr>
          <w:lang w:eastAsia="zh-CN" w:bidi="th-TH"/>
        </w:rPr>
        <w:t>C</w:t>
      </w:r>
      <w:r w:rsidR="00EE2D5F">
        <w:rPr>
          <w:lang w:eastAsia="zh-CN" w:bidi="th-TH"/>
        </w:rPr>
        <w:t xml:space="preserve">ost relativities (RVUs) </w:t>
      </w:r>
      <w:r>
        <w:rPr>
          <w:lang w:eastAsia="zh-CN" w:bidi="th-TH"/>
        </w:rPr>
        <w:t xml:space="preserve">are a key element </w:t>
      </w:r>
      <w:r w:rsidR="00EE2D5F">
        <w:rPr>
          <w:lang w:eastAsia="zh-CN" w:bidi="th-TH"/>
        </w:rPr>
        <w:t xml:space="preserve">in a more simplified funding model based on a single price. </w:t>
      </w:r>
      <w:r>
        <w:rPr>
          <w:lang w:eastAsia="zh-CN" w:bidi="th-TH"/>
        </w:rPr>
        <w:t>F</w:t>
      </w:r>
      <w:r w:rsidR="00EE2D5F">
        <w:rPr>
          <w:lang w:eastAsia="zh-CN" w:bidi="th-TH"/>
        </w:rPr>
        <w:t xml:space="preserve">ixed care cost RVUs </w:t>
      </w:r>
      <w:r>
        <w:rPr>
          <w:lang w:eastAsia="zh-CN" w:bidi="th-TH"/>
        </w:rPr>
        <w:t xml:space="preserve">are </w:t>
      </w:r>
      <w:r w:rsidR="00EE2D5F">
        <w:rPr>
          <w:lang w:eastAsia="zh-CN" w:bidi="th-TH"/>
        </w:rPr>
        <w:t xml:space="preserve">converted into </w:t>
      </w:r>
      <w:r w:rsidR="00830B86">
        <w:rPr>
          <w:lang w:eastAsia="zh-CN" w:bidi="th-TH"/>
        </w:rPr>
        <w:t>a</w:t>
      </w:r>
      <w:r w:rsidR="00EE2D5F">
        <w:rPr>
          <w:lang w:eastAsia="zh-CN" w:bidi="th-TH"/>
        </w:rPr>
        <w:t xml:space="preserve"> </w:t>
      </w:r>
      <w:r w:rsidR="00EE2D5F" w:rsidRPr="00830B86">
        <w:rPr>
          <w:b/>
          <w:lang w:eastAsia="zh-CN" w:bidi="th-TH"/>
        </w:rPr>
        <w:t xml:space="preserve">base care </w:t>
      </w:r>
      <w:r w:rsidR="00EE2D5F" w:rsidRPr="009651AA">
        <w:rPr>
          <w:b/>
          <w:lang w:eastAsia="zh-CN" w:bidi="th-TH"/>
        </w:rPr>
        <w:t xml:space="preserve">tariff </w:t>
      </w:r>
      <w:r w:rsidR="006A246E" w:rsidRPr="009651AA">
        <w:rPr>
          <w:b/>
          <w:lang w:eastAsia="zh-CN" w:bidi="th-TH"/>
        </w:rPr>
        <w:t>national weighted activity unit</w:t>
      </w:r>
      <w:r w:rsidR="006A246E">
        <w:rPr>
          <w:lang w:eastAsia="zh-CN" w:bidi="th-TH"/>
        </w:rPr>
        <w:t xml:space="preserve"> (NWAU) </w:t>
      </w:r>
      <w:r w:rsidR="00F86E94">
        <w:rPr>
          <w:lang w:eastAsia="zh-CN" w:bidi="th-TH"/>
        </w:rPr>
        <w:t>for each</w:t>
      </w:r>
      <w:r w:rsidR="00EE2D5F">
        <w:rPr>
          <w:lang w:eastAsia="zh-CN" w:bidi="th-TH"/>
        </w:rPr>
        <w:t xml:space="preserve"> </w:t>
      </w:r>
      <w:r w:rsidR="00F86E94">
        <w:rPr>
          <w:lang w:eastAsia="zh-CN" w:bidi="th-TH"/>
        </w:rPr>
        <w:t xml:space="preserve">facility category and </w:t>
      </w:r>
      <w:r w:rsidR="00EE2D5F">
        <w:rPr>
          <w:lang w:eastAsia="zh-CN" w:bidi="th-TH"/>
        </w:rPr>
        <w:t xml:space="preserve">combined with </w:t>
      </w:r>
      <w:r>
        <w:rPr>
          <w:lang w:eastAsia="zh-CN" w:bidi="th-TH"/>
        </w:rPr>
        <w:t>an NWAU payment for individualised care</w:t>
      </w:r>
      <w:r w:rsidR="009651AA">
        <w:rPr>
          <w:lang w:eastAsia="zh-CN" w:bidi="th-TH"/>
        </w:rPr>
        <w:t>.</w:t>
      </w:r>
      <w:r w:rsidR="00F86E94">
        <w:rPr>
          <w:lang w:eastAsia="zh-CN" w:bidi="th-TH"/>
        </w:rPr>
        <w:t xml:space="preserve"> </w:t>
      </w:r>
      <w:r w:rsidR="009651AA">
        <w:rPr>
          <w:lang w:eastAsia="zh-CN" w:bidi="th-TH"/>
        </w:rPr>
        <w:t>T</w:t>
      </w:r>
      <w:r w:rsidR="00F86E94">
        <w:rPr>
          <w:lang w:eastAsia="zh-CN" w:bidi="th-TH"/>
        </w:rPr>
        <w:t xml:space="preserve">he resulting total NWAU </w:t>
      </w:r>
      <w:r>
        <w:rPr>
          <w:lang w:eastAsia="zh-CN" w:bidi="th-TH"/>
        </w:rPr>
        <w:t>is</w:t>
      </w:r>
      <w:r w:rsidR="009651AA">
        <w:rPr>
          <w:lang w:eastAsia="zh-CN" w:bidi="th-TH"/>
        </w:rPr>
        <w:t xml:space="preserve"> then </w:t>
      </w:r>
      <w:r w:rsidR="006A246E">
        <w:rPr>
          <w:lang w:eastAsia="zh-CN" w:bidi="th-TH"/>
        </w:rPr>
        <w:t xml:space="preserve">paid </w:t>
      </w:r>
      <w:r w:rsidR="009651AA">
        <w:rPr>
          <w:lang w:eastAsia="zh-CN" w:bidi="th-TH"/>
        </w:rPr>
        <w:t xml:space="preserve">at the rate of </w:t>
      </w:r>
      <w:r w:rsidR="006A246E">
        <w:rPr>
          <w:lang w:eastAsia="zh-CN" w:bidi="th-TH"/>
        </w:rPr>
        <w:t>a single</w:t>
      </w:r>
      <w:r w:rsidR="00B854A1">
        <w:rPr>
          <w:lang w:eastAsia="zh-CN" w:bidi="th-TH"/>
        </w:rPr>
        <w:t xml:space="preserve"> overall </w:t>
      </w:r>
      <w:r w:rsidR="006A246E">
        <w:rPr>
          <w:lang w:eastAsia="zh-CN" w:bidi="th-TH"/>
        </w:rPr>
        <w:t xml:space="preserve">price per </w:t>
      </w:r>
      <w:r>
        <w:rPr>
          <w:lang w:eastAsia="zh-CN" w:bidi="th-TH"/>
        </w:rPr>
        <w:t>NWAU</w:t>
      </w:r>
      <w:r w:rsidR="000E498D">
        <w:rPr>
          <w:lang w:eastAsia="zh-CN" w:bidi="th-TH"/>
        </w:rPr>
        <w:t xml:space="preserve">. </w:t>
      </w:r>
      <w:r w:rsidR="000E5AF4">
        <w:rPr>
          <w:lang w:eastAsia="zh-CN" w:bidi="th-TH"/>
        </w:rPr>
        <w:t>Further details are available in Report 5.</w:t>
      </w:r>
    </w:p>
    <w:p w14:paraId="64CFA478" w14:textId="7633DF76" w:rsidR="007A193B" w:rsidRDefault="00830B86" w:rsidP="007A193B">
      <w:pPr>
        <w:spacing w:before="240"/>
        <w:rPr>
          <w:lang w:eastAsia="zh-CN" w:bidi="th-TH"/>
        </w:rPr>
      </w:pPr>
      <w:r>
        <w:rPr>
          <w:lang w:eastAsia="zh-CN" w:bidi="th-TH"/>
        </w:rPr>
        <w:t>The analysis in this report, particularly related to</w:t>
      </w:r>
      <w:r w:rsidR="00B854A1">
        <w:rPr>
          <w:lang w:eastAsia="zh-CN" w:bidi="th-TH"/>
        </w:rPr>
        <w:t xml:space="preserve"> facility</w:t>
      </w:r>
      <w:r>
        <w:rPr>
          <w:lang w:eastAsia="zh-CN" w:bidi="th-TH"/>
        </w:rPr>
        <w:t xml:space="preserve"> size and remoteness indicates that</w:t>
      </w:r>
      <w:r w:rsidR="00B47690">
        <w:rPr>
          <w:lang w:eastAsia="zh-CN" w:bidi="th-TH"/>
        </w:rPr>
        <w:t xml:space="preserve"> </w:t>
      </w:r>
      <w:r>
        <w:rPr>
          <w:lang w:eastAsia="zh-CN" w:bidi="th-TH"/>
        </w:rPr>
        <w:t>remote facilities</w:t>
      </w:r>
      <w:r w:rsidR="00B47690">
        <w:rPr>
          <w:lang w:eastAsia="zh-CN" w:bidi="th-TH"/>
        </w:rPr>
        <w:t xml:space="preserve"> (</w:t>
      </w:r>
      <w:r>
        <w:rPr>
          <w:lang w:eastAsia="zh-CN" w:bidi="th-TH"/>
        </w:rPr>
        <w:t xml:space="preserve">that are </w:t>
      </w:r>
      <w:r w:rsidR="00B47690">
        <w:rPr>
          <w:lang w:eastAsia="zh-CN" w:bidi="th-TH"/>
        </w:rPr>
        <w:t>typically very small)</w:t>
      </w:r>
      <w:r>
        <w:rPr>
          <w:lang w:eastAsia="zh-CN" w:bidi="th-TH"/>
        </w:rPr>
        <w:t xml:space="preserve"> </w:t>
      </w:r>
      <w:r w:rsidR="00B47690">
        <w:rPr>
          <w:lang w:eastAsia="zh-CN" w:bidi="th-TH"/>
        </w:rPr>
        <w:t xml:space="preserve">have very </w:t>
      </w:r>
      <w:r>
        <w:rPr>
          <w:lang w:eastAsia="zh-CN" w:bidi="th-TH"/>
        </w:rPr>
        <w:t xml:space="preserve">high costs </w:t>
      </w:r>
      <w:r w:rsidR="00B854A1">
        <w:rPr>
          <w:lang w:eastAsia="zh-CN" w:bidi="th-TH"/>
        </w:rPr>
        <w:t>per bed day,</w:t>
      </w:r>
      <w:r>
        <w:rPr>
          <w:lang w:eastAsia="zh-CN" w:bidi="th-TH"/>
        </w:rPr>
        <w:t xml:space="preserve"> due in part to low and variable levels of occupancy. This </w:t>
      </w:r>
      <w:r w:rsidR="00B47690">
        <w:rPr>
          <w:lang w:eastAsia="zh-CN" w:bidi="th-TH"/>
        </w:rPr>
        <w:t xml:space="preserve">is </w:t>
      </w:r>
      <w:r>
        <w:rPr>
          <w:lang w:eastAsia="zh-CN" w:bidi="th-TH"/>
        </w:rPr>
        <w:t xml:space="preserve">evidence to </w:t>
      </w:r>
      <w:r w:rsidR="00B47690">
        <w:rPr>
          <w:lang w:eastAsia="zh-CN" w:bidi="th-TH"/>
        </w:rPr>
        <w:t xml:space="preserve">support a funding model that funds remote </w:t>
      </w:r>
      <w:r>
        <w:rPr>
          <w:lang w:eastAsia="zh-CN" w:bidi="th-TH"/>
        </w:rPr>
        <w:t xml:space="preserve">facilities on the basis of approved rather than occupied bed days. </w:t>
      </w:r>
      <w:r w:rsidR="00B47690">
        <w:rPr>
          <w:lang w:eastAsia="zh-CN" w:bidi="th-TH"/>
        </w:rPr>
        <w:t xml:space="preserve">Compared to funding </w:t>
      </w:r>
      <w:r w:rsidR="00B47690">
        <w:rPr>
          <w:lang w:eastAsia="zh-CN" w:bidi="th-TH"/>
        </w:rPr>
        <w:lastRenderedPageBreak/>
        <w:t>on occupied bed days, th</w:t>
      </w:r>
      <w:r>
        <w:rPr>
          <w:lang w:eastAsia="zh-CN" w:bidi="th-TH"/>
        </w:rPr>
        <w:t>is would result in a lower rate of payment per day, but would increase the security and stability of funding</w:t>
      </w:r>
      <w:r w:rsidR="00B854A1">
        <w:rPr>
          <w:lang w:eastAsia="zh-CN" w:bidi="th-TH"/>
        </w:rPr>
        <w:t>,</w:t>
      </w:r>
      <w:r>
        <w:rPr>
          <w:lang w:eastAsia="zh-CN" w:bidi="th-TH"/>
        </w:rPr>
        <w:t xml:space="preserve"> as the same fixed care payment would be received whether</w:t>
      </w:r>
      <w:r w:rsidR="000E498D">
        <w:rPr>
          <w:lang w:eastAsia="zh-CN" w:bidi="th-TH"/>
        </w:rPr>
        <w:t xml:space="preserve"> or not all beds were occupied.</w:t>
      </w:r>
    </w:p>
    <w:p w14:paraId="6337AF38" w14:textId="6CB12C1E" w:rsidR="007A193B" w:rsidRDefault="007A193B" w:rsidP="007C1245">
      <w:pPr>
        <w:spacing w:before="240"/>
        <w:rPr>
          <w:lang w:eastAsia="zh-CN" w:bidi="th-TH"/>
        </w:rPr>
      </w:pPr>
      <w:r>
        <w:rPr>
          <w:lang w:eastAsia="zh-CN" w:bidi="th-TH"/>
        </w:rPr>
        <w:t xml:space="preserve">With the development of NWAUs and a single price the potential emerges to deal with </w:t>
      </w:r>
      <w:r w:rsidR="00A3725F">
        <w:rPr>
          <w:lang w:eastAsia="zh-CN" w:bidi="th-TH"/>
        </w:rPr>
        <w:t>s</w:t>
      </w:r>
      <w:r>
        <w:rPr>
          <w:lang w:eastAsia="zh-CN" w:bidi="th-TH"/>
        </w:rPr>
        <w:t>upplements in a</w:t>
      </w:r>
      <w:r w:rsidR="00830B86">
        <w:rPr>
          <w:lang w:eastAsia="zh-CN" w:bidi="th-TH"/>
        </w:rPr>
        <w:t xml:space="preserve"> similar way. If </w:t>
      </w:r>
      <w:r>
        <w:rPr>
          <w:lang w:eastAsia="zh-CN" w:bidi="th-TH"/>
        </w:rPr>
        <w:t>cost</w:t>
      </w:r>
      <w:r w:rsidR="00830B86">
        <w:rPr>
          <w:lang w:eastAsia="zh-CN" w:bidi="th-TH"/>
        </w:rPr>
        <w:t>s</w:t>
      </w:r>
      <w:r>
        <w:rPr>
          <w:lang w:eastAsia="zh-CN" w:bidi="th-TH"/>
        </w:rPr>
        <w:t xml:space="preserve"> related to the appropriate payment of supplements </w:t>
      </w:r>
      <w:r w:rsidR="00830B86">
        <w:rPr>
          <w:lang w:eastAsia="zh-CN" w:bidi="th-TH"/>
        </w:rPr>
        <w:t xml:space="preserve">is </w:t>
      </w:r>
      <w:r>
        <w:rPr>
          <w:lang w:eastAsia="zh-CN" w:bidi="th-TH"/>
        </w:rPr>
        <w:t>determined, these may be converted to NWAUs using the same base cost relativities and paid at the s</w:t>
      </w:r>
      <w:r w:rsidR="00F86E94">
        <w:rPr>
          <w:lang w:eastAsia="zh-CN" w:bidi="th-TH"/>
        </w:rPr>
        <w:t>ingle</w:t>
      </w:r>
      <w:r>
        <w:rPr>
          <w:lang w:eastAsia="zh-CN" w:bidi="th-TH"/>
        </w:rPr>
        <w:t xml:space="preserve"> </w:t>
      </w:r>
      <w:r w:rsidR="00F86E94">
        <w:rPr>
          <w:lang w:eastAsia="zh-CN" w:bidi="th-TH"/>
        </w:rPr>
        <w:t xml:space="preserve">aged care </w:t>
      </w:r>
      <w:r>
        <w:rPr>
          <w:lang w:eastAsia="zh-CN" w:bidi="th-TH"/>
        </w:rPr>
        <w:t xml:space="preserve">daily price. </w:t>
      </w:r>
      <w:r w:rsidR="000E5AF4">
        <w:rPr>
          <w:lang w:eastAsia="zh-CN" w:bidi="th-TH"/>
        </w:rPr>
        <w:t>This is addressed further in Report 5.</w:t>
      </w:r>
    </w:p>
    <w:p w14:paraId="4AD386A7" w14:textId="0736E043" w:rsidR="00F86E94" w:rsidRPr="00146476" w:rsidRDefault="00F86E94" w:rsidP="000E498D">
      <w:pPr>
        <w:spacing w:before="240" w:after="240"/>
      </w:pPr>
      <w:r w:rsidRPr="00146476">
        <w:t xml:space="preserve">It is important to note that this report includes the results of </w:t>
      </w:r>
      <w:r w:rsidR="00A3725F">
        <w:t xml:space="preserve">a </w:t>
      </w:r>
      <w:r w:rsidRPr="00146476">
        <w:t xml:space="preserve">cost analysis only. It provides a clear understanding of the </w:t>
      </w:r>
      <w:r w:rsidR="00B854A1">
        <w:t xml:space="preserve">cost </w:t>
      </w:r>
      <w:r w:rsidRPr="00146476">
        <w:t xml:space="preserve">drivers and of the magnitude of cost difference between facilities with the lowest and highest levels of fixed care cost. This report does not directly inform the level of funding to be allocated or the components of funding system design that are related to other factors. The individual care related cost factors are covered </w:t>
      </w:r>
      <w:r w:rsidR="00426D1D">
        <w:t>in</w:t>
      </w:r>
      <w:r w:rsidRPr="00146476">
        <w:t xml:space="preserve"> the </w:t>
      </w:r>
      <w:r w:rsidR="00B84669">
        <w:t xml:space="preserve">AN-ACC classification </w:t>
      </w:r>
      <w:r w:rsidRPr="00146476">
        <w:t xml:space="preserve">development </w:t>
      </w:r>
      <w:r w:rsidR="00B84669">
        <w:t xml:space="preserve">study, </w:t>
      </w:r>
      <w:r w:rsidRPr="00146476">
        <w:t xml:space="preserve">but there are a number of other elements </w:t>
      </w:r>
      <w:r w:rsidR="00146476" w:rsidRPr="00146476">
        <w:t xml:space="preserve">such as supplements and adjustments </w:t>
      </w:r>
      <w:r w:rsidR="00B84669">
        <w:t>having been</w:t>
      </w:r>
      <w:r w:rsidR="00146476" w:rsidRPr="00146476">
        <w:t xml:space="preserve"> separately determined</w:t>
      </w:r>
      <w:r w:rsidR="00B84669">
        <w:t xml:space="preserve"> </w:t>
      </w:r>
      <w:r w:rsidR="001C379E">
        <w:t>in the AN-ACC funding model</w:t>
      </w:r>
      <w:r w:rsidR="000E498D">
        <w:t>.</w:t>
      </w:r>
    </w:p>
    <w:p w14:paraId="00BDD4E2" w14:textId="7E218077" w:rsidR="00187CC7" w:rsidRDefault="00187CC7" w:rsidP="00187CC7">
      <w:pPr>
        <w:pStyle w:val="Heading2"/>
        <w:rPr>
          <w:rFonts w:eastAsiaTheme="minorHAnsi" w:cstheme="minorBidi"/>
          <w:lang w:eastAsia="en-US"/>
        </w:rPr>
      </w:pPr>
      <w:bookmarkStart w:id="82" w:name="_Toc952749"/>
      <w:r>
        <w:rPr>
          <w:lang w:eastAsia="en-US"/>
        </w:rPr>
        <w:t>The AN-ACC funding model</w:t>
      </w:r>
      <w:bookmarkEnd w:id="82"/>
      <w:r w:rsidRPr="00187CC7">
        <w:rPr>
          <w:rFonts w:eastAsiaTheme="minorHAnsi" w:cstheme="minorBidi"/>
          <w:lang w:eastAsia="en-US"/>
        </w:rPr>
        <w:t xml:space="preserve"> </w:t>
      </w:r>
    </w:p>
    <w:p w14:paraId="393D12A5" w14:textId="103A2536" w:rsidR="00187CC7" w:rsidRDefault="00187CC7" w:rsidP="00187CC7">
      <w:pPr>
        <w:rPr>
          <w:rFonts w:eastAsiaTheme="minorHAnsi" w:cstheme="minorBidi"/>
          <w:lang w:eastAsia="en-US"/>
        </w:rPr>
      </w:pPr>
      <w:r>
        <w:rPr>
          <w:rFonts w:eastAsiaTheme="minorHAnsi" w:cstheme="minorBidi"/>
          <w:lang w:eastAsia="en-US"/>
        </w:rPr>
        <w:t xml:space="preserve">Detailed information on the AN-ACC funding model is provided in other reports within the RUCS series. </w:t>
      </w:r>
      <w:r w:rsidRPr="000445C7">
        <w:rPr>
          <w:rFonts w:eastAsiaTheme="minorHAnsi" w:cstheme="minorBidi"/>
          <w:lang w:eastAsia="en-US"/>
        </w:rPr>
        <w:t>The funding model is described in detail in Report 5, and a consolidated set of recommendations is included in Report 6.</w:t>
      </w:r>
    </w:p>
    <w:p w14:paraId="36193A0B" w14:textId="6FDE8DC6" w:rsidR="00CA6C4D" w:rsidRPr="00685D66" w:rsidRDefault="0071023C" w:rsidP="00187CC7">
      <w:pPr>
        <w:pStyle w:val="Heading2"/>
        <w:rPr>
          <w:highlight w:val="yellow"/>
          <w:lang w:eastAsia="en-US"/>
        </w:rPr>
      </w:pPr>
      <w:r>
        <w:rPr>
          <w:highlight w:val="yellow"/>
          <w:lang w:eastAsia="en-US"/>
        </w:rPr>
        <w:br w:type="page"/>
      </w:r>
      <w:bookmarkStart w:id="83" w:name="_Findings_of_national"/>
      <w:bookmarkStart w:id="84" w:name="_Ref468355139"/>
      <w:bookmarkEnd w:id="83"/>
    </w:p>
    <w:p w14:paraId="0D2C6419" w14:textId="47D6F457" w:rsidR="00B45C37" w:rsidRDefault="00943BA0" w:rsidP="00C06B51">
      <w:pPr>
        <w:pStyle w:val="Heading1"/>
        <w:numPr>
          <w:ilvl w:val="0"/>
          <w:numId w:val="0"/>
        </w:numPr>
      </w:pPr>
      <w:bookmarkStart w:id="85" w:name="_Toc473044053"/>
      <w:bookmarkStart w:id="86" w:name="_Toc473102125"/>
      <w:bookmarkStart w:id="87" w:name="_Toc473621445"/>
      <w:bookmarkStart w:id="88" w:name="_Toc473621522"/>
      <w:bookmarkStart w:id="89" w:name="_Toc473645600"/>
      <w:bookmarkStart w:id="90" w:name="_Toc473645988"/>
      <w:bookmarkStart w:id="91" w:name="_Toc473646180"/>
      <w:bookmarkStart w:id="92" w:name="_Toc473646562"/>
      <w:bookmarkStart w:id="93" w:name="_Toc473708215"/>
      <w:bookmarkStart w:id="94" w:name="_Toc473708262"/>
      <w:bookmarkStart w:id="95" w:name="_Toc473726083"/>
      <w:bookmarkStart w:id="96" w:name="_Toc473726195"/>
      <w:bookmarkStart w:id="97" w:name="_Toc473726300"/>
      <w:bookmarkStart w:id="98" w:name="_Toc515031491"/>
      <w:bookmarkStart w:id="99" w:name="_Toc515031541"/>
      <w:bookmarkStart w:id="100" w:name="_Toc473044060"/>
      <w:bookmarkStart w:id="101" w:name="_Toc473102132"/>
      <w:bookmarkStart w:id="102" w:name="_Toc473621453"/>
      <w:bookmarkStart w:id="103" w:name="_Toc473621529"/>
      <w:bookmarkStart w:id="104" w:name="_Toc473645607"/>
      <w:bookmarkStart w:id="105" w:name="_Toc473645995"/>
      <w:bookmarkStart w:id="106" w:name="_Toc473646187"/>
      <w:bookmarkStart w:id="107" w:name="_Toc473646569"/>
      <w:bookmarkStart w:id="108" w:name="_Toc473708222"/>
      <w:bookmarkStart w:id="109" w:name="_Toc473708269"/>
      <w:bookmarkStart w:id="110" w:name="_Toc473726090"/>
      <w:bookmarkStart w:id="111" w:name="_Toc473726202"/>
      <w:bookmarkStart w:id="112" w:name="_Toc473726307"/>
      <w:bookmarkStart w:id="113" w:name="_Toc952750"/>
      <w:bookmarkStart w:id="114" w:name="_Ref52832544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lastRenderedPageBreak/>
        <w:t xml:space="preserve">Appendix </w:t>
      </w:r>
      <w:r w:rsidR="003E6414">
        <w:rPr>
          <w:noProof/>
        </w:rPr>
        <w:fldChar w:fldCharType="begin"/>
      </w:r>
      <w:r w:rsidR="003E6414">
        <w:rPr>
          <w:noProof/>
        </w:rPr>
        <w:instrText xml:space="preserve"> SEQ Appendix \* ARABIC </w:instrText>
      </w:r>
      <w:r w:rsidR="003E6414">
        <w:rPr>
          <w:noProof/>
        </w:rPr>
        <w:fldChar w:fldCharType="separate"/>
      </w:r>
      <w:r w:rsidR="00043266">
        <w:rPr>
          <w:noProof/>
        </w:rPr>
        <w:t>1</w:t>
      </w:r>
      <w:bookmarkEnd w:id="113"/>
      <w:r w:rsidR="003E6414">
        <w:rPr>
          <w:noProof/>
        </w:rPr>
        <w:fldChar w:fldCharType="end"/>
      </w:r>
      <w:bookmarkEnd w:id="114"/>
    </w:p>
    <w:p w14:paraId="64A8766C" w14:textId="4E485B1F" w:rsidR="0092208F" w:rsidRDefault="0092208F" w:rsidP="00C06B51">
      <w:pPr>
        <w:pStyle w:val="Heading1"/>
        <w:numPr>
          <w:ilvl w:val="0"/>
          <w:numId w:val="0"/>
        </w:numPr>
      </w:pPr>
      <w:bookmarkStart w:id="115" w:name="_Toc952751"/>
      <w:r w:rsidRPr="00F25EE9">
        <w:t xml:space="preserve">Overview of </w:t>
      </w:r>
      <w:r w:rsidR="00734860">
        <w:t xml:space="preserve">the </w:t>
      </w:r>
      <w:r w:rsidRPr="00F25EE9">
        <w:t>R</w:t>
      </w:r>
      <w:r w:rsidR="0071277C" w:rsidRPr="00F25EE9">
        <w:t>esource Utilisation and Classification Study (R</w:t>
      </w:r>
      <w:r w:rsidRPr="00F25EE9">
        <w:t>UCS</w:t>
      </w:r>
      <w:r w:rsidR="0071277C" w:rsidRPr="00F25EE9">
        <w:t>)</w:t>
      </w:r>
      <w:bookmarkEnd w:id="115"/>
    </w:p>
    <w:p w14:paraId="651DA2D6" w14:textId="54E21CE4" w:rsidR="00533CF6" w:rsidRPr="00946A28" w:rsidRDefault="00533CF6" w:rsidP="00533CF6">
      <w:pPr>
        <w:pStyle w:val="Normal-nospacing"/>
      </w:pPr>
      <w:r w:rsidRPr="00946A28">
        <w:t>Th</w:t>
      </w:r>
      <w:r w:rsidR="005405C5">
        <w:t xml:space="preserve">e </w:t>
      </w:r>
      <w:r w:rsidR="005405C5" w:rsidRPr="00946A28">
        <w:t>Resource Utilisation and Classification Study</w:t>
      </w:r>
      <w:r w:rsidR="005405C5">
        <w:t xml:space="preserve"> (RUCS) is an important national study commissioned by the Department to inform the development of future funding models for residential aged care in Australia. The overall aim of the RUCS was to:</w:t>
      </w:r>
    </w:p>
    <w:p w14:paraId="3CFCD5FE" w14:textId="23E8EB5A" w:rsidR="00533CF6" w:rsidRPr="00946A28" w:rsidRDefault="00533CF6" w:rsidP="00533CF6">
      <w:pPr>
        <w:pStyle w:val="Bullets"/>
        <w:rPr>
          <w:rFonts w:cstheme="minorHAnsi"/>
        </w:rPr>
      </w:pPr>
      <w:r w:rsidRPr="00946A28">
        <w:rPr>
          <w:rFonts w:cstheme="minorHAnsi"/>
        </w:rPr>
        <w:t xml:space="preserve">Identify the clinical and need characteristics of aged care residents that influence </w:t>
      </w:r>
      <w:r w:rsidR="00380E1E">
        <w:rPr>
          <w:rFonts w:cstheme="minorHAnsi"/>
        </w:rPr>
        <w:t>the cost of care (cost drivers).</w:t>
      </w:r>
    </w:p>
    <w:p w14:paraId="4AAA3A7A" w14:textId="21E47010" w:rsidR="00533CF6" w:rsidRPr="00946A28" w:rsidRDefault="00533CF6" w:rsidP="00533CF6">
      <w:pPr>
        <w:pStyle w:val="Bullets"/>
        <w:rPr>
          <w:rFonts w:cstheme="minorHAnsi"/>
        </w:rPr>
      </w:pPr>
      <w:r w:rsidRPr="00946A28">
        <w:rPr>
          <w:rFonts w:cstheme="minorHAnsi"/>
        </w:rPr>
        <w:t>Identify the proportion of care costs that are shared across residents (shared costs) and the proportion that are related to individual needs (individual costs)</w:t>
      </w:r>
      <w:r w:rsidR="00380E1E">
        <w:rPr>
          <w:rFonts w:cstheme="minorHAnsi"/>
        </w:rPr>
        <w:t>.</w:t>
      </w:r>
    </w:p>
    <w:p w14:paraId="7F9245EA" w14:textId="12429BD8" w:rsidR="00533CF6" w:rsidRPr="00946A28" w:rsidRDefault="00533CF6" w:rsidP="00533CF6">
      <w:pPr>
        <w:pStyle w:val="Bullets"/>
        <w:rPr>
          <w:rFonts w:cstheme="minorHAnsi"/>
        </w:rPr>
      </w:pPr>
      <w:r w:rsidRPr="00946A28">
        <w:rPr>
          <w:rFonts w:cstheme="minorHAnsi"/>
        </w:rPr>
        <w:t>Develop a casemix classification based on identified cost drivers that can underpin a funding model that recognises bo</w:t>
      </w:r>
      <w:r w:rsidR="00380E1E">
        <w:rPr>
          <w:rFonts w:cstheme="minorHAnsi"/>
        </w:rPr>
        <w:t>th shared and individual costs.</w:t>
      </w:r>
    </w:p>
    <w:p w14:paraId="29911BEB" w14:textId="2B2F8284" w:rsidR="00533CF6" w:rsidRPr="00946A28" w:rsidRDefault="00533CF6" w:rsidP="00533CF6">
      <w:pPr>
        <w:pStyle w:val="Bullets"/>
        <w:rPr>
          <w:rFonts w:cstheme="minorHAnsi"/>
        </w:rPr>
      </w:pPr>
      <w:r w:rsidRPr="00946A28">
        <w:rPr>
          <w:rFonts w:cstheme="minorHAnsi"/>
        </w:rPr>
        <w:t>Develop a new funding assessment that efficiently allows for each resident to be assigned to a pay</w:t>
      </w:r>
      <w:r w:rsidR="00380E1E">
        <w:rPr>
          <w:rFonts w:cstheme="minorHAnsi"/>
        </w:rPr>
        <w:t>ment class based on their needs.</w:t>
      </w:r>
    </w:p>
    <w:p w14:paraId="3EE8CE3A" w14:textId="09C704E7" w:rsidR="00533CF6" w:rsidRDefault="00533CF6" w:rsidP="00533CF6">
      <w:pPr>
        <w:pStyle w:val="Bullets"/>
        <w:rPr>
          <w:rFonts w:cstheme="minorHAnsi"/>
        </w:rPr>
      </w:pPr>
      <w:r w:rsidRPr="00946A28">
        <w:rPr>
          <w:rFonts w:cstheme="minorHAnsi"/>
        </w:rPr>
        <w:t>Test the feasibility of implementing the recommended classification and funding model across the Australian residential aged care sector.</w:t>
      </w:r>
    </w:p>
    <w:p w14:paraId="043C6855" w14:textId="77777777" w:rsidR="00533CF6" w:rsidRPr="00946A28" w:rsidRDefault="00533CF6" w:rsidP="00533CF6">
      <w:pPr>
        <w:pStyle w:val="Normal-nospacing"/>
      </w:pPr>
      <w:r w:rsidRPr="00946A28">
        <w:t>In considering the results and recommendations included in this report, it is necessary to distinguish between three key ideas:</w:t>
      </w:r>
    </w:p>
    <w:p w14:paraId="1C7B2F84" w14:textId="2E993A22" w:rsidR="00533CF6" w:rsidRPr="000E498D" w:rsidRDefault="000E498D" w:rsidP="000E498D">
      <w:pPr>
        <w:pStyle w:val="Heading4"/>
        <w:numPr>
          <w:ilvl w:val="0"/>
          <w:numId w:val="0"/>
        </w:numPr>
        <w:ind w:firstLine="720"/>
        <w:rPr>
          <w:rFonts w:asciiTheme="minorHAnsi" w:hAnsiTheme="minorHAnsi" w:cstheme="minorHAnsi"/>
        </w:rPr>
      </w:pPr>
      <w:r w:rsidRPr="000E498D">
        <w:rPr>
          <w:rFonts w:asciiTheme="minorHAnsi" w:hAnsiTheme="minorHAnsi" w:cstheme="minorHAnsi"/>
        </w:rPr>
        <w:t>Cost</w:t>
      </w:r>
    </w:p>
    <w:p w14:paraId="3CDA9BFE" w14:textId="21B24AB5" w:rsidR="00533CF6" w:rsidRPr="00946A28" w:rsidRDefault="00533CF6" w:rsidP="00533CF6">
      <w:pPr>
        <w:pStyle w:val="Normal-nospacing"/>
      </w:pPr>
      <w:r w:rsidRPr="00946A28">
        <w:t xml:space="preserve">The cost of care for people living in residential aged care is in scope for </w:t>
      </w:r>
      <w:r w:rsidR="006438FA">
        <w:t xml:space="preserve">the </w:t>
      </w:r>
      <w:r w:rsidRPr="00946A28">
        <w:t>RUCS.  Capital accommodation and ‘hotel’ services are out of scope, as is respite care for non-permanent residents.</w:t>
      </w:r>
    </w:p>
    <w:p w14:paraId="299F2C3A" w14:textId="77777777" w:rsidR="00533CF6" w:rsidRPr="00946A28" w:rsidRDefault="00533CF6" w:rsidP="00533CF6">
      <w:pPr>
        <w:pStyle w:val="Heading4"/>
        <w:numPr>
          <w:ilvl w:val="0"/>
          <w:numId w:val="0"/>
        </w:numPr>
        <w:ind w:firstLine="720"/>
        <w:rPr>
          <w:rFonts w:asciiTheme="minorHAnsi" w:hAnsiTheme="minorHAnsi" w:cstheme="minorHAnsi"/>
        </w:rPr>
      </w:pPr>
      <w:r w:rsidRPr="00946A28">
        <w:rPr>
          <w:rFonts w:asciiTheme="minorHAnsi" w:hAnsiTheme="minorHAnsi" w:cstheme="minorHAnsi"/>
        </w:rPr>
        <w:t>Funding (payment) model and policy</w:t>
      </w:r>
    </w:p>
    <w:p w14:paraId="5A707573" w14:textId="77777777" w:rsidR="00533CF6" w:rsidRPr="00946A28" w:rsidRDefault="00533CF6" w:rsidP="00533CF6">
      <w:pPr>
        <w:pStyle w:val="Normal-nospacing"/>
      </w:pPr>
      <w:r w:rsidRPr="00946A28">
        <w:t>Funding and payment issues are in scope. The role of the RUCS research team is to develop the funding model and provide policy advice on its potential implementation.</w:t>
      </w:r>
    </w:p>
    <w:p w14:paraId="2756A873" w14:textId="77777777" w:rsidR="00533CF6" w:rsidRPr="00946A28" w:rsidRDefault="00533CF6" w:rsidP="00533CF6">
      <w:pPr>
        <w:pStyle w:val="Heading4"/>
        <w:numPr>
          <w:ilvl w:val="0"/>
          <w:numId w:val="0"/>
        </w:numPr>
        <w:ind w:firstLine="720"/>
        <w:rPr>
          <w:rFonts w:asciiTheme="minorHAnsi" w:hAnsiTheme="minorHAnsi" w:cstheme="minorHAnsi"/>
        </w:rPr>
      </w:pPr>
      <w:r w:rsidRPr="00946A28">
        <w:rPr>
          <w:rFonts w:asciiTheme="minorHAnsi" w:hAnsiTheme="minorHAnsi" w:cstheme="minorHAnsi"/>
        </w:rPr>
        <w:t>Price</w:t>
      </w:r>
    </w:p>
    <w:p w14:paraId="42891E4A" w14:textId="06480713" w:rsidR="00533CF6" w:rsidRDefault="00533CF6" w:rsidP="00533CF6">
      <w:pPr>
        <w:pStyle w:val="Normal-nospacing"/>
      </w:pPr>
      <w:r w:rsidRPr="00946A28">
        <w:t xml:space="preserve">Price is out of scope for </w:t>
      </w:r>
      <w:r w:rsidR="00CB533F">
        <w:t xml:space="preserve">the </w:t>
      </w:r>
      <w:r w:rsidRPr="00946A28">
        <w:t>RUCS as price is ultimately a decision for payers (both government and consumers). But the RUCS has generated significant evidence that can aid decision-making about pricing.</w:t>
      </w:r>
    </w:p>
    <w:p w14:paraId="60EF75A8" w14:textId="67AD6C92" w:rsidR="00533CF6" w:rsidRPr="00533CF6" w:rsidRDefault="00533CF6" w:rsidP="00533CF6">
      <w:pPr>
        <w:rPr>
          <w:rFonts w:eastAsiaTheme="minorHAnsi" w:cstheme="minorHAnsi"/>
          <w:lang w:eastAsia="zh-CN" w:bidi="th-TH"/>
        </w:rPr>
      </w:pPr>
      <w:r>
        <w:br w:type="page"/>
      </w:r>
    </w:p>
    <w:p w14:paraId="215BE6E9" w14:textId="77777777" w:rsidR="00533CF6" w:rsidRPr="008816FF" w:rsidRDefault="00533CF6" w:rsidP="008816FF">
      <w:pPr>
        <w:pStyle w:val="Normal-nospacing"/>
        <w:rPr>
          <w:b/>
          <w:sz w:val="28"/>
          <w:szCs w:val="28"/>
        </w:rPr>
      </w:pPr>
      <w:bookmarkStart w:id="116" w:name="_Toc533150123"/>
      <w:r w:rsidRPr="008816FF">
        <w:rPr>
          <w:b/>
          <w:sz w:val="28"/>
          <w:szCs w:val="28"/>
        </w:rPr>
        <w:lastRenderedPageBreak/>
        <w:t>Key elements of the AN-ACC assessment and funding model</w:t>
      </w:r>
      <w:bookmarkEnd w:id="116"/>
    </w:p>
    <w:p w14:paraId="5DB62CF1" w14:textId="5433ADE7" w:rsidR="00533CF6" w:rsidRPr="00946A28" w:rsidRDefault="00533CF6" w:rsidP="00533CF6">
      <w:pPr>
        <w:pStyle w:val="Normal-nospacing"/>
      </w:pPr>
      <w:r w:rsidRPr="00946A28">
        <w:t>The new assessment and funding model has been termed the Australian National Aged Care Classification (AN-ACC) system. The AN-ACC assessment and funding model is based on six key design elements:</w:t>
      </w:r>
    </w:p>
    <w:p w14:paraId="30E71183" w14:textId="2EAE1C66" w:rsidR="00533CF6" w:rsidRPr="00946A28" w:rsidRDefault="00533CF6" w:rsidP="00533CF6">
      <w:pPr>
        <w:pStyle w:val="Bullets"/>
        <w:numPr>
          <w:ilvl w:val="0"/>
          <w:numId w:val="33"/>
        </w:numPr>
        <w:rPr>
          <w:rFonts w:cstheme="minorHAnsi"/>
        </w:rPr>
      </w:pPr>
      <w:r w:rsidRPr="00946A28">
        <w:rPr>
          <w:rFonts w:cstheme="minorHAnsi"/>
        </w:rPr>
        <w:t>Resident assessment for funding to be separate from resident assessment for care planning purposes</w:t>
      </w:r>
      <w:r w:rsidR="00BB37D4">
        <w:rPr>
          <w:rFonts w:cstheme="minorHAnsi"/>
        </w:rPr>
        <w:t>.</w:t>
      </w:r>
    </w:p>
    <w:p w14:paraId="2B97A103" w14:textId="3489133F" w:rsidR="00533CF6" w:rsidRPr="00946A28" w:rsidRDefault="00533CF6" w:rsidP="00533CF6">
      <w:pPr>
        <w:pStyle w:val="Bullets"/>
        <w:numPr>
          <w:ilvl w:val="0"/>
          <w:numId w:val="33"/>
        </w:numPr>
        <w:rPr>
          <w:rFonts w:cstheme="minorHAnsi"/>
        </w:rPr>
      </w:pPr>
      <w:r w:rsidRPr="00946A28">
        <w:rPr>
          <w:rFonts w:cstheme="minorHAnsi"/>
        </w:rPr>
        <w:t>Assessment for funding purposes to be undertaken by external assessors capturing the information necessary to assign a resident to a payment class</w:t>
      </w:r>
      <w:r w:rsidR="00BB37D4">
        <w:rPr>
          <w:rFonts w:cstheme="minorHAnsi"/>
        </w:rPr>
        <w:t>.</w:t>
      </w:r>
    </w:p>
    <w:p w14:paraId="7308C26F" w14:textId="6054C4B5" w:rsidR="00533CF6" w:rsidRPr="00946A28" w:rsidRDefault="00533CF6" w:rsidP="00533CF6">
      <w:pPr>
        <w:pStyle w:val="Bullets"/>
        <w:numPr>
          <w:ilvl w:val="0"/>
          <w:numId w:val="33"/>
        </w:numPr>
        <w:rPr>
          <w:rFonts w:cstheme="minorHAnsi"/>
        </w:rPr>
      </w:pPr>
      <w:r w:rsidRPr="00946A28">
        <w:rPr>
          <w:rFonts w:cstheme="minorHAnsi"/>
        </w:rPr>
        <w:t>Assessment related to care planning to be undertaken by the residential aged care facility based on resident needs and underpinned by consumer-directed care principles</w:t>
      </w:r>
      <w:r w:rsidR="00BB37D4">
        <w:rPr>
          <w:rFonts w:cstheme="minorHAnsi"/>
        </w:rPr>
        <w:t>.</w:t>
      </w:r>
    </w:p>
    <w:p w14:paraId="32180E11" w14:textId="5CF1DA18" w:rsidR="00533CF6" w:rsidRPr="00946A28" w:rsidRDefault="00533CF6" w:rsidP="00533CF6">
      <w:pPr>
        <w:pStyle w:val="Bullets"/>
        <w:numPr>
          <w:ilvl w:val="0"/>
          <w:numId w:val="33"/>
        </w:numPr>
        <w:rPr>
          <w:rFonts w:cstheme="minorHAnsi"/>
        </w:rPr>
      </w:pPr>
      <w:r w:rsidRPr="00946A28">
        <w:rPr>
          <w:rFonts w:cstheme="minorHAnsi"/>
        </w:rPr>
        <w:t>Provision of a one-off adjustment payment for each new resident that recognises additional, but time-limited, resource requirements when someone initially enters residential care</w:t>
      </w:r>
      <w:r w:rsidR="00BB37D4">
        <w:rPr>
          <w:rFonts w:cstheme="minorHAnsi"/>
        </w:rPr>
        <w:t>.</w:t>
      </w:r>
    </w:p>
    <w:p w14:paraId="5FE071D3" w14:textId="67505A2D" w:rsidR="00533CF6" w:rsidRPr="00946A28" w:rsidRDefault="00533CF6" w:rsidP="00533CF6">
      <w:pPr>
        <w:pStyle w:val="Bullets"/>
        <w:numPr>
          <w:ilvl w:val="0"/>
          <w:numId w:val="33"/>
        </w:numPr>
        <w:rPr>
          <w:rFonts w:cstheme="minorHAnsi"/>
        </w:rPr>
      </w:pPr>
      <w:r w:rsidRPr="00946A28">
        <w:rPr>
          <w:rFonts w:cstheme="minorHAnsi"/>
        </w:rPr>
        <w:t>A fixed price per day for the costs of care that are shared equally by all residents. This may vary by location and other factors</w:t>
      </w:r>
      <w:r w:rsidR="00BB37D4">
        <w:rPr>
          <w:rFonts w:cstheme="minorHAnsi"/>
        </w:rPr>
        <w:t>.</w:t>
      </w:r>
    </w:p>
    <w:p w14:paraId="407B88B7" w14:textId="77777777" w:rsidR="00533CF6" w:rsidRPr="00946A28" w:rsidRDefault="00533CF6" w:rsidP="00533CF6">
      <w:pPr>
        <w:pStyle w:val="Bullets"/>
        <w:numPr>
          <w:ilvl w:val="0"/>
          <w:numId w:val="33"/>
        </w:numPr>
        <w:rPr>
          <w:rFonts w:cstheme="minorHAnsi"/>
        </w:rPr>
      </w:pPr>
      <w:r w:rsidRPr="00946A28">
        <w:rPr>
          <w:rFonts w:cstheme="minorHAnsi"/>
        </w:rPr>
        <w:t>A variable price per day for the costs of individualised care for each resident based on their AN-ACC casemix class.</w:t>
      </w:r>
    </w:p>
    <w:p w14:paraId="16A83116" w14:textId="03EC141D" w:rsidR="00533CF6" w:rsidRPr="00533CF6" w:rsidRDefault="005405C5" w:rsidP="000E498D">
      <w:pPr>
        <w:pStyle w:val="Normal-nospacing"/>
        <w:spacing w:before="360"/>
        <w:rPr>
          <w:rFonts w:ascii="Calibri" w:eastAsiaTheme="majorEastAsia" w:hAnsi="Calibri" w:cstheme="majorBidi"/>
          <w:b/>
          <w:bCs/>
          <w:sz w:val="28"/>
          <w:szCs w:val="28"/>
          <w:lang w:eastAsia="en-AU" w:bidi="ar-SA"/>
        </w:rPr>
      </w:pPr>
      <w:r>
        <w:rPr>
          <w:rFonts w:ascii="Calibri" w:eastAsiaTheme="majorEastAsia" w:hAnsi="Calibri" w:cstheme="majorBidi"/>
          <w:b/>
          <w:bCs/>
          <w:sz w:val="28"/>
          <w:szCs w:val="28"/>
          <w:lang w:eastAsia="en-AU" w:bidi="ar-SA"/>
        </w:rPr>
        <w:t>T</w:t>
      </w:r>
      <w:r w:rsidR="00533CF6" w:rsidRPr="00533CF6">
        <w:rPr>
          <w:rFonts w:ascii="Calibri" w:eastAsiaTheme="majorEastAsia" w:hAnsi="Calibri" w:cstheme="majorBidi"/>
          <w:b/>
          <w:bCs/>
          <w:sz w:val="28"/>
          <w:szCs w:val="28"/>
          <w:lang w:eastAsia="en-AU" w:bidi="ar-SA"/>
        </w:rPr>
        <w:t xml:space="preserve">he four </w:t>
      </w:r>
      <w:r>
        <w:rPr>
          <w:rFonts w:ascii="Calibri" w:eastAsiaTheme="majorEastAsia" w:hAnsi="Calibri" w:cstheme="majorBidi"/>
          <w:b/>
          <w:bCs/>
          <w:sz w:val="28"/>
          <w:szCs w:val="28"/>
          <w:lang w:eastAsia="en-AU" w:bidi="ar-SA"/>
        </w:rPr>
        <w:t xml:space="preserve">RUCS </w:t>
      </w:r>
      <w:r w:rsidR="00533CF6" w:rsidRPr="00533CF6">
        <w:rPr>
          <w:rFonts w:ascii="Calibri" w:eastAsiaTheme="majorEastAsia" w:hAnsi="Calibri" w:cstheme="majorBidi"/>
          <w:b/>
          <w:bCs/>
          <w:sz w:val="28"/>
          <w:szCs w:val="28"/>
          <w:lang w:eastAsia="en-AU" w:bidi="ar-SA"/>
        </w:rPr>
        <w:t>studies</w:t>
      </w:r>
    </w:p>
    <w:p w14:paraId="0BA3F42E" w14:textId="74D1DD45" w:rsidR="00D14D94" w:rsidRPr="00946A28" w:rsidRDefault="00533CF6" w:rsidP="00D14D94">
      <w:pPr>
        <w:pStyle w:val="Normal-nospacing"/>
      </w:pPr>
      <w:r>
        <w:t xml:space="preserve">The </w:t>
      </w:r>
      <w:r w:rsidR="00D14D94" w:rsidRPr="00946A28">
        <w:t>RUCS comprised four separate but closely related studies. Each study included separate data collection and analysis elements that have been synthesised to produce a classification and associated funding model that is suitable for implementation across the Australia</w:t>
      </w:r>
      <w:r w:rsidR="000E498D">
        <w:t>n residential aged care sector.</w:t>
      </w:r>
    </w:p>
    <w:p w14:paraId="2BDB3452" w14:textId="505D42A2" w:rsidR="00D14D94" w:rsidRPr="00D010E5" w:rsidRDefault="00D14D94" w:rsidP="00533CF6">
      <w:pPr>
        <w:pStyle w:val="Heading4"/>
        <w:numPr>
          <w:ilvl w:val="0"/>
          <w:numId w:val="0"/>
        </w:numPr>
        <w:rPr>
          <w:rFonts w:asciiTheme="minorHAnsi" w:hAnsiTheme="minorHAnsi" w:cstheme="minorHAnsi"/>
          <w:i w:val="0"/>
        </w:rPr>
      </w:pPr>
      <w:r w:rsidRPr="00D010E5">
        <w:rPr>
          <w:rFonts w:asciiTheme="minorHAnsi" w:hAnsiTheme="minorHAnsi" w:cstheme="minorHAnsi"/>
          <w:i w:val="0"/>
        </w:rPr>
        <w:t xml:space="preserve">Study One </w:t>
      </w:r>
      <w:r w:rsidR="001C40BC" w:rsidRPr="00D010E5">
        <w:rPr>
          <w:rFonts w:asciiTheme="minorHAnsi" w:hAnsiTheme="minorHAnsi" w:cstheme="minorHAnsi"/>
          <w:i w:val="0"/>
        </w:rPr>
        <w:t>–</w:t>
      </w:r>
      <w:r w:rsidRPr="00D010E5">
        <w:rPr>
          <w:rFonts w:asciiTheme="minorHAnsi" w:hAnsiTheme="minorHAnsi" w:cstheme="minorHAnsi"/>
          <w:i w:val="0"/>
        </w:rPr>
        <w:t xml:space="preserve"> Service utilisation and classification development study </w:t>
      </w:r>
    </w:p>
    <w:p w14:paraId="1372FCB1" w14:textId="309FE23B" w:rsidR="00D14D94" w:rsidRPr="00946A28" w:rsidRDefault="00D14D94" w:rsidP="00D14D94">
      <w:pPr>
        <w:pStyle w:val="Normal-nospacing"/>
      </w:pPr>
      <w:r w:rsidRPr="00946A28">
        <w:t xml:space="preserve">Study One involved a prospective and comprehensive collection of resident assessment, service utilisation and financial data which were analysed to develop a casemix classification. Study </w:t>
      </w:r>
      <w:r w:rsidR="006438FA">
        <w:t>O</w:t>
      </w:r>
      <w:r w:rsidR="006438FA" w:rsidRPr="00946A28">
        <w:t xml:space="preserve">ne </w:t>
      </w:r>
      <w:r w:rsidRPr="00946A28">
        <w:t>involved 30 facilities clustered in three geographic regions in Queensland</w:t>
      </w:r>
      <w:r w:rsidR="000E498D">
        <w:t>, New South Wales and Victoria.</w:t>
      </w:r>
    </w:p>
    <w:p w14:paraId="3D54D00B" w14:textId="77777777" w:rsidR="00D14D94" w:rsidRPr="00946A28" w:rsidRDefault="00D14D94" w:rsidP="00D14D94">
      <w:pPr>
        <w:pStyle w:val="Normal-nospacing"/>
      </w:pPr>
      <w:r w:rsidRPr="00946A28">
        <w:t>Study One was completed between October 2017 and October 2018.</w:t>
      </w:r>
    </w:p>
    <w:p w14:paraId="79BE033E" w14:textId="0AD42757" w:rsidR="00D14D94" w:rsidRPr="00946A28" w:rsidRDefault="00D14D94" w:rsidP="00533CF6">
      <w:pPr>
        <w:pStyle w:val="Heading4"/>
        <w:numPr>
          <w:ilvl w:val="0"/>
          <w:numId w:val="0"/>
        </w:numPr>
        <w:rPr>
          <w:rFonts w:asciiTheme="minorHAnsi" w:hAnsiTheme="minorHAnsi" w:cstheme="minorHAnsi"/>
        </w:rPr>
      </w:pPr>
      <w:r w:rsidRPr="00946A28">
        <w:rPr>
          <w:rFonts w:asciiTheme="minorHAnsi" w:hAnsiTheme="minorHAnsi" w:cstheme="minorHAnsi"/>
        </w:rPr>
        <w:t xml:space="preserve">Study Two </w:t>
      </w:r>
      <w:r w:rsidR="001C40BC" w:rsidRPr="00946A28">
        <w:rPr>
          <w:rFonts w:asciiTheme="minorHAnsi" w:hAnsiTheme="minorHAnsi" w:cstheme="minorHAnsi"/>
        </w:rPr>
        <w:t>–</w:t>
      </w:r>
      <w:r w:rsidRPr="00946A28">
        <w:rPr>
          <w:rFonts w:asciiTheme="minorHAnsi" w:hAnsiTheme="minorHAnsi" w:cstheme="minorHAnsi"/>
        </w:rPr>
        <w:t xml:space="preserve"> Fixed and variable cost analysis study</w:t>
      </w:r>
    </w:p>
    <w:p w14:paraId="098F6C25" w14:textId="77777777" w:rsidR="00D14D94" w:rsidRPr="00946A28" w:rsidRDefault="00D14D94" w:rsidP="00D14D94">
      <w:pPr>
        <w:pStyle w:val="Normal-nospacing"/>
      </w:pPr>
      <w:r w:rsidRPr="00946A28">
        <w:t>Study Two involved a larger nationally representative sample of 110 facilities. The purpose of this study was to understand differences in cost drivers between different types of facilities (including facility size and location) as well as differences that may result from seasonal effects. This analysis informed the design of the funding model. Study Two examined facility, rather than resident, level costs.</w:t>
      </w:r>
    </w:p>
    <w:p w14:paraId="5E347C6A" w14:textId="77777777" w:rsidR="00D14D94" w:rsidRPr="00946A28" w:rsidRDefault="00D14D94" w:rsidP="00D14D94">
      <w:pPr>
        <w:pStyle w:val="Normal-nospacing"/>
      </w:pPr>
      <w:r w:rsidRPr="00946A28">
        <w:t>Study Two was completed between November 2017 and October 2018.</w:t>
      </w:r>
    </w:p>
    <w:p w14:paraId="1E95D875" w14:textId="50062163" w:rsidR="00D14D94" w:rsidRPr="00946A28" w:rsidRDefault="00D14D94" w:rsidP="00533CF6">
      <w:pPr>
        <w:pStyle w:val="Heading4"/>
        <w:numPr>
          <w:ilvl w:val="0"/>
          <w:numId w:val="0"/>
        </w:numPr>
        <w:rPr>
          <w:rFonts w:asciiTheme="minorHAnsi" w:hAnsiTheme="minorHAnsi" w:cstheme="minorHAnsi"/>
        </w:rPr>
      </w:pPr>
      <w:r w:rsidRPr="00946A28">
        <w:rPr>
          <w:rFonts w:asciiTheme="minorHAnsi" w:hAnsiTheme="minorHAnsi" w:cstheme="minorHAnsi"/>
        </w:rPr>
        <w:t xml:space="preserve">Study Three </w:t>
      </w:r>
      <w:r w:rsidR="001C40BC" w:rsidRPr="00946A28">
        <w:rPr>
          <w:rFonts w:asciiTheme="minorHAnsi" w:hAnsiTheme="minorHAnsi" w:cstheme="minorHAnsi"/>
        </w:rPr>
        <w:t>–</w:t>
      </w:r>
      <w:r w:rsidRPr="00946A28">
        <w:rPr>
          <w:rFonts w:asciiTheme="minorHAnsi" w:hAnsiTheme="minorHAnsi" w:cstheme="minorHAnsi"/>
        </w:rPr>
        <w:t xml:space="preserve"> Casemix profiling study</w:t>
      </w:r>
    </w:p>
    <w:p w14:paraId="759DD432" w14:textId="2C2097FF" w:rsidR="00D14D94" w:rsidRPr="00946A28" w:rsidRDefault="00D14D94" w:rsidP="00D14D94">
      <w:pPr>
        <w:pStyle w:val="Normal-nospacing"/>
      </w:pPr>
      <w:r w:rsidRPr="00946A28">
        <w:t xml:space="preserve">Study Three involved the collection of variables included in the classification from an additional nationally representative sample of 69 facilities. In combination with the data from Study One, </w:t>
      </w:r>
      <w:r w:rsidRPr="00946A28">
        <w:lastRenderedPageBreak/>
        <w:t>the primary purpose of Study Three was to develop a national casemix profile of residents in ag</w:t>
      </w:r>
      <w:r w:rsidR="000E498D">
        <w:t>ed care in Australia.</w:t>
      </w:r>
    </w:p>
    <w:p w14:paraId="42E27E3F" w14:textId="77777777" w:rsidR="00D14D94" w:rsidRPr="00946A28" w:rsidRDefault="00D14D94" w:rsidP="00D14D94">
      <w:pPr>
        <w:pStyle w:val="Normal-nospacing"/>
      </w:pPr>
      <w:r w:rsidRPr="00946A28">
        <w:t>Study Three was completed between September 2018 and December 2018.</w:t>
      </w:r>
    </w:p>
    <w:p w14:paraId="061208F0" w14:textId="77777777" w:rsidR="00D14D94" w:rsidRPr="00946A28" w:rsidRDefault="00D14D94" w:rsidP="00533CF6">
      <w:pPr>
        <w:pStyle w:val="Heading4"/>
        <w:numPr>
          <w:ilvl w:val="0"/>
          <w:numId w:val="0"/>
        </w:numPr>
        <w:rPr>
          <w:rFonts w:asciiTheme="minorHAnsi" w:hAnsiTheme="minorHAnsi" w:cstheme="minorHAnsi"/>
        </w:rPr>
      </w:pPr>
      <w:r w:rsidRPr="00946A28">
        <w:rPr>
          <w:rFonts w:asciiTheme="minorHAnsi" w:hAnsiTheme="minorHAnsi" w:cstheme="minorHAnsi"/>
        </w:rPr>
        <w:t>Study Four – Reassessment study</w:t>
      </w:r>
    </w:p>
    <w:p w14:paraId="7CED8EB0" w14:textId="77777777" w:rsidR="00D14D94" w:rsidRPr="00946A28" w:rsidRDefault="00D14D94" w:rsidP="00D14D94">
      <w:pPr>
        <w:spacing w:before="120" w:after="120"/>
        <w:rPr>
          <w:rFonts w:cstheme="minorHAnsi"/>
        </w:rPr>
      </w:pPr>
      <w:r w:rsidRPr="00946A28">
        <w:rPr>
          <w:rFonts w:cstheme="minorHAnsi"/>
        </w:rPr>
        <w:t xml:space="preserve">Study Four was added to the RUCS work program in mid-2018 in recognition of value that could be added by collecting additional information about the rate and extent of change in residents’ care needs over time. Study Four involved conducting re-assessments of approximately half of the residents assessed as part of Study One four to six months after their initial assessment. </w:t>
      </w:r>
    </w:p>
    <w:p w14:paraId="701A2E7C" w14:textId="77777777" w:rsidR="00241EB9" w:rsidRDefault="00D14D94" w:rsidP="00533CF6">
      <w:pPr>
        <w:spacing w:before="120" w:after="120"/>
        <w:rPr>
          <w:rFonts w:cstheme="minorHAnsi"/>
        </w:rPr>
      </w:pPr>
      <w:r w:rsidRPr="00946A28">
        <w:rPr>
          <w:rFonts w:cstheme="minorHAnsi"/>
        </w:rPr>
        <w:t>Study Four was completed between August 2018 and December 2018.</w:t>
      </w:r>
    </w:p>
    <w:p w14:paraId="6956DB7C" w14:textId="77777777" w:rsidR="00241EB9" w:rsidRPr="00241EB9" w:rsidRDefault="00241EB9" w:rsidP="000E498D">
      <w:pPr>
        <w:pStyle w:val="Normal-nospacing"/>
        <w:spacing w:before="480"/>
        <w:rPr>
          <w:b/>
          <w:sz w:val="28"/>
          <w:szCs w:val="28"/>
        </w:rPr>
      </w:pPr>
      <w:bookmarkStart w:id="117" w:name="_Toc533150125"/>
      <w:bookmarkStart w:id="118" w:name="_Toc535397524"/>
      <w:r w:rsidRPr="00241EB9">
        <w:rPr>
          <w:b/>
          <w:sz w:val="28"/>
          <w:szCs w:val="28"/>
        </w:rPr>
        <w:t>The RUCS reports</w:t>
      </w:r>
      <w:bookmarkEnd w:id="117"/>
      <w:bookmarkEnd w:id="118"/>
    </w:p>
    <w:p w14:paraId="442F1291" w14:textId="784A2F68" w:rsidR="00241EB9" w:rsidRPr="000B42C6" w:rsidRDefault="00241EB9" w:rsidP="00241EB9">
      <w:r w:rsidRPr="000B42C6">
        <w:t xml:space="preserve">Given the complexity of </w:t>
      </w:r>
      <w:r w:rsidR="006438FA">
        <w:t xml:space="preserve">the </w:t>
      </w:r>
      <w:r w:rsidRPr="000B42C6">
        <w:t>RUCS, it has been written up in a series of reports as follows:</w:t>
      </w:r>
    </w:p>
    <w:p w14:paraId="5CE81B71" w14:textId="7E196F60" w:rsidR="00241EB9" w:rsidRPr="000B42C6" w:rsidRDefault="00241EB9" w:rsidP="00241EB9">
      <w:pPr>
        <w:pStyle w:val="Bullet"/>
      </w:pPr>
      <w:bookmarkStart w:id="119" w:name="_Toc533150126"/>
      <w:r w:rsidRPr="00792FA6">
        <w:rPr>
          <w:b/>
        </w:rPr>
        <w:t xml:space="preserve">Report </w:t>
      </w:r>
      <w:r w:rsidR="00CB533F">
        <w:rPr>
          <w:b/>
        </w:rPr>
        <w:t>1</w:t>
      </w:r>
      <w:r w:rsidRPr="00792FA6">
        <w:rPr>
          <w:b/>
        </w:rPr>
        <w:t>: The Australian National Aged Care Classification (AN-ACC)</w:t>
      </w:r>
      <w:bookmarkEnd w:id="119"/>
    </w:p>
    <w:p w14:paraId="4F71A4ED" w14:textId="16F1A48D" w:rsidR="00241EB9" w:rsidRPr="000B42C6" w:rsidRDefault="00241EB9" w:rsidP="00241EB9">
      <w:pPr>
        <w:pStyle w:val="Bullet"/>
        <w:numPr>
          <w:ilvl w:val="0"/>
          <w:numId w:val="0"/>
        </w:numPr>
        <w:ind w:left="357"/>
      </w:pPr>
      <w:r w:rsidRPr="000B42C6">
        <w:t xml:space="preserve">Report </w:t>
      </w:r>
      <w:r w:rsidR="003764BC">
        <w:t>1</w:t>
      </w:r>
      <w:r w:rsidRPr="000B42C6">
        <w:t xml:space="preserve"> covers the design and conduct of the study undertaken to develop the AN-ACC</w:t>
      </w:r>
      <w:r w:rsidR="00CB533F">
        <w:t xml:space="preserve"> Version 1.0</w:t>
      </w:r>
      <w:r w:rsidR="00A10841">
        <w:t xml:space="preserve"> (Study One)</w:t>
      </w:r>
      <w:r w:rsidR="00CB533F">
        <w:t xml:space="preserve">. </w:t>
      </w:r>
      <w:r w:rsidRPr="000B42C6">
        <w:t>It covers the design and use of the AN-ACC assessment tool and the resource utilisation study undertaken to develop AN-ACC Version 1</w:t>
      </w:r>
      <w:r w:rsidR="00CB533F">
        <w:t>.0</w:t>
      </w:r>
      <w:r w:rsidRPr="000B42C6">
        <w:t>, including the preparation and analysis of the data collection. It discusses the results, the classification development process and key outcomes including the statistical an</w:t>
      </w:r>
      <w:r w:rsidR="000E498D">
        <w:t>alysis and clinical validation.</w:t>
      </w:r>
    </w:p>
    <w:p w14:paraId="55D100FF" w14:textId="416E05E8" w:rsidR="00241EB9" w:rsidRPr="00792FA6" w:rsidRDefault="00241EB9" w:rsidP="00241EB9">
      <w:pPr>
        <w:pStyle w:val="Bullet"/>
        <w:rPr>
          <w:b/>
        </w:rPr>
      </w:pPr>
      <w:bookmarkStart w:id="120" w:name="_Toc533150127"/>
      <w:r w:rsidRPr="00792FA6">
        <w:rPr>
          <w:b/>
        </w:rPr>
        <w:t xml:space="preserve">Report </w:t>
      </w:r>
      <w:r w:rsidR="00CB533F">
        <w:rPr>
          <w:b/>
        </w:rPr>
        <w:t>2</w:t>
      </w:r>
      <w:r w:rsidRPr="00792FA6">
        <w:rPr>
          <w:b/>
        </w:rPr>
        <w:t>: The AN-ACC assessment model</w:t>
      </w:r>
      <w:bookmarkEnd w:id="120"/>
    </w:p>
    <w:p w14:paraId="4E201BDD" w14:textId="5625162F" w:rsidR="00241EB9" w:rsidRPr="000B42C6" w:rsidRDefault="00241EB9" w:rsidP="00241EB9">
      <w:pPr>
        <w:pStyle w:val="Bullet"/>
        <w:numPr>
          <w:ilvl w:val="0"/>
          <w:numId w:val="0"/>
        </w:numPr>
        <w:ind w:left="357"/>
      </w:pPr>
      <w:r w:rsidRPr="000B42C6">
        <w:t xml:space="preserve">Report </w:t>
      </w:r>
      <w:r w:rsidR="003764BC">
        <w:t>2</w:t>
      </w:r>
      <w:r w:rsidRPr="000B42C6">
        <w:t xml:space="preserve"> presents detailed findings relating to the external assessment tool and assessment process</w:t>
      </w:r>
      <w:r w:rsidR="00587BA1">
        <w:t xml:space="preserve"> (</w:t>
      </w:r>
      <w:r w:rsidR="00A10841">
        <w:t>informed by Stud</w:t>
      </w:r>
      <w:r w:rsidR="00587BA1">
        <w:t>ies</w:t>
      </w:r>
      <w:r w:rsidR="00A10841">
        <w:t xml:space="preserve"> One</w:t>
      </w:r>
      <w:r w:rsidR="00587BA1">
        <w:t>, Three</w:t>
      </w:r>
      <w:r w:rsidR="00A10841">
        <w:t xml:space="preserve"> and Four</w:t>
      </w:r>
      <w:r w:rsidR="00587BA1">
        <w:t>)</w:t>
      </w:r>
      <w:r w:rsidR="000E498D">
        <w:t xml:space="preserve">. </w:t>
      </w:r>
      <w:r w:rsidRPr="000B42C6">
        <w:t>This includes the development of the assessment tool using expert clinical panels and a summary of feedback from assessors regarding the use of the tool and the suitability of individual instruments. The skills and competencies required for the assessment workforce and other implications for implementation of the external assessment model are considered as well as triggers and protocols for reassessment.</w:t>
      </w:r>
    </w:p>
    <w:p w14:paraId="40D9D656" w14:textId="033BA170" w:rsidR="00241EB9" w:rsidRPr="00792FA6" w:rsidRDefault="00241EB9" w:rsidP="00241EB9">
      <w:pPr>
        <w:pStyle w:val="Bullet"/>
        <w:rPr>
          <w:b/>
        </w:rPr>
      </w:pPr>
      <w:bookmarkStart w:id="121" w:name="_Toc533150128"/>
      <w:r w:rsidRPr="00792FA6">
        <w:rPr>
          <w:b/>
        </w:rPr>
        <w:t xml:space="preserve">Report </w:t>
      </w:r>
      <w:r w:rsidR="00CB533F">
        <w:rPr>
          <w:b/>
        </w:rPr>
        <w:t>3</w:t>
      </w:r>
      <w:r w:rsidRPr="00792FA6">
        <w:rPr>
          <w:b/>
        </w:rPr>
        <w:t>: Structural and individual costs of residential aged care services in Australia</w:t>
      </w:r>
      <w:bookmarkEnd w:id="121"/>
    </w:p>
    <w:p w14:paraId="00006E0C" w14:textId="5B8BF770" w:rsidR="00241EB9" w:rsidRPr="000B42C6" w:rsidRDefault="00241EB9" w:rsidP="00241EB9">
      <w:pPr>
        <w:pStyle w:val="Bullet"/>
        <w:numPr>
          <w:ilvl w:val="0"/>
          <w:numId w:val="0"/>
        </w:numPr>
        <w:ind w:left="357"/>
      </w:pPr>
      <w:r w:rsidRPr="000B42C6">
        <w:t xml:space="preserve">Report </w:t>
      </w:r>
      <w:r w:rsidR="003764BC">
        <w:t>3</w:t>
      </w:r>
      <w:r w:rsidRPr="000B42C6">
        <w:t xml:space="preserve"> presents the analysis and findings of Study Two which identified the proportions of total care costs that are fixed (including shared care) and variable (relating to individualised resident care). The analysis focused on the differences in fixed costs between different types of facilities, characterised by ownership, size, remoteness and service specialisation.  It includes an analysis of the drivers of fixed care costs.</w:t>
      </w:r>
    </w:p>
    <w:p w14:paraId="2B8A7CCE" w14:textId="1894802F" w:rsidR="00241EB9" w:rsidRPr="00792FA6" w:rsidRDefault="00241EB9" w:rsidP="00241EB9">
      <w:pPr>
        <w:pStyle w:val="Bullet"/>
        <w:rPr>
          <w:b/>
        </w:rPr>
      </w:pPr>
      <w:bookmarkStart w:id="122" w:name="_Toc533150129"/>
      <w:r w:rsidRPr="00792FA6">
        <w:rPr>
          <w:b/>
        </w:rPr>
        <w:t xml:space="preserve">Report </w:t>
      </w:r>
      <w:r w:rsidR="00CB533F">
        <w:rPr>
          <w:b/>
        </w:rPr>
        <w:t>4</w:t>
      </w:r>
      <w:r w:rsidRPr="00792FA6">
        <w:rPr>
          <w:b/>
        </w:rPr>
        <w:t>: Modelling the impact of the AN-ACC in Australia</w:t>
      </w:r>
      <w:bookmarkEnd w:id="122"/>
    </w:p>
    <w:p w14:paraId="7AE2B863" w14:textId="5D3BD2AB" w:rsidR="00241EB9" w:rsidRPr="000B42C6" w:rsidRDefault="00241EB9" w:rsidP="00241EB9">
      <w:pPr>
        <w:pStyle w:val="Bullet"/>
        <w:numPr>
          <w:ilvl w:val="0"/>
          <w:numId w:val="0"/>
        </w:numPr>
        <w:ind w:left="357"/>
      </w:pPr>
      <w:r w:rsidRPr="000B42C6">
        <w:t xml:space="preserve">Report </w:t>
      </w:r>
      <w:r w:rsidR="003764BC">
        <w:t>4</w:t>
      </w:r>
      <w:r w:rsidRPr="000B42C6">
        <w:t xml:space="preserve"> presents an analysis of modelling the introduction of the AN-ACC across Australia. This is based on the findings of Study Three. The sampling and assessment data collection process and the casemix of residents in aged care across Australia are described. The focus of this report is on modelling the introduction of the AN-ACC to replace the ACFI.</w:t>
      </w:r>
    </w:p>
    <w:p w14:paraId="66C89584" w14:textId="1C310C2C" w:rsidR="00241EB9" w:rsidRPr="00792FA6" w:rsidRDefault="00241EB9" w:rsidP="00241EB9">
      <w:pPr>
        <w:pStyle w:val="Bullet"/>
        <w:rPr>
          <w:b/>
        </w:rPr>
      </w:pPr>
      <w:bookmarkStart w:id="123" w:name="_Toc533150130"/>
      <w:r w:rsidRPr="00792FA6">
        <w:rPr>
          <w:b/>
        </w:rPr>
        <w:t xml:space="preserve">Report </w:t>
      </w:r>
      <w:r w:rsidR="00CB533F">
        <w:rPr>
          <w:b/>
        </w:rPr>
        <w:t>5</w:t>
      </w:r>
      <w:r w:rsidRPr="00792FA6">
        <w:rPr>
          <w:b/>
        </w:rPr>
        <w:t>: AN-ACC: A funding model for the residential aged care sector</w:t>
      </w:r>
      <w:bookmarkEnd w:id="123"/>
    </w:p>
    <w:p w14:paraId="381CC3D8" w14:textId="3A6B4B9D" w:rsidR="00241EB9" w:rsidRPr="000B42C6" w:rsidRDefault="00241EB9" w:rsidP="00241EB9">
      <w:pPr>
        <w:pStyle w:val="Bullet"/>
        <w:numPr>
          <w:ilvl w:val="0"/>
          <w:numId w:val="0"/>
        </w:numPr>
        <w:ind w:left="357"/>
      </w:pPr>
      <w:r w:rsidRPr="000B42C6">
        <w:lastRenderedPageBreak/>
        <w:t xml:space="preserve">Report </w:t>
      </w:r>
      <w:r w:rsidR="003764BC">
        <w:t>5</w:t>
      </w:r>
      <w:r w:rsidRPr="000B42C6">
        <w:t xml:space="preserve"> presents the design of a new fun</w:t>
      </w:r>
      <w:r w:rsidR="000E498D">
        <w:t>ding model based on the AN-ACC.</w:t>
      </w:r>
      <w:r w:rsidRPr="000B42C6">
        <w:t xml:space="preserve"> It includes a consideration of other payment issues such as existing payment supplements, a discussion of incentives in funding model design and key issues </w:t>
      </w:r>
      <w:r w:rsidR="000E498D">
        <w:t>in implementing the new model.</w:t>
      </w:r>
    </w:p>
    <w:p w14:paraId="4291F59C" w14:textId="4DEBFEFD" w:rsidR="00241EB9" w:rsidRPr="00792FA6" w:rsidRDefault="00241EB9" w:rsidP="00241EB9">
      <w:pPr>
        <w:pStyle w:val="Bullet"/>
        <w:rPr>
          <w:b/>
        </w:rPr>
      </w:pPr>
      <w:bookmarkStart w:id="124" w:name="_Toc533150131"/>
      <w:r w:rsidRPr="00792FA6">
        <w:rPr>
          <w:b/>
        </w:rPr>
        <w:t xml:space="preserve">Report </w:t>
      </w:r>
      <w:r w:rsidR="00CB533F">
        <w:rPr>
          <w:b/>
        </w:rPr>
        <w:t>6</w:t>
      </w:r>
      <w:r w:rsidRPr="00792FA6">
        <w:rPr>
          <w:b/>
        </w:rPr>
        <w:t>: AN-ACC: A national classification and funding model for residential aged care: synthesis and consolidated recommendations</w:t>
      </w:r>
      <w:bookmarkEnd w:id="124"/>
    </w:p>
    <w:p w14:paraId="748827BA" w14:textId="50825635" w:rsidR="00241EB9" w:rsidRPr="000B42C6" w:rsidRDefault="00241EB9" w:rsidP="00241EB9">
      <w:pPr>
        <w:pStyle w:val="Bullet"/>
        <w:numPr>
          <w:ilvl w:val="0"/>
          <w:numId w:val="0"/>
        </w:numPr>
        <w:ind w:left="357"/>
      </w:pPr>
      <w:r w:rsidRPr="000B42C6">
        <w:t>This report synthes</w:t>
      </w:r>
      <w:r w:rsidR="00E52A3B">
        <w:t>is</w:t>
      </w:r>
      <w:r w:rsidRPr="000B42C6">
        <w:t>es and consolidates the findings presented in other reports and provides a consolidated set of recommendations.</w:t>
      </w:r>
    </w:p>
    <w:p w14:paraId="26690468" w14:textId="719C0511" w:rsidR="00241EB9" w:rsidRPr="00792FA6" w:rsidRDefault="00241EB9" w:rsidP="00241EB9">
      <w:pPr>
        <w:pStyle w:val="Bullet"/>
        <w:rPr>
          <w:b/>
        </w:rPr>
      </w:pPr>
      <w:bookmarkStart w:id="125" w:name="_Toc533150132"/>
      <w:r w:rsidRPr="00792FA6">
        <w:rPr>
          <w:b/>
        </w:rPr>
        <w:t xml:space="preserve">Report </w:t>
      </w:r>
      <w:r w:rsidR="00CB533F">
        <w:rPr>
          <w:b/>
        </w:rPr>
        <w:t>7</w:t>
      </w:r>
      <w:r w:rsidRPr="00792FA6">
        <w:rPr>
          <w:b/>
        </w:rPr>
        <w:t>: AN-ACC Technical appendices</w:t>
      </w:r>
      <w:bookmarkEnd w:id="125"/>
    </w:p>
    <w:p w14:paraId="25DACA99" w14:textId="77777777" w:rsidR="00241EB9" w:rsidRDefault="00241EB9" w:rsidP="00241EB9">
      <w:pPr>
        <w:pStyle w:val="Bullet"/>
        <w:numPr>
          <w:ilvl w:val="0"/>
          <w:numId w:val="0"/>
        </w:numPr>
        <w:ind w:left="357"/>
      </w:pPr>
      <w:r w:rsidRPr="000B42C6">
        <w:t>This report is a series of technical appendices that contain detailed data for reference purposes.</w:t>
      </w:r>
    </w:p>
    <w:p w14:paraId="071A3A2B" w14:textId="14363993" w:rsidR="00241EB9" w:rsidRDefault="00241EB9">
      <w:pPr>
        <w:rPr>
          <w:rFonts w:ascii="Calibri" w:hAnsi="Calibri" w:cs="Calibri"/>
        </w:rPr>
      </w:pPr>
      <w:r>
        <w:br w:type="page"/>
      </w:r>
    </w:p>
    <w:p w14:paraId="1DEC48A3" w14:textId="3926BE90" w:rsidR="00B45C37" w:rsidRDefault="0092208F" w:rsidP="00C06B51">
      <w:pPr>
        <w:pStyle w:val="Heading1"/>
        <w:numPr>
          <w:ilvl w:val="0"/>
          <w:numId w:val="0"/>
        </w:numPr>
      </w:pPr>
      <w:bookmarkStart w:id="126" w:name="_Ref528920996"/>
      <w:bookmarkStart w:id="127" w:name="_Toc952752"/>
      <w:r>
        <w:lastRenderedPageBreak/>
        <w:t>Appendix 2</w:t>
      </w:r>
      <w:bookmarkEnd w:id="126"/>
      <w:bookmarkEnd w:id="127"/>
    </w:p>
    <w:p w14:paraId="769E828E" w14:textId="755B5E62" w:rsidR="00685D66" w:rsidRDefault="00247716" w:rsidP="00C06B51">
      <w:pPr>
        <w:pStyle w:val="Heading1"/>
        <w:numPr>
          <w:ilvl w:val="0"/>
          <w:numId w:val="0"/>
        </w:numPr>
      </w:pPr>
      <w:bookmarkStart w:id="128" w:name="_Toc952753"/>
      <w:r>
        <w:t>List of p</w:t>
      </w:r>
      <w:r w:rsidR="0071023C">
        <w:t>articipating facilities</w:t>
      </w:r>
      <w:bookmarkEnd w:id="128"/>
    </w:p>
    <w:tbl>
      <w:tblPr>
        <w:tblStyle w:val="TableGrid"/>
        <w:tblW w:w="0" w:type="auto"/>
        <w:tblLook w:val="04A0" w:firstRow="1" w:lastRow="0" w:firstColumn="1" w:lastColumn="0" w:noHBand="0" w:noVBand="1"/>
        <w:tblCaption w:val="List of participating facilities"/>
        <w:tblDescription w:val="This is a list of participating facilities and the suburbs and States where they are located. This table is to be read as a series of rows from left to right ('facility name' then 'suburb' then 'State'), top to bottom."/>
      </w:tblPr>
      <w:tblGrid>
        <w:gridCol w:w="5504"/>
        <w:gridCol w:w="2029"/>
        <w:gridCol w:w="736"/>
      </w:tblGrid>
      <w:tr w:rsidR="00B46A82" w14:paraId="589FB24E" w14:textId="77777777" w:rsidTr="00944E0E">
        <w:trPr>
          <w:tblHeader/>
        </w:trPr>
        <w:tc>
          <w:tcPr>
            <w:tcW w:w="0" w:type="auto"/>
            <w:shd w:val="clear" w:color="auto" w:fill="D9D9D9" w:themeFill="background1" w:themeFillShade="D9"/>
          </w:tcPr>
          <w:p w14:paraId="3A038922" w14:textId="77777777" w:rsidR="00B46A82" w:rsidRPr="00B46A82" w:rsidRDefault="00B46A82" w:rsidP="00944E0E">
            <w:pPr>
              <w:spacing w:before="40" w:after="40"/>
              <w:rPr>
                <w:b/>
              </w:rPr>
            </w:pPr>
            <w:r w:rsidRPr="00B46A82">
              <w:rPr>
                <w:b/>
              </w:rPr>
              <w:t>Facility Name</w:t>
            </w:r>
          </w:p>
        </w:tc>
        <w:tc>
          <w:tcPr>
            <w:tcW w:w="0" w:type="auto"/>
            <w:shd w:val="clear" w:color="auto" w:fill="D9D9D9" w:themeFill="background1" w:themeFillShade="D9"/>
          </w:tcPr>
          <w:p w14:paraId="34B0A775" w14:textId="77777777" w:rsidR="00B46A82" w:rsidRPr="00B46A82" w:rsidRDefault="00B46A82" w:rsidP="00944E0E">
            <w:pPr>
              <w:spacing w:before="40" w:after="40"/>
              <w:rPr>
                <w:b/>
              </w:rPr>
            </w:pPr>
            <w:r w:rsidRPr="00B46A82">
              <w:rPr>
                <w:b/>
              </w:rPr>
              <w:t>Suburb</w:t>
            </w:r>
          </w:p>
        </w:tc>
        <w:tc>
          <w:tcPr>
            <w:tcW w:w="0" w:type="auto"/>
            <w:shd w:val="clear" w:color="auto" w:fill="D9D9D9" w:themeFill="background1" w:themeFillShade="D9"/>
          </w:tcPr>
          <w:p w14:paraId="7814FFA1" w14:textId="77777777" w:rsidR="00B46A82" w:rsidRPr="00B46A82" w:rsidRDefault="00B46A82" w:rsidP="00944E0E">
            <w:pPr>
              <w:spacing w:before="40" w:after="40"/>
              <w:rPr>
                <w:b/>
              </w:rPr>
            </w:pPr>
            <w:r w:rsidRPr="00B46A82">
              <w:rPr>
                <w:b/>
              </w:rPr>
              <w:t>State</w:t>
            </w:r>
          </w:p>
        </w:tc>
      </w:tr>
      <w:tr w:rsidR="00B46A82" w:rsidRPr="00B46A82" w14:paraId="2AA87743" w14:textId="77777777" w:rsidTr="00304AE5">
        <w:trPr>
          <w:trHeight w:val="300"/>
        </w:trPr>
        <w:tc>
          <w:tcPr>
            <w:tcW w:w="0" w:type="auto"/>
            <w:hideMark/>
          </w:tcPr>
          <w:p w14:paraId="01884D0E"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BaptistCare Carey Gardens Centre</w:t>
            </w:r>
          </w:p>
        </w:tc>
        <w:tc>
          <w:tcPr>
            <w:tcW w:w="0" w:type="auto"/>
            <w:hideMark/>
          </w:tcPr>
          <w:p w14:paraId="6500C915"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Red Hill</w:t>
            </w:r>
          </w:p>
        </w:tc>
        <w:tc>
          <w:tcPr>
            <w:tcW w:w="0" w:type="auto"/>
            <w:hideMark/>
          </w:tcPr>
          <w:p w14:paraId="6A2F10E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ACT</w:t>
            </w:r>
          </w:p>
        </w:tc>
      </w:tr>
      <w:tr w:rsidR="00B46A82" w:rsidRPr="00B46A82" w14:paraId="1C2B522D" w14:textId="77777777" w:rsidTr="00304AE5">
        <w:trPr>
          <w:trHeight w:val="300"/>
        </w:trPr>
        <w:tc>
          <w:tcPr>
            <w:tcW w:w="0" w:type="auto"/>
            <w:hideMark/>
          </w:tcPr>
          <w:p w14:paraId="1BF41D2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St Andrews Village Hostel</w:t>
            </w:r>
          </w:p>
        </w:tc>
        <w:tc>
          <w:tcPr>
            <w:tcW w:w="0" w:type="auto"/>
            <w:hideMark/>
          </w:tcPr>
          <w:p w14:paraId="7F0F5CDF"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Hughes</w:t>
            </w:r>
          </w:p>
        </w:tc>
        <w:tc>
          <w:tcPr>
            <w:tcW w:w="0" w:type="auto"/>
            <w:hideMark/>
          </w:tcPr>
          <w:p w14:paraId="0B6AD2F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ACT</w:t>
            </w:r>
          </w:p>
        </w:tc>
      </w:tr>
      <w:tr w:rsidR="00B46A82" w:rsidRPr="00B46A82" w14:paraId="12305FFF" w14:textId="77777777" w:rsidTr="00304AE5">
        <w:trPr>
          <w:trHeight w:val="300"/>
        </w:trPr>
        <w:tc>
          <w:tcPr>
            <w:tcW w:w="0" w:type="auto"/>
            <w:hideMark/>
          </w:tcPr>
          <w:p w14:paraId="44FC4E0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UnitingCare Ageing Mirinjani Hostel</w:t>
            </w:r>
          </w:p>
        </w:tc>
        <w:tc>
          <w:tcPr>
            <w:tcW w:w="0" w:type="auto"/>
            <w:hideMark/>
          </w:tcPr>
          <w:p w14:paraId="1E4A5FE6"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Weston</w:t>
            </w:r>
          </w:p>
        </w:tc>
        <w:tc>
          <w:tcPr>
            <w:tcW w:w="0" w:type="auto"/>
            <w:hideMark/>
          </w:tcPr>
          <w:p w14:paraId="264DCFFA"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ACT</w:t>
            </w:r>
          </w:p>
        </w:tc>
      </w:tr>
      <w:tr w:rsidR="00B46A82" w:rsidRPr="00B46A82" w14:paraId="4D785707" w14:textId="77777777" w:rsidTr="00304AE5">
        <w:trPr>
          <w:trHeight w:val="300"/>
        </w:trPr>
        <w:tc>
          <w:tcPr>
            <w:tcW w:w="0" w:type="auto"/>
            <w:hideMark/>
          </w:tcPr>
          <w:p w14:paraId="64DF79A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Anglican Care Cedar Wharf Lodge</w:t>
            </w:r>
          </w:p>
        </w:tc>
        <w:tc>
          <w:tcPr>
            <w:tcW w:w="0" w:type="auto"/>
            <w:hideMark/>
          </w:tcPr>
          <w:p w14:paraId="6C49CD9B"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Bulahdelah</w:t>
            </w:r>
          </w:p>
        </w:tc>
        <w:tc>
          <w:tcPr>
            <w:tcW w:w="0" w:type="auto"/>
            <w:hideMark/>
          </w:tcPr>
          <w:p w14:paraId="6661B56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3DA9E1F2" w14:textId="77777777" w:rsidTr="00304AE5">
        <w:trPr>
          <w:trHeight w:val="300"/>
        </w:trPr>
        <w:tc>
          <w:tcPr>
            <w:tcW w:w="0" w:type="auto"/>
            <w:hideMark/>
          </w:tcPr>
          <w:p w14:paraId="1CAF8D0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Blue Haven Care</w:t>
            </w:r>
          </w:p>
        </w:tc>
        <w:tc>
          <w:tcPr>
            <w:tcW w:w="0" w:type="auto"/>
            <w:hideMark/>
          </w:tcPr>
          <w:p w14:paraId="15C0EA3B"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Kiama</w:t>
            </w:r>
          </w:p>
        </w:tc>
        <w:tc>
          <w:tcPr>
            <w:tcW w:w="0" w:type="auto"/>
            <w:hideMark/>
          </w:tcPr>
          <w:p w14:paraId="24E699E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32C0BB87" w14:textId="77777777" w:rsidTr="00304AE5">
        <w:trPr>
          <w:trHeight w:val="300"/>
        </w:trPr>
        <w:tc>
          <w:tcPr>
            <w:tcW w:w="0" w:type="auto"/>
            <w:hideMark/>
          </w:tcPr>
          <w:p w14:paraId="394DC3E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Bupa Ashfield</w:t>
            </w:r>
          </w:p>
        </w:tc>
        <w:tc>
          <w:tcPr>
            <w:tcW w:w="0" w:type="auto"/>
            <w:hideMark/>
          </w:tcPr>
          <w:p w14:paraId="7761373A"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Ashfield</w:t>
            </w:r>
          </w:p>
        </w:tc>
        <w:tc>
          <w:tcPr>
            <w:tcW w:w="0" w:type="auto"/>
            <w:hideMark/>
          </w:tcPr>
          <w:p w14:paraId="6790A2C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6FA7A8B0" w14:textId="77777777" w:rsidTr="00304AE5">
        <w:trPr>
          <w:trHeight w:val="300"/>
        </w:trPr>
        <w:tc>
          <w:tcPr>
            <w:tcW w:w="0" w:type="auto"/>
            <w:hideMark/>
          </w:tcPr>
          <w:p w14:paraId="26E6F5B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Dougherty Apartments</w:t>
            </w:r>
          </w:p>
        </w:tc>
        <w:tc>
          <w:tcPr>
            <w:tcW w:w="0" w:type="auto"/>
            <w:hideMark/>
          </w:tcPr>
          <w:p w14:paraId="056D7F38"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Chatswood</w:t>
            </w:r>
          </w:p>
        </w:tc>
        <w:tc>
          <w:tcPr>
            <w:tcW w:w="0" w:type="auto"/>
            <w:hideMark/>
          </w:tcPr>
          <w:p w14:paraId="54B645F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6A106642" w14:textId="77777777" w:rsidTr="00304AE5">
        <w:trPr>
          <w:trHeight w:val="300"/>
        </w:trPr>
        <w:tc>
          <w:tcPr>
            <w:tcW w:w="0" w:type="auto"/>
            <w:hideMark/>
          </w:tcPr>
          <w:p w14:paraId="0DFF677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Estia Health Bexley</w:t>
            </w:r>
          </w:p>
        </w:tc>
        <w:tc>
          <w:tcPr>
            <w:tcW w:w="0" w:type="auto"/>
            <w:hideMark/>
          </w:tcPr>
          <w:p w14:paraId="1A312011"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Bexley</w:t>
            </w:r>
          </w:p>
        </w:tc>
        <w:tc>
          <w:tcPr>
            <w:tcW w:w="0" w:type="auto"/>
            <w:hideMark/>
          </w:tcPr>
          <w:p w14:paraId="69A7EBD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79A3405B" w14:textId="77777777" w:rsidTr="00304AE5">
        <w:trPr>
          <w:trHeight w:val="300"/>
        </w:trPr>
        <w:tc>
          <w:tcPr>
            <w:tcW w:w="0" w:type="auto"/>
            <w:hideMark/>
          </w:tcPr>
          <w:p w14:paraId="122FDE2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Heritage Lodge Assisted Aged Care</w:t>
            </w:r>
          </w:p>
        </w:tc>
        <w:tc>
          <w:tcPr>
            <w:tcW w:w="0" w:type="auto"/>
            <w:hideMark/>
          </w:tcPr>
          <w:p w14:paraId="516B22E9"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Murwillumbah</w:t>
            </w:r>
          </w:p>
        </w:tc>
        <w:tc>
          <w:tcPr>
            <w:tcW w:w="0" w:type="auto"/>
            <w:hideMark/>
          </w:tcPr>
          <w:p w14:paraId="1627383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4F41E2B6" w14:textId="77777777" w:rsidTr="00304AE5">
        <w:trPr>
          <w:trHeight w:val="300"/>
        </w:trPr>
        <w:tc>
          <w:tcPr>
            <w:tcW w:w="0" w:type="auto"/>
            <w:hideMark/>
          </w:tcPr>
          <w:p w14:paraId="06E8E8B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Jonathan Rogers GC House</w:t>
            </w:r>
          </w:p>
        </w:tc>
        <w:tc>
          <w:tcPr>
            <w:tcW w:w="0" w:type="auto"/>
            <w:hideMark/>
          </w:tcPr>
          <w:p w14:paraId="30352992"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Nowra</w:t>
            </w:r>
          </w:p>
        </w:tc>
        <w:tc>
          <w:tcPr>
            <w:tcW w:w="0" w:type="auto"/>
            <w:hideMark/>
          </w:tcPr>
          <w:p w14:paraId="0288A58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4B95CAB9" w14:textId="77777777" w:rsidTr="00304AE5">
        <w:trPr>
          <w:trHeight w:val="300"/>
        </w:trPr>
        <w:tc>
          <w:tcPr>
            <w:tcW w:w="0" w:type="auto"/>
            <w:hideMark/>
          </w:tcPr>
          <w:p w14:paraId="2DA3375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McCauley Lodge</w:t>
            </w:r>
          </w:p>
        </w:tc>
        <w:tc>
          <w:tcPr>
            <w:tcW w:w="0" w:type="auto"/>
            <w:hideMark/>
          </w:tcPr>
          <w:p w14:paraId="698EB934"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Thirroul</w:t>
            </w:r>
          </w:p>
        </w:tc>
        <w:tc>
          <w:tcPr>
            <w:tcW w:w="0" w:type="auto"/>
            <w:hideMark/>
          </w:tcPr>
          <w:p w14:paraId="2363ED5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0574549E" w14:textId="77777777" w:rsidTr="00304AE5">
        <w:trPr>
          <w:trHeight w:val="300"/>
        </w:trPr>
        <w:tc>
          <w:tcPr>
            <w:tcW w:w="0" w:type="auto"/>
            <w:hideMark/>
          </w:tcPr>
          <w:p w14:paraId="4C8EEF0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Pennant Hills Aged Care Facility</w:t>
            </w:r>
          </w:p>
        </w:tc>
        <w:tc>
          <w:tcPr>
            <w:tcW w:w="0" w:type="auto"/>
            <w:hideMark/>
          </w:tcPr>
          <w:p w14:paraId="2275A961"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Pennant</w:t>
            </w:r>
            <w:r w:rsidR="00B46A82" w:rsidRPr="00B46A82">
              <w:rPr>
                <w:rFonts w:ascii="Calibri" w:hAnsi="Calibri" w:cs="Calibri"/>
                <w:sz w:val="22"/>
                <w:szCs w:val="22"/>
              </w:rPr>
              <w:t xml:space="preserve"> H</w:t>
            </w:r>
            <w:r>
              <w:rPr>
                <w:rFonts w:ascii="Calibri" w:hAnsi="Calibri" w:cs="Calibri"/>
                <w:sz w:val="22"/>
                <w:szCs w:val="22"/>
              </w:rPr>
              <w:t>ills</w:t>
            </w:r>
          </w:p>
        </w:tc>
        <w:tc>
          <w:tcPr>
            <w:tcW w:w="0" w:type="auto"/>
            <w:hideMark/>
          </w:tcPr>
          <w:p w14:paraId="16EFB80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3C62F18B" w14:textId="77777777" w:rsidTr="00304AE5">
        <w:trPr>
          <w:trHeight w:val="300"/>
        </w:trPr>
        <w:tc>
          <w:tcPr>
            <w:tcW w:w="0" w:type="auto"/>
            <w:hideMark/>
          </w:tcPr>
          <w:p w14:paraId="5ADEE3F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Kari Court St Ives</w:t>
            </w:r>
          </w:p>
        </w:tc>
        <w:tc>
          <w:tcPr>
            <w:tcW w:w="0" w:type="auto"/>
            <w:hideMark/>
          </w:tcPr>
          <w:p w14:paraId="33DCB89A"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St Ives</w:t>
            </w:r>
          </w:p>
        </w:tc>
        <w:tc>
          <w:tcPr>
            <w:tcW w:w="0" w:type="auto"/>
            <w:hideMark/>
          </w:tcPr>
          <w:p w14:paraId="35A2AA1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621DF8B4" w14:textId="77777777" w:rsidTr="00304AE5">
        <w:trPr>
          <w:trHeight w:val="300"/>
        </w:trPr>
        <w:tc>
          <w:tcPr>
            <w:tcW w:w="0" w:type="auto"/>
            <w:hideMark/>
          </w:tcPr>
          <w:p w14:paraId="3AD9312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Starrett Lodge Hamlyn Terrace</w:t>
            </w:r>
          </w:p>
        </w:tc>
        <w:tc>
          <w:tcPr>
            <w:tcW w:w="0" w:type="auto"/>
            <w:hideMark/>
          </w:tcPr>
          <w:p w14:paraId="393F3581"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H</w:t>
            </w:r>
            <w:r w:rsidR="00FD3D1E">
              <w:rPr>
                <w:rFonts w:ascii="Calibri" w:hAnsi="Calibri" w:cs="Calibri"/>
                <w:color w:val="000000"/>
                <w:sz w:val="22"/>
                <w:szCs w:val="22"/>
              </w:rPr>
              <w:t>amlyn</w:t>
            </w:r>
            <w:r w:rsidRPr="00B46A82">
              <w:rPr>
                <w:rFonts w:ascii="Calibri" w:hAnsi="Calibri" w:cs="Calibri"/>
                <w:color w:val="000000"/>
                <w:sz w:val="22"/>
                <w:szCs w:val="22"/>
              </w:rPr>
              <w:t xml:space="preserve"> T</w:t>
            </w:r>
            <w:r w:rsidR="00FD3D1E">
              <w:rPr>
                <w:rFonts w:ascii="Calibri" w:hAnsi="Calibri" w:cs="Calibri"/>
                <w:color w:val="000000"/>
                <w:sz w:val="22"/>
                <w:szCs w:val="22"/>
              </w:rPr>
              <w:t>errace</w:t>
            </w:r>
          </w:p>
        </w:tc>
        <w:tc>
          <w:tcPr>
            <w:tcW w:w="0" w:type="auto"/>
            <w:hideMark/>
          </w:tcPr>
          <w:p w14:paraId="48F4604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47BDB7EB" w14:textId="77777777" w:rsidTr="00304AE5">
        <w:trPr>
          <w:trHeight w:val="300"/>
        </w:trPr>
        <w:tc>
          <w:tcPr>
            <w:tcW w:w="0" w:type="auto"/>
            <w:hideMark/>
          </w:tcPr>
          <w:p w14:paraId="32DAEFBA"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Wesley Gardens Belrose</w:t>
            </w:r>
          </w:p>
        </w:tc>
        <w:tc>
          <w:tcPr>
            <w:tcW w:w="0" w:type="auto"/>
            <w:hideMark/>
          </w:tcPr>
          <w:p w14:paraId="142B8059"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Belrose</w:t>
            </w:r>
          </w:p>
        </w:tc>
        <w:tc>
          <w:tcPr>
            <w:tcW w:w="0" w:type="auto"/>
            <w:hideMark/>
          </w:tcPr>
          <w:p w14:paraId="63E79EA3"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3CA935A2" w14:textId="77777777" w:rsidTr="00304AE5">
        <w:trPr>
          <w:trHeight w:val="300"/>
        </w:trPr>
        <w:tc>
          <w:tcPr>
            <w:tcW w:w="0" w:type="auto"/>
            <w:hideMark/>
          </w:tcPr>
          <w:p w14:paraId="5445910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UnitingCare Mayflower Village Gerringong</w:t>
            </w:r>
          </w:p>
        </w:tc>
        <w:tc>
          <w:tcPr>
            <w:tcW w:w="0" w:type="auto"/>
            <w:hideMark/>
          </w:tcPr>
          <w:p w14:paraId="0BD8BD04"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Gerringong</w:t>
            </w:r>
          </w:p>
        </w:tc>
        <w:tc>
          <w:tcPr>
            <w:tcW w:w="0" w:type="auto"/>
            <w:hideMark/>
          </w:tcPr>
          <w:p w14:paraId="14D7FA4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3ED492EA" w14:textId="77777777" w:rsidTr="00304AE5">
        <w:trPr>
          <w:trHeight w:val="300"/>
        </w:trPr>
        <w:tc>
          <w:tcPr>
            <w:tcW w:w="0" w:type="auto"/>
            <w:hideMark/>
          </w:tcPr>
          <w:p w14:paraId="427B586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Wesley Tebbutt Dundas</w:t>
            </w:r>
          </w:p>
        </w:tc>
        <w:tc>
          <w:tcPr>
            <w:tcW w:w="0" w:type="auto"/>
            <w:hideMark/>
          </w:tcPr>
          <w:p w14:paraId="10FB2503"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Ermington</w:t>
            </w:r>
          </w:p>
        </w:tc>
        <w:tc>
          <w:tcPr>
            <w:tcW w:w="0" w:type="auto"/>
            <w:hideMark/>
          </w:tcPr>
          <w:p w14:paraId="0DC7A36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NSW</w:t>
            </w:r>
          </w:p>
        </w:tc>
      </w:tr>
      <w:tr w:rsidR="00B46A82" w:rsidRPr="00B46A82" w14:paraId="3722CD34" w14:textId="77777777" w:rsidTr="00304AE5">
        <w:trPr>
          <w:trHeight w:val="300"/>
        </w:trPr>
        <w:tc>
          <w:tcPr>
            <w:tcW w:w="0" w:type="auto"/>
            <w:hideMark/>
          </w:tcPr>
          <w:p w14:paraId="7C14F57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Ainslie House</w:t>
            </w:r>
          </w:p>
        </w:tc>
        <w:tc>
          <w:tcPr>
            <w:tcW w:w="0" w:type="auto"/>
            <w:hideMark/>
          </w:tcPr>
          <w:p w14:paraId="4B18F978"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Sussex</w:t>
            </w:r>
            <w:r w:rsidR="00B46A82" w:rsidRPr="00B46A82">
              <w:rPr>
                <w:rFonts w:ascii="Calibri" w:hAnsi="Calibri" w:cs="Calibri"/>
                <w:sz w:val="22"/>
                <w:szCs w:val="22"/>
              </w:rPr>
              <w:t xml:space="preserve"> I</w:t>
            </w:r>
            <w:r>
              <w:rPr>
                <w:rFonts w:ascii="Calibri" w:hAnsi="Calibri" w:cs="Calibri"/>
                <w:sz w:val="22"/>
                <w:szCs w:val="22"/>
              </w:rPr>
              <w:t>nlet</w:t>
            </w:r>
          </w:p>
        </w:tc>
        <w:tc>
          <w:tcPr>
            <w:tcW w:w="0" w:type="auto"/>
            <w:hideMark/>
          </w:tcPr>
          <w:p w14:paraId="18274F8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1601277B" w14:textId="77777777" w:rsidTr="00304AE5">
        <w:trPr>
          <w:trHeight w:val="300"/>
        </w:trPr>
        <w:tc>
          <w:tcPr>
            <w:tcW w:w="0" w:type="auto"/>
            <w:hideMark/>
          </w:tcPr>
          <w:p w14:paraId="4D27119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BlueWave Living</w:t>
            </w:r>
          </w:p>
        </w:tc>
        <w:tc>
          <w:tcPr>
            <w:tcW w:w="0" w:type="auto"/>
            <w:hideMark/>
          </w:tcPr>
          <w:p w14:paraId="6EDAB58E"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W</w:t>
            </w:r>
            <w:r w:rsidR="00FD3D1E">
              <w:rPr>
                <w:rFonts w:ascii="Calibri" w:hAnsi="Calibri" w:cs="Calibri"/>
                <w:color w:val="000000"/>
                <w:sz w:val="22"/>
                <w:szCs w:val="22"/>
              </w:rPr>
              <w:t>oy</w:t>
            </w:r>
            <w:r w:rsidRPr="00B46A82">
              <w:rPr>
                <w:rFonts w:ascii="Calibri" w:hAnsi="Calibri" w:cs="Calibri"/>
                <w:color w:val="000000"/>
                <w:sz w:val="22"/>
                <w:szCs w:val="22"/>
              </w:rPr>
              <w:t xml:space="preserve"> W</w:t>
            </w:r>
            <w:r w:rsidR="00FD3D1E">
              <w:rPr>
                <w:rFonts w:ascii="Calibri" w:hAnsi="Calibri" w:cs="Calibri"/>
                <w:color w:val="000000"/>
                <w:sz w:val="22"/>
                <w:szCs w:val="22"/>
              </w:rPr>
              <w:t>oy</w:t>
            </w:r>
          </w:p>
        </w:tc>
        <w:tc>
          <w:tcPr>
            <w:tcW w:w="0" w:type="auto"/>
            <w:hideMark/>
          </w:tcPr>
          <w:p w14:paraId="5773F169"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NSW </w:t>
            </w:r>
          </w:p>
        </w:tc>
      </w:tr>
      <w:tr w:rsidR="00B46A82" w:rsidRPr="00B46A82" w14:paraId="1787BC93" w14:textId="77777777" w:rsidTr="00304AE5">
        <w:trPr>
          <w:trHeight w:val="300"/>
        </w:trPr>
        <w:tc>
          <w:tcPr>
            <w:tcW w:w="0" w:type="auto"/>
            <w:hideMark/>
          </w:tcPr>
          <w:p w14:paraId="4554677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Cardinal Stepinac Village</w:t>
            </w:r>
          </w:p>
        </w:tc>
        <w:tc>
          <w:tcPr>
            <w:tcW w:w="0" w:type="auto"/>
            <w:hideMark/>
          </w:tcPr>
          <w:p w14:paraId="5211E22C"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St</w:t>
            </w:r>
            <w:r w:rsidR="00B46A82" w:rsidRPr="00B46A82">
              <w:rPr>
                <w:rFonts w:ascii="Calibri" w:hAnsi="Calibri" w:cs="Calibri"/>
                <w:sz w:val="22"/>
                <w:szCs w:val="22"/>
              </w:rPr>
              <w:t xml:space="preserve"> J</w:t>
            </w:r>
            <w:r>
              <w:rPr>
                <w:rFonts w:ascii="Calibri" w:hAnsi="Calibri" w:cs="Calibri"/>
                <w:sz w:val="22"/>
                <w:szCs w:val="22"/>
              </w:rPr>
              <w:t>ohns</w:t>
            </w:r>
            <w:r w:rsidR="00B46A82" w:rsidRPr="00B46A82">
              <w:rPr>
                <w:rFonts w:ascii="Calibri" w:hAnsi="Calibri" w:cs="Calibri"/>
                <w:sz w:val="22"/>
                <w:szCs w:val="22"/>
              </w:rPr>
              <w:t xml:space="preserve"> P</w:t>
            </w:r>
            <w:r>
              <w:rPr>
                <w:rFonts w:ascii="Calibri" w:hAnsi="Calibri" w:cs="Calibri"/>
                <w:sz w:val="22"/>
                <w:szCs w:val="22"/>
              </w:rPr>
              <w:t>ark</w:t>
            </w:r>
          </w:p>
        </w:tc>
        <w:tc>
          <w:tcPr>
            <w:tcW w:w="0" w:type="auto"/>
            <w:hideMark/>
          </w:tcPr>
          <w:p w14:paraId="131E96B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1DA840C8" w14:textId="77777777" w:rsidTr="00304AE5">
        <w:trPr>
          <w:trHeight w:val="300"/>
        </w:trPr>
        <w:tc>
          <w:tcPr>
            <w:tcW w:w="0" w:type="auto"/>
            <w:hideMark/>
          </w:tcPr>
          <w:p w14:paraId="4D5A16B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Coastal Waters Aged Care</w:t>
            </w:r>
          </w:p>
        </w:tc>
        <w:tc>
          <w:tcPr>
            <w:tcW w:w="0" w:type="auto"/>
            <w:hideMark/>
          </w:tcPr>
          <w:p w14:paraId="14253C20"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Worrowing</w:t>
            </w:r>
            <w:r w:rsidR="00B46A82" w:rsidRPr="00B46A82">
              <w:rPr>
                <w:rFonts w:ascii="Calibri" w:hAnsi="Calibri" w:cs="Calibri"/>
                <w:color w:val="000000"/>
                <w:sz w:val="22"/>
                <w:szCs w:val="22"/>
              </w:rPr>
              <w:t xml:space="preserve"> H</w:t>
            </w:r>
            <w:r>
              <w:rPr>
                <w:rFonts w:ascii="Calibri" w:hAnsi="Calibri" w:cs="Calibri"/>
                <w:color w:val="000000"/>
                <w:sz w:val="22"/>
                <w:szCs w:val="22"/>
              </w:rPr>
              <w:t>eights</w:t>
            </w:r>
          </w:p>
        </w:tc>
        <w:tc>
          <w:tcPr>
            <w:tcW w:w="0" w:type="auto"/>
            <w:hideMark/>
          </w:tcPr>
          <w:p w14:paraId="73805776"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NSW </w:t>
            </w:r>
          </w:p>
        </w:tc>
      </w:tr>
      <w:tr w:rsidR="00B46A82" w:rsidRPr="00B46A82" w14:paraId="552A03D7" w14:textId="77777777" w:rsidTr="00304AE5">
        <w:trPr>
          <w:trHeight w:val="300"/>
        </w:trPr>
        <w:tc>
          <w:tcPr>
            <w:tcW w:w="0" w:type="auto"/>
            <w:hideMark/>
          </w:tcPr>
          <w:p w14:paraId="5AC9F65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Constitution Hill Aged Care</w:t>
            </w:r>
          </w:p>
        </w:tc>
        <w:tc>
          <w:tcPr>
            <w:tcW w:w="0" w:type="auto"/>
            <w:hideMark/>
          </w:tcPr>
          <w:p w14:paraId="10FB9470"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Northmead</w:t>
            </w:r>
          </w:p>
        </w:tc>
        <w:tc>
          <w:tcPr>
            <w:tcW w:w="0" w:type="auto"/>
            <w:hideMark/>
          </w:tcPr>
          <w:p w14:paraId="1E7A4EB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7FB2E7BC" w14:textId="77777777" w:rsidTr="00304AE5">
        <w:trPr>
          <w:trHeight w:val="300"/>
        </w:trPr>
        <w:tc>
          <w:tcPr>
            <w:tcW w:w="0" w:type="auto"/>
            <w:hideMark/>
          </w:tcPr>
          <w:p w14:paraId="47E22EA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Harbison Memorial Retirement Village</w:t>
            </w:r>
          </w:p>
        </w:tc>
        <w:tc>
          <w:tcPr>
            <w:tcW w:w="0" w:type="auto"/>
            <w:hideMark/>
          </w:tcPr>
          <w:p w14:paraId="4B2413C2"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Burradoo</w:t>
            </w:r>
          </w:p>
        </w:tc>
        <w:tc>
          <w:tcPr>
            <w:tcW w:w="0" w:type="auto"/>
            <w:hideMark/>
          </w:tcPr>
          <w:p w14:paraId="4216CC92"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NSW </w:t>
            </w:r>
          </w:p>
        </w:tc>
      </w:tr>
      <w:tr w:rsidR="00B46A82" w:rsidRPr="00B46A82" w14:paraId="7C0DF74D" w14:textId="77777777" w:rsidTr="00304AE5">
        <w:trPr>
          <w:trHeight w:val="300"/>
        </w:trPr>
        <w:tc>
          <w:tcPr>
            <w:tcW w:w="0" w:type="auto"/>
            <w:hideMark/>
          </w:tcPr>
          <w:p w14:paraId="0D710A5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Inasmuch Community Hostel</w:t>
            </w:r>
          </w:p>
        </w:tc>
        <w:tc>
          <w:tcPr>
            <w:tcW w:w="0" w:type="auto"/>
            <w:hideMark/>
          </w:tcPr>
          <w:p w14:paraId="44A57202"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Sussex</w:t>
            </w:r>
            <w:r w:rsidR="00B46A82" w:rsidRPr="00B46A82">
              <w:rPr>
                <w:rFonts w:ascii="Calibri" w:hAnsi="Calibri" w:cs="Calibri"/>
                <w:color w:val="000000"/>
                <w:sz w:val="22"/>
                <w:szCs w:val="22"/>
              </w:rPr>
              <w:t xml:space="preserve"> I</w:t>
            </w:r>
            <w:r>
              <w:rPr>
                <w:rFonts w:ascii="Calibri" w:hAnsi="Calibri" w:cs="Calibri"/>
                <w:color w:val="000000"/>
                <w:sz w:val="22"/>
                <w:szCs w:val="22"/>
              </w:rPr>
              <w:t>nlet</w:t>
            </w:r>
          </w:p>
        </w:tc>
        <w:tc>
          <w:tcPr>
            <w:tcW w:w="0" w:type="auto"/>
            <w:hideMark/>
          </w:tcPr>
          <w:p w14:paraId="1A13937E"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7AC57897" w14:textId="77777777" w:rsidTr="00304AE5">
        <w:trPr>
          <w:trHeight w:val="300"/>
        </w:trPr>
        <w:tc>
          <w:tcPr>
            <w:tcW w:w="0" w:type="auto"/>
            <w:hideMark/>
          </w:tcPr>
          <w:p w14:paraId="3ED53D7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Presbyterian Aged Care - Apsley Riverview</w:t>
            </w:r>
          </w:p>
        </w:tc>
        <w:tc>
          <w:tcPr>
            <w:tcW w:w="0" w:type="auto"/>
            <w:hideMark/>
          </w:tcPr>
          <w:p w14:paraId="15A38E58"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Walcha</w:t>
            </w:r>
          </w:p>
        </w:tc>
        <w:tc>
          <w:tcPr>
            <w:tcW w:w="0" w:type="auto"/>
            <w:hideMark/>
          </w:tcPr>
          <w:p w14:paraId="3E987B7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69F92A2A" w14:textId="77777777" w:rsidTr="00304AE5">
        <w:trPr>
          <w:trHeight w:val="300"/>
        </w:trPr>
        <w:tc>
          <w:tcPr>
            <w:tcW w:w="0" w:type="auto"/>
            <w:hideMark/>
          </w:tcPr>
          <w:p w14:paraId="04B03C6F"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Presbyterian Aged Care - Wescott</w:t>
            </w:r>
          </w:p>
        </w:tc>
        <w:tc>
          <w:tcPr>
            <w:tcW w:w="0" w:type="auto"/>
            <w:hideMark/>
          </w:tcPr>
          <w:p w14:paraId="780B204C"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Stockton</w:t>
            </w:r>
          </w:p>
        </w:tc>
        <w:tc>
          <w:tcPr>
            <w:tcW w:w="0" w:type="auto"/>
            <w:hideMark/>
          </w:tcPr>
          <w:p w14:paraId="5DE309B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4B8390EA" w14:textId="77777777" w:rsidTr="00304AE5">
        <w:trPr>
          <w:trHeight w:val="300"/>
        </w:trPr>
        <w:tc>
          <w:tcPr>
            <w:tcW w:w="0" w:type="auto"/>
            <w:hideMark/>
          </w:tcPr>
          <w:p w14:paraId="16D3884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RFBI Basin View Masonic Village</w:t>
            </w:r>
          </w:p>
        </w:tc>
        <w:tc>
          <w:tcPr>
            <w:tcW w:w="0" w:type="auto"/>
            <w:hideMark/>
          </w:tcPr>
          <w:p w14:paraId="4C206276"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Basin</w:t>
            </w:r>
            <w:r w:rsidR="00B46A82" w:rsidRPr="00B46A82">
              <w:rPr>
                <w:rFonts w:ascii="Calibri" w:hAnsi="Calibri" w:cs="Calibri"/>
                <w:color w:val="000000"/>
                <w:sz w:val="22"/>
                <w:szCs w:val="22"/>
              </w:rPr>
              <w:t xml:space="preserve"> V</w:t>
            </w:r>
            <w:r>
              <w:rPr>
                <w:rFonts w:ascii="Calibri" w:hAnsi="Calibri" w:cs="Calibri"/>
                <w:color w:val="000000"/>
                <w:sz w:val="22"/>
                <w:szCs w:val="22"/>
              </w:rPr>
              <w:t>iew</w:t>
            </w:r>
          </w:p>
        </w:tc>
        <w:tc>
          <w:tcPr>
            <w:tcW w:w="0" w:type="auto"/>
            <w:hideMark/>
          </w:tcPr>
          <w:p w14:paraId="116E3212"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NSW </w:t>
            </w:r>
          </w:p>
        </w:tc>
      </w:tr>
      <w:tr w:rsidR="00B46A82" w:rsidRPr="00B46A82" w14:paraId="67B89664" w14:textId="77777777" w:rsidTr="00304AE5">
        <w:trPr>
          <w:trHeight w:val="300"/>
        </w:trPr>
        <w:tc>
          <w:tcPr>
            <w:tcW w:w="0" w:type="auto"/>
            <w:hideMark/>
          </w:tcPr>
          <w:p w14:paraId="115B399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RFBI Berry Masonic Village</w:t>
            </w:r>
          </w:p>
        </w:tc>
        <w:tc>
          <w:tcPr>
            <w:tcW w:w="0" w:type="auto"/>
            <w:hideMark/>
          </w:tcPr>
          <w:p w14:paraId="73BC8AB3"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Berry</w:t>
            </w:r>
          </w:p>
        </w:tc>
        <w:tc>
          <w:tcPr>
            <w:tcW w:w="0" w:type="auto"/>
            <w:hideMark/>
          </w:tcPr>
          <w:p w14:paraId="2321EE1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1F0A7C84" w14:textId="77777777" w:rsidTr="00304AE5">
        <w:trPr>
          <w:trHeight w:val="300"/>
        </w:trPr>
        <w:tc>
          <w:tcPr>
            <w:tcW w:w="0" w:type="auto"/>
            <w:hideMark/>
          </w:tcPr>
          <w:p w14:paraId="2F6E5B9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The Whiddon Group - Kookaburra Court</w:t>
            </w:r>
          </w:p>
        </w:tc>
        <w:tc>
          <w:tcPr>
            <w:tcW w:w="0" w:type="auto"/>
            <w:hideMark/>
          </w:tcPr>
          <w:p w14:paraId="37BC5A7E"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w:t>
            </w:r>
            <w:r w:rsidR="00FD3D1E">
              <w:rPr>
                <w:rFonts w:ascii="Calibri" w:hAnsi="Calibri" w:cs="Calibri"/>
                <w:sz w:val="22"/>
                <w:szCs w:val="22"/>
              </w:rPr>
              <w:t>algett</w:t>
            </w:r>
          </w:p>
        </w:tc>
        <w:tc>
          <w:tcPr>
            <w:tcW w:w="0" w:type="auto"/>
            <w:hideMark/>
          </w:tcPr>
          <w:p w14:paraId="4FE854D0"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NSW </w:t>
            </w:r>
          </w:p>
        </w:tc>
      </w:tr>
      <w:tr w:rsidR="00B46A82" w:rsidRPr="00B46A82" w14:paraId="49891944" w14:textId="77777777" w:rsidTr="00304AE5">
        <w:trPr>
          <w:trHeight w:val="300"/>
        </w:trPr>
        <w:tc>
          <w:tcPr>
            <w:tcW w:w="0" w:type="auto"/>
            <w:hideMark/>
          </w:tcPr>
          <w:p w14:paraId="70579C5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The Whiddon Group - River Gum Lodge</w:t>
            </w:r>
          </w:p>
        </w:tc>
        <w:tc>
          <w:tcPr>
            <w:tcW w:w="0" w:type="auto"/>
            <w:hideMark/>
          </w:tcPr>
          <w:p w14:paraId="6C15548C" w14:textId="77777777" w:rsidR="00B46A82" w:rsidRPr="00B46A82" w:rsidRDefault="00FD3D1E" w:rsidP="00944E0E">
            <w:pPr>
              <w:spacing w:before="40" w:after="40"/>
              <w:rPr>
                <w:rFonts w:ascii="Calibri" w:hAnsi="Calibri" w:cs="Calibri"/>
                <w:sz w:val="22"/>
                <w:szCs w:val="22"/>
              </w:rPr>
            </w:pPr>
            <w:r>
              <w:rPr>
                <w:rFonts w:ascii="Calibri" w:hAnsi="Calibri" w:cs="Calibri"/>
                <w:sz w:val="22"/>
                <w:szCs w:val="22"/>
              </w:rPr>
              <w:t>Bourke</w:t>
            </w:r>
          </w:p>
        </w:tc>
        <w:tc>
          <w:tcPr>
            <w:tcW w:w="0" w:type="auto"/>
            <w:hideMark/>
          </w:tcPr>
          <w:p w14:paraId="09597FD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NSW </w:t>
            </w:r>
          </w:p>
        </w:tc>
      </w:tr>
      <w:tr w:rsidR="00B46A82" w:rsidRPr="00B46A82" w14:paraId="0605CB67" w14:textId="77777777" w:rsidTr="00304AE5">
        <w:trPr>
          <w:trHeight w:val="300"/>
        </w:trPr>
        <w:tc>
          <w:tcPr>
            <w:tcW w:w="0" w:type="auto"/>
            <w:hideMark/>
          </w:tcPr>
          <w:p w14:paraId="2B9B233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Flynn Lodge</w:t>
            </w:r>
          </w:p>
        </w:tc>
        <w:tc>
          <w:tcPr>
            <w:tcW w:w="0" w:type="auto"/>
            <w:hideMark/>
          </w:tcPr>
          <w:p w14:paraId="79A2C2D4" w14:textId="77777777" w:rsidR="00B46A82" w:rsidRPr="00B46A82" w:rsidRDefault="00FD3D1E" w:rsidP="00944E0E">
            <w:pPr>
              <w:spacing w:before="40" w:after="40"/>
              <w:rPr>
                <w:rFonts w:ascii="Calibri" w:hAnsi="Calibri" w:cs="Calibri"/>
                <w:color w:val="000000"/>
                <w:sz w:val="22"/>
                <w:szCs w:val="22"/>
              </w:rPr>
            </w:pPr>
            <w:r>
              <w:rPr>
                <w:rFonts w:ascii="Calibri" w:hAnsi="Calibri" w:cs="Calibri"/>
                <w:color w:val="000000"/>
                <w:sz w:val="22"/>
                <w:szCs w:val="22"/>
              </w:rPr>
              <w:t>Alice</w:t>
            </w:r>
            <w:r w:rsidR="00B46A82" w:rsidRPr="00B46A82">
              <w:rPr>
                <w:rFonts w:ascii="Calibri" w:hAnsi="Calibri" w:cs="Calibri"/>
                <w:color w:val="000000"/>
                <w:sz w:val="22"/>
                <w:szCs w:val="22"/>
              </w:rPr>
              <w:t xml:space="preserve"> S</w:t>
            </w:r>
            <w:r>
              <w:rPr>
                <w:rFonts w:ascii="Calibri" w:hAnsi="Calibri" w:cs="Calibri"/>
                <w:color w:val="000000"/>
                <w:sz w:val="22"/>
                <w:szCs w:val="22"/>
              </w:rPr>
              <w:t>prings</w:t>
            </w:r>
          </w:p>
        </w:tc>
        <w:tc>
          <w:tcPr>
            <w:tcW w:w="0" w:type="auto"/>
            <w:hideMark/>
          </w:tcPr>
          <w:p w14:paraId="741934A6"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NT </w:t>
            </w:r>
          </w:p>
        </w:tc>
      </w:tr>
      <w:tr w:rsidR="00B46A82" w:rsidRPr="00B46A82" w14:paraId="4373C0FB" w14:textId="77777777" w:rsidTr="00304AE5">
        <w:trPr>
          <w:trHeight w:val="300"/>
        </w:trPr>
        <w:tc>
          <w:tcPr>
            <w:tcW w:w="0" w:type="auto"/>
            <w:hideMark/>
          </w:tcPr>
          <w:p w14:paraId="2758F51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Hetti Perkins</w:t>
            </w:r>
          </w:p>
        </w:tc>
        <w:tc>
          <w:tcPr>
            <w:tcW w:w="0" w:type="auto"/>
            <w:hideMark/>
          </w:tcPr>
          <w:p w14:paraId="1ABEBEC2" w14:textId="0A28DB60"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Connellan</w:t>
            </w:r>
          </w:p>
        </w:tc>
        <w:tc>
          <w:tcPr>
            <w:tcW w:w="0" w:type="auto"/>
            <w:hideMark/>
          </w:tcPr>
          <w:p w14:paraId="22A8DEB0"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NT </w:t>
            </w:r>
          </w:p>
        </w:tc>
      </w:tr>
      <w:tr w:rsidR="00B46A82" w:rsidRPr="00B46A82" w14:paraId="311D4C82" w14:textId="77777777" w:rsidTr="00304AE5">
        <w:trPr>
          <w:trHeight w:val="300"/>
        </w:trPr>
        <w:tc>
          <w:tcPr>
            <w:tcW w:w="0" w:type="auto"/>
            <w:hideMark/>
          </w:tcPr>
          <w:p w14:paraId="4ABF3C1E"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Old Timers</w:t>
            </w:r>
          </w:p>
        </w:tc>
        <w:tc>
          <w:tcPr>
            <w:tcW w:w="0" w:type="auto"/>
            <w:hideMark/>
          </w:tcPr>
          <w:p w14:paraId="25722A0F" w14:textId="0CCEB3FD" w:rsidR="00B46A82" w:rsidRPr="00B46A82" w:rsidRDefault="00FB2A9A" w:rsidP="00944E0E">
            <w:pPr>
              <w:spacing w:before="40" w:after="40"/>
              <w:rPr>
                <w:rFonts w:ascii="Calibri" w:hAnsi="Calibri" w:cs="Calibri"/>
                <w:color w:val="000000"/>
                <w:sz w:val="22"/>
                <w:szCs w:val="22"/>
              </w:rPr>
            </w:pPr>
            <w:r>
              <w:rPr>
                <w:rFonts w:ascii="Calibri" w:hAnsi="Calibri" w:cs="Calibri"/>
                <w:color w:val="000000"/>
                <w:sz w:val="22"/>
                <w:szCs w:val="22"/>
              </w:rPr>
              <w:t>Alice S</w:t>
            </w:r>
            <w:r w:rsidRPr="00B46A82">
              <w:rPr>
                <w:rFonts w:ascii="Calibri" w:hAnsi="Calibri" w:cs="Calibri"/>
                <w:color w:val="000000"/>
                <w:sz w:val="22"/>
                <w:szCs w:val="22"/>
              </w:rPr>
              <w:t>prings</w:t>
            </w:r>
          </w:p>
        </w:tc>
        <w:tc>
          <w:tcPr>
            <w:tcW w:w="0" w:type="auto"/>
            <w:hideMark/>
          </w:tcPr>
          <w:p w14:paraId="27C44F27"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NT </w:t>
            </w:r>
          </w:p>
        </w:tc>
      </w:tr>
      <w:tr w:rsidR="00B46A82" w:rsidRPr="00B46A82" w14:paraId="66C479AB" w14:textId="77777777" w:rsidTr="00304AE5">
        <w:trPr>
          <w:trHeight w:val="300"/>
        </w:trPr>
        <w:tc>
          <w:tcPr>
            <w:tcW w:w="0" w:type="auto"/>
            <w:hideMark/>
          </w:tcPr>
          <w:p w14:paraId="4C0CD9B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Rocky Ridge</w:t>
            </w:r>
          </w:p>
        </w:tc>
        <w:tc>
          <w:tcPr>
            <w:tcW w:w="0" w:type="auto"/>
            <w:hideMark/>
          </w:tcPr>
          <w:p w14:paraId="24081333" w14:textId="49791DF0" w:rsidR="00B46A82" w:rsidRPr="00B46A82" w:rsidRDefault="00FB2A9A" w:rsidP="00944E0E">
            <w:pPr>
              <w:spacing w:before="40" w:after="40"/>
              <w:rPr>
                <w:rFonts w:ascii="Calibri" w:hAnsi="Calibri" w:cs="Calibri"/>
                <w:color w:val="000000"/>
                <w:sz w:val="22"/>
                <w:szCs w:val="22"/>
              </w:rPr>
            </w:pPr>
            <w:r>
              <w:rPr>
                <w:rFonts w:ascii="Calibri" w:hAnsi="Calibri" w:cs="Calibri"/>
                <w:color w:val="000000"/>
                <w:sz w:val="22"/>
                <w:szCs w:val="22"/>
              </w:rPr>
              <w:t>Katherine</w:t>
            </w:r>
          </w:p>
        </w:tc>
        <w:tc>
          <w:tcPr>
            <w:tcW w:w="0" w:type="auto"/>
            <w:hideMark/>
          </w:tcPr>
          <w:p w14:paraId="64D55255" w14:textId="77777777"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 xml:space="preserve">NT </w:t>
            </w:r>
          </w:p>
        </w:tc>
      </w:tr>
      <w:tr w:rsidR="00B46A82" w:rsidRPr="00B46A82" w14:paraId="5BC972CA" w14:textId="77777777" w:rsidTr="00304AE5">
        <w:trPr>
          <w:trHeight w:val="300"/>
        </w:trPr>
        <w:tc>
          <w:tcPr>
            <w:tcW w:w="0" w:type="auto"/>
            <w:hideMark/>
          </w:tcPr>
          <w:p w14:paraId="1A7C797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lastRenderedPageBreak/>
              <w:t>Glasshouse Views</w:t>
            </w:r>
          </w:p>
        </w:tc>
        <w:tc>
          <w:tcPr>
            <w:tcW w:w="0" w:type="auto"/>
            <w:hideMark/>
          </w:tcPr>
          <w:p w14:paraId="344C12EF" w14:textId="390B252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Beerwah</w:t>
            </w:r>
          </w:p>
        </w:tc>
        <w:tc>
          <w:tcPr>
            <w:tcW w:w="0" w:type="auto"/>
            <w:hideMark/>
          </w:tcPr>
          <w:p w14:paraId="657F32B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59F5C2D2" w14:textId="77777777" w:rsidTr="00304AE5">
        <w:trPr>
          <w:trHeight w:val="300"/>
        </w:trPr>
        <w:tc>
          <w:tcPr>
            <w:tcW w:w="0" w:type="auto"/>
            <w:hideMark/>
          </w:tcPr>
          <w:p w14:paraId="5A45A73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Redland Residential Care </w:t>
            </w:r>
          </w:p>
        </w:tc>
        <w:tc>
          <w:tcPr>
            <w:tcW w:w="0" w:type="auto"/>
            <w:hideMark/>
          </w:tcPr>
          <w:p w14:paraId="3D2BEDA6" w14:textId="533CD4C0"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Cleveland</w:t>
            </w:r>
          </w:p>
        </w:tc>
        <w:tc>
          <w:tcPr>
            <w:tcW w:w="0" w:type="auto"/>
            <w:hideMark/>
          </w:tcPr>
          <w:p w14:paraId="5948D3E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3CFB3753" w14:textId="77777777" w:rsidTr="00304AE5">
        <w:trPr>
          <w:trHeight w:val="300"/>
        </w:trPr>
        <w:tc>
          <w:tcPr>
            <w:tcW w:w="0" w:type="auto"/>
            <w:hideMark/>
          </w:tcPr>
          <w:p w14:paraId="443FC8D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Sandbrook Assisted Aged Care</w:t>
            </w:r>
          </w:p>
        </w:tc>
        <w:tc>
          <w:tcPr>
            <w:tcW w:w="0" w:type="auto"/>
            <w:hideMark/>
          </w:tcPr>
          <w:p w14:paraId="5E086559" w14:textId="033D4F87" w:rsidR="00B46A82" w:rsidRPr="00B46A82" w:rsidRDefault="00FB2A9A" w:rsidP="00944E0E">
            <w:pPr>
              <w:spacing w:before="40" w:after="40"/>
              <w:rPr>
                <w:rFonts w:ascii="Calibri" w:hAnsi="Calibri" w:cs="Calibri"/>
                <w:sz w:val="22"/>
                <w:szCs w:val="22"/>
              </w:rPr>
            </w:pPr>
            <w:r>
              <w:rPr>
                <w:rFonts w:ascii="Calibri" w:hAnsi="Calibri" w:cs="Calibri"/>
                <w:sz w:val="22"/>
                <w:szCs w:val="22"/>
              </w:rPr>
              <w:t>Burleigh W</w:t>
            </w:r>
            <w:r w:rsidRPr="00B46A82">
              <w:rPr>
                <w:rFonts w:ascii="Calibri" w:hAnsi="Calibri" w:cs="Calibri"/>
                <w:sz w:val="22"/>
                <w:szCs w:val="22"/>
              </w:rPr>
              <w:t>aters</w:t>
            </w:r>
          </w:p>
        </w:tc>
        <w:tc>
          <w:tcPr>
            <w:tcW w:w="0" w:type="auto"/>
            <w:hideMark/>
          </w:tcPr>
          <w:p w14:paraId="0324FC9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54695EEE" w14:textId="77777777" w:rsidTr="00304AE5">
        <w:trPr>
          <w:trHeight w:val="300"/>
        </w:trPr>
        <w:tc>
          <w:tcPr>
            <w:tcW w:w="0" w:type="auto"/>
            <w:hideMark/>
          </w:tcPr>
          <w:p w14:paraId="0C86386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Arcare Helensvale St James</w:t>
            </w:r>
          </w:p>
        </w:tc>
        <w:tc>
          <w:tcPr>
            <w:tcW w:w="0" w:type="auto"/>
            <w:hideMark/>
          </w:tcPr>
          <w:p w14:paraId="142EC2AE" w14:textId="6A40D6DB"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Helensvale</w:t>
            </w:r>
          </w:p>
        </w:tc>
        <w:tc>
          <w:tcPr>
            <w:tcW w:w="0" w:type="auto"/>
            <w:hideMark/>
          </w:tcPr>
          <w:p w14:paraId="60EF38F8" w14:textId="25E900CE"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54D72C94" w14:textId="77777777" w:rsidTr="00304AE5">
        <w:trPr>
          <w:trHeight w:val="300"/>
        </w:trPr>
        <w:tc>
          <w:tcPr>
            <w:tcW w:w="0" w:type="auto"/>
            <w:hideMark/>
          </w:tcPr>
          <w:p w14:paraId="696BAC5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Benevolent Aged Care</w:t>
            </w:r>
          </w:p>
        </w:tc>
        <w:tc>
          <w:tcPr>
            <w:tcW w:w="0" w:type="auto"/>
            <w:hideMark/>
          </w:tcPr>
          <w:p w14:paraId="62BEBA27" w14:textId="1DA23252" w:rsidR="00B46A82" w:rsidRPr="00B46A82" w:rsidRDefault="00FB2A9A" w:rsidP="00944E0E">
            <w:pPr>
              <w:spacing w:before="40" w:after="40"/>
              <w:rPr>
                <w:rFonts w:ascii="Calibri" w:hAnsi="Calibri" w:cs="Calibri"/>
                <w:sz w:val="22"/>
                <w:szCs w:val="22"/>
              </w:rPr>
            </w:pPr>
            <w:r>
              <w:rPr>
                <w:rFonts w:ascii="Calibri" w:hAnsi="Calibri" w:cs="Calibri"/>
                <w:sz w:val="22"/>
                <w:szCs w:val="22"/>
              </w:rPr>
              <w:t>The R</w:t>
            </w:r>
            <w:r w:rsidRPr="00B46A82">
              <w:rPr>
                <w:rFonts w:ascii="Calibri" w:hAnsi="Calibri" w:cs="Calibri"/>
                <w:sz w:val="22"/>
                <w:szCs w:val="22"/>
              </w:rPr>
              <w:t>ange</w:t>
            </w:r>
          </w:p>
        </w:tc>
        <w:tc>
          <w:tcPr>
            <w:tcW w:w="0" w:type="auto"/>
            <w:hideMark/>
          </w:tcPr>
          <w:p w14:paraId="49F84761" w14:textId="7A814DB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1F7A25A6" w14:textId="77777777" w:rsidTr="00304AE5">
        <w:trPr>
          <w:trHeight w:val="300"/>
        </w:trPr>
        <w:tc>
          <w:tcPr>
            <w:tcW w:w="0" w:type="auto"/>
            <w:hideMark/>
          </w:tcPr>
          <w:p w14:paraId="5DD6098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Bolton Clarke Fairview Retirement Community</w:t>
            </w:r>
          </w:p>
        </w:tc>
        <w:tc>
          <w:tcPr>
            <w:tcW w:w="0" w:type="auto"/>
            <w:hideMark/>
          </w:tcPr>
          <w:p w14:paraId="773838C3" w14:textId="5A5A4340"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Pinjarra</w:t>
            </w:r>
            <w:r w:rsidR="00B46A82" w:rsidRPr="00B46A82">
              <w:rPr>
                <w:rFonts w:ascii="Calibri" w:hAnsi="Calibri" w:cs="Calibri"/>
                <w:color w:val="000000"/>
                <w:sz w:val="22"/>
                <w:szCs w:val="22"/>
              </w:rPr>
              <w:t xml:space="preserve"> </w:t>
            </w:r>
            <w:r>
              <w:rPr>
                <w:rFonts w:ascii="Calibri" w:hAnsi="Calibri" w:cs="Calibri"/>
                <w:color w:val="000000"/>
                <w:sz w:val="22"/>
                <w:szCs w:val="22"/>
              </w:rPr>
              <w:t>H</w:t>
            </w:r>
            <w:r w:rsidRPr="00B46A82">
              <w:rPr>
                <w:rFonts w:ascii="Calibri" w:hAnsi="Calibri" w:cs="Calibri"/>
                <w:color w:val="000000"/>
                <w:sz w:val="22"/>
                <w:szCs w:val="22"/>
              </w:rPr>
              <w:t>ills</w:t>
            </w:r>
          </w:p>
        </w:tc>
        <w:tc>
          <w:tcPr>
            <w:tcW w:w="0" w:type="auto"/>
            <w:hideMark/>
          </w:tcPr>
          <w:p w14:paraId="42E67DF0" w14:textId="5B682C96"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61F1AB0B" w14:textId="77777777" w:rsidTr="00304AE5">
        <w:trPr>
          <w:trHeight w:val="300"/>
        </w:trPr>
        <w:tc>
          <w:tcPr>
            <w:tcW w:w="0" w:type="auto"/>
            <w:hideMark/>
          </w:tcPr>
          <w:p w14:paraId="2C03136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Bolton Clarke Pioneers Hostel</w:t>
            </w:r>
          </w:p>
        </w:tc>
        <w:tc>
          <w:tcPr>
            <w:tcW w:w="0" w:type="auto"/>
            <w:hideMark/>
          </w:tcPr>
          <w:p w14:paraId="0D0BC51D" w14:textId="7B58D832"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Longreach</w:t>
            </w:r>
          </w:p>
        </w:tc>
        <w:tc>
          <w:tcPr>
            <w:tcW w:w="0" w:type="auto"/>
            <w:hideMark/>
          </w:tcPr>
          <w:p w14:paraId="17959E96" w14:textId="4A3B233B"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7D9A01D1" w14:textId="77777777" w:rsidTr="00304AE5">
        <w:trPr>
          <w:trHeight w:val="300"/>
        </w:trPr>
        <w:tc>
          <w:tcPr>
            <w:tcW w:w="0" w:type="auto"/>
            <w:hideMark/>
          </w:tcPr>
          <w:p w14:paraId="0F3BBAF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Bolton Clarke Pioneers Nursing Home</w:t>
            </w:r>
          </w:p>
        </w:tc>
        <w:tc>
          <w:tcPr>
            <w:tcW w:w="0" w:type="auto"/>
            <w:hideMark/>
          </w:tcPr>
          <w:p w14:paraId="017F38EC" w14:textId="14BC6300"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Longreach</w:t>
            </w:r>
          </w:p>
        </w:tc>
        <w:tc>
          <w:tcPr>
            <w:tcW w:w="0" w:type="auto"/>
            <w:hideMark/>
          </w:tcPr>
          <w:p w14:paraId="08B75DE6" w14:textId="7DBC71C0"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1633D932" w14:textId="77777777" w:rsidTr="00304AE5">
        <w:trPr>
          <w:trHeight w:val="300"/>
        </w:trPr>
        <w:tc>
          <w:tcPr>
            <w:tcW w:w="0" w:type="auto"/>
            <w:hideMark/>
          </w:tcPr>
          <w:p w14:paraId="18449C4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Carinity Aged Care- Kepnock Grove</w:t>
            </w:r>
          </w:p>
        </w:tc>
        <w:tc>
          <w:tcPr>
            <w:tcW w:w="0" w:type="auto"/>
            <w:hideMark/>
          </w:tcPr>
          <w:p w14:paraId="1B2C673A" w14:textId="0A9F83E2"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Kepnock</w:t>
            </w:r>
          </w:p>
        </w:tc>
        <w:tc>
          <w:tcPr>
            <w:tcW w:w="0" w:type="auto"/>
            <w:hideMark/>
          </w:tcPr>
          <w:p w14:paraId="1180D338" w14:textId="0F31CE20"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22C1B808" w14:textId="77777777" w:rsidTr="00304AE5">
        <w:trPr>
          <w:trHeight w:val="300"/>
        </w:trPr>
        <w:tc>
          <w:tcPr>
            <w:tcW w:w="0" w:type="auto"/>
            <w:hideMark/>
          </w:tcPr>
          <w:p w14:paraId="5E20227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Carramar Hostel</w:t>
            </w:r>
          </w:p>
        </w:tc>
        <w:tc>
          <w:tcPr>
            <w:tcW w:w="0" w:type="auto"/>
            <w:hideMark/>
          </w:tcPr>
          <w:p w14:paraId="11D60346" w14:textId="3FA4C39D"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Tewantin</w:t>
            </w:r>
          </w:p>
        </w:tc>
        <w:tc>
          <w:tcPr>
            <w:tcW w:w="0" w:type="auto"/>
            <w:hideMark/>
          </w:tcPr>
          <w:p w14:paraId="5A484D13" w14:textId="5AA8EB58"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5257CF33" w14:textId="77777777" w:rsidTr="00304AE5">
        <w:trPr>
          <w:trHeight w:val="300"/>
        </w:trPr>
        <w:tc>
          <w:tcPr>
            <w:tcW w:w="0" w:type="auto"/>
            <w:hideMark/>
          </w:tcPr>
          <w:p w14:paraId="7CBDD47C" w14:textId="0E92835F"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Churches of Christ Care Amaroo Aged Care Services</w:t>
            </w:r>
          </w:p>
        </w:tc>
        <w:tc>
          <w:tcPr>
            <w:tcW w:w="0" w:type="auto"/>
            <w:hideMark/>
          </w:tcPr>
          <w:p w14:paraId="198D8120" w14:textId="784F6EA7"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Gatton</w:t>
            </w:r>
          </w:p>
        </w:tc>
        <w:tc>
          <w:tcPr>
            <w:tcW w:w="0" w:type="auto"/>
            <w:hideMark/>
          </w:tcPr>
          <w:p w14:paraId="649F67A3" w14:textId="33C13048"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4DB790AB" w14:textId="77777777" w:rsidTr="00304AE5">
        <w:trPr>
          <w:trHeight w:val="330"/>
        </w:trPr>
        <w:tc>
          <w:tcPr>
            <w:tcW w:w="0" w:type="auto"/>
            <w:hideMark/>
          </w:tcPr>
          <w:p w14:paraId="0DB4C274" w14:textId="4B80E20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Churches of Christ Care Marana Gardens Aged Care Service</w:t>
            </w:r>
          </w:p>
        </w:tc>
        <w:tc>
          <w:tcPr>
            <w:tcW w:w="0" w:type="auto"/>
            <w:hideMark/>
          </w:tcPr>
          <w:p w14:paraId="6A949755" w14:textId="4AA39B1B"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Southport</w:t>
            </w:r>
          </w:p>
        </w:tc>
        <w:tc>
          <w:tcPr>
            <w:tcW w:w="0" w:type="auto"/>
            <w:hideMark/>
          </w:tcPr>
          <w:p w14:paraId="617E84BF" w14:textId="023A2DB3"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5374BE95" w14:textId="77777777" w:rsidTr="00304AE5">
        <w:trPr>
          <w:trHeight w:val="300"/>
        </w:trPr>
        <w:tc>
          <w:tcPr>
            <w:tcW w:w="0" w:type="auto"/>
            <w:hideMark/>
          </w:tcPr>
          <w:p w14:paraId="1635BE93" w14:textId="7224025D"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Churches of Christ Care Warrawee Aged Care Service</w:t>
            </w:r>
          </w:p>
        </w:tc>
        <w:tc>
          <w:tcPr>
            <w:tcW w:w="0" w:type="auto"/>
            <w:hideMark/>
          </w:tcPr>
          <w:p w14:paraId="26DCC7B3" w14:textId="796B275A" w:rsidR="00B46A82" w:rsidRPr="00B46A82" w:rsidRDefault="00FB2A9A" w:rsidP="00944E0E">
            <w:pPr>
              <w:spacing w:before="40" w:after="40"/>
              <w:rPr>
                <w:rFonts w:ascii="Calibri" w:hAnsi="Calibri" w:cs="Calibri"/>
                <w:sz w:val="22"/>
                <w:szCs w:val="22"/>
              </w:rPr>
            </w:pPr>
            <w:r>
              <w:rPr>
                <w:rFonts w:ascii="Calibri" w:hAnsi="Calibri" w:cs="Calibri"/>
                <w:sz w:val="22"/>
                <w:szCs w:val="22"/>
              </w:rPr>
              <w:t>St G</w:t>
            </w:r>
            <w:r w:rsidRPr="00B46A82">
              <w:rPr>
                <w:rFonts w:ascii="Calibri" w:hAnsi="Calibri" w:cs="Calibri"/>
                <w:sz w:val="22"/>
                <w:szCs w:val="22"/>
              </w:rPr>
              <w:t>eorge</w:t>
            </w:r>
          </w:p>
        </w:tc>
        <w:tc>
          <w:tcPr>
            <w:tcW w:w="0" w:type="auto"/>
            <w:hideMark/>
          </w:tcPr>
          <w:p w14:paraId="7EE5DDA3" w14:textId="39F5BA95"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155DFC47" w14:textId="77777777" w:rsidTr="00304AE5">
        <w:trPr>
          <w:trHeight w:val="300"/>
        </w:trPr>
        <w:tc>
          <w:tcPr>
            <w:tcW w:w="0" w:type="auto"/>
            <w:hideMark/>
          </w:tcPr>
          <w:p w14:paraId="40C04A7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Clifford House Care Centre</w:t>
            </w:r>
          </w:p>
        </w:tc>
        <w:tc>
          <w:tcPr>
            <w:tcW w:w="0" w:type="auto"/>
            <w:hideMark/>
          </w:tcPr>
          <w:p w14:paraId="2BF4DBF8" w14:textId="4793BE75"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Wooloowin</w:t>
            </w:r>
          </w:p>
        </w:tc>
        <w:tc>
          <w:tcPr>
            <w:tcW w:w="0" w:type="auto"/>
            <w:hideMark/>
          </w:tcPr>
          <w:p w14:paraId="6BA789CA" w14:textId="313A84BA"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241C9DAF" w14:textId="77777777" w:rsidTr="00304AE5">
        <w:trPr>
          <w:trHeight w:val="300"/>
        </w:trPr>
        <w:tc>
          <w:tcPr>
            <w:tcW w:w="0" w:type="auto"/>
            <w:hideMark/>
          </w:tcPr>
          <w:p w14:paraId="51A3E6D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Kabara Hostel</w:t>
            </w:r>
          </w:p>
        </w:tc>
        <w:tc>
          <w:tcPr>
            <w:tcW w:w="0" w:type="auto"/>
            <w:hideMark/>
          </w:tcPr>
          <w:p w14:paraId="17DC9989" w14:textId="7DD3A236"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Cooroy</w:t>
            </w:r>
          </w:p>
        </w:tc>
        <w:tc>
          <w:tcPr>
            <w:tcW w:w="0" w:type="auto"/>
            <w:hideMark/>
          </w:tcPr>
          <w:p w14:paraId="04FAC9CE" w14:textId="152731F1"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QLD</w:t>
            </w:r>
          </w:p>
        </w:tc>
      </w:tr>
      <w:tr w:rsidR="00B46A82" w:rsidRPr="00B46A82" w14:paraId="61FA491D" w14:textId="77777777" w:rsidTr="00304AE5">
        <w:trPr>
          <w:trHeight w:val="300"/>
        </w:trPr>
        <w:tc>
          <w:tcPr>
            <w:tcW w:w="0" w:type="auto"/>
            <w:hideMark/>
          </w:tcPr>
          <w:p w14:paraId="78D9FEB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Keperra Sanctuary Hostel</w:t>
            </w:r>
          </w:p>
        </w:tc>
        <w:tc>
          <w:tcPr>
            <w:tcW w:w="0" w:type="auto"/>
            <w:hideMark/>
          </w:tcPr>
          <w:p w14:paraId="5E0E9364" w14:textId="778E7EDD"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Keperra</w:t>
            </w:r>
          </w:p>
        </w:tc>
        <w:tc>
          <w:tcPr>
            <w:tcW w:w="0" w:type="auto"/>
            <w:hideMark/>
          </w:tcPr>
          <w:p w14:paraId="7039518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 xml:space="preserve">QLD </w:t>
            </w:r>
          </w:p>
        </w:tc>
      </w:tr>
      <w:tr w:rsidR="00B46A82" w:rsidRPr="00B46A82" w14:paraId="3CBEE0C5" w14:textId="77777777" w:rsidTr="00304AE5">
        <w:trPr>
          <w:trHeight w:val="300"/>
        </w:trPr>
        <w:tc>
          <w:tcPr>
            <w:tcW w:w="0" w:type="auto"/>
            <w:hideMark/>
          </w:tcPr>
          <w:p w14:paraId="59D3D50B" w14:textId="5F64399F"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Kuba Natha Hostel</w:t>
            </w:r>
          </w:p>
        </w:tc>
        <w:tc>
          <w:tcPr>
            <w:tcW w:w="0" w:type="auto"/>
            <w:hideMark/>
          </w:tcPr>
          <w:p w14:paraId="2EA0FC56" w14:textId="4BF41020" w:rsidR="00B46A82" w:rsidRPr="00B46A82" w:rsidRDefault="00FB2A9A" w:rsidP="00944E0E">
            <w:pPr>
              <w:spacing w:before="40" w:after="40"/>
              <w:rPr>
                <w:rFonts w:ascii="Calibri" w:hAnsi="Calibri" w:cs="Calibri"/>
                <w:sz w:val="22"/>
                <w:szCs w:val="22"/>
              </w:rPr>
            </w:pPr>
            <w:r>
              <w:rPr>
                <w:rFonts w:ascii="Calibri" w:hAnsi="Calibri" w:cs="Calibri"/>
                <w:sz w:val="22"/>
                <w:szCs w:val="22"/>
              </w:rPr>
              <w:t>Wellesley I</w:t>
            </w:r>
            <w:r w:rsidRPr="00B46A82">
              <w:rPr>
                <w:rFonts w:ascii="Calibri" w:hAnsi="Calibri" w:cs="Calibri"/>
                <w:sz w:val="22"/>
                <w:szCs w:val="22"/>
              </w:rPr>
              <w:t>slands</w:t>
            </w:r>
          </w:p>
        </w:tc>
        <w:tc>
          <w:tcPr>
            <w:tcW w:w="0" w:type="auto"/>
            <w:hideMark/>
          </w:tcPr>
          <w:p w14:paraId="70FD33F3" w14:textId="5A0500C6"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3A246CD4" w14:textId="77777777" w:rsidTr="00304AE5">
        <w:trPr>
          <w:trHeight w:val="300"/>
        </w:trPr>
        <w:tc>
          <w:tcPr>
            <w:tcW w:w="0" w:type="auto"/>
            <w:hideMark/>
          </w:tcPr>
          <w:p w14:paraId="01C1CA33" w14:textId="78E79369"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Kukatja Place</w:t>
            </w:r>
          </w:p>
        </w:tc>
        <w:tc>
          <w:tcPr>
            <w:tcW w:w="0" w:type="auto"/>
            <w:hideMark/>
          </w:tcPr>
          <w:p w14:paraId="0276B7D6" w14:textId="1F8D386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Normanton</w:t>
            </w:r>
          </w:p>
        </w:tc>
        <w:tc>
          <w:tcPr>
            <w:tcW w:w="0" w:type="auto"/>
            <w:hideMark/>
          </w:tcPr>
          <w:p w14:paraId="1F772DCA" w14:textId="27A73F32"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679127A5" w14:textId="77777777" w:rsidTr="00304AE5">
        <w:trPr>
          <w:trHeight w:val="300"/>
        </w:trPr>
        <w:tc>
          <w:tcPr>
            <w:tcW w:w="0" w:type="auto"/>
            <w:hideMark/>
          </w:tcPr>
          <w:p w14:paraId="226FDA0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Mortimer Aged Care</w:t>
            </w:r>
          </w:p>
        </w:tc>
        <w:tc>
          <w:tcPr>
            <w:tcW w:w="0" w:type="auto"/>
            <w:hideMark/>
          </w:tcPr>
          <w:p w14:paraId="380C36A7" w14:textId="787EED13" w:rsidR="00B46A82" w:rsidRPr="00B46A82" w:rsidRDefault="00FB2A9A" w:rsidP="00944E0E">
            <w:pPr>
              <w:spacing w:before="40" w:after="40"/>
              <w:rPr>
                <w:rFonts w:ascii="Calibri" w:hAnsi="Calibri" w:cs="Calibri"/>
                <w:sz w:val="22"/>
                <w:szCs w:val="22"/>
              </w:rPr>
            </w:pPr>
            <w:r>
              <w:rPr>
                <w:rFonts w:ascii="Calibri" w:hAnsi="Calibri" w:cs="Calibri"/>
                <w:sz w:val="22"/>
                <w:szCs w:val="22"/>
              </w:rPr>
              <w:t>Acacia R</w:t>
            </w:r>
            <w:r w:rsidRPr="00B46A82">
              <w:rPr>
                <w:rFonts w:ascii="Calibri" w:hAnsi="Calibri" w:cs="Calibri"/>
                <w:sz w:val="22"/>
                <w:szCs w:val="22"/>
              </w:rPr>
              <w:t>idge</w:t>
            </w:r>
          </w:p>
        </w:tc>
        <w:tc>
          <w:tcPr>
            <w:tcW w:w="0" w:type="auto"/>
            <w:hideMark/>
          </w:tcPr>
          <w:p w14:paraId="47998507" w14:textId="1F9A6D8E"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787A4837" w14:textId="77777777" w:rsidTr="00304AE5">
        <w:trPr>
          <w:trHeight w:val="300"/>
        </w:trPr>
        <w:tc>
          <w:tcPr>
            <w:tcW w:w="0" w:type="auto"/>
            <w:hideMark/>
          </w:tcPr>
          <w:p w14:paraId="46AAD76F" w14:textId="45A1A994"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Ngooderi House</w:t>
            </w:r>
          </w:p>
        </w:tc>
        <w:tc>
          <w:tcPr>
            <w:tcW w:w="0" w:type="auto"/>
            <w:hideMark/>
          </w:tcPr>
          <w:p w14:paraId="231785C8" w14:textId="2BBD7BE6"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Nicholson</w:t>
            </w:r>
          </w:p>
        </w:tc>
        <w:tc>
          <w:tcPr>
            <w:tcW w:w="0" w:type="auto"/>
            <w:hideMark/>
          </w:tcPr>
          <w:p w14:paraId="587415EF" w14:textId="6E2F1240"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39F6C784" w14:textId="77777777" w:rsidTr="00304AE5">
        <w:trPr>
          <w:trHeight w:val="300"/>
        </w:trPr>
        <w:tc>
          <w:tcPr>
            <w:tcW w:w="0" w:type="auto"/>
            <w:hideMark/>
          </w:tcPr>
          <w:p w14:paraId="0631506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Parklands</w:t>
            </w:r>
          </w:p>
        </w:tc>
        <w:tc>
          <w:tcPr>
            <w:tcW w:w="0" w:type="auto"/>
            <w:hideMark/>
          </w:tcPr>
          <w:p w14:paraId="2CE57062" w14:textId="7D1B8B95"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Urangan</w:t>
            </w:r>
          </w:p>
        </w:tc>
        <w:tc>
          <w:tcPr>
            <w:tcW w:w="0" w:type="auto"/>
            <w:hideMark/>
          </w:tcPr>
          <w:p w14:paraId="79151C97" w14:textId="1598A320"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6980CFEA" w14:textId="77777777" w:rsidTr="00304AE5">
        <w:trPr>
          <w:trHeight w:val="300"/>
        </w:trPr>
        <w:tc>
          <w:tcPr>
            <w:tcW w:w="0" w:type="auto"/>
            <w:hideMark/>
          </w:tcPr>
          <w:p w14:paraId="4B50D3C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Southern Cross Care Taroom - Leichhardt Villa</w:t>
            </w:r>
          </w:p>
        </w:tc>
        <w:tc>
          <w:tcPr>
            <w:tcW w:w="0" w:type="auto"/>
            <w:hideMark/>
          </w:tcPr>
          <w:p w14:paraId="76D8E49C" w14:textId="79D45F2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Taroom</w:t>
            </w:r>
          </w:p>
        </w:tc>
        <w:tc>
          <w:tcPr>
            <w:tcW w:w="0" w:type="auto"/>
            <w:hideMark/>
          </w:tcPr>
          <w:p w14:paraId="79C72FC7" w14:textId="70E4F36F"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049FCA64" w14:textId="77777777" w:rsidTr="00304AE5">
        <w:trPr>
          <w:trHeight w:val="300"/>
        </w:trPr>
        <w:tc>
          <w:tcPr>
            <w:tcW w:w="0" w:type="auto"/>
            <w:hideMark/>
          </w:tcPr>
          <w:p w14:paraId="0DB5302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Wongaburra Garden Settlement Hostel</w:t>
            </w:r>
          </w:p>
        </w:tc>
        <w:tc>
          <w:tcPr>
            <w:tcW w:w="0" w:type="auto"/>
            <w:hideMark/>
          </w:tcPr>
          <w:p w14:paraId="7B043FF2" w14:textId="7A02B96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Beaudesert</w:t>
            </w:r>
          </w:p>
        </w:tc>
        <w:tc>
          <w:tcPr>
            <w:tcW w:w="0" w:type="auto"/>
            <w:hideMark/>
          </w:tcPr>
          <w:p w14:paraId="6D161E92" w14:textId="355F6ECA" w:rsidR="00B46A82" w:rsidRPr="00B46A82" w:rsidRDefault="00B46A82" w:rsidP="00944E0E">
            <w:pPr>
              <w:spacing w:before="40" w:after="40"/>
              <w:rPr>
                <w:rFonts w:ascii="Calibri" w:hAnsi="Calibri" w:cs="Calibri"/>
                <w:color w:val="000000"/>
                <w:sz w:val="22"/>
                <w:szCs w:val="22"/>
              </w:rPr>
            </w:pPr>
            <w:r w:rsidRPr="00B46A82">
              <w:rPr>
                <w:rFonts w:ascii="Calibri" w:hAnsi="Calibri" w:cs="Calibri"/>
                <w:color w:val="000000"/>
                <w:sz w:val="22"/>
                <w:szCs w:val="22"/>
              </w:rPr>
              <w:t>QLD</w:t>
            </w:r>
          </w:p>
        </w:tc>
      </w:tr>
      <w:tr w:rsidR="00B46A82" w:rsidRPr="00B46A82" w14:paraId="205F9B7B" w14:textId="77777777" w:rsidTr="00304AE5">
        <w:trPr>
          <w:trHeight w:val="300"/>
        </w:trPr>
        <w:tc>
          <w:tcPr>
            <w:tcW w:w="0" w:type="auto"/>
            <w:hideMark/>
          </w:tcPr>
          <w:p w14:paraId="012421D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Melaleuca Court Nursing Home</w:t>
            </w:r>
          </w:p>
        </w:tc>
        <w:tc>
          <w:tcPr>
            <w:tcW w:w="0" w:type="auto"/>
            <w:hideMark/>
          </w:tcPr>
          <w:p w14:paraId="623301D5" w14:textId="2740D397"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Minlaton</w:t>
            </w:r>
          </w:p>
        </w:tc>
        <w:tc>
          <w:tcPr>
            <w:tcW w:w="0" w:type="auto"/>
            <w:hideMark/>
          </w:tcPr>
          <w:p w14:paraId="59DA223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2D9F7A4E" w14:textId="77777777" w:rsidTr="00304AE5">
        <w:trPr>
          <w:trHeight w:val="300"/>
        </w:trPr>
        <w:tc>
          <w:tcPr>
            <w:tcW w:w="0" w:type="auto"/>
            <w:hideMark/>
          </w:tcPr>
          <w:p w14:paraId="0EDC8F0F"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Oaklands Park Lodge</w:t>
            </w:r>
          </w:p>
        </w:tc>
        <w:tc>
          <w:tcPr>
            <w:tcW w:w="0" w:type="auto"/>
            <w:hideMark/>
          </w:tcPr>
          <w:p w14:paraId="3E68EFF7" w14:textId="79E8D530" w:rsidR="00B46A82" w:rsidRPr="00B46A82" w:rsidRDefault="00FB2A9A" w:rsidP="00944E0E">
            <w:pPr>
              <w:spacing w:before="40" w:after="40"/>
              <w:rPr>
                <w:rFonts w:ascii="Calibri" w:hAnsi="Calibri" w:cs="Calibri"/>
                <w:sz w:val="22"/>
                <w:szCs w:val="22"/>
              </w:rPr>
            </w:pPr>
            <w:r>
              <w:rPr>
                <w:rFonts w:ascii="Calibri" w:hAnsi="Calibri" w:cs="Calibri"/>
                <w:sz w:val="22"/>
                <w:szCs w:val="22"/>
              </w:rPr>
              <w:t>Oaklands P</w:t>
            </w:r>
            <w:r w:rsidRPr="00B46A82">
              <w:rPr>
                <w:rFonts w:ascii="Calibri" w:hAnsi="Calibri" w:cs="Calibri"/>
                <w:sz w:val="22"/>
                <w:szCs w:val="22"/>
              </w:rPr>
              <w:t>ark</w:t>
            </w:r>
          </w:p>
        </w:tc>
        <w:tc>
          <w:tcPr>
            <w:tcW w:w="0" w:type="auto"/>
            <w:hideMark/>
          </w:tcPr>
          <w:p w14:paraId="5ACAB57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3BDFA117" w14:textId="77777777" w:rsidTr="00304AE5">
        <w:trPr>
          <w:trHeight w:val="300"/>
        </w:trPr>
        <w:tc>
          <w:tcPr>
            <w:tcW w:w="0" w:type="auto"/>
            <w:hideMark/>
          </w:tcPr>
          <w:p w14:paraId="5A23DC6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Bupa Campbelltown</w:t>
            </w:r>
          </w:p>
        </w:tc>
        <w:tc>
          <w:tcPr>
            <w:tcW w:w="0" w:type="auto"/>
            <w:hideMark/>
          </w:tcPr>
          <w:p w14:paraId="2CCB1BA2" w14:textId="12BB5CD1"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Campbelltown</w:t>
            </w:r>
          </w:p>
        </w:tc>
        <w:tc>
          <w:tcPr>
            <w:tcW w:w="0" w:type="auto"/>
            <w:hideMark/>
          </w:tcPr>
          <w:p w14:paraId="06EFE2E2" w14:textId="2B7E6BB4"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7C8226DD" w14:textId="77777777" w:rsidTr="00304AE5">
        <w:trPr>
          <w:trHeight w:val="300"/>
        </w:trPr>
        <w:tc>
          <w:tcPr>
            <w:tcW w:w="0" w:type="auto"/>
            <w:hideMark/>
          </w:tcPr>
          <w:p w14:paraId="0D33B08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Eldercare Elanora</w:t>
            </w:r>
          </w:p>
        </w:tc>
        <w:tc>
          <w:tcPr>
            <w:tcW w:w="0" w:type="auto"/>
            <w:hideMark/>
          </w:tcPr>
          <w:p w14:paraId="13089F63" w14:textId="3043BE0E"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Stansbury</w:t>
            </w:r>
          </w:p>
        </w:tc>
        <w:tc>
          <w:tcPr>
            <w:tcW w:w="0" w:type="auto"/>
            <w:hideMark/>
          </w:tcPr>
          <w:p w14:paraId="4CD7591A" w14:textId="55EA6502"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6AADB496" w14:textId="77777777" w:rsidTr="00304AE5">
        <w:trPr>
          <w:trHeight w:val="300"/>
        </w:trPr>
        <w:tc>
          <w:tcPr>
            <w:tcW w:w="0" w:type="auto"/>
            <w:hideMark/>
          </w:tcPr>
          <w:p w14:paraId="2819E61F"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Eldercare Oxford</w:t>
            </w:r>
          </w:p>
        </w:tc>
        <w:tc>
          <w:tcPr>
            <w:tcW w:w="0" w:type="auto"/>
            <w:hideMark/>
          </w:tcPr>
          <w:p w14:paraId="049DF43A" w14:textId="5017C3C1"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Hove</w:t>
            </w:r>
          </w:p>
        </w:tc>
        <w:tc>
          <w:tcPr>
            <w:tcW w:w="0" w:type="auto"/>
            <w:hideMark/>
          </w:tcPr>
          <w:p w14:paraId="3AAF1B0E" w14:textId="07FCCDCE"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71803C81" w14:textId="77777777" w:rsidTr="00304AE5">
        <w:trPr>
          <w:trHeight w:val="300"/>
        </w:trPr>
        <w:tc>
          <w:tcPr>
            <w:tcW w:w="0" w:type="auto"/>
            <w:hideMark/>
          </w:tcPr>
          <w:p w14:paraId="24F5C9C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Eldercare The Village</w:t>
            </w:r>
          </w:p>
        </w:tc>
        <w:tc>
          <w:tcPr>
            <w:tcW w:w="0" w:type="auto"/>
            <w:hideMark/>
          </w:tcPr>
          <w:p w14:paraId="044B286C" w14:textId="18AAFDC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Maitland</w:t>
            </w:r>
          </w:p>
        </w:tc>
        <w:tc>
          <w:tcPr>
            <w:tcW w:w="0" w:type="auto"/>
            <w:hideMark/>
          </w:tcPr>
          <w:p w14:paraId="525A6923" w14:textId="499A691E"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4A3709C3" w14:textId="77777777" w:rsidTr="00304AE5">
        <w:trPr>
          <w:trHeight w:val="300"/>
        </w:trPr>
        <w:tc>
          <w:tcPr>
            <w:tcW w:w="0" w:type="auto"/>
            <w:hideMark/>
          </w:tcPr>
          <w:p w14:paraId="0D3590D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Hawksbury Gardens Aged Care Facility</w:t>
            </w:r>
          </w:p>
        </w:tc>
        <w:tc>
          <w:tcPr>
            <w:tcW w:w="0" w:type="auto"/>
            <w:hideMark/>
          </w:tcPr>
          <w:p w14:paraId="5B02C8D2" w14:textId="2924D34B" w:rsidR="00B46A82" w:rsidRPr="00B46A82" w:rsidRDefault="00FB2A9A" w:rsidP="00944E0E">
            <w:pPr>
              <w:spacing w:before="40" w:after="40"/>
              <w:rPr>
                <w:rFonts w:ascii="Calibri" w:hAnsi="Calibri" w:cs="Calibri"/>
                <w:sz w:val="22"/>
                <w:szCs w:val="22"/>
              </w:rPr>
            </w:pPr>
            <w:r>
              <w:rPr>
                <w:rFonts w:ascii="Calibri" w:hAnsi="Calibri" w:cs="Calibri"/>
                <w:sz w:val="22"/>
                <w:szCs w:val="22"/>
              </w:rPr>
              <w:t>Salisbury N</w:t>
            </w:r>
            <w:r w:rsidRPr="00B46A82">
              <w:rPr>
                <w:rFonts w:ascii="Calibri" w:hAnsi="Calibri" w:cs="Calibri"/>
                <w:sz w:val="22"/>
                <w:szCs w:val="22"/>
              </w:rPr>
              <w:t>orth</w:t>
            </w:r>
          </w:p>
        </w:tc>
        <w:tc>
          <w:tcPr>
            <w:tcW w:w="0" w:type="auto"/>
            <w:hideMark/>
          </w:tcPr>
          <w:p w14:paraId="14DF0106" w14:textId="3B93FEC5"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57A7CCF2" w14:textId="77777777" w:rsidTr="00304AE5">
        <w:trPr>
          <w:trHeight w:val="300"/>
        </w:trPr>
        <w:tc>
          <w:tcPr>
            <w:tcW w:w="0" w:type="auto"/>
            <w:hideMark/>
          </w:tcPr>
          <w:p w14:paraId="3C7E5BBA" w14:textId="447B67FF"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Matthew Flinders Home</w:t>
            </w:r>
          </w:p>
        </w:tc>
        <w:tc>
          <w:tcPr>
            <w:tcW w:w="0" w:type="auto"/>
            <w:hideMark/>
          </w:tcPr>
          <w:p w14:paraId="5691B8E6" w14:textId="6D956449" w:rsidR="00B46A82" w:rsidRPr="00B46A82" w:rsidRDefault="00FB2A9A" w:rsidP="00944E0E">
            <w:pPr>
              <w:spacing w:before="40" w:after="40"/>
              <w:rPr>
                <w:rFonts w:ascii="Calibri" w:hAnsi="Calibri" w:cs="Calibri"/>
                <w:sz w:val="22"/>
                <w:szCs w:val="22"/>
              </w:rPr>
            </w:pPr>
            <w:r>
              <w:rPr>
                <w:rFonts w:ascii="Calibri" w:hAnsi="Calibri" w:cs="Calibri"/>
                <w:sz w:val="22"/>
                <w:szCs w:val="22"/>
              </w:rPr>
              <w:t>Port L</w:t>
            </w:r>
            <w:r w:rsidRPr="00B46A82">
              <w:rPr>
                <w:rFonts w:ascii="Calibri" w:hAnsi="Calibri" w:cs="Calibri"/>
                <w:sz w:val="22"/>
                <w:szCs w:val="22"/>
              </w:rPr>
              <w:t>incoln</w:t>
            </w:r>
          </w:p>
        </w:tc>
        <w:tc>
          <w:tcPr>
            <w:tcW w:w="0" w:type="auto"/>
            <w:hideMark/>
          </w:tcPr>
          <w:p w14:paraId="2F6F3097" w14:textId="5ED8B47E"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57AA8A87" w14:textId="77777777" w:rsidTr="00304AE5">
        <w:trPr>
          <w:trHeight w:val="300"/>
        </w:trPr>
        <w:tc>
          <w:tcPr>
            <w:tcW w:w="0" w:type="auto"/>
            <w:hideMark/>
          </w:tcPr>
          <w:p w14:paraId="5B6E53A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Resthaven Leabrook</w:t>
            </w:r>
          </w:p>
        </w:tc>
        <w:tc>
          <w:tcPr>
            <w:tcW w:w="0" w:type="auto"/>
            <w:hideMark/>
          </w:tcPr>
          <w:p w14:paraId="328D060A" w14:textId="294714AC"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Leabrook</w:t>
            </w:r>
          </w:p>
        </w:tc>
        <w:tc>
          <w:tcPr>
            <w:tcW w:w="0" w:type="auto"/>
            <w:hideMark/>
          </w:tcPr>
          <w:p w14:paraId="672D8094" w14:textId="11AECEDF"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1A7D30A2" w14:textId="77777777" w:rsidTr="00304AE5">
        <w:trPr>
          <w:trHeight w:val="300"/>
        </w:trPr>
        <w:tc>
          <w:tcPr>
            <w:tcW w:w="0" w:type="auto"/>
            <w:hideMark/>
          </w:tcPr>
          <w:p w14:paraId="449131F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Resthaven Murray Bridge</w:t>
            </w:r>
          </w:p>
        </w:tc>
        <w:tc>
          <w:tcPr>
            <w:tcW w:w="0" w:type="auto"/>
            <w:hideMark/>
          </w:tcPr>
          <w:p w14:paraId="11359650" w14:textId="47C00DD9" w:rsidR="00B46A82" w:rsidRPr="00B46A82" w:rsidRDefault="00FB2A9A" w:rsidP="00944E0E">
            <w:pPr>
              <w:spacing w:before="40" w:after="40"/>
              <w:rPr>
                <w:rFonts w:ascii="Calibri" w:hAnsi="Calibri" w:cs="Calibri"/>
                <w:sz w:val="22"/>
                <w:szCs w:val="22"/>
              </w:rPr>
            </w:pPr>
            <w:r>
              <w:rPr>
                <w:rFonts w:ascii="Calibri" w:hAnsi="Calibri" w:cs="Calibri"/>
                <w:sz w:val="22"/>
                <w:szCs w:val="22"/>
              </w:rPr>
              <w:t>Murray B</w:t>
            </w:r>
            <w:r w:rsidRPr="00B46A82">
              <w:rPr>
                <w:rFonts w:ascii="Calibri" w:hAnsi="Calibri" w:cs="Calibri"/>
                <w:sz w:val="22"/>
                <w:szCs w:val="22"/>
              </w:rPr>
              <w:t>ridge</w:t>
            </w:r>
          </w:p>
        </w:tc>
        <w:tc>
          <w:tcPr>
            <w:tcW w:w="0" w:type="auto"/>
            <w:hideMark/>
          </w:tcPr>
          <w:p w14:paraId="4FD43189" w14:textId="476D6A7C"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12BED706" w14:textId="77777777" w:rsidTr="00304AE5">
        <w:trPr>
          <w:trHeight w:val="300"/>
        </w:trPr>
        <w:tc>
          <w:tcPr>
            <w:tcW w:w="0" w:type="auto"/>
            <w:hideMark/>
          </w:tcPr>
          <w:p w14:paraId="4FBF84DA"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Restvale Hostel</w:t>
            </w:r>
          </w:p>
        </w:tc>
        <w:tc>
          <w:tcPr>
            <w:tcW w:w="0" w:type="auto"/>
            <w:hideMark/>
          </w:tcPr>
          <w:p w14:paraId="01587C69" w14:textId="73CBDBD6"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Lobethal</w:t>
            </w:r>
          </w:p>
        </w:tc>
        <w:tc>
          <w:tcPr>
            <w:tcW w:w="0" w:type="auto"/>
            <w:hideMark/>
          </w:tcPr>
          <w:p w14:paraId="3AA97A1F" w14:textId="271235C6"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w:t>
            </w:r>
          </w:p>
        </w:tc>
      </w:tr>
      <w:tr w:rsidR="00B46A82" w:rsidRPr="00B46A82" w14:paraId="58BCE019" w14:textId="77777777" w:rsidTr="00304AE5">
        <w:trPr>
          <w:trHeight w:val="300"/>
        </w:trPr>
        <w:tc>
          <w:tcPr>
            <w:tcW w:w="0" w:type="auto"/>
            <w:hideMark/>
          </w:tcPr>
          <w:p w14:paraId="3E4BC55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Flinders Island Multipurpose Centre</w:t>
            </w:r>
          </w:p>
        </w:tc>
        <w:tc>
          <w:tcPr>
            <w:tcW w:w="0" w:type="auto"/>
            <w:hideMark/>
          </w:tcPr>
          <w:p w14:paraId="7BDF65DC" w14:textId="7B24DD9F"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Whitemark</w:t>
            </w:r>
          </w:p>
        </w:tc>
        <w:tc>
          <w:tcPr>
            <w:tcW w:w="0" w:type="auto"/>
            <w:hideMark/>
          </w:tcPr>
          <w:p w14:paraId="4453AA66" w14:textId="24F359B3"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TAS</w:t>
            </w:r>
          </w:p>
        </w:tc>
      </w:tr>
      <w:tr w:rsidR="00B46A82" w:rsidRPr="00B46A82" w14:paraId="718D7909" w14:textId="77777777" w:rsidTr="00304AE5">
        <w:trPr>
          <w:trHeight w:val="300"/>
        </w:trPr>
        <w:tc>
          <w:tcPr>
            <w:tcW w:w="0" w:type="auto"/>
            <w:hideMark/>
          </w:tcPr>
          <w:p w14:paraId="60EDFF23"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AgeWell Aldersgate Village</w:t>
            </w:r>
          </w:p>
        </w:tc>
        <w:tc>
          <w:tcPr>
            <w:tcW w:w="0" w:type="auto"/>
            <w:hideMark/>
          </w:tcPr>
          <w:p w14:paraId="2561DCAD" w14:textId="387507B0"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Legana</w:t>
            </w:r>
          </w:p>
        </w:tc>
        <w:tc>
          <w:tcPr>
            <w:tcW w:w="0" w:type="auto"/>
            <w:hideMark/>
          </w:tcPr>
          <w:p w14:paraId="365B8F19" w14:textId="4AF6BB0B"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TAS</w:t>
            </w:r>
          </w:p>
        </w:tc>
      </w:tr>
      <w:tr w:rsidR="00B46A82" w:rsidRPr="00B46A82" w14:paraId="31E85151" w14:textId="77777777" w:rsidTr="00304AE5">
        <w:trPr>
          <w:trHeight w:val="300"/>
        </w:trPr>
        <w:tc>
          <w:tcPr>
            <w:tcW w:w="0" w:type="auto"/>
            <w:hideMark/>
          </w:tcPr>
          <w:p w14:paraId="5B694EFF"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Sandhurst Aged Care</w:t>
            </w:r>
          </w:p>
        </w:tc>
        <w:tc>
          <w:tcPr>
            <w:tcW w:w="0" w:type="auto"/>
            <w:hideMark/>
          </w:tcPr>
          <w:p w14:paraId="720868DF" w14:textId="51798BAC" w:rsidR="00B46A82" w:rsidRPr="00B46A82" w:rsidRDefault="00FB2A9A" w:rsidP="00944E0E">
            <w:pPr>
              <w:spacing w:before="40" w:after="40"/>
              <w:rPr>
                <w:rFonts w:ascii="Calibri" w:hAnsi="Calibri" w:cs="Calibri"/>
                <w:sz w:val="22"/>
                <w:szCs w:val="22"/>
              </w:rPr>
            </w:pPr>
            <w:r>
              <w:rPr>
                <w:rFonts w:ascii="Calibri" w:hAnsi="Calibri" w:cs="Calibri"/>
                <w:sz w:val="22"/>
                <w:szCs w:val="22"/>
              </w:rPr>
              <w:t>Carrum D</w:t>
            </w:r>
            <w:r w:rsidRPr="00B46A82">
              <w:rPr>
                <w:rFonts w:ascii="Calibri" w:hAnsi="Calibri" w:cs="Calibri"/>
                <w:sz w:val="22"/>
                <w:szCs w:val="22"/>
              </w:rPr>
              <w:t>owns</w:t>
            </w:r>
          </w:p>
        </w:tc>
        <w:tc>
          <w:tcPr>
            <w:tcW w:w="0" w:type="auto"/>
            <w:hideMark/>
          </w:tcPr>
          <w:p w14:paraId="47AC23D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0723DDD8" w14:textId="77777777" w:rsidTr="00304AE5">
        <w:trPr>
          <w:trHeight w:val="300"/>
        </w:trPr>
        <w:tc>
          <w:tcPr>
            <w:tcW w:w="0" w:type="auto"/>
            <w:hideMark/>
          </w:tcPr>
          <w:p w14:paraId="3884523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lastRenderedPageBreak/>
              <w:t>Bowhaven Hostel</w:t>
            </w:r>
          </w:p>
        </w:tc>
        <w:tc>
          <w:tcPr>
            <w:tcW w:w="0" w:type="auto"/>
            <w:hideMark/>
          </w:tcPr>
          <w:p w14:paraId="4752CDE3" w14:textId="11A05568"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Rainbow</w:t>
            </w:r>
          </w:p>
        </w:tc>
        <w:tc>
          <w:tcPr>
            <w:tcW w:w="0" w:type="auto"/>
            <w:hideMark/>
          </w:tcPr>
          <w:p w14:paraId="4EB1695C" w14:textId="1BE0AF3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40F00CAB" w14:textId="77777777" w:rsidTr="00304AE5">
        <w:trPr>
          <w:trHeight w:val="300"/>
        </w:trPr>
        <w:tc>
          <w:tcPr>
            <w:tcW w:w="0" w:type="auto"/>
            <w:hideMark/>
          </w:tcPr>
          <w:p w14:paraId="06025EC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Bupa Barrabool</w:t>
            </w:r>
          </w:p>
        </w:tc>
        <w:tc>
          <w:tcPr>
            <w:tcW w:w="0" w:type="auto"/>
            <w:hideMark/>
          </w:tcPr>
          <w:p w14:paraId="23FA60FE" w14:textId="48F66AB7"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Belmont</w:t>
            </w:r>
          </w:p>
        </w:tc>
        <w:tc>
          <w:tcPr>
            <w:tcW w:w="0" w:type="auto"/>
            <w:hideMark/>
          </w:tcPr>
          <w:p w14:paraId="5767B74E" w14:textId="389EA40E"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4151C456" w14:textId="77777777" w:rsidTr="00304AE5">
        <w:trPr>
          <w:trHeight w:val="300"/>
        </w:trPr>
        <w:tc>
          <w:tcPr>
            <w:tcW w:w="0" w:type="auto"/>
            <w:hideMark/>
          </w:tcPr>
          <w:p w14:paraId="5422D41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Bupa Coburg</w:t>
            </w:r>
          </w:p>
        </w:tc>
        <w:tc>
          <w:tcPr>
            <w:tcW w:w="0" w:type="auto"/>
            <w:hideMark/>
          </w:tcPr>
          <w:p w14:paraId="572F3345" w14:textId="4043F32B"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Coburg</w:t>
            </w:r>
          </w:p>
        </w:tc>
        <w:tc>
          <w:tcPr>
            <w:tcW w:w="0" w:type="auto"/>
            <w:hideMark/>
          </w:tcPr>
          <w:p w14:paraId="48CED1C1" w14:textId="0086C0EE"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0D4DA162" w14:textId="77777777" w:rsidTr="00304AE5">
        <w:trPr>
          <w:trHeight w:val="300"/>
        </w:trPr>
        <w:tc>
          <w:tcPr>
            <w:tcW w:w="0" w:type="auto"/>
            <w:hideMark/>
          </w:tcPr>
          <w:p w14:paraId="78E5EE4E" w14:textId="4608C9F5"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Central Park</w:t>
            </w:r>
            <w:r w:rsidR="00246E74">
              <w:rPr>
                <w:rFonts w:ascii="Calibri" w:hAnsi="Calibri" w:cs="Calibri"/>
                <w:sz w:val="22"/>
                <w:szCs w:val="22"/>
              </w:rPr>
              <w:t xml:space="preserve"> Aged Care Home</w:t>
            </w:r>
          </w:p>
        </w:tc>
        <w:tc>
          <w:tcPr>
            <w:tcW w:w="0" w:type="auto"/>
            <w:hideMark/>
          </w:tcPr>
          <w:p w14:paraId="27F42916" w14:textId="37DEAEC0"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Windsor</w:t>
            </w:r>
          </w:p>
        </w:tc>
        <w:tc>
          <w:tcPr>
            <w:tcW w:w="0" w:type="auto"/>
            <w:hideMark/>
          </w:tcPr>
          <w:p w14:paraId="5CD9097B" w14:textId="5F744D38"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10DA73A0" w14:textId="77777777" w:rsidTr="00304AE5">
        <w:trPr>
          <w:trHeight w:val="300"/>
        </w:trPr>
        <w:tc>
          <w:tcPr>
            <w:tcW w:w="0" w:type="auto"/>
            <w:hideMark/>
          </w:tcPr>
          <w:p w14:paraId="7634DD1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Chestnut Gardens Aged Care Home</w:t>
            </w:r>
          </w:p>
        </w:tc>
        <w:tc>
          <w:tcPr>
            <w:tcW w:w="0" w:type="auto"/>
            <w:hideMark/>
          </w:tcPr>
          <w:p w14:paraId="6512361C" w14:textId="3D8A8F21"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Doveton</w:t>
            </w:r>
          </w:p>
        </w:tc>
        <w:tc>
          <w:tcPr>
            <w:tcW w:w="0" w:type="auto"/>
            <w:hideMark/>
          </w:tcPr>
          <w:p w14:paraId="06B2B51B" w14:textId="023A43D1"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71C63BEF" w14:textId="77777777" w:rsidTr="00304AE5">
        <w:trPr>
          <w:trHeight w:val="300"/>
        </w:trPr>
        <w:tc>
          <w:tcPr>
            <w:tcW w:w="0" w:type="auto"/>
            <w:hideMark/>
          </w:tcPr>
          <w:p w14:paraId="2792780D" w14:textId="19DD7309"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Estia Health Bendigo</w:t>
            </w:r>
          </w:p>
        </w:tc>
        <w:tc>
          <w:tcPr>
            <w:tcW w:w="0" w:type="auto"/>
            <w:hideMark/>
          </w:tcPr>
          <w:p w14:paraId="391443AB" w14:textId="65110671"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Ironbark</w:t>
            </w:r>
          </w:p>
        </w:tc>
        <w:tc>
          <w:tcPr>
            <w:tcW w:w="0" w:type="auto"/>
            <w:hideMark/>
          </w:tcPr>
          <w:p w14:paraId="5974D2C2" w14:textId="6FC602D9"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2D06C065" w14:textId="77777777" w:rsidTr="00304AE5">
        <w:trPr>
          <w:trHeight w:val="300"/>
        </w:trPr>
        <w:tc>
          <w:tcPr>
            <w:tcW w:w="0" w:type="auto"/>
            <w:hideMark/>
          </w:tcPr>
          <w:p w14:paraId="5CF6296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Gilgunya Village</w:t>
            </w:r>
          </w:p>
        </w:tc>
        <w:tc>
          <w:tcPr>
            <w:tcW w:w="0" w:type="auto"/>
            <w:hideMark/>
          </w:tcPr>
          <w:p w14:paraId="6A9F0558" w14:textId="496D789E"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Coburg</w:t>
            </w:r>
          </w:p>
        </w:tc>
        <w:tc>
          <w:tcPr>
            <w:tcW w:w="0" w:type="auto"/>
            <w:hideMark/>
          </w:tcPr>
          <w:p w14:paraId="719CF242" w14:textId="0545A9FD"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0C4E684E" w14:textId="77777777" w:rsidTr="00304AE5">
        <w:trPr>
          <w:trHeight w:val="300"/>
        </w:trPr>
        <w:tc>
          <w:tcPr>
            <w:tcW w:w="0" w:type="auto"/>
            <w:hideMark/>
          </w:tcPr>
          <w:p w14:paraId="770FA44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Havilah on Palmerston</w:t>
            </w:r>
          </w:p>
        </w:tc>
        <w:tc>
          <w:tcPr>
            <w:tcW w:w="0" w:type="auto"/>
            <w:hideMark/>
          </w:tcPr>
          <w:p w14:paraId="2E1D28FB" w14:textId="630A432D"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Maryborough</w:t>
            </w:r>
          </w:p>
        </w:tc>
        <w:tc>
          <w:tcPr>
            <w:tcW w:w="0" w:type="auto"/>
            <w:hideMark/>
          </w:tcPr>
          <w:p w14:paraId="2FB9F73B" w14:textId="492A0D91"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165E474B" w14:textId="77777777" w:rsidTr="00304AE5">
        <w:trPr>
          <w:trHeight w:val="300"/>
        </w:trPr>
        <w:tc>
          <w:tcPr>
            <w:tcW w:w="0" w:type="auto"/>
            <w:hideMark/>
          </w:tcPr>
          <w:p w14:paraId="370431F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Heathcote Health High Care Service</w:t>
            </w:r>
          </w:p>
        </w:tc>
        <w:tc>
          <w:tcPr>
            <w:tcW w:w="0" w:type="auto"/>
            <w:hideMark/>
          </w:tcPr>
          <w:p w14:paraId="36FD51A1" w14:textId="30A06F92"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Heathcote</w:t>
            </w:r>
          </w:p>
        </w:tc>
        <w:tc>
          <w:tcPr>
            <w:tcW w:w="0" w:type="auto"/>
            <w:hideMark/>
          </w:tcPr>
          <w:p w14:paraId="2F316E39" w14:textId="125FF094"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69D25929" w14:textId="77777777" w:rsidTr="00304AE5">
        <w:trPr>
          <w:trHeight w:val="300"/>
        </w:trPr>
        <w:tc>
          <w:tcPr>
            <w:tcW w:w="0" w:type="auto"/>
            <w:hideMark/>
          </w:tcPr>
          <w:p w14:paraId="39E1BFC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Heathcote Health Low Care Service</w:t>
            </w:r>
          </w:p>
        </w:tc>
        <w:tc>
          <w:tcPr>
            <w:tcW w:w="0" w:type="auto"/>
            <w:hideMark/>
          </w:tcPr>
          <w:p w14:paraId="2486B2E6" w14:textId="0F2FC3F7"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Heathcote</w:t>
            </w:r>
          </w:p>
        </w:tc>
        <w:tc>
          <w:tcPr>
            <w:tcW w:w="0" w:type="auto"/>
            <w:hideMark/>
          </w:tcPr>
          <w:p w14:paraId="5E89DC39" w14:textId="34642A1A"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1531246F" w14:textId="77777777" w:rsidTr="00304AE5">
        <w:trPr>
          <w:trHeight w:val="300"/>
        </w:trPr>
        <w:tc>
          <w:tcPr>
            <w:tcW w:w="0" w:type="auto"/>
            <w:hideMark/>
          </w:tcPr>
          <w:p w14:paraId="45B36DA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Hopetoun Hostel</w:t>
            </w:r>
          </w:p>
        </w:tc>
        <w:tc>
          <w:tcPr>
            <w:tcW w:w="0" w:type="auto"/>
            <w:hideMark/>
          </w:tcPr>
          <w:p w14:paraId="0F82B83A" w14:textId="0B5D8691"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Hopetoun</w:t>
            </w:r>
          </w:p>
        </w:tc>
        <w:tc>
          <w:tcPr>
            <w:tcW w:w="0" w:type="auto"/>
            <w:hideMark/>
          </w:tcPr>
          <w:p w14:paraId="24E235A8" w14:textId="753F4102"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55ACC738" w14:textId="77777777" w:rsidTr="00304AE5">
        <w:trPr>
          <w:trHeight w:val="300"/>
        </w:trPr>
        <w:tc>
          <w:tcPr>
            <w:tcW w:w="0" w:type="auto"/>
            <w:hideMark/>
          </w:tcPr>
          <w:p w14:paraId="194F64D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Hopetoun Nursing Home</w:t>
            </w:r>
          </w:p>
        </w:tc>
        <w:tc>
          <w:tcPr>
            <w:tcW w:w="0" w:type="auto"/>
            <w:hideMark/>
          </w:tcPr>
          <w:p w14:paraId="15DCF7AF" w14:textId="1403E66A"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Hopetoun</w:t>
            </w:r>
          </w:p>
        </w:tc>
        <w:tc>
          <w:tcPr>
            <w:tcW w:w="0" w:type="auto"/>
            <w:hideMark/>
          </w:tcPr>
          <w:p w14:paraId="5916AB0C" w14:textId="7E1A7523"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508F894C" w14:textId="77777777" w:rsidTr="00304AE5">
        <w:trPr>
          <w:trHeight w:val="300"/>
        </w:trPr>
        <w:tc>
          <w:tcPr>
            <w:tcW w:w="0" w:type="auto"/>
            <w:hideMark/>
          </w:tcPr>
          <w:p w14:paraId="6063A3B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Karingal Seymour</w:t>
            </w:r>
          </w:p>
        </w:tc>
        <w:tc>
          <w:tcPr>
            <w:tcW w:w="0" w:type="auto"/>
            <w:hideMark/>
          </w:tcPr>
          <w:p w14:paraId="698C33F6" w14:textId="67DD6632"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Seymour</w:t>
            </w:r>
          </w:p>
        </w:tc>
        <w:tc>
          <w:tcPr>
            <w:tcW w:w="0" w:type="auto"/>
            <w:hideMark/>
          </w:tcPr>
          <w:p w14:paraId="42B26312" w14:textId="34D44F3D"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262AFDD4" w14:textId="77777777" w:rsidTr="00304AE5">
        <w:trPr>
          <w:trHeight w:val="300"/>
        </w:trPr>
        <w:tc>
          <w:tcPr>
            <w:tcW w:w="0" w:type="auto"/>
            <w:hideMark/>
          </w:tcPr>
          <w:p w14:paraId="1B33574A"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McLean Lodge Hostel</w:t>
            </w:r>
          </w:p>
        </w:tc>
        <w:tc>
          <w:tcPr>
            <w:tcW w:w="0" w:type="auto"/>
            <w:hideMark/>
          </w:tcPr>
          <w:p w14:paraId="1BA862D0" w14:textId="24F22BCC"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Travancore</w:t>
            </w:r>
          </w:p>
        </w:tc>
        <w:tc>
          <w:tcPr>
            <w:tcW w:w="0" w:type="auto"/>
            <w:hideMark/>
          </w:tcPr>
          <w:p w14:paraId="25E3907E" w14:textId="2B24C314"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51AA28FA" w14:textId="77777777" w:rsidTr="00304AE5">
        <w:trPr>
          <w:trHeight w:val="300"/>
        </w:trPr>
        <w:tc>
          <w:tcPr>
            <w:tcW w:w="0" w:type="auto"/>
            <w:hideMark/>
          </w:tcPr>
          <w:p w14:paraId="5A586F8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Mercy Place Abbottsford Nursing Home</w:t>
            </w:r>
          </w:p>
        </w:tc>
        <w:tc>
          <w:tcPr>
            <w:tcW w:w="0" w:type="auto"/>
            <w:hideMark/>
          </w:tcPr>
          <w:p w14:paraId="0DBA7844" w14:textId="4A157C78"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Abbotsford</w:t>
            </w:r>
          </w:p>
        </w:tc>
        <w:tc>
          <w:tcPr>
            <w:tcW w:w="0" w:type="auto"/>
            <w:hideMark/>
          </w:tcPr>
          <w:p w14:paraId="45A4785C" w14:textId="7119A054"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4AB95F5D" w14:textId="77777777" w:rsidTr="00304AE5">
        <w:trPr>
          <w:trHeight w:val="300"/>
        </w:trPr>
        <w:tc>
          <w:tcPr>
            <w:tcW w:w="0" w:type="auto"/>
            <w:hideMark/>
          </w:tcPr>
          <w:p w14:paraId="07F2EA92" w14:textId="6CBB8603"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Mirridong</w:t>
            </w:r>
            <w:r w:rsidR="00F078F0">
              <w:rPr>
                <w:rFonts w:ascii="Calibri" w:hAnsi="Calibri" w:cs="Calibri"/>
                <w:sz w:val="22"/>
                <w:szCs w:val="22"/>
              </w:rPr>
              <w:t xml:space="preserve"> Aged Care Home</w:t>
            </w:r>
          </w:p>
        </w:tc>
        <w:tc>
          <w:tcPr>
            <w:tcW w:w="0" w:type="auto"/>
            <w:hideMark/>
          </w:tcPr>
          <w:p w14:paraId="0D1D9E29" w14:textId="16531A3D"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Kennington</w:t>
            </w:r>
          </w:p>
        </w:tc>
        <w:tc>
          <w:tcPr>
            <w:tcW w:w="0" w:type="auto"/>
            <w:hideMark/>
          </w:tcPr>
          <w:p w14:paraId="44494A6F" w14:textId="00D033F6"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6ADA8AE3" w14:textId="77777777" w:rsidTr="00304AE5">
        <w:trPr>
          <w:trHeight w:val="300"/>
        </w:trPr>
        <w:tc>
          <w:tcPr>
            <w:tcW w:w="0" w:type="auto"/>
            <w:hideMark/>
          </w:tcPr>
          <w:p w14:paraId="448C40D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Ron Conn Nursing Home</w:t>
            </w:r>
          </w:p>
        </w:tc>
        <w:tc>
          <w:tcPr>
            <w:tcW w:w="0" w:type="auto"/>
            <w:hideMark/>
          </w:tcPr>
          <w:p w14:paraId="53A11C1A" w14:textId="0400E33A" w:rsidR="00B46A82" w:rsidRPr="00B46A82" w:rsidRDefault="00FB2A9A" w:rsidP="00944E0E">
            <w:pPr>
              <w:spacing w:before="40" w:after="40"/>
              <w:rPr>
                <w:rFonts w:ascii="Calibri" w:hAnsi="Calibri" w:cs="Calibri"/>
                <w:sz w:val="22"/>
                <w:szCs w:val="22"/>
              </w:rPr>
            </w:pPr>
            <w:r>
              <w:rPr>
                <w:rFonts w:ascii="Calibri" w:hAnsi="Calibri" w:cs="Calibri"/>
                <w:sz w:val="22"/>
                <w:szCs w:val="22"/>
              </w:rPr>
              <w:t>Avondale H</w:t>
            </w:r>
            <w:r w:rsidRPr="00B46A82">
              <w:rPr>
                <w:rFonts w:ascii="Calibri" w:hAnsi="Calibri" w:cs="Calibri"/>
                <w:sz w:val="22"/>
                <w:szCs w:val="22"/>
              </w:rPr>
              <w:t>eights</w:t>
            </w:r>
          </w:p>
        </w:tc>
        <w:tc>
          <w:tcPr>
            <w:tcW w:w="0" w:type="auto"/>
            <w:hideMark/>
          </w:tcPr>
          <w:p w14:paraId="66BFE5AA" w14:textId="2C52D222"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09079D63" w14:textId="77777777" w:rsidTr="00304AE5">
        <w:trPr>
          <w:trHeight w:val="300"/>
        </w:trPr>
        <w:tc>
          <w:tcPr>
            <w:tcW w:w="0" w:type="auto"/>
            <w:hideMark/>
          </w:tcPr>
          <w:p w14:paraId="5D0F286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Southern Cross Care Templestowe</w:t>
            </w:r>
          </w:p>
        </w:tc>
        <w:tc>
          <w:tcPr>
            <w:tcW w:w="0" w:type="auto"/>
            <w:hideMark/>
          </w:tcPr>
          <w:p w14:paraId="298D5CF8" w14:textId="28E32BFD" w:rsidR="00B46A82" w:rsidRPr="00B46A82" w:rsidRDefault="00FB2A9A" w:rsidP="00944E0E">
            <w:pPr>
              <w:spacing w:before="40" w:after="40"/>
              <w:rPr>
                <w:rFonts w:ascii="Calibri" w:hAnsi="Calibri" w:cs="Calibri"/>
                <w:sz w:val="22"/>
                <w:szCs w:val="22"/>
              </w:rPr>
            </w:pPr>
            <w:r>
              <w:rPr>
                <w:rFonts w:ascii="Calibri" w:hAnsi="Calibri" w:cs="Calibri"/>
                <w:sz w:val="22"/>
                <w:szCs w:val="22"/>
              </w:rPr>
              <w:t>Templestowe L</w:t>
            </w:r>
            <w:r w:rsidRPr="00B46A82">
              <w:rPr>
                <w:rFonts w:ascii="Calibri" w:hAnsi="Calibri" w:cs="Calibri"/>
                <w:sz w:val="22"/>
                <w:szCs w:val="22"/>
              </w:rPr>
              <w:t>ower</w:t>
            </w:r>
          </w:p>
        </w:tc>
        <w:tc>
          <w:tcPr>
            <w:tcW w:w="0" w:type="auto"/>
            <w:hideMark/>
          </w:tcPr>
          <w:p w14:paraId="2F346B5D" w14:textId="29D2370B"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4B542B60" w14:textId="77777777" w:rsidTr="00304AE5">
        <w:trPr>
          <w:trHeight w:val="300"/>
        </w:trPr>
        <w:tc>
          <w:tcPr>
            <w:tcW w:w="0" w:type="auto"/>
            <w:hideMark/>
          </w:tcPr>
          <w:p w14:paraId="2A1D5D2A"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AgeWell Box Hill</w:t>
            </w:r>
          </w:p>
        </w:tc>
        <w:tc>
          <w:tcPr>
            <w:tcW w:w="0" w:type="auto"/>
            <w:hideMark/>
          </w:tcPr>
          <w:p w14:paraId="438BE8B4" w14:textId="5A97C980" w:rsidR="00B46A82" w:rsidRPr="00B46A82" w:rsidRDefault="00FB2A9A" w:rsidP="00944E0E">
            <w:pPr>
              <w:spacing w:before="40" w:after="40"/>
              <w:rPr>
                <w:rFonts w:ascii="Calibri" w:hAnsi="Calibri" w:cs="Calibri"/>
                <w:sz w:val="22"/>
                <w:szCs w:val="22"/>
              </w:rPr>
            </w:pPr>
            <w:r>
              <w:rPr>
                <w:rFonts w:ascii="Calibri" w:hAnsi="Calibri" w:cs="Calibri"/>
                <w:sz w:val="22"/>
                <w:szCs w:val="22"/>
              </w:rPr>
              <w:t>Box H</w:t>
            </w:r>
            <w:r w:rsidRPr="00B46A82">
              <w:rPr>
                <w:rFonts w:ascii="Calibri" w:hAnsi="Calibri" w:cs="Calibri"/>
                <w:sz w:val="22"/>
                <w:szCs w:val="22"/>
              </w:rPr>
              <w:t>ill</w:t>
            </w:r>
          </w:p>
        </w:tc>
        <w:tc>
          <w:tcPr>
            <w:tcW w:w="0" w:type="auto"/>
            <w:hideMark/>
          </w:tcPr>
          <w:p w14:paraId="696B1010" w14:textId="61AAFF5F"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771B6D6F" w14:textId="77777777" w:rsidTr="00304AE5">
        <w:trPr>
          <w:trHeight w:val="300"/>
        </w:trPr>
        <w:tc>
          <w:tcPr>
            <w:tcW w:w="0" w:type="auto"/>
            <w:hideMark/>
          </w:tcPr>
          <w:p w14:paraId="7710DB7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AgeWell Kalkee Murray</w:t>
            </w:r>
          </w:p>
        </w:tc>
        <w:tc>
          <w:tcPr>
            <w:tcW w:w="0" w:type="auto"/>
            <w:hideMark/>
          </w:tcPr>
          <w:p w14:paraId="5CC12D8A" w14:textId="7FFA5D62"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Belmont</w:t>
            </w:r>
          </w:p>
        </w:tc>
        <w:tc>
          <w:tcPr>
            <w:tcW w:w="0" w:type="auto"/>
            <w:hideMark/>
          </w:tcPr>
          <w:p w14:paraId="79FCECF5" w14:textId="1FC7DAB6"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58B8D2CC" w14:textId="77777777" w:rsidTr="00304AE5">
        <w:trPr>
          <w:trHeight w:val="300"/>
        </w:trPr>
        <w:tc>
          <w:tcPr>
            <w:tcW w:w="0" w:type="auto"/>
            <w:hideMark/>
          </w:tcPr>
          <w:p w14:paraId="7242340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Uniting AgeWell Kingsville</w:t>
            </w:r>
          </w:p>
        </w:tc>
        <w:tc>
          <w:tcPr>
            <w:tcW w:w="0" w:type="auto"/>
            <w:hideMark/>
          </w:tcPr>
          <w:p w14:paraId="70D308B8" w14:textId="46591E08"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Kingsville</w:t>
            </w:r>
          </w:p>
        </w:tc>
        <w:tc>
          <w:tcPr>
            <w:tcW w:w="0" w:type="auto"/>
            <w:hideMark/>
          </w:tcPr>
          <w:p w14:paraId="6B0277BF" w14:textId="31648106"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078656CE" w14:textId="77777777" w:rsidTr="00304AE5">
        <w:trPr>
          <w:trHeight w:val="300"/>
        </w:trPr>
        <w:tc>
          <w:tcPr>
            <w:tcW w:w="0" w:type="auto"/>
            <w:hideMark/>
          </w:tcPr>
          <w:p w14:paraId="457BB20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Weeah Lodge</w:t>
            </w:r>
          </w:p>
        </w:tc>
        <w:tc>
          <w:tcPr>
            <w:tcW w:w="0" w:type="auto"/>
            <w:hideMark/>
          </w:tcPr>
          <w:p w14:paraId="356A83AD" w14:textId="6FD0E80C" w:rsidR="00B46A82" w:rsidRPr="00B46A82" w:rsidRDefault="00FB2A9A" w:rsidP="00944E0E">
            <w:pPr>
              <w:spacing w:before="40" w:after="40"/>
              <w:rPr>
                <w:rFonts w:ascii="Calibri" w:hAnsi="Calibri" w:cs="Calibri"/>
                <w:color w:val="000000"/>
                <w:sz w:val="22"/>
                <w:szCs w:val="22"/>
              </w:rPr>
            </w:pPr>
            <w:r w:rsidRPr="00B46A82">
              <w:rPr>
                <w:rFonts w:ascii="Calibri" w:hAnsi="Calibri" w:cs="Calibri"/>
                <w:color w:val="000000"/>
                <w:sz w:val="22"/>
                <w:szCs w:val="22"/>
              </w:rPr>
              <w:t>Rainbow</w:t>
            </w:r>
          </w:p>
        </w:tc>
        <w:tc>
          <w:tcPr>
            <w:tcW w:w="0" w:type="auto"/>
            <w:hideMark/>
          </w:tcPr>
          <w:p w14:paraId="524A4D5A" w14:textId="6124778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VIC</w:t>
            </w:r>
          </w:p>
        </w:tc>
      </w:tr>
      <w:tr w:rsidR="00B46A82" w:rsidRPr="00B46A82" w14:paraId="5F8CF756" w14:textId="77777777" w:rsidTr="00304AE5">
        <w:trPr>
          <w:trHeight w:val="300"/>
        </w:trPr>
        <w:tc>
          <w:tcPr>
            <w:tcW w:w="0" w:type="auto"/>
            <w:hideMark/>
          </w:tcPr>
          <w:p w14:paraId="47BCDFE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Aegis Ellenvale</w:t>
            </w:r>
          </w:p>
        </w:tc>
        <w:tc>
          <w:tcPr>
            <w:tcW w:w="0" w:type="auto"/>
            <w:hideMark/>
          </w:tcPr>
          <w:p w14:paraId="33E643D6" w14:textId="3B7B3F2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Broadwater</w:t>
            </w:r>
          </w:p>
        </w:tc>
        <w:tc>
          <w:tcPr>
            <w:tcW w:w="0" w:type="auto"/>
            <w:hideMark/>
          </w:tcPr>
          <w:p w14:paraId="23C534F2"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757273F9" w14:textId="77777777" w:rsidTr="00304AE5">
        <w:trPr>
          <w:trHeight w:val="300"/>
        </w:trPr>
        <w:tc>
          <w:tcPr>
            <w:tcW w:w="0" w:type="auto"/>
            <w:hideMark/>
          </w:tcPr>
          <w:p w14:paraId="3DF98CC3"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Aegis Woodlake</w:t>
            </w:r>
          </w:p>
        </w:tc>
        <w:tc>
          <w:tcPr>
            <w:tcW w:w="0" w:type="auto"/>
            <w:hideMark/>
          </w:tcPr>
          <w:p w14:paraId="2999EB9C" w14:textId="53585F1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Kingsley</w:t>
            </w:r>
          </w:p>
        </w:tc>
        <w:tc>
          <w:tcPr>
            <w:tcW w:w="0" w:type="auto"/>
            <w:hideMark/>
          </w:tcPr>
          <w:p w14:paraId="10F08030"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2E225AF2" w14:textId="77777777" w:rsidTr="00304AE5">
        <w:trPr>
          <w:trHeight w:val="300"/>
        </w:trPr>
        <w:tc>
          <w:tcPr>
            <w:tcW w:w="0" w:type="auto"/>
            <w:hideMark/>
          </w:tcPr>
          <w:p w14:paraId="42D7FCAF"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Aegis Hilton Park</w:t>
            </w:r>
          </w:p>
        </w:tc>
        <w:tc>
          <w:tcPr>
            <w:tcW w:w="0" w:type="auto"/>
            <w:hideMark/>
          </w:tcPr>
          <w:p w14:paraId="7305AEB2" w14:textId="55E26AC6"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Hilton</w:t>
            </w:r>
          </w:p>
        </w:tc>
        <w:tc>
          <w:tcPr>
            <w:tcW w:w="0" w:type="auto"/>
            <w:hideMark/>
          </w:tcPr>
          <w:p w14:paraId="3C0BDCCC" w14:textId="0F569F0F"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64C567B7" w14:textId="77777777" w:rsidTr="00304AE5">
        <w:trPr>
          <w:trHeight w:val="300"/>
        </w:trPr>
        <w:tc>
          <w:tcPr>
            <w:tcW w:w="0" w:type="auto"/>
            <w:hideMark/>
          </w:tcPr>
          <w:p w14:paraId="7707D1C6"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Brightwater The Oaks</w:t>
            </w:r>
          </w:p>
        </w:tc>
        <w:tc>
          <w:tcPr>
            <w:tcW w:w="0" w:type="auto"/>
            <w:hideMark/>
          </w:tcPr>
          <w:p w14:paraId="02078D4C" w14:textId="75AFB8A4"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Waikiki</w:t>
            </w:r>
          </w:p>
        </w:tc>
        <w:tc>
          <w:tcPr>
            <w:tcW w:w="0" w:type="auto"/>
            <w:hideMark/>
          </w:tcPr>
          <w:p w14:paraId="76C45387" w14:textId="42BCAF28"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7B0EC584" w14:textId="77777777" w:rsidTr="00304AE5">
        <w:trPr>
          <w:trHeight w:val="300"/>
        </w:trPr>
        <w:tc>
          <w:tcPr>
            <w:tcW w:w="0" w:type="auto"/>
            <w:hideMark/>
          </w:tcPr>
          <w:p w14:paraId="0428CA33"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Brightwater The Village</w:t>
            </w:r>
          </w:p>
        </w:tc>
        <w:tc>
          <w:tcPr>
            <w:tcW w:w="0" w:type="auto"/>
            <w:hideMark/>
          </w:tcPr>
          <w:p w14:paraId="2BE1BD87" w14:textId="72B548F5"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Inglewood</w:t>
            </w:r>
          </w:p>
        </w:tc>
        <w:tc>
          <w:tcPr>
            <w:tcW w:w="0" w:type="auto"/>
            <w:hideMark/>
          </w:tcPr>
          <w:p w14:paraId="0E30A3F6" w14:textId="32A8CA6A"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5199BEF5" w14:textId="77777777" w:rsidTr="00304AE5">
        <w:trPr>
          <w:trHeight w:val="300"/>
        </w:trPr>
        <w:tc>
          <w:tcPr>
            <w:tcW w:w="0" w:type="auto"/>
            <w:hideMark/>
          </w:tcPr>
          <w:p w14:paraId="00BC5F27"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Juniper Elimatta</w:t>
            </w:r>
          </w:p>
        </w:tc>
        <w:tc>
          <w:tcPr>
            <w:tcW w:w="0" w:type="auto"/>
            <w:hideMark/>
          </w:tcPr>
          <w:p w14:paraId="559B1AEE" w14:textId="783F6EDD"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Menora</w:t>
            </w:r>
          </w:p>
        </w:tc>
        <w:tc>
          <w:tcPr>
            <w:tcW w:w="0" w:type="auto"/>
            <w:hideMark/>
          </w:tcPr>
          <w:p w14:paraId="3A650C68" w14:textId="7D7539E2"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6B025725" w14:textId="77777777" w:rsidTr="00304AE5">
        <w:trPr>
          <w:trHeight w:val="300"/>
        </w:trPr>
        <w:tc>
          <w:tcPr>
            <w:tcW w:w="0" w:type="auto"/>
            <w:hideMark/>
          </w:tcPr>
          <w:p w14:paraId="123F9A4B"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Juniper Marlgu Village</w:t>
            </w:r>
          </w:p>
        </w:tc>
        <w:tc>
          <w:tcPr>
            <w:tcW w:w="0" w:type="auto"/>
            <w:hideMark/>
          </w:tcPr>
          <w:p w14:paraId="2D0EE831" w14:textId="2401699B"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Wyndham</w:t>
            </w:r>
          </w:p>
        </w:tc>
        <w:tc>
          <w:tcPr>
            <w:tcW w:w="0" w:type="auto"/>
            <w:hideMark/>
          </w:tcPr>
          <w:p w14:paraId="2FEE7B70" w14:textId="626C03DB"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67CBB17A" w14:textId="77777777" w:rsidTr="00304AE5">
        <w:trPr>
          <w:trHeight w:val="300"/>
        </w:trPr>
        <w:tc>
          <w:tcPr>
            <w:tcW w:w="0" w:type="auto"/>
            <w:hideMark/>
          </w:tcPr>
          <w:p w14:paraId="53D61004"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Juniper Ngamang Bawoona</w:t>
            </w:r>
          </w:p>
        </w:tc>
        <w:tc>
          <w:tcPr>
            <w:tcW w:w="0" w:type="auto"/>
            <w:hideMark/>
          </w:tcPr>
          <w:p w14:paraId="563140BE" w14:textId="731A99C9"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Derby</w:t>
            </w:r>
          </w:p>
        </w:tc>
        <w:tc>
          <w:tcPr>
            <w:tcW w:w="0" w:type="auto"/>
            <w:hideMark/>
          </w:tcPr>
          <w:p w14:paraId="3A8DAA51" w14:textId="19C6C0B5"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7E850551" w14:textId="77777777" w:rsidTr="00304AE5">
        <w:trPr>
          <w:trHeight w:val="300"/>
        </w:trPr>
        <w:tc>
          <w:tcPr>
            <w:tcW w:w="0" w:type="auto"/>
            <w:hideMark/>
          </w:tcPr>
          <w:p w14:paraId="0C647D2D"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Juniper Numbala Nunga</w:t>
            </w:r>
          </w:p>
        </w:tc>
        <w:tc>
          <w:tcPr>
            <w:tcW w:w="0" w:type="auto"/>
            <w:hideMark/>
          </w:tcPr>
          <w:p w14:paraId="0622D163" w14:textId="05CCD2F3"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Derby</w:t>
            </w:r>
          </w:p>
        </w:tc>
        <w:tc>
          <w:tcPr>
            <w:tcW w:w="0" w:type="auto"/>
            <w:hideMark/>
          </w:tcPr>
          <w:p w14:paraId="00C772A0" w14:textId="31C15242"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2CC9F6B4" w14:textId="77777777" w:rsidTr="00304AE5">
        <w:trPr>
          <w:trHeight w:val="300"/>
        </w:trPr>
        <w:tc>
          <w:tcPr>
            <w:tcW w:w="0" w:type="auto"/>
            <w:hideMark/>
          </w:tcPr>
          <w:p w14:paraId="5029E02C"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Karlarra House</w:t>
            </w:r>
          </w:p>
        </w:tc>
        <w:tc>
          <w:tcPr>
            <w:tcW w:w="0" w:type="auto"/>
            <w:hideMark/>
          </w:tcPr>
          <w:p w14:paraId="7189E501" w14:textId="65D46A6D" w:rsidR="00B46A82" w:rsidRPr="00B46A82" w:rsidRDefault="00FB2A9A" w:rsidP="00944E0E">
            <w:pPr>
              <w:spacing w:before="40" w:after="40"/>
              <w:rPr>
                <w:rFonts w:ascii="Calibri" w:hAnsi="Calibri" w:cs="Calibri"/>
                <w:sz w:val="22"/>
                <w:szCs w:val="22"/>
              </w:rPr>
            </w:pPr>
            <w:r>
              <w:rPr>
                <w:rFonts w:ascii="Calibri" w:hAnsi="Calibri" w:cs="Calibri"/>
                <w:sz w:val="22"/>
                <w:szCs w:val="22"/>
              </w:rPr>
              <w:t>South H</w:t>
            </w:r>
            <w:r w:rsidRPr="00B46A82">
              <w:rPr>
                <w:rFonts w:ascii="Calibri" w:hAnsi="Calibri" w:cs="Calibri"/>
                <w:sz w:val="22"/>
                <w:szCs w:val="22"/>
              </w:rPr>
              <w:t>edland</w:t>
            </w:r>
          </w:p>
        </w:tc>
        <w:tc>
          <w:tcPr>
            <w:tcW w:w="0" w:type="auto"/>
            <w:hideMark/>
          </w:tcPr>
          <w:p w14:paraId="52233C37" w14:textId="37C0DA91"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0564CC22" w14:textId="77777777" w:rsidTr="00304AE5">
        <w:trPr>
          <w:trHeight w:val="300"/>
        </w:trPr>
        <w:tc>
          <w:tcPr>
            <w:tcW w:w="0" w:type="auto"/>
            <w:hideMark/>
          </w:tcPr>
          <w:p w14:paraId="5B0A205F"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Peter Arney Home</w:t>
            </w:r>
          </w:p>
        </w:tc>
        <w:tc>
          <w:tcPr>
            <w:tcW w:w="0" w:type="auto"/>
            <w:hideMark/>
          </w:tcPr>
          <w:p w14:paraId="2E88B335" w14:textId="4827545C" w:rsidR="00B46A82" w:rsidRPr="00B46A82" w:rsidRDefault="00FB2A9A" w:rsidP="00944E0E">
            <w:pPr>
              <w:spacing w:before="40" w:after="40"/>
              <w:rPr>
                <w:rFonts w:ascii="Calibri" w:hAnsi="Calibri" w:cs="Calibri"/>
                <w:sz w:val="22"/>
                <w:szCs w:val="22"/>
              </w:rPr>
            </w:pPr>
            <w:r>
              <w:rPr>
                <w:rFonts w:ascii="Calibri" w:hAnsi="Calibri" w:cs="Calibri"/>
                <w:sz w:val="22"/>
                <w:szCs w:val="22"/>
              </w:rPr>
              <w:t>Salter P</w:t>
            </w:r>
            <w:r w:rsidRPr="00B46A82">
              <w:rPr>
                <w:rFonts w:ascii="Calibri" w:hAnsi="Calibri" w:cs="Calibri"/>
                <w:sz w:val="22"/>
                <w:szCs w:val="22"/>
              </w:rPr>
              <w:t>oint</w:t>
            </w:r>
          </w:p>
        </w:tc>
        <w:tc>
          <w:tcPr>
            <w:tcW w:w="0" w:type="auto"/>
            <w:hideMark/>
          </w:tcPr>
          <w:p w14:paraId="4D4FB1CC" w14:textId="48656F84"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0EB0708D" w14:textId="77777777" w:rsidTr="00304AE5">
        <w:trPr>
          <w:trHeight w:val="300"/>
        </w:trPr>
        <w:tc>
          <w:tcPr>
            <w:tcW w:w="0" w:type="auto"/>
            <w:hideMark/>
          </w:tcPr>
          <w:p w14:paraId="06F7F2D8"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Springhaven Lodge</w:t>
            </w:r>
          </w:p>
        </w:tc>
        <w:tc>
          <w:tcPr>
            <w:tcW w:w="0" w:type="auto"/>
            <w:hideMark/>
          </w:tcPr>
          <w:p w14:paraId="712C0EAD" w14:textId="01805006"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Kojonup</w:t>
            </w:r>
          </w:p>
        </w:tc>
        <w:tc>
          <w:tcPr>
            <w:tcW w:w="0" w:type="auto"/>
            <w:hideMark/>
          </w:tcPr>
          <w:p w14:paraId="423BE441"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64D0E97E" w14:textId="77777777" w:rsidTr="00304AE5">
        <w:trPr>
          <w:trHeight w:val="300"/>
        </w:trPr>
        <w:tc>
          <w:tcPr>
            <w:tcW w:w="0" w:type="auto"/>
            <w:hideMark/>
          </w:tcPr>
          <w:p w14:paraId="21DA8A05"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Wearne Home</w:t>
            </w:r>
          </w:p>
        </w:tc>
        <w:tc>
          <w:tcPr>
            <w:tcW w:w="0" w:type="auto"/>
            <w:hideMark/>
          </w:tcPr>
          <w:p w14:paraId="57EDAF84" w14:textId="7410A9E9" w:rsidR="00B46A82" w:rsidRPr="00B46A82" w:rsidRDefault="00FB2A9A" w:rsidP="00944E0E">
            <w:pPr>
              <w:spacing w:before="40" w:after="40"/>
              <w:rPr>
                <w:rFonts w:ascii="Calibri" w:hAnsi="Calibri" w:cs="Calibri"/>
                <w:sz w:val="22"/>
                <w:szCs w:val="22"/>
              </w:rPr>
            </w:pPr>
            <w:r>
              <w:rPr>
                <w:rFonts w:ascii="Calibri" w:hAnsi="Calibri" w:cs="Calibri"/>
                <w:sz w:val="22"/>
                <w:szCs w:val="22"/>
              </w:rPr>
              <w:t>Dudley P</w:t>
            </w:r>
            <w:r w:rsidRPr="00B46A82">
              <w:rPr>
                <w:rFonts w:ascii="Calibri" w:hAnsi="Calibri" w:cs="Calibri"/>
                <w:sz w:val="22"/>
                <w:szCs w:val="22"/>
              </w:rPr>
              <w:t>ark</w:t>
            </w:r>
          </w:p>
        </w:tc>
        <w:tc>
          <w:tcPr>
            <w:tcW w:w="0" w:type="auto"/>
            <w:hideMark/>
          </w:tcPr>
          <w:p w14:paraId="547342A7" w14:textId="224DE3E0"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r w:rsidR="00B46A82" w:rsidRPr="00B46A82" w14:paraId="65A942A1" w14:textId="77777777" w:rsidTr="00304AE5">
        <w:trPr>
          <w:trHeight w:val="300"/>
        </w:trPr>
        <w:tc>
          <w:tcPr>
            <w:tcW w:w="0" w:type="auto"/>
            <w:hideMark/>
          </w:tcPr>
          <w:p w14:paraId="3D9A6509" w14:textId="77777777"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Yaandina Frail Aged Hostel</w:t>
            </w:r>
          </w:p>
        </w:tc>
        <w:tc>
          <w:tcPr>
            <w:tcW w:w="0" w:type="auto"/>
            <w:hideMark/>
          </w:tcPr>
          <w:p w14:paraId="6722D113" w14:textId="42FC1698" w:rsidR="00B46A82" w:rsidRPr="00B46A82" w:rsidRDefault="00FB2A9A" w:rsidP="00944E0E">
            <w:pPr>
              <w:spacing w:before="40" w:after="40"/>
              <w:rPr>
                <w:rFonts w:ascii="Calibri" w:hAnsi="Calibri" w:cs="Calibri"/>
                <w:sz w:val="22"/>
                <w:szCs w:val="22"/>
              </w:rPr>
            </w:pPr>
            <w:r w:rsidRPr="00B46A82">
              <w:rPr>
                <w:rFonts w:ascii="Calibri" w:hAnsi="Calibri" w:cs="Calibri"/>
                <w:sz w:val="22"/>
                <w:szCs w:val="22"/>
              </w:rPr>
              <w:t>Roebourne</w:t>
            </w:r>
          </w:p>
        </w:tc>
        <w:tc>
          <w:tcPr>
            <w:tcW w:w="0" w:type="auto"/>
            <w:hideMark/>
          </w:tcPr>
          <w:p w14:paraId="3DBBB8B1" w14:textId="676E3BE9" w:rsidR="00B46A82" w:rsidRPr="00B46A82" w:rsidRDefault="00B46A82" w:rsidP="00944E0E">
            <w:pPr>
              <w:spacing w:before="40" w:after="40"/>
              <w:rPr>
                <w:rFonts w:ascii="Calibri" w:hAnsi="Calibri" w:cs="Calibri"/>
                <w:sz w:val="22"/>
                <w:szCs w:val="22"/>
              </w:rPr>
            </w:pPr>
            <w:r w:rsidRPr="00B46A82">
              <w:rPr>
                <w:rFonts w:ascii="Calibri" w:hAnsi="Calibri" w:cs="Calibri"/>
                <w:sz w:val="22"/>
                <w:szCs w:val="22"/>
              </w:rPr>
              <w:t>WA</w:t>
            </w:r>
          </w:p>
        </w:tc>
      </w:tr>
    </w:tbl>
    <w:p w14:paraId="03728DFB" w14:textId="4929AB06" w:rsidR="00B45C37" w:rsidRDefault="00943BA0" w:rsidP="00C06B51">
      <w:pPr>
        <w:pStyle w:val="Heading1"/>
        <w:numPr>
          <w:ilvl w:val="0"/>
          <w:numId w:val="0"/>
        </w:numPr>
      </w:pPr>
      <w:bookmarkStart w:id="129" w:name="_Ref528325487"/>
      <w:bookmarkStart w:id="130" w:name="_Ref528921339"/>
      <w:bookmarkStart w:id="131" w:name="_Toc952754"/>
      <w:r>
        <w:lastRenderedPageBreak/>
        <w:t xml:space="preserve">Appendix </w:t>
      </w:r>
      <w:bookmarkEnd w:id="129"/>
      <w:r w:rsidR="0092208F">
        <w:t>3</w:t>
      </w:r>
      <w:bookmarkEnd w:id="130"/>
      <w:bookmarkEnd w:id="131"/>
    </w:p>
    <w:p w14:paraId="24A3F53D" w14:textId="47AE2F13" w:rsidR="00943BA0" w:rsidRDefault="00B30E39" w:rsidP="00C06B51">
      <w:pPr>
        <w:pStyle w:val="Heading1"/>
        <w:numPr>
          <w:ilvl w:val="0"/>
          <w:numId w:val="0"/>
        </w:numPr>
      </w:pPr>
      <w:bookmarkStart w:id="132" w:name="_Toc952755"/>
      <w:r>
        <w:t>Study Two d</w:t>
      </w:r>
      <w:r w:rsidR="00943BA0" w:rsidRPr="00B30E39">
        <w:t>ata collection items</w:t>
      </w:r>
      <w:bookmarkEnd w:id="132"/>
    </w:p>
    <w:p w14:paraId="4103D963" w14:textId="4D85F3DD" w:rsidR="00943BA0" w:rsidRPr="00943BA0" w:rsidRDefault="00943BA0" w:rsidP="00943BA0">
      <w:pPr>
        <w:spacing w:before="120" w:after="120"/>
        <w:rPr>
          <w:b/>
        </w:rPr>
      </w:pPr>
      <w:r w:rsidRPr="00943BA0">
        <w:rPr>
          <w:b/>
        </w:rPr>
        <w:t>Residential Profile Data</w:t>
      </w:r>
      <w:r w:rsidR="007B6A00">
        <w:rPr>
          <w:b/>
        </w:rPr>
        <w:t>:</w:t>
      </w:r>
    </w:p>
    <w:p w14:paraId="4BB77598" w14:textId="367028D2" w:rsidR="00943BA0" w:rsidRDefault="00943BA0" w:rsidP="00943BA0">
      <w:pPr>
        <w:pStyle w:val="Bullets"/>
      </w:pPr>
      <w:r>
        <w:t xml:space="preserve">facility level data including </w:t>
      </w:r>
      <w:r w:rsidR="00BA4679">
        <w:t xml:space="preserve">Residential </w:t>
      </w:r>
      <w:r>
        <w:t>A</w:t>
      </w:r>
      <w:r w:rsidR="00BA4679">
        <w:t xml:space="preserve">ged </w:t>
      </w:r>
      <w:r>
        <w:t>C</w:t>
      </w:r>
      <w:r w:rsidR="00BA4679">
        <w:t>are</w:t>
      </w:r>
      <w:r w:rsidR="00B624D7">
        <w:t xml:space="preserve"> (RAC) </w:t>
      </w:r>
      <w:r>
        <w:t>ID, address, A</w:t>
      </w:r>
      <w:r w:rsidR="00E52A3B">
        <w:t xml:space="preserve">ustralian </w:t>
      </w:r>
      <w:r>
        <w:t>B</w:t>
      </w:r>
      <w:r w:rsidR="00E52A3B">
        <w:t xml:space="preserve">ureau of </w:t>
      </w:r>
      <w:r>
        <w:t>S</w:t>
      </w:r>
      <w:r w:rsidR="00E52A3B">
        <w:t>tatistics (ABS)</w:t>
      </w:r>
      <w:r>
        <w:t xml:space="preserve"> remoteness and provider</w:t>
      </w:r>
      <w:r w:rsidR="00304AE5">
        <w:t xml:space="preserve"> type</w:t>
      </w:r>
    </w:p>
    <w:p w14:paraId="58271EC3" w14:textId="1DF3184A" w:rsidR="00943BA0" w:rsidRDefault="00943BA0" w:rsidP="00943BA0">
      <w:pPr>
        <w:pStyle w:val="Bullets"/>
      </w:pPr>
      <w:r>
        <w:t xml:space="preserve">facility design including year built, </w:t>
      </w:r>
      <w:r w:rsidR="00304AE5">
        <w:t xml:space="preserve">year of last renovation, </w:t>
      </w:r>
      <w:r>
        <w:t>single/multi</w:t>
      </w:r>
      <w:r w:rsidR="000D6390">
        <w:t>-</w:t>
      </w:r>
      <w:r>
        <w:t>level, single/multi bed rooms and specialisation</w:t>
      </w:r>
    </w:p>
    <w:p w14:paraId="6FD3F0CF" w14:textId="77777777" w:rsidR="00943BA0" w:rsidRDefault="00943BA0" w:rsidP="00943BA0">
      <w:pPr>
        <w:pStyle w:val="Bullets"/>
      </w:pPr>
      <w:r>
        <w:t>service delivery model with estimates of casual and agency staff usage</w:t>
      </w:r>
    </w:p>
    <w:p w14:paraId="30CA2A77" w14:textId="307433A7" w:rsidR="00943BA0" w:rsidRDefault="00FB2A9A" w:rsidP="00943BA0">
      <w:pPr>
        <w:pStyle w:val="Bullets"/>
      </w:pPr>
      <w:r>
        <w:t>use of volunteers</w:t>
      </w:r>
      <w:r w:rsidR="00304AE5">
        <w:t xml:space="preserve"> </w:t>
      </w:r>
      <w:r w:rsidR="00943BA0">
        <w:t>including estimate of time and types of activities involved</w:t>
      </w:r>
    </w:p>
    <w:p w14:paraId="56CBD50C" w14:textId="6D0332D7" w:rsidR="00943BA0" w:rsidRDefault="00943BA0" w:rsidP="00943BA0">
      <w:pPr>
        <w:pStyle w:val="Bullets"/>
      </w:pPr>
      <w:r>
        <w:t>fees for additional services if charged</w:t>
      </w:r>
      <w:r w:rsidR="00304AE5">
        <w:t xml:space="preserve"> and if t</w:t>
      </w:r>
      <w:r w:rsidR="000E498D">
        <w:t>hese relate to delivery of care</w:t>
      </w:r>
    </w:p>
    <w:p w14:paraId="64B90194" w14:textId="5D432936" w:rsidR="00943BA0" w:rsidRDefault="00943BA0" w:rsidP="00943BA0">
      <w:pPr>
        <w:pStyle w:val="Bullets"/>
      </w:pPr>
      <w:r>
        <w:t xml:space="preserve">organisation level data including </w:t>
      </w:r>
      <w:r w:rsidR="00304AE5">
        <w:t xml:space="preserve">identifying </w:t>
      </w:r>
      <w:r>
        <w:t>types of other busin</w:t>
      </w:r>
      <w:r w:rsidR="00304AE5">
        <w:t>ess units operated</w:t>
      </w:r>
      <w:r w:rsidR="0056730D">
        <w:t xml:space="preserve"> and </w:t>
      </w:r>
      <w:r w:rsidR="00FB2A9A">
        <w:t>the</w:t>
      </w:r>
      <w:r w:rsidR="0056730D">
        <w:t xml:space="preserve"> basis </w:t>
      </w:r>
      <w:r w:rsidR="00FB2A9A">
        <w:t xml:space="preserve">that </w:t>
      </w:r>
      <w:r>
        <w:t xml:space="preserve">shared corporate/services costs </w:t>
      </w:r>
      <w:r w:rsidR="0056730D">
        <w:t xml:space="preserve">are </w:t>
      </w:r>
      <w:r>
        <w:t>allocated</w:t>
      </w:r>
      <w:r w:rsidR="007B6A00">
        <w:t>.</w:t>
      </w:r>
    </w:p>
    <w:p w14:paraId="14D7D51F" w14:textId="071BB89C" w:rsidR="00943BA0" w:rsidRPr="00943BA0" w:rsidRDefault="00943BA0" w:rsidP="000E498D">
      <w:pPr>
        <w:spacing w:before="360" w:after="120"/>
        <w:rPr>
          <w:b/>
        </w:rPr>
      </w:pPr>
      <w:r w:rsidRPr="00943BA0">
        <w:rPr>
          <w:b/>
        </w:rPr>
        <w:t>Residential Financial data</w:t>
      </w:r>
      <w:r w:rsidR="007B6A00">
        <w:rPr>
          <w:b/>
        </w:rPr>
        <w:t>:</w:t>
      </w:r>
    </w:p>
    <w:p w14:paraId="3717B864" w14:textId="77777777" w:rsidR="0056730D" w:rsidRDefault="0056730D" w:rsidP="00943BA0">
      <w:pPr>
        <w:pStyle w:val="Bullets"/>
      </w:pPr>
      <w:r>
        <w:t>fees for additional services</w:t>
      </w:r>
    </w:p>
    <w:p w14:paraId="24099BA9" w14:textId="5E5D37BE" w:rsidR="00943BA0" w:rsidRDefault="00943BA0" w:rsidP="00943BA0">
      <w:pPr>
        <w:pStyle w:val="Bullets"/>
      </w:pPr>
      <w:r>
        <w:t>direct care labour costs by staff designation</w:t>
      </w:r>
      <w:r w:rsidR="0056730D">
        <w:t xml:space="preserve"> – Care management, Registered nurse, Enrolled/licenced nurse, Personal care staff/</w:t>
      </w:r>
      <w:r w:rsidR="007E6042">
        <w:t>unlicensed</w:t>
      </w:r>
      <w:r w:rsidR="0056730D">
        <w:t xml:space="preserve"> nurse, Allied health and lifestyle and Agency staff</w:t>
      </w:r>
    </w:p>
    <w:p w14:paraId="1FA5793D" w14:textId="77777777" w:rsidR="00943BA0" w:rsidRDefault="00943BA0" w:rsidP="00943BA0">
      <w:pPr>
        <w:pStyle w:val="Bullets"/>
      </w:pPr>
      <w:r>
        <w:t>medical, incontinence and nutritional supplies</w:t>
      </w:r>
    </w:p>
    <w:p w14:paraId="2A28E0A5" w14:textId="77777777" w:rsidR="0056730D" w:rsidRDefault="0056730D" w:rsidP="00943BA0">
      <w:pPr>
        <w:pStyle w:val="Bullets"/>
      </w:pPr>
      <w:r>
        <w:t>chaplaincy/pastoral care costs</w:t>
      </w:r>
    </w:p>
    <w:p w14:paraId="7D3ED85A" w14:textId="77777777" w:rsidR="00943BA0" w:rsidRDefault="00943BA0" w:rsidP="00943BA0">
      <w:pPr>
        <w:pStyle w:val="Bullets"/>
      </w:pPr>
      <w:r>
        <w:t xml:space="preserve">other </w:t>
      </w:r>
      <w:r w:rsidR="0056730D">
        <w:t>resident care</w:t>
      </w:r>
      <w:r>
        <w:t xml:space="preserve"> costs</w:t>
      </w:r>
    </w:p>
    <w:p w14:paraId="6EFF00A9" w14:textId="77777777" w:rsidR="00943BA0" w:rsidRDefault="00943BA0" w:rsidP="00943BA0">
      <w:pPr>
        <w:pStyle w:val="Bullets"/>
      </w:pPr>
      <w:r>
        <w:t>indirect care costs such as quality and education relating to care staff</w:t>
      </w:r>
    </w:p>
    <w:p w14:paraId="47C938EC" w14:textId="77777777" w:rsidR="00943BA0" w:rsidRDefault="00943BA0" w:rsidP="00943BA0">
      <w:pPr>
        <w:pStyle w:val="Bullets"/>
      </w:pPr>
      <w:r>
        <w:t>workers compensation premium costs</w:t>
      </w:r>
    </w:p>
    <w:p w14:paraId="0D99945F" w14:textId="77777777" w:rsidR="00943BA0" w:rsidRDefault="00943BA0" w:rsidP="00943BA0">
      <w:pPr>
        <w:pStyle w:val="Bullets"/>
      </w:pPr>
      <w:r>
        <w:t>administration and support services including administration recharges, administration labour costs, other administration costs, insurances, workers compensation and quality and education allocation to non-care staff</w:t>
      </w:r>
    </w:p>
    <w:p w14:paraId="57DDC3CC" w14:textId="7490DEFF" w:rsidR="00943BA0" w:rsidRDefault="00943BA0" w:rsidP="00943BA0">
      <w:pPr>
        <w:pStyle w:val="Bullets"/>
      </w:pPr>
      <w:r>
        <w:t>total facility expenditure</w:t>
      </w:r>
      <w:r w:rsidR="007B6A00">
        <w:t>.</w:t>
      </w:r>
    </w:p>
    <w:p w14:paraId="1F94EE73" w14:textId="3589EB7C" w:rsidR="00943BA0" w:rsidRPr="00943BA0" w:rsidRDefault="00943BA0" w:rsidP="000E498D">
      <w:pPr>
        <w:spacing w:before="360" w:after="120"/>
        <w:rPr>
          <w:b/>
        </w:rPr>
      </w:pPr>
      <w:r w:rsidRPr="00943BA0">
        <w:rPr>
          <w:b/>
        </w:rPr>
        <w:t>Residential Bed Days</w:t>
      </w:r>
      <w:r w:rsidR="007B6A00">
        <w:rPr>
          <w:b/>
        </w:rPr>
        <w:t>:</w:t>
      </w:r>
    </w:p>
    <w:p w14:paraId="2F8C8254" w14:textId="5682C8B7" w:rsidR="0056730D" w:rsidRDefault="005F68BC" w:rsidP="00943BA0">
      <w:pPr>
        <w:pStyle w:val="Bullets"/>
      </w:pPr>
      <w:r>
        <w:t>number of approved places</w:t>
      </w:r>
    </w:p>
    <w:p w14:paraId="3C708E1B" w14:textId="77777777" w:rsidR="00943BA0" w:rsidRDefault="00943BA0" w:rsidP="00943BA0">
      <w:pPr>
        <w:pStyle w:val="Bullets"/>
      </w:pPr>
      <w:r>
        <w:t>respite occupied bed days</w:t>
      </w:r>
      <w:r w:rsidR="0056730D">
        <w:t xml:space="preserve"> by month</w:t>
      </w:r>
    </w:p>
    <w:p w14:paraId="4508877C" w14:textId="77777777" w:rsidR="00943BA0" w:rsidRDefault="00943BA0" w:rsidP="00943BA0">
      <w:pPr>
        <w:pStyle w:val="Bullets"/>
      </w:pPr>
      <w:r>
        <w:t>total occupied bed days</w:t>
      </w:r>
      <w:r w:rsidR="0056730D">
        <w:t xml:space="preserve"> by month</w:t>
      </w:r>
    </w:p>
    <w:p w14:paraId="73428C8A" w14:textId="74C7C96E" w:rsidR="00943BA0" w:rsidRDefault="00943BA0" w:rsidP="000E498D">
      <w:pPr>
        <w:pStyle w:val="Bullets"/>
        <w:spacing w:after="960"/>
      </w:pPr>
      <w:r>
        <w:t>reason to explain occupancy level (e.g. renovations)</w:t>
      </w:r>
      <w:r w:rsidR="007B6A00">
        <w:t>.</w:t>
      </w:r>
    </w:p>
    <w:p w14:paraId="0ADCD5F5" w14:textId="4946A08C" w:rsidR="00943BA0" w:rsidRPr="00943BA0" w:rsidRDefault="00370776" w:rsidP="00943BA0">
      <w:pPr>
        <w:spacing w:before="120" w:after="120"/>
        <w:rPr>
          <w:b/>
        </w:rPr>
      </w:pPr>
      <w:r>
        <w:rPr>
          <w:b/>
        </w:rPr>
        <w:lastRenderedPageBreak/>
        <w:t>R</w:t>
      </w:r>
      <w:r w:rsidR="00943BA0" w:rsidRPr="00943BA0">
        <w:rPr>
          <w:b/>
        </w:rPr>
        <w:t xml:space="preserve">esidential Staff </w:t>
      </w:r>
      <w:r w:rsidR="0056730D">
        <w:rPr>
          <w:b/>
        </w:rPr>
        <w:t xml:space="preserve">Paid </w:t>
      </w:r>
      <w:r w:rsidR="00943BA0" w:rsidRPr="00943BA0">
        <w:rPr>
          <w:b/>
        </w:rPr>
        <w:t>Hours</w:t>
      </w:r>
      <w:r w:rsidR="007B6A00">
        <w:rPr>
          <w:b/>
        </w:rPr>
        <w:t>:</w:t>
      </w:r>
    </w:p>
    <w:p w14:paraId="5508D764" w14:textId="6A2F95C6" w:rsidR="00943BA0" w:rsidRDefault="00943BA0" w:rsidP="00943BA0">
      <w:pPr>
        <w:pStyle w:val="Bullets"/>
      </w:pPr>
      <w:r>
        <w:t>by designation</w:t>
      </w:r>
      <w:r w:rsidR="0056730D">
        <w:t xml:space="preserve"> – Care management, Registered nurse, Enrolled/licenced nurse, Personal care staff/</w:t>
      </w:r>
      <w:r w:rsidR="00352CC0">
        <w:t>unlicensed</w:t>
      </w:r>
      <w:r w:rsidR="0056730D">
        <w:t xml:space="preserve"> nurse, Allied health and lifestyle, administration staff and quality and education staff</w:t>
      </w:r>
    </w:p>
    <w:p w14:paraId="4F3C0ACB" w14:textId="10945A82" w:rsidR="00943BA0" w:rsidRDefault="00FD3D1E" w:rsidP="00943BA0">
      <w:pPr>
        <w:pStyle w:val="Bullets"/>
      </w:pPr>
      <w:r>
        <w:t xml:space="preserve">by normal, overtime, agency and </w:t>
      </w:r>
      <w:r w:rsidR="00943BA0">
        <w:t>other</w:t>
      </w:r>
      <w:r w:rsidR="007B6A00">
        <w:t>.</w:t>
      </w:r>
    </w:p>
    <w:p w14:paraId="65181D3E" w14:textId="46E734A5" w:rsidR="00943BA0" w:rsidRPr="00943BA0" w:rsidRDefault="007B6A00" w:rsidP="005F68BC">
      <w:pPr>
        <w:spacing w:before="360" w:after="120"/>
        <w:rPr>
          <w:b/>
        </w:rPr>
      </w:pPr>
      <w:r>
        <w:rPr>
          <w:b/>
        </w:rPr>
        <w:t>Hotel S</w:t>
      </w:r>
      <w:r w:rsidR="00A240B6">
        <w:rPr>
          <w:b/>
        </w:rPr>
        <w:t>ervices Co</w:t>
      </w:r>
      <w:r w:rsidR="00943BA0">
        <w:rPr>
          <w:b/>
        </w:rPr>
        <w:t>sts</w:t>
      </w:r>
      <w:r>
        <w:rPr>
          <w:b/>
        </w:rPr>
        <w:t>:</w:t>
      </w:r>
    </w:p>
    <w:p w14:paraId="6926AEC9" w14:textId="77777777" w:rsidR="00943BA0" w:rsidRDefault="00943BA0" w:rsidP="00943BA0">
      <w:pPr>
        <w:pStyle w:val="Bullets"/>
      </w:pPr>
      <w:r>
        <w:t>catering</w:t>
      </w:r>
    </w:p>
    <w:p w14:paraId="0C0C3801" w14:textId="77777777" w:rsidR="00943BA0" w:rsidRDefault="00943BA0" w:rsidP="00943BA0">
      <w:pPr>
        <w:pStyle w:val="Bullets"/>
      </w:pPr>
      <w:r>
        <w:t>cleaning and laundry</w:t>
      </w:r>
    </w:p>
    <w:p w14:paraId="4BCD2FD1" w14:textId="77777777" w:rsidR="00943BA0" w:rsidRDefault="00943BA0" w:rsidP="00943BA0">
      <w:pPr>
        <w:pStyle w:val="Bullets"/>
      </w:pPr>
      <w:r>
        <w:t>utilities</w:t>
      </w:r>
    </w:p>
    <w:p w14:paraId="19B03A46" w14:textId="7AF78B13" w:rsidR="00943BA0" w:rsidRDefault="00943BA0" w:rsidP="00943BA0">
      <w:pPr>
        <w:pStyle w:val="Bullets"/>
      </w:pPr>
      <w:r>
        <w:t>maintenance and repairs and other costs</w:t>
      </w:r>
      <w:r w:rsidR="007B6A00">
        <w:t>.</w:t>
      </w:r>
    </w:p>
    <w:p w14:paraId="18B83EA3" w14:textId="3C01814B" w:rsidR="00065F4F" w:rsidRDefault="00065F4F">
      <w:r>
        <w:br w:type="page"/>
      </w:r>
    </w:p>
    <w:p w14:paraId="6E7C4862" w14:textId="77777777" w:rsidR="00B45C37" w:rsidRDefault="00845ADF" w:rsidP="00C06B51">
      <w:pPr>
        <w:pStyle w:val="Heading1"/>
        <w:numPr>
          <w:ilvl w:val="0"/>
          <w:numId w:val="0"/>
        </w:numPr>
      </w:pPr>
      <w:bookmarkStart w:id="133" w:name="_Ref528932761"/>
      <w:bookmarkStart w:id="134" w:name="_Toc952756"/>
      <w:r>
        <w:lastRenderedPageBreak/>
        <w:t>Appendix 4</w:t>
      </w:r>
      <w:bookmarkEnd w:id="133"/>
      <w:bookmarkEnd w:id="134"/>
      <w:r w:rsidR="00626F44">
        <w:tab/>
      </w:r>
    </w:p>
    <w:p w14:paraId="6F47B752" w14:textId="30F1C825" w:rsidR="00943BA0" w:rsidRDefault="00943BA0" w:rsidP="00C06B51">
      <w:pPr>
        <w:pStyle w:val="Heading1"/>
        <w:numPr>
          <w:ilvl w:val="0"/>
          <w:numId w:val="0"/>
        </w:numPr>
      </w:pPr>
      <w:bookmarkStart w:id="135" w:name="_Toc952757"/>
      <w:r w:rsidRPr="00845ADF">
        <w:t>Residential Care Definitions</w:t>
      </w:r>
      <w:bookmarkEnd w:id="135"/>
    </w:p>
    <w:tbl>
      <w:tblPr>
        <w:tblStyle w:val="TableGrid"/>
        <w:tblW w:w="0" w:type="auto"/>
        <w:tblLook w:val="04A0" w:firstRow="1" w:lastRow="0" w:firstColumn="1" w:lastColumn="0" w:noHBand="0" w:noVBand="1"/>
        <w:tblCaption w:val="Appendix 4 Residential Care Definitions"/>
        <w:tblDescription w:val="Appendix 4 is a table providing residential care definitions. This table is to be read as a series of rows from left to right, top to bottom."/>
      </w:tblPr>
      <w:tblGrid>
        <w:gridCol w:w="2263"/>
        <w:gridCol w:w="4052"/>
        <w:gridCol w:w="2781"/>
      </w:tblGrid>
      <w:tr w:rsidR="00076D2F" w:rsidRPr="00221195" w14:paraId="21DAF670" w14:textId="77777777" w:rsidTr="00076D2F">
        <w:trPr>
          <w:trHeight w:val="420"/>
          <w:tblHeader/>
        </w:trPr>
        <w:tc>
          <w:tcPr>
            <w:tcW w:w="2263" w:type="dxa"/>
            <w:shd w:val="clear" w:color="auto" w:fill="D9D9D9" w:themeFill="background1" w:themeFillShade="D9"/>
            <w:noWrap/>
            <w:hideMark/>
          </w:tcPr>
          <w:p w14:paraId="2B477E93" w14:textId="590FD810" w:rsidR="00076D2F" w:rsidRPr="00221195" w:rsidRDefault="00076D2F" w:rsidP="00944E0E">
            <w:pPr>
              <w:spacing w:before="40" w:after="40"/>
              <w:rPr>
                <w:b/>
                <w:sz w:val="20"/>
                <w:szCs w:val="20"/>
              </w:rPr>
            </w:pPr>
            <w:r w:rsidRPr="00221195">
              <w:rPr>
                <w:b/>
                <w:sz w:val="20"/>
                <w:szCs w:val="20"/>
              </w:rPr>
              <w:t>Expense type</w:t>
            </w:r>
          </w:p>
          <w:p w14:paraId="4066A8DB" w14:textId="70CF9EEC" w:rsidR="00076D2F" w:rsidRPr="00221195" w:rsidRDefault="00076D2F" w:rsidP="00944E0E">
            <w:pPr>
              <w:spacing w:before="40" w:after="40"/>
              <w:rPr>
                <w:b/>
                <w:sz w:val="20"/>
                <w:szCs w:val="20"/>
              </w:rPr>
            </w:pPr>
            <w:r w:rsidRPr="00221195">
              <w:rPr>
                <w:sz w:val="16"/>
                <w:szCs w:val="16"/>
              </w:rPr>
              <w:t> </w:t>
            </w:r>
          </w:p>
        </w:tc>
        <w:tc>
          <w:tcPr>
            <w:tcW w:w="4052" w:type="dxa"/>
            <w:shd w:val="clear" w:color="auto" w:fill="D9D9D9" w:themeFill="background1" w:themeFillShade="D9"/>
            <w:noWrap/>
            <w:hideMark/>
          </w:tcPr>
          <w:p w14:paraId="6C660FD9" w14:textId="77777777" w:rsidR="00076D2F" w:rsidRPr="00221195" w:rsidRDefault="00076D2F" w:rsidP="00626F44">
            <w:pPr>
              <w:spacing w:before="40" w:after="40"/>
              <w:rPr>
                <w:b/>
                <w:bCs/>
                <w:sz w:val="20"/>
                <w:szCs w:val="20"/>
              </w:rPr>
            </w:pPr>
            <w:r w:rsidRPr="00221195">
              <w:rPr>
                <w:b/>
                <w:bCs/>
                <w:sz w:val="20"/>
                <w:szCs w:val="20"/>
              </w:rPr>
              <w:t xml:space="preserve">Definition </w:t>
            </w:r>
            <w:r>
              <w:rPr>
                <w:b/>
                <w:bCs/>
                <w:sz w:val="20"/>
                <w:szCs w:val="20"/>
              </w:rPr>
              <w:t>and</w:t>
            </w:r>
            <w:r w:rsidRPr="00221195">
              <w:rPr>
                <w:b/>
                <w:bCs/>
                <w:sz w:val="20"/>
                <w:szCs w:val="20"/>
              </w:rPr>
              <w:t xml:space="preserve"> description</w:t>
            </w:r>
          </w:p>
        </w:tc>
        <w:tc>
          <w:tcPr>
            <w:tcW w:w="2781" w:type="dxa"/>
            <w:shd w:val="clear" w:color="auto" w:fill="D9D9D9" w:themeFill="background1" w:themeFillShade="D9"/>
          </w:tcPr>
          <w:p w14:paraId="6D3EEB6F" w14:textId="108C2B4E" w:rsidR="00076D2F" w:rsidRPr="00221195" w:rsidRDefault="00076D2F" w:rsidP="00626F44">
            <w:pPr>
              <w:spacing w:before="40" w:after="40"/>
              <w:rPr>
                <w:b/>
                <w:bCs/>
                <w:sz w:val="20"/>
                <w:szCs w:val="20"/>
              </w:rPr>
            </w:pPr>
          </w:p>
        </w:tc>
      </w:tr>
      <w:tr w:rsidR="00221195" w:rsidRPr="00221195" w14:paraId="067FAC34" w14:textId="77777777" w:rsidTr="0098545C">
        <w:trPr>
          <w:trHeight w:val="420"/>
          <w:tblHeader/>
        </w:trPr>
        <w:tc>
          <w:tcPr>
            <w:tcW w:w="2263" w:type="dxa"/>
            <w:shd w:val="clear" w:color="auto" w:fill="D9D9D9" w:themeFill="background1" w:themeFillShade="D9"/>
            <w:noWrap/>
            <w:hideMark/>
          </w:tcPr>
          <w:p w14:paraId="682CFCEE" w14:textId="1F3E120F" w:rsidR="00221195" w:rsidRPr="00221195" w:rsidRDefault="00221195" w:rsidP="00944E0E">
            <w:pPr>
              <w:spacing w:before="40" w:after="40"/>
              <w:rPr>
                <w:sz w:val="16"/>
                <w:szCs w:val="16"/>
              </w:rPr>
            </w:pPr>
          </w:p>
        </w:tc>
        <w:tc>
          <w:tcPr>
            <w:tcW w:w="4052" w:type="dxa"/>
            <w:shd w:val="clear" w:color="auto" w:fill="D9D9D9" w:themeFill="background1" w:themeFillShade="D9"/>
            <w:noWrap/>
            <w:hideMark/>
          </w:tcPr>
          <w:p w14:paraId="20F012ED" w14:textId="77777777" w:rsidR="00221195" w:rsidRPr="00221195" w:rsidRDefault="00221195" w:rsidP="00944E0E">
            <w:pPr>
              <w:spacing w:before="40" w:after="40"/>
              <w:rPr>
                <w:b/>
                <w:bCs/>
                <w:sz w:val="16"/>
                <w:szCs w:val="16"/>
              </w:rPr>
            </w:pPr>
            <w:r w:rsidRPr="00221195">
              <w:rPr>
                <w:b/>
                <w:bCs/>
                <w:sz w:val="16"/>
                <w:szCs w:val="16"/>
              </w:rPr>
              <w:t>Inclusions</w:t>
            </w:r>
          </w:p>
        </w:tc>
        <w:tc>
          <w:tcPr>
            <w:tcW w:w="2781" w:type="dxa"/>
            <w:shd w:val="clear" w:color="auto" w:fill="D9D9D9" w:themeFill="background1" w:themeFillShade="D9"/>
            <w:noWrap/>
            <w:hideMark/>
          </w:tcPr>
          <w:p w14:paraId="2C6DAC81" w14:textId="77777777" w:rsidR="00221195" w:rsidRPr="00221195" w:rsidRDefault="00221195" w:rsidP="00944E0E">
            <w:pPr>
              <w:spacing w:before="40" w:after="40"/>
              <w:rPr>
                <w:b/>
                <w:bCs/>
                <w:sz w:val="16"/>
                <w:szCs w:val="16"/>
              </w:rPr>
            </w:pPr>
            <w:r w:rsidRPr="00221195">
              <w:rPr>
                <w:b/>
                <w:bCs/>
                <w:sz w:val="16"/>
                <w:szCs w:val="16"/>
              </w:rPr>
              <w:t>Exclusions</w:t>
            </w:r>
          </w:p>
        </w:tc>
      </w:tr>
      <w:tr w:rsidR="00076D2F" w:rsidRPr="00221195" w14:paraId="19E61197" w14:textId="77777777" w:rsidTr="00076D2F">
        <w:trPr>
          <w:trHeight w:val="315"/>
        </w:trPr>
        <w:tc>
          <w:tcPr>
            <w:tcW w:w="2263" w:type="dxa"/>
            <w:tcBorders>
              <w:bottom w:val="single" w:sz="4" w:space="0" w:color="auto"/>
            </w:tcBorders>
            <w:noWrap/>
            <w:hideMark/>
          </w:tcPr>
          <w:p w14:paraId="74779AA9" w14:textId="77777777" w:rsidR="00076D2F" w:rsidRPr="00221195" w:rsidRDefault="00076D2F" w:rsidP="00944E0E">
            <w:pPr>
              <w:spacing w:before="40" w:after="40"/>
              <w:rPr>
                <w:b/>
                <w:bCs/>
                <w:sz w:val="16"/>
                <w:szCs w:val="16"/>
              </w:rPr>
            </w:pPr>
            <w:r>
              <w:rPr>
                <w:b/>
                <w:bCs/>
                <w:sz w:val="16"/>
                <w:szCs w:val="16"/>
              </w:rPr>
              <w:t>CARE</w:t>
            </w:r>
            <w:r w:rsidRPr="00221195">
              <w:rPr>
                <w:b/>
                <w:bCs/>
                <w:sz w:val="16"/>
                <w:szCs w:val="16"/>
              </w:rPr>
              <w:t xml:space="preserve"> EXPENDITURE</w:t>
            </w:r>
          </w:p>
        </w:tc>
        <w:tc>
          <w:tcPr>
            <w:tcW w:w="4052" w:type="dxa"/>
            <w:tcBorders>
              <w:bottom w:val="single" w:sz="4" w:space="0" w:color="auto"/>
            </w:tcBorders>
          </w:tcPr>
          <w:p w14:paraId="2B753A36" w14:textId="77777777" w:rsidR="00076D2F" w:rsidRPr="00221195" w:rsidRDefault="00076D2F" w:rsidP="00944E0E">
            <w:pPr>
              <w:spacing w:before="40" w:after="40"/>
              <w:rPr>
                <w:b/>
                <w:bCs/>
                <w:sz w:val="16"/>
                <w:szCs w:val="16"/>
              </w:rPr>
            </w:pPr>
          </w:p>
        </w:tc>
        <w:tc>
          <w:tcPr>
            <w:tcW w:w="2781" w:type="dxa"/>
            <w:tcBorders>
              <w:bottom w:val="single" w:sz="4" w:space="0" w:color="auto"/>
            </w:tcBorders>
          </w:tcPr>
          <w:p w14:paraId="3D4BA42C" w14:textId="6FB456EC" w:rsidR="00076D2F" w:rsidRPr="00221195" w:rsidRDefault="00076D2F" w:rsidP="00944E0E">
            <w:pPr>
              <w:spacing w:before="40" w:after="40"/>
              <w:rPr>
                <w:b/>
                <w:bCs/>
                <w:sz w:val="16"/>
                <w:szCs w:val="16"/>
              </w:rPr>
            </w:pPr>
          </w:p>
        </w:tc>
      </w:tr>
      <w:tr w:rsidR="00221195" w:rsidRPr="00221195" w14:paraId="30119AFE" w14:textId="77777777" w:rsidTr="00865DB1">
        <w:trPr>
          <w:trHeight w:val="255"/>
        </w:trPr>
        <w:tc>
          <w:tcPr>
            <w:tcW w:w="2263" w:type="dxa"/>
            <w:tcBorders>
              <w:right w:val="nil"/>
            </w:tcBorders>
            <w:noWrap/>
            <w:hideMark/>
          </w:tcPr>
          <w:p w14:paraId="026342D0" w14:textId="77777777" w:rsidR="00221195" w:rsidRPr="00865DB1" w:rsidRDefault="00221195" w:rsidP="00944E0E">
            <w:pPr>
              <w:spacing w:before="40" w:after="40"/>
              <w:rPr>
                <w:b/>
                <w:sz w:val="16"/>
                <w:szCs w:val="16"/>
              </w:rPr>
            </w:pPr>
            <w:r w:rsidRPr="00865DB1">
              <w:rPr>
                <w:b/>
                <w:sz w:val="16"/>
                <w:szCs w:val="16"/>
              </w:rPr>
              <w:t>Care labour costs</w:t>
            </w:r>
          </w:p>
        </w:tc>
        <w:tc>
          <w:tcPr>
            <w:tcW w:w="4052" w:type="dxa"/>
            <w:tcBorders>
              <w:left w:val="nil"/>
              <w:right w:val="nil"/>
            </w:tcBorders>
            <w:noWrap/>
            <w:hideMark/>
          </w:tcPr>
          <w:p w14:paraId="3506D0DF" w14:textId="77777777" w:rsidR="00221195" w:rsidRPr="00221195" w:rsidRDefault="00221195" w:rsidP="00944E0E">
            <w:pPr>
              <w:spacing w:before="40" w:after="40"/>
              <w:rPr>
                <w:sz w:val="16"/>
                <w:szCs w:val="16"/>
              </w:rPr>
            </w:pPr>
            <w:r w:rsidRPr="00221195">
              <w:rPr>
                <w:sz w:val="16"/>
                <w:szCs w:val="16"/>
              </w:rPr>
              <w:t> </w:t>
            </w:r>
          </w:p>
        </w:tc>
        <w:tc>
          <w:tcPr>
            <w:tcW w:w="2781" w:type="dxa"/>
            <w:tcBorders>
              <w:left w:val="nil"/>
            </w:tcBorders>
            <w:noWrap/>
            <w:hideMark/>
          </w:tcPr>
          <w:p w14:paraId="32EC58A6" w14:textId="77777777" w:rsidR="00221195" w:rsidRPr="00221195" w:rsidRDefault="00221195" w:rsidP="00944E0E">
            <w:pPr>
              <w:spacing w:before="40" w:after="40"/>
              <w:rPr>
                <w:sz w:val="16"/>
                <w:szCs w:val="16"/>
              </w:rPr>
            </w:pPr>
            <w:r w:rsidRPr="00221195">
              <w:rPr>
                <w:sz w:val="16"/>
                <w:szCs w:val="16"/>
              </w:rPr>
              <w:t> </w:t>
            </w:r>
          </w:p>
        </w:tc>
      </w:tr>
      <w:tr w:rsidR="00221195" w:rsidRPr="00221195" w14:paraId="73484B2A" w14:textId="77777777" w:rsidTr="00221195">
        <w:trPr>
          <w:trHeight w:val="2040"/>
        </w:trPr>
        <w:tc>
          <w:tcPr>
            <w:tcW w:w="2263" w:type="dxa"/>
            <w:noWrap/>
            <w:hideMark/>
          </w:tcPr>
          <w:p w14:paraId="2E73CF14" w14:textId="77777777" w:rsidR="00221195" w:rsidRPr="00221195" w:rsidRDefault="00221195" w:rsidP="00944E0E">
            <w:pPr>
              <w:spacing w:before="40" w:after="40"/>
              <w:rPr>
                <w:sz w:val="16"/>
                <w:szCs w:val="16"/>
              </w:rPr>
            </w:pPr>
            <w:r w:rsidRPr="00221195">
              <w:rPr>
                <w:sz w:val="16"/>
                <w:szCs w:val="16"/>
              </w:rPr>
              <w:t>Care management</w:t>
            </w:r>
          </w:p>
        </w:tc>
        <w:tc>
          <w:tcPr>
            <w:tcW w:w="4052" w:type="dxa"/>
            <w:hideMark/>
          </w:tcPr>
          <w:p w14:paraId="2BDBECB6" w14:textId="77777777" w:rsidR="00221195" w:rsidRPr="00221195" w:rsidRDefault="00221195" w:rsidP="00944E0E">
            <w:pPr>
              <w:spacing w:before="40" w:after="40"/>
              <w:rPr>
                <w:sz w:val="16"/>
                <w:szCs w:val="16"/>
              </w:rPr>
            </w:pPr>
            <w:r w:rsidRPr="00221195">
              <w:rPr>
                <w:sz w:val="16"/>
                <w:szCs w:val="16"/>
              </w:rPr>
              <w:t>Wages, allowances, leave, fringe benefits, superannuation, workers compensation excesses and wages paid to, or in respect of, care management staff. Typically this would be the DON, DDON, Facility Manager, Clinical Manager and in some cases a specialist position relating to care plans or ACFI assessments. This would also include an allocation of the costs of this position should it be shared between facilities but typically these would be included as part of the administration recharge. DO NOT allocate between administration wages and care management. Total cost of facility manager should be allocated to this position.</w:t>
            </w:r>
          </w:p>
        </w:tc>
        <w:tc>
          <w:tcPr>
            <w:tcW w:w="2781" w:type="dxa"/>
            <w:hideMark/>
          </w:tcPr>
          <w:p w14:paraId="4C6FACE2" w14:textId="77777777" w:rsidR="00221195" w:rsidRPr="00221195" w:rsidRDefault="00221195" w:rsidP="00944E0E">
            <w:pPr>
              <w:spacing w:before="40" w:after="40"/>
              <w:rPr>
                <w:sz w:val="16"/>
                <w:szCs w:val="16"/>
              </w:rPr>
            </w:pPr>
            <w:r w:rsidRPr="00221195">
              <w:rPr>
                <w:sz w:val="16"/>
                <w:szCs w:val="16"/>
              </w:rPr>
              <w:t>Share of workers compensation premium</w:t>
            </w:r>
          </w:p>
        </w:tc>
      </w:tr>
      <w:tr w:rsidR="00221195" w:rsidRPr="00221195" w14:paraId="47FC0C1D" w14:textId="77777777" w:rsidTr="00221195">
        <w:trPr>
          <w:trHeight w:val="510"/>
        </w:trPr>
        <w:tc>
          <w:tcPr>
            <w:tcW w:w="2263" w:type="dxa"/>
            <w:noWrap/>
            <w:hideMark/>
          </w:tcPr>
          <w:p w14:paraId="37788E22" w14:textId="77777777" w:rsidR="00221195" w:rsidRPr="00221195" w:rsidRDefault="00221195" w:rsidP="00944E0E">
            <w:pPr>
              <w:spacing w:before="40" w:after="40"/>
              <w:rPr>
                <w:sz w:val="16"/>
                <w:szCs w:val="16"/>
              </w:rPr>
            </w:pPr>
            <w:r w:rsidRPr="00221195">
              <w:rPr>
                <w:sz w:val="16"/>
                <w:szCs w:val="16"/>
              </w:rPr>
              <w:t>Registered nurses</w:t>
            </w:r>
          </w:p>
        </w:tc>
        <w:tc>
          <w:tcPr>
            <w:tcW w:w="4052" w:type="dxa"/>
            <w:hideMark/>
          </w:tcPr>
          <w:p w14:paraId="26F17C34" w14:textId="1CCD0916" w:rsidR="00221195" w:rsidRPr="00221195" w:rsidRDefault="00221195" w:rsidP="00944E0E">
            <w:pPr>
              <w:spacing w:before="40" w:after="40"/>
              <w:rPr>
                <w:sz w:val="16"/>
                <w:szCs w:val="16"/>
              </w:rPr>
            </w:pPr>
            <w:r w:rsidRPr="00221195">
              <w:rPr>
                <w:sz w:val="16"/>
                <w:szCs w:val="16"/>
              </w:rPr>
              <w:t>Wages, allowances, leave, fringe benefits, superannuation, workers compensation excesses and wages paid to, or in respect of, registered nurses.</w:t>
            </w:r>
          </w:p>
        </w:tc>
        <w:tc>
          <w:tcPr>
            <w:tcW w:w="2781" w:type="dxa"/>
            <w:hideMark/>
          </w:tcPr>
          <w:p w14:paraId="609179D7" w14:textId="77777777" w:rsidR="00221195" w:rsidRPr="00221195" w:rsidRDefault="00221195" w:rsidP="00944E0E">
            <w:pPr>
              <w:spacing w:before="40" w:after="40"/>
              <w:rPr>
                <w:sz w:val="16"/>
                <w:szCs w:val="16"/>
              </w:rPr>
            </w:pPr>
            <w:r w:rsidRPr="00221195">
              <w:rPr>
                <w:sz w:val="16"/>
                <w:szCs w:val="16"/>
              </w:rPr>
              <w:t>Share of workers compensation premium</w:t>
            </w:r>
          </w:p>
        </w:tc>
      </w:tr>
      <w:tr w:rsidR="00221195" w:rsidRPr="00221195" w14:paraId="44D42397" w14:textId="77777777" w:rsidTr="00221195">
        <w:trPr>
          <w:trHeight w:val="765"/>
        </w:trPr>
        <w:tc>
          <w:tcPr>
            <w:tcW w:w="2263" w:type="dxa"/>
            <w:hideMark/>
          </w:tcPr>
          <w:p w14:paraId="2B699AAA" w14:textId="3BBF5449" w:rsidR="00221195" w:rsidRPr="00221195" w:rsidRDefault="00221195" w:rsidP="00944E0E">
            <w:pPr>
              <w:spacing w:before="40" w:after="40"/>
              <w:rPr>
                <w:sz w:val="16"/>
                <w:szCs w:val="16"/>
              </w:rPr>
            </w:pPr>
            <w:r w:rsidRPr="00221195">
              <w:rPr>
                <w:sz w:val="16"/>
                <w:szCs w:val="16"/>
              </w:rPr>
              <w:t xml:space="preserve">Enrolled and licensed nurses </w:t>
            </w:r>
            <w:r w:rsidRPr="00221195">
              <w:rPr>
                <w:i/>
                <w:iCs/>
                <w:sz w:val="16"/>
                <w:szCs w:val="16"/>
              </w:rPr>
              <w:t>(registered with the NMBA)</w:t>
            </w:r>
          </w:p>
        </w:tc>
        <w:tc>
          <w:tcPr>
            <w:tcW w:w="4052" w:type="dxa"/>
            <w:hideMark/>
          </w:tcPr>
          <w:p w14:paraId="0D5F3557" w14:textId="6771E6A7" w:rsidR="00221195" w:rsidRPr="00221195" w:rsidRDefault="00221195" w:rsidP="00944E0E">
            <w:pPr>
              <w:spacing w:before="40" w:after="40"/>
              <w:rPr>
                <w:sz w:val="16"/>
                <w:szCs w:val="16"/>
              </w:rPr>
            </w:pPr>
            <w:r w:rsidRPr="00221195">
              <w:rPr>
                <w:sz w:val="16"/>
                <w:szCs w:val="16"/>
              </w:rPr>
              <w:t>Wages, allow</w:t>
            </w:r>
            <w:r w:rsidR="00944E0E">
              <w:rPr>
                <w:sz w:val="16"/>
                <w:szCs w:val="16"/>
              </w:rPr>
              <w:t xml:space="preserve">ances, leave, fringe benefits, </w:t>
            </w:r>
            <w:r w:rsidRPr="00221195">
              <w:rPr>
                <w:sz w:val="16"/>
                <w:szCs w:val="16"/>
              </w:rPr>
              <w:t xml:space="preserve">superannuation, workers compensation excesses and wages paid to, or in respect of, Enrolled and other licensed nurses who are </w:t>
            </w:r>
            <w:r w:rsidRPr="00221195">
              <w:rPr>
                <w:b/>
                <w:bCs/>
                <w:sz w:val="16"/>
                <w:szCs w:val="16"/>
              </w:rPr>
              <w:t>registered with the Nursing and Midwifery Board of Australia (NMBA)</w:t>
            </w:r>
          </w:p>
        </w:tc>
        <w:tc>
          <w:tcPr>
            <w:tcW w:w="2781" w:type="dxa"/>
            <w:hideMark/>
          </w:tcPr>
          <w:p w14:paraId="1C7B64BB" w14:textId="77777777" w:rsidR="00221195" w:rsidRPr="00221195" w:rsidRDefault="00221195" w:rsidP="00944E0E">
            <w:pPr>
              <w:spacing w:before="40" w:after="40"/>
              <w:rPr>
                <w:sz w:val="16"/>
                <w:szCs w:val="16"/>
              </w:rPr>
            </w:pPr>
            <w:r w:rsidRPr="00221195">
              <w:rPr>
                <w:sz w:val="16"/>
                <w:szCs w:val="16"/>
              </w:rPr>
              <w:t>Share of workers compensation premium</w:t>
            </w:r>
          </w:p>
        </w:tc>
      </w:tr>
      <w:tr w:rsidR="00221195" w:rsidRPr="00221195" w14:paraId="4C20D785" w14:textId="77777777" w:rsidTr="00221195">
        <w:trPr>
          <w:trHeight w:val="1020"/>
        </w:trPr>
        <w:tc>
          <w:tcPr>
            <w:tcW w:w="2263" w:type="dxa"/>
            <w:hideMark/>
          </w:tcPr>
          <w:p w14:paraId="1966208A" w14:textId="77777777" w:rsidR="00221195" w:rsidRPr="00221195" w:rsidRDefault="00221195" w:rsidP="00944E0E">
            <w:pPr>
              <w:spacing w:before="40" w:after="40"/>
              <w:rPr>
                <w:sz w:val="16"/>
                <w:szCs w:val="16"/>
              </w:rPr>
            </w:pPr>
            <w:r w:rsidRPr="00221195">
              <w:rPr>
                <w:sz w:val="16"/>
                <w:szCs w:val="16"/>
              </w:rPr>
              <w:t>Other unlicensed nurses/personal care staff</w:t>
            </w:r>
          </w:p>
        </w:tc>
        <w:tc>
          <w:tcPr>
            <w:tcW w:w="4052" w:type="dxa"/>
            <w:hideMark/>
          </w:tcPr>
          <w:p w14:paraId="7DFB08F3" w14:textId="77777777" w:rsidR="00221195" w:rsidRPr="00221195" w:rsidRDefault="00221195" w:rsidP="00944E0E">
            <w:pPr>
              <w:spacing w:before="40" w:after="40"/>
              <w:rPr>
                <w:sz w:val="16"/>
                <w:szCs w:val="16"/>
              </w:rPr>
            </w:pPr>
            <w:r w:rsidRPr="00221195">
              <w:rPr>
                <w:sz w:val="16"/>
                <w:szCs w:val="16"/>
              </w:rPr>
              <w:t>Wages, allowances, leave, fringe benefits, superannuation, workers compensation excesses and wages paid to, or in respect of, other nursing and/or personal care staff who are</w:t>
            </w:r>
            <w:r w:rsidRPr="00221195">
              <w:rPr>
                <w:b/>
                <w:bCs/>
                <w:sz w:val="16"/>
                <w:szCs w:val="16"/>
              </w:rPr>
              <w:t xml:space="preserve"> not licensed with the relevant state professional nursing body or midwifery board.</w:t>
            </w:r>
          </w:p>
        </w:tc>
        <w:tc>
          <w:tcPr>
            <w:tcW w:w="2781" w:type="dxa"/>
            <w:hideMark/>
          </w:tcPr>
          <w:p w14:paraId="067185A6" w14:textId="77777777" w:rsidR="00221195" w:rsidRPr="00221195" w:rsidRDefault="00221195" w:rsidP="00944E0E">
            <w:pPr>
              <w:spacing w:before="40" w:after="40"/>
              <w:rPr>
                <w:sz w:val="16"/>
                <w:szCs w:val="16"/>
              </w:rPr>
            </w:pPr>
            <w:r w:rsidRPr="00221195">
              <w:rPr>
                <w:sz w:val="16"/>
                <w:szCs w:val="16"/>
              </w:rPr>
              <w:t>Share of workers compensation premium</w:t>
            </w:r>
          </w:p>
        </w:tc>
      </w:tr>
      <w:tr w:rsidR="00221195" w:rsidRPr="00221195" w14:paraId="390E5FB9" w14:textId="77777777" w:rsidTr="00221195">
        <w:trPr>
          <w:trHeight w:val="1020"/>
        </w:trPr>
        <w:tc>
          <w:tcPr>
            <w:tcW w:w="2263" w:type="dxa"/>
            <w:noWrap/>
            <w:hideMark/>
          </w:tcPr>
          <w:p w14:paraId="22F8D539" w14:textId="4F7E8B15" w:rsidR="00221195" w:rsidRPr="00221195" w:rsidRDefault="00221195" w:rsidP="00944E0E">
            <w:pPr>
              <w:spacing w:before="40" w:after="40"/>
              <w:rPr>
                <w:sz w:val="16"/>
                <w:szCs w:val="16"/>
              </w:rPr>
            </w:pPr>
            <w:r w:rsidRPr="00221195">
              <w:rPr>
                <w:sz w:val="16"/>
                <w:szCs w:val="16"/>
              </w:rPr>
              <w:t>Allied health &amp; lifestyle</w:t>
            </w:r>
          </w:p>
        </w:tc>
        <w:tc>
          <w:tcPr>
            <w:tcW w:w="4052" w:type="dxa"/>
            <w:hideMark/>
          </w:tcPr>
          <w:p w14:paraId="3F189F42" w14:textId="4898E1B9" w:rsidR="00221195" w:rsidRPr="00221195" w:rsidRDefault="00221195" w:rsidP="00944E0E">
            <w:pPr>
              <w:spacing w:before="40" w:after="40"/>
              <w:rPr>
                <w:sz w:val="16"/>
                <w:szCs w:val="16"/>
              </w:rPr>
            </w:pPr>
            <w:r w:rsidRPr="00221195">
              <w:rPr>
                <w:sz w:val="16"/>
                <w:szCs w:val="16"/>
              </w:rPr>
              <w:t>Wages, allowances, leave, fringe benefits, superannuation cost, workers compensation excesses and wages paid to, or in respect of, diversional therapy, physiotherapy, podiatry and other allied health professionals, recreational officers. Includes agency or contracted professionals.</w:t>
            </w:r>
          </w:p>
        </w:tc>
        <w:tc>
          <w:tcPr>
            <w:tcW w:w="2781" w:type="dxa"/>
            <w:hideMark/>
          </w:tcPr>
          <w:p w14:paraId="2B06A5AB" w14:textId="77777777" w:rsidR="00221195" w:rsidRPr="00221195" w:rsidRDefault="00221195" w:rsidP="00944E0E">
            <w:pPr>
              <w:spacing w:before="40" w:after="40"/>
              <w:rPr>
                <w:sz w:val="16"/>
                <w:szCs w:val="16"/>
              </w:rPr>
            </w:pPr>
            <w:r w:rsidRPr="00221195">
              <w:rPr>
                <w:sz w:val="16"/>
                <w:szCs w:val="16"/>
              </w:rPr>
              <w:t>Share of workers compensation premium</w:t>
            </w:r>
          </w:p>
        </w:tc>
      </w:tr>
      <w:tr w:rsidR="00221195" w:rsidRPr="00221195" w14:paraId="71D0D8D2" w14:textId="77777777" w:rsidTr="00865DB1">
        <w:trPr>
          <w:trHeight w:val="255"/>
        </w:trPr>
        <w:tc>
          <w:tcPr>
            <w:tcW w:w="2263" w:type="dxa"/>
            <w:tcBorders>
              <w:bottom w:val="single" w:sz="4" w:space="0" w:color="auto"/>
            </w:tcBorders>
            <w:noWrap/>
            <w:hideMark/>
          </w:tcPr>
          <w:p w14:paraId="777B046F" w14:textId="77777777" w:rsidR="00221195" w:rsidRPr="00221195" w:rsidRDefault="00221195" w:rsidP="00944E0E">
            <w:pPr>
              <w:spacing w:before="40" w:after="40"/>
              <w:rPr>
                <w:sz w:val="16"/>
                <w:szCs w:val="16"/>
              </w:rPr>
            </w:pPr>
            <w:r w:rsidRPr="00221195">
              <w:rPr>
                <w:sz w:val="16"/>
                <w:szCs w:val="16"/>
              </w:rPr>
              <w:t>Agency staff</w:t>
            </w:r>
          </w:p>
        </w:tc>
        <w:tc>
          <w:tcPr>
            <w:tcW w:w="4052" w:type="dxa"/>
            <w:tcBorders>
              <w:bottom w:val="single" w:sz="4" w:space="0" w:color="auto"/>
            </w:tcBorders>
            <w:hideMark/>
          </w:tcPr>
          <w:p w14:paraId="45661A6C" w14:textId="100A7740" w:rsidR="00221195" w:rsidRPr="00221195" w:rsidRDefault="00221195" w:rsidP="00944E0E">
            <w:pPr>
              <w:spacing w:before="40" w:after="40"/>
              <w:rPr>
                <w:sz w:val="16"/>
                <w:szCs w:val="16"/>
              </w:rPr>
            </w:pPr>
            <w:r w:rsidRPr="00221195">
              <w:rPr>
                <w:sz w:val="16"/>
                <w:szCs w:val="16"/>
              </w:rPr>
              <w:t>Total cost of all direct care agency staff</w:t>
            </w:r>
          </w:p>
        </w:tc>
        <w:tc>
          <w:tcPr>
            <w:tcW w:w="2781" w:type="dxa"/>
            <w:tcBorders>
              <w:bottom w:val="single" w:sz="4" w:space="0" w:color="auto"/>
            </w:tcBorders>
            <w:hideMark/>
          </w:tcPr>
          <w:p w14:paraId="09A74A0F" w14:textId="77777777" w:rsidR="00221195" w:rsidRPr="00221195" w:rsidRDefault="00221195" w:rsidP="00944E0E">
            <w:pPr>
              <w:spacing w:before="40" w:after="40"/>
              <w:rPr>
                <w:sz w:val="16"/>
                <w:szCs w:val="16"/>
              </w:rPr>
            </w:pPr>
            <w:r w:rsidRPr="00221195">
              <w:rPr>
                <w:sz w:val="16"/>
                <w:szCs w:val="16"/>
              </w:rPr>
              <w:t>Excludes allied health &amp; lifestyle agency</w:t>
            </w:r>
          </w:p>
        </w:tc>
      </w:tr>
      <w:tr w:rsidR="00865DB1" w:rsidRPr="00221195" w14:paraId="2766E9C9" w14:textId="77777777" w:rsidTr="00865DB1">
        <w:trPr>
          <w:trHeight w:val="362"/>
        </w:trPr>
        <w:tc>
          <w:tcPr>
            <w:tcW w:w="2263" w:type="dxa"/>
            <w:tcBorders>
              <w:left w:val="single" w:sz="4" w:space="0" w:color="auto"/>
              <w:right w:val="nil"/>
            </w:tcBorders>
            <w:noWrap/>
          </w:tcPr>
          <w:p w14:paraId="45BC33C6" w14:textId="062C3897" w:rsidR="00865DB1" w:rsidRPr="00865DB1" w:rsidRDefault="00865DB1" w:rsidP="00944E0E">
            <w:pPr>
              <w:spacing w:before="40" w:after="40"/>
              <w:rPr>
                <w:b/>
                <w:sz w:val="16"/>
                <w:szCs w:val="16"/>
              </w:rPr>
            </w:pPr>
            <w:r w:rsidRPr="00865DB1">
              <w:rPr>
                <w:b/>
                <w:sz w:val="16"/>
                <w:szCs w:val="16"/>
              </w:rPr>
              <w:t>Other direct care costs</w:t>
            </w:r>
          </w:p>
        </w:tc>
        <w:tc>
          <w:tcPr>
            <w:tcW w:w="4052" w:type="dxa"/>
            <w:tcBorders>
              <w:left w:val="nil"/>
              <w:right w:val="nil"/>
            </w:tcBorders>
          </w:tcPr>
          <w:p w14:paraId="601B0D4B" w14:textId="77777777" w:rsidR="00865DB1" w:rsidRPr="00865DB1" w:rsidRDefault="00865DB1" w:rsidP="00944E0E">
            <w:pPr>
              <w:spacing w:before="40" w:after="40"/>
              <w:rPr>
                <w:b/>
                <w:sz w:val="16"/>
                <w:szCs w:val="16"/>
              </w:rPr>
            </w:pPr>
          </w:p>
        </w:tc>
        <w:tc>
          <w:tcPr>
            <w:tcW w:w="2781" w:type="dxa"/>
            <w:tcBorders>
              <w:left w:val="nil"/>
              <w:right w:val="single" w:sz="4" w:space="0" w:color="auto"/>
            </w:tcBorders>
          </w:tcPr>
          <w:p w14:paraId="08D9D256" w14:textId="77777777" w:rsidR="00865DB1" w:rsidRPr="00221195" w:rsidRDefault="00865DB1" w:rsidP="00944E0E">
            <w:pPr>
              <w:spacing w:before="40" w:after="40"/>
              <w:rPr>
                <w:sz w:val="16"/>
                <w:szCs w:val="16"/>
              </w:rPr>
            </w:pPr>
          </w:p>
        </w:tc>
      </w:tr>
      <w:tr w:rsidR="00221195" w:rsidRPr="00221195" w14:paraId="239621FE" w14:textId="77777777" w:rsidTr="00221195">
        <w:trPr>
          <w:trHeight w:val="510"/>
        </w:trPr>
        <w:tc>
          <w:tcPr>
            <w:tcW w:w="2263" w:type="dxa"/>
            <w:noWrap/>
            <w:hideMark/>
          </w:tcPr>
          <w:p w14:paraId="02242A1C" w14:textId="77777777" w:rsidR="00221195" w:rsidRPr="00221195" w:rsidRDefault="00221195" w:rsidP="00944E0E">
            <w:pPr>
              <w:spacing w:before="40" w:after="40"/>
              <w:rPr>
                <w:sz w:val="16"/>
                <w:szCs w:val="16"/>
              </w:rPr>
            </w:pPr>
            <w:r w:rsidRPr="00221195">
              <w:rPr>
                <w:sz w:val="16"/>
                <w:szCs w:val="16"/>
              </w:rPr>
              <w:t>Medical supplies</w:t>
            </w:r>
          </w:p>
        </w:tc>
        <w:tc>
          <w:tcPr>
            <w:tcW w:w="4052" w:type="dxa"/>
            <w:hideMark/>
          </w:tcPr>
          <w:p w14:paraId="407018D0" w14:textId="77777777" w:rsidR="00221195" w:rsidRPr="00221195" w:rsidRDefault="00221195" w:rsidP="00944E0E">
            <w:pPr>
              <w:spacing w:before="40" w:after="40"/>
              <w:rPr>
                <w:sz w:val="16"/>
                <w:szCs w:val="16"/>
              </w:rPr>
            </w:pPr>
            <w:r w:rsidRPr="00221195">
              <w:rPr>
                <w:sz w:val="16"/>
                <w:szCs w:val="16"/>
              </w:rPr>
              <w:t>Cost of medication and other medical supplies such as bandages, ointments, as well as the cost of packaging and distributing the medication such as Webster or similar system.</w:t>
            </w:r>
          </w:p>
        </w:tc>
        <w:tc>
          <w:tcPr>
            <w:tcW w:w="2781" w:type="dxa"/>
            <w:hideMark/>
          </w:tcPr>
          <w:p w14:paraId="438D6CDD" w14:textId="77777777" w:rsidR="00221195" w:rsidRPr="00221195" w:rsidRDefault="00221195" w:rsidP="00944E0E">
            <w:pPr>
              <w:spacing w:before="40" w:after="40"/>
              <w:rPr>
                <w:sz w:val="16"/>
                <w:szCs w:val="16"/>
              </w:rPr>
            </w:pPr>
            <w:r w:rsidRPr="00221195">
              <w:rPr>
                <w:sz w:val="16"/>
                <w:szCs w:val="16"/>
              </w:rPr>
              <w:t> </w:t>
            </w:r>
          </w:p>
        </w:tc>
      </w:tr>
      <w:tr w:rsidR="00221195" w:rsidRPr="00221195" w14:paraId="3ACC3703" w14:textId="77777777" w:rsidTr="00221195">
        <w:trPr>
          <w:trHeight w:val="255"/>
        </w:trPr>
        <w:tc>
          <w:tcPr>
            <w:tcW w:w="2263" w:type="dxa"/>
            <w:noWrap/>
            <w:hideMark/>
          </w:tcPr>
          <w:p w14:paraId="51A2E098" w14:textId="77777777" w:rsidR="00221195" w:rsidRPr="00221195" w:rsidRDefault="00221195" w:rsidP="00944E0E">
            <w:pPr>
              <w:spacing w:before="40" w:after="40"/>
              <w:rPr>
                <w:sz w:val="16"/>
                <w:szCs w:val="16"/>
              </w:rPr>
            </w:pPr>
            <w:r w:rsidRPr="00221195">
              <w:rPr>
                <w:sz w:val="16"/>
                <w:szCs w:val="16"/>
              </w:rPr>
              <w:t>Incontinence supplies</w:t>
            </w:r>
          </w:p>
        </w:tc>
        <w:tc>
          <w:tcPr>
            <w:tcW w:w="4052" w:type="dxa"/>
            <w:hideMark/>
          </w:tcPr>
          <w:p w14:paraId="708F0075" w14:textId="77777777" w:rsidR="00221195" w:rsidRPr="00221195" w:rsidRDefault="00221195" w:rsidP="00944E0E">
            <w:pPr>
              <w:spacing w:before="40" w:after="40"/>
              <w:rPr>
                <w:sz w:val="16"/>
                <w:szCs w:val="16"/>
              </w:rPr>
            </w:pPr>
            <w:r w:rsidRPr="00221195">
              <w:rPr>
                <w:sz w:val="16"/>
                <w:szCs w:val="16"/>
              </w:rPr>
              <w:t>Cost of incontinence systems and supplies.</w:t>
            </w:r>
          </w:p>
        </w:tc>
        <w:tc>
          <w:tcPr>
            <w:tcW w:w="2781" w:type="dxa"/>
            <w:hideMark/>
          </w:tcPr>
          <w:p w14:paraId="6CE225AC" w14:textId="77777777" w:rsidR="00221195" w:rsidRPr="00221195" w:rsidRDefault="00221195" w:rsidP="00944E0E">
            <w:pPr>
              <w:spacing w:before="40" w:after="40"/>
              <w:rPr>
                <w:sz w:val="16"/>
                <w:szCs w:val="16"/>
              </w:rPr>
            </w:pPr>
            <w:r w:rsidRPr="00221195">
              <w:rPr>
                <w:sz w:val="16"/>
                <w:szCs w:val="16"/>
              </w:rPr>
              <w:t> </w:t>
            </w:r>
          </w:p>
        </w:tc>
      </w:tr>
      <w:tr w:rsidR="00221195" w:rsidRPr="00221195" w14:paraId="509A1785" w14:textId="77777777" w:rsidTr="00221195">
        <w:trPr>
          <w:trHeight w:val="510"/>
        </w:trPr>
        <w:tc>
          <w:tcPr>
            <w:tcW w:w="2263" w:type="dxa"/>
            <w:noWrap/>
            <w:hideMark/>
          </w:tcPr>
          <w:p w14:paraId="47674DEC" w14:textId="77777777" w:rsidR="00221195" w:rsidRPr="00221195" w:rsidRDefault="00221195" w:rsidP="00944E0E">
            <w:pPr>
              <w:spacing w:before="40" w:after="40"/>
              <w:rPr>
                <w:sz w:val="16"/>
                <w:szCs w:val="16"/>
              </w:rPr>
            </w:pPr>
            <w:r w:rsidRPr="00221195">
              <w:rPr>
                <w:sz w:val="16"/>
                <w:szCs w:val="16"/>
              </w:rPr>
              <w:t xml:space="preserve">Nutritional supplements </w:t>
            </w:r>
          </w:p>
        </w:tc>
        <w:tc>
          <w:tcPr>
            <w:tcW w:w="4052" w:type="dxa"/>
            <w:hideMark/>
          </w:tcPr>
          <w:p w14:paraId="61253CC9" w14:textId="77777777" w:rsidR="00221195" w:rsidRPr="00221195" w:rsidRDefault="00221195" w:rsidP="00944E0E">
            <w:pPr>
              <w:spacing w:before="40" w:after="40"/>
              <w:rPr>
                <w:sz w:val="16"/>
                <w:szCs w:val="16"/>
              </w:rPr>
            </w:pPr>
            <w:r w:rsidRPr="00221195">
              <w:rPr>
                <w:sz w:val="16"/>
                <w:szCs w:val="16"/>
              </w:rPr>
              <w:t>Includes costs of nutritional supplements. Also include cost of medical gases and enteral feeding costs.</w:t>
            </w:r>
          </w:p>
        </w:tc>
        <w:tc>
          <w:tcPr>
            <w:tcW w:w="2781" w:type="dxa"/>
            <w:hideMark/>
          </w:tcPr>
          <w:p w14:paraId="6466A378" w14:textId="77777777" w:rsidR="00221195" w:rsidRPr="00221195" w:rsidRDefault="00221195" w:rsidP="00944E0E">
            <w:pPr>
              <w:spacing w:before="40" w:after="40"/>
              <w:rPr>
                <w:sz w:val="16"/>
                <w:szCs w:val="16"/>
              </w:rPr>
            </w:pPr>
            <w:r w:rsidRPr="00221195">
              <w:rPr>
                <w:sz w:val="16"/>
                <w:szCs w:val="16"/>
              </w:rPr>
              <w:t> </w:t>
            </w:r>
          </w:p>
        </w:tc>
      </w:tr>
      <w:tr w:rsidR="00221195" w:rsidRPr="00221195" w14:paraId="1AABA9EC" w14:textId="77777777" w:rsidTr="00221195">
        <w:trPr>
          <w:trHeight w:val="255"/>
        </w:trPr>
        <w:tc>
          <w:tcPr>
            <w:tcW w:w="2263" w:type="dxa"/>
            <w:noWrap/>
            <w:hideMark/>
          </w:tcPr>
          <w:p w14:paraId="42853CDB" w14:textId="77777777" w:rsidR="00221195" w:rsidRPr="00221195" w:rsidRDefault="00221195" w:rsidP="00944E0E">
            <w:pPr>
              <w:spacing w:before="40" w:after="40"/>
              <w:rPr>
                <w:sz w:val="16"/>
                <w:szCs w:val="16"/>
              </w:rPr>
            </w:pPr>
            <w:r w:rsidRPr="00221195">
              <w:rPr>
                <w:sz w:val="16"/>
                <w:szCs w:val="16"/>
              </w:rPr>
              <w:t>Chaplaincy</w:t>
            </w:r>
          </w:p>
        </w:tc>
        <w:tc>
          <w:tcPr>
            <w:tcW w:w="4052" w:type="dxa"/>
            <w:hideMark/>
          </w:tcPr>
          <w:p w14:paraId="0C7C7AD9" w14:textId="77777777" w:rsidR="00221195" w:rsidRPr="00221195" w:rsidRDefault="00221195" w:rsidP="00944E0E">
            <w:pPr>
              <w:spacing w:before="40" w:after="40"/>
              <w:rPr>
                <w:sz w:val="16"/>
                <w:szCs w:val="16"/>
              </w:rPr>
            </w:pPr>
            <w:r w:rsidRPr="00221195">
              <w:rPr>
                <w:sz w:val="16"/>
                <w:szCs w:val="16"/>
              </w:rPr>
              <w:t>Cost of providing a chaplain or religious or pastoral services to residents.</w:t>
            </w:r>
          </w:p>
        </w:tc>
        <w:tc>
          <w:tcPr>
            <w:tcW w:w="2781" w:type="dxa"/>
            <w:hideMark/>
          </w:tcPr>
          <w:p w14:paraId="6B75A0EE" w14:textId="77777777" w:rsidR="00221195" w:rsidRPr="00221195" w:rsidRDefault="00221195" w:rsidP="00944E0E">
            <w:pPr>
              <w:spacing w:before="40" w:after="40"/>
              <w:rPr>
                <w:sz w:val="16"/>
                <w:szCs w:val="16"/>
              </w:rPr>
            </w:pPr>
            <w:r w:rsidRPr="00221195">
              <w:rPr>
                <w:sz w:val="16"/>
                <w:szCs w:val="16"/>
              </w:rPr>
              <w:t> </w:t>
            </w:r>
          </w:p>
        </w:tc>
      </w:tr>
      <w:tr w:rsidR="00221195" w:rsidRPr="00221195" w14:paraId="1778E503" w14:textId="77777777" w:rsidTr="00865DB1">
        <w:trPr>
          <w:trHeight w:val="510"/>
        </w:trPr>
        <w:tc>
          <w:tcPr>
            <w:tcW w:w="2263" w:type="dxa"/>
            <w:tcBorders>
              <w:bottom w:val="single" w:sz="4" w:space="0" w:color="auto"/>
            </w:tcBorders>
            <w:noWrap/>
            <w:hideMark/>
          </w:tcPr>
          <w:p w14:paraId="46A28618" w14:textId="77777777" w:rsidR="00221195" w:rsidRPr="00221195" w:rsidRDefault="00221195" w:rsidP="00944E0E">
            <w:pPr>
              <w:spacing w:before="40" w:after="40"/>
              <w:rPr>
                <w:sz w:val="16"/>
                <w:szCs w:val="16"/>
              </w:rPr>
            </w:pPr>
            <w:r w:rsidRPr="00221195">
              <w:rPr>
                <w:sz w:val="16"/>
                <w:szCs w:val="16"/>
              </w:rPr>
              <w:t>Other resident care</w:t>
            </w:r>
          </w:p>
        </w:tc>
        <w:tc>
          <w:tcPr>
            <w:tcW w:w="4052" w:type="dxa"/>
            <w:tcBorders>
              <w:bottom w:val="single" w:sz="4" w:space="0" w:color="auto"/>
            </w:tcBorders>
            <w:hideMark/>
          </w:tcPr>
          <w:p w14:paraId="63FF2BDF" w14:textId="77777777" w:rsidR="00221195" w:rsidRPr="00221195" w:rsidRDefault="00221195" w:rsidP="00944E0E">
            <w:pPr>
              <w:spacing w:before="40" w:after="40"/>
              <w:rPr>
                <w:sz w:val="16"/>
                <w:szCs w:val="16"/>
              </w:rPr>
            </w:pPr>
            <w:r w:rsidRPr="00221195">
              <w:rPr>
                <w:sz w:val="16"/>
                <w:szCs w:val="16"/>
              </w:rPr>
              <w:t xml:space="preserve">Other sundry items relating to resident care - include cost of therapy supplies, activity costs, unrecovered cost of bus hire, public telephone cost, entertainment etc. </w:t>
            </w:r>
          </w:p>
        </w:tc>
        <w:tc>
          <w:tcPr>
            <w:tcW w:w="2781" w:type="dxa"/>
            <w:tcBorders>
              <w:bottom w:val="single" w:sz="4" w:space="0" w:color="auto"/>
            </w:tcBorders>
            <w:hideMark/>
          </w:tcPr>
          <w:p w14:paraId="556825A4" w14:textId="77777777" w:rsidR="00221195" w:rsidRPr="00221195" w:rsidRDefault="00221195" w:rsidP="00944E0E">
            <w:pPr>
              <w:spacing w:before="40" w:after="40"/>
              <w:rPr>
                <w:sz w:val="16"/>
                <w:szCs w:val="16"/>
              </w:rPr>
            </w:pPr>
            <w:r w:rsidRPr="00221195">
              <w:rPr>
                <w:sz w:val="16"/>
                <w:szCs w:val="16"/>
              </w:rPr>
              <w:t> </w:t>
            </w:r>
          </w:p>
        </w:tc>
      </w:tr>
      <w:tr w:rsidR="00221195" w:rsidRPr="00221195" w14:paraId="413F133A" w14:textId="77777777" w:rsidTr="00865DB1">
        <w:trPr>
          <w:trHeight w:val="255"/>
        </w:trPr>
        <w:tc>
          <w:tcPr>
            <w:tcW w:w="2263" w:type="dxa"/>
            <w:tcBorders>
              <w:right w:val="nil"/>
            </w:tcBorders>
            <w:noWrap/>
            <w:hideMark/>
          </w:tcPr>
          <w:p w14:paraId="031E2DD0" w14:textId="77777777" w:rsidR="00221195" w:rsidRPr="00221195" w:rsidRDefault="00221195" w:rsidP="00944E0E">
            <w:pPr>
              <w:spacing w:before="40" w:after="40"/>
              <w:rPr>
                <w:b/>
                <w:bCs/>
                <w:sz w:val="16"/>
                <w:szCs w:val="16"/>
              </w:rPr>
            </w:pPr>
            <w:r w:rsidRPr="00221195">
              <w:rPr>
                <w:b/>
                <w:bCs/>
                <w:sz w:val="16"/>
                <w:szCs w:val="16"/>
              </w:rPr>
              <w:t>Workers' compensation</w:t>
            </w:r>
          </w:p>
        </w:tc>
        <w:tc>
          <w:tcPr>
            <w:tcW w:w="4052" w:type="dxa"/>
            <w:tcBorders>
              <w:left w:val="nil"/>
              <w:right w:val="nil"/>
            </w:tcBorders>
            <w:noWrap/>
            <w:hideMark/>
          </w:tcPr>
          <w:p w14:paraId="37D04680" w14:textId="77777777" w:rsidR="00221195" w:rsidRPr="00221195" w:rsidRDefault="00221195" w:rsidP="00944E0E">
            <w:pPr>
              <w:spacing w:before="40" w:after="40"/>
              <w:rPr>
                <w:b/>
                <w:bCs/>
                <w:i/>
                <w:iCs/>
                <w:sz w:val="16"/>
                <w:szCs w:val="16"/>
              </w:rPr>
            </w:pPr>
            <w:r w:rsidRPr="00221195">
              <w:rPr>
                <w:b/>
                <w:bCs/>
                <w:i/>
                <w:iCs/>
                <w:sz w:val="16"/>
                <w:szCs w:val="16"/>
              </w:rPr>
              <w:t> </w:t>
            </w:r>
          </w:p>
        </w:tc>
        <w:tc>
          <w:tcPr>
            <w:tcW w:w="2781" w:type="dxa"/>
            <w:tcBorders>
              <w:left w:val="nil"/>
            </w:tcBorders>
            <w:noWrap/>
            <w:hideMark/>
          </w:tcPr>
          <w:p w14:paraId="063BDAA1" w14:textId="77777777" w:rsidR="00221195" w:rsidRPr="00221195" w:rsidRDefault="00221195" w:rsidP="00944E0E">
            <w:pPr>
              <w:spacing w:before="40" w:after="40"/>
              <w:rPr>
                <w:sz w:val="16"/>
                <w:szCs w:val="16"/>
              </w:rPr>
            </w:pPr>
            <w:r w:rsidRPr="00221195">
              <w:rPr>
                <w:sz w:val="16"/>
                <w:szCs w:val="16"/>
              </w:rPr>
              <w:t> </w:t>
            </w:r>
          </w:p>
        </w:tc>
      </w:tr>
      <w:tr w:rsidR="00221195" w:rsidRPr="00221195" w14:paraId="60AC211C" w14:textId="77777777" w:rsidTr="00221195">
        <w:trPr>
          <w:trHeight w:val="255"/>
        </w:trPr>
        <w:tc>
          <w:tcPr>
            <w:tcW w:w="2263" w:type="dxa"/>
            <w:noWrap/>
            <w:hideMark/>
          </w:tcPr>
          <w:p w14:paraId="2BD16F83" w14:textId="29ED5DF2" w:rsidR="00221195" w:rsidRPr="00221195" w:rsidRDefault="00221195" w:rsidP="00944E0E">
            <w:pPr>
              <w:spacing w:before="40" w:after="40"/>
              <w:rPr>
                <w:sz w:val="16"/>
                <w:szCs w:val="16"/>
              </w:rPr>
            </w:pPr>
            <w:r w:rsidRPr="00221195">
              <w:rPr>
                <w:sz w:val="16"/>
                <w:szCs w:val="16"/>
              </w:rPr>
              <w:t>Total premium costs for all staff</w:t>
            </w:r>
          </w:p>
        </w:tc>
        <w:tc>
          <w:tcPr>
            <w:tcW w:w="4052" w:type="dxa"/>
            <w:hideMark/>
          </w:tcPr>
          <w:p w14:paraId="1CAFCD75" w14:textId="77777777" w:rsidR="00221195" w:rsidRPr="00221195" w:rsidRDefault="00221195" w:rsidP="00944E0E">
            <w:pPr>
              <w:spacing w:before="40" w:after="40"/>
              <w:rPr>
                <w:sz w:val="16"/>
                <w:szCs w:val="16"/>
              </w:rPr>
            </w:pPr>
            <w:r w:rsidRPr="00221195">
              <w:rPr>
                <w:sz w:val="16"/>
                <w:szCs w:val="16"/>
              </w:rPr>
              <w:t>Total workers compensation premium paid for all staff employed at the facility</w:t>
            </w:r>
          </w:p>
        </w:tc>
        <w:tc>
          <w:tcPr>
            <w:tcW w:w="2781" w:type="dxa"/>
            <w:hideMark/>
          </w:tcPr>
          <w:p w14:paraId="37C376AA" w14:textId="77777777" w:rsidR="00221195" w:rsidRPr="00221195" w:rsidRDefault="00221195" w:rsidP="00944E0E">
            <w:pPr>
              <w:spacing w:before="40" w:after="40"/>
              <w:rPr>
                <w:sz w:val="16"/>
                <w:szCs w:val="16"/>
              </w:rPr>
            </w:pPr>
            <w:r w:rsidRPr="00221195">
              <w:rPr>
                <w:sz w:val="16"/>
                <w:szCs w:val="16"/>
              </w:rPr>
              <w:t> </w:t>
            </w:r>
          </w:p>
        </w:tc>
      </w:tr>
      <w:tr w:rsidR="00221195" w:rsidRPr="00221195" w14:paraId="284EBC4F" w14:textId="77777777" w:rsidTr="00221195">
        <w:trPr>
          <w:trHeight w:val="255"/>
        </w:trPr>
        <w:tc>
          <w:tcPr>
            <w:tcW w:w="2263" w:type="dxa"/>
            <w:noWrap/>
            <w:hideMark/>
          </w:tcPr>
          <w:p w14:paraId="467F28B5" w14:textId="6D25D60D" w:rsidR="00221195" w:rsidRPr="00221195" w:rsidRDefault="00221195" w:rsidP="00944E0E">
            <w:pPr>
              <w:spacing w:before="40" w:after="40"/>
              <w:rPr>
                <w:sz w:val="16"/>
                <w:szCs w:val="16"/>
              </w:rPr>
            </w:pPr>
            <w:r w:rsidRPr="00221195">
              <w:rPr>
                <w:sz w:val="16"/>
                <w:szCs w:val="16"/>
              </w:rPr>
              <w:t>Total wages for all staff</w:t>
            </w:r>
          </w:p>
        </w:tc>
        <w:tc>
          <w:tcPr>
            <w:tcW w:w="4052" w:type="dxa"/>
            <w:hideMark/>
          </w:tcPr>
          <w:p w14:paraId="1749730F" w14:textId="77777777" w:rsidR="00221195" w:rsidRPr="00221195" w:rsidRDefault="00221195" w:rsidP="00944E0E">
            <w:pPr>
              <w:spacing w:before="40" w:after="40"/>
              <w:rPr>
                <w:sz w:val="16"/>
                <w:szCs w:val="16"/>
              </w:rPr>
            </w:pPr>
            <w:r w:rsidRPr="00221195">
              <w:rPr>
                <w:sz w:val="16"/>
                <w:szCs w:val="16"/>
              </w:rPr>
              <w:t>Total wages paid for all staff employed at the facility</w:t>
            </w:r>
          </w:p>
        </w:tc>
        <w:tc>
          <w:tcPr>
            <w:tcW w:w="2781" w:type="dxa"/>
            <w:hideMark/>
          </w:tcPr>
          <w:p w14:paraId="7A44466D" w14:textId="77777777" w:rsidR="00221195" w:rsidRPr="00221195" w:rsidRDefault="00221195" w:rsidP="00944E0E">
            <w:pPr>
              <w:spacing w:before="40" w:after="40"/>
              <w:rPr>
                <w:sz w:val="16"/>
                <w:szCs w:val="16"/>
              </w:rPr>
            </w:pPr>
            <w:r w:rsidRPr="00221195">
              <w:rPr>
                <w:sz w:val="16"/>
                <w:szCs w:val="16"/>
              </w:rPr>
              <w:t>Share of workers compensation premium</w:t>
            </w:r>
          </w:p>
        </w:tc>
      </w:tr>
      <w:tr w:rsidR="00221195" w:rsidRPr="00221195" w14:paraId="43A34E4C" w14:textId="77777777" w:rsidTr="0058571E">
        <w:trPr>
          <w:trHeight w:val="255"/>
        </w:trPr>
        <w:tc>
          <w:tcPr>
            <w:tcW w:w="2263" w:type="dxa"/>
            <w:tcBorders>
              <w:bottom w:val="single" w:sz="4" w:space="0" w:color="auto"/>
            </w:tcBorders>
            <w:noWrap/>
            <w:hideMark/>
          </w:tcPr>
          <w:p w14:paraId="6F9AEE26" w14:textId="5AB4920D" w:rsidR="00221195" w:rsidRPr="00221195" w:rsidRDefault="00221195" w:rsidP="00944E0E">
            <w:pPr>
              <w:spacing w:before="40" w:after="40"/>
              <w:rPr>
                <w:sz w:val="16"/>
                <w:szCs w:val="16"/>
              </w:rPr>
            </w:pPr>
            <w:r w:rsidRPr="00221195">
              <w:rPr>
                <w:sz w:val="16"/>
                <w:szCs w:val="16"/>
              </w:rPr>
              <w:lastRenderedPageBreak/>
              <w:t>Total premium costs as a percentage of total wages</w:t>
            </w:r>
          </w:p>
        </w:tc>
        <w:tc>
          <w:tcPr>
            <w:tcW w:w="4052" w:type="dxa"/>
            <w:tcBorders>
              <w:bottom w:val="single" w:sz="4" w:space="0" w:color="auto"/>
            </w:tcBorders>
            <w:noWrap/>
            <w:hideMark/>
          </w:tcPr>
          <w:p w14:paraId="25AF24A3" w14:textId="0E8A2A28" w:rsidR="00221195" w:rsidRPr="00221195" w:rsidRDefault="00221195" w:rsidP="00944E0E">
            <w:pPr>
              <w:spacing w:before="40" w:after="40"/>
              <w:rPr>
                <w:b/>
                <w:bCs/>
                <w:i/>
                <w:iCs/>
                <w:sz w:val="16"/>
                <w:szCs w:val="16"/>
              </w:rPr>
            </w:pPr>
            <w:r w:rsidRPr="00221195">
              <w:rPr>
                <w:b/>
                <w:bCs/>
                <w:i/>
                <w:iCs/>
                <w:sz w:val="16"/>
                <w:szCs w:val="16"/>
              </w:rPr>
              <w:t>Calculation of total premium costs divided by total wages</w:t>
            </w:r>
          </w:p>
        </w:tc>
        <w:tc>
          <w:tcPr>
            <w:tcW w:w="2781" w:type="dxa"/>
            <w:tcBorders>
              <w:bottom w:val="single" w:sz="4" w:space="0" w:color="auto"/>
            </w:tcBorders>
            <w:noWrap/>
            <w:hideMark/>
          </w:tcPr>
          <w:p w14:paraId="3E07931B" w14:textId="77777777" w:rsidR="00221195" w:rsidRPr="00221195" w:rsidRDefault="00221195" w:rsidP="00944E0E">
            <w:pPr>
              <w:spacing w:before="40" w:after="40"/>
              <w:rPr>
                <w:sz w:val="16"/>
                <w:szCs w:val="16"/>
              </w:rPr>
            </w:pPr>
            <w:r w:rsidRPr="00221195">
              <w:rPr>
                <w:sz w:val="16"/>
                <w:szCs w:val="16"/>
              </w:rPr>
              <w:t> </w:t>
            </w:r>
          </w:p>
        </w:tc>
      </w:tr>
      <w:tr w:rsidR="0058571E" w:rsidRPr="00221195" w14:paraId="033525CC" w14:textId="77777777" w:rsidTr="0058571E">
        <w:trPr>
          <w:trHeight w:val="255"/>
        </w:trPr>
        <w:tc>
          <w:tcPr>
            <w:tcW w:w="2263" w:type="dxa"/>
            <w:tcBorders>
              <w:top w:val="single" w:sz="4" w:space="0" w:color="auto"/>
              <w:right w:val="nil"/>
            </w:tcBorders>
            <w:noWrap/>
            <w:hideMark/>
          </w:tcPr>
          <w:p w14:paraId="767EAC3E" w14:textId="77777777" w:rsidR="0058571E" w:rsidRPr="00944E0E" w:rsidRDefault="0058571E" w:rsidP="00944E0E">
            <w:pPr>
              <w:spacing w:before="40" w:after="40"/>
              <w:rPr>
                <w:b/>
                <w:bCs/>
                <w:sz w:val="16"/>
                <w:szCs w:val="16"/>
              </w:rPr>
            </w:pPr>
            <w:r w:rsidRPr="00221195">
              <w:rPr>
                <w:b/>
                <w:bCs/>
                <w:sz w:val="16"/>
                <w:szCs w:val="16"/>
              </w:rPr>
              <w:t>ADMINISTRATION AND SUPPORT SERVICES</w:t>
            </w:r>
          </w:p>
        </w:tc>
        <w:tc>
          <w:tcPr>
            <w:tcW w:w="4052" w:type="dxa"/>
            <w:tcBorders>
              <w:top w:val="single" w:sz="4" w:space="0" w:color="auto"/>
              <w:left w:val="nil"/>
              <w:right w:val="nil"/>
            </w:tcBorders>
          </w:tcPr>
          <w:p w14:paraId="74A2C0BB" w14:textId="77777777" w:rsidR="0058571E" w:rsidRPr="00944E0E" w:rsidRDefault="0058571E" w:rsidP="00944E0E">
            <w:pPr>
              <w:spacing w:before="40" w:after="40"/>
              <w:rPr>
                <w:b/>
                <w:bCs/>
                <w:sz w:val="16"/>
                <w:szCs w:val="16"/>
              </w:rPr>
            </w:pPr>
          </w:p>
        </w:tc>
        <w:tc>
          <w:tcPr>
            <w:tcW w:w="2781" w:type="dxa"/>
            <w:tcBorders>
              <w:top w:val="single" w:sz="4" w:space="0" w:color="auto"/>
              <w:left w:val="nil"/>
            </w:tcBorders>
          </w:tcPr>
          <w:p w14:paraId="05395316" w14:textId="67BA709A" w:rsidR="0058571E" w:rsidRPr="00944E0E" w:rsidRDefault="0058571E" w:rsidP="00944E0E">
            <w:pPr>
              <w:spacing w:before="40" w:after="40"/>
              <w:rPr>
                <w:b/>
                <w:bCs/>
                <w:sz w:val="16"/>
                <w:szCs w:val="16"/>
              </w:rPr>
            </w:pPr>
          </w:p>
        </w:tc>
      </w:tr>
      <w:tr w:rsidR="00221195" w:rsidRPr="00221195" w14:paraId="2E395460" w14:textId="77777777" w:rsidTr="00221195">
        <w:trPr>
          <w:trHeight w:val="510"/>
        </w:trPr>
        <w:tc>
          <w:tcPr>
            <w:tcW w:w="2263" w:type="dxa"/>
            <w:noWrap/>
            <w:hideMark/>
          </w:tcPr>
          <w:p w14:paraId="28F7BC6E" w14:textId="77777777" w:rsidR="00221195" w:rsidRPr="00221195" w:rsidRDefault="00221195" w:rsidP="00944E0E">
            <w:pPr>
              <w:spacing w:before="40" w:after="40"/>
              <w:rPr>
                <w:sz w:val="16"/>
                <w:szCs w:val="16"/>
              </w:rPr>
            </w:pPr>
            <w:r w:rsidRPr="00221195">
              <w:rPr>
                <w:sz w:val="16"/>
                <w:szCs w:val="16"/>
              </w:rPr>
              <w:t>Administration recharges</w:t>
            </w:r>
          </w:p>
        </w:tc>
        <w:tc>
          <w:tcPr>
            <w:tcW w:w="4052" w:type="dxa"/>
            <w:hideMark/>
          </w:tcPr>
          <w:p w14:paraId="4304A014" w14:textId="77777777" w:rsidR="00221195" w:rsidRPr="00221195" w:rsidRDefault="00221195" w:rsidP="00944E0E">
            <w:pPr>
              <w:spacing w:before="40" w:after="40"/>
              <w:rPr>
                <w:sz w:val="16"/>
                <w:szCs w:val="16"/>
              </w:rPr>
            </w:pPr>
            <w:r w:rsidRPr="00221195">
              <w:rPr>
                <w:sz w:val="16"/>
                <w:szCs w:val="16"/>
              </w:rPr>
              <w:t>Apportionment of administration costs from the Organisation's administration cost centre and/or corporate head office - if applicable.</w:t>
            </w:r>
          </w:p>
        </w:tc>
        <w:tc>
          <w:tcPr>
            <w:tcW w:w="2781" w:type="dxa"/>
            <w:hideMark/>
          </w:tcPr>
          <w:p w14:paraId="33FDE4A5" w14:textId="77777777" w:rsidR="00221195" w:rsidRPr="00221195" w:rsidRDefault="00221195" w:rsidP="00944E0E">
            <w:pPr>
              <w:spacing w:before="40" w:after="40"/>
              <w:rPr>
                <w:sz w:val="16"/>
                <w:szCs w:val="16"/>
              </w:rPr>
            </w:pPr>
            <w:r w:rsidRPr="00221195">
              <w:rPr>
                <w:sz w:val="16"/>
                <w:szCs w:val="16"/>
              </w:rPr>
              <w:t> </w:t>
            </w:r>
          </w:p>
        </w:tc>
      </w:tr>
      <w:tr w:rsidR="00221195" w:rsidRPr="00221195" w14:paraId="63323864" w14:textId="77777777" w:rsidTr="00221195">
        <w:trPr>
          <w:trHeight w:val="1275"/>
        </w:trPr>
        <w:tc>
          <w:tcPr>
            <w:tcW w:w="2263" w:type="dxa"/>
            <w:noWrap/>
            <w:hideMark/>
          </w:tcPr>
          <w:p w14:paraId="6866B6D2" w14:textId="2223CF7F" w:rsidR="00221195" w:rsidRPr="00221195" w:rsidRDefault="00944E0E" w:rsidP="00944E0E">
            <w:pPr>
              <w:spacing w:before="40" w:after="40"/>
              <w:rPr>
                <w:sz w:val="16"/>
                <w:szCs w:val="16"/>
              </w:rPr>
            </w:pPr>
            <w:r>
              <w:rPr>
                <w:sz w:val="16"/>
                <w:szCs w:val="16"/>
              </w:rPr>
              <w:t xml:space="preserve">Labour costs </w:t>
            </w:r>
            <w:r w:rsidR="00221195" w:rsidRPr="00221195">
              <w:rPr>
                <w:sz w:val="16"/>
                <w:szCs w:val="16"/>
              </w:rPr>
              <w:t>- Administration</w:t>
            </w:r>
          </w:p>
        </w:tc>
        <w:tc>
          <w:tcPr>
            <w:tcW w:w="4052" w:type="dxa"/>
            <w:hideMark/>
          </w:tcPr>
          <w:p w14:paraId="47808F39" w14:textId="77777777" w:rsidR="00221195" w:rsidRPr="00221195" w:rsidRDefault="00221195" w:rsidP="00944E0E">
            <w:pPr>
              <w:spacing w:before="40" w:after="40"/>
              <w:rPr>
                <w:sz w:val="16"/>
                <w:szCs w:val="16"/>
              </w:rPr>
            </w:pPr>
            <w:r w:rsidRPr="00221195">
              <w:rPr>
                <w:sz w:val="16"/>
                <w:szCs w:val="16"/>
              </w:rPr>
              <w:t>Wages, allowances, leave, fringe benefits, superannuation, workers compensation excesses and wages paid to, or in respect of, administration and clerical staff employed directly by or charged directly to the residential care facility.</w:t>
            </w:r>
          </w:p>
        </w:tc>
        <w:tc>
          <w:tcPr>
            <w:tcW w:w="2781" w:type="dxa"/>
            <w:hideMark/>
          </w:tcPr>
          <w:p w14:paraId="5E399C68" w14:textId="77777777" w:rsidR="00221195" w:rsidRPr="00221195" w:rsidRDefault="00221195" w:rsidP="00944E0E">
            <w:pPr>
              <w:spacing w:before="40" w:after="40"/>
              <w:rPr>
                <w:sz w:val="16"/>
                <w:szCs w:val="16"/>
              </w:rPr>
            </w:pPr>
            <w:r w:rsidRPr="00221195">
              <w:rPr>
                <w:sz w:val="16"/>
                <w:szCs w:val="16"/>
              </w:rPr>
              <w:t>Workers compensation premium. Labour costs associate with the facility/care management. This should appear in Care management labour costs as part of resident care expenses. For facility manager/care manager no allocation should be made against administration.</w:t>
            </w:r>
          </w:p>
        </w:tc>
      </w:tr>
      <w:tr w:rsidR="00221195" w:rsidRPr="00221195" w14:paraId="3D7EA747" w14:textId="77777777" w:rsidTr="00221195">
        <w:trPr>
          <w:trHeight w:val="1275"/>
        </w:trPr>
        <w:tc>
          <w:tcPr>
            <w:tcW w:w="2263" w:type="dxa"/>
            <w:noWrap/>
            <w:hideMark/>
          </w:tcPr>
          <w:p w14:paraId="18AA42C6" w14:textId="77777777" w:rsidR="00221195" w:rsidRPr="00221195" w:rsidRDefault="00221195" w:rsidP="00944E0E">
            <w:pPr>
              <w:spacing w:before="40" w:after="40"/>
              <w:rPr>
                <w:sz w:val="16"/>
                <w:szCs w:val="16"/>
              </w:rPr>
            </w:pPr>
            <w:r w:rsidRPr="00221195">
              <w:rPr>
                <w:sz w:val="16"/>
                <w:szCs w:val="16"/>
              </w:rPr>
              <w:t>Other administration costs</w:t>
            </w:r>
          </w:p>
        </w:tc>
        <w:tc>
          <w:tcPr>
            <w:tcW w:w="4052" w:type="dxa"/>
            <w:hideMark/>
          </w:tcPr>
          <w:p w14:paraId="56D075BA" w14:textId="77777777" w:rsidR="00221195" w:rsidRPr="00221195" w:rsidRDefault="00221195" w:rsidP="00944E0E">
            <w:pPr>
              <w:spacing w:before="40" w:after="40"/>
              <w:rPr>
                <w:sz w:val="16"/>
                <w:szCs w:val="16"/>
              </w:rPr>
            </w:pPr>
            <w:r w:rsidRPr="00221195">
              <w:rPr>
                <w:sz w:val="16"/>
                <w:szCs w:val="16"/>
              </w:rPr>
              <w:t>Includes all other administration line items including, advertising for staff, accounting fees, accreditation costs, audit fees, computer expenses including maintenance contracts on hardware and software, consulting fees, general expenses, legal fees, postage &amp; courier, printing &amp; stationery, recruitment costs, safety management (OH&amp;S), subscription &amp; library costs, telephone, travel &amp; accommodation.</w:t>
            </w:r>
          </w:p>
        </w:tc>
        <w:tc>
          <w:tcPr>
            <w:tcW w:w="2781" w:type="dxa"/>
            <w:hideMark/>
          </w:tcPr>
          <w:p w14:paraId="61FCE233" w14:textId="77777777" w:rsidR="00221195" w:rsidRPr="00221195" w:rsidRDefault="00221195" w:rsidP="00944E0E">
            <w:pPr>
              <w:spacing w:before="40" w:after="40"/>
              <w:rPr>
                <w:sz w:val="16"/>
                <w:szCs w:val="16"/>
              </w:rPr>
            </w:pPr>
            <w:r w:rsidRPr="00221195">
              <w:rPr>
                <w:sz w:val="16"/>
                <w:szCs w:val="16"/>
              </w:rPr>
              <w:t>Administration charge, workers compensation premiums.</w:t>
            </w:r>
          </w:p>
        </w:tc>
      </w:tr>
      <w:tr w:rsidR="00221195" w:rsidRPr="00221195" w14:paraId="78D60E8E" w14:textId="77777777" w:rsidTr="00221195">
        <w:trPr>
          <w:trHeight w:val="510"/>
        </w:trPr>
        <w:tc>
          <w:tcPr>
            <w:tcW w:w="2263" w:type="dxa"/>
            <w:noWrap/>
            <w:hideMark/>
          </w:tcPr>
          <w:p w14:paraId="3EE42616" w14:textId="77777777" w:rsidR="00221195" w:rsidRPr="00221195" w:rsidRDefault="00221195" w:rsidP="00944E0E">
            <w:pPr>
              <w:spacing w:before="40" w:after="40"/>
              <w:rPr>
                <w:sz w:val="16"/>
                <w:szCs w:val="16"/>
              </w:rPr>
            </w:pPr>
            <w:r w:rsidRPr="00221195">
              <w:rPr>
                <w:sz w:val="16"/>
                <w:szCs w:val="16"/>
              </w:rPr>
              <w:t>Workers' compensation</w:t>
            </w:r>
          </w:p>
        </w:tc>
        <w:tc>
          <w:tcPr>
            <w:tcW w:w="4052" w:type="dxa"/>
            <w:hideMark/>
          </w:tcPr>
          <w:p w14:paraId="5195E4EB" w14:textId="77777777" w:rsidR="00221195" w:rsidRPr="00221195" w:rsidRDefault="00221195" w:rsidP="00944E0E">
            <w:pPr>
              <w:spacing w:before="40" w:after="40"/>
              <w:rPr>
                <w:b/>
                <w:bCs/>
                <w:i/>
                <w:iCs/>
                <w:sz w:val="16"/>
                <w:szCs w:val="16"/>
              </w:rPr>
            </w:pPr>
            <w:r w:rsidRPr="00221195">
              <w:rPr>
                <w:b/>
                <w:bCs/>
                <w:i/>
                <w:iCs/>
                <w:sz w:val="16"/>
                <w:szCs w:val="16"/>
              </w:rPr>
              <w:t>Calculated and allocated workers compensation premium paid for care staff employed at the facility.</w:t>
            </w:r>
          </w:p>
        </w:tc>
        <w:tc>
          <w:tcPr>
            <w:tcW w:w="2781" w:type="dxa"/>
            <w:noWrap/>
            <w:hideMark/>
          </w:tcPr>
          <w:p w14:paraId="75C3EFDE" w14:textId="77777777" w:rsidR="00221195" w:rsidRPr="00221195" w:rsidRDefault="00221195" w:rsidP="00944E0E">
            <w:pPr>
              <w:spacing w:before="40" w:after="40"/>
              <w:rPr>
                <w:b/>
                <w:bCs/>
                <w:i/>
                <w:iCs/>
                <w:sz w:val="16"/>
                <w:szCs w:val="16"/>
              </w:rPr>
            </w:pPr>
            <w:r w:rsidRPr="00221195">
              <w:rPr>
                <w:b/>
                <w:bCs/>
                <w:i/>
                <w:iCs/>
                <w:sz w:val="16"/>
                <w:szCs w:val="16"/>
              </w:rPr>
              <w:t> </w:t>
            </w:r>
          </w:p>
        </w:tc>
      </w:tr>
      <w:tr w:rsidR="00221195" w:rsidRPr="00221195" w14:paraId="7DA4E0FF" w14:textId="77777777" w:rsidTr="00221195">
        <w:trPr>
          <w:trHeight w:val="1020"/>
        </w:trPr>
        <w:tc>
          <w:tcPr>
            <w:tcW w:w="2263" w:type="dxa"/>
            <w:noWrap/>
            <w:hideMark/>
          </w:tcPr>
          <w:p w14:paraId="46F967FA" w14:textId="77777777" w:rsidR="00221195" w:rsidRPr="00221195" w:rsidRDefault="00221195" w:rsidP="00944E0E">
            <w:pPr>
              <w:spacing w:before="40" w:after="40"/>
              <w:rPr>
                <w:sz w:val="16"/>
                <w:szCs w:val="16"/>
              </w:rPr>
            </w:pPr>
            <w:r w:rsidRPr="00221195">
              <w:rPr>
                <w:sz w:val="16"/>
                <w:szCs w:val="16"/>
              </w:rPr>
              <w:t>Quality &amp; education - labour costs</w:t>
            </w:r>
          </w:p>
        </w:tc>
        <w:tc>
          <w:tcPr>
            <w:tcW w:w="4052" w:type="dxa"/>
            <w:hideMark/>
          </w:tcPr>
          <w:p w14:paraId="6916CE8A" w14:textId="77777777" w:rsidR="00221195" w:rsidRPr="00221195" w:rsidRDefault="00221195" w:rsidP="00944E0E">
            <w:pPr>
              <w:spacing w:before="40" w:after="40"/>
              <w:rPr>
                <w:sz w:val="16"/>
                <w:szCs w:val="16"/>
              </w:rPr>
            </w:pPr>
            <w:r w:rsidRPr="00221195">
              <w:rPr>
                <w:sz w:val="16"/>
                <w:szCs w:val="16"/>
              </w:rPr>
              <w:t>Wages, allowances, leave, fringe benefits, superannuation, workers compensation excesses and wages paid to, or in respect of personnel carrying our duties such as education, quality control, quality improvement, policy development and WH&amp;S.</w:t>
            </w:r>
          </w:p>
        </w:tc>
        <w:tc>
          <w:tcPr>
            <w:tcW w:w="2781" w:type="dxa"/>
            <w:hideMark/>
          </w:tcPr>
          <w:p w14:paraId="7EA0E602" w14:textId="77777777" w:rsidR="00221195" w:rsidRPr="00221195" w:rsidRDefault="00221195" w:rsidP="00944E0E">
            <w:pPr>
              <w:spacing w:before="40" w:after="40"/>
              <w:rPr>
                <w:sz w:val="16"/>
                <w:szCs w:val="16"/>
              </w:rPr>
            </w:pPr>
            <w:r w:rsidRPr="00221195">
              <w:rPr>
                <w:sz w:val="16"/>
                <w:szCs w:val="16"/>
              </w:rPr>
              <w:t>Wages and associated costs of those attending education sessions, quality or OH&amp;S meetings etc. These should be included in the wage cost area normally associated with the attendees.</w:t>
            </w:r>
          </w:p>
        </w:tc>
      </w:tr>
      <w:tr w:rsidR="00221195" w:rsidRPr="00221195" w14:paraId="672CE6F7" w14:textId="77777777" w:rsidTr="00221195">
        <w:trPr>
          <w:trHeight w:val="765"/>
        </w:trPr>
        <w:tc>
          <w:tcPr>
            <w:tcW w:w="2263" w:type="dxa"/>
            <w:noWrap/>
            <w:hideMark/>
          </w:tcPr>
          <w:p w14:paraId="395883A8" w14:textId="77777777" w:rsidR="00221195" w:rsidRPr="00221195" w:rsidRDefault="00221195" w:rsidP="00944E0E">
            <w:pPr>
              <w:spacing w:before="40" w:after="40"/>
              <w:rPr>
                <w:sz w:val="16"/>
                <w:szCs w:val="16"/>
              </w:rPr>
            </w:pPr>
            <w:r w:rsidRPr="00221195">
              <w:rPr>
                <w:sz w:val="16"/>
                <w:szCs w:val="16"/>
              </w:rPr>
              <w:t>Quality &amp; education - other</w:t>
            </w:r>
          </w:p>
        </w:tc>
        <w:tc>
          <w:tcPr>
            <w:tcW w:w="4052" w:type="dxa"/>
            <w:hideMark/>
          </w:tcPr>
          <w:p w14:paraId="13BFA8F6" w14:textId="77777777" w:rsidR="00221195" w:rsidRPr="00221195" w:rsidRDefault="00221195" w:rsidP="00944E0E">
            <w:pPr>
              <w:spacing w:before="40" w:after="40"/>
              <w:rPr>
                <w:sz w:val="16"/>
                <w:szCs w:val="16"/>
              </w:rPr>
            </w:pPr>
            <w:r w:rsidRPr="00221195">
              <w:rPr>
                <w:sz w:val="16"/>
                <w:szCs w:val="16"/>
              </w:rPr>
              <w:t>All other costs associated with areas such as education, quality control and improvement, policy development and WH&amp;S. This will include the cost of consultants, materials, software (not capitalised) or course costs for courses run by 3rd parties.</w:t>
            </w:r>
          </w:p>
        </w:tc>
        <w:tc>
          <w:tcPr>
            <w:tcW w:w="2781" w:type="dxa"/>
            <w:hideMark/>
          </w:tcPr>
          <w:p w14:paraId="33EB5BC8" w14:textId="77777777" w:rsidR="00221195" w:rsidRPr="00221195" w:rsidRDefault="00221195" w:rsidP="00944E0E">
            <w:pPr>
              <w:spacing w:before="40" w:after="40"/>
              <w:rPr>
                <w:sz w:val="16"/>
                <w:szCs w:val="16"/>
              </w:rPr>
            </w:pPr>
            <w:r w:rsidRPr="00221195">
              <w:rPr>
                <w:sz w:val="16"/>
                <w:szCs w:val="16"/>
              </w:rPr>
              <w:t> </w:t>
            </w:r>
          </w:p>
        </w:tc>
      </w:tr>
      <w:tr w:rsidR="00221195" w:rsidRPr="00221195" w14:paraId="7FFD0FBF" w14:textId="77777777" w:rsidTr="00865DB1">
        <w:trPr>
          <w:trHeight w:val="255"/>
        </w:trPr>
        <w:tc>
          <w:tcPr>
            <w:tcW w:w="2263" w:type="dxa"/>
            <w:tcBorders>
              <w:bottom w:val="single" w:sz="4" w:space="0" w:color="auto"/>
            </w:tcBorders>
            <w:noWrap/>
            <w:hideMark/>
          </w:tcPr>
          <w:p w14:paraId="40A56D5E" w14:textId="31CD68EC" w:rsidR="00221195" w:rsidRPr="00221195" w:rsidRDefault="00221195" w:rsidP="00944E0E">
            <w:pPr>
              <w:spacing w:before="40" w:after="40"/>
              <w:rPr>
                <w:sz w:val="16"/>
                <w:szCs w:val="16"/>
              </w:rPr>
            </w:pPr>
            <w:r w:rsidRPr="00221195">
              <w:rPr>
                <w:sz w:val="16"/>
                <w:szCs w:val="16"/>
              </w:rPr>
              <w:t>Insurances</w:t>
            </w:r>
          </w:p>
        </w:tc>
        <w:tc>
          <w:tcPr>
            <w:tcW w:w="4052" w:type="dxa"/>
            <w:tcBorders>
              <w:bottom w:val="single" w:sz="4" w:space="0" w:color="auto"/>
            </w:tcBorders>
            <w:hideMark/>
          </w:tcPr>
          <w:p w14:paraId="25618E9C" w14:textId="77777777" w:rsidR="00221195" w:rsidRPr="00221195" w:rsidRDefault="00221195" w:rsidP="00944E0E">
            <w:pPr>
              <w:spacing w:before="40" w:after="40"/>
              <w:rPr>
                <w:sz w:val="16"/>
                <w:szCs w:val="16"/>
              </w:rPr>
            </w:pPr>
            <w:r w:rsidRPr="00221195">
              <w:rPr>
                <w:sz w:val="16"/>
                <w:szCs w:val="16"/>
              </w:rPr>
              <w:t>All insurances except workers compensation.</w:t>
            </w:r>
          </w:p>
        </w:tc>
        <w:tc>
          <w:tcPr>
            <w:tcW w:w="2781" w:type="dxa"/>
            <w:tcBorders>
              <w:bottom w:val="single" w:sz="4" w:space="0" w:color="auto"/>
            </w:tcBorders>
            <w:hideMark/>
          </w:tcPr>
          <w:p w14:paraId="25EFEA52" w14:textId="77777777" w:rsidR="00221195" w:rsidRPr="00221195" w:rsidRDefault="00221195" w:rsidP="00944E0E">
            <w:pPr>
              <w:spacing w:before="40" w:after="40"/>
              <w:rPr>
                <w:sz w:val="16"/>
                <w:szCs w:val="16"/>
              </w:rPr>
            </w:pPr>
            <w:r w:rsidRPr="00221195">
              <w:rPr>
                <w:sz w:val="16"/>
                <w:szCs w:val="16"/>
              </w:rPr>
              <w:t>Workers compensation insurance</w:t>
            </w:r>
          </w:p>
        </w:tc>
      </w:tr>
      <w:tr w:rsidR="00865DB1" w:rsidRPr="00221195" w14:paraId="45C6FBBF" w14:textId="77777777" w:rsidTr="003C011C">
        <w:trPr>
          <w:trHeight w:val="510"/>
        </w:trPr>
        <w:tc>
          <w:tcPr>
            <w:tcW w:w="2263" w:type="dxa"/>
            <w:tcBorders>
              <w:bottom w:val="single" w:sz="4" w:space="0" w:color="auto"/>
            </w:tcBorders>
            <w:noWrap/>
            <w:hideMark/>
          </w:tcPr>
          <w:p w14:paraId="602C9588" w14:textId="77777777" w:rsidR="00865DB1" w:rsidRPr="00221195" w:rsidRDefault="00865DB1" w:rsidP="00944E0E">
            <w:pPr>
              <w:spacing w:before="40" w:after="40"/>
              <w:rPr>
                <w:sz w:val="16"/>
                <w:szCs w:val="16"/>
              </w:rPr>
            </w:pPr>
            <w:r w:rsidRPr="00221195">
              <w:rPr>
                <w:sz w:val="16"/>
                <w:szCs w:val="16"/>
              </w:rPr>
              <w:t>Fees for additional services</w:t>
            </w:r>
          </w:p>
        </w:tc>
        <w:tc>
          <w:tcPr>
            <w:tcW w:w="4052" w:type="dxa"/>
            <w:tcBorders>
              <w:bottom w:val="single" w:sz="4" w:space="0" w:color="auto"/>
            </w:tcBorders>
            <w:hideMark/>
          </w:tcPr>
          <w:p w14:paraId="2971728A" w14:textId="1B0F7800" w:rsidR="00865DB1" w:rsidRPr="00221195" w:rsidRDefault="00865DB1" w:rsidP="00944E0E">
            <w:pPr>
              <w:spacing w:before="40" w:after="40"/>
              <w:rPr>
                <w:sz w:val="16"/>
                <w:szCs w:val="16"/>
              </w:rPr>
            </w:pPr>
            <w:r w:rsidRPr="00221195">
              <w:rPr>
                <w:sz w:val="16"/>
                <w:szCs w:val="16"/>
              </w:rPr>
              <w:t xml:space="preserve">Additional daily fees charged to residents for additional services purchased by the resident and/or in an extra services place. </w:t>
            </w:r>
            <w:r w:rsidRPr="00221195">
              <w:rPr>
                <w:b/>
                <w:bCs/>
                <w:sz w:val="16"/>
                <w:szCs w:val="16"/>
              </w:rPr>
              <w:t>DO NOT use this line for other/sundry income.</w:t>
            </w:r>
          </w:p>
        </w:tc>
        <w:tc>
          <w:tcPr>
            <w:tcW w:w="2781" w:type="dxa"/>
            <w:tcBorders>
              <w:bottom w:val="single" w:sz="4" w:space="0" w:color="auto"/>
            </w:tcBorders>
            <w:hideMark/>
          </w:tcPr>
          <w:p w14:paraId="0043D820" w14:textId="77777777" w:rsidR="00865DB1" w:rsidRPr="00221195" w:rsidRDefault="00865DB1" w:rsidP="00944E0E">
            <w:pPr>
              <w:spacing w:before="40" w:after="40"/>
              <w:rPr>
                <w:sz w:val="16"/>
                <w:szCs w:val="16"/>
              </w:rPr>
            </w:pPr>
            <w:r w:rsidRPr="00221195">
              <w:rPr>
                <w:sz w:val="16"/>
                <w:szCs w:val="16"/>
              </w:rPr>
              <w:t> </w:t>
            </w:r>
          </w:p>
        </w:tc>
      </w:tr>
      <w:tr w:rsidR="003C011C" w:rsidRPr="00221195" w14:paraId="26DA8443" w14:textId="77777777" w:rsidTr="003C011C">
        <w:trPr>
          <w:trHeight w:val="315"/>
        </w:trPr>
        <w:tc>
          <w:tcPr>
            <w:tcW w:w="2263" w:type="dxa"/>
            <w:tcBorders>
              <w:right w:val="nil"/>
            </w:tcBorders>
            <w:noWrap/>
            <w:hideMark/>
          </w:tcPr>
          <w:p w14:paraId="72229368" w14:textId="77777777" w:rsidR="003C011C" w:rsidRPr="00865DB1" w:rsidRDefault="003C011C" w:rsidP="00944E0E">
            <w:pPr>
              <w:spacing w:before="40" w:after="40"/>
              <w:rPr>
                <w:b/>
                <w:bCs/>
                <w:sz w:val="16"/>
                <w:szCs w:val="16"/>
              </w:rPr>
            </w:pPr>
            <w:r>
              <w:rPr>
                <w:b/>
                <w:bCs/>
                <w:sz w:val="16"/>
                <w:szCs w:val="16"/>
              </w:rPr>
              <w:t>H</w:t>
            </w:r>
            <w:r w:rsidRPr="00221195">
              <w:rPr>
                <w:b/>
                <w:bCs/>
                <w:sz w:val="16"/>
                <w:szCs w:val="16"/>
              </w:rPr>
              <w:t>OTEL SERVICES EXPENDITURE</w:t>
            </w:r>
          </w:p>
        </w:tc>
        <w:tc>
          <w:tcPr>
            <w:tcW w:w="4052" w:type="dxa"/>
            <w:tcBorders>
              <w:left w:val="nil"/>
              <w:right w:val="nil"/>
            </w:tcBorders>
          </w:tcPr>
          <w:p w14:paraId="74C346F6" w14:textId="02863818" w:rsidR="003C011C" w:rsidRPr="00221195" w:rsidRDefault="003C011C" w:rsidP="00944E0E">
            <w:pPr>
              <w:spacing w:before="40" w:after="40"/>
              <w:rPr>
                <w:b/>
                <w:bCs/>
                <w:i/>
                <w:iCs/>
                <w:sz w:val="16"/>
                <w:szCs w:val="16"/>
              </w:rPr>
            </w:pPr>
            <w:r w:rsidRPr="00221195">
              <w:rPr>
                <w:b/>
                <w:bCs/>
                <w:i/>
                <w:iCs/>
                <w:sz w:val="16"/>
                <w:szCs w:val="16"/>
              </w:rPr>
              <w:t> </w:t>
            </w:r>
          </w:p>
        </w:tc>
        <w:tc>
          <w:tcPr>
            <w:tcW w:w="2781" w:type="dxa"/>
            <w:tcBorders>
              <w:left w:val="nil"/>
            </w:tcBorders>
          </w:tcPr>
          <w:p w14:paraId="3454735D" w14:textId="632DF2AA" w:rsidR="003C011C" w:rsidRPr="00221195" w:rsidRDefault="003C011C" w:rsidP="00944E0E">
            <w:pPr>
              <w:spacing w:before="40" w:after="40"/>
              <w:rPr>
                <w:b/>
                <w:bCs/>
                <w:i/>
                <w:iCs/>
                <w:sz w:val="16"/>
                <w:szCs w:val="16"/>
              </w:rPr>
            </w:pPr>
          </w:p>
        </w:tc>
      </w:tr>
      <w:tr w:rsidR="00221195" w:rsidRPr="00221195" w14:paraId="4F44A443" w14:textId="77777777" w:rsidTr="00221195">
        <w:trPr>
          <w:trHeight w:val="510"/>
        </w:trPr>
        <w:tc>
          <w:tcPr>
            <w:tcW w:w="2263" w:type="dxa"/>
            <w:noWrap/>
            <w:hideMark/>
          </w:tcPr>
          <w:p w14:paraId="5B730E20" w14:textId="77777777" w:rsidR="00221195" w:rsidRPr="00221195" w:rsidRDefault="00221195" w:rsidP="00944E0E">
            <w:pPr>
              <w:spacing w:before="40" w:after="40"/>
              <w:rPr>
                <w:sz w:val="16"/>
                <w:szCs w:val="16"/>
              </w:rPr>
            </w:pPr>
            <w:r w:rsidRPr="00221195">
              <w:rPr>
                <w:sz w:val="16"/>
                <w:szCs w:val="16"/>
              </w:rPr>
              <w:t xml:space="preserve">Catering </w:t>
            </w:r>
          </w:p>
        </w:tc>
        <w:tc>
          <w:tcPr>
            <w:tcW w:w="4052" w:type="dxa"/>
            <w:hideMark/>
          </w:tcPr>
          <w:p w14:paraId="67F1C9FF" w14:textId="496F3F4B" w:rsidR="00221195" w:rsidRPr="00221195" w:rsidRDefault="00221195" w:rsidP="00944E0E">
            <w:pPr>
              <w:spacing w:before="40" w:after="40"/>
              <w:rPr>
                <w:b/>
                <w:bCs/>
                <w:i/>
                <w:iCs/>
                <w:sz w:val="16"/>
                <w:szCs w:val="16"/>
              </w:rPr>
            </w:pPr>
            <w:r w:rsidRPr="00221195">
              <w:rPr>
                <w:b/>
                <w:bCs/>
                <w:i/>
                <w:iCs/>
                <w:sz w:val="16"/>
                <w:szCs w:val="16"/>
              </w:rPr>
              <w:t>Total costs of catering including labour costs, consumables, contract catering, and income from sale of meals as defined below.</w:t>
            </w:r>
          </w:p>
        </w:tc>
        <w:tc>
          <w:tcPr>
            <w:tcW w:w="2781" w:type="dxa"/>
            <w:hideMark/>
          </w:tcPr>
          <w:p w14:paraId="2C2CD719" w14:textId="77777777" w:rsidR="00221195" w:rsidRPr="00221195" w:rsidRDefault="00221195" w:rsidP="00944E0E">
            <w:pPr>
              <w:spacing w:before="40" w:after="40"/>
              <w:rPr>
                <w:sz w:val="16"/>
                <w:szCs w:val="16"/>
              </w:rPr>
            </w:pPr>
            <w:r w:rsidRPr="00221195">
              <w:rPr>
                <w:sz w:val="16"/>
                <w:szCs w:val="16"/>
              </w:rPr>
              <w:t> </w:t>
            </w:r>
          </w:p>
        </w:tc>
      </w:tr>
      <w:tr w:rsidR="00221195" w:rsidRPr="00221195" w14:paraId="4F03370B" w14:textId="77777777" w:rsidTr="00221195">
        <w:trPr>
          <w:trHeight w:val="510"/>
        </w:trPr>
        <w:tc>
          <w:tcPr>
            <w:tcW w:w="2263" w:type="dxa"/>
            <w:noWrap/>
            <w:hideMark/>
          </w:tcPr>
          <w:p w14:paraId="175E7170"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1D329A06" w14:textId="56BFFD48" w:rsidR="00221195" w:rsidRPr="00221195" w:rsidRDefault="00221195" w:rsidP="00944E0E">
            <w:pPr>
              <w:spacing w:before="40" w:after="40"/>
              <w:rPr>
                <w:sz w:val="16"/>
                <w:szCs w:val="16"/>
              </w:rPr>
            </w:pPr>
            <w:r w:rsidRPr="00221195">
              <w:rPr>
                <w:sz w:val="16"/>
                <w:szCs w:val="16"/>
              </w:rPr>
              <w:t>Labour costs: - Wages, allowances, leave, fringe benefits, superannuation, workers compensation excesses and wages paid to, or in respect of, catering staff</w:t>
            </w:r>
          </w:p>
        </w:tc>
        <w:tc>
          <w:tcPr>
            <w:tcW w:w="2781" w:type="dxa"/>
            <w:hideMark/>
          </w:tcPr>
          <w:p w14:paraId="25FF5240" w14:textId="77777777" w:rsidR="00221195" w:rsidRPr="00221195" w:rsidRDefault="00221195" w:rsidP="00944E0E">
            <w:pPr>
              <w:spacing w:before="40" w:after="40"/>
              <w:rPr>
                <w:sz w:val="16"/>
                <w:szCs w:val="16"/>
              </w:rPr>
            </w:pPr>
            <w:r w:rsidRPr="00221195">
              <w:rPr>
                <w:sz w:val="16"/>
                <w:szCs w:val="16"/>
              </w:rPr>
              <w:t>Workers compensation premium.</w:t>
            </w:r>
          </w:p>
        </w:tc>
      </w:tr>
      <w:tr w:rsidR="00221195" w:rsidRPr="00221195" w14:paraId="1DCE706D" w14:textId="77777777" w:rsidTr="00221195">
        <w:trPr>
          <w:trHeight w:val="510"/>
        </w:trPr>
        <w:tc>
          <w:tcPr>
            <w:tcW w:w="2263" w:type="dxa"/>
            <w:noWrap/>
            <w:hideMark/>
          </w:tcPr>
          <w:p w14:paraId="49637A03"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084C96D7" w14:textId="77777777" w:rsidR="00221195" w:rsidRPr="00221195" w:rsidRDefault="00221195" w:rsidP="00944E0E">
            <w:pPr>
              <w:spacing w:before="40" w:after="40"/>
              <w:rPr>
                <w:sz w:val="16"/>
                <w:szCs w:val="16"/>
              </w:rPr>
            </w:pPr>
            <w:r w:rsidRPr="00221195">
              <w:rPr>
                <w:sz w:val="16"/>
                <w:szCs w:val="16"/>
              </w:rPr>
              <w:t>Consumables: - Cost of all consumable supplies used in the preparation and serving of resident, staff and visitor meals. Includes crockery and cutlery, and cooking utensils.</w:t>
            </w:r>
          </w:p>
        </w:tc>
        <w:tc>
          <w:tcPr>
            <w:tcW w:w="2781" w:type="dxa"/>
            <w:hideMark/>
          </w:tcPr>
          <w:p w14:paraId="1F305F8D" w14:textId="77777777" w:rsidR="00221195" w:rsidRPr="00221195" w:rsidRDefault="00221195" w:rsidP="00944E0E">
            <w:pPr>
              <w:spacing w:before="40" w:after="40"/>
              <w:rPr>
                <w:sz w:val="16"/>
                <w:szCs w:val="16"/>
              </w:rPr>
            </w:pPr>
            <w:r w:rsidRPr="00221195">
              <w:rPr>
                <w:sz w:val="16"/>
                <w:szCs w:val="16"/>
              </w:rPr>
              <w:t>Paper products and cleaning products used in the kitchen. Nutritional supplements.</w:t>
            </w:r>
          </w:p>
        </w:tc>
      </w:tr>
      <w:tr w:rsidR="00221195" w:rsidRPr="00221195" w14:paraId="6046D8D8" w14:textId="77777777" w:rsidTr="00221195">
        <w:trPr>
          <w:trHeight w:val="1275"/>
        </w:trPr>
        <w:tc>
          <w:tcPr>
            <w:tcW w:w="2263" w:type="dxa"/>
            <w:noWrap/>
            <w:hideMark/>
          </w:tcPr>
          <w:p w14:paraId="13BBD506"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27E80F56" w14:textId="759777AE" w:rsidR="00221195" w:rsidRPr="00221195" w:rsidRDefault="00221195" w:rsidP="000D6390">
            <w:pPr>
              <w:spacing w:before="40" w:after="40"/>
              <w:rPr>
                <w:sz w:val="16"/>
                <w:szCs w:val="16"/>
              </w:rPr>
            </w:pPr>
            <w:r w:rsidRPr="00221195">
              <w:rPr>
                <w:sz w:val="16"/>
                <w:szCs w:val="16"/>
              </w:rPr>
              <w:t xml:space="preserve">Contract catering:-Cost of contract catering services where this service is contracted to a third party. This will include the costs when the contractor uses an in-house kitchen and employs the kitchen staff under the contract. This also includes the situation where a shared kitchen provides </w:t>
            </w:r>
            <w:r w:rsidRPr="00221195">
              <w:rPr>
                <w:sz w:val="16"/>
                <w:szCs w:val="16"/>
              </w:rPr>
              <w:lastRenderedPageBreak/>
              <w:t>catering services to multiple facilities in the organisation and allocates costs as if it was a contract service.</w:t>
            </w:r>
          </w:p>
        </w:tc>
        <w:tc>
          <w:tcPr>
            <w:tcW w:w="2781" w:type="dxa"/>
            <w:hideMark/>
          </w:tcPr>
          <w:p w14:paraId="1E488C9B" w14:textId="77777777" w:rsidR="00221195" w:rsidRPr="00221195" w:rsidRDefault="00221195" w:rsidP="00944E0E">
            <w:pPr>
              <w:spacing w:before="40" w:after="40"/>
              <w:rPr>
                <w:sz w:val="16"/>
                <w:szCs w:val="16"/>
              </w:rPr>
            </w:pPr>
            <w:r w:rsidRPr="00221195">
              <w:rPr>
                <w:sz w:val="16"/>
                <w:szCs w:val="16"/>
              </w:rPr>
              <w:lastRenderedPageBreak/>
              <w:t> </w:t>
            </w:r>
          </w:p>
        </w:tc>
      </w:tr>
      <w:tr w:rsidR="00221195" w:rsidRPr="00221195" w14:paraId="02FCE849" w14:textId="77777777" w:rsidTr="00221195">
        <w:trPr>
          <w:trHeight w:val="510"/>
        </w:trPr>
        <w:tc>
          <w:tcPr>
            <w:tcW w:w="2263" w:type="dxa"/>
            <w:noWrap/>
            <w:hideMark/>
          </w:tcPr>
          <w:p w14:paraId="18F9BBB3"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3FA284B7" w14:textId="396170E0" w:rsidR="00221195" w:rsidRPr="00221195" w:rsidRDefault="00221195" w:rsidP="000D6390">
            <w:pPr>
              <w:spacing w:before="40" w:after="40"/>
              <w:rPr>
                <w:sz w:val="16"/>
                <w:szCs w:val="16"/>
              </w:rPr>
            </w:pPr>
            <w:r w:rsidRPr="00221195">
              <w:rPr>
                <w:sz w:val="16"/>
                <w:szCs w:val="16"/>
              </w:rPr>
              <w:t>Income from sale of meals:-Income received from sale of meals to staff, visitors and others.</w:t>
            </w:r>
          </w:p>
        </w:tc>
        <w:tc>
          <w:tcPr>
            <w:tcW w:w="2781" w:type="dxa"/>
            <w:hideMark/>
          </w:tcPr>
          <w:p w14:paraId="5F3803F6" w14:textId="77777777" w:rsidR="00221195" w:rsidRPr="00221195" w:rsidRDefault="00221195" w:rsidP="00944E0E">
            <w:pPr>
              <w:spacing w:before="40" w:after="40"/>
              <w:rPr>
                <w:sz w:val="16"/>
                <w:szCs w:val="16"/>
              </w:rPr>
            </w:pPr>
            <w:r w:rsidRPr="00221195">
              <w:rPr>
                <w:sz w:val="16"/>
                <w:szCs w:val="16"/>
              </w:rPr>
              <w:t> </w:t>
            </w:r>
          </w:p>
        </w:tc>
      </w:tr>
      <w:tr w:rsidR="00221195" w:rsidRPr="00221195" w14:paraId="0F4FB7F3" w14:textId="77777777" w:rsidTr="00221195">
        <w:trPr>
          <w:trHeight w:val="510"/>
        </w:trPr>
        <w:tc>
          <w:tcPr>
            <w:tcW w:w="2263" w:type="dxa"/>
            <w:noWrap/>
            <w:hideMark/>
          </w:tcPr>
          <w:p w14:paraId="3B67EBEC" w14:textId="5B6D706D" w:rsidR="00221195" w:rsidRPr="00221195" w:rsidRDefault="00221195" w:rsidP="00944E0E">
            <w:pPr>
              <w:spacing w:before="40" w:after="40"/>
              <w:rPr>
                <w:sz w:val="16"/>
                <w:szCs w:val="16"/>
              </w:rPr>
            </w:pPr>
            <w:r w:rsidRPr="00221195">
              <w:rPr>
                <w:sz w:val="16"/>
                <w:szCs w:val="16"/>
              </w:rPr>
              <w:t>Cleaning</w:t>
            </w:r>
          </w:p>
        </w:tc>
        <w:tc>
          <w:tcPr>
            <w:tcW w:w="4052" w:type="dxa"/>
            <w:hideMark/>
          </w:tcPr>
          <w:p w14:paraId="1CD28771" w14:textId="77777777" w:rsidR="00221195" w:rsidRPr="00221195" w:rsidRDefault="00221195" w:rsidP="00944E0E">
            <w:pPr>
              <w:spacing w:before="40" w:after="40"/>
              <w:rPr>
                <w:b/>
                <w:bCs/>
                <w:i/>
                <w:iCs/>
                <w:sz w:val="16"/>
                <w:szCs w:val="16"/>
              </w:rPr>
            </w:pPr>
            <w:r w:rsidRPr="00221195">
              <w:rPr>
                <w:b/>
                <w:bCs/>
                <w:i/>
                <w:iCs/>
                <w:sz w:val="16"/>
                <w:szCs w:val="16"/>
              </w:rPr>
              <w:t>Total costs of cleaning including labour costs, consumables and contract cleaning as defined below:</w:t>
            </w:r>
          </w:p>
        </w:tc>
        <w:tc>
          <w:tcPr>
            <w:tcW w:w="2781" w:type="dxa"/>
            <w:hideMark/>
          </w:tcPr>
          <w:p w14:paraId="26E737AD" w14:textId="77777777" w:rsidR="00221195" w:rsidRPr="00221195" w:rsidRDefault="00221195" w:rsidP="00944E0E">
            <w:pPr>
              <w:spacing w:before="40" w:after="40"/>
              <w:rPr>
                <w:sz w:val="16"/>
                <w:szCs w:val="16"/>
              </w:rPr>
            </w:pPr>
            <w:r w:rsidRPr="00221195">
              <w:rPr>
                <w:sz w:val="16"/>
                <w:szCs w:val="16"/>
              </w:rPr>
              <w:t> </w:t>
            </w:r>
          </w:p>
        </w:tc>
      </w:tr>
      <w:tr w:rsidR="00221195" w:rsidRPr="00221195" w14:paraId="0CB1C95D" w14:textId="77777777" w:rsidTr="00221195">
        <w:trPr>
          <w:trHeight w:val="510"/>
        </w:trPr>
        <w:tc>
          <w:tcPr>
            <w:tcW w:w="2263" w:type="dxa"/>
            <w:noWrap/>
            <w:hideMark/>
          </w:tcPr>
          <w:p w14:paraId="00509F6D"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295CC9AE" w14:textId="378E5BEA" w:rsidR="00221195" w:rsidRPr="00221195" w:rsidRDefault="00221195" w:rsidP="00944E0E">
            <w:pPr>
              <w:spacing w:before="40" w:after="40"/>
              <w:rPr>
                <w:sz w:val="16"/>
                <w:szCs w:val="16"/>
              </w:rPr>
            </w:pPr>
            <w:r w:rsidRPr="00221195">
              <w:rPr>
                <w:sz w:val="16"/>
                <w:szCs w:val="16"/>
              </w:rPr>
              <w:t>Labour costs: - Wages, allowances, leave, fringe benefits, superannuation, workers compensation excesses and wages paid to, or in respect of, cleaning staff</w:t>
            </w:r>
          </w:p>
        </w:tc>
        <w:tc>
          <w:tcPr>
            <w:tcW w:w="2781" w:type="dxa"/>
            <w:hideMark/>
          </w:tcPr>
          <w:p w14:paraId="30497247" w14:textId="77777777" w:rsidR="00221195" w:rsidRPr="00221195" w:rsidRDefault="00221195" w:rsidP="00944E0E">
            <w:pPr>
              <w:spacing w:before="40" w:after="40"/>
              <w:rPr>
                <w:sz w:val="16"/>
                <w:szCs w:val="16"/>
              </w:rPr>
            </w:pPr>
            <w:r w:rsidRPr="00221195">
              <w:rPr>
                <w:sz w:val="16"/>
                <w:szCs w:val="16"/>
              </w:rPr>
              <w:t>Workers compensation premium</w:t>
            </w:r>
          </w:p>
        </w:tc>
      </w:tr>
      <w:tr w:rsidR="00221195" w:rsidRPr="00221195" w14:paraId="14E4C7C8" w14:textId="77777777" w:rsidTr="00221195">
        <w:trPr>
          <w:trHeight w:val="510"/>
        </w:trPr>
        <w:tc>
          <w:tcPr>
            <w:tcW w:w="2263" w:type="dxa"/>
            <w:noWrap/>
            <w:hideMark/>
          </w:tcPr>
          <w:p w14:paraId="1B86B7C6"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1A44E93E" w14:textId="77777777" w:rsidR="00221195" w:rsidRPr="00221195" w:rsidRDefault="00221195" w:rsidP="00944E0E">
            <w:pPr>
              <w:spacing w:before="40" w:after="40"/>
              <w:rPr>
                <w:sz w:val="16"/>
                <w:szCs w:val="16"/>
              </w:rPr>
            </w:pPr>
            <w:r w:rsidRPr="00221195">
              <w:rPr>
                <w:sz w:val="16"/>
                <w:szCs w:val="16"/>
              </w:rPr>
              <w:t>Consumables: - All cleaning materials including solvents, liquid and powder cleansers, brooms, mops, buckets, paper towels, toilet rolls etc.</w:t>
            </w:r>
          </w:p>
        </w:tc>
        <w:tc>
          <w:tcPr>
            <w:tcW w:w="2781" w:type="dxa"/>
            <w:hideMark/>
          </w:tcPr>
          <w:p w14:paraId="1130B6E2" w14:textId="77777777" w:rsidR="00221195" w:rsidRPr="00221195" w:rsidRDefault="00221195" w:rsidP="00944E0E">
            <w:pPr>
              <w:spacing w:before="40" w:after="40"/>
              <w:rPr>
                <w:sz w:val="16"/>
                <w:szCs w:val="16"/>
              </w:rPr>
            </w:pPr>
            <w:r w:rsidRPr="00221195">
              <w:rPr>
                <w:sz w:val="16"/>
                <w:szCs w:val="16"/>
              </w:rPr>
              <w:t> </w:t>
            </w:r>
          </w:p>
        </w:tc>
      </w:tr>
      <w:tr w:rsidR="00221195" w:rsidRPr="00221195" w14:paraId="69A19BCC" w14:textId="77777777" w:rsidTr="00221195">
        <w:trPr>
          <w:trHeight w:val="510"/>
        </w:trPr>
        <w:tc>
          <w:tcPr>
            <w:tcW w:w="2263" w:type="dxa"/>
            <w:noWrap/>
            <w:hideMark/>
          </w:tcPr>
          <w:p w14:paraId="27D108AB"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194646C4" w14:textId="77777777" w:rsidR="00221195" w:rsidRPr="00221195" w:rsidRDefault="00221195" w:rsidP="00944E0E">
            <w:pPr>
              <w:spacing w:before="40" w:after="40"/>
              <w:rPr>
                <w:sz w:val="16"/>
                <w:szCs w:val="16"/>
              </w:rPr>
            </w:pPr>
            <w:r w:rsidRPr="00221195">
              <w:rPr>
                <w:sz w:val="16"/>
                <w:szCs w:val="16"/>
              </w:rPr>
              <w:t>Contract cleaning: - Cost of permanent or casual contract cleaning services. Include carpet cleaning and window cleaning services.</w:t>
            </w:r>
          </w:p>
        </w:tc>
        <w:tc>
          <w:tcPr>
            <w:tcW w:w="2781" w:type="dxa"/>
            <w:hideMark/>
          </w:tcPr>
          <w:p w14:paraId="2B1BEEB7" w14:textId="77777777" w:rsidR="00221195" w:rsidRPr="00221195" w:rsidRDefault="00221195" w:rsidP="00944E0E">
            <w:pPr>
              <w:spacing w:before="40" w:after="40"/>
              <w:rPr>
                <w:sz w:val="16"/>
                <w:szCs w:val="16"/>
              </w:rPr>
            </w:pPr>
            <w:r w:rsidRPr="00221195">
              <w:rPr>
                <w:sz w:val="16"/>
                <w:szCs w:val="16"/>
              </w:rPr>
              <w:t> </w:t>
            </w:r>
          </w:p>
        </w:tc>
      </w:tr>
      <w:tr w:rsidR="00221195" w:rsidRPr="00221195" w14:paraId="71088169" w14:textId="77777777" w:rsidTr="00221195">
        <w:trPr>
          <w:trHeight w:val="510"/>
        </w:trPr>
        <w:tc>
          <w:tcPr>
            <w:tcW w:w="2263" w:type="dxa"/>
            <w:noWrap/>
            <w:hideMark/>
          </w:tcPr>
          <w:p w14:paraId="77E2DF96" w14:textId="77777777" w:rsidR="00221195" w:rsidRPr="00221195" w:rsidRDefault="00221195" w:rsidP="00944E0E">
            <w:pPr>
              <w:spacing w:before="40" w:after="40"/>
              <w:rPr>
                <w:sz w:val="16"/>
                <w:szCs w:val="16"/>
              </w:rPr>
            </w:pPr>
            <w:r w:rsidRPr="00221195">
              <w:rPr>
                <w:sz w:val="16"/>
                <w:szCs w:val="16"/>
              </w:rPr>
              <w:t>Laundry</w:t>
            </w:r>
          </w:p>
        </w:tc>
        <w:tc>
          <w:tcPr>
            <w:tcW w:w="4052" w:type="dxa"/>
            <w:hideMark/>
          </w:tcPr>
          <w:p w14:paraId="55A86EB5" w14:textId="26F8513B" w:rsidR="00221195" w:rsidRPr="00221195" w:rsidRDefault="00221195" w:rsidP="00944E0E">
            <w:pPr>
              <w:spacing w:before="40" w:after="40"/>
              <w:rPr>
                <w:b/>
                <w:bCs/>
                <w:i/>
                <w:iCs/>
                <w:sz w:val="16"/>
                <w:szCs w:val="16"/>
              </w:rPr>
            </w:pPr>
            <w:r w:rsidRPr="00221195">
              <w:rPr>
                <w:b/>
                <w:bCs/>
                <w:i/>
                <w:iCs/>
                <w:sz w:val="16"/>
                <w:szCs w:val="16"/>
              </w:rPr>
              <w:t>Total costs of laundry including labour costs, consumables and con</w:t>
            </w:r>
            <w:r w:rsidR="00944E0E">
              <w:rPr>
                <w:b/>
                <w:bCs/>
                <w:i/>
                <w:iCs/>
                <w:sz w:val="16"/>
                <w:szCs w:val="16"/>
              </w:rPr>
              <w:t>tract laundry as defined below.</w:t>
            </w:r>
          </w:p>
        </w:tc>
        <w:tc>
          <w:tcPr>
            <w:tcW w:w="2781" w:type="dxa"/>
            <w:hideMark/>
          </w:tcPr>
          <w:p w14:paraId="16B9CD5F" w14:textId="77777777" w:rsidR="00221195" w:rsidRPr="00221195" w:rsidRDefault="00221195" w:rsidP="00944E0E">
            <w:pPr>
              <w:spacing w:before="40" w:after="40"/>
              <w:rPr>
                <w:sz w:val="16"/>
                <w:szCs w:val="16"/>
              </w:rPr>
            </w:pPr>
            <w:r w:rsidRPr="00221195">
              <w:rPr>
                <w:sz w:val="16"/>
                <w:szCs w:val="16"/>
              </w:rPr>
              <w:t> </w:t>
            </w:r>
          </w:p>
        </w:tc>
      </w:tr>
      <w:tr w:rsidR="00221195" w:rsidRPr="00221195" w14:paraId="68B7707C" w14:textId="77777777" w:rsidTr="00221195">
        <w:trPr>
          <w:trHeight w:val="510"/>
        </w:trPr>
        <w:tc>
          <w:tcPr>
            <w:tcW w:w="2263" w:type="dxa"/>
            <w:noWrap/>
            <w:hideMark/>
          </w:tcPr>
          <w:p w14:paraId="6E59996B"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7E5F9CDF" w14:textId="77777777" w:rsidR="00221195" w:rsidRPr="00221195" w:rsidRDefault="00221195" w:rsidP="00944E0E">
            <w:pPr>
              <w:spacing w:before="40" w:after="40"/>
              <w:rPr>
                <w:sz w:val="16"/>
                <w:szCs w:val="16"/>
              </w:rPr>
            </w:pPr>
            <w:r w:rsidRPr="00221195">
              <w:rPr>
                <w:sz w:val="16"/>
                <w:szCs w:val="16"/>
              </w:rPr>
              <w:t xml:space="preserve">Labour costs: - Wages, allowances, leave, fringe benefits, superannuation, workers compensation excesses and wages paid to, or in respect of, cleaning staff </w:t>
            </w:r>
          </w:p>
        </w:tc>
        <w:tc>
          <w:tcPr>
            <w:tcW w:w="2781" w:type="dxa"/>
            <w:hideMark/>
          </w:tcPr>
          <w:p w14:paraId="1164F27D" w14:textId="77777777" w:rsidR="00221195" w:rsidRPr="00221195" w:rsidRDefault="00221195" w:rsidP="00944E0E">
            <w:pPr>
              <w:spacing w:before="40" w:after="40"/>
              <w:rPr>
                <w:sz w:val="16"/>
                <w:szCs w:val="16"/>
              </w:rPr>
            </w:pPr>
            <w:r w:rsidRPr="00221195">
              <w:rPr>
                <w:sz w:val="16"/>
                <w:szCs w:val="16"/>
              </w:rPr>
              <w:t>Workers compensation premium</w:t>
            </w:r>
          </w:p>
        </w:tc>
      </w:tr>
      <w:tr w:rsidR="00221195" w:rsidRPr="00221195" w14:paraId="177E46B0" w14:textId="77777777" w:rsidTr="00221195">
        <w:trPr>
          <w:trHeight w:val="510"/>
        </w:trPr>
        <w:tc>
          <w:tcPr>
            <w:tcW w:w="2263" w:type="dxa"/>
            <w:noWrap/>
            <w:hideMark/>
          </w:tcPr>
          <w:p w14:paraId="60634566"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5B6A39A9" w14:textId="77777777" w:rsidR="00221195" w:rsidRPr="00221195" w:rsidRDefault="00221195" w:rsidP="00944E0E">
            <w:pPr>
              <w:spacing w:before="40" w:after="40"/>
              <w:rPr>
                <w:sz w:val="16"/>
                <w:szCs w:val="16"/>
              </w:rPr>
            </w:pPr>
            <w:r w:rsidRPr="00221195">
              <w:rPr>
                <w:sz w:val="16"/>
                <w:szCs w:val="16"/>
              </w:rPr>
              <w:t>Consumables: - Cost of all consumables used in washing and drying clothes and bedding as well as replacement bedding and linen items.</w:t>
            </w:r>
          </w:p>
        </w:tc>
        <w:tc>
          <w:tcPr>
            <w:tcW w:w="2781" w:type="dxa"/>
            <w:hideMark/>
          </w:tcPr>
          <w:p w14:paraId="60903641" w14:textId="77777777" w:rsidR="00221195" w:rsidRPr="00221195" w:rsidRDefault="00221195" w:rsidP="00944E0E">
            <w:pPr>
              <w:spacing w:before="40" w:after="40"/>
              <w:rPr>
                <w:sz w:val="16"/>
                <w:szCs w:val="16"/>
              </w:rPr>
            </w:pPr>
            <w:r w:rsidRPr="00221195">
              <w:rPr>
                <w:sz w:val="16"/>
                <w:szCs w:val="16"/>
              </w:rPr>
              <w:t> </w:t>
            </w:r>
          </w:p>
        </w:tc>
      </w:tr>
      <w:tr w:rsidR="00221195" w:rsidRPr="00221195" w14:paraId="212CBDE1" w14:textId="77777777" w:rsidTr="00221195">
        <w:trPr>
          <w:trHeight w:val="255"/>
        </w:trPr>
        <w:tc>
          <w:tcPr>
            <w:tcW w:w="2263" w:type="dxa"/>
            <w:noWrap/>
            <w:hideMark/>
          </w:tcPr>
          <w:p w14:paraId="626A9711"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2E324BCE" w14:textId="77777777" w:rsidR="00221195" w:rsidRPr="00221195" w:rsidRDefault="00221195" w:rsidP="00944E0E">
            <w:pPr>
              <w:spacing w:before="40" w:after="40"/>
              <w:rPr>
                <w:sz w:val="16"/>
                <w:szCs w:val="16"/>
              </w:rPr>
            </w:pPr>
            <w:r w:rsidRPr="00221195">
              <w:rPr>
                <w:sz w:val="16"/>
                <w:szCs w:val="16"/>
              </w:rPr>
              <w:t>Contract laundry: - Cost of contract laundry service, if applicable.</w:t>
            </w:r>
          </w:p>
        </w:tc>
        <w:tc>
          <w:tcPr>
            <w:tcW w:w="2781" w:type="dxa"/>
            <w:hideMark/>
          </w:tcPr>
          <w:p w14:paraId="52E11D45" w14:textId="77777777" w:rsidR="00221195" w:rsidRPr="00221195" w:rsidRDefault="00221195" w:rsidP="00944E0E">
            <w:pPr>
              <w:spacing w:before="40" w:after="40"/>
              <w:rPr>
                <w:sz w:val="16"/>
                <w:szCs w:val="16"/>
              </w:rPr>
            </w:pPr>
            <w:r w:rsidRPr="00221195">
              <w:rPr>
                <w:sz w:val="16"/>
                <w:szCs w:val="16"/>
              </w:rPr>
              <w:t> </w:t>
            </w:r>
          </w:p>
        </w:tc>
      </w:tr>
      <w:tr w:rsidR="00221195" w:rsidRPr="00221195" w14:paraId="2D292AB3" w14:textId="77777777" w:rsidTr="00221195">
        <w:trPr>
          <w:trHeight w:val="255"/>
        </w:trPr>
        <w:tc>
          <w:tcPr>
            <w:tcW w:w="2263" w:type="dxa"/>
            <w:noWrap/>
            <w:hideMark/>
          </w:tcPr>
          <w:p w14:paraId="4C7D2419" w14:textId="77777777" w:rsidR="00221195" w:rsidRPr="00221195" w:rsidRDefault="00221195" w:rsidP="00944E0E">
            <w:pPr>
              <w:spacing w:before="40" w:after="40"/>
              <w:rPr>
                <w:sz w:val="16"/>
                <w:szCs w:val="16"/>
              </w:rPr>
            </w:pPr>
            <w:r w:rsidRPr="00221195">
              <w:rPr>
                <w:sz w:val="16"/>
                <w:szCs w:val="16"/>
              </w:rPr>
              <w:t xml:space="preserve">Utilities </w:t>
            </w:r>
          </w:p>
        </w:tc>
        <w:tc>
          <w:tcPr>
            <w:tcW w:w="4052" w:type="dxa"/>
            <w:hideMark/>
          </w:tcPr>
          <w:p w14:paraId="77DEB83B" w14:textId="77777777" w:rsidR="00221195" w:rsidRPr="00221195" w:rsidRDefault="00221195" w:rsidP="00944E0E">
            <w:pPr>
              <w:spacing w:before="40" w:after="40"/>
              <w:rPr>
                <w:b/>
                <w:bCs/>
                <w:i/>
                <w:iCs/>
                <w:sz w:val="16"/>
                <w:szCs w:val="16"/>
              </w:rPr>
            </w:pPr>
            <w:r w:rsidRPr="00221195">
              <w:rPr>
                <w:b/>
                <w:bCs/>
                <w:i/>
                <w:iCs/>
                <w:sz w:val="16"/>
                <w:szCs w:val="16"/>
              </w:rPr>
              <w:t>Total cost of all utilities as defined below.</w:t>
            </w:r>
          </w:p>
        </w:tc>
        <w:tc>
          <w:tcPr>
            <w:tcW w:w="2781" w:type="dxa"/>
            <w:hideMark/>
          </w:tcPr>
          <w:p w14:paraId="04F103BD" w14:textId="77777777" w:rsidR="00221195" w:rsidRPr="00221195" w:rsidRDefault="00221195" w:rsidP="00944E0E">
            <w:pPr>
              <w:spacing w:before="40" w:after="40"/>
              <w:rPr>
                <w:sz w:val="16"/>
                <w:szCs w:val="16"/>
              </w:rPr>
            </w:pPr>
            <w:r w:rsidRPr="00221195">
              <w:rPr>
                <w:sz w:val="16"/>
                <w:szCs w:val="16"/>
              </w:rPr>
              <w:t> </w:t>
            </w:r>
          </w:p>
        </w:tc>
      </w:tr>
      <w:tr w:rsidR="00221195" w:rsidRPr="00221195" w14:paraId="3EE8F079" w14:textId="77777777" w:rsidTr="00221195">
        <w:trPr>
          <w:trHeight w:val="510"/>
        </w:trPr>
        <w:tc>
          <w:tcPr>
            <w:tcW w:w="2263" w:type="dxa"/>
            <w:noWrap/>
            <w:hideMark/>
          </w:tcPr>
          <w:p w14:paraId="1F57E1FB"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09852291" w14:textId="77777777" w:rsidR="00221195" w:rsidRPr="00221195" w:rsidRDefault="00221195" w:rsidP="00944E0E">
            <w:pPr>
              <w:spacing w:before="40" w:after="40"/>
              <w:rPr>
                <w:sz w:val="16"/>
                <w:szCs w:val="16"/>
              </w:rPr>
            </w:pPr>
            <w:r w:rsidRPr="00221195">
              <w:rPr>
                <w:sz w:val="16"/>
                <w:szCs w:val="16"/>
              </w:rPr>
              <w:t>Electricity costs: - Electricity costs associated with the facility -An apportionment of total electricity cost is appropriate if one bill is shared among a number of facilities.</w:t>
            </w:r>
          </w:p>
        </w:tc>
        <w:tc>
          <w:tcPr>
            <w:tcW w:w="2781" w:type="dxa"/>
            <w:hideMark/>
          </w:tcPr>
          <w:p w14:paraId="37367310" w14:textId="77777777" w:rsidR="00221195" w:rsidRPr="00221195" w:rsidRDefault="00221195" w:rsidP="00944E0E">
            <w:pPr>
              <w:spacing w:before="40" w:after="40"/>
              <w:rPr>
                <w:sz w:val="16"/>
                <w:szCs w:val="16"/>
              </w:rPr>
            </w:pPr>
            <w:r w:rsidRPr="00221195">
              <w:rPr>
                <w:sz w:val="16"/>
                <w:szCs w:val="16"/>
              </w:rPr>
              <w:t> </w:t>
            </w:r>
          </w:p>
        </w:tc>
      </w:tr>
      <w:tr w:rsidR="00221195" w:rsidRPr="00221195" w14:paraId="723E654D" w14:textId="77777777" w:rsidTr="00221195">
        <w:trPr>
          <w:trHeight w:val="255"/>
        </w:trPr>
        <w:tc>
          <w:tcPr>
            <w:tcW w:w="2263" w:type="dxa"/>
            <w:noWrap/>
            <w:hideMark/>
          </w:tcPr>
          <w:p w14:paraId="095E2CA0"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7CE2A15B" w14:textId="77777777" w:rsidR="00221195" w:rsidRPr="00221195" w:rsidRDefault="00221195" w:rsidP="00944E0E">
            <w:pPr>
              <w:spacing w:before="40" w:after="40"/>
              <w:rPr>
                <w:sz w:val="16"/>
                <w:szCs w:val="16"/>
              </w:rPr>
            </w:pPr>
            <w:r w:rsidRPr="00221195">
              <w:rPr>
                <w:sz w:val="16"/>
                <w:szCs w:val="16"/>
              </w:rPr>
              <w:t>Gas: - Cost of gas including that used by kitchen.</w:t>
            </w:r>
          </w:p>
        </w:tc>
        <w:tc>
          <w:tcPr>
            <w:tcW w:w="2781" w:type="dxa"/>
            <w:hideMark/>
          </w:tcPr>
          <w:p w14:paraId="64A6E8D0" w14:textId="77777777" w:rsidR="00221195" w:rsidRPr="00221195" w:rsidRDefault="00221195" w:rsidP="00944E0E">
            <w:pPr>
              <w:spacing w:before="40" w:after="40"/>
              <w:rPr>
                <w:sz w:val="16"/>
                <w:szCs w:val="16"/>
              </w:rPr>
            </w:pPr>
            <w:r w:rsidRPr="00221195">
              <w:rPr>
                <w:sz w:val="16"/>
                <w:szCs w:val="16"/>
              </w:rPr>
              <w:t>Medical gases such as oxygen.</w:t>
            </w:r>
          </w:p>
        </w:tc>
      </w:tr>
      <w:tr w:rsidR="00221195" w:rsidRPr="00221195" w14:paraId="5F9CF0CA" w14:textId="77777777" w:rsidTr="00221195">
        <w:trPr>
          <w:trHeight w:val="255"/>
        </w:trPr>
        <w:tc>
          <w:tcPr>
            <w:tcW w:w="2263" w:type="dxa"/>
            <w:noWrap/>
            <w:hideMark/>
          </w:tcPr>
          <w:p w14:paraId="5EC130D5"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347B50F1" w14:textId="77777777" w:rsidR="00221195" w:rsidRPr="00221195" w:rsidRDefault="00221195" w:rsidP="00944E0E">
            <w:pPr>
              <w:spacing w:before="40" w:after="40"/>
              <w:rPr>
                <w:sz w:val="16"/>
                <w:szCs w:val="16"/>
              </w:rPr>
            </w:pPr>
            <w:r w:rsidRPr="00221195">
              <w:rPr>
                <w:sz w:val="16"/>
                <w:szCs w:val="16"/>
              </w:rPr>
              <w:t>Rates: - All council rates including land and water.</w:t>
            </w:r>
          </w:p>
        </w:tc>
        <w:tc>
          <w:tcPr>
            <w:tcW w:w="2781" w:type="dxa"/>
            <w:hideMark/>
          </w:tcPr>
          <w:p w14:paraId="2F68B964" w14:textId="77777777" w:rsidR="00221195" w:rsidRPr="00221195" w:rsidRDefault="00221195" w:rsidP="00944E0E">
            <w:pPr>
              <w:spacing w:before="40" w:after="40"/>
              <w:rPr>
                <w:sz w:val="16"/>
                <w:szCs w:val="16"/>
              </w:rPr>
            </w:pPr>
            <w:r w:rsidRPr="00221195">
              <w:rPr>
                <w:sz w:val="16"/>
                <w:szCs w:val="16"/>
              </w:rPr>
              <w:t>Garbage removal and tip fees.</w:t>
            </w:r>
          </w:p>
        </w:tc>
      </w:tr>
      <w:tr w:rsidR="00221195" w:rsidRPr="00221195" w14:paraId="2B90E0BF" w14:textId="77777777" w:rsidTr="00221195">
        <w:trPr>
          <w:trHeight w:val="510"/>
        </w:trPr>
        <w:tc>
          <w:tcPr>
            <w:tcW w:w="2263" w:type="dxa"/>
            <w:noWrap/>
            <w:hideMark/>
          </w:tcPr>
          <w:p w14:paraId="22CE6FD1"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64A4771F" w14:textId="54476A70" w:rsidR="00221195" w:rsidRPr="00221195" w:rsidRDefault="00221195" w:rsidP="00944E0E">
            <w:pPr>
              <w:spacing w:before="40" w:after="40"/>
              <w:rPr>
                <w:sz w:val="16"/>
                <w:szCs w:val="16"/>
              </w:rPr>
            </w:pPr>
            <w:r w:rsidRPr="00221195">
              <w:rPr>
                <w:sz w:val="16"/>
                <w:szCs w:val="16"/>
              </w:rPr>
              <w:t xml:space="preserve">Rubbish removal: - Garbage removal, hazardous materials and toxic waste removal, including council and </w:t>
            </w:r>
            <w:r w:rsidR="00944E0E">
              <w:rPr>
                <w:sz w:val="16"/>
                <w:szCs w:val="16"/>
              </w:rPr>
              <w:t xml:space="preserve">other third party contractors. </w:t>
            </w:r>
            <w:r w:rsidRPr="00221195">
              <w:rPr>
                <w:sz w:val="16"/>
                <w:szCs w:val="16"/>
              </w:rPr>
              <w:t>Include tip fees.</w:t>
            </w:r>
          </w:p>
        </w:tc>
        <w:tc>
          <w:tcPr>
            <w:tcW w:w="2781" w:type="dxa"/>
            <w:hideMark/>
          </w:tcPr>
          <w:p w14:paraId="44C097EB" w14:textId="77777777" w:rsidR="00221195" w:rsidRPr="00221195" w:rsidRDefault="00221195" w:rsidP="00944E0E">
            <w:pPr>
              <w:spacing w:before="40" w:after="40"/>
              <w:rPr>
                <w:sz w:val="16"/>
                <w:szCs w:val="16"/>
              </w:rPr>
            </w:pPr>
            <w:r w:rsidRPr="00221195">
              <w:rPr>
                <w:sz w:val="16"/>
                <w:szCs w:val="16"/>
              </w:rPr>
              <w:t> </w:t>
            </w:r>
          </w:p>
        </w:tc>
      </w:tr>
      <w:tr w:rsidR="00221195" w:rsidRPr="00221195" w14:paraId="32BFFD33" w14:textId="77777777" w:rsidTr="00221195">
        <w:trPr>
          <w:trHeight w:val="510"/>
        </w:trPr>
        <w:tc>
          <w:tcPr>
            <w:tcW w:w="2263" w:type="dxa"/>
            <w:noWrap/>
            <w:hideMark/>
          </w:tcPr>
          <w:p w14:paraId="4BD38BC7" w14:textId="210E4061" w:rsidR="00221195" w:rsidRPr="00221195" w:rsidRDefault="00221195" w:rsidP="00944E0E">
            <w:pPr>
              <w:spacing w:before="40" w:after="40"/>
              <w:rPr>
                <w:sz w:val="16"/>
                <w:szCs w:val="16"/>
              </w:rPr>
            </w:pPr>
            <w:r w:rsidRPr="00221195">
              <w:rPr>
                <w:sz w:val="16"/>
                <w:szCs w:val="16"/>
              </w:rPr>
              <w:t>Maintenance and repairs</w:t>
            </w:r>
          </w:p>
        </w:tc>
        <w:tc>
          <w:tcPr>
            <w:tcW w:w="4052" w:type="dxa"/>
            <w:hideMark/>
          </w:tcPr>
          <w:p w14:paraId="0DA62ECF" w14:textId="77777777" w:rsidR="00221195" w:rsidRPr="00221195" w:rsidRDefault="00221195" w:rsidP="00944E0E">
            <w:pPr>
              <w:spacing w:before="40" w:after="40"/>
              <w:rPr>
                <w:b/>
                <w:bCs/>
                <w:i/>
                <w:iCs/>
                <w:sz w:val="16"/>
                <w:szCs w:val="16"/>
              </w:rPr>
            </w:pPr>
            <w:r w:rsidRPr="00221195">
              <w:rPr>
                <w:b/>
                <w:bCs/>
                <w:i/>
                <w:iCs/>
                <w:sz w:val="16"/>
                <w:szCs w:val="16"/>
              </w:rPr>
              <w:t>Total costs for all routine maintenance and repairs of the residential aged care facility as defined below.</w:t>
            </w:r>
          </w:p>
        </w:tc>
        <w:tc>
          <w:tcPr>
            <w:tcW w:w="2781" w:type="dxa"/>
            <w:hideMark/>
          </w:tcPr>
          <w:p w14:paraId="2EFCC937" w14:textId="77777777" w:rsidR="00221195" w:rsidRPr="00221195" w:rsidRDefault="00221195" w:rsidP="00944E0E">
            <w:pPr>
              <w:spacing w:before="40" w:after="40"/>
              <w:rPr>
                <w:sz w:val="16"/>
                <w:szCs w:val="16"/>
              </w:rPr>
            </w:pPr>
            <w:r w:rsidRPr="00221195">
              <w:rPr>
                <w:sz w:val="16"/>
                <w:szCs w:val="16"/>
              </w:rPr>
              <w:t> </w:t>
            </w:r>
          </w:p>
        </w:tc>
      </w:tr>
      <w:tr w:rsidR="00221195" w:rsidRPr="00221195" w14:paraId="7E8A90E6" w14:textId="77777777" w:rsidTr="00221195">
        <w:trPr>
          <w:trHeight w:val="765"/>
        </w:trPr>
        <w:tc>
          <w:tcPr>
            <w:tcW w:w="2263" w:type="dxa"/>
            <w:noWrap/>
            <w:hideMark/>
          </w:tcPr>
          <w:p w14:paraId="0A616C8A"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568DA9E5" w14:textId="77777777" w:rsidR="00221195" w:rsidRPr="00221195" w:rsidRDefault="00221195" w:rsidP="00944E0E">
            <w:pPr>
              <w:spacing w:before="40" w:after="40"/>
              <w:rPr>
                <w:sz w:val="16"/>
                <w:szCs w:val="16"/>
              </w:rPr>
            </w:pPr>
            <w:r w:rsidRPr="00221195">
              <w:rPr>
                <w:sz w:val="16"/>
                <w:szCs w:val="16"/>
              </w:rPr>
              <w:t>Labour costs: - Wages, allowances, leave, fringe benefits, superannuation, workers compensation excesses and wages paid to, or in respect of, maintenance and grounds staff.</w:t>
            </w:r>
          </w:p>
        </w:tc>
        <w:tc>
          <w:tcPr>
            <w:tcW w:w="2781" w:type="dxa"/>
            <w:hideMark/>
          </w:tcPr>
          <w:p w14:paraId="20E14E6E" w14:textId="77777777" w:rsidR="00221195" w:rsidRPr="00221195" w:rsidRDefault="00221195" w:rsidP="00944E0E">
            <w:pPr>
              <w:spacing w:before="40" w:after="40"/>
              <w:rPr>
                <w:sz w:val="16"/>
                <w:szCs w:val="16"/>
              </w:rPr>
            </w:pPr>
            <w:r w:rsidRPr="00221195">
              <w:rPr>
                <w:sz w:val="16"/>
                <w:szCs w:val="16"/>
              </w:rPr>
              <w:t>Workers compensation premium</w:t>
            </w:r>
          </w:p>
        </w:tc>
      </w:tr>
      <w:tr w:rsidR="00221195" w:rsidRPr="00221195" w14:paraId="28220A95" w14:textId="77777777" w:rsidTr="00221195">
        <w:trPr>
          <w:trHeight w:val="1275"/>
        </w:trPr>
        <w:tc>
          <w:tcPr>
            <w:tcW w:w="2263" w:type="dxa"/>
            <w:noWrap/>
            <w:hideMark/>
          </w:tcPr>
          <w:p w14:paraId="24E5B793" w14:textId="77777777" w:rsidR="00221195" w:rsidRPr="00221195" w:rsidRDefault="00221195" w:rsidP="00944E0E">
            <w:pPr>
              <w:spacing w:before="40" w:after="40"/>
              <w:rPr>
                <w:sz w:val="16"/>
                <w:szCs w:val="16"/>
              </w:rPr>
            </w:pPr>
            <w:r w:rsidRPr="00221195">
              <w:rPr>
                <w:sz w:val="16"/>
                <w:szCs w:val="16"/>
              </w:rPr>
              <w:t> </w:t>
            </w:r>
          </w:p>
        </w:tc>
        <w:tc>
          <w:tcPr>
            <w:tcW w:w="4052" w:type="dxa"/>
            <w:hideMark/>
          </w:tcPr>
          <w:p w14:paraId="1BC04B29" w14:textId="487FD2BD" w:rsidR="00221195" w:rsidRPr="00221195" w:rsidRDefault="00221195" w:rsidP="00944E0E">
            <w:pPr>
              <w:spacing w:before="40" w:after="40"/>
              <w:rPr>
                <w:sz w:val="16"/>
                <w:szCs w:val="16"/>
              </w:rPr>
            </w:pPr>
            <w:r w:rsidRPr="00221195">
              <w:rPr>
                <w:sz w:val="16"/>
                <w:szCs w:val="16"/>
              </w:rPr>
              <w:t>Maintenance and repairs: - Materials and other third party costs in maintaining and repair</w:t>
            </w:r>
            <w:r w:rsidR="00944E0E">
              <w:rPr>
                <w:sz w:val="16"/>
                <w:szCs w:val="16"/>
              </w:rPr>
              <w:t>ing the assets of the facility.</w:t>
            </w:r>
            <w:r w:rsidRPr="00221195">
              <w:rPr>
                <w:sz w:val="16"/>
                <w:szCs w:val="16"/>
              </w:rPr>
              <w:t xml:space="preserve"> Contract labour for repairs and maintenance (under one-off arrangement). This should also include costs of any long term maintenance contracts. Will also include items such as fire protection, pest control, security and minor asset purchases or replacements.</w:t>
            </w:r>
          </w:p>
        </w:tc>
        <w:tc>
          <w:tcPr>
            <w:tcW w:w="2781" w:type="dxa"/>
            <w:hideMark/>
          </w:tcPr>
          <w:p w14:paraId="7582707B" w14:textId="77777777" w:rsidR="00221195" w:rsidRPr="00221195" w:rsidRDefault="00221195" w:rsidP="00944E0E">
            <w:pPr>
              <w:spacing w:before="40" w:after="40"/>
              <w:rPr>
                <w:sz w:val="16"/>
                <w:szCs w:val="16"/>
              </w:rPr>
            </w:pPr>
            <w:r w:rsidRPr="00221195">
              <w:rPr>
                <w:sz w:val="16"/>
                <w:szCs w:val="16"/>
              </w:rPr>
              <w:t> </w:t>
            </w:r>
          </w:p>
        </w:tc>
      </w:tr>
      <w:tr w:rsidR="00221195" w:rsidRPr="00221195" w14:paraId="10AA6D84" w14:textId="77777777" w:rsidTr="00221195">
        <w:trPr>
          <w:trHeight w:val="255"/>
        </w:trPr>
        <w:tc>
          <w:tcPr>
            <w:tcW w:w="2263" w:type="dxa"/>
            <w:noWrap/>
            <w:hideMark/>
          </w:tcPr>
          <w:p w14:paraId="3CFCBF2F" w14:textId="7731261C" w:rsidR="00221195" w:rsidRPr="00221195" w:rsidRDefault="00221195" w:rsidP="00944E0E">
            <w:pPr>
              <w:spacing w:before="40" w:after="40"/>
              <w:rPr>
                <w:sz w:val="16"/>
                <w:szCs w:val="16"/>
              </w:rPr>
            </w:pPr>
            <w:r w:rsidRPr="00221195">
              <w:rPr>
                <w:sz w:val="16"/>
                <w:szCs w:val="16"/>
              </w:rPr>
              <w:t>Other hotel service costs not listed</w:t>
            </w:r>
          </w:p>
        </w:tc>
        <w:tc>
          <w:tcPr>
            <w:tcW w:w="4052" w:type="dxa"/>
            <w:hideMark/>
          </w:tcPr>
          <w:p w14:paraId="473F4BBC" w14:textId="686D3257" w:rsidR="00221195" w:rsidRPr="00221195" w:rsidRDefault="00221195" w:rsidP="00944E0E">
            <w:pPr>
              <w:spacing w:before="40" w:after="40"/>
              <w:rPr>
                <w:b/>
                <w:bCs/>
                <w:i/>
                <w:iCs/>
                <w:sz w:val="16"/>
                <w:szCs w:val="16"/>
              </w:rPr>
            </w:pPr>
            <w:r w:rsidRPr="00221195">
              <w:rPr>
                <w:b/>
                <w:bCs/>
                <w:i/>
                <w:iCs/>
                <w:sz w:val="16"/>
                <w:szCs w:val="16"/>
              </w:rPr>
              <w:t>Other hotel service costs not listed above.</w:t>
            </w:r>
          </w:p>
        </w:tc>
        <w:tc>
          <w:tcPr>
            <w:tcW w:w="2781" w:type="dxa"/>
            <w:hideMark/>
          </w:tcPr>
          <w:p w14:paraId="3038DE07" w14:textId="77777777" w:rsidR="00221195" w:rsidRPr="00221195" w:rsidRDefault="00221195" w:rsidP="00944E0E">
            <w:pPr>
              <w:spacing w:before="40" w:after="40"/>
              <w:rPr>
                <w:sz w:val="16"/>
                <w:szCs w:val="16"/>
              </w:rPr>
            </w:pPr>
            <w:r w:rsidRPr="00221195">
              <w:rPr>
                <w:sz w:val="16"/>
                <w:szCs w:val="16"/>
              </w:rPr>
              <w:t> </w:t>
            </w:r>
          </w:p>
        </w:tc>
      </w:tr>
    </w:tbl>
    <w:p w14:paraId="6100025D" w14:textId="2FD7CC2D" w:rsidR="0071034B" w:rsidRDefault="0071034B" w:rsidP="005F68BC"/>
    <w:sectPr w:rsidR="0071034B" w:rsidSect="0020777E">
      <w:pgSz w:w="11906" w:h="16838"/>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7E12" w14:textId="77777777" w:rsidR="002C102A" w:rsidRDefault="002C102A" w:rsidP="00625E8D">
      <w:r>
        <w:separator/>
      </w:r>
    </w:p>
    <w:p w14:paraId="4A0764A9" w14:textId="77777777" w:rsidR="002C102A" w:rsidRDefault="002C102A"/>
    <w:p w14:paraId="18AD855B" w14:textId="77777777" w:rsidR="002C102A" w:rsidRDefault="002C102A"/>
  </w:endnote>
  <w:endnote w:type="continuationSeparator" w:id="0">
    <w:p w14:paraId="175D10F9" w14:textId="77777777" w:rsidR="002C102A" w:rsidRDefault="002C102A" w:rsidP="00625E8D">
      <w:r>
        <w:continuationSeparator/>
      </w:r>
    </w:p>
    <w:p w14:paraId="6860DCEC" w14:textId="77777777" w:rsidR="002C102A" w:rsidRDefault="002C102A"/>
    <w:p w14:paraId="670839FA" w14:textId="77777777" w:rsidR="002C102A" w:rsidRDefault="002C1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A80F" w14:textId="77777777" w:rsidR="00DF0D84" w:rsidRDefault="00DF0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AF99" w14:textId="452A751A" w:rsidR="002C102A" w:rsidRPr="006E49DF" w:rsidRDefault="002C102A" w:rsidP="006E49DF">
    <w:pPr>
      <w:pStyle w:val="Footer"/>
    </w:pPr>
    <w:r w:rsidRPr="006E49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0640" w14:textId="77777777" w:rsidR="00DF0D84" w:rsidRDefault="00DF0D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1FB9" w14:textId="57D7D14A" w:rsidR="002C102A" w:rsidRPr="006E49DF" w:rsidRDefault="002C102A" w:rsidP="006E49DF">
    <w:pPr>
      <w:pStyle w:val="Footer"/>
    </w:pPr>
    <w:r w:rsidRPr="006E49DF">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68CB" w14:textId="77777777" w:rsidR="002C102A" w:rsidRDefault="002C102A" w:rsidP="006E49DF">
    <w:pPr>
      <w:pStyle w:val="Footer"/>
    </w:pPr>
  </w:p>
  <w:p w14:paraId="6CE61081" w14:textId="77777777" w:rsidR="002C102A" w:rsidRPr="009D7507" w:rsidRDefault="002C102A" w:rsidP="00F730E6">
    <w:pPr>
      <w:pStyle w:val="Footer"/>
      <w:pBdr>
        <w:top w:val="single" w:sz="4" w:space="1" w:color="auto"/>
      </w:pBdr>
      <w:rPr>
        <w:sz w:val="4"/>
        <w:szCs w:val="4"/>
      </w:rPr>
    </w:pPr>
  </w:p>
  <w:p w14:paraId="5114201F" w14:textId="77777777" w:rsidR="002C102A" w:rsidRDefault="002C102A" w:rsidP="006E49DF">
    <w:pPr>
      <w:pStyle w:val="Footer"/>
      <w:tabs>
        <w:tab w:val="right" w:pos="9356"/>
      </w:tabs>
      <w:rPr>
        <w:sz w:val="20"/>
        <w:szCs w:val="20"/>
      </w:rPr>
    </w:pPr>
  </w:p>
  <w:p w14:paraId="0C211776" w14:textId="4B8C69DC" w:rsidR="002C102A" w:rsidRPr="006E49DF" w:rsidRDefault="002C102A" w:rsidP="00F730E6">
    <w:pPr>
      <w:pStyle w:val="Footer"/>
      <w:tabs>
        <w:tab w:val="right" w:pos="9356"/>
      </w:tabs>
      <w:rPr>
        <w:sz w:val="20"/>
        <w:szCs w:val="20"/>
      </w:rPr>
    </w:pPr>
    <w:r w:rsidRPr="00F730E6">
      <w:rPr>
        <w:sz w:val="20"/>
        <w:szCs w:val="20"/>
      </w:rPr>
      <w:t xml:space="preserve">Report </w:t>
    </w:r>
    <w:r>
      <w:rPr>
        <w:sz w:val="20"/>
        <w:szCs w:val="20"/>
      </w:rPr>
      <w:t>3</w:t>
    </w:r>
    <w:r w:rsidRPr="00F730E6">
      <w:rPr>
        <w:sz w:val="20"/>
        <w:szCs w:val="20"/>
      </w:rPr>
      <w:t>: Structural and individual costs of residential aged care services in Australia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6C4A" w14:textId="77777777" w:rsidR="002C102A" w:rsidRDefault="002C102A" w:rsidP="008641E0">
    <w:pPr>
      <w:pStyle w:val="Footer"/>
    </w:pPr>
  </w:p>
  <w:p w14:paraId="2D9EE895" w14:textId="77777777" w:rsidR="00616910" w:rsidRDefault="002C102A" w:rsidP="00616910">
    <w:pPr>
      <w:pStyle w:val="Footer"/>
      <w:pBdr>
        <w:top w:val="single" w:sz="4" w:space="1" w:color="auto"/>
      </w:pBdr>
      <w:rPr>
        <w:sz w:val="20"/>
        <w:szCs w:val="20"/>
      </w:rPr>
    </w:pPr>
    <w:r w:rsidRPr="00F730E6">
      <w:rPr>
        <w:sz w:val="20"/>
        <w:szCs w:val="20"/>
      </w:rPr>
      <w:t xml:space="preserve">Report </w:t>
    </w:r>
    <w:r>
      <w:rPr>
        <w:sz w:val="20"/>
        <w:szCs w:val="20"/>
      </w:rPr>
      <w:t>3</w:t>
    </w:r>
    <w:r w:rsidRPr="00F730E6">
      <w:rPr>
        <w:sz w:val="20"/>
        <w:szCs w:val="20"/>
      </w:rPr>
      <w:t>: Structural and individual costs of residential aged care services in Australia</w:t>
    </w:r>
  </w:p>
  <w:p w14:paraId="1E4CD78A" w14:textId="776C6D9F" w:rsidR="002C102A" w:rsidRPr="008641E0" w:rsidRDefault="002C102A" w:rsidP="00616910">
    <w:pPr>
      <w:pStyle w:val="Footer"/>
      <w:pBdr>
        <w:top w:val="single" w:sz="4" w:space="1" w:color="auto"/>
      </w:pBdr>
      <w:jc w:val="right"/>
    </w:pPr>
    <w:r>
      <w:rPr>
        <w:sz w:val="20"/>
        <w:szCs w:val="20"/>
      </w:rPr>
      <w:t xml:space="preserve">Page </w:t>
    </w:r>
    <w:sdt>
      <w:sdtPr>
        <w:id w:val="-1424799400"/>
        <w:docPartObj>
          <w:docPartGallery w:val="Page Numbers (Bottom of Page)"/>
          <w:docPartUnique/>
        </w:docPartObj>
      </w:sdtPr>
      <w:sdtEndPr>
        <w:rPr>
          <w:noProof/>
          <w:sz w:val="20"/>
          <w:szCs w:val="20"/>
        </w:rPr>
      </w:sdtEndPr>
      <w:sdtContent>
        <w:r w:rsidRPr="00C64F75">
          <w:rPr>
            <w:sz w:val="20"/>
            <w:szCs w:val="20"/>
          </w:rPr>
          <w:fldChar w:fldCharType="begin"/>
        </w:r>
        <w:r w:rsidRPr="00C64F75">
          <w:rPr>
            <w:sz w:val="20"/>
            <w:szCs w:val="20"/>
          </w:rPr>
          <w:instrText xml:space="preserve"> PAGE   \* MERGEFORMAT </w:instrText>
        </w:r>
        <w:r w:rsidRPr="00C64F75">
          <w:rPr>
            <w:sz w:val="20"/>
            <w:szCs w:val="20"/>
          </w:rPr>
          <w:fldChar w:fldCharType="separate"/>
        </w:r>
        <w:r w:rsidR="00790058">
          <w:rPr>
            <w:noProof/>
            <w:sz w:val="20"/>
            <w:szCs w:val="20"/>
          </w:rPr>
          <w:t>32</w:t>
        </w:r>
        <w:r w:rsidRPr="00C64F7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0E10C" w14:textId="77777777" w:rsidR="002C102A" w:rsidRDefault="002C102A" w:rsidP="00625E8D">
      <w:r>
        <w:separator/>
      </w:r>
    </w:p>
    <w:p w14:paraId="3DA659D5" w14:textId="77777777" w:rsidR="002C102A" w:rsidRDefault="002C102A"/>
    <w:p w14:paraId="31D11D5E" w14:textId="77777777" w:rsidR="002C102A" w:rsidRDefault="002C102A"/>
  </w:footnote>
  <w:footnote w:type="continuationSeparator" w:id="0">
    <w:p w14:paraId="12B2DA41" w14:textId="77777777" w:rsidR="002C102A" w:rsidRDefault="002C102A" w:rsidP="00625E8D">
      <w:r>
        <w:continuationSeparator/>
      </w:r>
    </w:p>
    <w:p w14:paraId="726BA735" w14:textId="77777777" w:rsidR="002C102A" w:rsidRDefault="002C102A"/>
    <w:p w14:paraId="26FA93EB" w14:textId="77777777" w:rsidR="002C102A" w:rsidRDefault="002C102A"/>
  </w:footnote>
  <w:footnote w:id="1">
    <w:p w14:paraId="2998F42F" w14:textId="4ACD8418" w:rsidR="002C102A" w:rsidRDefault="002C102A">
      <w:pPr>
        <w:pStyle w:val="FootnoteText"/>
      </w:pPr>
      <w:r>
        <w:rPr>
          <w:rStyle w:val="FootnoteReference"/>
        </w:rPr>
        <w:footnoteRef/>
      </w:r>
      <w:r>
        <w:t xml:space="preserve"> McNamee J, Poulos C, Seraji H et al.</w:t>
      </w:r>
      <w:r w:rsidRPr="006143EE">
        <w:t xml:space="preserve"> (201</w:t>
      </w:r>
      <w:r>
        <w:t>7</w:t>
      </w:r>
      <w:r w:rsidRPr="006143EE">
        <w:t>)</w:t>
      </w:r>
      <w:r>
        <w:t xml:space="preserve"> </w:t>
      </w:r>
      <w:r w:rsidRPr="00CF4053">
        <w:rPr>
          <w:i/>
        </w:rPr>
        <w:t>Alternative Aged Care Assessment, Classification System and Funding Models</w:t>
      </w:r>
      <w:r>
        <w:rPr>
          <w:i/>
        </w:rPr>
        <w:t xml:space="preserve"> - Final</w:t>
      </w:r>
      <w:r w:rsidRPr="00CF4053">
        <w:rPr>
          <w:i/>
        </w:rPr>
        <w:t xml:space="preserve"> Report</w:t>
      </w:r>
      <w:r>
        <w:rPr>
          <w:i/>
        </w:rPr>
        <w:t xml:space="preserve">. </w:t>
      </w:r>
      <w:r>
        <w:t>Centre for Health Service Development, Australian Health Services Research Institute, University of Wollongong.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205C" w14:textId="77777777" w:rsidR="00DF0D84" w:rsidRDefault="00DF0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7F93" w14:textId="77777777" w:rsidR="00DF0D84" w:rsidRDefault="00DF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017D" w14:textId="77777777" w:rsidR="00DF0D84" w:rsidRDefault="00DF0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7358" w14:textId="6E171756" w:rsidR="002C102A" w:rsidRDefault="002C10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2359" w14:textId="3B44EB29" w:rsidR="002C102A" w:rsidRPr="00F32D1D" w:rsidRDefault="002C102A" w:rsidP="00F32D1D">
    <w:pPr>
      <w:pStyle w:val="Header"/>
      <w:pBdr>
        <w:bottom w:val="single" w:sz="4" w:space="1" w:color="auto"/>
      </w:pBdr>
      <w:spacing w:after="200"/>
      <w:jc w:val="right"/>
      <w:rPr>
        <w:sz w:val="16"/>
        <w:szCs w:val="16"/>
      </w:rPr>
    </w:pPr>
    <w:r>
      <w:rPr>
        <w:noProof/>
      </w:rPr>
      <w:drawing>
        <wp:inline distT="0" distB="0" distL="0" distR="0" wp14:anchorId="01262977" wp14:editId="30117A98">
          <wp:extent cx="800100" cy="374650"/>
          <wp:effectExtent l="0" t="0" r="0" b="6350"/>
          <wp:docPr id="10" name="Picture 10" descr="Ahsri_Logo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hsri_Logo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C456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2" w15:restartNumberingAfterBreak="0">
    <w:nsid w:val="0C7A5B7A"/>
    <w:multiLevelType w:val="multilevel"/>
    <w:tmpl w:val="2A7A021C"/>
    <w:lvl w:ilvl="0">
      <w:start w:val="1"/>
      <w:numFmt w:val="decimal"/>
      <w:lvlText w:val="%1"/>
      <w:lvlJc w:val="left"/>
      <w:pPr>
        <w:ind w:left="432"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lvlText w:val="%1.%2.%3.%4.%5"/>
      <w:lvlJc w:val="left"/>
      <w:pPr>
        <w:ind w:left="157" w:hanging="1008"/>
      </w:pPr>
      <w:rPr>
        <w:rFonts w:hint="default"/>
      </w:rPr>
    </w:lvl>
    <w:lvl w:ilvl="5">
      <w:start w:val="1"/>
      <w:numFmt w:val="decimal"/>
      <w:lvlText w:val="%1.%2.%3.%4.%5.%6"/>
      <w:lvlJc w:val="left"/>
      <w:pPr>
        <w:ind w:left="301" w:hanging="1152"/>
      </w:pPr>
      <w:rPr>
        <w:rFonts w:hint="default"/>
      </w:rPr>
    </w:lvl>
    <w:lvl w:ilvl="6">
      <w:start w:val="1"/>
      <w:numFmt w:val="decimal"/>
      <w:lvlText w:val="%1.%2.%3.%4.%5.%6.%7"/>
      <w:lvlJc w:val="left"/>
      <w:pPr>
        <w:ind w:left="445" w:hanging="1296"/>
      </w:pPr>
      <w:rPr>
        <w:rFonts w:hint="default"/>
      </w:rPr>
    </w:lvl>
    <w:lvl w:ilvl="7">
      <w:start w:val="1"/>
      <w:numFmt w:val="decimal"/>
      <w:lvlText w:val="%1.%2.%3.%4.%5.%6.%7.%8"/>
      <w:lvlJc w:val="left"/>
      <w:pPr>
        <w:ind w:left="589" w:hanging="1440"/>
      </w:pPr>
      <w:rPr>
        <w:rFonts w:hint="default"/>
      </w:rPr>
    </w:lvl>
    <w:lvl w:ilvl="8">
      <w:start w:val="1"/>
      <w:numFmt w:val="decimal"/>
      <w:lvlText w:val="%1.%2.%3.%4.%5.%6.%7.%8.%9"/>
      <w:lvlJc w:val="left"/>
      <w:pPr>
        <w:ind w:left="733" w:hanging="1584"/>
      </w:pPr>
      <w:rPr>
        <w:rFonts w:hint="default"/>
      </w:rPr>
    </w:lvl>
  </w:abstractNum>
  <w:abstractNum w:abstractNumId="3" w15:restartNumberingAfterBreak="0">
    <w:nsid w:val="0FA67341"/>
    <w:multiLevelType w:val="singleLevel"/>
    <w:tmpl w:val="1854A824"/>
    <w:lvl w:ilvl="0">
      <w:start w:val="1"/>
      <w:numFmt w:val="bullet"/>
      <w:pStyle w:val="1AutoList1"/>
      <w:lvlText w:val=""/>
      <w:lvlJc w:val="left"/>
      <w:pPr>
        <w:tabs>
          <w:tab w:val="num" w:pos="360"/>
        </w:tabs>
        <w:ind w:left="360" w:hanging="360"/>
      </w:pPr>
      <w:rPr>
        <w:rFonts w:ascii="Wingdings" w:hAnsi="Wingdings" w:hint="default"/>
      </w:rPr>
    </w:lvl>
  </w:abstractNum>
  <w:abstractNum w:abstractNumId="4" w15:restartNumberingAfterBreak="0">
    <w:nsid w:val="11DB3B9C"/>
    <w:multiLevelType w:val="hybridMultilevel"/>
    <w:tmpl w:val="0BF8A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64E7B"/>
    <w:multiLevelType w:val="hybridMultilevel"/>
    <w:tmpl w:val="F0DE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4692A"/>
    <w:multiLevelType w:val="hybridMultilevel"/>
    <w:tmpl w:val="9FB2FBF2"/>
    <w:lvl w:ilvl="0" w:tplc="0C09000F">
      <w:start w:val="1"/>
      <w:numFmt w:val="decimal"/>
      <w:lvlText w:val="%1."/>
      <w:lvlJc w:val="left"/>
      <w:pPr>
        <w:ind w:left="502" w:hanging="360"/>
      </w:pPr>
      <w:rPr>
        <w:rFonts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5C0A8644">
      <w:start w:val="1"/>
      <w:numFmt w:val="decimal"/>
      <w:lvlText w:val="%5"/>
      <w:lvlJc w:val="left"/>
      <w:pPr>
        <w:ind w:left="3600" w:hanging="720"/>
      </w:pPr>
      <w:rPr>
        <w:rFont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5C2B4C"/>
    <w:multiLevelType w:val="hybridMultilevel"/>
    <w:tmpl w:val="C276D712"/>
    <w:lvl w:ilvl="0" w:tplc="0C090001">
      <w:start w:val="1"/>
      <w:numFmt w:val="bullet"/>
      <w:lvlText w:val=""/>
      <w:lvlJc w:val="left"/>
      <w:pPr>
        <w:ind w:left="1080" w:hanging="360"/>
      </w:pPr>
      <w:rPr>
        <w:rFonts w:ascii="Symbol" w:hAnsi="Symbol" w:hint="default"/>
      </w:rPr>
    </w:lvl>
    <w:lvl w:ilvl="1" w:tplc="2730D902">
      <w:start w:val="1"/>
      <w:numFmt w:val="bullet"/>
      <w:lvlText w:val="–"/>
      <w:lvlJc w:val="left"/>
      <w:pPr>
        <w:ind w:left="1800" w:hanging="360"/>
      </w:pPr>
      <w:rPr>
        <w:rFonts w:ascii="Calibri" w:eastAsiaTheme="minorHAnsi"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E8F0896"/>
    <w:multiLevelType w:val="hybridMultilevel"/>
    <w:tmpl w:val="3CDE6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FA387C"/>
    <w:multiLevelType w:val="hybridMultilevel"/>
    <w:tmpl w:val="7CB827BA"/>
    <w:lvl w:ilvl="0" w:tplc="74C047BC">
      <w:start w:val="1"/>
      <w:numFmt w:val="bullet"/>
      <w:pStyle w:val="Bullets"/>
      <w:lvlText w:val=""/>
      <w:lvlJc w:val="left"/>
      <w:pPr>
        <w:ind w:left="644" w:hanging="360"/>
      </w:pPr>
      <w:rPr>
        <w:rFonts w:ascii="Wingdings" w:hAnsi="Wingdings"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5C0A8644">
      <w:start w:val="1"/>
      <w:numFmt w:val="decimal"/>
      <w:lvlText w:val="%5"/>
      <w:lvlJc w:val="left"/>
      <w:pPr>
        <w:ind w:left="3600" w:hanging="720"/>
      </w:pPr>
      <w:rPr>
        <w:rFonts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261331"/>
    <w:multiLevelType w:val="multilevel"/>
    <w:tmpl w:val="BDA636F0"/>
    <w:lvl w:ilvl="0">
      <w:start w:val="1"/>
      <w:numFmt w:val="decimal"/>
      <w:pStyle w:val="Heading1"/>
      <w:lvlText w:val="%1"/>
      <w:lvlJc w:val="left"/>
      <w:pPr>
        <w:ind w:left="432" w:hanging="432"/>
      </w:pPr>
    </w:lvl>
    <w:lvl w:ilvl="1">
      <w:start w:val="1"/>
      <w:numFmt w:val="decimal"/>
      <w:pStyle w:val="Heading2"/>
      <w:lvlText w:val="%1.%2"/>
      <w:lvlJc w:val="left"/>
      <w:pPr>
        <w:ind w:left="-275" w:hanging="576"/>
      </w:pPr>
    </w:lvl>
    <w:lvl w:ilvl="2">
      <w:start w:val="1"/>
      <w:numFmt w:val="decimal"/>
      <w:pStyle w:val="Heading3"/>
      <w:lvlText w:val="%1.%2.%3"/>
      <w:lvlJc w:val="left"/>
      <w:pPr>
        <w:ind w:left="-131" w:hanging="720"/>
      </w:pPr>
    </w:lvl>
    <w:lvl w:ilvl="3">
      <w:start w:val="1"/>
      <w:numFmt w:val="decimal"/>
      <w:pStyle w:val="Heading4"/>
      <w:lvlText w:val="%1.%2.%3.%4"/>
      <w:lvlJc w:val="left"/>
      <w:pPr>
        <w:ind w:left="13" w:hanging="864"/>
      </w:pPr>
    </w:lvl>
    <w:lvl w:ilvl="4">
      <w:start w:val="1"/>
      <w:numFmt w:val="decimal"/>
      <w:pStyle w:val="Heading5"/>
      <w:lvlText w:val="%1.%2.%3.%4.%5"/>
      <w:lvlJc w:val="left"/>
      <w:pPr>
        <w:ind w:left="157" w:hanging="1008"/>
      </w:pPr>
    </w:lvl>
    <w:lvl w:ilvl="5">
      <w:start w:val="1"/>
      <w:numFmt w:val="decimal"/>
      <w:pStyle w:val="Heading6"/>
      <w:lvlText w:val="%1.%2.%3.%4.%5.%6"/>
      <w:lvlJc w:val="left"/>
      <w:pPr>
        <w:ind w:left="301" w:hanging="1152"/>
      </w:pPr>
    </w:lvl>
    <w:lvl w:ilvl="6">
      <w:start w:val="1"/>
      <w:numFmt w:val="decimal"/>
      <w:pStyle w:val="Heading7"/>
      <w:lvlText w:val="%1.%2.%3.%4.%5.%6.%7"/>
      <w:lvlJc w:val="left"/>
      <w:pPr>
        <w:ind w:left="445" w:hanging="1296"/>
      </w:pPr>
    </w:lvl>
    <w:lvl w:ilvl="7">
      <w:start w:val="1"/>
      <w:numFmt w:val="decimal"/>
      <w:pStyle w:val="Heading8"/>
      <w:lvlText w:val="%1.%2.%3.%4.%5.%6.%7.%8"/>
      <w:lvlJc w:val="left"/>
      <w:pPr>
        <w:ind w:left="589" w:hanging="1440"/>
      </w:pPr>
    </w:lvl>
    <w:lvl w:ilvl="8">
      <w:start w:val="1"/>
      <w:numFmt w:val="decimal"/>
      <w:pStyle w:val="Heading9"/>
      <w:lvlText w:val="%1.%2.%3.%4.%5.%6.%7.%8.%9"/>
      <w:lvlJc w:val="left"/>
      <w:pPr>
        <w:ind w:left="733" w:hanging="1584"/>
      </w:pPr>
    </w:lvl>
  </w:abstractNum>
  <w:abstractNum w:abstractNumId="11" w15:restartNumberingAfterBreak="0">
    <w:nsid w:val="352D42EC"/>
    <w:multiLevelType w:val="hybridMultilevel"/>
    <w:tmpl w:val="2ABA7A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E03F8"/>
    <w:multiLevelType w:val="hybridMultilevel"/>
    <w:tmpl w:val="EC1A4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686B1A"/>
    <w:multiLevelType w:val="hybridMultilevel"/>
    <w:tmpl w:val="098A47E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FB4C57"/>
    <w:multiLevelType w:val="hybridMultilevel"/>
    <w:tmpl w:val="EFDEC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0B7445"/>
    <w:multiLevelType w:val="hybridMultilevel"/>
    <w:tmpl w:val="AE824EAA"/>
    <w:lvl w:ilvl="0" w:tplc="E9A27344">
      <w:start w:val="1"/>
      <w:numFmt w:val="decimal"/>
      <w:lvlText w:val="Repo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6B1A87"/>
    <w:multiLevelType w:val="hybridMultilevel"/>
    <w:tmpl w:val="A2C4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507F9"/>
    <w:multiLevelType w:val="hybridMultilevel"/>
    <w:tmpl w:val="14F4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25B68"/>
    <w:multiLevelType w:val="hybridMultilevel"/>
    <w:tmpl w:val="7F0ECF34"/>
    <w:lvl w:ilvl="0" w:tplc="A6384F78">
      <w:start w:val="1"/>
      <w:numFmt w:val="bullet"/>
      <w:pStyle w:val="BulletPoin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B760E6B"/>
    <w:multiLevelType w:val="hybridMultilevel"/>
    <w:tmpl w:val="9662A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70540"/>
    <w:multiLevelType w:val="hybridMultilevel"/>
    <w:tmpl w:val="187CC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A59F5"/>
    <w:multiLevelType w:val="hybridMultilevel"/>
    <w:tmpl w:val="2870D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0B0F0B"/>
    <w:multiLevelType w:val="singleLevel"/>
    <w:tmpl w:val="32D6C89A"/>
    <w:lvl w:ilvl="0">
      <w:start w:val="1"/>
      <w:numFmt w:val="bullet"/>
      <w:pStyle w:val="1BulletList"/>
      <w:lvlText w:val=""/>
      <w:lvlJc w:val="left"/>
      <w:pPr>
        <w:tabs>
          <w:tab w:val="num" w:pos="360"/>
        </w:tabs>
        <w:ind w:left="360" w:hanging="360"/>
      </w:pPr>
      <w:rPr>
        <w:rFonts w:ascii="Wingdings" w:hAnsi="Wingdings" w:hint="default"/>
      </w:rPr>
    </w:lvl>
  </w:abstractNum>
  <w:abstractNum w:abstractNumId="23" w15:restartNumberingAfterBreak="0">
    <w:nsid w:val="6F4617AE"/>
    <w:multiLevelType w:val="hybridMultilevel"/>
    <w:tmpl w:val="483A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121AB4"/>
    <w:multiLevelType w:val="hybridMultilevel"/>
    <w:tmpl w:val="5DF4F3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10"/>
  </w:num>
  <w:num w:numId="6">
    <w:abstractNumId w:val="0"/>
  </w:num>
  <w:num w:numId="7">
    <w:abstractNumId w:val="15"/>
  </w:num>
  <w:num w:numId="8">
    <w:abstractNumId w:val="21"/>
  </w:num>
  <w:num w:numId="9">
    <w:abstractNumId w:val="4"/>
  </w:num>
  <w:num w:numId="10">
    <w:abstractNumId w:val="20"/>
  </w:num>
  <w:num w:numId="11">
    <w:abstractNumId w:val="17"/>
  </w:num>
  <w:num w:numId="12">
    <w:abstractNumId w:val="16"/>
  </w:num>
  <w:num w:numId="13">
    <w:abstractNumId w:val="14"/>
  </w:num>
  <w:num w:numId="14">
    <w:abstractNumId w:val="24"/>
  </w:num>
  <w:num w:numId="15">
    <w:abstractNumId w:val="8"/>
  </w:num>
  <w:num w:numId="16">
    <w:abstractNumId w:val="12"/>
  </w:num>
  <w:num w:numId="17">
    <w:abstractNumId w:val="6"/>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9"/>
  </w:num>
  <w:num w:numId="24">
    <w:abstractNumId w:val="19"/>
  </w:num>
  <w:num w:numId="25">
    <w:abstractNumId w:val="13"/>
  </w:num>
  <w:num w:numId="26">
    <w:abstractNumId w:val="10"/>
  </w:num>
  <w:num w:numId="27">
    <w:abstractNumId w:val="10"/>
  </w:num>
  <w:num w:numId="28">
    <w:abstractNumId w:val="10"/>
  </w:num>
  <w:num w:numId="29">
    <w:abstractNumId w:val="23"/>
  </w:num>
  <w:num w:numId="30">
    <w:abstractNumId w:val="11"/>
  </w:num>
  <w:num w:numId="31">
    <w:abstractNumId w:val="5"/>
  </w:num>
  <w:num w:numId="32">
    <w:abstractNumId w:val="7"/>
  </w:num>
  <w:num w:numId="33">
    <w:abstractNumId w:val="2"/>
  </w:num>
  <w:num w:numId="34">
    <w:abstractNumId w:val="9"/>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prasewy50eeeeexpapftfmr0drvfdaxttt&quot;&gt;Aged Care Funding 26_oct&lt;record-ids&gt;&lt;item&gt;2332&lt;/item&gt;&lt;item&gt;6557&lt;/item&gt;&lt;item&gt;6566&lt;/item&gt;&lt;item&gt;6579&lt;/item&gt;&lt;item&gt;6581&lt;/item&gt;&lt;item&gt;6582&lt;/item&gt;&lt;item&gt;6628&lt;/item&gt;&lt;item&gt;6634&lt;/item&gt;&lt;item&gt;6636&lt;/item&gt;&lt;item&gt;6638&lt;/item&gt;&lt;item&gt;6639&lt;/item&gt;&lt;item&gt;6640&lt;/item&gt;&lt;item&gt;6641&lt;/item&gt;&lt;item&gt;6642&lt;/item&gt;&lt;item&gt;6646&lt;/item&gt;&lt;item&gt;6669&lt;/item&gt;&lt;item&gt;6670&lt;/item&gt;&lt;item&gt;6671&lt;/item&gt;&lt;item&gt;6672&lt;/item&gt;&lt;item&gt;6673&lt;/item&gt;&lt;item&gt;6674&lt;/item&gt;&lt;item&gt;6675&lt;/item&gt;&lt;item&gt;6676&lt;/item&gt;&lt;item&gt;6677&lt;/item&gt;&lt;item&gt;6678&lt;/item&gt;&lt;item&gt;6679&lt;/item&gt;&lt;item&gt;6680&lt;/item&gt;&lt;item&gt;6681&lt;/item&gt;&lt;item&gt;6682&lt;/item&gt;&lt;item&gt;6683&lt;/item&gt;&lt;item&gt;6684&lt;/item&gt;&lt;item&gt;6685&lt;/item&gt;&lt;item&gt;6686&lt;/item&gt;&lt;item&gt;6687&lt;/item&gt;&lt;item&gt;6688&lt;/item&gt;&lt;item&gt;6689&lt;/item&gt;&lt;item&gt;6690&lt;/item&gt;&lt;item&gt;6691&lt;/item&gt;&lt;item&gt;6694&lt;/item&gt;&lt;item&gt;6695&lt;/item&gt;&lt;item&gt;6702&lt;/item&gt;&lt;item&gt;6704&lt;/item&gt;&lt;item&gt;6706&lt;/item&gt;&lt;item&gt;6707&lt;/item&gt;&lt;item&gt;6709&lt;/item&gt;&lt;item&gt;6710&lt;/item&gt;&lt;item&gt;6711&lt;/item&gt;&lt;item&gt;6712&lt;/item&gt;&lt;item&gt;6713&lt;/item&gt;&lt;item&gt;6714&lt;/item&gt;&lt;item&gt;6715&lt;/item&gt;&lt;item&gt;6726&lt;/item&gt;&lt;item&gt;6728&lt;/item&gt;&lt;item&gt;6731&lt;/item&gt;&lt;item&gt;6732&lt;/item&gt;&lt;/record-ids&gt;&lt;/item&gt;&lt;/Libraries&gt;"/>
  </w:docVars>
  <w:rsids>
    <w:rsidRoot w:val="000B46BA"/>
    <w:rsid w:val="000000CE"/>
    <w:rsid w:val="000101DF"/>
    <w:rsid w:val="000112BC"/>
    <w:rsid w:val="000122CB"/>
    <w:rsid w:val="00013592"/>
    <w:rsid w:val="000138E3"/>
    <w:rsid w:val="00014BAB"/>
    <w:rsid w:val="000150EC"/>
    <w:rsid w:val="0001566D"/>
    <w:rsid w:val="00016147"/>
    <w:rsid w:val="00016584"/>
    <w:rsid w:val="000165FB"/>
    <w:rsid w:val="00017B68"/>
    <w:rsid w:val="00017CDD"/>
    <w:rsid w:val="0002034A"/>
    <w:rsid w:val="00020B8B"/>
    <w:rsid w:val="00021A08"/>
    <w:rsid w:val="000222BC"/>
    <w:rsid w:val="000225E0"/>
    <w:rsid w:val="000226AB"/>
    <w:rsid w:val="00022B88"/>
    <w:rsid w:val="00023035"/>
    <w:rsid w:val="00023E7B"/>
    <w:rsid w:val="00023FD8"/>
    <w:rsid w:val="0002445A"/>
    <w:rsid w:val="00024AA3"/>
    <w:rsid w:val="000251DD"/>
    <w:rsid w:val="0002520E"/>
    <w:rsid w:val="00026652"/>
    <w:rsid w:val="00026B24"/>
    <w:rsid w:val="00026E58"/>
    <w:rsid w:val="00027C97"/>
    <w:rsid w:val="00031CF3"/>
    <w:rsid w:val="000321D5"/>
    <w:rsid w:val="000329DE"/>
    <w:rsid w:val="00032FB3"/>
    <w:rsid w:val="00033371"/>
    <w:rsid w:val="00033583"/>
    <w:rsid w:val="00034ADD"/>
    <w:rsid w:val="000354F6"/>
    <w:rsid w:val="00035885"/>
    <w:rsid w:val="00036EA3"/>
    <w:rsid w:val="000375C6"/>
    <w:rsid w:val="00041952"/>
    <w:rsid w:val="000419AD"/>
    <w:rsid w:val="000421E7"/>
    <w:rsid w:val="000423E6"/>
    <w:rsid w:val="00043266"/>
    <w:rsid w:val="0004375C"/>
    <w:rsid w:val="000445C7"/>
    <w:rsid w:val="00046BF9"/>
    <w:rsid w:val="00046EBD"/>
    <w:rsid w:val="000473C5"/>
    <w:rsid w:val="00047563"/>
    <w:rsid w:val="00050264"/>
    <w:rsid w:val="000511DC"/>
    <w:rsid w:val="0005136D"/>
    <w:rsid w:val="00051905"/>
    <w:rsid w:val="0005266D"/>
    <w:rsid w:val="00052E0F"/>
    <w:rsid w:val="0005572E"/>
    <w:rsid w:val="000559FD"/>
    <w:rsid w:val="00055E71"/>
    <w:rsid w:val="00055F86"/>
    <w:rsid w:val="00056D20"/>
    <w:rsid w:val="00056E96"/>
    <w:rsid w:val="0006209B"/>
    <w:rsid w:val="00062314"/>
    <w:rsid w:val="00064C0F"/>
    <w:rsid w:val="00065274"/>
    <w:rsid w:val="00065F42"/>
    <w:rsid w:val="00065F4F"/>
    <w:rsid w:val="0006627D"/>
    <w:rsid w:val="0006766B"/>
    <w:rsid w:val="000678B9"/>
    <w:rsid w:val="00067DB5"/>
    <w:rsid w:val="000705A2"/>
    <w:rsid w:val="00070608"/>
    <w:rsid w:val="00071362"/>
    <w:rsid w:val="00071EDA"/>
    <w:rsid w:val="00072C94"/>
    <w:rsid w:val="00072EF3"/>
    <w:rsid w:val="00074536"/>
    <w:rsid w:val="000747A5"/>
    <w:rsid w:val="000749B3"/>
    <w:rsid w:val="000750D0"/>
    <w:rsid w:val="000765A6"/>
    <w:rsid w:val="00076C02"/>
    <w:rsid w:val="00076D2F"/>
    <w:rsid w:val="00080370"/>
    <w:rsid w:val="000809BA"/>
    <w:rsid w:val="00080D96"/>
    <w:rsid w:val="00082258"/>
    <w:rsid w:val="0008396E"/>
    <w:rsid w:val="000842E1"/>
    <w:rsid w:val="00084CA9"/>
    <w:rsid w:val="00084E16"/>
    <w:rsid w:val="00085394"/>
    <w:rsid w:val="0009043A"/>
    <w:rsid w:val="0009066F"/>
    <w:rsid w:val="00091057"/>
    <w:rsid w:val="000917B2"/>
    <w:rsid w:val="00091A51"/>
    <w:rsid w:val="0009233A"/>
    <w:rsid w:val="000932F1"/>
    <w:rsid w:val="000937CF"/>
    <w:rsid w:val="00094D73"/>
    <w:rsid w:val="00094D88"/>
    <w:rsid w:val="00094F66"/>
    <w:rsid w:val="00097B5A"/>
    <w:rsid w:val="000A065D"/>
    <w:rsid w:val="000A10DE"/>
    <w:rsid w:val="000A11C9"/>
    <w:rsid w:val="000A1CD3"/>
    <w:rsid w:val="000A23FE"/>
    <w:rsid w:val="000A2EF6"/>
    <w:rsid w:val="000A3C1F"/>
    <w:rsid w:val="000A40B3"/>
    <w:rsid w:val="000A6240"/>
    <w:rsid w:val="000A7716"/>
    <w:rsid w:val="000B0394"/>
    <w:rsid w:val="000B0A40"/>
    <w:rsid w:val="000B0BA3"/>
    <w:rsid w:val="000B15AB"/>
    <w:rsid w:val="000B1E7D"/>
    <w:rsid w:val="000B274E"/>
    <w:rsid w:val="000B30E4"/>
    <w:rsid w:val="000B33FD"/>
    <w:rsid w:val="000B3D2E"/>
    <w:rsid w:val="000B46BA"/>
    <w:rsid w:val="000B55ED"/>
    <w:rsid w:val="000B6717"/>
    <w:rsid w:val="000B72CA"/>
    <w:rsid w:val="000B7B3F"/>
    <w:rsid w:val="000B7F4E"/>
    <w:rsid w:val="000C10AA"/>
    <w:rsid w:val="000C14FE"/>
    <w:rsid w:val="000C2F0D"/>
    <w:rsid w:val="000C34A0"/>
    <w:rsid w:val="000C3553"/>
    <w:rsid w:val="000C46D3"/>
    <w:rsid w:val="000C4885"/>
    <w:rsid w:val="000C4B4B"/>
    <w:rsid w:val="000C5600"/>
    <w:rsid w:val="000C5D0C"/>
    <w:rsid w:val="000C6692"/>
    <w:rsid w:val="000C6931"/>
    <w:rsid w:val="000C7C68"/>
    <w:rsid w:val="000C7F2F"/>
    <w:rsid w:val="000D043D"/>
    <w:rsid w:val="000D0894"/>
    <w:rsid w:val="000D1A67"/>
    <w:rsid w:val="000D1E20"/>
    <w:rsid w:val="000D25F0"/>
    <w:rsid w:val="000D3A2F"/>
    <w:rsid w:val="000D533F"/>
    <w:rsid w:val="000D5BAA"/>
    <w:rsid w:val="000D6390"/>
    <w:rsid w:val="000D70BB"/>
    <w:rsid w:val="000E0595"/>
    <w:rsid w:val="000E0D12"/>
    <w:rsid w:val="000E0EE9"/>
    <w:rsid w:val="000E2752"/>
    <w:rsid w:val="000E2DFC"/>
    <w:rsid w:val="000E498D"/>
    <w:rsid w:val="000E5062"/>
    <w:rsid w:val="000E5857"/>
    <w:rsid w:val="000E5AF4"/>
    <w:rsid w:val="000E7149"/>
    <w:rsid w:val="000E7893"/>
    <w:rsid w:val="000E7F2E"/>
    <w:rsid w:val="000F04B7"/>
    <w:rsid w:val="000F1B34"/>
    <w:rsid w:val="000F1BD8"/>
    <w:rsid w:val="000F1DD5"/>
    <w:rsid w:val="000F242B"/>
    <w:rsid w:val="000F2AD8"/>
    <w:rsid w:val="000F2D73"/>
    <w:rsid w:val="000F37C0"/>
    <w:rsid w:val="000F38C1"/>
    <w:rsid w:val="000F5653"/>
    <w:rsid w:val="000F58F1"/>
    <w:rsid w:val="000F5D77"/>
    <w:rsid w:val="000F602D"/>
    <w:rsid w:val="000F65AF"/>
    <w:rsid w:val="000F6A20"/>
    <w:rsid w:val="000F7469"/>
    <w:rsid w:val="000F7740"/>
    <w:rsid w:val="000F7F94"/>
    <w:rsid w:val="00100464"/>
    <w:rsid w:val="00100685"/>
    <w:rsid w:val="0010097A"/>
    <w:rsid w:val="00100A40"/>
    <w:rsid w:val="0010344A"/>
    <w:rsid w:val="001035AF"/>
    <w:rsid w:val="00105359"/>
    <w:rsid w:val="001064BF"/>
    <w:rsid w:val="00106EF7"/>
    <w:rsid w:val="0010766B"/>
    <w:rsid w:val="00110CC4"/>
    <w:rsid w:val="00110EE7"/>
    <w:rsid w:val="00111E70"/>
    <w:rsid w:val="001125E5"/>
    <w:rsid w:val="001131C7"/>
    <w:rsid w:val="00113A92"/>
    <w:rsid w:val="00113E82"/>
    <w:rsid w:val="00114678"/>
    <w:rsid w:val="0011713E"/>
    <w:rsid w:val="0012078B"/>
    <w:rsid w:val="00121A37"/>
    <w:rsid w:val="0012319C"/>
    <w:rsid w:val="00123ACD"/>
    <w:rsid w:val="00123BFB"/>
    <w:rsid w:val="00123C7D"/>
    <w:rsid w:val="00124039"/>
    <w:rsid w:val="00125790"/>
    <w:rsid w:val="00126520"/>
    <w:rsid w:val="00126D1B"/>
    <w:rsid w:val="001275F5"/>
    <w:rsid w:val="001276D1"/>
    <w:rsid w:val="00130D28"/>
    <w:rsid w:val="00131998"/>
    <w:rsid w:val="00132ABB"/>
    <w:rsid w:val="00133015"/>
    <w:rsid w:val="00133EF0"/>
    <w:rsid w:val="00135308"/>
    <w:rsid w:val="001355D8"/>
    <w:rsid w:val="00135D3C"/>
    <w:rsid w:val="0013691C"/>
    <w:rsid w:val="00136D35"/>
    <w:rsid w:val="00137428"/>
    <w:rsid w:val="0013756D"/>
    <w:rsid w:val="001406E9"/>
    <w:rsid w:val="00140D41"/>
    <w:rsid w:val="00141A7B"/>
    <w:rsid w:val="00141D56"/>
    <w:rsid w:val="001427CB"/>
    <w:rsid w:val="001433DC"/>
    <w:rsid w:val="00143CFE"/>
    <w:rsid w:val="0014439A"/>
    <w:rsid w:val="00145CEA"/>
    <w:rsid w:val="00146476"/>
    <w:rsid w:val="001468C8"/>
    <w:rsid w:val="00147130"/>
    <w:rsid w:val="00147410"/>
    <w:rsid w:val="00147AD1"/>
    <w:rsid w:val="00150EF0"/>
    <w:rsid w:val="0015199F"/>
    <w:rsid w:val="00152CD0"/>
    <w:rsid w:val="00152DFA"/>
    <w:rsid w:val="00153F54"/>
    <w:rsid w:val="001546AF"/>
    <w:rsid w:val="00154E0E"/>
    <w:rsid w:val="00154EDA"/>
    <w:rsid w:val="00156801"/>
    <w:rsid w:val="0015750F"/>
    <w:rsid w:val="00161095"/>
    <w:rsid w:val="001639A5"/>
    <w:rsid w:val="00170B22"/>
    <w:rsid w:val="00171B8A"/>
    <w:rsid w:val="00172CBA"/>
    <w:rsid w:val="00172EF0"/>
    <w:rsid w:val="00173AF2"/>
    <w:rsid w:val="00173CE7"/>
    <w:rsid w:val="00174464"/>
    <w:rsid w:val="00175215"/>
    <w:rsid w:val="00177C74"/>
    <w:rsid w:val="00180A42"/>
    <w:rsid w:val="00180F4E"/>
    <w:rsid w:val="00181B7D"/>
    <w:rsid w:val="001825D1"/>
    <w:rsid w:val="0018318E"/>
    <w:rsid w:val="0018369B"/>
    <w:rsid w:val="00184460"/>
    <w:rsid w:val="00184D2E"/>
    <w:rsid w:val="001850ED"/>
    <w:rsid w:val="001858E8"/>
    <w:rsid w:val="00185F46"/>
    <w:rsid w:val="001860A6"/>
    <w:rsid w:val="001861BA"/>
    <w:rsid w:val="00186289"/>
    <w:rsid w:val="00186993"/>
    <w:rsid w:val="00187632"/>
    <w:rsid w:val="00187CC7"/>
    <w:rsid w:val="00190048"/>
    <w:rsid w:val="00192AEF"/>
    <w:rsid w:val="001938DC"/>
    <w:rsid w:val="0019529E"/>
    <w:rsid w:val="001957D3"/>
    <w:rsid w:val="00195858"/>
    <w:rsid w:val="00196E7C"/>
    <w:rsid w:val="001A0005"/>
    <w:rsid w:val="001A0502"/>
    <w:rsid w:val="001A2B48"/>
    <w:rsid w:val="001A46D0"/>
    <w:rsid w:val="001A4DCA"/>
    <w:rsid w:val="001A4E10"/>
    <w:rsid w:val="001A55D8"/>
    <w:rsid w:val="001A57DC"/>
    <w:rsid w:val="001A7873"/>
    <w:rsid w:val="001B2608"/>
    <w:rsid w:val="001B4227"/>
    <w:rsid w:val="001B45FD"/>
    <w:rsid w:val="001B542C"/>
    <w:rsid w:val="001B57ED"/>
    <w:rsid w:val="001B5F8F"/>
    <w:rsid w:val="001B7725"/>
    <w:rsid w:val="001C021C"/>
    <w:rsid w:val="001C20AD"/>
    <w:rsid w:val="001C319C"/>
    <w:rsid w:val="001C379E"/>
    <w:rsid w:val="001C3BBE"/>
    <w:rsid w:val="001C40BC"/>
    <w:rsid w:val="001C4420"/>
    <w:rsid w:val="001C4C5D"/>
    <w:rsid w:val="001C68D5"/>
    <w:rsid w:val="001C6C6F"/>
    <w:rsid w:val="001D1798"/>
    <w:rsid w:val="001D2B62"/>
    <w:rsid w:val="001D3270"/>
    <w:rsid w:val="001D45BA"/>
    <w:rsid w:val="001D55CD"/>
    <w:rsid w:val="001D7718"/>
    <w:rsid w:val="001D79FF"/>
    <w:rsid w:val="001E0BF9"/>
    <w:rsid w:val="001E117F"/>
    <w:rsid w:val="001E1B68"/>
    <w:rsid w:val="001E2122"/>
    <w:rsid w:val="001E2910"/>
    <w:rsid w:val="001E2DD1"/>
    <w:rsid w:val="001E3432"/>
    <w:rsid w:val="001E3A74"/>
    <w:rsid w:val="001E3DB2"/>
    <w:rsid w:val="001E5E80"/>
    <w:rsid w:val="001E6833"/>
    <w:rsid w:val="001E71A7"/>
    <w:rsid w:val="001F01D8"/>
    <w:rsid w:val="001F152E"/>
    <w:rsid w:val="001F2343"/>
    <w:rsid w:val="001F3D5A"/>
    <w:rsid w:val="001F3D5E"/>
    <w:rsid w:val="001F3F83"/>
    <w:rsid w:val="001F4A60"/>
    <w:rsid w:val="001F579A"/>
    <w:rsid w:val="001F6870"/>
    <w:rsid w:val="001F6C4D"/>
    <w:rsid w:val="0020027C"/>
    <w:rsid w:val="00200922"/>
    <w:rsid w:val="00200A6E"/>
    <w:rsid w:val="00201488"/>
    <w:rsid w:val="002024AF"/>
    <w:rsid w:val="002024F1"/>
    <w:rsid w:val="00204A65"/>
    <w:rsid w:val="00204C1F"/>
    <w:rsid w:val="002054B9"/>
    <w:rsid w:val="002061CF"/>
    <w:rsid w:val="0020624F"/>
    <w:rsid w:val="00206D90"/>
    <w:rsid w:val="0020777E"/>
    <w:rsid w:val="002129B6"/>
    <w:rsid w:val="002137AC"/>
    <w:rsid w:val="0021720E"/>
    <w:rsid w:val="0022007B"/>
    <w:rsid w:val="002206B3"/>
    <w:rsid w:val="00221195"/>
    <w:rsid w:val="00221E4E"/>
    <w:rsid w:val="002231CE"/>
    <w:rsid w:val="00224483"/>
    <w:rsid w:val="002245D9"/>
    <w:rsid w:val="00224D05"/>
    <w:rsid w:val="00225378"/>
    <w:rsid w:val="00226FBB"/>
    <w:rsid w:val="00227055"/>
    <w:rsid w:val="00230A82"/>
    <w:rsid w:val="00232085"/>
    <w:rsid w:val="00232DA7"/>
    <w:rsid w:val="00233FFA"/>
    <w:rsid w:val="002345E0"/>
    <w:rsid w:val="0023517C"/>
    <w:rsid w:val="002358C1"/>
    <w:rsid w:val="00235FB7"/>
    <w:rsid w:val="002364E9"/>
    <w:rsid w:val="002371AD"/>
    <w:rsid w:val="00237238"/>
    <w:rsid w:val="00241EB9"/>
    <w:rsid w:val="00242933"/>
    <w:rsid w:val="00242CA4"/>
    <w:rsid w:val="00245117"/>
    <w:rsid w:val="0024641E"/>
    <w:rsid w:val="002465C6"/>
    <w:rsid w:val="00246807"/>
    <w:rsid w:val="00246E74"/>
    <w:rsid w:val="0024709B"/>
    <w:rsid w:val="00247716"/>
    <w:rsid w:val="0025026F"/>
    <w:rsid w:val="00250952"/>
    <w:rsid w:val="00251305"/>
    <w:rsid w:val="002516CD"/>
    <w:rsid w:val="00252686"/>
    <w:rsid w:val="00253A5A"/>
    <w:rsid w:val="00254BDD"/>
    <w:rsid w:val="00255D6E"/>
    <w:rsid w:val="00257045"/>
    <w:rsid w:val="00257FFD"/>
    <w:rsid w:val="002609BB"/>
    <w:rsid w:val="0026141D"/>
    <w:rsid w:val="00261475"/>
    <w:rsid w:val="002623ED"/>
    <w:rsid w:val="00263226"/>
    <w:rsid w:val="002640E7"/>
    <w:rsid w:val="00264417"/>
    <w:rsid w:val="0026451F"/>
    <w:rsid w:val="00264B96"/>
    <w:rsid w:val="002650DC"/>
    <w:rsid w:val="00265B58"/>
    <w:rsid w:val="002660D1"/>
    <w:rsid w:val="0026615E"/>
    <w:rsid w:val="00266DE1"/>
    <w:rsid w:val="00267323"/>
    <w:rsid w:val="00267554"/>
    <w:rsid w:val="002708F2"/>
    <w:rsid w:val="002710C7"/>
    <w:rsid w:val="002711A1"/>
    <w:rsid w:val="00272BB1"/>
    <w:rsid w:val="00273D51"/>
    <w:rsid w:val="002740F2"/>
    <w:rsid w:val="002749A3"/>
    <w:rsid w:val="0027557F"/>
    <w:rsid w:val="00282B33"/>
    <w:rsid w:val="00282E75"/>
    <w:rsid w:val="00283172"/>
    <w:rsid w:val="00285DD3"/>
    <w:rsid w:val="002872CA"/>
    <w:rsid w:val="00287A56"/>
    <w:rsid w:val="00291BA4"/>
    <w:rsid w:val="00293CBD"/>
    <w:rsid w:val="002A1E80"/>
    <w:rsid w:val="002A214E"/>
    <w:rsid w:val="002A229B"/>
    <w:rsid w:val="002A2498"/>
    <w:rsid w:val="002A2D70"/>
    <w:rsid w:val="002A36F6"/>
    <w:rsid w:val="002A3AFC"/>
    <w:rsid w:val="002A3F10"/>
    <w:rsid w:val="002A593D"/>
    <w:rsid w:val="002A6A43"/>
    <w:rsid w:val="002A6AB2"/>
    <w:rsid w:val="002A7699"/>
    <w:rsid w:val="002A773C"/>
    <w:rsid w:val="002A7924"/>
    <w:rsid w:val="002A7972"/>
    <w:rsid w:val="002B0720"/>
    <w:rsid w:val="002B267E"/>
    <w:rsid w:val="002B2C4A"/>
    <w:rsid w:val="002B2ED5"/>
    <w:rsid w:val="002B3B65"/>
    <w:rsid w:val="002B3D05"/>
    <w:rsid w:val="002B66E0"/>
    <w:rsid w:val="002B6FC5"/>
    <w:rsid w:val="002C102A"/>
    <w:rsid w:val="002C18E7"/>
    <w:rsid w:val="002C1FFD"/>
    <w:rsid w:val="002C2F52"/>
    <w:rsid w:val="002C3128"/>
    <w:rsid w:val="002C3468"/>
    <w:rsid w:val="002C3791"/>
    <w:rsid w:val="002C3E03"/>
    <w:rsid w:val="002C5103"/>
    <w:rsid w:val="002C5953"/>
    <w:rsid w:val="002C6388"/>
    <w:rsid w:val="002C707C"/>
    <w:rsid w:val="002C7E63"/>
    <w:rsid w:val="002D05A9"/>
    <w:rsid w:val="002D0BDA"/>
    <w:rsid w:val="002D16B1"/>
    <w:rsid w:val="002D1E31"/>
    <w:rsid w:val="002D2590"/>
    <w:rsid w:val="002D2A82"/>
    <w:rsid w:val="002D3189"/>
    <w:rsid w:val="002D35A5"/>
    <w:rsid w:val="002D42B3"/>
    <w:rsid w:val="002D518E"/>
    <w:rsid w:val="002D6C04"/>
    <w:rsid w:val="002D6C33"/>
    <w:rsid w:val="002D72EE"/>
    <w:rsid w:val="002E0A03"/>
    <w:rsid w:val="002E22EF"/>
    <w:rsid w:val="002E5844"/>
    <w:rsid w:val="002E68F9"/>
    <w:rsid w:val="002E6A77"/>
    <w:rsid w:val="002E73F3"/>
    <w:rsid w:val="002F0001"/>
    <w:rsid w:val="002F035F"/>
    <w:rsid w:val="002F1148"/>
    <w:rsid w:val="002F1540"/>
    <w:rsid w:val="002F240C"/>
    <w:rsid w:val="002F2F33"/>
    <w:rsid w:val="002F3CB9"/>
    <w:rsid w:val="002F4F8F"/>
    <w:rsid w:val="002F6AFD"/>
    <w:rsid w:val="00300D03"/>
    <w:rsid w:val="00300F41"/>
    <w:rsid w:val="00301675"/>
    <w:rsid w:val="00301D6F"/>
    <w:rsid w:val="003025EF"/>
    <w:rsid w:val="00303D15"/>
    <w:rsid w:val="00303E9B"/>
    <w:rsid w:val="0030463E"/>
    <w:rsid w:val="00304AA8"/>
    <w:rsid w:val="00304AE5"/>
    <w:rsid w:val="0030506D"/>
    <w:rsid w:val="00305DFB"/>
    <w:rsid w:val="003064DB"/>
    <w:rsid w:val="003066AA"/>
    <w:rsid w:val="0031041C"/>
    <w:rsid w:val="003104D1"/>
    <w:rsid w:val="00310A7E"/>
    <w:rsid w:val="00311A94"/>
    <w:rsid w:val="0031226D"/>
    <w:rsid w:val="0031273F"/>
    <w:rsid w:val="00313306"/>
    <w:rsid w:val="00314475"/>
    <w:rsid w:val="003152F5"/>
    <w:rsid w:val="00315E16"/>
    <w:rsid w:val="00316DDC"/>
    <w:rsid w:val="00316EDB"/>
    <w:rsid w:val="0031702B"/>
    <w:rsid w:val="00317077"/>
    <w:rsid w:val="003171DC"/>
    <w:rsid w:val="00321273"/>
    <w:rsid w:val="00321290"/>
    <w:rsid w:val="003213EF"/>
    <w:rsid w:val="003216F0"/>
    <w:rsid w:val="00321FFE"/>
    <w:rsid w:val="003233D2"/>
    <w:rsid w:val="0032516B"/>
    <w:rsid w:val="00325C6A"/>
    <w:rsid w:val="00326813"/>
    <w:rsid w:val="00326FAA"/>
    <w:rsid w:val="00327296"/>
    <w:rsid w:val="0033047C"/>
    <w:rsid w:val="0033174F"/>
    <w:rsid w:val="00331A27"/>
    <w:rsid w:val="00331E8B"/>
    <w:rsid w:val="00331EF0"/>
    <w:rsid w:val="0033263C"/>
    <w:rsid w:val="00334864"/>
    <w:rsid w:val="00334F70"/>
    <w:rsid w:val="00337AF4"/>
    <w:rsid w:val="00337BE6"/>
    <w:rsid w:val="00337E34"/>
    <w:rsid w:val="00340357"/>
    <w:rsid w:val="00340952"/>
    <w:rsid w:val="003422FF"/>
    <w:rsid w:val="003423BB"/>
    <w:rsid w:val="003429D5"/>
    <w:rsid w:val="003431E3"/>
    <w:rsid w:val="00343A31"/>
    <w:rsid w:val="0034418A"/>
    <w:rsid w:val="00344F0D"/>
    <w:rsid w:val="00345342"/>
    <w:rsid w:val="003478B4"/>
    <w:rsid w:val="0035068A"/>
    <w:rsid w:val="00351481"/>
    <w:rsid w:val="00351B0F"/>
    <w:rsid w:val="00351E0B"/>
    <w:rsid w:val="00352CC0"/>
    <w:rsid w:val="003530F3"/>
    <w:rsid w:val="0035338C"/>
    <w:rsid w:val="00353473"/>
    <w:rsid w:val="00354F49"/>
    <w:rsid w:val="00355F3A"/>
    <w:rsid w:val="003578BB"/>
    <w:rsid w:val="00361827"/>
    <w:rsid w:val="003623DC"/>
    <w:rsid w:val="003631AA"/>
    <w:rsid w:val="00363B63"/>
    <w:rsid w:val="00365345"/>
    <w:rsid w:val="00366CAC"/>
    <w:rsid w:val="00367118"/>
    <w:rsid w:val="00367EAF"/>
    <w:rsid w:val="00370776"/>
    <w:rsid w:val="0037216C"/>
    <w:rsid w:val="0037355A"/>
    <w:rsid w:val="003739AB"/>
    <w:rsid w:val="00373B9B"/>
    <w:rsid w:val="00373CD9"/>
    <w:rsid w:val="00375E7F"/>
    <w:rsid w:val="003764BC"/>
    <w:rsid w:val="00376F6A"/>
    <w:rsid w:val="003775EA"/>
    <w:rsid w:val="003778E3"/>
    <w:rsid w:val="003802C2"/>
    <w:rsid w:val="0038046C"/>
    <w:rsid w:val="00380562"/>
    <w:rsid w:val="0038056A"/>
    <w:rsid w:val="00380E1E"/>
    <w:rsid w:val="0038205D"/>
    <w:rsid w:val="003921CD"/>
    <w:rsid w:val="00393704"/>
    <w:rsid w:val="00393F6B"/>
    <w:rsid w:val="00395785"/>
    <w:rsid w:val="00395A13"/>
    <w:rsid w:val="00395C9C"/>
    <w:rsid w:val="00395DC0"/>
    <w:rsid w:val="00396DCF"/>
    <w:rsid w:val="00396F7A"/>
    <w:rsid w:val="00397992"/>
    <w:rsid w:val="00397F02"/>
    <w:rsid w:val="003A050D"/>
    <w:rsid w:val="003A0772"/>
    <w:rsid w:val="003A0C6F"/>
    <w:rsid w:val="003A0F24"/>
    <w:rsid w:val="003A109D"/>
    <w:rsid w:val="003A2563"/>
    <w:rsid w:val="003A5373"/>
    <w:rsid w:val="003A5E44"/>
    <w:rsid w:val="003A7BF5"/>
    <w:rsid w:val="003B0474"/>
    <w:rsid w:val="003B073A"/>
    <w:rsid w:val="003B13E3"/>
    <w:rsid w:val="003B177B"/>
    <w:rsid w:val="003B3907"/>
    <w:rsid w:val="003B40DE"/>
    <w:rsid w:val="003B480C"/>
    <w:rsid w:val="003B4A1E"/>
    <w:rsid w:val="003B4B43"/>
    <w:rsid w:val="003B4E0C"/>
    <w:rsid w:val="003B4F64"/>
    <w:rsid w:val="003B62FE"/>
    <w:rsid w:val="003B6A0C"/>
    <w:rsid w:val="003B764D"/>
    <w:rsid w:val="003B76E0"/>
    <w:rsid w:val="003B77BF"/>
    <w:rsid w:val="003B7AAC"/>
    <w:rsid w:val="003B7ACB"/>
    <w:rsid w:val="003B7F84"/>
    <w:rsid w:val="003C011C"/>
    <w:rsid w:val="003C0D05"/>
    <w:rsid w:val="003C0D09"/>
    <w:rsid w:val="003C1F9B"/>
    <w:rsid w:val="003C5D56"/>
    <w:rsid w:val="003C63E0"/>
    <w:rsid w:val="003C70C0"/>
    <w:rsid w:val="003C7485"/>
    <w:rsid w:val="003D0784"/>
    <w:rsid w:val="003D0A48"/>
    <w:rsid w:val="003D0D34"/>
    <w:rsid w:val="003D2310"/>
    <w:rsid w:val="003D2687"/>
    <w:rsid w:val="003D26DD"/>
    <w:rsid w:val="003D2D53"/>
    <w:rsid w:val="003D2E19"/>
    <w:rsid w:val="003D30B4"/>
    <w:rsid w:val="003D38F1"/>
    <w:rsid w:val="003D5CA3"/>
    <w:rsid w:val="003D5FAA"/>
    <w:rsid w:val="003E054E"/>
    <w:rsid w:val="003E0D33"/>
    <w:rsid w:val="003E1112"/>
    <w:rsid w:val="003E3A41"/>
    <w:rsid w:val="003E5092"/>
    <w:rsid w:val="003E63A6"/>
    <w:rsid w:val="003E6414"/>
    <w:rsid w:val="003E67ED"/>
    <w:rsid w:val="003E72C1"/>
    <w:rsid w:val="003F00D8"/>
    <w:rsid w:val="003F64F0"/>
    <w:rsid w:val="003F7CF3"/>
    <w:rsid w:val="004002ED"/>
    <w:rsid w:val="00400306"/>
    <w:rsid w:val="00401BB4"/>
    <w:rsid w:val="00401BD8"/>
    <w:rsid w:val="004027B6"/>
    <w:rsid w:val="004030C5"/>
    <w:rsid w:val="00403CFF"/>
    <w:rsid w:val="004040D4"/>
    <w:rsid w:val="00405580"/>
    <w:rsid w:val="00405ADF"/>
    <w:rsid w:val="004067B9"/>
    <w:rsid w:val="00407961"/>
    <w:rsid w:val="00410276"/>
    <w:rsid w:val="00411702"/>
    <w:rsid w:val="00412EB9"/>
    <w:rsid w:val="004134C3"/>
    <w:rsid w:val="00414341"/>
    <w:rsid w:val="00414770"/>
    <w:rsid w:val="00415F71"/>
    <w:rsid w:val="004161B4"/>
    <w:rsid w:val="004173C0"/>
    <w:rsid w:val="0042164D"/>
    <w:rsid w:val="00421B24"/>
    <w:rsid w:val="00422122"/>
    <w:rsid w:val="004225A4"/>
    <w:rsid w:val="004237AF"/>
    <w:rsid w:val="00423DD1"/>
    <w:rsid w:val="00424692"/>
    <w:rsid w:val="00425581"/>
    <w:rsid w:val="00426006"/>
    <w:rsid w:val="00426143"/>
    <w:rsid w:val="00426BE6"/>
    <w:rsid w:val="00426D1D"/>
    <w:rsid w:val="00426EDB"/>
    <w:rsid w:val="00430BD0"/>
    <w:rsid w:val="00430CCA"/>
    <w:rsid w:val="00430F94"/>
    <w:rsid w:val="0043139E"/>
    <w:rsid w:val="004319AC"/>
    <w:rsid w:val="00431A9F"/>
    <w:rsid w:val="0043296F"/>
    <w:rsid w:val="00432CD6"/>
    <w:rsid w:val="00433475"/>
    <w:rsid w:val="00433D5D"/>
    <w:rsid w:val="004368EE"/>
    <w:rsid w:val="00436E01"/>
    <w:rsid w:val="00437A70"/>
    <w:rsid w:val="00440F79"/>
    <w:rsid w:val="00442B55"/>
    <w:rsid w:val="00444EAA"/>
    <w:rsid w:val="0044566D"/>
    <w:rsid w:val="00450D68"/>
    <w:rsid w:val="004522F7"/>
    <w:rsid w:val="0045329F"/>
    <w:rsid w:val="00453C7B"/>
    <w:rsid w:val="0045686C"/>
    <w:rsid w:val="0045760F"/>
    <w:rsid w:val="00457B76"/>
    <w:rsid w:val="004602B8"/>
    <w:rsid w:val="0046042F"/>
    <w:rsid w:val="00460B7A"/>
    <w:rsid w:val="004621BC"/>
    <w:rsid w:val="00463A50"/>
    <w:rsid w:val="00463BFB"/>
    <w:rsid w:val="00464532"/>
    <w:rsid w:val="00465041"/>
    <w:rsid w:val="0046706F"/>
    <w:rsid w:val="0046745A"/>
    <w:rsid w:val="004709EF"/>
    <w:rsid w:val="004717D2"/>
    <w:rsid w:val="00472F30"/>
    <w:rsid w:val="00473CBA"/>
    <w:rsid w:val="00474BD9"/>
    <w:rsid w:val="00474EAC"/>
    <w:rsid w:val="00475350"/>
    <w:rsid w:val="0047553F"/>
    <w:rsid w:val="004766C1"/>
    <w:rsid w:val="00477AD7"/>
    <w:rsid w:val="00477F64"/>
    <w:rsid w:val="004805BE"/>
    <w:rsid w:val="00480B59"/>
    <w:rsid w:val="00481797"/>
    <w:rsid w:val="00481C5A"/>
    <w:rsid w:val="00481C78"/>
    <w:rsid w:val="004820DB"/>
    <w:rsid w:val="00482401"/>
    <w:rsid w:val="00482F12"/>
    <w:rsid w:val="00483208"/>
    <w:rsid w:val="004846CF"/>
    <w:rsid w:val="004853F7"/>
    <w:rsid w:val="00485509"/>
    <w:rsid w:val="00486B34"/>
    <w:rsid w:val="00490A9F"/>
    <w:rsid w:val="004915BC"/>
    <w:rsid w:val="004917B5"/>
    <w:rsid w:val="004921DA"/>
    <w:rsid w:val="00495175"/>
    <w:rsid w:val="0049556E"/>
    <w:rsid w:val="00495AD7"/>
    <w:rsid w:val="00496AAF"/>
    <w:rsid w:val="00496D79"/>
    <w:rsid w:val="00497181"/>
    <w:rsid w:val="0049756B"/>
    <w:rsid w:val="004976E4"/>
    <w:rsid w:val="004979E1"/>
    <w:rsid w:val="004A10E5"/>
    <w:rsid w:val="004A15A6"/>
    <w:rsid w:val="004A1D49"/>
    <w:rsid w:val="004A26AB"/>
    <w:rsid w:val="004A2A78"/>
    <w:rsid w:val="004A410D"/>
    <w:rsid w:val="004A495A"/>
    <w:rsid w:val="004A4C50"/>
    <w:rsid w:val="004A5F1B"/>
    <w:rsid w:val="004A5FC9"/>
    <w:rsid w:val="004A6E0F"/>
    <w:rsid w:val="004A7039"/>
    <w:rsid w:val="004B030F"/>
    <w:rsid w:val="004B0AB0"/>
    <w:rsid w:val="004B185F"/>
    <w:rsid w:val="004B1AE4"/>
    <w:rsid w:val="004B29B1"/>
    <w:rsid w:val="004B48D6"/>
    <w:rsid w:val="004B67E4"/>
    <w:rsid w:val="004B6BCD"/>
    <w:rsid w:val="004B6CB0"/>
    <w:rsid w:val="004B70A6"/>
    <w:rsid w:val="004B76C0"/>
    <w:rsid w:val="004B7E26"/>
    <w:rsid w:val="004C0545"/>
    <w:rsid w:val="004C081C"/>
    <w:rsid w:val="004C21EC"/>
    <w:rsid w:val="004C25A4"/>
    <w:rsid w:val="004C40D0"/>
    <w:rsid w:val="004C40DB"/>
    <w:rsid w:val="004C5ECA"/>
    <w:rsid w:val="004C64AF"/>
    <w:rsid w:val="004C6591"/>
    <w:rsid w:val="004C6944"/>
    <w:rsid w:val="004C6ED7"/>
    <w:rsid w:val="004C6EDF"/>
    <w:rsid w:val="004C6F2F"/>
    <w:rsid w:val="004C7B49"/>
    <w:rsid w:val="004D053E"/>
    <w:rsid w:val="004D22AF"/>
    <w:rsid w:val="004D2CBE"/>
    <w:rsid w:val="004D56CE"/>
    <w:rsid w:val="004D5F10"/>
    <w:rsid w:val="004D62A0"/>
    <w:rsid w:val="004D6C29"/>
    <w:rsid w:val="004D7B63"/>
    <w:rsid w:val="004E36B1"/>
    <w:rsid w:val="004E3DCF"/>
    <w:rsid w:val="004E6AE5"/>
    <w:rsid w:val="004E7192"/>
    <w:rsid w:val="004E7745"/>
    <w:rsid w:val="004E7A6B"/>
    <w:rsid w:val="004F00D5"/>
    <w:rsid w:val="004F06E0"/>
    <w:rsid w:val="004F150B"/>
    <w:rsid w:val="004F2BE2"/>
    <w:rsid w:val="004F3B17"/>
    <w:rsid w:val="004F3B7C"/>
    <w:rsid w:val="004F3E04"/>
    <w:rsid w:val="004F4065"/>
    <w:rsid w:val="004F6900"/>
    <w:rsid w:val="004F7857"/>
    <w:rsid w:val="004F7AFC"/>
    <w:rsid w:val="00500412"/>
    <w:rsid w:val="0050125C"/>
    <w:rsid w:val="00502543"/>
    <w:rsid w:val="00502DBB"/>
    <w:rsid w:val="00510766"/>
    <w:rsid w:val="00510C86"/>
    <w:rsid w:val="00511482"/>
    <w:rsid w:val="00513954"/>
    <w:rsid w:val="00513C33"/>
    <w:rsid w:val="00514E45"/>
    <w:rsid w:val="005157D1"/>
    <w:rsid w:val="005158D4"/>
    <w:rsid w:val="00515B43"/>
    <w:rsid w:val="0051622D"/>
    <w:rsid w:val="00517735"/>
    <w:rsid w:val="00522EC6"/>
    <w:rsid w:val="00523E3B"/>
    <w:rsid w:val="005252CA"/>
    <w:rsid w:val="0052557E"/>
    <w:rsid w:val="00525C76"/>
    <w:rsid w:val="005260D6"/>
    <w:rsid w:val="00527271"/>
    <w:rsid w:val="0053039F"/>
    <w:rsid w:val="00530C62"/>
    <w:rsid w:val="00531976"/>
    <w:rsid w:val="00531D65"/>
    <w:rsid w:val="0053206C"/>
    <w:rsid w:val="00533CF6"/>
    <w:rsid w:val="00534C15"/>
    <w:rsid w:val="0053537A"/>
    <w:rsid w:val="0053572A"/>
    <w:rsid w:val="00535FB0"/>
    <w:rsid w:val="00540567"/>
    <w:rsid w:val="005405C5"/>
    <w:rsid w:val="00540600"/>
    <w:rsid w:val="00540964"/>
    <w:rsid w:val="0054096C"/>
    <w:rsid w:val="00540E8D"/>
    <w:rsid w:val="00541397"/>
    <w:rsid w:val="00541F51"/>
    <w:rsid w:val="005425B3"/>
    <w:rsid w:val="0054266A"/>
    <w:rsid w:val="005426D7"/>
    <w:rsid w:val="0054605B"/>
    <w:rsid w:val="00546604"/>
    <w:rsid w:val="00546CD3"/>
    <w:rsid w:val="00547B17"/>
    <w:rsid w:val="005505B8"/>
    <w:rsid w:val="005510A3"/>
    <w:rsid w:val="00552B64"/>
    <w:rsid w:val="00553304"/>
    <w:rsid w:val="00553B6A"/>
    <w:rsid w:val="005542E9"/>
    <w:rsid w:val="00556770"/>
    <w:rsid w:val="005567D1"/>
    <w:rsid w:val="00556B4F"/>
    <w:rsid w:val="00556EFA"/>
    <w:rsid w:val="005571E3"/>
    <w:rsid w:val="00560A17"/>
    <w:rsid w:val="00561FC6"/>
    <w:rsid w:val="00562EE2"/>
    <w:rsid w:val="00564621"/>
    <w:rsid w:val="00566574"/>
    <w:rsid w:val="0056730D"/>
    <w:rsid w:val="00567327"/>
    <w:rsid w:val="005679DF"/>
    <w:rsid w:val="00570754"/>
    <w:rsid w:val="00570ABE"/>
    <w:rsid w:val="00570C33"/>
    <w:rsid w:val="00570D1C"/>
    <w:rsid w:val="00573127"/>
    <w:rsid w:val="005733BF"/>
    <w:rsid w:val="0057673C"/>
    <w:rsid w:val="0058326C"/>
    <w:rsid w:val="00583392"/>
    <w:rsid w:val="00584CB0"/>
    <w:rsid w:val="005852DA"/>
    <w:rsid w:val="0058552F"/>
    <w:rsid w:val="0058571E"/>
    <w:rsid w:val="0058576A"/>
    <w:rsid w:val="0058582D"/>
    <w:rsid w:val="005861BD"/>
    <w:rsid w:val="00587BA1"/>
    <w:rsid w:val="00590C67"/>
    <w:rsid w:val="00590E1A"/>
    <w:rsid w:val="00590FDE"/>
    <w:rsid w:val="005931D8"/>
    <w:rsid w:val="0059374D"/>
    <w:rsid w:val="0059398C"/>
    <w:rsid w:val="00593B5C"/>
    <w:rsid w:val="0059443F"/>
    <w:rsid w:val="005946CB"/>
    <w:rsid w:val="00594BE0"/>
    <w:rsid w:val="005955C2"/>
    <w:rsid w:val="00595A82"/>
    <w:rsid w:val="00595E43"/>
    <w:rsid w:val="00595FEF"/>
    <w:rsid w:val="0059600A"/>
    <w:rsid w:val="005962C5"/>
    <w:rsid w:val="005968B3"/>
    <w:rsid w:val="00596E2F"/>
    <w:rsid w:val="00596EC9"/>
    <w:rsid w:val="005976DC"/>
    <w:rsid w:val="00597C5A"/>
    <w:rsid w:val="005A0F28"/>
    <w:rsid w:val="005A1E50"/>
    <w:rsid w:val="005A2566"/>
    <w:rsid w:val="005A3A28"/>
    <w:rsid w:val="005A3E5D"/>
    <w:rsid w:val="005A3F8C"/>
    <w:rsid w:val="005A41DF"/>
    <w:rsid w:val="005A4593"/>
    <w:rsid w:val="005A4EA2"/>
    <w:rsid w:val="005A5360"/>
    <w:rsid w:val="005A5AF9"/>
    <w:rsid w:val="005A5CCF"/>
    <w:rsid w:val="005A5DFD"/>
    <w:rsid w:val="005A5F70"/>
    <w:rsid w:val="005A6BD4"/>
    <w:rsid w:val="005A6C57"/>
    <w:rsid w:val="005B10E5"/>
    <w:rsid w:val="005B2297"/>
    <w:rsid w:val="005B34CA"/>
    <w:rsid w:val="005B5798"/>
    <w:rsid w:val="005B61D6"/>
    <w:rsid w:val="005B6ECF"/>
    <w:rsid w:val="005B72B0"/>
    <w:rsid w:val="005B7444"/>
    <w:rsid w:val="005C0168"/>
    <w:rsid w:val="005C491F"/>
    <w:rsid w:val="005C4A45"/>
    <w:rsid w:val="005C52C3"/>
    <w:rsid w:val="005C6244"/>
    <w:rsid w:val="005C7475"/>
    <w:rsid w:val="005C7A09"/>
    <w:rsid w:val="005D0ABB"/>
    <w:rsid w:val="005D1337"/>
    <w:rsid w:val="005D14AA"/>
    <w:rsid w:val="005D490B"/>
    <w:rsid w:val="005D6099"/>
    <w:rsid w:val="005E045F"/>
    <w:rsid w:val="005E21A7"/>
    <w:rsid w:val="005E25FD"/>
    <w:rsid w:val="005E3CBA"/>
    <w:rsid w:val="005E483E"/>
    <w:rsid w:val="005E56E4"/>
    <w:rsid w:val="005E58C5"/>
    <w:rsid w:val="005E6190"/>
    <w:rsid w:val="005E671D"/>
    <w:rsid w:val="005E67AC"/>
    <w:rsid w:val="005E7028"/>
    <w:rsid w:val="005F0DD8"/>
    <w:rsid w:val="005F2CFD"/>
    <w:rsid w:val="005F2F51"/>
    <w:rsid w:val="005F3630"/>
    <w:rsid w:val="005F4F69"/>
    <w:rsid w:val="005F5476"/>
    <w:rsid w:val="005F5654"/>
    <w:rsid w:val="005F5DA5"/>
    <w:rsid w:val="005F66EB"/>
    <w:rsid w:val="005F68BC"/>
    <w:rsid w:val="005F6C2E"/>
    <w:rsid w:val="005F6C64"/>
    <w:rsid w:val="005F6D10"/>
    <w:rsid w:val="005F6D19"/>
    <w:rsid w:val="005F6DFA"/>
    <w:rsid w:val="00600B03"/>
    <w:rsid w:val="006019EF"/>
    <w:rsid w:val="00601A4B"/>
    <w:rsid w:val="00601BE1"/>
    <w:rsid w:val="00602B6F"/>
    <w:rsid w:val="00602F62"/>
    <w:rsid w:val="006041C4"/>
    <w:rsid w:val="00604513"/>
    <w:rsid w:val="006052FD"/>
    <w:rsid w:val="0060532F"/>
    <w:rsid w:val="006067A1"/>
    <w:rsid w:val="00607BA1"/>
    <w:rsid w:val="0061019E"/>
    <w:rsid w:val="006102B0"/>
    <w:rsid w:val="00610B39"/>
    <w:rsid w:val="00610E2F"/>
    <w:rsid w:val="00610FE6"/>
    <w:rsid w:val="00611282"/>
    <w:rsid w:val="006116B9"/>
    <w:rsid w:val="00613816"/>
    <w:rsid w:val="006149B7"/>
    <w:rsid w:val="00615022"/>
    <w:rsid w:val="006159BD"/>
    <w:rsid w:val="00616814"/>
    <w:rsid w:val="00616854"/>
    <w:rsid w:val="00616910"/>
    <w:rsid w:val="006172AE"/>
    <w:rsid w:val="00617579"/>
    <w:rsid w:val="0062309D"/>
    <w:rsid w:val="00623288"/>
    <w:rsid w:val="006240CB"/>
    <w:rsid w:val="00624F6C"/>
    <w:rsid w:val="00625E8D"/>
    <w:rsid w:val="006264E6"/>
    <w:rsid w:val="0062693A"/>
    <w:rsid w:val="00626963"/>
    <w:rsid w:val="00626CB7"/>
    <w:rsid w:val="00626E9B"/>
    <w:rsid w:val="00626F44"/>
    <w:rsid w:val="00627045"/>
    <w:rsid w:val="00627BDC"/>
    <w:rsid w:val="00627F8C"/>
    <w:rsid w:val="00630A2F"/>
    <w:rsid w:val="00630B25"/>
    <w:rsid w:val="006357BD"/>
    <w:rsid w:val="0063605F"/>
    <w:rsid w:val="0063641C"/>
    <w:rsid w:val="00637681"/>
    <w:rsid w:val="00637975"/>
    <w:rsid w:val="00641FA7"/>
    <w:rsid w:val="0064286F"/>
    <w:rsid w:val="00643328"/>
    <w:rsid w:val="006438FA"/>
    <w:rsid w:val="0064487A"/>
    <w:rsid w:val="0064570C"/>
    <w:rsid w:val="00646790"/>
    <w:rsid w:val="0064697E"/>
    <w:rsid w:val="006472D2"/>
    <w:rsid w:val="00647478"/>
    <w:rsid w:val="0065008B"/>
    <w:rsid w:val="0065096D"/>
    <w:rsid w:val="006514C4"/>
    <w:rsid w:val="006521E7"/>
    <w:rsid w:val="00653DE8"/>
    <w:rsid w:val="00654AFB"/>
    <w:rsid w:val="00657AC7"/>
    <w:rsid w:val="00660023"/>
    <w:rsid w:val="0066183F"/>
    <w:rsid w:val="00661C6A"/>
    <w:rsid w:val="00663A3E"/>
    <w:rsid w:val="00664209"/>
    <w:rsid w:val="006671A9"/>
    <w:rsid w:val="00670A39"/>
    <w:rsid w:val="0067223A"/>
    <w:rsid w:val="0067224F"/>
    <w:rsid w:val="00673124"/>
    <w:rsid w:val="006739C3"/>
    <w:rsid w:val="00675484"/>
    <w:rsid w:val="006759AA"/>
    <w:rsid w:val="00676739"/>
    <w:rsid w:val="006775B9"/>
    <w:rsid w:val="00680FDD"/>
    <w:rsid w:val="00681491"/>
    <w:rsid w:val="00682513"/>
    <w:rsid w:val="006829A9"/>
    <w:rsid w:val="00684F6D"/>
    <w:rsid w:val="0068529F"/>
    <w:rsid w:val="00685D66"/>
    <w:rsid w:val="0068643D"/>
    <w:rsid w:val="006869AD"/>
    <w:rsid w:val="0068749E"/>
    <w:rsid w:val="00687BEE"/>
    <w:rsid w:val="00690018"/>
    <w:rsid w:val="00690A36"/>
    <w:rsid w:val="006912EE"/>
    <w:rsid w:val="0069147F"/>
    <w:rsid w:val="006915ED"/>
    <w:rsid w:val="00691923"/>
    <w:rsid w:val="00692B43"/>
    <w:rsid w:val="0069363C"/>
    <w:rsid w:val="00693B27"/>
    <w:rsid w:val="00693C5E"/>
    <w:rsid w:val="006941CF"/>
    <w:rsid w:val="0069535C"/>
    <w:rsid w:val="00696172"/>
    <w:rsid w:val="006A0922"/>
    <w:rsid w:val="006A0A6C"/>
    <w:rsid w:val="006A0D26"/>
    <w:rsid w:val="006A246E"/>
    <w:rsid w:val="006A344C"/>
    <w:rsid w:val="006A56E3"/>
    <w:rsid w:val="006A62FB"/>
    <w:rsid w:val="006A6756"/>
    <w:rsid w:val="006A7B67"/>
    <w:rsid w:val="006B0CD0"/>
    <w:rsid w:val="006B1620"/>
    <w:rsid w:val="006B22F7"/>
    <w:rsid w:val="006B2B1E"/>
    <w:rsid w:val="006B3CFD"/>
    <w:rsid w:val="006B44E8"/>
    <w:rsid w:val="006B59E0"/>
    <w:rsid w:val="006B5F13"/>
    <w:rsid w:val="006B686F"/>
    <w:rsid w:val="006B796B"/>
    <w:rsid w:val="006C0447"/>
    <w:rsid w:val="006C0E7E"/>
    <w:rsid w:val="006C142B"/>
    <w:rsid w:val="006C1B5A"/>
    <w:rsid w:val="006C24D2"/>
    <w:rsid w:val="006C3AD5"/>
    <w:rsid w:val="006C4B27"/>
    <w:rsid w:val="006C6198"/>
    <w:rsid w:val="006C64C5"/>
    <w:rsid w:val="006C69C8"/>
    <w:rsid w:val="006C7828"/>
    <w:rsid w:val="006C7ABC"/>
    <w:rsid w:val="006C7B6C"/>
    <w:rsid w:val="006D03A6"/>
    <w:rsid w:val="006D046C"/>
    <w:rsid w:val="006D0602"/>
    <w:rsid w:val="006D1B52"/>
    <w:rsid w:val="006D2E2B"/>
    <w:rsid w:val="006D51D1"/>
    <w:rsid w:val="006D67C3"/>
    <w:rsid w:val="006D6E29"/>
    <w:rsid w:val="006E1F8F"/>
    <w:rsid w:val="006E2736"/>
    <w:rsid w:val="006E2858"/>
    <w:rsid w:val="006E2FE0"/>
    <w:rsid w:val="006E3851"/>
    <w:rsid w:val="006E40BC"/>
    <w:rsid w:val="006E4482"/>
    <w:rsid w:val="006E49DF"/>
    <w:rsid w:val="006E54AB"/>
    <w:rsid w:val="006E72DB"/>
    <w:rsid w:val="006E7D0D"/>
    <w:rsid w:val="006F13EC"/>
    <w:rsid w:val="006F16A1"/>
    <w:rsid w:val="006F191B"/>
    <w:rsid w:val="006F3199"/>
    <w:rsid w:val="006F46FF"/>
    <w:rsid w:val="006F6F86"/>
    <w:rsid w:val="006F716D"/>
    <w:rsid w:val="00700B51"/>
    <w:rsid w:val="00702E92"/>
    <w:rsid w:val="00703CAA"/>
    <w:rsid w:val="00704F59"/>
    <w:rsid w:val="007058A3"/>
    <w:rsid w:val="00705A1E"/>
    <w:rsid w:val="00706743"/>
    <w:rsid w:val="00706819"/>
    <w:rsid w:val="00706BBA"/>
    <w:rsid w:val="00706BE6"/>
    <w:rsid w:val="00707121"/>
    <w:rsid w:val="0071010C"/>
    <w:rsid w:val="0071023C"/>
    <w:rsid w:val="0071034B"/>
    <w:rsid w:val="00710DF3"/>
    <w:rsid w:val="00710F04"/>
    <w:rsid w:val="007123FA"/>
    <w:rsid w:val="0071277C"/>
    <w:rsid w:val="00712A92"/>
    <w:rsid w:val="0071311E"/>
    <w:rsid w:val="0071365D"/>
    <w:rsid w:val="007138D3"/>
    <w:rsid w:val="00715BAC"/>
    <w:rsid w:val="00716568"/>
    <w:rsid w:val="007165F1"/>
    <w:rsid w:val="00716ADF"/>
    <w:rsid w:val="00717F33"/>
    <w:rsid w:val="00720327"/>
    <w:rsid w:val="00720641"/>
    <w:rsid w:val="00720681"/>
    <w:rsid w:val="00720E95"/>
    <w:rsid w:val="00720FEB"/>
    <w:rsid w:val="007215DB"/>
    <w:rsid w:val="007221BE"/>
    <w:rsid w:val="00722840"/>
    <w:rsid w:val="00723EFC"/>
    <w:rsid w:val="0072448C"/>
    <w:rsid w:val="00724CAE"/>
    <w:rsid w:val="00725436"/>
    <w:rsid w:val="007266A8"/>
    <w:rsid w:val="007266CB"/>
    <w:rsid w:val="00727252"/>
    <w:rsid w:val="00727393"/>
    <w:rsid w:val="00727665"/>
    <w:rsid w:val="00731947"/>
    <w:rsid w:val="00731E69"/>
    <w:rsid w:val="00731EDD"/>
    <w:rsid w:val="00732C84"/>
    <w:rsid w:val="0073356A"/>
    <w:rsid w:val="007338AC"/>
    <w:rsid w:val="00734860"/>
    <w:rsid w:val="0073530F"/>
    <w:rsid w:val="00735822"/>
    <w:rsid w:val="00735936"/>
    <w:rsid w:val="00736579"/>
    <w:rsid w:val="00736BC0"/>
    <w:rsid w:val="007370E6"/>
    <w:rsid w:val="007404C9"/>
    <w:rsid w:val="00741A87"/>
    <w:rsid w:val="00741BE8"/>
    <w:rsid w:val="00744778"/>
    <w:rsid w:val="007453F7"/>
    <w:rsid w:val="007454A2"/>
    <w:rsid w:val="00745EDA"/>
    <w:rsid w:val="007478EA"/>
    <w:rsid w:val="00747AC9"/>
    <w:rsid w:val="007511E2"/>
    <w:rsid w:val="00752270"/>
    <w:rsid w:val="00752FC1"/>
    <w:rsid w:val="00754EA2"/>
    <w:rsid w:val="00756705"/>
    <w:rsid w:val="007572FF"/>
    <w:rsid w:val="007573E9"/>
    <w:rsid w:val="0075747E"/>
    <w:rsid w:val="00757C33"/>
    <w:rsid w:val="007611CE"/>
    <w:rsid w:val="00761C05"/>
    <w:rsid w:val="00762915"/>
    <w:rsid w:val="007634F4"/>
    <w:rsid w:val="007647A2"/>
    <w:rsid w:val="007662C2"/>
    <w:rsid w:val="00766BD9"/>
    <w:rsid w:val="00766E9C"/>
    <w:rsid w:val="00767526"/>
    <w:rsid w:val="007701C8"/>
    <w:rsid w:val="0077122C"/>
    <w:rsid w:val="00771488"/>
    <w:rsid w:val="00771904"/>
    <w:rsid w:val="00771C67"/>
    <w:rsid w:val="00771DBB"/>
    <w:rsid w:val="0077210D"/>
    <w:rsid w:val="00772424"/>
    <w:rsid w:val="0077250C"/>
    <w:rsid w:val="0077276D"/>
    <w:rsid w:val="0077317A"/>
    <w:rsid w:val="007761E7"/>
    <w:rsid w:val="0077676F"/>
    <w:rsid w:val="00776880"/>
    <w:rsid w:val="00780AE2"/>
    <w:rsid w:val="00780FAE"/>
    <w:rsid w:val="00781215"/>
    <w:rsid w:val="00781FF3"/>
    <w:rsid w:val="007833A0"/>
    <w:rsid w:val="00783A3B"/>
    <w:rsid w:val="007841C4"/>
    <w:rsid w:val="007850AF"/>
    <w:rsid w:val="0078593D"/>
    <w:rsid w:val="00785A1B"/>
    <w:rsid w:val="007864F5"/>
    <w:rsid w:val="00790058"/>
    <w:rsid w:val="00790287"/>
    <w:rsid w:val="00790D50"/>
    <w:rsid w:val="00791AFF"/>
    <w:rsid w:val="00791FF4"/>
    <w:rsid w:val="00792C75"/>
    <w:rsid w:val="00793D33"/>
    <w:rsid w:val="007943C4"/>
    <w:rsid w:val="0079653C"/>
    <w:rsid w:val="00797698"/>
    <w:rsid w:val="007A06FE"/>
    <w:rsid w:val="007A193B"/>
    <w:rsid w:val="007A3045"/>
    <w:rsid w:val="007A34C4"/>
    <w:rsid w:val="007A44A5"/>
    <w:rsid w:val="007A44F3"/>
    <w:rsid w:val="007A572C"/>
    <w:rsid w:val="007A5D71"/>
    <w:rsid w:val="007A61B1"/>
    <w:rsid w:val="007A69DD"/>
    <w:rsid w:val="007A6D03"/>
    <w:rsid w:val="007A701D"/>
    <w:rsid w:val="007B0267"/>
    <w:rsid w:val="007B293A"/>
    <w:rsid w:val="007B2B77"/>
    <w:rsid w:val="007B4D02"/>
    <w:rsid w:val="007B51F1"/>
    <w:rsid w:val="007B591A"/>
    <w:rsid w:val="007B6425"/>
    <w:rsid w:val="007B6820"/>
    <w:rsid w:val="007B6A00"/>
    <w:rsid w:val="007B77CC"/>
    <w:rsid w:val="007C005E"/>
    <w:rsid w:val="007C0755"/>
    <w:rsid w:val="007C0B66"/>
    <w:rsid w:val="007C1245"/>
    <w:rsid w:val="007C1D63"/>
    <w:rsid w:val="007C3979"/>
    <w:rsid w:val="007C472A"/>
    <w:rsid w:val="007C4EB2"/>
    <w:rsid w:val="007C5211"/>
    <w:rsid w:val="007C6574"/>
    <w:rsid w:val="007D0946"/>
    <w:rsid w:val="007D17B0"/>
    <w:rsid w:val="007D3BDC"/>
    <w:rsid w:val="007D4095"/>
    <w:rsid w:val="007D577B"/>
    <w:rsid w:val="007D5E7B"/>
    <w:rsid w:val="007D747C"/>
    <w:rsid w:val="007E0129"/>
    <w:rsid w:val="007E0955"/>
    <w:rsid w:val="007E0A9E"/>
    <w:rsid w:val="007E18BE"/>
    <w:rsid w:val="007E237D"/>
    <w:rsid w:val="007E29E8"/>
    <w:rsid w:val="007E31D9"/>
    <w:rsid w:val="007E37CA"/>
    <w:rsid w:val="007E3FDC"/>
    <w:rsid w:val="007E474E"/>
    <w:rsid w:val="007E4C01"/>
    <w:rsid w:val="007E5399"/>
    <w:rsid w:val="007E5ABE"/>
    <w:rsid w:val="007E6042"/>
    <w:rsid w:val="007E7347"/>
    <w:rsid w:val="007F2158"/>
    <w:rsid w:val="007F21BC"/>
    <w:rsid w:val="007F302C"/>
    <w:rsid w:val="007F3434"/>
    <w:rsid w:val="007F3655"/>
    <w:rsid w:val="007F527F"/>
    <w:rsid w:val="007F56EF"/>
    <w:rsid w:val="007F7D02"/>
    <w:rsid w:val="00800AAC"/>
    <w:rsid w:val="00802478"/>
    <w:rsid w:val="008036EB"/>
    <w:rsid w:val="00803782"/>
    <w:rsid w:val="00803917"/>
    <w:rsid w:val="00804C5E"/>
    <w:rsid w:val="008051E3"/>
    <w:rsid w:val="008058AE"/>
    <w:rsid w:val="00806036"/>
    <w:rsid w:val="008064DE"/>
    <w:rsid w:val="00806F26"/>
    <w:rsid w:val="008075D5"/>
    <w:rsid w:val="00807D94"/>
    <w:rsid w:val="00810C50"/>
    <w:rsid w:val="00812ACE"/>
    <w:rsid w:val="008176AA"/>
    <w:rsid w:val="00817C00"/>
    <w:rsid w:val="00822352"/>
    <w:rsid w:val="00822A65"/>
    <w:rsid w:val="00822ED1"/>
    <w:rsid w:val="00824AD4"/>
    <w:rsid w:val="00825A40"/>
    <w:rsid w:val="00826546"/>
    <w:rsid w:val="008269F0"/>
    <w:rsid w:val="00830B86"/>
    <w:rsid w:val="00830EA1"/>
    <w:rsid w:val="00832AFC"/>
    <w:rsid w:val="008332B1"/>
    <w:rsid w:val="00833DAE"/>
    <w:rsid w:val="0083447C"/>
    <w:rsid w:val="00836296"/>
    <w:rsid w:val="00836687"/>
    <w:rsid w:val="008366C7"/>
    <w:rsid w:val="008369BD"/>
    <w:rsid w:val="008370F0"/>
    <w:rsid w:val="008400EB"/>
    <w:rsid w:val="008406E4"/>
    <w:rsid w:val="00840E24"/>
    <w:rsid w:val="00841BBD"/>
    <w:rsid w:val="00842525"/>
    <w:rsid w:val="0084271B"/>
    <w:rsid w:val="00842C8E"/>
    <w:rsid w:val="00843186"/>
    <w:rsid w:val="008432C6"/>
    <w:rsid w:val="00845ADF"/>
    <w:rsid w:val="008460A2"/>
    <w:rsid w:val="008518AC"/>
    <w:rsid w:val="00851BCB"/>
    <w:rsid w:val="008521FD"/>
    <w:rsid w:val="00853D00"/>
    <w:rsid w:val="008540AD"/>
    <w:rsid w:val="00854D68"/>
    <w:rsid w:val="0085511A"/>
    <w:rsid w:val="008551E3"/>
    <w:rsid w:val="0085656C"/>
    <w:rsid w:val="008579F8"/>
    <w:rsid w:val="00857B0F"/>
    <w:rsid w:val="00857C71"/>
    <w:rsid w:val="00861A30"/>
    <w:rsid w:val="0086351B"/>
    <w:rsid w:val="00863B21"/>
    <w:rsid w:val="00863F1A"/>
    <w:rsid w:val="008641E0"/>
    <w:rsid w:val="00864BAC"/>
    <w:rsid w:val="00864FE6"/>
    <w:rsid w:val="00865DB1"/>
    <w:rsid w:val="00867BAB"/>
    <w:rsid w:val="008702E3"/>
    <w:rsid w:val="00871492"/>
    <w:rsid w:val="00871E32"/>
    <w:rsid w:val="0087209F"/>
    <w:rsid w:val="008748FB"/>
    <w:rsid w:val="00875714"/>
    <w:rsid w:val="00875C4E"/>
    <w:rsid w:val="00875F09"/>
    <w:rsid w:val="0087639D"/>
    <w:rsid w:val="00876744"/>
    <w:rsid w:val="00876856"/>
    <w:rsid w:val="00877115"/>
    <w:rsid w:val="00877FEC"/>
    <w:rsid w:val="00880496"/>
    <w:rsid w:val="0088089D"/>
    <w:rsid w:val="008816FF"/>
    <w:rsid w:val="008828CF"/>
    <w:rsid w:val="00882B99"/>
    <w:rsid w:val="00885514"/>
    <w:rsid w:val="00885785"/>
    <w:rsid w:val="008860AC"/>
    <w:rsid w:val="008909A4"/>
    <w:rsid w:val="0089100F"/>
    <w:rsid w:val="008910BC"/>
    <w:rsid w:val="00891B1A"/>
    <w:rsid w:val="00892ADC"/>
    <w:rsid w:val="00892F6A"/>
    <w:rsid w:val="00895BB8"/>
    <w:rsid w:val="008A080F"/>
    <w:rsid w:val="008A1070"/>
    <w:rsid w:val="008A2183"/>
    <w:rsid w:val="008A2650"/>
    <w:rsid w:val="008A28A7"/>
    <w:rsid w:val="008A34C9"/>
    <w:rsid w:val="008A4BB3"/>
    <w:rsid w:val="008A5283"/>
    <w:rsid w:val="008A5DFF"/>
    <w:rsid w:val="008A644B"/>
    <w:rsid w:val="008A6D30"/>
    <w:rsid w:val="008A6E0A"/>
    <w:rsid w:val="008A73C3"/>
    <w:rsid w:val="008A78A3"/>
    <w:rsid w:val="008A78D4"/>
    <w:rsid w:val="008B029C"/>
    <w:rsid w:val="008B055D"/>
    <w:rsid w:val="008B0848"/>
    <w:rsid w:val="008B125E"/>
    <w:rsid w:val="008B1F7C"/>
    <w:rsid w:val="008B56DB"/>
    <w:rsid w:val="008B6910"/>
    <w:rsid w:val="008B6F92"/>
    <w:rsid w:val="008B7115"/>
    <w:rsid w:val="008B7279"/>
    <w:rsid w:val="008B75FD"/>
    <w:rsid w:val="008C103E"/>
    <w:rsid w:val="008C20DC"/>
    <w:rsid w:val="008C2531"/>
    <w:rsid w:val="008C32E7"/>
    <w:rsid w:val="008C34E5"/>
    <w:rsid w:val="008C49A8"/>
    <w:rsid w:val="008C4EAE"/>
    <w:rsid w:val="008C5363"/>
    <w:rsid w:val="008C5712"/>
    <w:rsid w:val="008C5E65"/>
    <w:rsid w:val="008C7224"/>
    <w:rsid w:val="008C7A14"/>
    <w:rsid w:val="008D066D"/>
    <w:rsid w:val="008D174F"/>
    <w:rsid w:val="008D2109"/>
    <w:rsid w:val="008D2AB6"/>
    <w:rsid w:val="008D338D"/>
    <w:rsid w:val="008D4F50"/>
    <w:rsid w:val="008D51D5"/>
    <w:rsid w:val="008D6AE2"/>
    <w:rsid w:val="008D72EA"/>
    <w:rsid w:val="008D734C"/>
    <w:rsid w:val="008D76CB"/>
    <w:rsid w:val="008E0CC0"/>
    <w:rsid w:val="008E0EB6"/>
    <w:rsid w:val="008E2A16"/>
    <w:rsid w:val="008E2D47"/>
    <w:rsid w:val="008E2EE3"/>
    <w:rsid w:val="008E36C2"/>
    <w:rsid w:val="008E3E59"/>
    <w:rsid w:val="008E4B89"/>
    <w:rsid w:val="008E4C99"/>
    <w:rsid w:val="008E51AB"/>
    <w:rsid w:val="008E655E"/>
    <w:rsid w:val="008E6FA7"/>
    <w:rsid w:val="008F0587"/>
    <w:rsid w:val="008F0892"/>
    <w:rsid w:val="008F097D"/>
    <w:rsid w:val="008F1026"/>
    <w:rsid w:val="008F1DEB"/>
    <w:rsid w:val="008F3BF0"/>
    <w:rsid w:val="008F4610"/>
    <w:rsid w:val="008F4B88"/>
    <w:rsid w:val="008F535D"/>
    <w:rsid w:val="008F54DC"/>
    <w:rsid w:val="008F5732"/>
    <w:rsid w:val="008F5F39"/>
    <w:rsid w:val="008F6712"/>
    <w:rsid w:val="008F6966"/>
    <w:rsid w:val="008F6A52"/>
    <w:rsid w:val="008F79ED"/>
    <w:rsid w:val="009005CB"/>
    <w:rsid w:val="0090294C"/>
    <w:rsid w:val="0090347B"/>
    <w:rsid w:val="00904E70"/>
    <w:rsid w:val="00905811"/>
    <w:rsid w:val="00905F52"/>
    <w:rsid w:val="00906074"/>
    <w:rsid w:val="00906AE6"/>
    <w:rsid w:val="009108F7"/>
    <w:rsid w:val="00910CD4"/>
    <w:rsid w:val="00912B31"/>
    <w:rsid w:val="00912FED"/>
    <w:rsid w:val="00913466"/>
    <w:rsid w:val="009138B0"/>
    <w:rsid w:val="00915A93"/>
    <w:rsid w:val="00915ADB"/>
    <w:rsid w:val="00916996"/>
    <w:rsid w:val="00917E27"/>
    <w:rsid w:val="00920044"/>
    <w:rsid w:val="00920C35"/>
    <w:rsid w:val="00920F2C"/>
    <w:rsid w:val="0092208F"/>
    <w:rsid w:val="009226FE"/>
    <w:rsid w:val="00922A4C"/>
    <w:rsid w:val="00925357"/>
    <w:rsid w:val="009263F1"/>
    <w:rsid w:val="009272B9"/>
    <w:rsid w:val="00927A42"/>
    <w:rsid w:val="00930FBD"/>
    <w:rsid w:val="009326C4"/>
    <w:rsid w:val="009326EC"/>
    <w:rsid w:val="00932FB8"/>
    <w:rsid w:val="0093320C"/>
    <w:rsid w:val="00933677"/>
    <w:rsid w:val="00933A58"/>
    <w:rsid w:val="00934E32"/>
    <w:rsid w:val="0093547C"/>
    <w:rsid w:val="00936DC3"/>
    <w:rsid w:val="009371F9"/>
    <w:rsid w:val="0093733E"/>
    <w:rsid w:val="00937E63"/>
    <w:rsid w:val="009412B5"/>
    <w:rsid w:val="009413E2"/>
    <w:rsid w:val="009418FB"/>
    <w:rsid w:val="00942480"/>
    <w:rsid w:val="00943BA0"/>
    <w:rsid w:val="00944A8A"/>
    <w:rsid w:val="00944D3B"/>
    <w:rsid w:val="00944E0E"/>
    <w:rsid w:val="0094677F"/>
    <w:rsid w:val="00950A1B"/>
    <w:rsid w:val="00950D8E"/>
    <w:rsid w:val="00950F24"/>
    <w:rsid w:val="00951986"/>
    <w:rsid w:val="009533A7"/>
    <w:rsid w:val="00953754"/>
    <w:rsid w:val="00953CD1"/>
    <w:rsid w:val="00954A8C"/>
    <w:rsid w:val="009575BC"/>
    <w:rsid w:val="00957D09"/>
    <w:rsid w:val="00957D44"/>
    <w:rsid w:val="00957DB8"/>
    <w:rsid w:val="00960734"/>
    <w:rsid w:val="00960920"/>
    <w:rsid w:val="00960FB1"/>
    <w:rsid w:val="009610C8"/>
    <w:rsid w:val="0096184E"/>
    <w:rsid w:val="00961A0D"/>
    <w:rsid w:val="00961A37"/>
    <w:rsid w:val="00962AE2"/>
    <w:rsid w:val="00963913"/>
    <w:rsid w:val="00963A46"/>
    <w:rsid w:val="00964922"/>
    <w:rsid w:val="00964DBF"/>
    <w:rsid w:val="00964FBB"/>
    <w:rsid w:val="00965074"/>
    <w:rsid w:val="009651AA"/>
    <w:rsid w:val="009652AD"/>
    <w:rsid w:val="00965CEC"/>
    <w:rsid w:val="0096710C"/>
    <w:rsid w:val="0096794C"/>
    <w:rsid w:val="00967E5B"/>
    <w:rsid w:val="00970541"/>
    <w:rsid w:val="00970F88"/>
    <w:rsid w:val="00973EE2"/>
    <w:rsid w:val="009741E7"/>
    <w:rsid w:val="009759CB"/>
    <w:rsid w:val="00975A35"/>
    <w:rsid w:val="009760E2"/>
    <w:rsid w:val="00977AC0"/>
    <w:rsid w:val="0098051F"/>
    <w:rsid w:val="00980659"/>
    <w:rsid w:val="009824C4"/>
    <w:rsid w:val="00982A62"/>
    <w:rsid w:val="00982B92"/>
    <w:rsid w:val="00984EDE"/>
    <w:rsid w:val="0098545C"/>
    <w:rsid w:val="009861C0"/>
    <w:rsid w:val="0098668B"/>
    <w:rsid w:val="00986AE5"/>
    <w:rsid w:val="00987126"/>
    <w:rsid w:val="00987FF7"/>
    <w:rsid w:val="0099239E"/>
    <w:rsid w:val="00992E62"/>
    <w:rsid w:val="00994C46"/>
    <w:rsid w:val="00995581"/>
    <w:rsid w:val="00996454"/>
    <w:rsid w:val="00996A78"/>
    <w:rsid w:val="00996EF2"/>
    <w:rsid w:val="009A00AC"/>
    <w:rsid w:val="009A14CA"/>
    <w:rsid w:val="009A1804"/>
    <w:rsid w:val="009A1DC0"/>
    <w:rsid w:val="009A2055"/>
    <w:rsid w:val="009A20E8"/>
    <w:rsid w:val="009A2DE1"/>
    <w:rsid w:val="009A4132"/>
    <w:rsid w:val="009A624E"/>
    <w:rsid w:val="009B1406"/>
    <w:rsid w:val="009B177A"/>
    <w:rsid w:val="009B1D94"/>
    <w:rsid w:val="009B2384"/>
    <w:rsid w:val="009B3D60"/>
    <w:rsid w:val="009B3EDA"/>
    <w:rsid w:val="009B4C1E"/>
    <w:rsid w:val="009B587B"/>
    <w:rsid w:val="009B5A85"/>
    <w:rsid w:val="009B6152"/>
    <w:rsid w:val="009B69AA"/>
    <w:rsid w:val="009B6A09"/>
    <w:rsid w:val="009B6FCF"/>
    <w:rsid w:val="009B7411"/>
    <w:rsid w:val="009C0381"/>
    <w:rsid w:val="009C14E3"/>
    <w:rsid w:val="009C155F"/>
    <w:rsid w:val="009C165E"/>
    <w:rsid w:val="009C3510"/>
    <w:rsid w:val="009C3A0D"/>
    <w:rsid w:val="009C48C2"/>
    <w:rsid w:val="009C4EB6"/>
    <w:rsid w:val="009C4F73"/>
    <w:rsid w:val="009C5BF8"/>
    <w:rsid w:val="009C5EFA"/>
    <w:rsid w:val="009C7311"/>
    <w:rsid w:val="009C734D"/>
    <w:rsid w:val="009D10A7"/>
    <w:rsid w:val="009D1290"/>
    <w:rsid w:val="009D169C"/>
    <w:rsid w:val="009D335F"/>
    <w:rsid w:val="009D476B"/>
    <w:rsid w:val="009D4A6C"/>
    <w:rsid w:val="009D601B"/>
    <w:rsid w:val="009D656F"/>
    <w:rsid w:val="009D6FBC"/>
    <w:rsid w:val="009D7507"/>
    <w:rsid w:val="009D7563"/>
    <w:rsid w:val="009E0057"/>
    <w:rsid w:val="009E043B"/>
    <w:rsid w:val="009E0863"/>
    <w:rsid w:val="009E0AC6"/>
    <w:rsid w:val="009E242D"/>
    <w:rsid w:val="009E2CF6"/>
    <w:rsid w:val="009E5348"/>
    <w:rsid w:val="009E5B08"/>
    <w:rsid w:val="009F0A7E"/>
    <w:rsid w:val="009F12E0"/>
    <w:rsid w:val="009F282F"/>
    <w:rsid w:val="009F3545"/>
    <w:rsid w:val="009F3CAD"/>
    <w:rsid w:val="009F5DBB"/>
    <w:rsid w:val="009F5E13"/>
    <w:rsid w:val="009F614E"/>
    <w:rsid w:val="009F657C"/>
    <w:rsid w:val="009F66F0"/>
    <w:rsid w:val="009F7CEC"/>
    <w:rsid w:val="00A00A39"/>
    <w:rsid w:val="00A010D2"/>
    <w:rsid w:val="00A017ED"/>
    <w:rsid w:val="00A01EF4"/>
    <w:rsid w:val="00A0216A"/>
    <w:rsid w:val="00A0262A"/>
    <w:rsid w:val="00A02997"/>
    <w:rsid w:val="00A02DAC"/>
    <w:rsid w:val="00A03115"/>
    <w:rsid w:val="00A03E04"/>
    <w:rsid w:val="00A045F4"/>
    <w:rsid w:val="00A04CE9"/>
    <w:rsid w:val="00A05EEB"/>
    <w:rsid w:val="00A060BA"/>
    <w:rsid w:val="00A072F4"/>
    <w:rsid w:val="00A07697"/>
    <w:rsid w:val="00A10841"/>
    <w:rsid w:val="00A11257"/>
    <w:rsid w:val="00A114B0"/>
    <w:rsid w:val="00A11E6B"/>
    <w:rsid w:val="00A11F52"/>
    <w:rsid w:val="00A1251A"/>
    <w:rsid w:val="00A1315C"/>
    <w:rsid w:val="00A14171"/>
    <w:rsid w:val="00A14491"/>
    <w:rsid w:val="00A17638"/>
    <w:rsid w:val="00A17FEA"/>
    <w:rsid w:val="00A208DA"/>
    <w:rsid w:val="00A2291F"/>
    <w:rsid w:val="00A22E1A"/>
    <w:rsid w:val="00A23C39"/>
    <w:rsid w:val="00A23DF6"/>
    <w:rsid w:val="00A240B6"/>
    <w:rsid w:val="00A25618"/>
    <w:rsid w:val="00A25746"/>
    <w:rsid w:val="00A25BBE"/>
    <w:rsid w:val="00A26479"/>
    <w:rsid w:val="00A26861"/>
    <w:rsid w:val="00A273A9"/>
    <w:rsid w:val="00A301D6"/>
    <w:rsid w:val="00A30E6C"/>
    <w:rsid w:val="00A30EFA"/>
    <w:rsid w:val="00A31846"/>
    <w:rsid w:val="00A33B7F"/>
    <w:rsid w:val="00A3417C"/>
    <w:rsid w:val="00A34D6F"/>
    <w:rsid w:val="00A34DCE"/>
    <w:rsid w:val="00A35416"/>
    <w:rsid w:val="00A355C1"/>
    <w:rsid w:val="00A35A0A"/>
    <w:rsid w:val="00A36120"/>
    <w:rsid w:val="00A3647F"/>
    <w:rsid w:val="00A3725F"/>
    <w:rsid w:val="00A377B7"/>
    <w:rsid w:val="00A37C6A"/>
    <w:rsid w:val="00A37F06"/>
    <w:rsid w:val="00A40F6B"/>
    <w:rsid w:val="00A41116"/>
    <w:rsid w:val="00A4153E"/>
    <w:rsid w:val="00A42799"/>
    <w:rsid w:val="00A428F9"/>
    <w:rsid w:val="00A42EEF"/>
    <w:rsid w:val="00A43B3F"/>
    <w:rsid w:val="00A464A2"/>
    <w:rsid w:val="00A507A0"/>
    <w:rsid w:val="00A50ABF"/>
    <w:rsid w:val="00A5102C"/>
    <w:rsid w:val="00A51125"/>
    <w:rsid w:val="00A53025"/>
    <w:rsid w:val="00A53851"/>
    <w:rsid w:val="00A54628"/>
    <w:rsid w:val="00A55358"/>
    <w:rsid w:val="00A56C2E"/>
    <w:rsid w:val="00A57DEC"/>
    <w:rsid w:val="00A60026"/>
    <w:rsid w:val="00A613F3"/>
    <w:rsid w:val="00A63D11"/>
    <w:rsid w:val="00A64588"/>
    <w:rsid w:val="00A64AE3"/>
    <w:rsid w:val="00A67A2D"/>
    <w:rsid w:val="00A707B6"/>
    <w:rsid w:val="00A716F7"/>
    <w:rsid w:val="00A71896"/>
    <w:rsid w:val="00A71A92"/>
    <w:rsid w:val="00A7216B"/>
    <w:rsid w:val="00A74160"/>
    <w:rsid w:val="00A745EF"/>
    <w:rsid w:val="00A75246"/>
    <w:rsid w:val="00A76352"/>
    <w:rsid w:val="00A80556"/>
    <w:rsid w:val="00A80A95"/>
    <w:rsid w:val="00A83EAC"/>
    <w:rsid w:val="00A842B4"/>
    <w:rsid w:val="00A84703"/>
    <w:rsid w:val="00A872BA"/>
    <w:rsid w:val="00A872E7"/>
    <w:rsid w:val="00A87A4B"/>
    <w:rsid w:val="00A87E15"/>
    <w:rsid w:val="00A90F5D"/>
    <w:rsid w:val="00A91295"/>
    <w:rsid w:val="00A92319"/>
    <w:rsid w:val="00A932A6"/>
    <w:rsid w:val="00A93A92"/>
    <w:rsid w:val="00A955BA"/>
    <w:rsid w:val="00A95663"/>
    <w:rsid w:val="00A9581B"/>
    <w:rsid w:val="00A97B8A"/>
    <w:rsid w:val="00A97D94"/>
    <w:rsid w:val="00AA15ED"/>
    <w:rsid w:val="00AA21C7"/>
    <w:rsid w:val="00AA2D84"/>
    <w:rsid w:val="00AA4263"/>
    <w:rsid w:val="00AA43F5"/>
    <w:rsid w:val="00AA48FA"/>
    <w:rsid w:val="00AA6D09"/>
    <w:rsid w:val="00AA7A12"/>
    <w:rsid w:val="00AA7ACA"/>
    <w:rsid w:val="00AB0F93"/>
    <w:rsid w:val="00AB12CC"/>
    <w:rsid w:val="00AB188B"/>
    <w:rsid w:val="00AB2EF2"/>
    <w:rsid w:val="00AB3D79"/>
    <w:rsid w:val="00AB4F53"/>
    <w:rsid w:val="00AB55F8"/>
    <w:rsid w:val="00AB5AC5"/>
    <w:rsid w:val="00AB60AF"/>
    <w:rsid w:val="00AB739A"/>
    <w:rsid w:val="00AC0360"/>
    <w:rsid w:val="00AC22A1"/>
    <w:rsid w:val="00AC242B"/>
    <w:rsid w:val="00AC38C1"/>
    <w:rsid w:val="00AC3B4C"/>
    <w:rsid w:val="00AC4535"/>
    <w:rsid w:val="00AC4E45"/>
    <w:rsid w:val="00AC5073"/>
    <w:rsid w:val="00AC5A5B"/>
    <w:rsid w:val="00AC5F71"/>
    <w:rsid w:val="00AC637C"/>
    <w:rsid w:val="00AC6819"/>
    <w:rsid w:val="00AC74D4"/>
    <w:rsid w:val="00AC76A2"/>
    <w:rsid w:val="00AD13C1"/>
    <w:rsid w:val="00AD1500"/>
    <w:rsid w:val="00AD26D2"/>
    <w:rsid w:val="00AD3FE7"/>
    <w:rsid w:val="00AD4760"/>
    <w:rsid w:val="00AD4BFB"/>
    <w:rsid w:val="00AD536C"/>
    <w:rsid w:val="00AD54D8"/>
    <w:rsid w:val="00AD7424"/>
    <w:rsid w:val="00AD7803"/>
    <w:rsid w:val="00AE0A6D"/>
    <w:rsid w:val="00AE0CF1"/>
    <w:rsid w:val="00AE22BC"/>
    <w:rsid w:val="00AE233D"/>
    <w:rsid w:val="00AE2AAB"/>
    <w:rsid w:val="00AE2E11"/>
    <w:rsid w:val="00AE35A0"/>
    <w:rsid w:val="00AE55C9"/>
    <w:rsid w:val="00AE5A4F"/>
    <w:rsid w:val="00AE6F10"/>
    <w:rsid w:val="00AE7B38"/>
    <w:rsid w:val="00AE7C99"/>
    <w:rsid w:val="00AF01A0"/>
    <w:rsid w:val="00AF0249"/>
    <w:rsid w:val="00AF03D2"/>
    <w:rsid w:val="00AF206C"/>
    <w:rsid w:val="00AF3210"/>
    <w:rsid w:val="00AF3467"/>
    <w:rsid w:val="00AF4EB8"/>
    <w:rsid w:val="00AF5C65"/>
    <w:rsid w:val="00AF66BD"/>
    <w:rsid w:val="00B002DC"/>
    <w:rsid w:val="00B01A10"/>
    <w:rsid w:val="00B01DB7"/>
    <w:rsid w:val="00B03ED8"/>
    <w:rsid w:val="00B04C76"/>
    <w:rsid w:val="00B05951"/>
    <w:rsid w:val="00B06894"/>
    <w:rsid w:val="00B07732"/>
    <w:rsid w:val="00B0775E"/>
    <w:rsid w:val="00B102D8"/>
    <w:rsid w:val="00B11671"/>
    <w:rsid w:val="00B13292"/>
    <w:rsid w:val="00B134E7"/>
    <w:rsid w:val="00B13C9A"/>
    <w:rsid w:val="00B14462"/>
    <w:rsid w:val="00B15472"/>
    <w:rsid w:val="00B16036"/>
    <w:rsid w:val="00B16123"/>
    <w:rsid w:val="00B16558"/>
    <w:rsid w:val="00B16FA9"/>
    <w:rsid w:val="00B2147E"/>
    <w:rsid w:val="00B21ACF"/>
    <w:rsid w:val="00B21FB6"/>
    <w:rsid w:val="00B24CA6"/>
    <w:rsid w:val="00B24E95"/>
    <w:rsid w:val="00B253BF"/>
    <w:rsid w:val="00B2568E"/>
    <w:rsid w:val="00B2586F"/>
    <w:rsid w:val="00B25C32"/>
    <w:rsid w:val="00B271BE"/>
    <w:rsid w:val="00B27D7E"/>
    <w:rsid w:val="00B30213"/>
    <w:rsid w:val="00B30615"/>
    <w:rsid w:val="00B3092A"/>
    <w:rsid w:val="00B30E39"/>
    <w:rsid w:val="00B320BF"/>
    <w:rsid w:val="00B32D68"/>
    <w:rsid w:val="00B33D35"/>
    <w:rsid w:val="00B3452D"/>
    <w:rsid w:val="00B35189"/>
    <w:rsid w:val="00B351C5"/>
    <w:rsid w:val="00B3565C"/>
    <w:rsid w:val="00B357F6"/>
    <w:rsid w:val="00B35EE8"/>
    <w:rsid w:val="00B36809"/>
    <w:rsid w:val="00B36820"/>
    <w:rsid w:val="00B36C14"/>
    <w:rsid w:val="00B36E86"/>
    <w:rsid w:val="00B3735A"/>
    <w:rsid w:val="00B40D45"/>
    <w:rsid w:val="00B41F63"/>
    <w:rsid w:val="00B41F8E"/>
    <w:rsid w:val="00B4263F"/>
    <w:rsid w:val="00B42818"/>
    <w:rsid w:val="00B432EE"/>
    <w:rsid w:val="00B43CCC"/>
    <w:rsid w:val="00B43F5C"/>
    <w:rsid w:val="00B44352"/>
    <w:rsid w:val="00B45C37"/>
    <w:rsid w:val="00B46726"/>
    <w:rsid w:val="00B46A82"/>
    <w:rsid w:val="00B47690"/>
    <w:rsid w:val="00B47D22"/>
    <w:rsid w:val="00B50443"/>
    <w:rsid w:val="00B510FE"/>
    <w:rsid w:val="00B5128B"/>
    <w:rsid w:val="00B518C4"/>
    <w:rsid w:val="00B52074"/>
    <w:rsid w:val="00B528A7"/>
    <w:rsid w:val="00B54029"/>
    <w:rsid w:val="00B5445D"/>
    <w:rsid w:val="00B559D5"/>
    <w:rsid w:val="00B55D63"/>
    <w:rsid w:val="00B561AA"/>
    <w:rsid w:val="00B56AC2"/>
    <w:rsid w:val="00B571E2"/>
    <w:rsid w:val="00B60663"/>
    <w:rsid w:val="00B613D5"/>
    <w:rsid w:val="00B616E1"/>
    <w:rsid w:val="00B620FB"/>
    <w:rsid w:val="00B62100"/>
    <w:rsid w:val="00B624D7"/>
    <w:rsid w:val="00B6320D"/>
    <w:rsid w:val="00B6359D"/>
    <w:rsid w:val="00B635F1"/>
    <w:rsid w:val="00B63B16"/>
    <w:rsid w:val="00B64B96"/>
    <w:rsid w:val="00B64CF3"/>
    <w:rsid w:val="00B650E4"/>
    <w:rsid w:val="00B65A8F"/>
    <w:rsid w:val="00B65E56"/>
    <w:rsid w:val="00B66BB0"/>
    <w:rsid w:val="00B6704C"/>
    <w:rsid w:val="00B6769F"/>
    <w:rsid w:val="00B679FC"/>
    <w:rsid w:val="00B71766"/>
    <w:rsid w:val="00B720B3"/>
    <w:rsid w:val="00B74073"/>
    <w:rsid w:val="00B75467"/>
    <w:rsid w:val="00B758AB"/>
    <w:rsid w:val="00B759E7"/>
    <w:rsid w:val="00B7674F"/>
    <w:rsid w:val="00B802FC"/>
    <w:rsid w:val="00B83625"/>
    <w:rsid w:val="00B83DAD"/>
    <w:rsid w:val="00B84669"/>
    <w:rsid w:val="00B849B3"/>
    <w:rsid w:val="00B854A1"/>
    <w:rsid w:val="00B858CF"/>
    <w:rsid w:val="00B85C26"/>
    <w:rsid w:val="00B85DEE"/>
    <w:rsid w:val="00B86B2B"/>
    <w:rsid w:val="00B876BD"/>
    <w:rsid w:val="00B876FD"/>
    <w:rsid w:val="00B90084"/>
    <w:rsid w:val="00B90694"/>
    <w:rsid w:val="00B90826"/>
    <w:rsid w:val="00B90DAF"/>
    <w:rsid w:val="00B917B8"/>
    <w:rsid w:val="00B92547"/>
    <w:rsid w:val="00B92AA7"/>
    <w:rsid w:val="00B92B4D"/>
    <w:rsid w:val="00B93769"/>
    <w:rsid w:val="00B93D0C"/>
    <w:rsid w:val="00B958E1"/>
    <w:rsid w:val="00B95FA4"/>
    <w:rsid w:val="00B962DA"/>
    <w:rsid w:val="00B963FE"/>
    <w:rsid w:val="00B96729"/>
    <w:rsid w:val="00B967AD"/>
    <w:rsid w:val="00B96B25"/>
    <w:rsid w:val="00B97ACA"/>
    <w:rsid w:val="00B97D58"/>
    <w:rsid w:val="00BA0342"/>
    <w:rsid w:val="00BA2367"/>
    <w:rsid w:val="00BA254C"/>
    <w:rsid w:val="00BA3F64"/>
    <w:rsid w:val="00BA4470"/>
    <w:rsid w:val="00BA4597"/>
    <w:rsid w:val="00BA4679"/>
    <w:rsid w:val="00BA49E9"/>
    <w:rsid w:val="00BA61AF"/>
    <w:rsid w:val="00BA6921"/>
    <w:rsid w:val="00BB051B"/>
    <w:rsid w:val="00BB07CD"/>
    <w:rsid w:val="00BB0EB7"/>
    <w:rsid w:val="00BB2F71"/>
    <w:rsid w:val="00BB360B"/>
    <w:rsid w:val="00BB37D4"/>
    <w:rsid w:val="00BB3829"/>
    <w:rsid w:val="00BB3D2B"/>
    <w:rsid w:val="00BB66F1"/>
    <w:rsid w:val="00BC1715"/>
    <w:rsid w:val="00BC22CA"/>
    <w:rsid w:val="00BC2E7A"/>
    <w:rsid w:val="00BC3B72"/>
    <w:rsid w:val="00BC4513"/>
    <w:rsid w:val="00BC45A9"/>
    <w:rsid w:val="00BC4BC1"/>
    <w:rsid w:val="00BC4D55"/>
    <w:rsid w:val="00BC56C2"/>
    <w:rsid w:val="00BC732D"/>
    <w:rsid w:val="00BC7D23"/>
    <w:rsid w:val="00BD02F3"/>
    <w:rsid w:val="00BD0F4A"/>
    <w:rsid w:val="00BD22C8"/>
    <w:rsid w:val="00BD2858"/>
    <w:rsid w:val="00BD2C50"/>
    <w:rsid w:val="00BD3401"/>
    <w:rsid w:val="00BD5153"/>
    <w:rsid w:val="00BD5237"/>
    <w:rsid w:val="00BD5644"/>
    <w:rsid w:val="00BD661E"/>
    <w:rsid w:val="00BD6772"/>
    <w:rsid w:val="00BD72DF"/>
    <w:rsid w:val="00BD74B3"/>
    <w:rsid w:val="00BE0710"/>
    <w:rsid w:val="00BE09C2"/>
    <w:rsid w:val="00BE1192"/>
    <w:rsid w:val="00BE1CF3"/>
    <w:rsid w:val="00BE22D2"/>
    <w:rsid w:val="00BE3CE1"/>
    <w:rsid w:val="00BE4464"/>
    <w:rsid w:val="00BE4512"/>
    <w:rsid w:val="00BE48AF"/>
    <w:rsid w:val="00BE5595"/>
    <w:rsid w:val="00BE5B29"/>
    <w:rsid w:val="00BE6480"/>
    <w:rsid w:val="00BE6D10"/>
    <w:rsid w:val="00BE7757"/>
    <w:rsid w:val="00BF02CD"/>
    <w:rsid w:val="00BF0CFF"/>
    <w:rsid w:val="00BF2B98"/>
    <w:rsid w:val="00BF2D52"/>
    <w:rsid w:val="00BF45D7"/>
    <w:rsid w:val="00BF4BB4"/>
    <w:rsid w:val="00BF5594"/>
    <w:rsid w:val="00BF5727"/>
    <w:rsid w:val="00BF5BB8"/>
    <w:rsid w:val="00BF7AAB"/>
    <w:rsid w:val="00C013A2"/>
    <w:rsid w:val="00C0184C"/>
    <w:rsid w:val="00C02AD2"/>
    <w:rsid w:val="00C02D71"/>
    <w:rsid w:val="00C0346D"/>
    <w:rsid w:val="00C0483C"/>
    <w:rsid w:val="00C052AC"/>
    <w:rsid w:val="00C06B51"/>
    <w:rsid w:val="00C06E8C"/>
    <w:rsid w:val="00C12D4D"/>
    <w:rsid w:val="00C136C1"/>
    <w:rsid w:val="00C13B1A"/>
    <w:rsid w:val="00C13BBD"/>
    <w:rsid w:val="00C15EA0"/>
    <w:rsid w:val="00C16782"/>
    <w:rsid w:val="00C176E4"/>
    <w:rsid w:val="00C17F25"/>
    <w:rsid w:val="00C20ABE"/>
    <w:rsid w:val="00C210D1"/>
    <w:rsid w:val="00C2214A"/>
    <w:rsid w:val="00C2276C"/>
    <w:rsid w:val="00C230D9"/>
    <w:rsid w:val="00C23666"/>
    <w:rsid w:val="00C251A6"/>
    <w:rsid w:val="00C25358"/>
    <w:rsid w:val="00C2547C"/>
    <w:rsid w:val="00C263ED"/>
    <w:rsid w:val="00C265AC"/>
    <w:rsid w:val="00C272DA"/>
    <w:rsid w:val="00C27A1D"/>
    <w:rsid w:val="00C27CFB"/>
    <w:rsid w:val="00C30882"/>
    <w:rsid w:val="00C31909"/>
    <w:rsid w:val="00C32B9D"/>
    <w:rsid w:val="00C32BB7"/>
    <w:rsid w:val="00C33C4A"/>
    <w:rsid w:val="00C33F96"/>
    <w:rsid w:val="00C34381"/>
    <w:rsid w:val="00C348D9"/>
    <w:rsid w:val="00C36FC9"/>
    <w:rsid w:val="00C37E20"/>
    <w:rsid w:val="00C37F5E"/>
    <w:rsid w:val="00C4024E"/>
    <w:rsid w:val="00C406B0"/>
    <w:rsid w:val="00C40828"/>
    <w:rsid w:val="00C42143"/>
    <w:rsid w:val="00C43363"/>
    <w:rsid w:val="00C43930"/>
    <w:rsid w:val="00C43A41"/>
    <w:rsid w:val="00C43D70"/>
    <w:rsid w:val="00C45272"/>
    <w:rsid w:val="00C454D6"/>
    <w:rsid w:val="00C4567D"/>
    <w:rsid w:val="00C45A85"/>
    <w:rsid w:val="00C464C5"/>
    <w:rsid w:val="00C4692C"/>
    <w:rsid w:val="00C50CAD"/>
    <w:rsid w:val="00C51004"/>
    <w:rsid w:val="00C52DB9"/>
    <w:rsid w:val="00C53E6F"/>
    <w:rsid w:val="00C55E00"/>
    <w:rsid w:val="00C561F6"/>
    <w:rsid w:val="00C5652E"/>
    <w:rsid w:val="00C569B8"/>
    <w:rsid w:val="00C6033C"/>
    <w:rsid w:val="00C60828"/>
    <w:rsid w:val="00C6143E"/>
    <w:rsid w:val="00C62254"/>
    <w:rsid w:val="00C6460A"/>
    <w:rsid w:val="00C64947"/>
    <w:rsid w:val="00C64F75"/>
    <w:rsid w:val="00C66125"/>
    <w:rsid w:val="00C66D7D"/>
    <w:rsid w:val="00C66F25"/>
    <w:rsid w:val="00C70AD5"/>
    <w:rsid w:val="00C71252"/>
    <w:rsid w:val="00C715D2"/>
    <w:rsid w:val="00C716E0"/>
    <w:rsid w:val="00C718E7"/>
    <w:rsid w:val="00C71EBB"/>
    <w:rsid w:val="00C733D0"/>
    <w:rsid w:val="00C73BBE"/>
    <w:rsid w:val="00C7505D"/>
    <w:rsid w:val="00C7515B"/>
    <w:rsid w:val="00C7776C"/>
    <w:rsid w:val="00C778AA"/>
    <w:rsid w:val="00C80178"/>
    <w:rsid w:val="00C816C1"/>
    <w:rsid w:val="00C8178D"/>
    <w:rsid w:val="00C81A61"/>
    <w:rsid w:val="00C81A94"/>
    <w:rsid w:val="00C82401"/>
    <w:rsid w:val="00C831C3"/>
    <w:rsid w:val="00C87053"/>
    <w:rsid w:val="00C904DA"/>
    <w:rsid w:val="00C90904"/>
    <w:rsid w:val="00C934D2"/>
    <w:rsid w:val="00C94034"/>
    <w:rsid w:val="00C949C8"/>
    <w:rsid w:val="00C94FB9"/>
    <w:rsid w:val="00C95F5B"/>
    <w:rsid w:val="00C96DE7"/>
    <w:rsid w:val="00CA017A"/>
    <w:rsid w:val="00CA023F"/>
    <w:rsid w:val="00CA05AF"/>
    <w:rsid w:val="00CA0BF0"/>
    <w:rsid w:val="00CA1324"/>
    <w:rsid w:val="00CA1906"/>
    <w:rsid w:val="00CA3380"/>
    <w:rsid w:val="00CA3803"/>
    <w:rsid w:val="00CA3EAB"/>
    <w:rsid w:val="00CA576A"/>
    <w:rsid w:val="00CA69A8"/>
    <w:rsid w:val="00CA6C4D"/>
    <w:rsid w:val="00CB1CC3"/>
    <w:rsid w:val="00CB22A1"/>
    <w:rsid w:val="00CB394C"/>
    <w:rsid w:val="00CB40D8"/>
    <w:rsid w:val="00CB533F"/>
    <w:rsid w:val="00CB54C1"/>
    <w:rsid w:val="00CB56BC"/>
    <w:rsid w:val="00CB687B"/>
    <w:rsid w:val="00CB69E3"/>
    <w:rsid w:val="00CC0B1B"/>
    <w:rsid w:val="00CC0D5E"/>
    <w:rsid w:val="00CC12DE"/>
    <w:rsid w:val="00CC17CD"/>
    <w:rsid w:val="00CC191D"/>
    <w:rsid w:val="00CC24A7"/>
    <w:rsid w:val="00CC5DCC"/>
    <w:rsid w:val="00CC6726"/>
    <w:rsid w:val="00CC693F"/>
    <w:rsid w:val="00CC7B11"/>
    <w:rsid w:val="00CD0A8D"/>
    <w:rsid w:val="00CD1333"/>
    <w:rsid w:val="00CD24B4"/>
    <w:rsid w:val="00CD338B"/>
    <w:rsid w:val="00CD3EB0"/>
    <w:rsid w:val="00CD40E7"/>
    <w:rsid w:val="00CD4FD6"/>
    <w:rsid w:val="00CD51E1"/>
    <w:rsid w:val="00CD600F"/>
    <w:rsid w:val="00CD6E75"/>
    <w:rsid w:val="00CE052B"/>
    <w:rsid w:val="00CE247F"/>
    <w:rsid w:val="00CE4C16"/>
    <w:rsid w:val="00CE5B1E"/>
    <w:rsid w:val="00CE6E7B"/>
    <w:rsid w:val="00CE7626"/>
    <w:rsid w:val="00CF0912"/>
    <w:rsid w:val="00CF116C"/>
    <w:rsid w:val="00CF14C7"/>
    <w:rsid w:val="00CF348C"/>
    <w:rsid w:val="00CF4053"/>
    <w:rsid w:val="00CF5055"/>
    <w:rsid w:val="00CF5387"/>
    <w:rsid w:val="00CF5524"/>
    <w:rsid w:val="00CF64CC"/>
    <w:rsid w:val="00CF709D"/>
    <w:rsid w:val="00CF757F"/>
    <w:rsid w:val="00D010E5"/>
    <w:rsid w:val="00D01EDD"/>
    <w:rsid w:val="00D02136"/>
    <w:rsid w:val="00D028B2"/>
    <w:rsid w:val="00D03CC2"/>
    <w:rsid w:val="00D03CF7"/>
    <w:rsid w:val="00D0478A"/>
    <w:rsid w:val="00D058C4"/>
    <w:rsid w:val="00D06F09"/>
    <w:rsid w:val="00D073A6"/>
    <w:rsid w:val="00D10BB2"/>
    <w:rsid w:val="00D11422"/>
    <w:rsid w:val="00D12B8B"/>
    <w:rsid w:val="00D12EBA"/>
    <w:rsid w:val="00D13CEC"/>
    <w:rsid w:val="00D1446F"/>
    <w:rsid w:val="00D1488E"/>
    <w:rsid w:val="00D14D94"/>
    <w:rsid w:val="00D15194"/>
    <w:rsid w:val="00D157D7"/>
    <w:rsid w:val="00D15DAA"/>
    <w:rsid w:val="00D16166"/>
    <w:rsid w:val="00D162A6"/>
    <w:rsid w:val="00D20DA7"/>
    <w:rsid w:val="00D20E13"/>
    <w:rsid w:val="00D2316A"/>
    <w:rsid w:val="00D23DC0"/>
    <w:rsid w:val="00D2427F"/>
    <w:rsid w:val="00D24D37"/>
    <w:rsid w:val="00D25651"/>
    <w:rsid w:val="00D25C9F"/>
    <w:rsid w:val="00D26408"/>
    <w:rsid w:val="00D26D1C"/>
    <w:rsid w:val="00D30C41"/>
    <w:rsid w:val="00D31F2C"/>
    <w:rsid w:val="00D33F0F"/>
    <w:rsid w:val="00D34214"/>
    <w:rsid w:val="00D351ED"/>
    <w:rsid w:val="00D3673B"/>
    <w:rsid w:val="00D3717F"/>
    <w:rsid w:val="00D37CDC"/>
    <w:rsid w:val="00D40BD6"/>
    <w:rsid w:val="00D418D7"/>
    <w:rsid w:val="00D41C5C"/>
    <w:rsid w:val="00D4353F"/>
    <w:rsid w:val="00D43627"/>
    <w:rsid w:val="00D438F0"/>
    <w:rsid w:val="00D44FD8"/>
    <w:rsid w:val="00D45D3A"/>
    <w:rsid w:val="00D469B6"/>
    <w:rsid w:val="00D47448"/>
    <w:rsid w:val="00D47BC2"/>
    <w:rsid w:val="00D50688"/>
    <w:rsid w:val="00D50E64"/>
    <w:rsid w:val="00D5140B"/>
    <w:rsid w:val="00D51A93"/>
    <w:rsid w:val="00D51DBD"/>
    <w:rsid w:val="00D55387"/>
    <w:rsid w:val="00D55BDA"/>
    <w:rsid w:val="00D55FA8"/>
    <w:rsid w:val="00D56267"/>
    <w:rsid w:val="00D57796"/>
    <w:rsid w:val="00D60A23"/>
    <w:rsid w:val="00D62BF9"/>
    <w:rsid w:val="00D62E04"/>
    <w:rsid w:val="00D635CB"/>
    <w:rsid w:val="00D63B4E"/>
    <w:rsid w:val="00D64A64"/>
    <w:rsid w:val="00D6562A"/>
    <w:rsid w:val="00D65DF7"/>
    <w:rsid w:val="00D6661F"/>
    <w:rsid w:val="00D66727"/>
    <w:rsid w:val="00D667C2"/>
    <w:rsid w:val="00D6689A"/>
    <w:rsid w:val="00D66D65"/>
    <w:rsid w:val="00D679D0"/>
    <w:rsid w:val="00D67D75"/>
    <w:rsid w:val="00D67EB9"/>
    <w:rsid w:val="00D7063C"/>
    <w:rsid w:val="00D71588"/>
    <w:rsid w:val="00D71612"/>
    <w:rsid w:val="00D719D9"/>
    <w:rsid w:val="00D727DE"/>
    <w:rsid w:val="00D739EB"/>
    <w:rsid w:val="00D74F7D"/>
    <w:rsid w:val="00D7719D"/>
    <w:rsid w:val="00D779DB"/>
    <w:rsid w:val="00D77F5E"/>
    <w:rsid w:val="00D80A35"/>
    <w:rsid w:val="00D80A94"/>
    <w:rsid w:val="00D83A1C"/>
    <w:rsid w:val="00D83A51"/>
    <w:rsid w:val="00D8454C"/>
    <w:rsid w:val="00D8648D"/>
    <w:rsid w:val="00D86E9A"/>
    <w:rsid w:val="00D909DC"/>
    <w:rsid w:val="00D91132"/>
    <w:rsid w:val="00D94EC7"/>
    <w:rsid w:val="00D960AD"/>
    <w:rsid w:val="00D96930"/>
    <w:rsid w:val="00DA060F"/>
    <w:rsid w:val="00DA09BD"/>
    <w:rsid w:val="00DA36A7"/>
    <w:rsid w:val="00DA41DD"/>
    <w:rsid w:val="00DA469E"/>
    <w:rsid w:val="00DA51FC"/>
    <w:rsid w:val="00DA571D"/>
    <w:rsid w:val="00DA59C8"/>
    <w:rsid w:val="00DA5AFD"/>
    <w:rsid w:val="00DA7133"/>
    <w:rsid w:val="00DA783C"/>
    <w:rsid w:val="00DB1980"/>
    <w:rsid w:val="00DB2529"/>
    <w:rsid w:val="00DB3376"/>
    <w:rsid w:val="00DB343C"/>
    <w:rsid w:val="00DB46BF"/>
    <w:rsid w:val="00DB474F"/>
    <w:rsid w:val="00DB5460"/>
    <w:rsid w:val="00DB5E3B"/>
    <w:rsid w:val="00DB6E3A"/>
    <w:rsid w:val="00DB7DAC"/>
    <w:rsid w:val="00DB7F14"/>
    <w:rsid w:val="00DB7FC0"/>
    <w:rsid w:val="00DC086D"/>
    <w:rsid w:val="00DC087E"/>
    <w:rsid w:val="00DC1454"/>
    <w:rsid w:val="00DC2E81"/>
    <w:rsid w:val="00DC4CB1"/>
    <w:rsid w:val="00DC4D34"/>
    <w:rsid w:val="00DC6C9D"/>
    <w:rsid w:val="00DC71AB"/>
    <w:rsid w:val="00DD0551"/>
    <w:rsid w:val="00DD06C5"/>
    <w:rsid w:val="00DD0A43"/>
    <w:rsid w:val="00DD0E1C"/>
    <w:rsid w:val="00DD15B8"/>
    <w:rsid w:val="00DD1B5F"/>
    <w:rsid w:val="00DD2730"/>
    <w:rsid w:val="00DD4008"/>
    <w:rsid w:val="00DD4CDA"/>
    <w:rsid w:val="00DD5057"/>
    <w:rsid w:val="00DD73E4"/>
    <w:rsid w:val="00DD7B3C"/>
    <w:rsid w:val="00DD7B4F"/>
    <w:rsid w:val="00DE1244"/>
    <w:rsid w:val="00DE1A9E"/>
    <w:rsid w:val="00DE203A"/>
    <w:rsid w:val="00DE24D8"/>
    <w:rsid w:val="00DE25CE"/>
    <w:rsid w:val="00DE476F"/>
    <w:rsid w:val="00DE67F7"/>
    <w:rsid w:val="00DE68B2"/>
    <w:rsid w:val="00DE68DF"/>
    <w:rsid w:val="00DE6A78"/>
    <w:rsid w:val="00DE7844"/>
    <w:rsid w:val="00DE7D22"/>
    <w:rsid w:val="00DF05C6"/>
    <w:rsid w:val="00DF0C63"/>
    <w:rsid w:val="00DF0D84"/>
    <w:rsid w:val="00DF10CF"/>
    <w:rsid w:val="00DF149D"/>
    <w:rsid w:val="00DF21A3"/>
    <w:rsid w:val="00DF2B15"/>
    <w:rsid w:val="00DF310E"/>
    <w:rsid w:val="00DF3612"/>
    <w:rsid w:val="00DF388D"/>
    <w:rsid w:val="00DF3978"/>
    <w:rsid w:val="00DF3D06"/>
    <w:rsid w:val="00DF4523"/>
    <w:rsid w:val="00DF46C3"/>
    <w:rsid w:val="00DF61FE"/>
    <w:rsid w:val="00DF7146"/>
    <w:rsid w:val="00DF7EE3"/>
    <w:rsid w:val="00E00A69"/>
    <w:rsid w:val="00E00AFF"/>
    <w:rsid w:val="00E010E3"/>
    <w:rsid w:val="00E016CA"/>
    <w:rsid w:val="00E01BD8"/>
    <w:rsid w:val="00E02094"/>
    <w:rsid w:val="00E02ECF"/>
    <w:rsid w:val="00E02F8C"/>
    <w:rsid w:val="00E031D7"/>
    <w:rsid w:val="00E03DAB"/>
    <w:rsid w:val="00E04A0B"/>
    <w:rsid w:val="00E05826"/>
    <w:rsid w:val="00E0655A"/>
    <w:rsid w:val="00E074EC"/>
    <w:rsid w:val="00E07F7E"/>
    <w:rsid w:val="00E1058B"/>
    <w:rsid w:val="00E107A7"/>
    <w:rsid w:val="00E10F6C"/>
    <w:rsid w:val="00E1106A"/>
    <w:rsid w:val="00E11C25"/>
    <w:rsid w:val="00E13B23"/>
    <w:rsid w:val="00E14877"/>
    <w:rsid w:val="00E14A31"/>
    <w:rsid w:val="00E14A96"/>
    <w:rsid w:val="00E14CFE"/>
    <w:rsid w:val="00E14F1E"/>
    <w:rsid w:val="00E15FDA"/>
    <w:rsid w:val="00E160FB"/>
    <w:rsid w:val="00E1671C"/>
    <w:rsid w:val="00E17534"/>
    <w:rsid w:val="00E17993"/>
    <w:rsid w:val="00E17B8F"/>
    <w:rsid w:val="00E209F9"/>
    <w:rsid w:val="00E214B1"/>
    <w:rsid w:val="00E21798"/>
    <w:rsid w:val="00E21889"/>
    <w:rsid w:val="00E2198F"/>
    <w:rsid w:val="00E21C63"/>
    <w:rsid w:val="00E226C7"/>
    <w:rsid w:val="00E22EF5"/>
    <w:rsid w:val="00E22F53"/>
    <w:rsid w:val="00E234AC"/>
    <w:rsid w:val="00E24223"/>
    <w:rsid w:val="00E24ABB"/>
    <w:rsid w:val="00E25009"/>
    <w:rsid w:val="00E25182"/>
    <w:rsid w:val="00E2590F"/>
    <w:rsid w:val="00E26EC7"/>
    <w:rsid w:val="00E27A62"/>
    <w:rsid w:val="00E27E1C"/>
    <w:rsid w:val="00E27E9F"/>
    <w:rsid w:val="00E27EE6"/>
    <w:rsid w:val="00E30541"/>
    <w:rsid w:val="00E306D4"/>
    <w:rsid w:val="00E318C3"/>
    <w:rsid w:val="00E31A31"/>
    <w:rsid w:val="00E31A5E"/>
    <w:rsid w:val="00E32B93"/>
    <w:rsid w:val="00E33983"/>
    <w:rsid w:val="00E3536F"/>
    <w:rsid w:val="00E35971"/>
    <w:rsid w:val="00E359F1"/>
    <w:rsid w:val="00E3695E"/>
    <w:rsid w:val="00E375F2"/>
    <w:rsid w:val="00E37651"/>
    <w:rsid w:val="00E3769B"/>
    <w:rsid w:val="00E37AA2"/>
    <w:rsid w:val="00E37C4E"/>
    <w:rsid w:val="00E37EC8"/>
    <w:rsid w:val="00E40F96"/>
    <w:rsid w:val="00E430B5"/>
    <w:rsid w:val="00E433A5"/>
    <w:rsid w:val="00E433FC"/>
    <w:rsid w:val="00E43822"/>
    <w:rsid w:val="00E43C7E"/>
    <w:rsid w:val="00E44381"/>
    <w:rsid w:val="00E44897"/>
    <w:rsid w:val="00E44FA6"/>
    <w:rsid w:val="00E47768"/>
    <w:rsid w:val="00E50BC8"/>
    <w:rsid w:val="00E50D32"/>
    <w:rsid w:val="00E515DE"/>
    <w:rsid w:val="00E51F14"/>
    <w:rsid w:val="00E521C7"/>
    <w:rsid w:val="00E5292B"/>
    <w:rsid w:val="00E52A3B"/>
    <w:rsid w:val="00E53617"/>
    <w:rsid w:val="00E539ED"/>
    <w:rsid w:val="00E53C79"/>
    <w:rsid w:val="00E57F51"/>
    <w:rsid w:val="00E62017"/>
    <w:rsid w:val="00E621BD"/>
    <w:rsid w:val="00E64239"/>
    <w:rsid w:val="00E6450B"/>
    <w:rsid w:val="00E64971"/>
    <w:rsid w:val="00E64A66"/>
    <w:rsid w:val="00E64C35"/>
    <w:rsid w:val="00E6538B"/>
    <w:rsid w:val="00E65585"/>
    <w:rsid w:val="00E65804"/>
    <w:rsid w:val="00E65912"/>
    <w:rsid w:val="00E66574"/>
    <w:rsid w:val="00E6775C"/>
    <w:rsid w:val="00E67C49"/>
    <w:rsid w:val="00E70655"/>
    <w:rsid w:val="00E71949"/>
    <w:rsid w:val="00E725F1"/>
    <w:rsid w:val="00E72657"/>
    <w:rsid w:val="00E73238"/>
    <w:rsid w:val="00E7414A"/>
    <w:rsid w:val="00E77DED"/>
    <w:rsid w:val="00E818B4"/>
    <w:rsid w:val="00E81C32"/>
    <w:rsid w:val="00E82205"/>
    <w:rsid w:val="00E83D9A"/>
    <w:rsid w:val="00E86546"/>
    <w:rsid w:val="00E878D5"/>
    <w:rsid w:val="00E90529"/>
    <w:rsid w:val="00E90D6E"/>
    <w:rsid w:val="00E91231"/>
    <w:rsid w:val="00E91A75"/>
    <w:rsid w:val="00E91D60"/>
    <w:rsid w:val="00E923F9"/>
    <w:rsid w:val="00E93000"/>
    <w:rsid w:val="00E94439"/>
    <w:rsid w:val="00E944D9"/>
    <w:rsid w:val="00E94646"/>
    <w:rsid w:val="00E96CB2"/>
    <w:rsid w:val="00E96E24"/>
    <w:rsid w:val="00E972C0"/>
    <w:rsid w:val="00EA09B6"/>
    <w:rsid w:val="00EA0FB5"/>
    <w:rsid w:val="00EA139E"/>
    <w:rsid w:val="00EA1AF7"/>
    <w:rsid w:val="00EA280B"/>
    <w:rsid w:val="00EA435B"/>
    <w:rsid w:val="00EA56AE"/>
    <w:rsid w:val="00EA5ECD"/>
    <w:rsid w:val="00EA6029"/>
    <w:rsid w:val="00EA6718"/>
    <w:rsid w:val="00EA6A9E"/>
    <w:rsid w:val="00EA6AB1"/>
    <w:rsid w:val="00EB0706"/>
    <w:rsid w:val="00EB15C3"/>
    <w:rsid w:val="00EB16FD"/>
    <w:rsid w:val="00EB17A1"/>
    <w:rsid w:val="00EB1E2A"/>
    <w:rsid w:val="00EB320A"/>
    <w:rsid w:val="00EB5070"/>
    <w:rsid w:val="00EB5765"/>
    <w:rsid w:val="00EC0A63"/>
    <w:rsid w:val="00EC217A"/>
    <w:rsid w:val="00EC3E16"/>
    <w:rsid w:val="00EC422A"/>
    <w:rsid w:val="00EC6599"/>
    <w:rsid w:val="00ED008C"/>
    <w:rsid w:val="00ED086B"/>
    <w:rsid w:val="00ED10CC"/>
    <w:rsid w:val="00ED13BB"/>
    <w:rsid w:val="00ED2A74"/>
    <w:rsid w:val="00ED2DF7"/>
    <w:rsid w:val="00ED5AA8"/>
    <w:rsid w:val="00ED6DEC"/>
    <w:rsid w:val="00EE027E"/>
    <w:rsid w:val="00EE06FC"/>
    <w:rsid w:val="00EE0886"/>
    <w:rsid w:val="00EE13A2"/>
    <w:rsid w:val="00EE206E"/>
    <w:rsid w:val="00EE2D5F"/>
    <w:rsid w:val="00EE2F2D"/>
    <w:rsid w:val="00EE3A26"/>
    <w:rsid w:val="00EE404F"/>
    <w:rsid w:val="00EE45A3"/>
    <w:rsid w:val="00EE5134"/>
    <w:rsid w:val="00EE6D12"/>
    <w:rsid w:val="00EE7282"/>
    <w:rsid w:val="00EF0C36"/>
    <w:rsid w:val="00EF1B53"/>
    <w:rsid w:val="00EF1BB5"/>
    <w:rsid w:val="00EF33DB"/>
    <w:rsid w:val="00EF5D5E"/>
    <w:rsid w:val="00EF63B3"/>
    <w:rsid w:val="00EF69B8"/>
    <w:rsid w:val="00EF6BA7"/>
    <w:rsid w:val="00F01E1D"/>
    <w:rsid w:val="00F02DFD"/>
    <w:rsid w:val="00F03FDB"/>
    <w:rsid w:val="00F04368"/>
    <w:rsid w:val="00F058C0"/>
    <w:rsid w:val="00F05A4C"/>
    <w:rsid w:val="00F05AF5"/>
    <w:rsid w:val="00F05DFA"/>
    <w:rsid w:val="00F061DD"/>
    <w:rsid w:val="00F064B7"/>
    <w:rsid w:val="00F06F53"/>
    <w:rsid w:val="00F075BA"/>
    <w:rsid w:val="00F078F0"/>
    <w:rsid w:val="00F07C19"/>
    <w:rsid w:val="00F122AA"/>
    <w:rsid w:val="00F12BDE"/>
    <w:rsid w:val="00F13DB5"/>
    <w:rsid w:val="00F14378"/>
    <w:rsid w:val="00F14A29"/>
    <w:rsid w:val="00F14FD2"/>
    <w:rsid w:val="00F157FB"/>
    <w:rsid w:val="00F15B9B"/>
    <w:rsid w:val="00F169E3"/>
    <w:rsid w:val="00F16A20"/>
    <w:rsid w:val="00F16B10"/>
    <w:rsid w:val="00F17F4F"/>
    <w:rsid w:val="00F22AE9"/>
    <w:rsid w:val="00F22CFB"/>
    <w:rsid w:val="00F23EC7"/>
    <w:rsid w:val="00F24F10"/>
    <w:rsid w:val="00F252F1"/>
    <w:rsid w:val="00F25EE9"/>
    <w:rsid w:val="00F260E2"/>
    <w:rsid w:val="00F26311"/>
    <w:rsid w:val="00F2645C"/>
    <w:rsid w:val="00F277F1"/>
    <w:rsid w:val="00F27E03"/>
    <w:rsid w:val="00F3055A"/>
    <w:rsid w:val="00F32D1D"/>
    <w:rsid w:val="00F335B5"/>
    <w:rsid w:val="00F3433D"/>
    <w:rsid w:val="00F344C0"/>
    <w:rsid w:val="00F3468D"/>
    <w:rsid w:val="00F3513D"/>
    <w:rsid w:val="00F3538C"/>
    <w:rsid w:val="00F35F5A"/>
    <w:rsid w:val="00F36551"/>
    <w:rsid w:val="00F36687"/>
    <w:rsid w:val="00F37BB9"/>
    <w:rsid w:val="00F401D3"/>
    <w:rsid w:val="00F41A99"/>
    <w:rsid w:val="00F41EBD"/>
    <w:rsid w:val="00F4374D"/>
    <w:rsid w:val="00F43CAF"/>
    <w:rsid w:val="00F43DB0"/>
    <w:rsid w:val="00F500EE"/>
    <w:rsid w:val="00F505EB"/>
    <w:rsid w:val="00F51444"/>
    <w:rsid w:val="00F52A25"/>
    <w:rsid w:val="00F54E0C"/>
    <w:rsid w:val="00F55446"/>
    <w:rsid w:val="00F55B15"/>
    <w:rsid w:val="00F56B16"/>
    <w:rsid w:val="00F56D24"/>
    <w:rsid w:val="00F60D76"/>
    <w:rsid w:val="00F62639"/>
    <w:rsid w:val="00F64036"/>
    <w:rsid w:val="00F6490B"/>
    <w:rsid w:val="00F64BF6"/>
    <w:rsid w:val="00F65ADC"/>
    <w:rsid w:val="00F71862"/>
    <w:rsid w:val="00F71C55"/>
    <w:rsid w:val="00F727B7"/>
    <w:rsid w:val="00F730E6"/>
    <w:rsid w:val="00F73114"/>
    <w:rsid w:val="00F73247"/>
    <w:rsid w:val="00F746EF"/>
    <w:rsid w:val="00F75E91"/>
    <w:rsid w:val="00F75F61"/>
    <w:rsid w:val="00F80434"/>
    <w:rsid w:val="00F814EF"/>
    <w:rsid w:val="00F83E48"/>
    <w:rsid w:val="00F84FCC"/>
    <w:rsid w:val="00F867F8"/>
    <w:rsid w:val="00F8683F"/>
    <w:rsid w:val="00F86E94"/>
    <w:rsid w:val="00F87A73"/>
    <w:rsid w:val="00F90876"/>
    <w:rsid w:val="00F9139C"/>
    <w:rsid w:val="00F9235F"/>
    <w:rsid w:val="00F92BB2"/>
    <w:rsid w:val="00F93551"/>
    <w:rsid w:val="00F93A14"/>
    <w:rsid w:val="00F943BD"/>
    <w:rsid w:val="00F94533"/>
    <w:rsid w:val="00F94716"/>
    <w:rsid w:val="00F95D4B"/>
    <w:rsid w:val="00F95E77"/>
    <w:rsid w:val="00F96161"/>
    <w:rsid w:val="00F968DB"/>
    <w:rsid w:val="00FA0519"/>
    <w:rsid w:val="00FA09D4"/>
    <w:rsid w:val="00FA0F73"/>
    <w:rsid w:val="00FA20D4"/>
    <w:rsid w:val="00FA254B"/>
    <w:rsid w:val="00FA2746"/>
    <w:rsid w:val="00FA285C"/>
    <w:rsid w:val="00FA28A8"/>
    <w:rsid w:val="00FA4302"/>
    <w:rsid w:val="00FA7B2B"/>
    <w:rsid w:val="00FA7C5C"/>
    <w:rsid w:val="00FB03A0"/>
    <w:rsid w:val="00FB07FE"/>
    <w:rsid w:val="00FB0EFC"/>
    <w:rsid w:val="00FB16FC"/>
    <w:rsid w:val="00FB2A9A"/>
    <w:rsid w:val="00FB3CBF"/>
    <w:rsid w:val="00FB5B24"/>
    <w:rsid w:val="00FB6E00"/>
    <w:rsid w:val="00FB7263"/>
    <w:rsid w:val="00FC0679"/>
    <w:rsid w:val="00FC1D59"/>
    <w:rsid w:val="00FC244E"/>
    <w:rsid w:val="00FC329E"/>
    <w:rsid w:val="00FC32C7"/>
    <w:rsid w:val="00FC36EB"/>
    <w:rsid w:val="00FC375B"/>
    <w:rsid w:val="00FC5418"/>
    <w:rsid w:val="00FC54D1"/>
    <w:rsid w:val="00FC5828"/>
    <w:rsid w:val="00FC5F18"/>
    <w:rsid w:val="00FC6957"/>
    <w:rsid w:val="00FC6E57"/>
    <w:rsid w:val="00FC73C6"/>
    <w:rsid w:val="00FD01BF"/>
    <w:rsid w:val="00FD060F"/>
    <w:rsid w:val="00FD114C"/>
    <w:rsid w:val="00FD29B5"/>
    <w:rsid w:val="00FD2AEB"/>
    <w:rsid w:val="00FD32B5"/>
    <w:rsid w:val="00FD3D1E"/>
    <w:rsid w:val="00FD4314"/>
    <w:rsid w:val="00FD47E6"/>
    <w:rsid w:val="00FD548B"/>
    <w:rsid w:val="00FD5A9B"/>
    <w:rsid w:val="00FD6CD3"/>
    <w:rsid w:val="00FD70A6"/>
    <w:rsid w:val="00FD7959"/>
    <w:rsid w:val="00FD7E76"/>
    <w:rsid w:val="00FD7E85"/>
    <w:rsid w:val="00FE0D75"/>
    <w:rsid w:val="00FE0DCB"/>
    <w:rsid w:val="00FE1DEA"/>
    <w:rsid w:val="00FE32F6"/>
    <w:rsid w:val="00FE387A"/>
    <w:rsid w:val="00FE5846"/>
    <w:rsid w:val="00FE5B31"/>
    <w:rsid w:val="00FE5D5A"/>
    <w:rsid w:val="00FE63AA"/>
    <w:rsid w:val="00FE7488"/>
    <w:rsid w:val="00FE78ED"/>
    <w:rsid w:val="00FF0E00"/>
    <w:rsid w:val="00FF1DED"/>
    <w:rsid w:val="00FF357A"/>
    <w:rsid w:val="00FF3A25"/>
    <w:rsid w:val="00FF4F43"/>
    <w:rsid w:val="00FF5183"/>
    <w:rsid w:val="00FF5310"/>
    <w:rsid w:val="00FF60F7"/>
    <w:rsid w:val="00FF64FF"/>
    <w:rsid w:val="00FF6B0F"/>
    <w:rsid w:val="00FF73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14:docId w14:val="4EB5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9E"/>
    <w:rPr>
      <w:rFonts w:asciiTheme="minorHAnsi" w:hAnsiTheme="minorHAnsi"/>
      <w:sz w:val="24"/>
      <w:szCs w:val="24"/>
    </w:rPr>
  </w:style>
  <w:style w:type="paragraph" w:styleId="Heading1">
    <w:name w:val="heading 1"/>
    <w:basedOn w:val="Normal"/>
    <w:next w:val="Normal"/>
    <w:link w:val="Heading1Char"/>
    <w:qFormat/>
    <w:rsid w:val="00C06B51"/>
    <w:pPr>
      <w:keepNext/>
      <w:keepLines/>
      <w:numPr>
        <w:numId w:val="5"/>
      </w:numPr>
      <w:spacing w:before="240" w:after="240"/>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qFormat/>
    <w:rsid w:val="008816FF"/>
    <w:pPr>
      <w:keepNext/>
      <w:keepLines/>
      <w:numPr>
        <w:ilvl w:val="1"/>
        <w:numId w:val="5"/>
      </w:numPr>
      <w:spacing w:before="240" w:after="240"/>
      <w:ind w:left="578" w:hanging="578"/>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8816FF"/>
    <w:pPr>
      <w:keepNext/>
      <w:keepLines/>
      <w:numPr>
        <w:ilvl w:val="2"/>
        <w:numId w:val="5"/>
      </w:numPr>
      <w:spacing w:before="200" w:after="120"/>
      <w:ind w:left="72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975A35"/>
    <w:pPr>
      <w:keepNext/>
      <w:keepLines/>
      <w:numPr>
        <w:ilvl w:val="3"/>
        <w:numId w:val="5"/>
      </w:numPr>
      <w:spacing w:before="200" w:after="120"/>
      <w:outlineLvl w:val="3"/>
    </w:pPr>
    <w:rPr>
      <w:rFonts w:ascii="Calibri" w:eastAsiaTheme="majorEastAsia" w:hAnsi="Calibri" w:cstheme="majorBidi"/>
      <w:b/>
      <w:bCs/>
      <w:i/>
      <w:iCs/>
      <w:snapToGrid w:val="0"/>
    </w:rPr>
  </w:style>
  <w:style w:type="paragraph" w:styleId="Heading5">
    <w:name w:val="heading 5"/>
    <w:basedOn w:val="Normal"/>
    <w:next w:val="Normal"/>
    <w:link w:val="Heading5Char"/>
    <w:unhideWhenUsed/>
    <w:qFormat/>
    <w:rsid w:val="00875F09"/>
    <w:pPr>
      <w:keepNext/>
      <w:keepLines/>
      <w:numPr>
        <w:ilvl w:val="4"/>
        <w:numId w:val="5"/>
      </w:numPr>
      <w:spacing w:before="20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nhideWhenUsed/>
    <w:qFormat/>
    <w:rsid w:val="00875F09"/>
    <w:pPr>
      <w:keepNext/>
      <w:keepLines/>
      <w:numPr>
        <w:ilvl w:val="5"/>
        <w:numId w:val="5"/>
      </w:numPr>
      <w:spacing w:before="20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9"/>
    <w:unhideWhenUsed/>
    <w:qFormat/>
    <w:rsid w:val="00875F0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B51"/>
    <w:rPr>
      <w:rFonts w:ascii="Calibri" w:eastAsiaTheme="majorEastAsia" w:hAnsi="Calibri" w:cstheme="majorBidi"/>
      <w:b/>
      <w:bCs/>
      <w:sz w:val="28"/>
      <w:szCs w:val="28"/>
    </w:rPr>
  </w:style>
  <w:style w:type="character" w:customStyle="1" w:styleId="Heading2Char">
    <w:name w:val="Heading 2 Char"/>
    <w:basedOn w:val="DefaultParagraphFont"/>
    <w:link w:val="Heading2"/>
    <w:rsid w:val="008816FF"/>
    <w:rPr>
      <w:rFonts w:ascii="Calibri" w:eastAsiaTheme="majorEastAsia" w:hAnsi="Calibri" w:cstheme="majorBidi"/>
      <w:b/>
      <w:bCs/>
      <w:sz w:val="26"/>
      <w:szCs w:val="26"/>
    </w:rPr>
  </w:style>
  <w:style w:type="character" w:customStyle="1" w:styleId="Heading3Char">
    <w:name w:val="Heading 3 Char"/>
    <w:basedOn w:val="DefaultParagraphFont"/>
    <w:link w:val="Heading3"/>
    <w:rsid w:val="008816FF"/>
    <w:rPr>
      <w:rFonts w:ascii="Calibri" w:eastAsiaTheme="majorEastAsia" w:hAnsi="Calibri" w:cstheme="majorBidi"/>
      <w:b/>
      <w:bCs/>
      <w:sz w:val="24"/>
      <w:szCs w:val="24"/>
    </w:rPr>
  </w:style>
  <w:style w:type="character" w:customStyle="1" w:styleId="Heading4Char">
    <w:name w:val="Heading 4 Char"/>
    <w:basedOn w:val="DefaultParagraphFont"/>
    <w:link w:val="Heading4"/>
    <w:rsid w:val="00975A35"/>
    <w:rPr>
      <w:rFonts w:ascii="Calibri" w:eastAsiaTheme="majorEastAsia" w:hAnsi="Calibri" w:cstheme="majorBidi"/>
      <w:b/>
      <w:bCs/>
      <w:i/>
      <w:iCs/>
      <w:snapToGrid w:val="0"/>
      <w:sz w:val="24"/>
      <w:szCs w:val="24"/>
    </w:rPr>
  </w:style>
  <w:style w:type="character" w:customStyle="1" w:styleId="Heading5Char">
    <w:name w:val="Heading 5 Char"/>
    <w:basedOn w:val="DefaultParagraphFont"/>
    <w:link w:val="Heading5"/>
    <w:rsid w:val="00875F09"/>
    <w:rPr>
      <w:rFonts w:asciiTheme="majorHAnsi" w:eastAsiaTheme="majorEastAsia" w:hAnsiTheme="majorHAnsi" w:cstheme="majorBidi"/>
      <w:color w:val="826600" w:themeColor="accent1" w:themeShade="7F"/>
      <w:sz w:val="24"/>
      <w:szCs w:val="24"/>
    </w:rPr>
  </w:style>
  <w:style w:type="character" w:customStyle="1" w:styleId="Heading6Char">
    <w:name w:val="Heading 6 Char"/>
    <w:basedOn w:val="DefaultParagraphFont"/>
    <w:link w:val="Heading6"/>
    <w:rsid w:val="00875F09"/>
    <w:rPr>
      <w:rFonts w:asciiTheme="majorHAnsi" w:eastAsiaTheme="majorEastAsia" w:hAnsiTheme="majorHAnsi" w:cstheme="majorBidi"/>
      <w:i/>
      <w:iCs/>
      <w:color w:val="826600" w:themeColor="accent1" w:themeShade="7F"/>
      <w:sz w:val="24"/>
      <w:szCs w:val="24"/>
    </w:rPr>
  </w:style>
  <w:style w:type="character" w:customStyle="1" w:styleId="Heading7Char">
    <w:name w:val="Heading 7 Char"/>
    <w:basedOn w:val="DefaultParagraphFont"/>
    <w:link w:val="Heading7"/>
    <w:uiPriority w:val="99"/>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0E2DFC"/>
    <w:pPr>
      <w:tabs>
        <w:tab w:val="left" w:pos="480"/>
        <w:tab w:val="right" w:leader="dot" w:pos="9344"/>
      </w:tabs>
      <w:spacing w:after="100"/>
    </w:pPr>
    <w:rPr>
      <w:b/>
      <w:noProof/>
      <w:sz w:val="22"/>
      <w:szCs w:val="22"/>
    </w:rPr>
  </w:style>
  <w:style w:type="paragraph" w:styleId="TOC2">
    <w:name w:val="toc 2"/>
    <w:basedOn w:val="Normal"/>
    <w:next w:val="Normal"/>
    <w:autoRedefine/>
    <w:uiPriority w:val="39"/>
    <w:rsid w:val="00C43363"/>
    <w:pPr>
      <w:tabs>
        <w:tab w:val="left" w:pos="960"/>
        <w:tab w:val="right" w:leader="dot" w:pos="9344"/>
      </w:tabs>
      <w:spacing w:after="100"/>
      <w:ind w:left="240"/>
    </w:pPr>
    <w:rPr>
      <w:noProof/>
      <w:sz w:val="20"/>
      <w:szCs w:val="20"/>
    </w:r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C64F75"/>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rsid w:val="00625E8D"/>
    <w:pPr>
      <w:tabs>
        <w:tab w:val="center" w:pos="4513"/>
        <w:tab w:val="right" w:pos="9026"/>
      </w:tabs>
    </w:pPr>
  </w:style>
  <w:style w:type="character" w:customStyle="1" w:styleId="HeaderChar">
    <w:name w:val="Header Char"/>
    <w:basedOn w:val="DefaultParagraphFont"/>
    <w:link w:val="Header"/>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qFormat/>
    <w:rsid w:val="00975A35"/>
    <w:pPr>
      <w:pBdr>
        <w:bottom w:val="single" w:sz="8" w:space="4" w:color="FFCA08" w:themeColor="accent1"/>
      </w:pBdr>
      <w:spacing w:after="300"/>
      <w:contextualSpacing/>
    </w:pPr>
    <w:rPr>
      <w:rFonts w:ascii="Calibri" w:eastAsiaTheme="majorEastAsia" w:hAnsi="Calibri" w:cstheme="majorBidi"/>
      <w:b/>
      <w:spacing w:val="5"/>
      <w:kern w:val="28"/>
      <w:sz w:val="52"/>
      <w:szCs w:val="52"/>
    </w:rPr>
  </w:style>
  <w:style w:type="character" w:customStyle="1" w:styleId="TitleChar">
    <w:name w:val="Title Char"/>
    <w:basedOn w:val="DefaultParagraphFont"/>
    <w:link w:val="Title"/>
    <w:rsid w:val="00975A35"/>
    <w:rPr>
      <w:rFonts w:ascii="Calibri" w:eastAsiaTheme="majorEastAsia" w:hAnsi="Calibri" w:cstheme="majorBidi"/>
      <w:b/>
      <w:spacing w:val="5"/>
      <w:kern w:val="28"/>
      <w:sz w:val="52"/>
      <w:szCs w:val="52"/>
    </w:rPr>
  </w:style>
  <w:style w:type="paragraph" w:customStyle="1" w:styleId="Bullets">
    <w:name w:val="Bullets"/>
    <w:basedOn w:val="Normal"/>
    <w:link w:val="BulletsChar"/>
    <w:qFormat/>
    <w:rsid w:val="00944E0E"/>
    <w:pPr>
      <w:numPr>
        <w:numId w:val="1"/>
      </w:numPr>
      <w:spacing w:before="120" w:after="120"/>
      <w:ind w:left="357" w:hanging="357"/>
    </w:pPr>
  </w:style>
  <w:style w:type="character" w:customStyle="1" w:styleId="BulletsChar">
    <w:name w:val="Bullets Char"/>
    <w:basedOn w:val="DefaultParagraphFont"/>
    <w:link w:val="Bullets"/>
    <w:rsid w:val="00944E0E"/>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qFormat/>
    <w:rsid w:val="00975A35"/>
    <w:pPr>
      <w:spacing w:before="240" w:after="240"/>
      <w:ind w:left="567" w:right="567"/>
    </w:pPr>
    <w:rPr>
      <w:i/>
      <w:color w:val="808080" w:themeColor="background1" w:themeShade="80"/>
    </w:rPr>
  </w:style>
  <w:style w:type="character" w:styleId="Emphasis">
    <w:name w:val="Emphasis"/>
    <w:basedOn w:val="DefaultParagraphFont"/>
    <w:rsid w:val="008A6E0A"/>
    <w:rPr>
      <w:i/>
      <w:iCs/>
    </w:rPr>
  </w:style>
  <w:style w:type="character" w:styleId="Strong">
    <w:name w:val="Strong"/>
    <w:basedOn w:val="DefaultParagraphFont"/>
    <w:rsid w:val="008A6E0A"/>
    <w:rPr>
      <w:b/>
      <w:bCs/>
    </w:rPr>
  </w:style>
  <w:style w:type="paragraph" w:styleId="Subtitle">
    <w:name w:val="Subtitle"/>
    <w:basedOn w:val="Normal"/>
    <w:next w:val="Normal"/>
    <w:link w:val="SubtitleChar"/>
    <w:rsid w:val="008A6E0A"/>
    <w:pPr>
      <w:numPr>
        <w:ilvl w:val="1"/>
      </w:numPr>
    </w:pPr>
    <w:rPr>
      <w:rFonts w:asciiTheme="majorHAnsi" w:eastAsiaTheme="majorEastAsia" w:hAnsiTheme="majorHAnsi" w:cstheme="majorBidi"/>
      <w:i/>
      <w:iCs/>
      <w:color w:val="FFCA08" w:themeColor="accent1"/>
      <w:spacing w:val="15"/>
    </w:rPr>
  </w:style>
  <w:style w:type="character" w:customStyle="1" w:styleId="SubtitleChar">
    <w:name w:val="Subtitle Char"/>
    <w:basedOn w:val="DefaultParagraphFont"/>
    <w:link w:val="Subtitle"/>
    <w:rsid w:val="008A6E0A"/>
    <w:rPr>
      <w:rFonts w:asciiTheme="majorHAnsi" w:eastAsiaTheme="majorEastAsia" w:hAnsiTheme="majorHAnsi" w:cstheme="majorBidi"/>
      <w:i/>
      <w:iCs/>
      <w:color w:val="FFCA08" w:themeColor="accent1"/>
      <w:spacing w:val="15"/>
      <w:sz w:val="24"/>
      <w:szCs w:val="24"/>
    </w:rPr>
  </w:style>
  <w:style w:type="character" w:styleId="SubtleEmphasis">
    <w:name w:val="Subtle Emphasis"/>
    <w:basedOn w:val="DefaultParagraphFont"/>
    <w:uiPriority w:val="19"/>
    <w:rsid w:val="008A6E0A"/>
    <w:rPr>
      <w:i/>
      <w:iCs/>
      <w:color w:val="808080" w:themeColor="text1" w:themeTint="7F"/>
    </w:rPr>
  </w:style>
  <w:style w:type="character" w:styleId="IntenseEmphasis">
    <w:name w:val="Intense Emphasis"/>
    <w:basedOn w:val="DefaultParagraphFont"/>
    <w:uiPriority w:val="21"/>
    <w:rsid w:val="008A6E0A"/>
    <w:rPr>
      <w:b/>
      <w:bCs/>
      <w:i/>
      <w:iCs/>
      <w:color w:val="FFCA08" w:themeColor="accent1"/>
    </w:rPr>
  </w:style>
  <w:style w:type="paragraph" w:styleId="IntenseQuote">
    <w:name w:val="Intense Quote"/>
    <w:basedOn w:val="Normal"/>
    <w:next w:val="Normal"/>
    <w:link w:val="IntenseQuoteChar"/>
    <w:uiPriority w:val="30"/>
    <w:rsid w:val="008A6E0A"/>
    <w:pPr>
      <w:pBdr>
        <w:bottom w:val="single" w:sz="4" w:space="4" w:color="FFCA08" w:themeColor="accent1"/>
      </w:pBdr>
      <w:spacing w:before="200" w:after="280"/>
      <w:ind w:left="936" w:right="936"/>
    </w:pPr>
    <w:rPr>
      <w:b/>
      <w:bCs/>
      <w:i/>
      <w:iCs/>
      <w:color w:val="FFCA08"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FFCA08" w:themeColor="accent1"/>
      <w:sz w:val="24"/>
      <w:szCs w:val="24"/>
    </w:rPr>
  </w:style>
  <w:style w:type="character" w:styleId="SubtleReference">
    <w:name w:val="Subtle Reference"/>
    <w:basedOn w:val="DefaultParagraphFont"/>
    <w:uiPriority w:val="31"/>
    <w:rsid w:val="008A6E0A"/>
    <w:rPr>
      <w:smallCaps/>
      <w:color w:val="F8931D" w:themeColor="accent2"/>
      <w:u w:val="single"/>
    </w:rPr>
  </w:style>
  <w:style w:type="character" w:styleId="IntenseReference">
    <w:name w:val="Intense Reference"/>
    <w:basedOn w:val="DefaultParagraphFont"/>
    <w:uiPriority w:val="32"/>
    <w:rsid w:val="008A6E0A"/>
    <w:rPr>
      <w:b/>
      <w:bCs/>
      <w:smallCaps/>
      <w:color w:val="F8931D" w:themeColor="accent2"/>
      <w:spacing w:val="5"/>
      <w:u w:val="single"/>
    </w:rPr>
  </w:style>
  <w:style w:type="character" w:styleId="BookTitle">
    <w:name w:val="Book Title"/>
    <w:basedOn w:val="DefaultParagraphFont"/>
    <w:uiPriority w:val="33"/>
    <w:rsid w:val="008A6E0A"/>
    <w:rPr>
      <w:b/>
      <w:bCs/>
      <w:smallCaps/>
      <w:spacing w:val="5"/>
    </w:rPr>
  </w:style>
  <w:style w:type="table" w:styleId="TableGrid">
    <w:name w:val="Table Grid"/>
    <w:basedOn w:val="TableNormal"/>
    <w:uiPriority w:val="3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975A35"/>
    <w:pPr>
      <w:spacing w:before="120" w:after="200"/>
    </w:pPr>
    <w:rPr>
      <w:b/>
      <w:bCs/>
      <w:szCs w:val="18"/>
    </w:rPr>
  </w:style>
  <w:style w:type="paragraph" w:styleId="FootnoteText">
    <w:name w:val="footnote text"/>
    <w:basedOn w:val="Normal"/>
    <w:link w:val="FootnoteTextChar"/>
    <w:rsid w:val="00950D8E"/>
    <w:rPr>
      <w:sz w:val="20"/>
      <w:szCs w:val="20"/>
    </w:rPr>
  </w:style>
  <w:style w:type="character" w:customStyle="1" w:styleId="FootnoteTextChar">
    <w:name w:val="Footnote Text Char"/>
    <w:basedOn w:val="DefaultParagraphFont"/>
    <w:link w:val="FootnoteText"/>
    <w:rsid w:val="00950D8E"/>
    <w:rPr>
      <w:rFonts w:asciiTheme="minorHAnsi" w:hAnsiTheme="minorHAnsi"/>
    </w:rPr>
  </w:style>
  <w:style w:type="character" w:styleId="FootnoteReference">
    <w:name w:val="footnote reference"/>
    <w:basedOn w:val="DefaultParagraphFont"/>
    <w:rsid w:val="00950D8E"/>
    <w:rPr>
      <w:vertAlign w:val="superscript"/>
    </w:rPr>
  </w:style>
  <w:style w:type="paragraph" w:styleId="TableofFigures">
    <w:name w:val="table of figures"/>
    <w:basedOn w:val="Normal"/>
    <w:next w:val="Normal"/>
    <w:uiPriority w:val="99"/>
    <w:rsid w:val="00B16036"/>
  </w:style>
  <w:style w:type="table" w:styleId="TableContemporary">
    <w:name w:val="Table Contemporary"/>
    <w:basedOn w:val="TableNormal"/>
    <w:rsid w:val="00031CF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4A4C50"/>
    <w:rPr>
      <w:sz w:val="22"/>
      <w:szCs w:val="22"/>
      <w:lang w:eastAsia="en-US"/>
    </w:rPr>
  </w:style>
  <w:style w:type="character" w:customStyle="1" w:styleId="FooterChar1">
    <w:name w:val="Footer Char1"/>
    <w:uiPriority w:val="99"/>
    <w:rsid w:val="004A4C50"/>
    <w:rPr>
      <w:sz w:val="22"/>
      <w:szCs w:val="22"/>
      <w:lang w:eastAsia="en-US"/>
    </w:rPr>
  </w:style>
  <w:style w:type="paragraph" w:styleId="ListParagraph">
    <w:name w:val="List Paragraph"/>
    <w:basedOn w:val="Normal"/>
    <w:uiPriority w:val="34"/>
    <w:qFormat/>
    <w:rsid w:val="003A7BF5"/>
    <w:pPr>
      <w:ind w:left="720"/>
      <w:contextualSpacing/>
    </w:pPr>
  </w:style>
  <w:style w:type="character" w:customStyle="1" w:styleId="name">
    <w:name w:val="name"/>
    <w:basedOn w:val="DefaultParagraphFont"/>
    <w:rsid w:val="00523E3B"/>
  </w:style>
  <w:style w:type="character" w:customStyle="1" w:styleId="apple-converted-space">
    <w:name w:val="apple-converted-space"/>
    <w:basedOn w:val="DefaultParagraphFont"/>
    <w:rsid w:val="00523E3B"/>
  </w:style>
  <w:style w:type="paragraph" w:styleId="NormalWeb">
    <w:name w:val="Normal (Web)"/>
    <w:basedOn w:val="Normal"/>
    <w:uiPriority w:val="99"/>
    <w:unhideWhenUsed/>
    <w:rsid w:val="00523E3B"/>
    <w:pPr>
      <w:spacing w:before="100" w:beforeAutospacing="1" w:after="100" w:afterAutospacing="1"/>
    </w:pPr>
    <w:rPr>
      <w:rFonts w:ascii="Times New Roman" w:hAnsi="Times New Roman"/>
    </w:rPr>
  </w:style>
  <w:style w:type="paragraph" w:customStyle="1" w:styleId="Bullet">
    <w:name w:val="Bullet"/>
    <w:basedOn w:val="Bullets"/>
    <w:link w:val="BulletChar"/>
    <w:qFormat/>
    <w:rsid w:val="00822A65"/>
    <w:pPr>
      <w:tabs>
        <w:tab w:val="num" w:pos="360"/>
      </w:tabs>
      <w:autoSpaceDE w:val="0"/>
      <w:autoSpaceDN w:val="0"/>
    </w:pPr>
    <w:rPr>
      <w:rFonts w:ascii="Calibri" w:hAnsi="Calibri" w:cs="Calibri"/>
    </w:rPr>
  </w:style>
  <w:style w:type="character" w:customStyle="1" w:styleId="BulletChar">
    <w:name w:val="Bullet Char"/>
    <w:basedOn w:val="BulletsChar"/>
    <w:link w:val="Bullet"/>
    <w:rsid w:val="00822A65"/>
    <w:rPr>
      <w:rFonts w:ascii="Calibri" w:hAnsi="Calibri" w:cs="Calibri"/>
      <w:sz w:val="24"/>
      <w:szCs w:val="24"/>
    </w:rPr>
  </w:style>
  <w:style w:type="character" w:styleId="CommentReference">
    <w:name w:val="annotation reference"/>
    <w:basedOn w:val="DefaultParagraphFont"/>
    <w:rsid w:val="00293CBD"/>
    <w:rPr>
      <w:sz w:val="16"/>
      <w:szCs w:val="16"/>
    </w:rPr>
  </w:style>
  <w:style w:type="paragraph" w:styleId="CommentText">
    <w:name w:val="annotation text"/>
    <w:basedOn w:val="Normal"/>
    <w:link w:val="CommentTextChar"/>
    <w:rsid w:val="00293CBD"/>
    <w:rPr>
      <w:sz w:val="20"/>
      <w:szCs w:val="20"/>
    </w:rPr>
  </w:style>
  <w:style w:type="character" w:customStyle="1" w:styleId="CommentTextChar">
    <w:name w:val="Comment Text Char"/>
    <w:basedOn w:val="DefaultParagraphFont"/>
    <w:link w:val="CommentText"/>
    <w:rsid w:val="00293CBD"/>
    <w:rPr>
      <w:rFonts w:asciiTheme="minorHAnsi" w:hAnsiTheme="minorHAnsi"/>
    </w:rPr>
  </w:style>
  <w:style w:type="paragraph" w:styleId="CommentSubject">
    <w:name w:val="annotation subject"/>
    <w:basedOn w:val="CommentText"/>
    <w:next w:val="CommentText"/>
    <w:link w:val="CommentSubjectChar"/>
    <w:rsid w:val="00293CBD"/>
    <w:rPr>
      <w:b/>
      <w:bCs/>
    </w:rPr>
  </w:style>
  <w:style w:type="character" w:customStyle="1" w:styleId="CommentSubjectChar">
    <w:name w:val="Comment Subject Char"/>
    <w:basedOn w:val="CommentTextChar"/>
    <w:link w:val="CommentSubject"/>
    <w:rsid w:val="00293CBD"/>
    <w:rPr>
      <w:rFonts w:asciiTheme="minorHAnsi" w:hAnsiTheme="minorHAnsi"/>
      <w:b/>
      <w:bCs/>
    </w:rPr>
  </w:style>
  <w:style w:type="paragraph" w:styleId="DocumentMap">
    <w:name w:val="Document Map"/>
    <w:basedOn w:val="Normal"/>
    <w:link w:val="DocumentMapChar"/>
    <w:rsid w:val="00145CEA"/>
    <w:rPr>
      <w:rFonts w:ascii="Lucida Grande" w:hAnsi="Lucida Grande"/>
    </w:rPr>
  </w:style>
  <w:style w:type="character" w:customStyle="1" w:styleId="DocumentMapChar">
    <w:name w:val="Document Map Char"/>
    <w:basedOn w:val="DefaultParagraphFont"/>
    <w:link w:val="DocumentMap"/>
    <w:rsid w:val="00145CEA"/>
    <w:rPr>
      <w:rFonts w:ascii="Lucida Grande" w:hAnsi="Lucida Grande"/>
      <w:sz w:val="24"/>
      <w:szCs w:val="24"/>
    </w:rPr>
  </w:style>
  <w:style w:type="character" w:styleId="FollowedHyperlink">
    <w:name w:val="FollowedHyperlink"/>
    <w:basedOn w:val="DefaultParagraphFont"/>
    <w:uiPriority w:val="99"/>
    <w:rsid w:val="00500412"/>
    <w:rPr>
      <w:color w:val="7F723D" w:themeColor="followedHyperlink"/>
      <w:u w:val="single"/>
    </w:rPr>
  </w:style>
  <w:style w:type="paragraph" w:customStyle="1" w:styleId="PFNumLevel2">
    <w:name w:val="PF (Num) Level 2"/>
    <w:basedOn w:val="Normal"/>
    <w:rsid w:val="00395A13"/>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395A13"/>
    <w:pPr>
      <w:numPr>
        <w:ilvl w:val="2"/>
        <w:numId w:val="2"/>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395A13"/>
    <w:pPr>
      <w:numPr>
        <w:ilvl w:val="3"/>
        <w:numId w:val="2"/>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395A13"/>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395A13"/>
    <w:pPr>
      <w:keepLines w:val="0"/>
      <w:numPr>
        <w:numId w:val="2"/>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395A13"/>
    <w:pPr>
      <w:numPr>
        <w:ilvl w:val="5"/>
      </w:numPr>
    </w:pPr>
  </w:style>
  <w:style w:type="paragraph" w:customStyle="1" w:styleId="Table">
    <w:name w:val="Table"/>
    <w:basedOn w:val="Normal"/>
    <w:rsid w:val="00F62639"/>
    <w:pPr>
      <w:spacing w:before="60" w:after="60"/>
    </w:pPr>
    <w:rPr>
      <w:rFonts w:ascii="Arial" w:hAnsi="Arial"/>
      <w:snapToGrid w:val="0"/>
      <w:sz w:val="18"/>
      <w:szCs w:val="20"/>
    </w:rPr>
  </w:style>
  <w:style w:type="table" w:customStyle="1" w:styleId="AABlackTable1">
    <w:name w:val="AABlackTable1"/>
    <w:basedOn w:val="TableNormal"/>
    <w:uiPriority w:val="99"/>
    <w:rsid w:val="00F62639"/>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B0A40"/>
    <w:pPr>
      <w:ind w:left="720"/>
    </w:pPr>
  </w:style>
  <w:style w:type="paragraph" w:styleId="TOC5">
    <w:name w:val="toc 5"/>
    <w:basedOn w:val="Normal"/>
    <w:next w:val="Normal"/>
    <w:autoRedefine/>
    <w:uiPriority w:val="39"/>
    <w:rsid w:val="000B0A40"/>
    <w:pPr>
      <w:ind w:left="960"/>
    </w:pPr>
  </w:style>
  <w:style w:type="paragraph" w:styleId="TOC6">
    <w:name w:val="toc 6"/>
    <w:basedOn w:val="Normal"/>
    <w:next w:val="Normal"/>
    <w:autoRedefine/>
    <w:uiPriority w:val="39"/>
    <w:rsid w:val="000B0A40"/>
    <w:pPr>
      <w:ind w:left="1200"/>
    </w:pPr>
  </w:style>
  <w:style w:type="paragraph" w:styleId="TOC7">
    <w:name w:val="toc 7"/>
    <w:basedOn w:val="Normal"/>
    <w:next w:val="Normal"/>
    <w:autoRedefine/>
    <w:uiPriority w:val="39"/>
    <w:rsid w:val="000B0A40"/>
    <w:pPr>
      <w:ind w:left="1440"/>
    </w:pPr>
  </w:style>
  <w:style w:type="paragraph" w:styleId="TOC8">
    <w:name w:val="toc 8"/>
    <w:basedOn w:val="Normal"/>
    <w:next w:val="Normal"/>
    <w:autoRedefine/>
    <w:uiPriority w:val="39"/>
    <w:rsid w:val="000B0A40"/>
    <w:pPr>
      <w:ind w:left="1680"/>
    </w:pPr>
  </w:style>
  <w:style w:type="paragraph" w:styleId="TOC9">
    <w:name w:val="toc 9"/>
    <w:basedOn w:val="Normal"/>
    <w:next w:val="Normal"/>
    <w:autoRedefine/>
    <w:uiPriority w:val="39"/>
    <w:rsid w:val="000B0A40"/>
    <w:pPr>
      <w:ind w:left="1920"/>
    </w:pPr>
  </w:style>
  <w:style w:type="paragraph" w:customStyle="1" w:styleId="Default">
    <w:name w:val="Default"/>
    <w:rsid w:val="00034ADD"/>
    <w:pPr>
      <w:autoSpaceDE w:val="0"/>
      <w:autoSpaceDN w:val="0"/>
      <w:adjustRightInd w:val="0"/>
    </w:pPr>
    <w:rPr>
      <w:color w:val="000000"/>
      <w:sz w:val="24"/>
      <w:szCs w:val="24"/>
    </w:rPr>
  </w:style>
  <w:style w:type="paragraph" w:customStyle="1" w:styleId="1BulletList">
    <w:name w:val="1Bullet List"/>
    <w:rsid w:val="006A7B67"/>
    <w:pPr>
      <w:numPr>
        <w:numId w:val="3"/>
      </w:numPr>
      <w:tabs>
        <w:tab w:val="left" w:pos="720"/>
      </w:tabs>
    </w:pPr>
    <w:rPr>
      <w:rFonts w:ascii="Arial" w:hAnsi="Arial"/>
      <w:snapToGrid w:val="0"/>
      <w:sz w:val="24"/>
      <w:lang w:val="en-US" w:eastAsia="en-US"/>
    </w:rPr>
  </w:style>
  <w:style w:type="character" w:styleId="PageNumber">
    <w:name w:val="page number"/>
    <w:basedOn w:val="DefaultParagraphFont"/>
    <w:rsid w:val="006A7B67"/>
  </w:style>
  <w:style w:type="paragraph" w:customStyle="1" w:styleId="a">
    <w:name w:val="_"/>
    <w:basedOn w:val="Normal"/>
    <w:rsid w:val="006A7B67"/>
    <w:pPr>
      <w:widowControl w:val="0"/>
      <w:tabs>
        <w:tab w:val="left" w:pos="720"/>
      </w:tabs>
      <w:ind w:left="720" w:hanging="720"/>
    </w:pPr>
    <w:rPr>
      <w:rFonts w:ascii="Arial" w:hAnsi="Arial"/>
      <w:snapToGrid w:val="0"/>
      <w:sz w:val="20"/>
      <w:szCs w:val="20"/>
      <w:lang w:val="en-US" w:eastAsia="en-US"/>
    </w:rPr>
  </w:style>
  <w:style w:type="paragraph" w:styleId="BodyTextIndent">
    <w:name w:val="Body Text Indent"/>
    <w:basedOn w:val="Normal"/>
    <w:link w:val="BodyTextIndentChar"/>
    <w:rsid w:val="006A7B67"/>
    <w:pPr>
      <w:tabs>
        <w:tab w:val="left" w:pos="1440"/>
      </w:tabs>
      <w:suppressAutoHyphens/>
      <w:ind w:left="720"/>
    </w:pPr>
    <w:rPr>
      <w:rFonts w:ascii="Arial" w:hAnsi="Arial"/>
      <w:sz w:val="20"/>
      <w:szCs w:val="20"/>
      <w:lang w:eastAsia="en-US"/>
    </w:rPr>
  </w:style>
  <w:style w:type="character" w:customStyle="1" w:styleId="BodyTextIndentChar">
    <w:name w:val="Body Text Indent Char"/>
    <w:basedOn w:val="DefaultParagraphFont"/>
    <w:link w:val="BodyTextIndent"/>
    <w:rsid w:val="006A7B67"/>
    <w:rPr>
      <w:rFonts w:ascii="Arial" w:hAnsi="Arial"/>
      <w:lang w:eastAsia="en-US"/>
    </w:rPr>
  </w:style>
  <w:style w:type="paragraph" w:customStyle="1" w:styleId="1AutoList1">
    <w:name w:val="1AutoList1"/>
    <w:basedOn w:val="Normal"/>
    <w:rsid w:val="006A7B67"/>
    <w:pPr>
      <w:numPr>
        <w:numId w:val="4"/>
      </w:numPr>
    </w:pPr>
    <w:rPr>
      <w:rFonts w:ascii="Arial" w:hAnsi="Arial"/>
      <w:sz w:val="20"/>
      <w:szCs w:val="20"/>
      <w:lang w:eastAsia="en-US"/>
    </w:rPr>
  </w:style>
  <w:style w:type="paragraph" w:styleId="BodyTextIndent2">
    <w:name w:val="Body Text Indent 2"/>
    <w:basedOn w:val="Normal"/>
    <w:link w:val="BodyTextIndent2Char"/>
    <w:rsid w:val="006A7B67"/>
    <w:pPr>
      <w:ind w:left="72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6A7B67"/>
    <w:rPr>
      <w:rFonts w:ascii="Arial" w:hAnsi="Arial"/>
      <w:lang w:eastAsia="en-US"/>
    </w:rPr>
  </w:style>
  <w:style w:type="paragraph" w:styleId="BodyText">
    <w:name w:val="Body Text"/>
    <w:basedOn w:val="Normal"/>
    <w:link w:val="BodyTextChar"/>
    <w:rsid w:val="006A7B67"/>
    <w:pPr>
      <w:suppressAutoHyphens/>
      <w:jc w:val="both"/>
    </w:pPr>
    <w:rPr>
      <w:rFonts w:ascii="Arial" w:hAnsi="Arial"/>
      <w:sz w:val="20"/>
      <w:szCs w:val="20"/>
      <w:lang w:eastAsia="en-US"/>
    </w:rPr>
  </w:style>
  <w:style w:type="character" w:customStyle="1" w:styleId="BodyTextChar">
    <w:name w:val="Body Text Char"/>
    <w:basedOn w:val="DefaultParagraphFont"/>
    <w:link w:val="BodyText"/>
    <w:rsid w:val="006A7B67"/>
    <w:rPr>
      <w:rFonts w:ascii="Arial" w:hAnsi="Arial"/>
      <w:lang w:eastAsia="en-US"/>
    </w:rPr>
  </w:style>
  <w:style w:type="paragraph" w:styleId="PlainText">
    <w:name w:val="Plain Text"/>
    <w:basedOn w:val="Normal"/>
    <w:link w:val="PlainTextChar"/>
    <w:rsid w:val="006A7B67"/>
    <w:rPr>
      <w:rFonts w:ascii="Courier New" w:hAnsi="Courier New"/>
      <w:sz w:val="20"/>
      <w:szCs w:val="20"/>
      <w:lang w:eastAsia="en-US"/>
    </w:rPr>
  </w:style>
  <w:style w:type="character" w:customStyle="1" w:styleId="PlainTextChar">
    <w:name w:val="Plain Text Char"/>
    <w:basedOn w:val="DefaultParagraphFont"/>
    <w:link w:val="PlainText"/>
    <w:rsid w:val="006A7B67"/>
    <w:rPr>
      <w:rFonts w:ascii="Courier New" w:hAnsi="Courier New"/>
      <w:lang w:eastAsia="en-US"/>
    </w:rPr>
  </w:style>
  <w:style w:type="paragraph" w:styleId="BodyText2">
    <w:name w:val="Body Text 2"/>
    <w:basedOn w:val="Normal"/>
    <w:link w:val="BodyText2Char"/>
    <w:rsid w:val="006A7B67"/>
    <w:rPr>
      <w:rFonts w:ascii="Arial" w:hAnsi="Arial"/>
      <w:sz w:val="16"/>
      <w:szCs w:val="20"/>
      <w:lang w:eastAsia="en-US"/>
    </w:rPr>
  </w:style>
  <w:style w:type="character" w:customStyle="1" w:styleId="BodyText2Char">
    <w:name w:val="Body Text 2 Char"/>
    <w:basedOn w:val="DefaultParagraphFont"/>
    <w:link w:val="BodyText2"/>
    <w:rsid w:val="006A7B67"/>
    <w:rPr>
      <w:rFonts w:ascii="Arial" w:hAnsi="Arial"/>
      <w:sz w:val="16"/>
      <w:lang w:eastAsia="en-US"/>
    </w:rPr>
  </w:style>
  <w:style w:type="paragraph" w:customStyle="1" w:styleId="table0">
    <w:name w:val="table"/>
    <w:basedOn w:val="Normal"/>
    <w:rsid w:val="006A7B67"/>
    <w:rPr>
      <w:rFonts w:ascii="Arial" w:hAnsi="Arial"/>
      <w:sz w:val="18"/>
      <w:szCs w:val="20"/>
      <w:lang w:eastAsia="en-US"/>
    </w:rPr>
  </w:style>
  <w:style w:type="paragraph" w:styleId="BodyText3">
    <w:name w:val="Body Text 3"/>
    <w:basedOn w:val="Normal"/>
    <w:link w:val="BodyText3Char"/>
    <w:rsid w:val="006A7B67"/>
    <w:pPr>
      <w:ind w:right="3982"/>
      <w:jc w:val="both"/>
    </w:pPr>
    <w:rPr>
      <w:rFonts w:ascii="Arial" w:hAnsi="Arial"/>
      <w:sz w:val="16"/>
      <w:szCs w:val="20"/>
      <w:lang w:val="en-US" w:eastAsia="en-US"/>
    </w:rPr>
  </w:style>
  <w:style w:type="character" w:customStyle="1" w:styleId="BodyText3Char">
    <w:name w:val="Body Text 3 Char"/>
    <w:basedOn w:val="DefaultParagraphFont"/>
    <w:link w:val="BodyText3"/>
    <w:rsid w:val="006A7B67"/>
    <w:rPr>
      <w:rFonts w:ascii="Arial" w:hAnsi="Arial"/>
      <w:sz w:val="16"/>
      <w:lang w:val="en-US" w:eastAsia="en-US"/>
    </w:rPr>
  </w:style>
  <w:style w:type="paragraph" w:styleId="BlockText">
    <w:name w:val="Block Text"/>
    <w:basedOn w:val="Normal"/>
    <w:rsid w:val="006A7B67"/>
    <w:pPr>
      <w:ind w:left="720" w:right="-25"/>
    </w:pPr>
    <w:rPr>
      <w:rFonts w:ascii="Arial" w:hAnsi="Arial"/>
      <w:i/>
      <w:sz w:val="22"/>
      <w:szCs w:val="20"/>
      <w:lang w:val="en-US" w:eastAsia="en-US"/>
    </w:rPr>
  </w:style>
  <w:style w:type="paragraph" w:customStyle="1" w:styleId="wfxRecipient">
    <w:name w:val="wfxRecipient"/>
    <w:basedOn w:val="Normal"/>
    <w:rsid w:val="006A7B67"/>
    <w:rPr>
      <w:rFonts w:ascii="Arial" w:hAnsi="Arial"/>
      <w:sz w:val="22"/>
      <w:szCs w:val="20"/>
      <w:lang w:eastAsia="en-US"/>
    </w:rPr>
  </w:style>
  <w:style w:type="table" w:styleId="TableClassic1">
    <w:name w:val="Table Classic 1"/>
    <w:basedOn w:val="TableNormal"/>
    <w:rsid w:val="00857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C456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61C05"/>
    <w:rPr>
      <w:rFonts w:ascii="Calibri" w:hAnsi="Calibri" w:cs="Calibri"/>
      <w:noProof/>
    </w:rPr>
  </w:style>
  <w:style w:type="character" w:customStyle="1" w:styleId="EndNoteBibliographyChar">
    <w:name w:val="EndNote Bibliography Char"/>
    <w:basedOn w:val="DefaultParagraphFont"/>
    <w:link w:val="EndNoteBibliography"/>
    <w:rsid w:val="00761C05"/>
    <w:rPr>
      <w:rFonts w:ascii="Calibri" w:hAnsi="Calibri" w:cs="Calibri"/>
      <w:noProof/>
      <w:sz w:val="24"/>
      <w:szCs w:val="24"/>
    </w:rPr>
  </w:style>
  <w:style w:type="table" w:customStyle="1" w:styleId="TableGrid2">
    <w:name w:val="Table Grid2"/>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1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00CE"/>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00CE"/>
    <w:rPr>
      <w:rFonts w:ascii="Calibri" w:hAnsi="Calibri" w:cs="Calibri"/>
      <w:noProof/>
      <w:sz w:val="24"/>
      <w:szCs w:val="24"/>
    </w:rPr>
  </w:style>
  <w:style w:type="table" w:customStyle="1" w:styleId="TableGrid5">
    <w:name w:val="Table Grid5"/>
    <w:basedOn w:val="TableNormal"/>
    <w:next w:val="TableGrid"/>
    <w:uiPriority w:val="59"/>
    <w:rsid w:val="00B51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3917"/>
    <w:rPr>
      <w:rFonts w:asciiTheme="minorHAnsi" w:hAnsiTheme="minorHAnsi"/>
      <w:sz w:val="24"/>
      <w:szCs w:val="24"/>
    </w:rPr>
  </w:style>
  <w:style w:type="paragraph" w:styleId="ListBullet">
    <w:name w:val="List Bullet"/>
    <w:basedOn w:val="Normal"/>
    <w:rsid w:val="00FE78ED"/>
    <w:pPr>
      <w:numPr>
        <w:numId w:val="6"/>
      </w:numPr>
      <w:contextualSpacing/>
    </w:pPr>
  </w:style>
  <w:style w:type="table" w:customStyle="1" w:styleId="TableGrid51">
    <w:name w:val="Table Grid51"/>
    <w:basedOn w:val="TableNormal"/>
    <w:next w:val="TableGrid"/>
    <w:uiPriority w:val="59"/>
    <w:rsid w:val="00152D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ew">
    <w:name w:val="Bullets - new"/>
    <w:basedOn w:val="Normal"/>
    <w:rsid w:val="00401BD8"/>
    <w:pPr>
      <w:autoSpaceDE w:val="0"/>
      <w:autoSpaceDN w:val="0"/>
      <w:spacing w:before="120" w:after="120"/>
      <w:ind w:left="360" w:hanging="360"/>
    </w:pPr>
    <w:rPr>
      <w:rFonts w:eastAsia="Calibri"/>
      <w:szCs w:val="20"/>
      <w:lang w:eastAsia="en-US"/>
    </w:rPr>
  </w:style>
  <w:style w:type="paragraph" w:styleId="EndnoteText">
    <w:name w:val="endnote text"/>
    <w:basedOn w:val="Normal"/>
    <w:link w:val="EndnoteTextChar"/>
    <w:semiHidden/>
    <w:unhideWhenUsed/>
    <w:rsid w:val="0010766B"/>
    <w:rPr>
      <w:sz w:val="20"/>
      <w:szCs w:val="20"/>
    </w:rPr>
  </w:style>
  <w:style w:type="character" w:customStyle="1" w:styleId="EndnoteTextChar">
    <w:name w:val="Endnote Text Char"/>
    <w:basedOn w:val="DefaultParagraphFont"/>
    <w:link w:val="EndnoteText"/>
    <w:semiHidden/>
    <w:rsid w:val="0010766B"/>
    <w:rPr>
      <w:rFonts w:asciiTheme="minorHAnsi" w:hAnsiTheme="minorHAnsi"/>
    </w:rPr>
  </w:style>
  <w:style w:type="character" w:styleId="EndnoteReference">
    <w:name w:val="endnote reference"/>
    <w:basedOn w:val="DefaultParagraphFont"/>
    <w:semiHidden/>
    <w:unhideWhenUsed/>
    <w:rsid w:val="0010766B"/>
    <w:rPr>
      <w:vertAlign w:val="superscript"/>
    </w:rPr>
  </w:style>
  <w:style w:type="paragraph" w:customStyle="1" w:styleId="Normal-nospacing">
    <w:name w:val="Normal - no spacing"/>
    <w:basedOn w:val="Normal"/>
    <w:qFormat/>
    <w:rsid w:val="0092208F"/>
    <w:pPr>
      <w:spacing w:before="120" w:after="120"/>
    </w:pPr>
    <w:rPr>
      <w:rFonts w:eastAsiaTheme="minorHAnsi" w:cstheme="minorHAnsi"/>
      <w:lang w:eastAsia="zh-CN" w:bidi="th-TH"/>
    </w:rPr>
  </w:style>
  <w:style w:type="paragraph" w:customStyle="1" w:styleId="BulletPoints">
    <w:name w:val="Bullet Points"/>
    <w:basedOn w:val="ListParagraph"/>
    <w:rsid w:val="0092208F"/>
    <w:pPr>
      <w:numPr>
        <w:numId w:val="21"/>
      </w:numPr>
      <w:tabs>
        <w:tab w:val="num" w:pos="360"/>
      </w:tabs>
      <w:spacing w:after="120"/>
      <w:ind w:left="426" w:hanging="357"/>
      <w:contextualSpacing w:val="0"/>
    </w:pPr>
    <w:rPr>
      <w:rFonts w:eastAsiaTheme="minorHAnsi" w:cstheme="minorHAnsi"/>
      <w:szCs w:val="20"/>
      <w:lang w:eastAsia="zh-CN" w:bidi="th-TH"/>
    </w:rPr>
  </w:style>
  <w:style w:type="paragraph" w:customStyle="1" w:styleId="msonormal0">
    <w:name w:val="msonormal"/>
    <w:basedOn w:val="Normal"/>
    <w:rsid w:val="007D17B0"/>
    <w:pPr>
      <w:spacing w:before="100" w:beforeAutospacing="1" w:after="100" w:afterAutospacing="1"/>
    </w:pPr>
    <w:rPr>
      <w:rFonts w:ascii="Times New Roman" w:hAnsi="Times New Roman"/>
    </w:rPr>
  </w:style>
  <w:style w:type="paragraph" w:customStyle="1" w:styleId="xl64">
    <w:name w:val="xl64"/>
    <w:basedOn w:val="Normal"/>
    <w:rsid w:val="007D17B0"/>
    <w:pPr>
      <w:pBdr>
        <w:top w:val="single" w:sz="4" w:space="0" w:color="auto"/>
        <w:lef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7D17B0"/>
    <w:pPr>
      <w:pBdr>
        <w:top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7D17B0"/>
    <w:pPr>
      <w:pBdr>
        <w:lef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7D17B0"/>
    <w:pPr>
      <w:pBdr>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7D17B0"/>
    <w:pPr>
      <w:pBdr>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69">
    <w:name w:val="xl69"/>
    <w:basedOn w:val="Normal"/>
    <w:rsid w:val="007D17B0"/>
    <w:pPr>
      <w:pBdr>
        <w:bottom w:val="single" w:sz="4" w:space="0" w:color="auto"/>
      </w:pBdr>
      <w:spacing w:before="100" w:beforeAutospacing="1" w:after="100" w:afterAutospacing="1"/>
    </w:pPr>
    <w:rPr>
      <w:rFonts w:ascii="Times New Roman" w:hAnsi="Times New Roman"/>
    </w:rPr>
  </w:style>
  <w:style w:type="paragraph" w:customStyle="1" w:styleId="xl70">
    <w:name w:val="xl70"/>
    <w:basedOn w:val="Normal"/>
    <w:rsid w:val="007D17B0"/>
    <w:pPr>
      <w:pBdr>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al"/>
    <w:rsid w:val="007D17B0"/>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al"/>
    <w:rsid w:val="007D17B0"/>
    <w:pPr>
      <w:spacing w:before="100" w:beforeAutospacing="1" w:after="100" w:afterAutospacing="1"/>
    </w:pPr>
    <w:rPr>
      <w:rFonts w:ascii="Times New Roman" w:hAnsi="Times New Roman"/>
      <w:b/>
      <w:bCs/>
    </w:rPr>
  </w:style>
  <w:style w:type="paragraph" w:customStyle="1" w:styleId="xl73">
    <w:name w:val="xl73"/>
    <w:basedOn w:val="Normal"/>
    <w:rsid w:val="007D17B0"/>
    <w:pPr>
      <w:pBdr>
        <w:top w:val="single" w:sz="4" w:space="0" w:color="auto"/>
        <w:left w:val="single" w:sz="4" w:space="0" w:color="auto"/>
      </w:pBdr>
      <w:spacing w:before="100" w:beforeAutospacing="1" w:after="100" w:afterAutospacing="1"/>
    </w:pPr>
    <w:rPr>
      <w:rFonts w:ascii="Times New Roman" w:hAnsi="Times New Roman"/>
      <w:b/>
      <w:bCs/>
    </w:rPr>
  </w:style>
  <w:style w:type="paragraph" w:customStyle="1" w:styleId="xl74">
    <w:name w:val="xl74"/>
    <w:basedOn w:val="Normal"/>
    <w:rsid w:val="007D17B0"/>
    <w:pPr>
      <w:pBdr>
        <w:top w:val="single" w:sz="4" w:space="0" w:color="auto"/>
      </w:pBdr>
      <w:spacing w:before="100" w:beforeAutospacing="1" w:after="100" w:afterAutospacing="1"/>
    </w:pPr>
    <w:rPr>
      <w:rFonts w:ascii="Times New Roman" w:hAnsi="Times New Roman"/>
      <w:b/>
      <w:bCs/>
    </w:rPr>
  </w:style>
  <w:style w:type="paragraph" w:customStyle="1" w:styleId="xl75">
    <w:name w:val="xl75"/>
    <w:basedOn w:val="Normal"/>
    <w:rsid w:val="007D17B0"/>
    <w:pPr>
      <w:pBdr>
        <w:left w:val="single" w:sz="4" w:space="0" w:color="auto"/>
      </w:pBdr>
      <w:spacing w:before="100" w:beforeAutospacing="1" w:after="100" w:afterAutospacing="1"/>
    </w:pPr>
    <w:rPr>
      <w:rFonts w:ascii="Times New Roman" w:hAnsi="Times New Roman"/>
      <w:b/>
      <w:bCs/>
    </w:rPr>
  </w:style>
  <w:style w:type="paragraph" w:customStyle="1" w:styleId="xl76">
    <w:name w:val="xl76"/>
    <w:basedOn w:val="Normal"/>
    <w:rsid w:val="007D17B0"/>
    <w:pPr>
      <w:spacing w:before="100" w:beforeAutospacing="1" w:after="100" w:afterAutospacing="1"/>
    </w:pPr>
    <w:rPr>
      <w:rFonts w:ascii="Times New Roman" w:hAnsi="Times New Roman"/>
      <w:b/>
      <w:bCs/>
    </w:rPr>
  </w:style>
  <w:style w:type="paragraph" w:customStyle="1" w:styleId="xl77">
    <w:name w:val="xl77"/>
    <w:basedOn w:val="Normal"/>
    <w:rsid w:val="007D17B0"/>
    <w:pPr>
      <w:pBdr>
        <w:left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78">
    <w:name w:val="xl78"/>
    <w:basedOn w:val="Normal"/>
    <w:rsid w:val="007D17B0"/>
    <w:pPr>
      <w:spacing w:before="100" w:beforeAutospacing="1" w:after="100" w:afterAutospacing="1"/>
      <w:jc w:val="right"/>
    </w:pPr>
    <w:rPr>
      <w:rFonts w:ascii="Times New Roman" w:hAnsi="Times New Roman"/>
      <w:b/>
      <w:bCs/>
    </w:rPr>
  </w:style>
  <w:style w:type="paragraph" w:customStyle="1" w:styleId="xl79">
    <w:name w:val="xl79"/>
    <w:basedOn w:val="Normal"/>
    <w:rsid w:val="007D17B0"/>
    <w:pPr>
      <w:pBdr>
        <w:left w:val="single" w:sz="4" w:space="0" w:color="auto"/>
      </w:pBdr>
      <w:spacing w:before="100" w:beforeAutospacing="1" w:after="100" w:afterAutospacing="1"/>
      <w:jc w:val="right"/>
    </w:pPr>
    <w:rPr>
      <w:rFonts w:ascii="Times New Roman" w:hAnsi="Times New Roman"/>
      <w:b/>
      <w:bCs/>
    </w:rPr>
  </w:style>
  <w:style w:type="paragraph" w:customStyle="1" w:styleId="xl80">
    <w:name w:val="xl80"/>
    <w:basedOn w:val="Normal"/>
    <w:rsid w:val="007D17B0"/>
    <w:pPr>
      <w:pBdr>
        <w:right w:val="single" w:sz="4" w:space="0" w:color="auto"/>
      </w:pBdr>
      <w:spacing w:before="100" w:beforeAutospacing="1" w:after="100" w:afterAutospacing="1"/>
      <w:jc w:val="right"/>
    </w:pPr>
    <w:rPr>
      <w:rFonts w:ascii="Times New Roman" w:hAnsi="Times New Roman"/>
      <w:b/>
      <w:bCs/>
    </w:rPr>
  </w:style>
  <w:style w:type="paragraph" w:customStyle="1" w:styleId="xl81">
    <w:name w:val="xl81"/>
    <w:basedOn w:val="Normal"/>
    <w:rsid w:val="007D17B0"/>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2">
    <w:name w:val="xl82"/>
    <w:basedOn w:val="Normal"/>
    <w:rsid w:val="007D17B0"/>
    <w:pPr>
      <w:pBdr>
        <w:left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al"/>
    <w:rsid w:val="007D17B0"/>
    <w:pPr>
      <w:pBdr>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4">
    <w:name w:val="xl84"/>
    <w:basedOn w:val="Normal"/>
    <w:rsid w:val="007D17B0"/>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85">
    <w:name w:val="xl85"/>
    <w:basedOn w:val="Normal"/>
    <w:rsid w:val="007D17B0"/>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86">
    <w:name w:val="xl86"/>
    <w:basedOn w:val="Normal"/>
    <w:rsid w:val="007D17B0"/>
    <w:pPr>
      <w:pBdr>
        <w:top w:val="single" w:sz="4" w:space="0" w:color="auto"/>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87">
    <w:name w:val="xl87"/>
    <w:basedOn w:val="Normal"/>
    <w:rsid w:val="007D17B0"/>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8">
    <w:name w:val="xl88"/>
    <w:basedOn w:val="Normal"/>
    <w:rsid w:val="007D17B0"/>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9">
    <w:name w:val="xl89"/>
    <w:basedOn w:val="Normal"/>
    <w:rsid w:val="007D17B0"/>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90">
    <w:name w:val="xl90"/>
    <w:basedOn w:val="Normal"/>
    <w:rsid w:val="007D17B0"/>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rPr>
  </w:style>
  <w:style w:type="paragraph" w:customStyle="1" w:styleId="xl91">
    <w:name w:val="xl91"/>
    <w:basedOn w:val="Normal"/>
    <w:rsid w:val="007D17B0"/>
    <w:pPr>
      <w:pBdr>
        <w:top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92">
    <w:name w:val="xl92"/>
    <w:basedOn w:val="Normal"/>
    <w:rsid w:val="007D17B0"/>
    <w:pPr>
      <w:pBdr>
        <w:top w:val="single" w:sz="4" w:space="0" w:color="auto"/>
        <w:left w:val="single" w:sz="4" w:space="0" w:color="auto"/>
      </w:pBdr>
      <w:spacing w:before="100" w:beforeAutospacing="1" w:after="100" w:afterAutospacing="1"/>
      <w:jc w:val="center"/>
    </w:pPr>
    <w:rPr>
      <w:rFonts w:ascii="Times New Roman" w:hAnsi="Times New Roman"/>
      <w:b/>
      <w:bCs/>
    </w:rPr>
  </w:style>
  <w:style w:type="paragraph" w:customStyle="1" w:styleId="xl93">
    <w:name w:val="xl93"/>
    <w:basedOn w:val="Normal"/>
    <w:rsid w:val="007D17B0"/>
    <w:pPr>
      <w:pBdr>
        <w:top w:val="single" w:sz="4" w:space="0" w:color="auto"/>
      </w:pBdr>
      <w:spacing w:before="100" w:beforeAutospacing="1" w:after="100" w:afterAutospacing="1"/>
      <w:jc w:val="center"/>
    </w:pPr>
    <w:rPr>
      <w:rFonts w:ascii="Times New Roman" w:hAnsi="Times New Roman"/>
      <w:b/>
      <w:bCs/>
    </w:rPr>
  </w:style>
  <w:style w:type="table" w:customStyle="1" w:styleId="TableGrid6">
    <w:name w:val="Table Grid6"/>
    <w:basedOn w:val="TableNormal"/>
    <w:next w:val="TableGrid"/>
    <w:uiPriority w:val="59"/>
    <w:rsid w:val="007103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40">
      <w:bodyDiv w:val="1"/>
      <w:marLeft w:val="0"/>
      <w:marRight w:val="0"/>
      <w:marTop w:val="0"/>
      <w:marBottom w:val="0"/>
      <w:divBdr>
        <w:top w:val="none" w:sz="0" w:space="0" w:color="auto"/>
        <w:left w:val="none" w:sz="0" w:space="0" w:color="auto"/>
        <w:bottom w:val="none" w:sz="0" w:space="0" w:color="auto"/>
        <w:right w:val="none" w:sz="0" w:space="0" w:color="auto"/>
      </w:divBdr>
    </w:div>
    <w:div w:id="15624642">
      <w:bodyDiv w:val="1"/>
      <w:marLeft w:val="0"/>
      <w:marRight w:val="0"/>
      <w:marTop w:val="0"/>
      <w:marBottom w:val="0"/>
      <w:divBdr>
        <w:top w:val="none" w:sz="0" w:space="0" w:color="auto"/>
        <w:left w:val="none" w:sz="0" w:space="0" w:color="auto"/>
        <w:bottom w:val="none" w:sz="0" w:space="0" w:color="auto"/>
        <w:right w:val="none" w:sz="0" w:space="0" w:color="auto"/>
      </w:divBdr>
    </w:div>
    <w:div w:id="59910689">
      <w:bodyDiv w:val="1"/>
      <w:marLeft w:val="0"/>
      <w:marRight w:val="0"/>
      <w:marTop w:val="0"/>
      <w:marBottom w:val="0"/>
      <w:divBdr>
        <w:top w:val="none" w:sz="0" w:space="0" w:color="auto"/>
        <w:left w:val="none" w:sz="0" w:space="0" w:color="auto"/>
        <w:bottom w:val="none" w:sz="0" w:space="0" w:color="auto"/>
        <w:right w:val="none" w:sz="0" w:space="0" w:color="auto"/>
      </w:divBdr>
    </w:div>
    <w:div w:id="164901106">
      <w:bodyDiv w:val="1"/>
      <w:marLeft w:val="0"/>
      <w:marRight w:val="0"/>
      <w:marTop w:val="0"/>
      <w:marBottom w:val="0"/>
      <w:divBdr>
        <w:top w:val="none" w:sz="0" w:space="0" w:color="auto"/>
        <w:left w:val="none" w:sz="0" w:space="0" w:color="auto"/>
        <w:bottom w:val="none" w:sz="0" w:space="0" w:color="auto"/>
        <w:right w:val="none" w:sz="0" w:space="0" w:color="auto"/>
      </w:divBdr>
    </w:div>
    <w:div w:id="170727292">
      <w:bodyDiv w:val="1"/>
      <w:marLeft w:val="0"/>
      <w:marRight w:val="0"/>
      <w:marTop w:val="0"/>
      <w:marBottom w:val="0"/>
      <w:divBdr>
        <w:top w:val="none" w:sz="0" w:space="0" w:color="auto"/>
        <w:left w:val="none" w:sz="0" w:space="0" w:color="auto"/>
        <w:bottom w:val="none" w:sz="0" w:space="0" w:color="auto"/>
        <w:right w:val="none" w:sz="0" w:space="0" w:color="auto"/>
      </w:divBdr>
    </w:div>
    <w:div w:id="175467270">
      <w:bodyDiv w:val="1"/>
      <w:marLeft w:val="0"/>
      <w:marRight w:val="0"/>
      <w:marTop w:val="0"/>
      <w:marBottom w:val="0"/>
      <w:divBdr>
        <w:top w:val="none" w:sz="0" w:space="0" w:color="auto"/>
        <w:left w:val="none" w:sz="0" w:space="0" w:color="auto"/>
        <w:bottom w:val="none" w:sz="0" w:space="0" w:color="auto"/>
        <w:right w:val="none" w:sz="0" w:space="0" w:color="auto"/>
      </w:divBdr>
    </w:div>
    <w:div w:id="202836683">
      <w:bodyDiv w:val="1"/>
      <w:marLeft w:val="0"/>
      <w:marRight w:val="0"/>
      <w:marTop w:val="0"/>
      <w:marBottom w:val="0"/>
      <w:divBdr>
        <w:top w:val="none" w:sz="0" w:space="0" w:color="auto"/>
        <w:left w:val="none" w:sz="0" w:space="0" w:color="auto"/>
        <w:bottom w:val="none" w:sz="0" w:space="0" w:color="auto"/>
        <w:right w:val="none" w:sz="0" w:space="0" w:color="auto"/>
      </w:divBdr>
    </w:div>
    <w:div w:id="235408464">
      <w:bodyDiv w:val="1"/>
      <w:marLeft w:val="0"/>
      <w:marRight w:val="0"/>
      <w:marTop w:val="0"/>
      <w:marBottom w:val="0"/>
      <w:divBdr>
        <w:top w:val="none" w:sz="0" w:space="0" w:color="auto"/>
        <w:left w:val="none" w:sz="0" w:space="0" w:color="auto"/>
        <w:bottom w:val="none" w:sz="0" w:space="0" w:color="auto"/>
        <w:right w:val="none" w:sz="0" w:space="0" w:color="auto"/>
      </w:divBdr>
    </w:div>
    <w:div w:id="244413918">
      <w:bodyDiv w:val="1"/>
      <w:marLeft w:val="0"/>
      <w:marRight w:val="0"/>
      <w:marTop w:val="0"/>
      <w:marBottom w:val="0"/>
      <w:divBdr>
        <w:top w:val="none" w:sz="0" w:space="0" w:color="auto"/>
        <w:left w:val="none" w:sz="0" w:space="0" w:color="auto"/>
        <w:bottom w:val="none" w:sz="0" w:space="0" w:color="auto"/>
        <w:right w:val="none" w:sz="0" w:space="0" w:color="auto"/>
      </w:divBdr>
    </w:div>
    <w:div w:id="250355813">
      <w:bodyDiv w:val="1"/>
      <w:marLeft w:val="0"/>
      <w:marRight w:val="0"/>
      <w:marTop w:val="0"/>
      <w:marBottom w:val="0"/>
      <w:divBdr>
        <w:top w:val="none" w:sz="0" w:space="0" w:color="auto"/>
        <w:left w:val="none" w:sz="0" w:space="0" w:color="auto"/>
        <w:bottom w:val="none" w:sz="0" w:space="0" w:color="auto"/>
        <w:right w:val="none" w:sz="0" w:space="0" w:color="auto"/>
      </w:divBdr>
    </w:div>
    <w:div w:id="281156625">
      <w:bodyDiv w:val="1"/>
      <w:marLeft w:val="0"/>
      <w:marRight w:val="0"/>
      <w:marTop w:val="0"/>
      <w:marBottom w:val="0"/>
      <w:divBdr>
        <w:top w:val="none" w:sz="0" w:space="0" w:color="auto"/>
        <w:left w:val="none" w:sz="0" w:space="0" w:color="auto"/>
        <w:bottom w:val="none" w:sz="0" w:space="0" w:color="auto"/>
        <w:right w:val="none" w:sz="0" w:space="0" w:color="auto"/>
      </w:divBdr>
    </w:div>
    <w:div w:id="376665544">
      <w:bodyDiv w:val="1"/>
      <w:marLeft w:val="0"/>
      <w:marRight w:val="0"/>
      <w:marTop w:val="0"/>
      <w:marBottom w:val="0"/>
      <w:divBdr>
        <w:top w:val="none" w:sz="0" w:space="0" w:color="auto"/>
        <w:left w:val="none" w:sz="0" w:space="0" w:color="auto"/>
        <w:bottom w:val="none" w:sz="0" w:space="0" w:color="auto"/>
        <w:right w:val="none" w:sz="0" w:space="0" w:color="auto"/>
      </w:divBdr>
    </w:div>
    <w:div w:id="394789990">
      <w:bodyDiv w:val="1"/>
      <w:marLeft w:val="0"/>
      <w:marRight w:val="0"/>
      <w:marTop w:val="0"/>
      <w:marBottom w:val="0"/>
      <w:divBdr>
        <w:top w:val="none" w:sz="0" w:space="0" w:color="auto"/>
        <w:left w:val="none" w:sz="0" w:space="0" w:color="auto"/>
        <w:bottom w:val="none" w:sz="0" w:space="0" w:color="auto"/>
        <w:right w:val="none" w:sz="0" w:space="0" w:color="auto"/>
      </w:divBdr>
    </w:div>
    <w:div w:id="413547540">
      <w:bodyDiv w:val="1"/>
      <w:marLeft w:val="0"/>
      <w:marRight w:val="0"/>
      <w:marTop w:val="0"/>
      <w:marBottom w:val="0"/>
      <w:divBdr>
        <w:top w:val="none" w:sz="0" w:space="0" w:color="auto"/>
        <w:left w:val="none" w:sz="0" w:space="0" w:color="auto"/>
        <w:bottom w:val="none" w:sz="0" w:space="0" w:color="auto"/>
        <w:right w:val="none" w:sz="0" w:space="0" w:color="auto"/>
      </w:divBdr>
    </w:div>
    <w:div w:id="524288558">
      <w:bodyDiv w:val="1"/>
      <w:marLeft w:val="0"/>
      <w:marRight w:val="0"/>
      <w:marTop w:val="0"/>
      <w:marBottom w:val="0"/>
      <w:divBdr>
        <w:top w:val="none" w:sz="0" w:space="0" w:color="auto"/>
        <w:left w:val="none" w:sz="0" w:space="0" w:color="auto"/>
        <w:bottom w:val="none" w:sz="0" w:space="0" w:color="auto"/>
        <w:right w:val="none" w:sz="0" w:space="0" w:color="auto"/>
      </w:divBdr>
    </w:div>
    <w:div w:id="552351832">
      <w:bodyDiv w:val="1"/>
      <w:marLeft w:val="0"/>
      <w:marRight w:val="0"/>
      <w:marTop w:val="0"/>
      <w:marBottom w:val="0"/>
      <w:divBdr>
        <w:top w:val="none" w:sz="0" w:space="0" w:color="auto"/>
        <w:left w:val="none" w:sz="0" w:space="0" w:color="auto"/>
        <w:bottom w:val="none" w:sz="0" w:space="0" w:color="auto"/>
        <w:right w:val="none" w:sz="0" w:space="0" w:color="auto"/>
      </w:divBdr>
    </w:div>
    <w:div w:id="576674024">
      <w:bodyDiv w:val="1"/>
      <w:marLeft w:val="0"/>
      <w:marRight w:val="0"/>
      <w:marTop w:val="0"/>
      <w:marBottom w:val="0"/>
      <w:divBdr>
        <w:top w:val="none" w:sz="0" w:space="0" w:color="auto"/>
        <w:left w:val="none" w:sz="0" w:space="0" w:color="auto"/>
        <w:bottom w:val="none" w:sz="0" w:space="0" w:color="auto"/>
        <w:right w:val="none" w:sz="0" w:space="0" w:color="auto"/>
      </w:divBdr>
    </w:div>
    <w:div w:id="642081351">
      <w:bodyDiv w:val="1"/>
      <w:marLeft w:val="0"/>
      <w:marRight w:val="0"/>
      <w:marTop w:val="0"/>
      <w:marBottom w:val="0"/>
      <w:divBdr>
        <w:top w:val="none" w:sz="0" w:space="0" w:color="auto"/>
        <w:left w:val="none" w:sz="0" w:space="0" w:color="auto"/>
        <w:bottom w:val="none" w:sz="0" w:space="0" w:color="auto"/>
        <w:right w:val="none" w:sz="0" w:space="0" w:color="auto"/>
      </w:divBdr>
    </w:div>
    <w:div w:id="663818328">
      <w:bodyDiv w:val="1"/>
      <w:marLeft w:val="0"/>
      <w:marRight w:val="0"/>
      <w:marTop w:val="0"/>
      <w:marBottom w:val="0"/>
      <w:divBdr>
        <w:top w:val="none" w:sz="0" w:space="0" w:color="auto"/>
        <w:left w:val="none" w:sz="0" w:space="0" w:color="auto"/>
        <w:bottom w:val="none" w:sz="0" w:space="0" w:color="auto"/>
        <w:right w:val="none" w:sz="0" w:space="0" w:color="auto"/>
      </w:divBdr>
    </w:div>
    <w:div w:id="713892030">
      <w:bodyDiv w:val="1"/>
      <w:marLeft w:val="0"/>
      <w:marRight w:val="0"/>
      <w:marTop w:val="0"/>
      <w:marBottom w:val="0"/>
      <w:divBdr>
        <w:top w:val="none" w:sz="0" w:space="0" w:color="auto"/>
        <w:left w:val="none" w:sz="0" w:space="0" w:color="auto"/>
        <w:bottom w:val="none" w:sz="0" w:space="0" w:color="auto"/>
        <w:right w:val="none" w:sz="0" w:space="0" w:color="auto"/>
      </w:divBdr>
    </w:div>
    <w:div w:id="820269787">
      <w:bodyDiv w:val="1"/>
      <w:marLeft w:val="0"/>
      <w:marRight w:val="0"/>
      <w:marTop w:val="0"/>
      <w:marBottom w:val="0"/>
      <w:divBdr>
        <w:top w:val="none" w:sz="0" w:space="0" w:color="auto"/>
        <w:left w:val="none" w:sz="0" w:space="0" w:color="auto"/>
        <w:bottom w:val="none" w:sz="0" w:space="0" w:color="auto"/>
        <w:right w:val="none" w:sz="0" w:space="0" w:color="auto"/>
      </w:divBdr>
    </w:div>
    <w:div w:id="903024667">
      <w:bodyDiv w:val="1"/>
      <w:marLeft w:val="0"/>
      <w:marRight w:val="0"/>
      <w:marTop w:val="0"/>
      <w:marBottom w:val="0"/>
      <w:divBdr>
        <w:top w:val="none" w:sz="0" w:space="0" w:color="auto"/>
        <w:left w:val="none" w:sz="0" w:space="0" w:color="auto"/>
        <w:bottom w:val="none" w:sz="0" w:space="0" w:color="auto"/>
        <w:right w:val="none" w:sz="0" w:space="0" w:color="auto"/>
      </w:divBdr>
      <w:divsChild>
        <w:div w:id="2006324794">
          <w:marLeft w:val="45"/>
          <w:marRight w:val="45"/>
          <w:marTop w:val="0"/>
          <w:marBottom w:val="0"/>
          <w:divBdr>
            <w:top w:val="none" w:sz="0" w:space="0" w:color="auto"/>
            <w:left w:val="none" w:sz="0" w:space="0" w:color="auto"/>
            <w:bottom w:val="none" w:sz="0" w:space="0" w:color="auto"/>
            <w:right w:val="none" w:sz="0" w:space="0" w:color="auto"/>
          </w:divBdr>
          <w:divsChild>
            <w:div w:id="80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1099">
      <w:bodyDiv w:val="1"/>
      <w:marLeft w:val="0"/>
      <w:marRight w:val="0"/>
      <w:marTop w:val="0"/>
      <w:marBottom w:val="0"/>
      <w:divBdr>
        <w:top w:val="none" w:sz="0" w:space="0" w:color="auto"/>
        <w:left w:val="none" w:sz="0" w:space="0" w:color="auto"/>
        <w:bottom w:val="none" w:sz="0" w:space="0" w:color="auto"/>
        <w:right w:val="none" w:sz="0" w:space="0" w:color="auto"/>
      </w:divBdr>
    </w:div>
    <w:div w:id="1060177933">
      <w:bodyDiv w:val="1"/>
      <w:marLeft w:val="0"/>
      <w:marRight w:val="0"/>
      <w:marTop w:val="0"/>
      <w:marBottom w:val="0"/>
      <w:divBdr>
        <w:top w:val="none" w:sz="0" w:space="0" w:color="auto"/>
        <w:left w:val="none" w:sz="0" w:space="0" w:color="auto"/>
        <w:bottom w:val="none" w:sz="0" w:space="0" w:color="auto"/>
        <w:right w:val="none" w:sz="0" w:space="0" w:color="auto"/>
      </w:divBdr>
      <w:divsChild>
        <w:div w:id="955141070">
          <w:marLeft w:val="45"/>
          <w:marRight w:val="45"/>
          <w:marTop w:val="0"/>
          <w:marBottom w:val="0"/>
          <w:divBdr>
            <w:top w:val="none" w:sz="0" w:space="0" w:color="auto"/>
            <w:left w:val="none" w:sz="0" w:space="0" w:color="auto"/>
            <w:bottom w:val="none" w:sz="0" w:space="0" w:color="auto"/>
            <w:right w:val="none" w:sz="0" w:space="0" w:color="auto"/>
          </w:divBdr>
          <w:divsChild>
            <w:div w:id="259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3951">
      <w:bodyDiv w:val="1"/>
      <w:marLeft w:val="0"/>
      <w:marRight w:val="0"/>
      <w:marTop w:val="0"/>
      <w:marBottom w:val="0"/>
      <w:divBdr>
        <w:top w:val="none" w:sz="0" w:space="0" w:color="auto"/>
        <w:left w:val="none" w:sz="0" w:space="0" w:color="auto"/>
        <w:bottom w:val="none" w:sz="0" w:space="0" w:color="auto"/>
        <w:right w:val="none" w:sz="0" w:space="0" w:color="auto"/>
      </w:divBdr>
    </w:div>
    <w:div w:id="1146320963">
      <w:bodyDiv w:val="1"/>
      <w:marLeft w:val="0"/>
      <w:marRight w:val="0"/>
      <w:marTop w:val="0"/>
      <w:marBottom w:val="0"/>
      <w:divBdr>
        <w:top w:val="none" w:sz="0" w:space="0" w:color="auto"/>
        <w:left w:val="none" w:sz="0" w:space="0" w:color="auto"/>
        <w:bottom w:val="none" w:sz="0" w:space="0" w:color="auto"/>
        <w:right w:val="none" w:sz="0" w:space="0" w:color="auto"/>
      </w:divBdr>
    </w:div>
    <w:div w:id="1146893852">
      <w:bodyDiv w:val="1"/>
      <w:marLeft w:val="0"/>
      <w:marRight w:val="0"/>
      <w:marTop w:val="0"/>
      <w:marBottom w:val="0"/>
      <w:divBdr>
        <w:top w:val="none" w:sz="0" w:space="0" w:color="auto"/>
        <w:left w:val="none" w:sz="0" w:space="0" w:color="auto"/>
        <w:bottom w:val="none" w:sz="0" w:space="0" w:color="auto"/>
        <w:right w:val="none" w:sz="0" w:space="0" w:color="auto"/>
      </w:divBdr>
    </w:div>
    <w:div w:id="1167280788">
      <w:bodyDiv w:val="1"/>
      <w:marLeft w:val="0"/>
      <w:marRight w:val="0"/>
      <w:marTop w:val="0"/>
      <w:marBottom w:val="0"/>
      <w:divBdr>
        <w:top w:val="none" w:sz="0" w:space="0" w:color="auto"/>
        <w:left w:val="none" w:sz="0" w:space="0" w:color="auto"/>
        <w:bottom w:val="none" w:sz="0" w:space="0" w:color="auto"/>
        <w:right w:val="none" w:sz="0" w:space="0" w:color="auto"/>
      </w:divBdr>
    </w:div>
    <w:div w:id="1250000227">
      <w:bodyDiv w:val="1"/>
      <w:marLeft w:val="0"/>
      <w:marRight w:val="0"/>
      <w:marTop w:val="0"/>
      <w:marBottom w:val="0"/>
      <w:divBdr>
        <w:top w:val="none" w:sz="0" w:space="0" w:color="auto"/>
        <w:left w:val="none" w:sz="0" w:space="0" w:color="auto"/>
        <w:bottom w:val="none" w:sz="0" w:space="0" w:color="auto"/>
        <w:right w:val="none" w:sz="0" w:space="0" w:color="auto"/>
      </w:divBdr>
    </w:div>
    <w:div w:id="1274089349">
      <w:bodyDiv w:val="1"/>
      <w:marLeft w:val="0"/>
      <w:marRight w:val="0"/>
      <w:marTop w:val="0"/>
      <w:marBottom w:val="0"/>
      <w:divBdr>
        <w:top w:val="none" w:sz="0" w:space="0" w:color="auto"/>
        <w:left w:val="none" w:sz="0" w:space="0" w:color="auto"/>
        <w:bottom w:val="none" w:sz="0" w:space="0" w:color="auto"/>
        <w:right w:val="none" w:sz="0" w:space="0" w:color="auto"/>
      </w:divBdr>
    </w:div>
    <w:div w:id="1280648352">
      <w:bodyDiv w:val="1"/>
      <w:marLeft w:val="0"/>
      <w:marRight w:val="0"/>
      <w:marTop w:val="0"/>
      <w:marBottom w:val="0"/>
      <w:divBdr>
        <w:top w:val="none" w:sz="0" w:space="0" w:color="auto"/>
        <w:left w:val="none" w:sz="0" w:space="0" w:color="auto"/>
        <w:bottom w:val="none" w:sz="0" w:space="0" w:color="auto"/>
        <w:right w:val="none" w:sz="0" w:space="0" w:color="auto"/>
      </w:divBdr>
    </w:div>
    <w:div w:id="1300500065">
      <w:bodyDiv w:val="1"/>
      <w:marLeft w:val="0"/>
      <w:marRight w:val="0"/>
      <w:marTop w:val="0"/>
      <w:marBottom w:val="0"/>
      <w:divBdr>
        <w:top w:val="none" w:sz="0" w:space="0" w:color="auto"/>
        <w:left w:val="none" w:sz="0" w:space="0" w:color="auto"/>
        <w:bottom w:val="none" w:sz="0" w:space="0" w:color="auto"/>
        <w:right w:val="none" w:sz="0" w:space="0" w:color="auto"/>
      </w:divBdr>
    </w:div>
    <w:div w:id="1310549661">
      <w:bodyDiv w:val="1"/>
      <w:marLeft w:val="0"/>
      <w:marRight w:val="0"/>
      <w:marTop w:val="0"/>
      <w:marBottom w:val="0"/>
      <w:divBdr>
        <w:top w:val="none" w:sz="0" w:space="0" w:color="auto"/>
        <w:left w:val="none" w:sz="0" w:space="0" w:color="auto"/>
        <w:bottom w:val="none" w:sz="0" w:space="0" w:color="auto"/>
        <w:right w:val="none" w:sz="0" w:space="0" w:color="auto"/>
      </w:divBdr>
    </w:div>
    <w:div w:id="1326470983">
      <w:bodyDiv w:val="1"/>
      <w:marLeft w:val="0"/>
      <w:marRight w:val="0"/>
      <w:marTop w:val="0"/>
      <w:marBottom w:val="0"/>
      <w:divBdr>
        <w:top w:val="none" w:sz="0" w:space="0" w:color="auto"/>
        <w:left w:val="none" w:sz="0" w:space="0" w:color="auto"/>
        <w:bottom w:val="none" w:sz="0" w:space="0" w:color="auto"/>
        <w:right w:val="none" w:sz="0" w:space="0" w:color="auto"/>
      </w:divBdr>
    </w:div>
    <w:div w:id="1349982777">
      <w:bodyDiv w:val="1"/>
      <w:marLeft w:val="0"/>
      <w:marRight w:val="0"/>
      <w:marTop w:val="0"/>
      <w:marBottom w:val="0"/>
      <w:divBdr>
        <w:top w:val="none" w:sz="0" w:space="0" w:color="auto"/>
        <w:left w:val="none" w:sz="0" w:space="0" w:color="auto"/>
        <w:bottom w:val="none" w:sz="0" w:space="0" w:color="auto"/>
        <w:right w:val="none" w:sz="0" w:space="0" w:color="auto"/>
      </w:divBdr>
    </w:div>
    <w:div w:id="1379621231">
      <w:bodyDiv w:val="1"/>
      <w:marLeft w:val="0"/>
      <w:marRight w:val="0"/>
      <w:marTop w:val="0"/>
      <w:marBottom w:val="0"/>
      <w:divBdr>
        <w:top w:val="none" w:sz="0" w:space="0" w:color="auto"/>
        <w:left w:val="none" w:sz="0" w:space="0" w:color="auto"/>
        <w:bottom w:val="none" w:sz="0" w:space="0" w:color="auto"/>
        <w:right w:val="none" w:sz="0" w:space="0" w:color="auto"/>
      </w:divBdr>
    </w:div>
    <w:div w:id="1395082009">
      <w:bodyDiv w:val="1"/>
      <w:marLeft w:val="0"/>
      <w:marRight w:val="0"/>
      <w:marTop w:val="0"/>
      <w:marBottom w:val="0"/>
      <w:divBdr>
        <w:top w:val="none" w:sz="0" w:space="0" w:color="auto"/>
        <w:left w:val="none" w:sz="0" w:space="0" w:color="auto"/>
        <w:bottom w:val="none" w:sz="0" w:space="0" w:color="auto"/>
        <w:right w:val="none" w:sz="0" w:space="0" w:color="auto"/>
      </w:divBdr>
    </w:div>
    <w:div w:id="1414275703">
      <w:bodyDiv w:val="1"/>
      <w:marLeft w:val="0"/>
      <w:marRight w:val="0"/>
      <w:marTop w:val="0"/>
      <w:marBottom w:val="0"/>
      <w:divBdr>
        <w:top w:val="none" w:sz="0" w:space="0" w:color="auto"/>
        <w:left w:val="none" w:sz="0" w:space="0" w:color="auto"/>
        <w:bottom w:val="none" w:sz="0" w:space="0" w:color="auto"/>
        <w:right w:val="none" w:sz="0" w:space="0" w:color="auto"/>
      </w:divBdr>
    </w:div>
    <w:div w:id="1420561988">
      <w:bodyDiv w:val="1"/>
      <w:marLeft w:val="0"/>
      <w:marRight w:val="0"/>
      <w:marTop w:val="0"/>
      <w:marBottom w:val="0"/>
      <w:divBdr>
        <w:top w:val="none" w:sz="0" w:space="0" w:color="auto"/>
        <w:left w:val="none" w:sz="0" w:space="0" w:color="auto"/>
        <w:bottom w:val="none" w:sz="0" w:space="0" w:color="auto"/>
        <w:right w:val="none" w:sz="0" w:space="0" w:color="auto"/>
      </w:divBdr>
    </w:div>
    <w:div w:id="1432386374">
      <w:bodyDiv w:val="1"/>
      <w:marLeft w:val="0"/>
      <w:marRight w:val="0"/>
      <w:marTop w:val="0"/>
      <w:marBottom w:val="0"/>
      <w:divBdr>
        <w:top w:val="none" w:sz="0" w:space="0" w:color="auto"/>
        <w:left w:val="none" w:sz="0" w:space="0" w:color="auto"/>
        <w:bottom w:val="none" w:sz="0" w:space="0" w:color="auto"/>
        <w:right w:val="none" w:sz="0" w:space="0" w:color="auto"/>
      </w:divBdr>
    </w:div>
    <w:div w:id="1453867773">
      <w:bodyDiv w:val="1"/>
      <w:marLeft w:val="0"/>
      <w:marRight w:val="0"/>
      <w:marTop w:val="0"/>
      <w:marBottom w:val="0"/>
      <w:divBdr>
        <w:top w:val="none" w:sz="0" w:space="0" w:color="auto"/>
        <w:left w:val="none" w:sz="0" w:space="0" w:color="auto"/>
        <w:bottom w:val="none" w:sz="0" w:space="0" w:color="auto"/>
        <w:right w:val="none" w:sz="0" w:space="0" w:color="auto"/>
      </w:divBdr>
    </w:div>
    <w:div w:id="1476677663">
      <w:bodyDiv w:val="1"/>
      <w:marLeft w:val="0"/>
      <w:marRight w:val="0"/>
      <w:marTop w:val="0"/>
      <w:marBottom w:val="0"/>
      <w:divBdr>
        <w:top w:val="none" w:sz="0" w:space="0" w:color="auto"/>
        <w:left w:val="none" w:sz="0" w:space="0" w:color="auto"/>
        <w:bottom w:val="none" w:sz="0" w:space="0" w:color="auto"/>
        <w:right w:val="none" w:sz="0" w:space="0" w:color="auto"/>
      </w:divBdr>
    </w:div>
    <w:div w:id="1503087398">
      <w:bodyDiv w:val="1"/>
      <w:marLeft w:val="0"/>
      <w:marRight w:val="0"/>
      <w:marTop w:val="0"/>
      <w:marBottom w:val="0"/>
      <w:divBdr>
        <w:top w:val="none" w:sz="0" w:space="0" w:color="auto"/>
        <w:left w:val="none" w:sz="0" w:space="0" w:color="auto"/>
        <w:bottom w:val="none" w:sz="0" w:space="0" w:color="auto"/>
        <w:right w:val="none" w:sz="0" w:space="0" w:color="auto"/>
      </w:divBdr>
    </w:div>
    <w:div w:id="1505632282">
      <w:bodyDiv w:val="1"/>
      <w:marLeft w:val="0"/>
      <w:marRight w:val="0"/>
      <w:marTop w:val="0"/>
      <w:marBottom w:val="0"/>
      <w:divBdr>
        <w:top w:val="none" w:sz="0" w:space="0" w:color="auto"/>
        <w:left w:val="none" w:sz="0" w:space="0" w:color="auto"/>
        <w:bottom w:val="none" w:sz="0" w:space="0" w:color="auto"/>
        <w:right w:val="none" w:sz="0" w:space="0" w:color="auto"/>
      </w:divBdr>
    </w:div>
    <w:div w:id="1562247407">
      <w:bodyDiv w:val="1"/>
      <w:marLeft w:val="0"/>
      <w:marRight w:val="0"/>
      <w:marTop w:val="0"/>
      <w:marBottom w:val="0"/>
      <w:divBdr>
        <w:top w:val="none" w:sz="0" w:space="0" w:color="auto"/>
        <w:left w:val="none" w:sz="0" w:space="0" w:color="auto"/>
        <w:bottom w:val="none" w:sz="0" w:space="0" w:color="auto"/>
        <w:right w:val="none" w:sz="0" w:space="0" w:color="auto"/>
      </w:divBdr>
    </w:div>
    <w:div w:id="1580486172">
      <w:bodyDiv w:val="1"/>
      <w:marLeft w:val="0"/>
      <w:marRight w:val="0"/>
      <w:marTop w:val="0"/>
      <w:marBottom w:val="0"/>
      <w:divBdr>
        <w:top w:val="none" w:sz="0" w:space="0" w:color="auto"/>
        <w:left w:val="none" w:sz="0" w:space="0" w:color="auto"/>
        <w:bottom w:val="none" w:sz="0" w:space="0" w:color="auto"/>
        <w:right w:val="none" w:sz="0" w:space="0" w:color="auto"/>
      </w:divBdr>
    </w:div>
    <w:div w:id="1614744229">
      <w:bodyDiv w:val="1"/>
      <w:marLeft w:val="0"/>
      <w:marRight w:val="0"/>
      <w:marTop w:val="0"/>
      <w:marBottom w:val="0"/>
      <w:divBdr>
        <w:top w:val="none" w:sz="0" w:space="0" w:color="auto"/>
        <w:left w:val="none" w:sz="0" w:space="0" w:color="auto"/>
        <w:bottom w:val="none" w:sz="0" w:space="0" w:color="auto"/>
        <w:right w:val="none" w:sz="0" w:space="0" w:color="auto"/>
      </w:divBdr>
    </w:div>
    <w:div w:id="1619751474">
      <w:bodyDiv w:val="1"/>
      <w:marLeft w:val="0"/>
      <w:marRight w:val="0"/>
      <w:marTop w:val="0"/>
      <w:marBottom w:val="0"/>
      <w:divBdr>
        <w:top w:val="none" w:sz="0" w:space="0" w:color="auto"/>
        <w:left w:val="none" w:sz="0" w:space="0" w:color="auto"/>
        <w:bottom w:val="none" w:sz="0" w:space="0" w:color="auto"/>
        <w:right w:val="none" w:sz="0" w:space="0" w:color="auto"/>
      </w:divBdr>
    </w:div>
    <w:div w:id="1623685698">
      <w:bodyDiv w:val="1"/>
      <w:marLeft w:val="0"/>
      <w:marRight w:val="0"/>
      <w:marTop w:val="0"/>
      <w:marBottom w:val="0"/>
      <w:divBdr>
        <w:top w:val="none" w:sz="0" w:space="0" w:color="auto"/>
        <w:left w:val="none" w:sz="0" w:space="0" w:color="auto"/>
        <w:bottom w:val="none" w:sz="0" w:space="0" w:color="auto"/>
        <w:right w:val="none" w:sz="0" w:space="0" w:color="auto"/>
      </w:divBdr>
    </w:div>
    <w:div w:id="1713771302">
      <w:bodyDiv w:val="1"/>
      <w:marLeft w:val="0"/>
      <w:marRight w:val="0"/>
      <w:marTop w:val="0"/>
      <w:marBottom w:val="0"/>
      <w:divBdr>
        <w:top w:val="none" w:sz="0" w:space="0" w:color="auto"/>
        <w:left w:val="none" w:sz="0" w:space="0" w:color="auto"/>
        <w:bottom w:val="none" w:sz="0" w:space="0" w:color="auto"/>
        <w:right w:val="none" w:sz="0" w:space="0" w:color="auto"/>
      </w:divBdr>
    </w:div>
    <w:div w:id="1779641561">
      <w:bodyDiv w:val="1"/>
      <w:marLeft w:val="0"/>
      <w:marRight w:val="0"/>
      <w:marTop w:val="0"/>
      <w:marBottom w:val="0"/>
      <w:divBdr>
        <w:top w:val="none" w:sz="0" w:space="0" w:color="auto"/>
        <w:left w:val="none" w:sz="0" w:space="0" w:color="auto"/>
        <w:bottom w:val="none" w:sz="0" w:space="0" w:color="auto"/>
        <w:right w:val="none" w:sz="0" w:space="0" w:color="auto"/>
      </w:divBdr>
    </w:div>
    <w:div w:id="1842423752">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1923055576">
      <w:bodyDiv w:val="1"/>
      <w:marLeft w:val="0"/>
      <w:marRight w:val="0"/>
      <w:marTop w:val="0"/>
      <w:marBottom w:val="0"/>
      <w:divBdr>
        <w:top w:val="none" w:sz="0" w:space="0" w:color="auto"/>
        <w:left w:val="none" w:sz="0" w:space="0" w:color="auto"/>
        <w:bottom w:val="none" w:sz="0" w:space="0" w:color="auto"/>
        <w:right w:val="none" w:sz="0" w:space="0" w:color="auto"/>
      </w:divBdr>
    </w:div>
    <w:div w:id="1930582842">
      <w:bodyDiv w:val="1"/>
      <w:marLeft w:val="0"/>
      <w:marRight w:val="0"/>
      <w:marTop w:val="0"/>
      <w:marBottom w:val="0"/>
      <w:divBdr>
        <w:top w:val="none" w:sz="0" w:space="0" w:color="auto"/>
        <w:left w:val="none" w:sz="0" w:space="0" w:color="auto"/>
        <w:bottom w:val="none" w:sz="0" w:space="0" w:color="auto"/>
        <w:right w:val="none" w:sz="0" w:space="0" w:color="auto"/>
      </w:divBdr>
    </w:div>
    <w:div w:id="1978367328">
      <w:bodyDiv w:val="1"/>
      <w:marLeft w:val="0"/>
      <w:marRight w:val="0"/>
      <w:marTop w:val="0"/>
      <w:marBottom w:val="0"/>
      <w:divBdr>
        <w:top w:val="none" w:sz="0" w:space="0" w:color="auto"/>
        <w:left w:val="none" w:sz="0" w:space="0" w:color="auto"/>
        <w:bottom w:val="none" w:sz="0" w:space="0" w:color="auto"/>
        <w:right w:val="none" w:sz="0" w:space="0" w:color="auto"/>
      </w:divBdr>
    </w:div>
    <w:div w:id="1981840938">
      <w:bodyDiv w:val="1"/>
      <w:marLeft w:val="0"/>
      <w:marRight w:val="0"/>
      <w:marTop w:val="0"/>
      <w:marBottom w:val="0"/>
      <w:divBdr>
        <w:top w:val="none" w:sz="0" w:space="0" w:color="auto"/>
        <w:left w:val="none" w:sz="0" w:space="0" w:color="auto"/>
        <w:bottom w:val="none" w:sz="0" w:space="0" w:color="auto"/>
        <w:right w:val="none" w:sz="0" w:space="0" w:color="auto"/>
      </w:divBdr>
    </w:div>
    <w:div w:id="2057587288">
      <w:bodyDiv w:val="1"/>
      <w:marLeft w:val="0"/>
      <w:marRight w:val="0"/>
      <w:marTop w:val="0"/>
      <w:marBottom w:val="0"/>
      <w:divBdr>
        <w:top w:val="none" w:sz="0" w:space="0" w:color="auto"/>
        <w:left w:val="none" w:sz="0" w:space="0" w:color="auto"/>
        <w:bottom w:val="none" w:sz="0" w:space="0" w:color="auto"/>
        <w:right w:val="none" w:sz="0" w:space="0" w:color="auto"/>
      </w:divBdr>
    </w:div>
    <w:div w:id="2058433598">
      <w:bodyDiv w:val="1"/>
      <w:marLeft w:val="0"/>
      <w:marRight w:val="0"/>
      <w:marTop w:val="0"/>
      <w:marBottom w:val="0"/>
      <w:divBdr>
        <w:top w:val="none" w:sz="0" w:space="0" w:color="auto"/>
        <w:left w:val="none" w:sz="0" w:space="0" w:color="auto"/>
        <w:bottom w:val="none" w:sz="0" w:space="0" w:color="auto"/>
        <w:right w:val="none" w:sz="0" w:space="0" w:color="auto"/>
      </w:divBdr>
    </w:div>
    <w:div w:id="2059039503">
      <w:bodyDiv w:val="1"/>
      <w:marLeft w:val="0"/>
      <w:marRight w:val="0"/>
      <w:marTop w:val="0"/>
      <w:marBottom w:val="0"/>
      <w:divBdr>
        <w:top w:val="none" w:sz="0" w:space="0" w:color="auto"/>
        <w:left w:val="none" w:sz="0" w:space="0" w:color="auto"/>
        <w:bottom w:val="none" w:sz="0" w:space="0" w:color="auto"/>
        <w:right w:val="none" w:sz="0" w:space="0" w:color="auto"/>
      </w:divBdr>
    </w:div>
    <w:div w:id="2115323750">
      <w:bodyDiv w:val="1"/>
      <w:marLeft w:val="0"/>
      <w:marRight w:val="0"/>
      <w:marTop w:val="0"/>
      <w:marBottom w:val="0"/>
      <w:divBdr>
        <w:top w:val="none" w:sz="0" w:space="0" w:color="auto"/>
        <w:left w:val="none" w:sz="0" w:space="0" w:color="auto"/>
        <w:bottom w:val="none" w:sz="0" w:space="0" w:color="auto"/>
        <w:right w:val="none" w:sz="0" w:space="0" w:color="auto"/>
      </w:divBdr>
    </w:div>
    <w:div w:id="2139907665">
      <w:bodyDiv w:val="1"/>
      <w:marLeft w:val="0"/>
      <w:marRight w:val="0"/>
      <w:marTop w:val="0"/>
      <w:marBottom w:val="0"/>
      <w:divBdr>
        <w:top w:val="none" w:sz="0" w:space="0" w:color="auto"/>
        <w:left w:val="none" w:sz="0" w:space="0" w:color="auto"/>
        <w:bottom w:val="none" w:sz="0" w:space="0" w:color="auto"/>
        <w:right w:val="none" w:sz="0" w:space="0" w:color="auto"/>
      </w:divBdr>
    </w:div>
    <w:div w:id="21471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11453</Words>
  <Characters>65088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2019-03-11T23:56:00Z</dcterms:created>
  <dcterms:modified xsi:type="dcterms:W3CDTF">2019-03-12T03:44:00Z</dcterms:modified>
</cp:coreProperties>
</file>