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0614B" w14:textId="77777777" w:rsidR="00363673" w:rsidRDefault="00AA54A5" w:rsidP="007070D3">
      <w:pPr>
        <w:spacing w:before="2000"/>
        <w:rPr>
          <w:rFonts w:ascii="Calibri" w:eastAsiaTheme="majorEastAsia" w:hAnsi="Calibri" w:cstheme="majorBidi"/>
          <w:b/>
          <w:spacing w:val="5"/>
          <w:kern w:val="28"/>
          <w:sz w:val="52"/>
          <w:szCs w:val="52"/>
        </w:rPr>
      </w:pPr>
      <w:r>
        <w:rPr>
          <w:rFonts w:ascii="Calibri" w:eastAsiaTheme="majorEastAsia" w:hAnsi="Calibri" w:cstheme="majorBidi"/>
          <w:b/>
          <w:noProof/>
          <w:spacing w:val="5"/>
          <w:kern w:val="28"/>
          <w:sz w:val="52"/>
          <w:szCs w:val="52"/>
        </w:rPr>
        <w:drawing>
          <wp:inline distT="0" distB="0" distL="0" distR="0" wp14:anchorId="6534D41D" wp14:editId="6F742CA2">
            <wp:extent cx="3633278" cy="648000"/>
            <wp:effectExtent l="0" t="0" r="5715" b="0"/>
            <wp:docPr id="8" name="Picture 8" descr="Australian Health Services Research Institute (AHSRI) University of Wollongong logo" title="AHSRI and U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hsri-UowLonghandLandscapeColourPositive.png"/>
                    <pic:cNvPicPr/>
                  </pic:nvPicPr>
                  <pic:blipFill>
                    <a:blip r:embed="rId7">
                      <a:extLst>
                        <a:ext uri="{28A0092B-C50C-407E-A947-70E740481C1C}">
                          <a14:useLocalDpi xmlns:a14="http://schemas.microsoft.com/office/drawing/2010/main" val="0"/>
                        </a:ext>
                      </a:extLst>
                    </a:blip>
                    <a:stretch>
                      <a:fillRect/>
                    </a:stretch>
                  </pic:blipFill>
                  <pic:spPr>
                    <a:xfrm>
                      <a:off x="0" y="0"/>
                      <a:ext cx="3633278" cy="648000"/>
                    </a:xfrm>
                    <a:prstGeom prst="rect">
                      <a:avLst/>
                    </a:prstGeom>
                  </pic:spPr>
                </pic:pic>
              </a:graphicData>
            </a:graphic>
          </wp:inline>
        </w:drawing>
      </w:r>
    </w:p>
    <w:p w14:paraId="5493AA33" w14:textId="4DAA4A16" w:rsidR="00363673" w:rsidRPr="00AC6934" w:rsidRDefault="00D4258A" w:rsidP="00627C7F">
      <w:pPr>
        <w:pStyle w:val="Title"/>
        <w:pBdr>
          <w:bottom w:val="none" w:sz="0" w:space="0" w:color="auto"/>
        </w:pBdr>
        <w:spacing w:before="3000" w:after="1920"/>
        <w:contextualSpacing w:val="0"/>
        <w:rPr>
          <w:color w:val="auto"/>
        </w:rPr>
      </w:pPr>
      <w:r w:rsidRPr="00AC6934">
        <w:rPr>
          <w:color w:val="auto"/>
        </w:rPr>
        <w:t xml:space="preserve">The AN-ACC assessment </w:t>
      </w:r>
      <w:r w:rsidR="00BD0743" w:rsidRPr="00AC6934">
        <w:rPr>
          <w:color w:val="auto"/>
        </w:rPr>
        <w:t>model</w:t>
      </w:r>
    </w:p>
    <w:p w14:paraId="1C5FAA59" w14:textId="73DE8826" w:rsidR="00875C4E" w:rsidRPr="007070D3" w:rsidRDefault="00323461" w:rsidP="00627C7F">
      <w:pPr>
        <w:pStyle w:val="Title"/>
        <w:pBdr>
          <w:bottom w:val="none" w:sz="0" w:space="0" w:color="auto"/>
        </w:pBdr>
        <w:tabs>
          <w:tab w:val="left" w:pos="1418"/>
        </w:tabs>
        <w:spacing w:before="2000" w:after="2520"/>
        <w:contextualSpacing w:val="0"/>
        <w:rPr>
          <w:color w:val="auto"/>
          <w:sz w:val="44"/>
          <w:szCs w:val="44"/>
        </w:rPr>
      </w:pPr>
      <w:r w:rsidRPr="007070D3">
        <w:rPr>
          <w:color w:val="auto"/>
          <w:sz w:val="44"/>
          <w:szCs w:val="44"/>
        </w:rPr>
        <w:t>The Resource Utilisation an</w:t>
      </w:r>
      <w:r w:rsidR="00945318" w:rsidRPr="007070D3">
        <w:rPr>
          <w:color w:val="auto"/>
          <w:sz w:val="44"/>
          <w:szCs w:val="44"/>
        </w:rPr>
        <w:t>d Classification Study: Report 2</w:t>
      </w:r>
    </w:p>
    <w:p w14:paraId="12F6A370" w14:textId="2CD2CE2A" w:rsidR="007A06FE" w:rsidRPr="00363673" w:rsidRDefault="004D192F" w:rsidP="00627C7F">
      <w:pPr>
        <w:spacing w:before="480"/>
        <w:rPr>
          <w:b/>
          <w:sz w:val="32"/>
          <w:szCs w:val="32"/>
        </w:rPr>
      </w:pPr>
      <w:r>
        <w:rPr>
          <w:b/>
          <w:sz w:val="32"/>
          <w:szCs w:val="32"/>
        </w:rPr>
        <w:t>Febr</w:t>
      </w:r>
      <w:r w:rsidR="000514D5">
        <w:rPr>
          <w:b/>
          <w:sz w:val="32"/>
          <w:szCs w:val="32"/>
        </w:rPr>
        <w:t>uary</w:t>
      </w:r>
      <w:r w:rsidR="00953754" w:rsidRPr="00363673">
        <w:rPr>
          <w:b/>
          <w:sz w:val="32"/>
          <w:szCs w:val="32"/>
        </w:rPr>
        <w:t xml:space="preserve"> </w:t>
      </w:r>
      <w:r w:rsidR="00E14A31" w:rsidRPr="00363673">
        <w:rPr>
          <w:b/>
          <w:sz w:val="32"/>
          <w:szCs w:val="32"/>
        </w:rPr>
        <w:t>201</w:t>
      </w:r>
      <w:r w:rsidR="000514D5">
        <w:rPr>
          <w:b/>
          <w:sz w:val="32"/>
          <w:szCs w:val="32"/>
        </w:rPr>
        <w:t>9</w:t>
      </w:r>
    </w:p>
    <w:p w14:paraId="60CFBBA5" w14:textId="3460DE23" w:rsidR="00CF4053" w:rsidRPr="00363673" w:rsidRDefault="00CF4053">
      <w:r w:rsidRPr="00363673">
        <w:br w:type="page"/>
      </w:r>
    </w:p>
    <w:p w14:paraId="64558E42" w14:textId="77777777" w:rsidR="002309D2" w:rsidRDefault="002309D2" w:rsidP="003A31AC">
      <w:pPr>
        <w:spacing w:after="600"/>
        <w:jc w:val="right"/>
        <w:rPr>
          <w:sz w:val="36"/>
          <w:szCs w:val="36"/>
        </w:rPr>
      </w:pPr>
      <w:r>
        <w:rPr>
          <w:sz w:val="36"/>
          <w:szCs w:val="36"/>
        </w:rPr>
        <w:lastRenderedPageBreak/>
        <w:t>Anita Westera</w:t>
      </w:r>
    </w:p>
    <w:p w14:paraId="59F9A5F0" w14:textId="77777777" w:rsidR="0073253E" w:rsidRPr="00363673" w:rsidRDefault="0073253E" w:rsidP="0073253E">
      <w:pPr>
        <w:spacing w:after="600"/>
        <w:jc w:val="right"/>
        <w:rPr>
          <w:sz w:val="36"/>
          <w:szCs w:val="36"/>
        </w:rPr>
      </w:pPr>
      <w:r w:rsidRPr="00363673">
        <w:rPr>
          <w:sz w:val="36"/>
          <w:szCs w:val="36"/>
        </w:rPr>
        <w:t>Milena Snoek</w:t>
      </w:r>
    </w:p>
    <w:p w14:paraId="6523D9CE" w14:textId="77777777" w:rsidR="00C4329D" w:rsidRPr="00363673" w:rsidRDefault="00C4329D" w:rsidP="003A31AC">
      <w:pPr>
        <w:spacing w:after="600"/>
        <w:jc w:val="right"/>
        <w:rPr>
          <w:sz w:val="36"/>
          <w:szCs w:val="36"/>
        </w:rPr>
      </w:pPr>
      <w:r w:rsidRPr="00363673">
        <w:rPr>
          <w:sz w:val="36"/>
          <w:szCs w:val="36"/>
        </w:rPr>
        <w:t>Cathy Duncan</w:t>
      </w:r>
    </w:p>
    <w:p w14:paraId="319F22A7" w14:textId="73982C1C" w:rsidR="002309D2" w:rsidRDefault="002309D2" w:rsidP="002309D2">
      <w:pPr>
        <w:spacing w:after="600"/>
        <w:jc w:val="right"/>
        <w:rPr>
          <w:sz w:val="36"/>
          <w:szCs w:val="36"/>
        </w:rPr>
      </w:pPr>
      <w:r w:rsidRPr="00363673">
        <w:rPr>
          <w:sz w:val="36"/>
          <w:szCs w:val="36"/>
        </w:rPr>
        <w:t>Karen Quinsey</w:t>
      </w:r>
    </w:p>
    <w:p w14:paraId="2FE11114" w14:textId="0F5597E1" w:rsidR="009232BB" w:rsidRDefault="009232BB" w:rsidP="009232BB">
      <w:pPr>
        <w:spacing w:after="600"/>
        <w:jc w:val="right"/>
        <w:rPr>
          <w:sz w:val="36"/>
          <w:szCs w:val="36"/>
        </w:rPr>
      </w:pPr>
      <w:r w:rsidRPr="003A31AC">
        <w:rPr>
          <w:sz w:val="36"/>
          <w:szCs w:val="36"/>
        </w:rPr>
        <w:t>Peter Samsa</w:t>
      </w:r>
    </w:p>
    <w:p w14:paraId="6F7E17C9" w14:textId="77777777" w:rsidR="00873C44" w:rsidRPr="00363673" w:rsidRDefault="00873C44" w:rsidP="00873C44">
      <w:pPr>
        <w:spacing w:after="600"/>
        <w:jc w:val="right"/>
        <w:rPr>
          <w:sz w:val="36"/>
          <w:szCs w:val="36"/>
        </w:rPr>
      </w:pPr>
      <w:r w:rsidRPr="00363673">
        <w:rPr>
          <w:sz w:val="36"/>
          <w:szCs w:val="36"/>
        </w:rPr>
        <w:t>Jenny McNamee</w:t>
      </w:r>
    </w:p>
    <w:p w14:paraId="7EE12ABC" w14:textId="77777777" w:rsidR="000D043D" w:rsidRPr="003A31AC" w:rsidRDefault="000D043D" w:rsidP="003A31AC">
      <w:pPr>
        <w:spacing w:after="600"/>
        <w:jc w:val="right"/>
        <w:rPr>
          <w:sz w:val="36"/>
          <w:szCs w:val="36"/>
        </w:rPr>
      </w:pPr>
      <w:r w:rsidRPr="003A31AC">
        <w:rPr>
          <w:sz w:val="36"/>
          <w:szCs w:val="36"/>
        </w:rPr>
        <w:t>Kathy Eagar</w:t>
      </w:r>
    </w:p>
    <w:p w14:paraId="2C3FBC33" w14:textId="77777777" w:rsidR="00DC756B" w:rsidRDefault="00DC756B">
      <w:pPr>
        <w:sectPr w:rsidR="00DC756B" w:rsidSect="00A25BBE">
          <w:headerReference w:type="even" r:id="rId8"/>
          <w:footerReference w:type="even" r:id="rId9"/>
          <w:headerReference w:type="first" r:id="rId10"/>
          <w:footerReference w:type="first" r:id="rId11"/>
          <w:pgSz w:w="11906" w:h="16838"/>
          <w:pgMar w:top="1134" w:right="1134" w:bottom="1021" w:left="1418" w:header="709" w:footer="709" w:gutter="0"/>
          <w:cols w:space="708"/>
          <w:docGrid w:linePitch="360"/>
        </w:sectPr>
      </w:pPr>
    </w:p>
    <w:p w14:paraId="1BC18083" w14:textId="10DBE25D" w:rsidR="00482957" w:rsidRDefault="00482957" w:rsidP="00181F97">
      <w:pPr>
        <w:spacing w:after="240"/>
      </w:pPr>
      <w:r>
        <w:lastRenderedPageBreak/>
        <w:t xml:space="preserve">This </w:t>
      </w:r>
      <w:r w:rsidRPr="00877115">
        <w:t xml:space="preserve">series of </w:t>
      </w:r>
      <w:r>
        <w:t xml:space="preserve">papers report on different aspects of a major national study into needs, costs and classification of residential aged care called </w:t>
      </w:r>
      <w:r w:rsidR="009D4D3C">
        <w:t>t</w:t>
      </w:r>
      <w:r>
        <w:t>he Resource Utilisation and Classification Study (RUCS). The R</w:t>
      </w:r>
      <w:r w:rsidR="00181F97">
        <w:t>UCS was undertaken during 2018.</w:t>
      </w:r>
    </w:p>
    <w:p w14:paraId="38D758B0" w14:textId="4E3D2BAE" w:rsidR="00363673" w:rsidRDefault="00363673" w:rsidP="00181F97">
      <w:pPr>
        <w:spacing w:after="240"/>
      </w:pPr>
      <w:r>
        <w:t xml:space="preserve">This report (Report 2) presents the findings of the </w:t>
      </w:r>
      <w:r w:rsidR="00E32D82">
        <w:t xml:space="preserve">proposed assessment model for </w:t>
      </w:r>
      <w:r>
        <w:t>residential aged care services in Australia.</w:t>
      </w:r>
    </w:p>
    <w:p w14:paraId="5DCBD7AB" w14:textId="2DF559D3" w:rsidR="00363673" w:rsidRDefault="00363673" w:rsidP="00181F97">
      <w:pPr>
        <w:spacing w:after="240"/>
      </w:pPr>
      <w:r>
        <w:t>A summary of the overall RUCS work program and associated reports is provided at</w:t>
      </w:r>
      <w:r w:rsidR="00F95E29">
        <w:t xml:space="preserve"> </w:t>
      </w:r>
      <w:r w:rsidR="00F95E29">
        <w:fldChar w:fldCharType="begin"/>
      </w:r>
      <w:r w:rsidR="00F95E29">
        <w:instrText xml:space="preserve"> REF _Ref534380994 \h </w:instrText>
      </w:r>
      <w:r w:rsidR="00F95E29">
        <w:fldChar w:fldCharType="separate"/>
      </w:r>
      <w:r w:rsidR="008928D6">
        <w:t>Appendix 1</w:t>
      </w:r>
      <w:r w:rsidR="00F95E29">
        <w:fldChar w:fldCharType="end"/>
      </w:r>
      <w:r w:rsidR="009745C1">
        <w:t>.</w:t>
      </w:r>
    </w:p>
    <w:p w14:paraId="3D6C2A8F" w14:textId="77777777" w:rsidR="00363673" w:rsidRPr="00135D3C" w:rsidRDefault="00363673" w:rsidP="00181F97">
      <w:pPr>
        <w:pStyle w:val="ListParagraph"/>
        <w:numPr>
          <w:ilvl w:val="0"/>
          <w:numId w:val="7"/>
        </w:numPr>
        <w:spacing w:after="120"/>
        <w:ind w:left="1418" w:hanging="1418"/>
        <w:contextualSpacing w:val="0"/>
      </w:pPr>
      <w:r w:rsidRPr="00135D3C">
        <w:t>The Australian National Aged Care Classification (AN-ACC)</w:t>
      </w:r>
    </w:p>
    <w:p w14:paraId="7A3443BD" w14:textId="7AFB6E0F" w:rsidR="00940464" w:rsidRDefault="00940464" w:rsidP="00181F97">
      <w:pPr>
        <w:pStyle w:val="ListParagraph"/>
        <w:numPr>
          <w:ilvl w:val="0"/>
          <w:numId w:val="7"/>
        </w:numPr>
        <w:spacing w:after="120"/>
        <w:ind w:left="1418" w:hanging="1418"/>
        <w:contextualSpacing w:val="0"/>
        <w:rPr>
          <w:b/>
        </w:rPr>
      </w:pPr>
      <w:r w:rsidRPr="00CD673A">
        <w:rPr>
          <w:b/>
        </w:rPr>
        <w:t xml:space="preserve">The AN-ACC assessment model </w:t>
      </w:r>
      <w:r w:rsidR="007C55A9">
        <w:t>(this report)</w:t>
      </w:r>
    </w:p>
    <w:p w14:paraId="731BEFA2" w14:textId="46E2A935" w:rsidR="00363673" w:rsidRDefault="00363673" w:rsidP="00181F97">
      <w:pPr>
        <w:pStyle w:val="ListParagraph"/>
        <w:numPr>
          <w:ilvl w:val="0"/>
          <w:numId w:val="7"/>
        </w:numPr>
        <w:spacing w:after="120"/>
        <w:ind w:left="1418" w:hanging="1418"/>
        <w:contextualSpacing w:val="0"/>
      </w:pPr>
      <w:r w:rsidRPr="00940464">
        <w:t xml:space="preserve">Structural and individual costs of residential </w:t>
      </w:r>
      <w:r w:rsidR="008230D1">
        <w:t>aged care services in Australia</w:t>
      </w:r>
    </w:p>
    <w:p w14:paraId="11C509B9" w14:textId="77777777" w:rsidR="00363673" w:rsidRPr="00135D3C" w:rsidRDefault="00363673" w:rsidP="00181F97">
      <w:pPr>
        <w:pStyle w:val="ListParagraph"/>
        <w:numPr>
          <w:ilvl w:val="0"/>
          <w:numId w:val="7"/>
        </w:numPr>
        <w:spacing w:after="120"/>
        <w:ind w:left="1418" w:hanging="1418"/>
        <w:contextualSpacing w:val="0"/>
      </w:pPr>
      <w:r w:rsidRPr="00135D3C">
        <w:t xml:space="preserve">Modelling the impact of the AN-ACC in Australia </w:t>
      </w:r>
    </w:p>
    <w:p w14:paraId="1C510B93" w14:textId="55788057" w:rsidR="00363673" w:rsidRPr="00135D3C" w:rsidRDefault="00FD7159" w:rsidP="00181F97">
      <w:pPr>
        <w:pStyle w:val="ListParagraph"/>
        <w:numPr>
          <w:ilvl w:val="0"/>
          <w:numId w:val="7"/>
        </w:numPr>
        <w:spacing w:after="120"/>
        <w:ind w:left="1418" w:hanging="1418"/>
        <w:contextualSpacing w:val="0"/>
      </w:pPr>
      <w:r>
        <w:t>AN-ACC: A f</w:t>
      </w:r>
      <w:r w:rsidR="00363673" w:rsidRPr="00135D3C">
        <w:t>unding model for t</w:t>
      </w:r>
      <w:r w:rsidR="008230D1">
        <w:t>he residential aged care sector</w:t>
      </w:r>
    </w:p>
    <w:p w14:paraId="66CF1FE3" w14:textId="77777777" w:rsidR="00363673" w:rsidRPr="00135D3C" w:rsidRDefault="00363673" w:rsidP="00181F97">
      <w:pPr>
        <w:pStyle w:val="ListParagraph"/>
        <w:numPr>
          <w:ilvl w:val="0"/>
          <w:numId w:val="7"/>
        </w:numPr>
        <w:spacing w:after="120"/>
        <w:ind w:left="1418" w:hanging="1418"/>
        <w:contextualSpacing w:val="0"/>
      </w:pPr>
      <w:r w:rsidRPr="00135D3C">
        <w:t>AN-ACC: A national classification and funding model for residential aged care: Synthesis and consolidated recommendations</w:t>
      </w:r>
    </w:p>
    <w:p w14:paraId="37445497" w14:textId="77777777" w:rsidR="00363673" w:rsidRDefault="00363673" w:rsidP="00181F97">
      <w:pPr>
        <w:pStyle w:val="ListParagraph"/>
        <w:numPr>
          <w:ilvl w:val="0"/>
          <w:numId w:val="7"/>
        </w:numPr>
        <w:spacing w:after="120"/>
        <w:ind w:left="1418" w:hanging="1418"/>
        <w:contextualSpacing w:val="0"/>
        <w:rPr>
          <w:lang w:val="sv-SE"/>
        </w:rPr>
      </w:pPr>
      <w:r w:rsidRPr="00F730E6">
        <w:rPr>
          <w:lang w:val="sv-SE"/>
        </w:rPr>
        <w:t>AN-ACC Technical appendices</w:t>
      </w:r>
    </w:p>
    <w:p w14:paraId="7803408C" w14:textId="52D82F53" w:rsidR="00EA3224" w:rsidRDefault="00181F97" w:rsidP="00181F97">
      <w:pPr>
        <w:spacing w:before="1680" w:after="360"/>
        <w:rPr>
          <w:lang w:val="sv-SE"/>
        </w:rPr>
      </w:pPr>
      <w:r w:rsidRPr="008F0118">
        <w:rPr>
          <w:b/>
        </w:rPr>
        <w:t>Suggest</w:t>
      </w:r>
      <w:r w:rsidR="00680C70">
        <w:rPr>
          <w:b/>
        </w:rPr>
        <w:t>ed</w:t>
      </w:r>
      <w:r w:rsidRPr="008F0118">
        <w:rPr>
          <w:b/>
        </w:rPr>
        <w:t xml:space="preserve"> citation:</w:t>
      </w:r>
    </w:p>
    <w:p w14:paraId="6148EAFD" w14:textId="36209235" w:rsidR="00EA3224" w:rsidRDefault="00181F97" w:rsidP="00181F97">
      <w:pPr>
        <w:spacing w:after="720"/>
        <w:rPr>
          <w:lang w:val="sv-SE"/>
        </w:rPr>
      </w:pPr>
      <w:r>
        <w:t>Westera</w:t>
      </w:r>
      <w:r w:rsidRPr="002309D2">
        <w:t xml:space="preserve"> A</w:t>
      </w:r>
      <w:r>
        <w:t xml:space="preserve"> et al. (2019</w:t>
      </w:r>
      <w:r w:rsidRPr="002309D2">
        <w:t xml:space="preserve">) </w:t>
      </w:r>
      <w:r w:rsidRPr="002309D2">
        <w:rPr>
          <w:i/>
        </w:rPr>
        <w:t>T</w:t>
      </w:r>
      <w:r>
        <w:rPr>
          <w:i/>
        </w:rPr>
        <w:t xml:space="preserve">he AN-ACC assessment model. The Resource Utilisation and Classification Study: Report 2. </w:t>
      </w:r>
      <w:r>
        <w:t>Australian Health Services Research Institute, University of Wollongong. ISBN 978-74128-296-2.</w:t>
      </w:r>
    </w:p>
    <w:p w14:paraId="0CD7E3B3" w14:textId="77777777" w:rsidR="00892ADC" w:rsidRDefault="00C4329D">
      <w:r>
        <w:br w:type="page"/>
      </w:r>
    </w:p>
    <w:p w14:paraId="514707D8" w14:textId="77777777" w:rsidR="00875C4E" w:rsidRDefault="00875C4E">
      <w:pPr>
        <w:sectPr w:rsidR="00875C4E" w:rsidSect="00A25BBE">
          <w:headerReference w:type="default" r:id="rId12"/>
          <w:footerReference w:type="default" r:id="rId13"/>
          <w:pgSz w:w="11906" w:h="16838"/>
          <w:pgMar w:top="1134" w:right="1134" w:bottom="1021" w:left="1418" w:header="709" w:footer="709" w:gutter="0"/>
          <w:cols w:space="708"/>
          <w:docGrid w:linePitch="360"/>
        </w:sectPr>
      </w:pPr>
    </w:p>
    <w:bookmarkStart w:id="0" w:name="_Toc455046509" w:displacedByCustomXml="next"/>
    <w:bookmarkStart w:id="1" w:name="_Toc454984416" w:displacedByCustomXml="next"/>
    <w:bookmarkStart w:id="2" w:name="_Toc420883505" w:displacedByCustomXml="next"/>
    <w:bookmarkStart w:id="3" w:name="_Toc420884055" w:displacedByCustomXml="next"/>
    <w:bookmarkStart w:id="4" w:name="_Toc420921206" w:displacedByCustomXml="next"/>
    <w:bookmarkStart w:id="5" w:name="_Toc420928744" w:displacedByCustomXml="next"/>
    <w:bookmarkStart w:id="6" w:name="_Toc454355989" w:displacedByCustomXml="next"/>
    <w:sdt>
      <w:sdtPr>
        <w:rPr>
          <w:rFonts w:ascii="Times New Roman" w:hAnsi="Times New Roman"/>
          <w:b w:val="0"/>
          <w:bCs/>
          <w:noProof w:val="0"/>
          <w:sz w:val="24"/>
          <w:szCs w:val="24"/>
        </w:rPr>
        <w:id w:val="-1505884234"/>
        <w:docPartObj>
          <w:docPartGallery w:val="Table of Contents"/>
          <w:docPartUnique/>
        </w:docPartObj>
      </w:sdtPr>
      <w:sdtEndPr>
        <w:rPr>
          <w:rFonts w:asciiTheme="minorHAnsi" w:hAnsiTheme="minorHAnsi"/>
          <w:bCs w:val="0"/>
        </w:rPr>
      </w:sdtEndPr>
      <w:sdtContent>
        <w:p w14:paraId="2D04BDB1" w14:textId="77777777" w:rsidR="00C06E8C" w:rsidRPr="00A648CA" w:rsidRDefault="00892ADC" w:rsidP="00FC4184">
          <w:pPr>
            <w:pStyle w:val="TOC1"/>
            <w:rPr>
              <w:sz w:val="40"/>
              <w:szCs w:val="40"/>
            </w:rPr>
          </w:pPr>
          <w:r w:rsidRPr="00A648CA">
            <w:rPr>
              <w:sz w:val="40"/>
              <w:szCs w:val="40"/>
            </w:rPr>
            <w:t>Contents</w:t>
          </w:r>
          <w:bookmarkEnd w:id="6"/>
          <w:bookmarkEnd w:id="5"/>
          <w:bookmarkEnd w:id="4"/>
          <w:bookmarkEnd w:id="3"/>
          <w:bookmarkEnd w:id="2"/>
          <w:bookmarkEnd w:id="1"/>
          <w:bookmarkEnd w:id="0"/>
        </w:p>
        <w:p w14:paraId="53220F32" w14:textId="536EAB0F" w:rsidR="00B87848" w:rsidRDefault="000B0A40">
          <w:pPr>
            <w:pStyle w:val="TOC1"/>
            <w:rPr>
              <w:rFonts w:eastAsiaTheme="minorEastAsia" w:cstheme="minorBidi"/>
              <w:b w:val="0"/>
            </w:rPr>
          </w:pPr>
          <w:r w:rsidRPr="00D10BB2">
            <w:fldChar w:fldCharType="begin"/>
          </w:r>
          <w:r w:rsidRPr="00D10BB2">
            <w:instrText xml:space="preserve"> TOC \o "1-2" </w:instrText>
          </w:r>
          <w:r w:rsidRPr="00D10BB2">
            <w:fldChar w:fldCharType="separate"/>
          </w:r>
          <w:r w:rsidR="00B87848">
            <w:t>Acknowledgements</w:t>
          </w:r>
          <w:r w:rsidR="00B87848">
            <w:tab/>
          </w:r>
          <w:r w:rsidR="00B87848">
            <w:fldChar w:fldCharType="begin"/>
          </w:r>
          <w:r w:rsidR="00B87848">
            <w:instrText xml:space="preserve"> PAGEREF _Toc2005232 \h </w:instrText>
          </w:r>
          <w:r w:rsidR="00B87848">
            <w:fldChar w:fldCharType="separate"/>
          </w:r>
          <w:r w:rsidR="002E53D0">
            <w:t>i</w:t>
          </w:r>
          <w:r w:rsidR="00B87848">
            <w:fldChar w:fldCharType="end"/>
          </w:r>
        </w:p>
        <w:p w14:paraId="5CADC7A1" w14:textId="7998331A" w:rsidR="00B87848" w:rsidRDefault="00B87848">
          <w:pPr>
            <w:pStyle w:val="TOC1"/>
            <w:rPr>
              <w:rFonts w:eastAsiaTheme="minorEastAsia" w:cstheme="minorBidi"/>
              <w:b w:val="0"/>
            </w:rPr>
          </w:pPr>
          <w:r>
            <w:t>Abbreviations</w:t>
          </w:r>
          <w:r>
            <w:tab/>
          </w:r>
          <w:r>
            <w:fldChar w:fldCharType="begin"/>
          </w:r>
          <w:r>
            <w:instrText xml:space="preserve"> PAGEREF _Toc2005233 \h </w:instrText>
          </w:r>
          <w:r>
            <w:fldChar w:fldCharType="separate"/>
          </w:r>
          <w:r w:rsidR="002E53D0">
            <w:t>ii</w:t>
          </w:r>
          <w:r>
            <w:fldChar w:fldCharType="end"/>
          </w:r>
        </w:p>
        <w:p w14:paraId="11D05CDC" w14:textId="545FBA35" w:rsidR="00B87848" w:rsidRDefault="00B87848">
          <w:pPr>
            <w:pStyle w:val="TOC1"/>
            <w:rPr>
              <w:rFonts w:eastAsiaTheme="minorEastAsia" w:cstheme="minorBidi"/>
              <w:b w:val="0"/>
            </w:rPr>
          </w:pPr>
          <w:r>
            <w:t>Glossary of Terms</w:t>
          </w:r>
          <w:r>
            <w:tab/>
          </w:r>
          <w:r>
            <w:fldChar w:fldCharType="begin"/>
          </w:r>
          <w:r>
            <w:instrText xml:space="preserve"> PAGEREF _Toc2005234 \h </w:instrText>
          </w:r>
          <w:r>
            <w:fldChar w:fldCharType="separate"/>
          </w:r>
          <w:r w:rsidR="002E53D0">
            <w:t>iii</w:t>
          </w:r>
          <w:r>
            <w:fldChar w:fldCharType="end"/>
          </w:r>
        </w:p>
        <w:p w14:paraId="01871095" w14:textId="3AC501AC" w:rsidR="00B87848" w:rsidRDefault="00B87848">
          <w:pPr>
            <w:pStyle w:val="TOC1"/>
            <w:rPr>
              <w:rFonts w:eastAsiaTheme="minorEastAsia" w:cstheme="minorBidi"/>
              <w:b w:val="0"/>
            </w:rPr>
          </w:pPr>
          <w:r>
            <w:t>Key messages</w:t>
          </w:r>
          <w:r>
            <w:tab/>
          </w:r>
          <w:r>
            <w:fldChar w:fldCharType="begin"/>
          </w:r>
          <w:r>
            <w:instrText xml:space="preserve"> PAGEREF _Toc2005235 \h </w:instrText>
          </w:r>
          <w:r>
            <w:fldChar w:fldCharType="separate"/>
          </w:r>
          <w:r w:rsidR="002E53D0">
            <w:t>1</w:t>
          </w:r>
          <w:r>
            <w:fldChar w:fldCharType="end"/>
          </w:r>
        </w:p>
        <w:p w14:paraId="3593E17F" w14:textId="0ADE98B9" w:rsidR="00B87848" w:rsidRDefault="00B87848">
          <w:pPr>
            <w:pStyle w:val="TOC1"/>
            <w:rPr>
              <w:rFonts w:eastAsiaTheme="minorEastAsia" w:cstheme="minorBidi"/>
              <w:b w:val="0"/>
            </w:rPr>
          </w:pPr>
          <w:r w:rsidRPr="00B6517E">
            <w:rPr>
              <w:color w:val="000000"/>
              <w14:scene3d>
                <w14:camera w14:prst="orthographicFront"/>
                <w14:lightRig w14:rig="threePt" w14:dir="t">
                  <w14:rot w14:lat="0" w14:lon="0" w14:rev="0"/>
                </w14:lightRig>
              </w14:scene3d>
            </w:rPr>
            <w:t>1.</w:t>
          </w:r>
          <w:r>
            <w:rPr>
              <w:rFonts w:eastAsiaTheme="minorEastAsia" w:cstheme="minorBidi"/>
              <w:b w:val="0"/>
            </w:rPr>
            <w:tab/>
          </w:r>
          <w:r>
            <w:t>Introduction and background</w:t>
          </w:r>
          <w:r>
            <w:tab/>
          </w:r>
          <w:r>
            <w:fldChar w:fldCharType="begin"/>
          </w:r>
          <w:r>
            <w:instrText xml:space="preserve"> PAGEREF _Toc2005236 \h </w:instrText>
          </w:r>
          <w:r>
            <w:fldChar w:fldCharType="separate"/>
          </w:r>
          <w:r w:rsidR="002E53D0">
            <w:t>2</w:t>
          </w:r>
          <w:r>
            <w:fldChar w:fldCharType="end"/>
          </w:r>
        </w:p>
        <w:p w14:paraId="053E95EA" w14:textId="3F90E29C" w:rsidR="00B87848" w:rsidRDefault="00B87848">
          <w:pPr>
            <w:pStyle w:val="TOC2"/>
            <w:rPr>
              <w:rFonts w:eastAsiaTheme="minorEastAsia" w:cstheme="minorBidi"/>
              <w:sz w:val="22"/>
              <w:szCs w:val="22"/>
            </w:rPr>
          </w:pPr>
          <w:r>
            <w:t>1.1</w:t>
          </w:r>
          <w:r>
            <w:rPr>
              <w:rFonts w:eastAsiaTheme="minorEastAsia" w:cstheme="minorBidi"/>
              <w:sz w:val="22"/>
              <w:szCs w:val="22"/>
            </w:rPr>
            <w:tab/>
          </w:r>
          <w:r>
            <w:t>Key elements of the AN-ACC system</w:t>
          </w:r>
          <w:r>
            <w:tab/>
          </w:r>
          <w:r>
            <w:fldChar w:fldCharType="begin"/>
          </w:r>
          <w:r>
            <w:instrText xml:space="preserve"> PAGEREF _Toc2005237 \h </w:instrText>
          </w:r>
          <w:r>
            <w:fldChar w:fldCharType="separate"/>
          </w:r>
          <w:r w:rsidR="002E53D0">
            <w:t>2</w:t>
          </w:r>
          <w:r>
            <w:fldChar w:fldCharType="end"/>
          </w:r>
        </w:p>
        <w:p w14:paraId="4D09E99B" w14:textId="543F05BF" w:rsidR="00B87848" w:rsidRDefault="00B87848">
          <w:pPr>
            <w:pStyle w:val="TOC2"/>
            <w:rPr>
              <w:rFonts w:eastAsiaTheme="minorEastAsia" w:cstheme="minorBidi"/>
              <w:sz w:val="22"/>
              <w:szCs w:val="22"/>
            </w:rPr>
          </w:pPr>
          <w:r>
            <w:t>1.2</w:t>
          </w:r>
          <w:r>
            <w:rPr>
              <w:rFonts w:eastAsiaTheme="minorEastAsia" w:cstheme="minorBidi"/>
              <w:sz w:val="22"/>
              <w:szCs w:val="22"/>
            </w:rPr>
            <w:tab/>
          </w:r>
          <w:r>
            <w:t>Ethical approval</w:t>
          </w:r>
          <w:r>
            <w:tab/>
          </w:r>
          <w:r>
            <w:fldChar w:fldCharType="begin"/>
          </w:r>
          <w:r>
            <w:instrText xml:space="preserve"> PAGEREF _Toc2005238 \h </w:instrText>
          </w:r>
          <w:r>
            <w:fldChar w:fldCharType="separate"/>
          </w:r>
          <w:r w:rsidR="002E53D0">
            <w:t>3</w:t>
          </w:r>
          <w:r>
            <w:fldChar w:fldCharType="end"/>
          </w:r>
        </w:p>
        <w:p w14:paraId="1053B09C" w14:textId="08652374" w:rsidR="00B87848" w:rsidRDefault="00B87848">
          <w:pPr>
            <w:pStyle w:val="TOC1"/>
            <w:rPr>
              <w:rFonts w:eastAsiaTheme="minorEastAsia" w:cstheme="minorBidi"/>
              <w:b w:val="0"/>
            </w:rPr>
          </w:pPr>
          <w:r w:rsidRPr="00B6517E">
            <w:rPr>
              <w:color w:val="000000"/>
              <w14:scene3d>
                <w14:camera w14:prst="orthographicFront"/>
                <w14:lightRig w14:rig="threePt" w14:dir="t">
                  <w14:rot w14:lat="0" w14:lon="0" w14:rev="0"/>
                </w14:lightRig>
              </w14:scene3d>
            </w:rPr>
            <w:t>2.</w:t>
          </w:r>
          <w:r>
            <w:rPr>
              <w:rFonts w:eastAsiaTheme="minorEastAsia" w:cstheme="minorBidi"/>
              <w:b w:val="0"/>
            </w:rPr>
            <w:tab/>
          </w:r>
          <w:r>
            <w:t>AN-ACC Assessment Model - overview</w:t>
          </w:r>
          <w:r>
            <w:tab/>
          </w:r>
          <w:r>
            <w:fldChar w:fldCharType="begin"/>
          </w:r>
          <w:r>
            <w:instrText xml:space="preserve"> PAGEREF _Toc2005239 \h </w:instrText>
          </w:r>
          <w:r>
            <w:fldChar w:fldCharType="separate"/>
          </w:r>
          <w:r w:rsidR="002E53D0">
            <w:t>4</w:t>
          </w:r>
          <w:r>
            <w:fldChar w:fldCharType="end"/>
          </w:r>
        </w:p>
        <w:p w14:paraId="75AB0737" w14:textId="4AF120C3" w:rsidR="00B87848" w:rsidRDefault="00B87848">
          <w:pPr>
            <w:pStyle w:val="TOC2"/>
            <w:rPr>
              <w:rFonts w:eastAsiaTheme="minorEastAsia" w:cstheme="minorBidi"/>
              <w:sz w:val="22"/>
              <w:szCs w:val="22"/>
            </w:rPr>
          </w:pPr>
          <w:r>
            <w:t>2.1</w:t>
          </w:r>
          <w:r>
            <w:rPr>
              <w:rFonts w:eastAsiaTheme="minorEastAsia" w:cstheme="minorBidi"/>
              <w:sz w:val="22"/>
              <w:szCs w:val="22"/>
            </w:rPr>
            <w:tab/>
          </w:r>
          <w:r>
            <w:t>External independent assessment for funding</w:t>
          </w:r>
          <w:r>
            <w:tab/>
          </w:r>
          <w:r>
            <w:fldChar w:fldCharType="begin"/>
          </w:r>
          <w:r>
            <w:instrText xml:space="preserve"> PAGEREF _Toc2005240 \h </w:instrText>
          </w:r>
          <w:r>
            <w:fldChar w:fldCharType="separate"/>
          </w:r>
          <w:r w:rsidR="002E53D0">
            <w:t>4</w:t>
          </w:r>
          <w:r>
            <w:fldChar w:fldCharType="end"/>
          </w:r>
        </w:p>
        <w:p w14:paraId="3D40D22D" w14:textId="7269E1C3" w:rsidR="00B87848" w:rsidRDefault="00B87848">
          <w:pPr>
            <w:pStyle w:val="TOC2"/>
            <w:rPr>
              <w:rFonts w:eastAsiaTheme="minorEastAsia" w:cstheme="minorBidi"/>
              <w:sz w:val="22"/>
              <w:szCs w:val="22"/>
            </w:rPr>
          </w:pPr>
          <w:r>
            <w:t>2.2</w:t>
          </w:r>
          <w:r>
            <w:rPr>
              <w:rFonts w:eastAsiaTheme="minorEastAsia" w:cstheme="minorBidi"/>
              <w:sz w:val="22"/>
              <w:szCs w:val="22"/>
            </w:rPr>
            <w:tab/>
          </w:r>
          <w:r>
            <w:t>AN-A</w:t>
          </w:r>
          <w:bookmarkStart w:id="7" w:name="_GoBack"/>
          <w:bookmarkEnd w:id="7"/>
          <w:r>
            <w:t>CC Clinical Panels</w:t>
          </w:r>
          <w:r>
            <w:tab/>
          </w:r>
          <w:r>
            <w:fldChar w:fldCharType="begin"/>
          </w:r>
          <w:r>
            <w:instrText xml:space="preserve"> PAGEREF _Toc2005241 \h </w:instrText>
          </w:r>
          <w:r>
            <w:fldChar w:fldCharType="separate"/>
          </w:r>
          <w:r w:rsidR="002E53D0">
            <w:t>5</w:t>
          </w:r>
          <w:r>
            <w:fldChar w:fldCharType="end"/>
          </w:r>
        </w:p>
        <w:p w14:paraId="7ACBD24C" w14:textId="1B36EB79" w:rsidR="00B87848" w:rsidRDefault="00B87848">
          <w:pPr>
            <w:pStyle w:val="TOC2"/>
            <w:rPr>
              <w:rFonts w:eastAsiaTheme="minorEastAsia" w:cstheme="minorBidi"/>
              <w:sz w:val="22"/>
              <w:szCs w:val="22"/>
            </w:rPr>
          </w:pPr>
          <w:r>
            <w:t>2.3</w:t>
          </w:r>
          <w:r>
            <w:rPr>
              <w:rFonts w:eastAsiaTheme="minorEastAsia" w:cstheme="minorBidi"/>
              <w:sz w:val="22"/>
              <w:szCs w:val="22"/>
            </w:rPr>
            <w:tab/>
          </w:r>
          <w:r>
            <w:t>Clinical Panel outcomes</w:t>
          </w:r>
          <w:r>
            <w:tab/>
          </w:r>
          <w:r>
            <w:fldChar w:fldCharType="begin"/>
          </w:r>
          <w:r>
            <w:instrText xml:space="preserve"> PAGEREF _Toc2005242 \h </w:instrText>
          </w:r>
          <w:r>
            <w:fldChar w:fldCharType="separate"/>
          </w:r>
          <w:r w:rsidR="002E53D0">
            <w:t>6</w:t>
          </w:r>
          <w:r>
            <w:fldChar w:fldCharType="end"/>
          </w:r>
        </w:p>
        <w:p w14:paraId="784FB886" w14:textId="48CB69A4" w:rsidR="00B87848" w:rsidRDefault="00B87848">
          <w:pPr>
            <w:pStyle w:val="TOC1"/>
            <w:rPr>
              <w:rFonts w:eastAsiaTheme="minorEastAsia" w:cstheme="minorBidi"/>
              <w:b w:val="0"/>
            </w:rPr>
          </w:pPr>
          <w:r w:rsidRPr="00B6517E">
            <w:rPr>
              <w:color w:val="000000"/>
              <w14:scene3d>
                <w14:camera w14:prst="orthographicFront"/>
                <w14:lightRig w14:rig="threePt" w14:dir="t">
                  <w14:rot w14:lat="0" w14:lon="0" w14:rev="0"/>
                </w14:lightRig>
              </w14:scene3d>
            </w:rPr>
            <w:t>3.</w:t>
          </w:r>
          <w:r>
            <w:rPr>
              <w:rFonts w:eastAsiaTheme="minorEastAsia" w:cstheme="minorBidi"/>
              <w:b w:val="0"/>
            </w:rPr>
            <w:tab/>
          </w:r>
          <w:r>
            <w:t>AN-ACC Assessment Tool development</w:t>
          </w:r>
          <w:r>
            <w:tab/>
          </w:r>
          <w:r>
            <w:fldChar w:fldCharType="begin"/>
          </w:r>
          <w:r>
            <w:instrText xml:space="preserve"> PAGEREF _Toc2005243 \h </w:instrText>
          </w:r>
          <w:r>
            <w:fldChar w:fldCharType="separate"/>
          </w:r>
          <w:r w:rsidR="002E53D0">
            <w:t>7</w:t>
          </w:r>
          <w:r>
            <w:fldChar w:fldCharType="end"/>
          </w:r>
        </w:p>
        <w:p w14:paraId="2566E3BE" w14:textId="317CC047" w:rsidR="00B87848" w:rsidRDefault="00B87848">
          <w:pPr>
            <w:pStyle w:val="TOC2"/>
            <w:rPr>
              <w:rFonts w:eastAsiaTheme="minorEastAsia" w:cstheme="minorBidi"/>
              <w:sz w:val="22"/>
              <w:szCs w:val="22"/>
            </w:rPr>
          </w:pPr>
          <w:r>
            <w:t>3.1</w:t>
          </w:r>
          <w:r>
            <w:rPr>
              <w:rFonts w:eastAsiaTheme="minorEastAsia" w:cstheme="minorBidi"/>
              <w:sz w:val="22"/>
              <w:szCs w:val="22"/>
            </w:rPr>
            <w:tab/>
          </w:r>
          <w:r>
            <w:t>Cost drivers and how they are assessed</w:t>
          </w:r>
          <w:r>
            <w:tab/>
          </w:r>
          <w:r>
            <w:fldChar w:fldCharType="begin"/>
          </w:r>
          <w:r>
            <w:instrText xml:space="preserve"> PAGEREF _Toc2005244 \h </w:instrText>
          </w:r>
          <w:r>
            <w:fldChar w:fldCharType="separate"/>
          </w:r>
          <w:r w:rsidR="002E53D0">
            <w:t>7</w:t>
          </w:r>
          <w:r>
            <w:fldChar w:fldCharType="end"/>
          </w:r>
        </w:p>
        <w:p w14:paraId="773BBB9F" w14:textId="20BB0662" w:rsidR="00B87848" w:rsidRDefault="00B87848">
          <w:pPr>
            <w:pStyle w:val="TOC2"/>
            <w:rPr>
              <w:rFonts w:eastAsiaTheme="minorEastAsia" w:cstheme="minorBidi"/>
              <w:sz w:val="22"/>
              <w:szCs w:val="22"/>
            </w:rPr>
          </w:pPr>
          <w:r>
            <w:t>3.2</w:t>
          </w:r>
          <w:r>
            <w:rPr>
              <w:rFonts w:eastAsiaTheme="minorEastAsia" w:cstheme="minorBidi"/>
              <w:sz w:val="22"/>
              <w:szCs w:val="22"/>
            </w:rPr>
            <w:tab/>
          </w:r>
          <w:r>
            <w:t>Initial RUCS Assessment Tool</w:t>
          </w:r>
          <w:r>
            <w:tab/>
          </w:r>
          <w:r>
            <w:fldChar w:fldCharType="begin"/>
          </w:r>
          <w:r>
            <w:instrText xml:space="preserve"> PAGEREF _Toc2005245 \h </w:instrText>
          </w:r>
          <w:r>
            <w:fldChar w:fldCharType="separate"/>
          </w:r>
          <w:r w:rsidR="002E53D0">
            <w:t>9</w:t>
          </w:r>
          <w:r>
            <w:fldChar w:fldCharType="end"/>
          </w:r>
        </w:p>
        <w:p w14:paraId="4999CD87" w14:textId="4872B5FA" w:rsidR="00B87848" w:rsidRDefault="00B87848">
          <w:pPr>
            <w:pStyle w:val="TOC2"/>
            <w:rPr>
              <w:rFonts w:eastAsiaTheme="minorEastAsia" w:cstheme="minorBidi"/>
              <w:sz w:val="22"/>
              <w:szCs w:val="22"/>
            </w:rPr>
          </w:pPr>
          <w:r>
            <w:t>3.3</w:t>
          </w:r>
          <w:r>
            <w:rPr>
              <w:rFonts w:eastAsiaTheme="minorEastAsia" w:cstheme="minorBidi"/>
              <w:sz w:val="22"/>
              <w:szCs w:val="22"/>
            </w:rPr>
            <w:tab/>
          </w:r>
          <w:r>
            <w:t>Refinement of the tool by inclusion of the BRUA</w:t>
          </w:r>
          <w:r>
            <w:tab/>
          </w:r>
          <w:r>
            <w:fldChar w:fldCharType="begin"/>
          </w:r>
          <w:r>
            <w:instrText xml:space="preserve"> PAGEREF _Toc2005246 \h </w:instrText>
          </w:r>
          <w:r>
            <w:fldChar w:fldCharType="separate"/>
          </w:r>
          <w:r w:rsidR="002E53D0">
            <w:t>9</w:t>
          </w:r>
          <w:r>
            <w:fldChar w:fldCharType="end"/>
          </w:r>
        </w:p>
        <w:p w14:paraId="2C6E9D2B" w14:textId="0FD07FA6" w:rsidR="00B87848" w:rsidRDefault="00B87848">
          <w:pPr>
            <w:pStyle w:val="TOC1"/>
            <w:rPr>
              <w:rFonts w:eastAsiaTheme="minorEastAsia" w:cstheme="minorBidi"/>
              <w:b w:val="0"/>
            </w:rPr>
          </w:pPr>
          <w:r w:rsidRPr="00B6517E">
            <w:rPr>
              <w:color w:val="000000"/>
              <w14:scene3d>
                <w14:camera w14:prst="orthographicFront"/>
                <w14:lightRig w14:rig="threePt" w14:dir="t">
                  <w14:rot w14:lat="0" w14:lon="0" w14:rev="0"/>
                </w14:lightRig>
              </w14:scene3d>
            </w:rPr>
            <w:t>4.</w:t>
          </w:r>
          <w:r>
            <w:rPr>
              <w:rFonts w:eastAsiaTheme="minorEastAsia" w:cstheme="minorBidi"/>
              <w:b w:val="0"/>
            </w:rPr>
            <w:tab/>
          </w:r>
          <w:r>
            <w:t>The AN-ACC Assessment Tool Version 1.0</w:t>
          </w:r>
          <w:r>
            <w:tab/>
          </w:r>
          <w:r>
            <w:fldChar w:fldCharType="begin"/>
          </w:r>
          <w:r>
            <w:instrText xml:space="preserve"> PAGEREF _Toc2005247 \h </w:instrText>
          </w:r>
          <w:r>
            <w:fldChar w:fldCharType="separate"/>
          </w:r>
          <w:r w:rsidR="002E53D0">
            <w:t>11</w:t>
          </w:r>
          <w:r>
            <w:fldChar w:fldCharType="end"/>
          </w:r>
        </w:p>
        <w:p w14:paraId="2A904E64" w14:textId="26A6967C" w:rsidR="00B87848" w:rsidRDefault="00B87848">
          <w:pPr>
            <w:pStyle w:val="TOC1"/>
            <w:rPr>
              <w:rFonts w:eastAsiaTheme="minorEastAsia" w:cstheme="minorBidi"/>
              <w:b w:val="0"/>
            </w:rPr>
          </w:pPr>
          <w:r w:rsidRPr="00B6517E">
            <w:rPr>
              <w:color w:val="000000"/>
              <w14:scene3d>
                <w14:camera w14:prst="orthographicFront"/>
                <w14:lightRig w14:rig="threePt" w14:dir="t">
                  <w14:rot w14:lat="0" w14:lon="0" w14:rev="0"/>
                </w14:lightRig>
              </w14:scene3d>
            </w:rPr>
            <w:t>5.</w:t>
          </w:r>
          <w:r>
            <w:rPr>
              <w:rFonts w:eastAsiaTheme="minorEastAsia" w:cstheme="minorBidi"/>
              <w:b w:val="0"/>
            </w:rPr>
            <w:tab/>
          </w:r>
          <w:r>
            <w:t>Implementation</w:t>
          </w:r>
          <w:r>
            <w:tab/>
          </w:r>
          <w:r>
            <w:fldChar w:fldCharType="begin"/>
          </w:r>
          <w:r>
            <w:instrText xml:space="preserve"> PAGEREF _Toc2005248 \h </w:instrText>
          </w:r>
          <w:r>
            <w:fldChar w:fldCharType="separate"/>
          </w:r>
          <w:r w:rsidR="002E53D0">
            <w:t>12</w:t>
          </w:r>
          <w:r>
            <w:fldChar w:fldCharType="end"/>
          </w:r>
        </w:p>
        <w:p w14:paraId="7D1C2F03" w14:textId="5AA9497D" w:rsidR="00B87848" w:rsidRDefault="00B87848">
          <w:pPr>
            <w:pStyle w:val="TOC2"/>
            <w:rPr>
              <w:rFonts w:eastAsiaTheme="minorEastAsia" w:cstheme="minorBidi"/>
              <w:sz w:val="22"/>
              <w:szCs w:val="22"/>
            </w:rPr>
          </w:pPr>
          <w:r>
            <w:t>5.1</w:t>
          </w:r>
          <w:r>
            <w:rPr>
              <w:rFonts w:eastAsiaTheme="minorEastAsia" w:cstheme="minorBidi"/>
              <w:sz w:val="22"/>
              <w:szCs w:val="22"/>
            </w:rPr>
            <w:tab/>
          </w:r>
          <w:r>
            <w:t>Initial AN-ACC assessment</w:t>
          </w:r>
          <w:r>
            <w:tab/>
          </w:r>
          <w:r>
            <w:fldChar w:fldCharType="begin"/>
          </w:r>
          <w:r>
            <w:instrText xml:space="preserve"> PAGEREF _Toc2005249 \h </w:instrText>
          </w:r>
          <w:r>
            <w:fldChar w:fldCharType="separate"/>
          </w:r>
          <w:r w:rsidR="002E53D0">
            <w:t>12</w:t>
          </w:r>
          <w:r>
            <w:fldChar w:fldCharType="end"/>
          </w:r>
        </w:p>
        <w:p w14:paraId="3D447A61" w14:textId="46491D40" w:rsidR="00B87848" w:rsidRDefault="00B87848">
          <w:pPr>
            <w:pStyle w:val="TOC2"/>
            <w:rPr>
              <w:rFonts w:eastAsiaTheme="minorEastAsia" w:cstheme="minorBidi"/>
              <w:sz w:val="22"/>
              <w:szCs w:val="22"/>
            </w:rPr>
          </w:pPr>
          <w:r>
            <w:t>5.2</w:t>
          </w:r>
          <w:r>
            <w:rPr>
              <w:rFonts w:eastAsiaTheme="minorEastAsia" w:cstheme="minorBidi"/>
              <w:sz w:val="22"/>
              <w:szCs w:val="22"/>
            </w:rPr>
            <w:tab/>
          </w:r>
          <w:r>
            <w:t>Capabilities approach</w:t>
          </w:r>
          <w:r>
            <w:tab/>
          </w:r>
          <w:r>
            <w:fldChar w:fldCharType="begin"/>
          </w:r>
          <w:r>
            <w:instrText xml:space="preserve"> PAGEREF _Toc2005250 \h </w:instrText>
          </w:r>
          <w:r>
            <w:fldChar w:fldCharType="separate"/>
          </w:r>
          <w:r w:rsidR="002E53D0">
            <w:t>12</w:t>
          </w:r>
          <w:r>
            <w:fldChar w:fldCharType="end"/>
          </w:r>
        </w:p>
        <w:p w14:paraId="0717B17C" w14:textId="135B1B34" w:rsidR="00B87848" w:rsidRDefault="00B87848">
          <w:pPr>
            <w:pStyle w:val="TOC2"/>
            <w:rPr>
              <w:rFonts w:eastAsiaTheme="minorEastAsia" w:cstheme="minorBidi"/>
              <w:sz w:val="22"/>
              <w:szCs w:val="22"/>
            </w:rPr>
          </w:pPr>
          <w:r>
            <w:t>5.3</w:t>
          </w:r>
          <w:r>
            <w:rPr>
              <w:rFonts w:eastAsiaTheme="minorEastAsia" w:cstheme="minorBidi"/>
              <w:sz w:val="22"/>
              <w:szCs w:val="22"/>
            </w:rPr>
            <w:tab/>
          </w:r>
          <w:r>
            <w:t>Assessor attributes</w:t>
          </w:r>
          <w:r>
            <w:tab/>
          </w:r>
          <w:r>
            <w:fldChar w:fldCharType="begin"/>
          </w:r>
          <w:r>
            <w:instrText xml:space="preserve"> PAGEREF _Toc2005251 \h </w:instrText>
          </w:r>
          <w:r>
            <w:fldChar w:fldCharType="separate"/>
          </w:r>
          <w:r w:rsidR="002E53D0">
            <w:t>13</w:t>
          </w:r>
          <w:r>
            <w:fldChar w:fldCharType="end"/>
          </w:r>
        </w:p>
        <w:p w14:paraId="33009825" w14:textId="18614DAF" w:rsidR="00B87848" w:rsidRDefault="00B87848">
          <w:pPr>
            <w:pStyle w:val="TOC2"/>
            <w:rPr>
              <w:rFonts w:eastAsiaTheme="minorEastAsia" w:cstheme="minorBidi"/>
              <w:sz w:val="22"/>
              <w:szCs w:val="22"/>
            </w:rPr>
          </w:pPr>
          <w:r>
            <w:t>5.4</w:t>
          </w:r>
          <w:r>
            <w:rPr>
              <w:rFonts w:eastAsiaTheme="minorEastAsia" w:cstheme="minorBidi"/>
              <w:sz w:val="22"/>
              <w:szCs w:val="22"/>
            </w:rPr>
            <w:tab/>
          </w:r>
          <w:r>
            <w:t>Training and support</w:t>
          </w:r>
          <w:r>
            <w:tab/>
          </w:r>
          <w:r>
            <w:fldChar w:fldCharType="begin"/>
          </w:r>
          <w:r>
            <w:instrText xml:space="preserve"> PAGEREF _Toc2005252 \h </w:instrText>
          </w:r>
          <w:r>
            <w:fldChar w:fldCharType="separate"/>
          </w:r>
          <w:r w:rsidR="002E53D0">
            <w:t>13</w:t>
          </w:r>
          <w:r>
            <w:fldChar w:fldCharType="end"/>
          </w:r>
        </w:p>
        <w:p w14:paraId="38D9A2D3" w14:textId="2D238C72" w:rsidR="00B87848" w:rsidRDefault="00B87848">
          <w:pPr>
            <w:pStyle w:val="TOC2"/>
            <w:rPr>
              <w:rFonts w:eastAsiaTheme="minorEastAsia" w:cstheme="minorBidi"/>
              <w:sz w:val="22"/>
              <w:szCs w:val="22"/>
            </w:rPr>
          </w:pPr>
          <w:r>
            <w:t>5.5</w:t>
          </w:r>
          <w:r>
            <w:rPr>
              <w:rFonts w:eastAsiaTheme="minorEastAsia" w:cstheme="minorBidi"/>
              <w:sz w:val="22"/>
              <w:szCs w:val="22"/>
            </w:rPr>
            <w:tab/>
          </w:r>
          <w:r>
            <w:t>AN-ACC assessment workforce strategy</w:t>
          </w:r>
          <w:r>
            <w:tab/>
          </w:r>
          <w:r>
            <w:fldChar w:fldCharType="begin"/>
          </w:r>
          <w:r>
            <w:instrText xml:space="preserve"> PAGEREF _Toc2005253 \h </w:instrText>
          </w:r>
          <w:r>
            <w:fldChar w:fldCharType="separate"/>
          </w:r>
          <w:r w:rsidR="002E53D0">
            <w:t>14</w:t>
          </w:r>
          <w:r>
            <w:fldChar w:fldCharType="end"/>
          </w:r>
        </w:p>
        <w:p w14:paraId="10485B43" w14:textId="09FA4B2F" w:rsidR="00B87848" w:rsidRDefault="00B87848">
          <w:pPr>
            <w:pStyle w:val="TOC2"/>
            <w:rPr>
              <w:rFonts w:eastAsiaTheme="minorEastAsia" w:cstheme="minorBidi"/>
              <w:sz w:val="22"/>
              <w:szCs w:val="22"/>
            </w:rPr>
          </w:pPr>
          <w:r>
            <w:t>5.6</w:t>
          </w:r>
          <w:r>
            <w:rPr>
              <w:rFonts w:eastAsiaTheme="minorEastAsia" w:cstheme="minorBidi"/>
              <w:sz w:val="22"/>
              <w:szCs w:val="22"/>
            </w:rPr>
            <w:tab/>
          </w:r>
          <w:r>
            <w:t>Sector development</w:t>
          </w:r>
          <w:r>
            <w:tab/>
          </w:r>
          <w:r>
            <w:fldChar w:fldCharType="begin"/>
          </w:r>
          <w:r>
            <w:instrText xml:space="preserve"> PAGEREF _Toc2005254 \h </w:instrText>
          </w:r>
          <w:r>
            <w:fldChar w:fldCharType="separate"/>
          </w:r>
          <w:r w:rsidR="002E53D0">
            <w:t>14</w:t>
          </w:r>
          <w:r>
            <w:fldChar w:fldCharType="end"/>
          </w:r>
        </w:p>
        <w:p w14:paraId="42E1CE50" w14:textId="75C180BC" w:rsidR="00B87848" w:rsidRDefault="00B87848">
          <w:pPr>
            <w:pStyle w:val="TOC1"/>
            <w:rPr>
              <w:rFonts w:eastAsiaTheme="minorEastAsia" w:cstheme="minorBidi"/>
              <w:b w:val="0"/>
            </w:rPr>
          </w:pPr>
          <w:r w:rsidRPr="00B6517E">
            <w:rPr>
              <w:color w:val="000000"/>
              <w14:scene3d>
                <w14:camera w14:prst="orthographicFront"/>
                <w14:lightRig w14:rig="threePt" w14:dir="t">
                  <w14:rot w14:lat="0" w14:lon="0" w14:rev="0"/>
                </w14:lightRig>
              </w14:scene3d>
            </w:rPr>
            <w:t>6.</w:t>
          </w:r>
          <w:r>
            <w:rPr>
              <w:rFonts w:eastAsiaTheme="minorEastAsia" w:cstheme="minorBidi"/>
              <w:b w:val="0"/>
            </w:rPr>
            <w:tab/>
          </w:r>
          <w:r>
            <w:t>AN-ACC reassessment</w:t>
          </w:r>
          <w:r>
            <w:tab/>
          </w:r>
          <w:r>
            <w:fldChar w:fldCharType="begin"/>
          </w:r>
          <w:r>
            <w:instrText xml:space="preserve"> PAGEREF _Toc2005255 \h </w:instrText>
          </w:r>
          <w:r>
            <w:fldChar w:fldCharType="separate"/>
          </w:r>
          <w:r w:rsidR="002E53D0">
            <w:t>15</w:t>
          </w:r>
          <w:r>
            <w:fldChar w:fldCharType="end"/>
          </w:r>
        </w:p>
        <w:p w14:paraId="6BB4BD02" w14:textId="62C32202" w:rsidR="00B87848" w:rsidRDefault="00B87848">
          <w:pPr>
            <w:pStyle w:val="TOC2"/>
            <w:rPr>
              <w:rFonts w:eastAsiaTheme="minorEastAsia" w:cstheme="minorBidi"/>
              <w:sz w:val="22"/>
              <w:szCs w:val="22"/>
            </w:rPr>
          </w:pPr>
          <w:r>
            <w:t>6.1</w:t>
          </w:r>
          <w:r>
            <w:rPr>
              <w:rFonts w:eastAsiaTheme="minorEastAsia" w:cstheme="minorBidi"/>
              <w:sz w:val="22"/>
              <w:szCs w:val="22"/>
            </w:rPr>
            <w:tab/>
          </w:r>
          <w:r>
            <w:t>The reassessment study</w:t>
          </w:r>
          <w:r>
            <w:tab/>
          </w:r>
          <w:r>
            <w:fldChar w:fldCharType="begin"/>
          </w:r>
          <w:r>
            <w:instrText xml:space="preserve"> PAGEREF _Toc2005256 \h </w:instrText>
          </w:r>
          <w:r>
            <w:fldChar w:fldCharType="separate"/>
          </w:r>
          <w:r w:rsidR="002E53D0">
            <w:t>15</w:t>
          </w:r>
          <w:r>
            <w:fldChar w:fldCharType="end"/>
          </w:r>
        </w:p>
        <w:p w14:paraId="0FC3EFCA" w14:textId="5EF388C8" w:rsidR="00B87848" w:rsidRDefault="00B87848">
          <w:pPr>
            <w:pStyle w:val="TOC2"/>
            <w:rPr>
              <w:rFonts w:eastAsiaTheme="minorEastAsia" w:cstheme="minorBidi"/>
              <w:sz w:val="22"/>
              <w:szCs w:val="22"/>
            </w:rPr>
          </w:pPr>
          <w:r>
            <w:t>6.2</w:t>
          </w:r>
          <w:r>
            <w:rPr>
              <w:rFonts w:eastAsiaTheme="minorEastAsia" w:cstheme="minorBidi"/>
              <w:sz w:val="22"/>
              <w:szCs w:val="22"/>
            </w:rPr>
            <w:tab/>
          </w:r>
          <w:r>
            <w:t>Significant events between assessment and reassessment</w:t>
          </w:r>
          <w:r>
            <w:tab/>
          </w:r>
          <w:r>
            <w:fldChar w:fldCharType="begin"/>
          </w:r>
          <w:r>
            <w:instrText xml:space="preserve"> PAGEREF _Toc2005257 \h </w:instrText>
          </w:r>
          <w:r>
            <w:fldChar w:fldCharType="separate"/>
          </w:r>
          <w:r w:rsidR="002E53D0">
            <w:t>17</w:t>
          </w:r>
          <w:r>
            <w:fldChar w:fldCharType="end"/>
          </w:r>
        </w:p>
        <w:p w14:paraId="6AD2C7CF" w14:textId="280D0E11" w:rsidR="00B87848" w:rsidRDefault="00B87848">
          <w:pPr>
            <w:pStyle w:val="TOC2"/>
            <w:rPr>
              <w:rFonts w:eastAsiaTheme="minorEastAsia" w:cstheme="minorBidi"/>
              <w:sz w:val="22"/>
              <w:szCs w:val="22"/>
            </w:rPr>
          </w:pPr>
          <w:r>
            <w:t>6.3</w:t>
          </w:r>
          <w:r>
            <w:rPr>
              <w:rFonts w:eastAsiaTheme="minorEastAsia" w:cstheme="minorBidi"/>
              <w:sz w:val="22"/>
              <w:szCs w:val="22"/>
            </w:rPr>
            <w:tab/>
          </w:r>
          <w:r>
            <w:t>Class profile at assessment and reassessment</w:t>
          </w:r>
          <w:r>
            <w:tab/>
          </w:r>
          <w:r>
            <w:fldChar w:fldCharType="begin"/>
          </w:r>
          <w:r>
            <w:instrText xml:space="preserve"> PAGEREF _Toc2005258 \h </w:instrText>
          </w:r>
          <w:r>
            <w:fldChar w:fldCharType="separate"/>
          </w:r>
          <w:r w:rsidR="002E53D0">
            <w:t>19</w:t>
          </w:r>
          <w:r>
            <w:fldChar w:fldCharType="end"/>
          </w:r>
        </w:p>
        <w:p w14:paraId="33484F94" w14:textId="3C3DA6B8" w:rsidR="00B87848" w:rsidRDefault="00B87848">
          <w:pPr>
            <w:pStyle w:val="TOC2"/>
            <w:rPr>
              <w:rFonts w:eastAsiaTheme="minorEastAsia" w:cstheme="minorBidi"/>
              <w:sz w:val="22"/>
              <w:szCs w:val="22"/>
            </w:rPr>
          </w:pPr>
          <w:r>
            <w:t>6.4</w:t>
          </w:r>
          <w:r>
            <w:rPr>
              <w:rFonts w:eastAsiaTheme="minorEastAsia" w:cstheme="minorBidi"/>
              <w:sz w:val="22"/>
              <w:szCs w:val="22"/>
            </w:rPr>
            <w:tab/>
          </w:r>
          <w:r>
            <w:t>Summary of changes by AN-ACC payment class between initial assessment and reassessment</w:t>
          </w:r>
          <w:r>
            <w:tab/>
          </w:r>
          <w:r>
            <w:fldChar w:fldCharType="begin"/>
          </w:r>
          <w:r>
            <w:instrText xml:space="preserve"> PAGEREF _Toc2005259 \h </w:instrText>
          </w:r>
          <w:r>
            <w:fldChar w:fldCharType="separate"/>
          </w:r>
          <w:r w:rsidR="002E53D0">
            <w:t>21</w:t>
          </w:r>
          <w:r>
            <w:fldChar w:fldCharType="end"/>
          </w:r>
        </w:p>
        <w:p w14:paraId="7821B282" w14:textId="20107D10" w:rsidR="00B87848" w:rsidRDefault="00B87848">
          <w:pPr>
            <w:pStyle w:val="TOC2"/>
            <w:rPr>
              <w:rFonts w:eastAsiaTheme="minorEastAsia" w:cstheme="minorBidi"/>
              <w:sz w:val="22"/>
              <w:szCs w:val="22"/>
            </w:rPr>
          </w:pPr>
          <w:r>
            <w:t>6.5</w:t>
          </w:r>
          <w:r>
            <w:rPr>
              <w:rFonts w:eastAsiaTheme="minorEastAsia" w:cstheme="minorBidi"/>
              <w:sz w:val="22"/>
              <w:szCs w:val="22"/>
            </w:rPr>
            <w:tab/>
          </w:r>
          <w:r>
            <w:t>Implications for reassessment protocols</w:t>
          </w:r>
          <w:r>
            <w:tab/>
          </w:r>
          <w:r>
            <w:fldChar w:fldCharType="begin"/>
          </w:r>
          <w:r>
            <w:instrText xml:space="preserve"> PAGEREF _Toc2005260 \h </w:instrText>
          </w:r>
          <w:r>
            <w:fldChar w:fldCharType="separate"/>
          </w:r>
          <w:r w:rsidR="002E53D0">
            <w:t>22</w:t>
          </w:r>
          <w:r>
            <w:fldChar w:fldCharType="end"/>
          </w:r>
        </w:p>
        <w:p w14:paraId="3FCA2BF3" w14:textId="4BE68723" w:rsidR="00B87848" w:rsidRDefault="00B87848">
          <w:pPr>
            <w:pStyle w:val="TOC1"/>
            <w:rPr>
              <w:rFonts w:eastAsiaTheme="minorEastAsia" w:cstheme="minorBidi"/>
              <w:b w:val="0"/>
            </w:rPr>
          </w:pPr>
          <w:r w:rsidRPr="00B6517E">
            <w:rPr>
              <w:color w:val="000000"/>
              <w14:scene3d>
                <w14:camera w14:prst="orthographicFront"/>
                <w14:lightRig w14:rig="threePt" w14:dir="t">
                  <w14:rot w14:lat="0" w14:lon="0" w14:rev="0"/>
                </w14:lightRig>
              </w14:scene3d>
            </w:rPr>
            <w:t>7.</w:t>
          </w:r>
          <w:r>
            <w:rPr>
              <w:rFonts w:eastAsiaTheme="minorEastAsia" w:cstheme="minorBidi"/>
              <w:b w:val="0"/>
            </w:rPr>
            <w:tab/>
          </w:r>
          <w:r>
            <w:t>Discussion and recommendations</w:t>
          </w:r>
          <w:r>
            <w:tab/>
          </w:r>
          <w:r>
            <w:fldChar w:fldCharType="begin"/>
          </w:r>
          <w:r>
            <w:instrText xml:space="preserve"> PAGEREF _Toc2005261 \h </w:instrText>
          </w:r>
          <w:r>
            <w:fldChar w:fldCharType="separate"/>
          </w:r>
          <w:r w:rsidR="002E53D0">
            <w:t>24</w:t>
          </w:r>
          <w:r>
            <w:fldChar w:fldCharType="end"/>
          </w:r>
        </w:p>
        <w:p w14:paraId="4A04D362" w14:textId="242C0209" w:rsidR="00B87848" w:rsidRDefault="00B87848">
          <w:pPr>
            <w:pStyle w:val="TOC2"/>
            <w:rPr>
              <w:rFonts w:eastAsiaTheme="minorEastAsia" w:cstheme="minorBidi"/>
              <w:sz w:val="22"/>
              <w:szCs w:val="22"/>
            </w:rPr>
          </w:pPr>
          <w:r>
            <w:t>7.1</w:t>
          </w:r>
          <w:r>
            <w:rPr>
              <w:rFonts w:eastAsiaTheme="minorEastAsia" w:cstheme="minorBidi"/>
              <w:sz w:val="22"/>
              <w:szCs w:val="22"/>
            </w:rPr>
            <w:tab/>
          </w:r>
          <w:r>
            <w:t>Adoption of the AN-ACC Assessment Model</w:t>
          </w:r>
          <w:r>
            <w:tab/>
          </w:r>
          <w:r>
            <w:fldChar w:fldCharType="begin"/>
          </w:r>
          <w:r>
            <w:instrText xml:space="preserve"> PAGEREF _Toc2005262 \h </w:instrText>
          </w:r>
          <w:r>
            <w:fldChar w:fldCharType="separate"/>
          </w:r>
          <w:r w:rsidR="002E53D0">
            <w:t>24</w:t>
          </w:r>
          <w:r>
            <w:fldChar w:fldCharType="end"/>
          </w:r>
        </w:p>
        <w:p w14:paraId="362E22BB" w14:textId="681053AD" w:rsidR="00B87848" w:rsidRDefault="00B87848">
          <w:pPr>
            <w:pStyle w:val="TOC2"/>
            <w:rPr>
              <w:rFonts w:eastAsiaTheme="minorEastAsia" w:cstheme="minorBidi"/>
              <w:sz w:val="22"/>
              <w:szCs w:val="22"/>
            </w:rPr>
          </w:pPr>
          <w:r>
            <w:t>7.2</w:t>
          </w:r>
          <w:r>
            <w:rPr>
              <w:rFonts w:eastAsiaTheme="minorEastAsia" w:cstheme="minorBidi"/>
              <w:sz w:val="22"/>
              <w:szCs w:val="22"/>
            </w:rPr>
            <w:tab/>
          </w:r>
          <w:r>
            <w:t>Reassessment protocol</w:t>
          </w:r>
          <w:r>
            <w:tab/>
          </w:r>
          <w:r>
            <w:fldChar w:fldCharType="begin"/>
          </w:r>
          <w:r>
            <w:instrText xml:space="preserve"> PAGEREF _Toc2005263 \h </w:instrText>
          </w:r>
          <w:r>
            <w:fldChar w:fldCharType="separate"/>
          </w:r>
          <w:r w:rsidR="002E53D0">
            <w:t>24</w:t>
          </w:r>
          <w:r>
            <w:fldChar w:fldCharType="end"/>
          </w:r>
        </w:p>
        <w:p w14:paraId="22F72864" w14:textId="6BCCE72C" w:rsidR="00B87848" w:rsidRDefault="00B87848">
          <w:pPr>
            <w:pStyle w:val="TOC2"/>
            <w:rPr>
              <w:rFonts w:eastAsiaTheme="minorEastAsia" w:cstheme="minorBidi"/>
              <w:sz w:val="22"/>
              <w:szCs w:val="22"/>
            </w:rPr>
          </w:pPr>
          <w:r>
            <w:t>7.3</w:t>
          </w:r>
          <w:r>
            <w:rPr>
              <w:rFonts w:eastAsiaTheme="minorEastAsia" w:cstheme="minorBidi"/>
              <w:sz w:val="22"/>
              <w:szCs w:val="22"/>
            </w:rPr>
            <w:tab/>
          </w:r>
          <w:r>
            <w:t>Clinical assessments for care planning</w:t>
          </w:r>
          <w:r>
            <w:tab/>
          </w:r>
          <w:r>
            <w:fldChar w:fldCharType="begin"/>
          </w:r>
          <w:r>
            <w:instrText xml:space="preserve"> PAGEREF _Toc2005264 \h </w:instrText>
          </w:r>
          <w:r>
            <w:fldChar w:fldCharType="separate"/>
          </w:r>
          <w:r w:rsidR="002E53D0">
            <w:t>25</w:t>
          </w:r>
          <w:r>
            <w:fldChar w:fldCharType="end"/>
          </w:r>
        </w:p>
        <w:p w14:paraId="7ED5509A" w14:textId="1A9F37AC" w:rsidR="00B87848" w:rsidRDefault="00B87848">
          <w:pPr>
            <w:pStyle w:val="TOC2"/>
            <w:rPr>
              <w:rFonts w:eastAsiaTheme="minorEastAsia" w:cstheme="minorBidi"/>
              <w:sz w:val="22"/>
              <w:szCs w:val="22"/>
            </w:rPr>
          </w:pPr>
          <w:r>
            <w:t>7.4</w:t>
          </w:r>
          <w:r>
            <w:rPr>
              <w:rFonts w:eastAsiaTheme="minorEastAsia" w:cstheme="minorBidi"/>
              <w:sz w:val="22"/>
              <w:szCs w:val="22"/>
            </w:rPr>
            <w:tab/>
          </w:r>
          <w:r>
            <w:t>Assessor workforce</w:t>
          </w:r>
          <w:r>
            <w:tab/>
          </w:r>
          <w:r>
            <w:fldChar w:fldCharType="begin"/>
          </w:r>
          <w:r>
            <w:instrText xml:space="preserve"> PAGEREF _Toc2005265 \h </w:instrText>
          </w:r>
          <w:r>
            <w:fldChar w:fldCharType="separate"/>
          </w:r>
          <w:r w:rsidR="002E53D0">
            <w:t>25</w:t>
          </w:r>
          <w:r>
            <w:fldChar w:fldCharType="end"/>
          </w:r>
        </w:p>
        <w:p w14:paraId="588220B3" w14:textId="2D8D4733" w:rsidR="00B87848" w:rsidRDefault="00B87848">
          <w:pPr>
            <w:pStyle w:val="TOC2"/>
            <w:rPr>
              <w:rFonts w:eastAsiaTheme="minorEastAsia" w:cstheme="minorBidi"/>
              <w:sz w:val="22"/>
              <w:szCs w:val="22"/>
            </w:rPr>
          </w:pPr>
          <w:r>
            <w:t>7.5</w:t>
          </w:r>
          <w:r>
            <w:rPr>
              <w:rFonts w:eastAsiaTheme="minorEastAsia" w:cstheme="minorBidi"/>
              <w:sz w:val="22"/>
              <w:szCs w:val="22"/>
            </w:rPr>
            <w:tab/>
          </w:r>
          <w:r>
            <w:t>Sector engagement</w:t>
          </w:r>
          <w:r>
            <w:tab/>
          </w:r>
          <w:r>
            <w:fldChar w:fldCharType="begin"/>
          </w:r>
          <w:r>
            <w:instrText xml:space="preserve"> PAGEREF _Toc2005266 \h </w:instrText>
          </w:r>
          <w:r>
            <w:fldChar w:fldCharType="separate"/>
          </w:r>
          <w:r w:rsidR="002E53D0">
            <w:t>26</w:t>
          </w:r>
          <w:r>
            <w:fldChar w:fldCharType="end"/>
          </w:r>
        </w:p>
        <w:p w14:paraId="132D5D81" w14:textId="0422E926" w:rsidR="00B87848" w:rsidRDefault="00B87848">
          <w:pPr>
            <w:pStyle w:val="TOC2"/>
            <w:rPr>
              <w:rFonts w:eastAsiaTheme="minorEastAsia" w:cstheme="minorBidi"/>
              <w:sz w:val="22"/>
              <w:szCs w:val="22"/>
            </w:rPr>
          </w:pPr>
          <w:r>
            <w:t>7.6</w:t>
          </w:r>
          <w:r>
            <w:rPr>
              <w:rFonts w:eastAsiaTheme="minorEastAsia" w:cstheme="minorBidi"/>
              <w:sz w:val="22"/>
              <w:szCs w:val="22"/>
            </w:rPr>
            <w:tab/>
          </w:r>
          <w:r>
            <w:t>Measuring and benchmarking resident outcomes</w:t>
          </w:r>
          <w:r>
            <w:tab/>
          </w:r>
          <w:r>
            <w:fldChar w:fldCharType="begin"/>
          </w:r>
          <w:r>
            <w:instrText xml:space="preserve"> PAGEREF _Toc2005267 \h </w:instrText>
          </w:r>
          <w:r>
            <w:fldChar w:fldCharType="separate"/>
          </w:r>
          <w:r w:rsidR="002E53D0">
            <w:t>26</w:t>
          </w:r>
          <w:r>
            <w:fldChar w:fldCharType="end"/>
          </w:r>
        </w:p>
        <w:p w14:paraId="4E68D59C" w14:textId="05667E09" w:rsidR="00B87848" w:rsidRDefault="00B87848">
          <w:pPr>
            <w:pStyle w:val="TOC1"/>
            <w:rPr>
              <w:rFonts w:eastAsiaTheme="minorEastAsia" w:cstheme="minorBidi"/>
              <w:b w:val="0"/>
            </w:rPr>
          </w:pPr>
          <w:r>
            <w:t>Appendix 1</w:t>
          </w:r>
          <w:r>
            <w:tab/>
          </w:r>
          <w:r>
            <w:fldChar w:fldCharType="begin"/>
          </w:r>
          <w:r>
            <w:instrText xml:space="preserve"> PAGEREF _Toc2005268 \h </w:instrText>
          </w:r>
          <w:r>
            <w:fldChar w:fldCharType="separate"/>
          </w:r>
          <w:r w:rsidR="002E53D0">
            <w:t>27</w:t>
          </w:r>
          <w:r>
            <w:fldChar w:fldCharType="end"/>
          </w:r>
        </w:p>
        <w:p w14:paraId="26D7A0E8" w14:textId="6E06AC84" w:rsidR="00B87848" w:rsidRDefault="00B87848">
          <w:pPr>
            <w:pStyle w:val="TOC2"/>
            <w:rPr>
              <w:rFonts w:eastAsiaTheme="minorEastAsia" w:cstheme="minorBidi"/>
              <w:sz w:val="22"/>
              <w:szCs w:val="22"/>
            </w:rPr>
          </w:pPr>
          <w:r>
            <w:t>Overview of the Resource Utilisation and Classification Study (RUCS)</w:t>
          </w:r>
          <w:r>
            <w:tab/>
          </w:r>
          <w:r>
            <w:fldChar w:fldCharType="begin"/>
          </w:r>
          <w:r>
            <w:instrText xml:space="preserve"> PAGEREF _Toc2005269 \h </w:instrText>
          </w:r>
          <w:r>
            <w:fldChar w:fldCharType="separate"/>
          </w:r>
          <w:r w:rsidR="002E53D0">
            <w:t>27</w:t>
          </w:r>
          <w:r>
            <w:fldChar w:fldCharType="end"/>
          </w:r>
        </w:p>
        <w:p w14:paraId="3944B8F3" w14:textId="74F6461B" w:rsidR="00B87848" w:rsidRDefault="00B87848">
          <w:pPr>
            <w:pStyle w:val="TOC1"/>
            <w:rPr>
              <w:rFonts w:eastAsiaTheme="minorEastAsia" w:cstheme="minorBidi"/>
              <w:b w:val="0"/>
            </w:rPr>
          </w:pPr>
          <w:r>
            <w:lastRenderedPageBreak/>
            <w:t>Appendix 2</w:t>
          </w:r>
          <w:r>
            <w:tab/>
          </w:r>
          <w:r>
            <w:fldChar w:fldCharType="begin"/>
          </w:r>
          <w:r>
            <w:instrText xml:space="preserve"> PAGEREF _Toc2005270 \h </w:instrText>
          </w:r>
          <w:r>
            <w:fldChar w:fldCharType="separate"/>
          </w:r>
          <w:r w:rsidR="002E53D0">
            <w:t>30</w:t>
          </w:r>
          <w:r>
            <w:fldChar w:fldCharType="end"/>
          </w:r>
        </w:p>
        <w:p w14:paraId="1C7825DC" w14:textId="558DDF64" w:rsidR="00B87848" w:rsidRDefault="00B87848">
          <w:pPr>
            <w:pStyle w:val="TOC2"/>
            <w:rPr>
              <w:rFonts w:eastAsiaTheme="minorEastAsia" w:cstheme="minorBidi"/>
              <w:sz w:val="22"/>
              <w:szCs w:val="22"/>
            </w:rPr>
          </w:pPr>
          <w:r>
            <w:t>RUCS clinical advisory panels membership</w:t>
          </w:r>
          <w:r>
            <w:tab/>
          </w:r>
          <w:r>
            <w:fldChar w:fldCharType="begin"/>
          </w:r>
          <w:r>
            <w:instrText xml:space="preserve"> PAGEREF _Toc2005271 \h </w:instrText>
          </w:r>
          <w:r>
            <w:fldChar w:fldCharType="separate"/>
          </w:r>
          <w:r w:rsidR="002E53D0">
            <w:t>30</w:t>
          </w:r>
          <w:r>
            <w:fldChar w:fldCharType="end"/>
          </w:r>
        </w:p>
        <w:p w14:paraId="48512BC2" w14:textId="60D5B9F9" w:rsidR="00B87848" w:rsidRDefault="00B87848">
          <w:pPr>
            <w:pStyle w:val="TOC1"/>
            <w:rPr>
              <w:rFonts w:eastAsiaTheme="minorEastAsia" w:cstheme="minorBidi"/>
              <w:b w:val="0"/>
            </w:rPr>
          </w:pPr>
          <w:r>
            <w:t>Appendix 3</w:t>
          </w:r>
          <w:r>
            <w:tab/>
          </w:r>
          <w:r>
            <w:fldChar w:fldCharType="begin"/>
          </w:r>
          <w:r>
            <w:instrText xml:space="preserve"> PAGEREF _Toc2005272 \h </w:instrText>
          </w:r>
          <w:r>
            <w:fldChar w:fldCharType="separate"/>
          </w:r>
          <w:r w:rsidR="002E53D0">
            <w:t>32</w:t>
          </w:r>
          <w:r>
            <w:fldChar w:fldCharType="end"/>
          </w:r>
        </w:p>
        <w:p w14:paraId="6D088C36" w14:textId="4926FECE" w:rsidR="00B87848" w:rsidRDefault="00B87848">
          <w:pPr>
            <w:pStyle w:val="TOC2"/>
            <w:rPr>
              <w:rFonts w:eastAsiaTheme="minorEastAsia" w:cstheme="minorBidi"/>
              <w:sz w:val="22"/>
              <w:szCs w:val="22"/>
            </w:rPr>
          </w:pPr>
          <w:r>
            <w:t>Summary of clinical panel recommendations</w:t>
          </w:r>
          <w:r>
            <w:tab/>
          </w:r>
          <w:r>
            <w:fldChar w:fldCharType="begin"/>
          </w:r>
          <w:r>
            <w:instrText xml:space="preserve"> PAGEREF _Toc2005273 \h </w:instrText>
          </w:r>
          <w:r>
            <w:fldChar w:fldCharType="separate"/>
          </w:r>
          <w:r w:rsidR="002E53D0">
            <w:t>32</w:t>
          </w:r>
          <w:r>
            <w:fldChar w:fldCharType="end"/>
          </w:r>
        </w:p>
        <w:p w14:paraId="7BF7F28B" w14:textId="317C4709" w:rsidR="00B87848" w:rsidRDefault="00B87848">
          <w:pPr>
            <w:pStyle w:val="TOC1"/>
            <w:rPr>
              <w:rFonts w:eastAsiaTheme="minorEastAsia" w:cstheme="minorBidi"/>
              <w:b w:val="0"/>
            </w:rPr>
          </w:pPr>
          <w:r>
            <w:t>Appendix 4</w:t>
          </w:r>
          <w:r>
            <w:tab/>
          </w:r>
          <w:r>
            <w:fldChar w:fldCharType="begin"/>
          </w:r>
          <w:r>
            <w:instrText xml:space="preserve"> PAGEREF _Toc2005274 \h </w:instrText>
          </w:r>
          <w:r>
            <w:fldChar w:fldCharType="separate"/>
          </w:r>
          <w:r w:rsidR="002E53D0">
            <w:t>33</w:t>
          </w:r>
          <w:r>
            <w:fldChar w:fldCharType="end"/>
          </w:r>
        </w:p>
        <w:p w14:paraId="7220B328" w14:textId="1AD6775E" w:rsidR="00B87848" w:rsidRDefault="00B87848">
          <w:pPr>
            <w:pStyle w:val="TOC2"/>
            <w:rPr>
              <w:rFonts w:eastAsiaTheme="minorEastAsia" w:cstheme="minorBidi"/>
              <w:sz w:val="22"/>
              <w:szCs w:val="22"/>
            </w:rPr>
          </w:pPr>
          <w:r>
            <w:t>Assessor selection criteria</w:t>
          </w:r>
          <w:r>
            <w:tab/>
          </w:r>
          <w:r>
            <w:fldChar w:fldCharType="begin"/>
          </w:r>
          <w:r>
            <w:instrText xml:space="preserve"> PAGEREF _Toc2005275 \h </w:instrText>
          </w:r>
          <w:r>
            <w:fldChar w:fldCharType="separate"/>
          </w:r>
          <w:r w:rsidR="002E53D0">
            <w:t>33</w:t>
          </w:r>
          <w:r>
            <w:fldChar w:fldCharType="end"/>
          </w:r>
        </w:p>
        <w:p w14:paraId="6B85FEB0" w14:textId="238ECAC6" w:rsidR="00B87848" w:rsidRDefault="00B87848">
          <w:pPr>
            <w:pStyle w:val="TOC1"/>
            <w:rPr>
              <w:rFonts w:eastAsiaTheme="minorEastAsia" w:cstheme="minorBidi"/>
              <w:b w:val="0"/>
            </w:rPr>
          </w:pPr>
          <w:r>
            <w:t>Appendix 5</w:t>
          </w:r>
          <w:r>
            <w:tab/>
          </w:r>
          <w:r>
            <w:fldChar w:fldCharType="begin"/>
          </w:r>
          <w:r>
            <w:instrText xml:space="preserve"> PAGEREF _Toc2005276 \h </w:instrText>
          </w:r>
          <w:r>
            <w:fldChar w:fldCharType="separate"/>
          </w:r>
          <w:r w:rsidR="002E53D0">
            <w:t>33</w:t>
          </w:r>
          <w:r>
            <w:fldChar w:fldCharType="end"/>
          </w:r>
        </w:p>
        <w:p w14:paraId="0E889B34" w14:textId="5548C5DC" w:rsidR="00B87848" w:rsidRDefault="00B87848">
          <w:pPr>
            <w:pStyle w:val="TOC2"/>
            <w:rPr>
              <w:rFonts w:eastAsiaTheme="minorEastAsia" w:cstheme="minorBidi"/>
              <w:sz w:val="22"/>
              <w:szCs w:val="22"/>
            </w:rPr>
          </w:pPr>
          <w:r>
            <w:t>AN-ACC Assessment Tool</w:t>
          </w:r>
          <w:r>
            <w:tab/>
          </w:r>
          <w:r>
            <w:fldChar w:fldCharType="begin"/>
          </w:r>
          <w:r>
            <w:instrText xml:space="preserve"> PAGEREF _Toc2005277 \h </w:instrText>
          </w:r>
          <w:r>
            <w:fldChar w:fldCharType="separate"/>
          </w:r>
          <w:r w:rsidR="002E53D0">
            <w:t>33</w:t>
          </w:r>
          <w:r>
            <w:fldChar w:fldCharType="end"/>
          </w:r>
        </w:p>
        <w:p w14:paraId="11685C2B" w14:textId="00057705" w:rsidR="007A06FE" w:rsidRDefault="000B0A40" w:rsidP="001F579A">
          <w:r w:rsidRPr="00D10BB2">
            <w:rPr>
              <w:sz w:val="22"/>
              <w:szCs w:val="22"/>
            </w:rPr>
            <w:fldChar w:fldCharType="end"/>
          </w:r>
        </w:p>
      </w:sdtContent>
    </w:sdt>
    <w:p w14:paraId="2450B2E4" w14:textId="77777777" w:rsidR="007A06FE" w:rsidRPr="003768F7" w:rsidRDefault="007A06FE" w:rsidP="009A67A9">
      <w:pPr>
        <w:pStyle w:val="Caption"/>
        <w:spacing w:before="360" w:after="240"/>
        <w:rPr>
          <w:sz w:val="36"/>
          <w:szCs w:val="36"/>
        </w:rPr>
      </w:pPr>
      <w:bookmarkStart w:id="8" w:name="_Toc454355991"/>
      <w:bookmarkStart w:id="9" w:name="_Toc454984418"/>
      <w:r w:rsidRPr="003768F7">
        <w:rPr>
          <w:sz w:val="36"/>
          <w:szCs w:val="36"/>
        </w:rPr>
        <w:t>List of tables</w:t>
      </w:r>
      <w:bookmarkEnd w:id="8"/>
      <w:bookmarkEnd w:id="9"/>
    </w:p>
    <w:p w14:paraId="24DC4BA6" w14:textId="77777777" w:rsidR="00B87848" w:rsidRDefault="00B16036">
      <w:pPr>
        <w:pStyle w:val="TableofFigures"/>
        <w:tabs>
          <w:tab w:val="left" w:pos="1200"/>
          <w:tab w:val="right" w:leader="dot" w:pos="9344"/>
        </w:tabs>
        <w:rPr>
          <w:rFonts w:eastAsiaTheme="minorEastAsia" w:cstheme="minorBidi"/>
          <w:noProof/>
          <w:sz w:val="22"/>
          <w:szCs w:val="22"/>
        </w:rPr>
      </w:pPr>
      <w:r w:rsidRPr="006613D0">
        <w:fldChar w:fldCharType="begin"/>
      </w:r>
      <w:r w:rsidRPr="006613D0">
        <w:instrText xml:space="preserve"> TOC \h \z \c "Table" </w:instrText>
      </w:r>
      <w:r w:rsidRPr="006613D0">
        <w:fldChar w:fldCharType="separate"/>
      </w:r>
      <w:hyperlink w:anchor="_Toc2005278" w:history="1">
        <w:r w:rsidR="00B87848" w:rsidRPr="00116ACD">
          <w:rPr>
            <w:rStyle w:val="Hyperlink"/>
            <w:rFonts w:eastAsiaTheme="majorEastAsia"/>
            <w:noProof/>
          </w:rPr>
          <w:t xml:space="preserve">Table 1 </w:t>
        </w:r>
        <w:r w:rsidR="00B87848">
          <w:rPr>
            <w:rFonts w:eastAsiaTheme="minorEastAsia" w:cstheme="minorBidi"/>
            <w:noProof/>
            <w:sz w:val="22"/>
            <w:szCs w:val="22"/>
          </w:rPr>
          <w:tab/>
        </w:r>
        <w:r w:rsidR="00B87848" w:rsidRPr="00116ACD">
          <w:rPr>
            <w:rStyle w:val="Hyperlink"/>
            <w:rFonts w:eastAsiaTheme="majorEastAsia"/>
            <w:noProof/>
          </w:rPr>
          <w:t>Key results for the reassessment study</w:t>
        </w:r>
        <w:r w:rsidR="00B87848">
          <w:rPr>
            <w:noProof/>
            <w:webHidden/>
          </w:rPr>
          <w:tab/>
        </w:r>
        <w:r w:rsidR="00B87848">
          <w:rPr>
            <w:noProof/>
            <w:webHidden/>
          </w:rPr>
          <w:fldChar w:fldCharType="begin"/>
        </w:r>
        <w:r w:rsidR="00B87848">
          <w:rPr>
            <w:noProof/>
            <w:webHidden/>
          </w:rPr>
          <w:instrText xml:space="preserve"> PAGEREF _Toc2005278 \h </w:instrText>
        </w:r>
        <w:r w:rsidR="00B87848">
          <w:rPr>
            <w:noProof/>
            <w:webHidden/>
          </w:rPr>
        </w:r>
        <w:r w:rsidR="00B87848">
          <w:rPr>
            <w:noProof/>
            <w:webHidden/>
          </w:rPr>
          <w:fldChar w:fldCharType="separate"/>
        </w:r>
        <w:r w:rsidR="00B87848">
          <w:rPr>
            <w:noProof/>
            <w:webHidden/>
          </w:rPr>
          <w:t>16</w:t>
        </w:r>
        <w:r w:rsidR="00B87848">
          <w:rPr>
            <w:noProof/>
            <w:webHidden/>
          </w:rPr>
          <w:fldChar w:fldCharType="end"/>
        </w:r>
      </w:hyperlink>
    </w:p>
    <w:p w14:paraId="324EF181" w14:textId="77777777" w:rsidR="00B87848" w:rsidRDefault="002E53D0" w:rsidP="00B87848">
      <w:pPr>
        <w:pStyle w:val="TableofFigures"/>
        <w:tabs>
          <w:tab w:val="left" w:pos="1200"/>
          <w:tab w:val="right" w:leader="dot" w:pos="9344"/>
        </w:tabs>
        <w:ind w:left="1200" w:hanging="1200"/>
        <w:rPr>
          <w:rFonts w:eastAsiaTheme="minorEastAsia" w:cstheme="minorBidi"/>
          <w:noProof/>
          <w:sz w:val="22"/>
          <w:szCs w:val="22"/>
        </w:rPr>
      </w:pPr>
      <w:hyperlink w:anchor="_Toc2005279" w:history="1">
        <w:r w:rsidR="00B87848" w:rsidRPr="00116ACD">
          <w:rPr>
            <w:rStyle w:val="Hyperlink"/>
            <w:rFonts w:eastAsiaTheme="majorEastAsia"/>
            <w:noProof/>
          </w:rPr>
          <w:t xml:space="preserve">Table 2 </w:t>
        </w:r>
        <w:r w:rsidR="00B87848">
          <w:rPr>
            <w:rFonts w:eastAsiaTheme="minorEastAsia" w:cstheme="minorBidi"/>
            <w:noProof/>
            <w:sz w:val="22"/>
            <w:szCs w:val="22"/>
          </w:rPr>
          <w:tab/>
        </w:r>
        <w:r w:rsidR="00B87848" w:rsidRPr="00116ACD">
          <w:rPr>
            <w:rStyle w:val="Hyperlink"/>
            <w:rFonts w:eastAsiaTheme="majorEastAsia"/>
            <w:noProof/>
          </w:rPr>
          <w:t>Significant events (numbers) by AN-ACC class between assessment and reassessment</w:t>
        </w:r>
        <w:r w:rsidR="00B87848">
          <w:rPr>
            <w:noProof/>
            <w:webHidden/>
          </w:rPr>
          <w:tab/>
        </w:r>
        <w:r w:rsidR="00B87848">
          <w:rPr>
            <w:noProof/>
            <w:webHidden/>
          </w:rPr>
          <w:fldChar w:fldCharType="begin"/>
        </w:r>
        <w:r w:rsidR="00B87848">
          <w:rPr>
            <w:noProof/>
            <w:webHidden/>
          </w:rPr>
          <w:instrText xml:space="preserve"> PAGEREF _Toc2005279 \h </w:instrText>
        </w:r>
        <w:r w:rsidR="00B87848">
          <w:rPr>
            <w:noProof/>
            <w:webHidden/>
          </w:rPr>
        </w:r>
        <w:r w:rsidR="00B87848">
          <w:rPr>
            <w:noProof/>
            <w:webHidden/>
          </w:rPr>
          <w:fldChar w:fldCharType="separate"/>
        </w:r>
        <w:r w:rsidR="00B87848">
          <w:rPr>
            <w:noProof/>
            <w:webHidden/>
          </w:rPr>
          <w:t>17</w:t>
        </w:r>
        <w:r w:rsidR="00B87848">
          <w:rPr>
            <w:noProof/>
            <w:webHidden/>
          </w:rPr>
          <w:fldChar w:fldCharType="end"/>
        </w:r>
      </w:hyperlink>
    </w:p>
    <w:p w14:paraId="19939F4F" w14:textId="77777777" w:rsidR="00B87848" w:rsidRDefault="002E53D0" w:rsidP="00B87848">
      <w:pPr>
        <w:pStyle w:val="TableofFigures"/>
        <w:tabs>
          <w:tab w:val="left" w:pos="1200"/>
          <w:tab w:val="right" w:leader="dot" w:pos="9344"/>
        </w:tabs>
        <w:ind w:left="1200" w:hanging="1200"/>
        <w:rPr>
          <w:rFonts w:eastAsiaTheme="minorEastAsia" w:cstheme="minorBidi"/>
          <w:noProof/>
          <w:sz w:val="22"/>
          <w:szCs w:val="22"/>
        </w:rPr>
      </w:pPr>
      <w:hyperlink w:anchor="_Toc2005280" w:history="1">
        <w:r w:rsidR="00B87848" w:rsidRPr="00116ACD">
          <w:rPr>
            <w:rStyle w:val="Hyperlink"/>
            <w:rFonts w:eastAsiaTheme="majorEastAsia"/>
            <w:noProof/>
          </w:rPr>
          <w:t xml:space="preserve">Table 3 </w:t>
        </w:r>
        <w:r w:rsidR="00B87848">
          <w:rPr>
            <w:rFonts w:eastAsiaTheme="minorEastAsia" w:cstheme="minorBidi"/>
            <w:noProof/>
            <w:sz w:val="22"/>
            <w:szCs w:val="22"/>
          </w:rPr>
          <w:tab/>
        </w:r>
        <w:r w:rsidR="00B87848" w:rsidRPr="00116ACD">
          <w:rPr>
            <w:rStyle w:val="Hyperlink"/>
            <w:rFonts w:eastAsiaTheme="majorEastAsia"/>
            <w:noProof/>
          </w:rPr>
          <w:t>Significant events (percentages) by AN-ACC class between assessment and reassessment</w:t>
        </w:r>
        <w:r w:rsidR="00B87848">
          <w:rPr>
            <w:noProof/>
            <w:webHidden/>
          </w:rPr>
          <w:tab/>
        </w:r>
        <w:r w:rsidR="00B87848">
          <w:rPr>
            <w:noProof/>
            <w:webHidden/>
          </w:rPr>
          <w:fldChar w:fldCharType="begin"/>
        </w:r>
        <w:r w:rsidR="00B87848">
          <w:rPr>
            <w:noProof/>
            <w:webHidden/>
          </w:rPr>
          <w:instrText xml:space="preserve"> PAGEREF _Toc2005280 \h </w:instrText>
        </w:r>
        <w:r w:rsidR="00B87848">
          <w:rPr>
            <w:noProof/>
            <w:webHidden/>
          </w:rPr>
        </w:r>
        <w:r w:rsidR="00B87848">
          <w:rPr>
            <w:noProof/>
            <w:webHidden/>
          </w:rPr>
          <w:fldChar w:fldCharType="separate"/>
        </w:r>
        <w:r w:rsidR="00B87848">
          <w:rPr>
            <w:noProof/>
            <w:webHidden/>
          </w:rPr>
          <w:t>18</w:t>
        </w:r>
        <w:r w:rsidR="00B87848">
          <w:rPr>
            <w:noProof/>
            <w:webHidden/>
          </w:rPr>
          <w:fldChar w:fldCharType="end"/>
        </w:r>
      </w:hyperlink>
    </w:p>
    <w:p w14:paraId="4F534B14" w14:textId="77777777" w:rsidR="00B87848" w:rsidRDefault="002E53D0">
      <w:pPr>
        <w:pStyle w:val="TableofFigures"/>
        <w:tabs>
          <w:tab w:val="left" w:pos="1200"/>
          <w:tab w:val="right" w:leader="dot" w:pos="9344"/>
        </w:tabs>
        <w:rPr>
          <w:rFonts w:eastAsiaTheme="minorEastAsia" w:cstheme="minorBidi"/>
          <w:noProof/>
          <w:sz w:val="22"/>
          <w:szCs w:val="22"/>
        </w:rPr>
      </w:pPr>
      <w:hyperlink w:anchor="_Toc2005281" w:history="1">
        <w:r w:rsidR="00B87848" w:rsidRPr="00116ACD">
          <w:rPr>
            <w:rStyle w:val="Hyperlink"/>
            <w:rFonts w:eastAsiaTheme="majorEastAsia"/>
            <w:noProof/>
          </w:rPr>
          <w:t xml:space="preserve">Table 4 </w:t>
        </w:r>
        <w:r w:rsidR="00B87848">
          <w:rPr>
            <w:rFonts w:eastAsiaTheme="minorEastAsia" w:cstheme="minorBidi"/>
            <w:noProof/>
            <w:sz w:val="22"/>
            <w:szCs w:val="22"/>
          </w:rPr>
          <w:tab/>
        </w:r>
        <w:r w:rsidR="00B87848" w:rsidRPr="00116ACD">
          <w:rPr>
            <w:rStyle w:val="Hyperlink"/>
            <w:rFonts w:eastAsiaTheme="majorEastAsia"/>
            <w:noProof/>
          </w:rPr>
          <w:t>Percentage moving to a higher paying class at reassessment</w:t>
        </w:r>
        <w:r w:rsidR="00B87848">
          <w:rPr>
            <w:noProof/>
            <w:webHidden/>
          </w:rPr>
          <w:tab/>
        </w:r>
        <w:r w:rsidR="00B87848">
          <w:rPr>
            <w:noProof/>
            <w:webHidden/>
          </w:rPr>
          <w:fldChar w:fldCharType="begin"/>
        </w:r>
        <w:r w:rsidR="00B87848">
          <w:rPr>
            <w:noProof/>
            <w:webHidden/>
          </w:rPr>
          <w:instrText xml:space="preserve"> PAGEREF _Toc2005281 \h </w:instrText>
        </w:r>
        <w:r w:rsidR="00B87848">
          <w:rPr>
            <w:noProof/>
            <w:webHidden/>
          </w:rPr>
        </w:r>
        <w:r w:rsidR="00B87848">
          <w:rPr>
            <w:noProof/>
            <w:webHidden/>
          </w:rPr>
          <w:fldChar w:fldCharType="separate"/>
        </w:r>
        <w:r w:rsidR="00B87848">
          <w:rPr>
            <w:noProof/>
            <w:webHidden/>
          </w:rPr>
          <w:t>22</w:t>
        </w:r>
        <w:r w:rsidR="00B87848">
          <w:rPr>
            <w:noProof/>
            <w:webHidden/>
          </w:rPr>
          <w:fldChar w:fldCharType="end"/>
        </w:r>
      </w:hyperlink>
    </w:p>
    <w:p w14:paraId="49740CA4" w14:textId="77777777" w:rsidR="00B87848" w:rsidRDefault="002E53D0">
      <w:pPr>
        <w:pStyle w:val="TableofFigures"/>
        <w:tabs>
          <w:tab w:val="left" w:pos="1200"/>
          <w:tab w:val="right" w:leader="dot" w:pos="9344"/>
        </w:tabs>
        <w:rPr>
          <w:rFonts w:eastAsiaTheme="minorEastAsia" w:cstheme="minorBidi"/>
          <w:noProof/>
          <w:sz w:val="22"/>
          <w:szCs w:val="22"/>
        </w:rPr>
      </w:pPr>
      <w:hyperlink w:anchor="_Toc2005282" w:history="1">
        <w:r w:rsidR="00B87848" w:rsidRPr="00116ACD">
          <w:rPr>
            <w:rStyle w:val="Hyperlink"/>
            <w:rFonts w:eastAsiaTheme="majorEastAsia"/>
            <w:noProof/>
          </w:rPr>
          <w:t xml:space="preserve">Table 5 </w:t>
        </w:r>
        <w:r w:rsidR="00B87848">
          <w:rPr>
            <w:rFonts w:eastAsiaTheme="minorEastAsia" w:cstheme="minorBidi"/>
            <w:noProof/>
            <w:sz w:val="22"/>
            <w:szCs w:val="22"/>
          </w:rPr>
          <w:tab/>
        </w:r>
        <w:r w:rsidR="00B87848" w:rsidRPr="00116ACD">
          <w:rPr>
            <w:rStyle w:val="Hyperlink"/>
            <w:rFonts w:eastAsiaTheme="majorEastAsia"/>
            <w:noProof/>
          </w:rPr>
          <w:t>Analysis of significant events as triggers for reassessment</w:t>
        </w:r>
        <w:r w:rsidR="00B87848">
          <w:rPr>
            <w:noProof/>
            <w:webHidden/>
          </w:rPr>
          <w:tab/>
        </w:r>
        <w:r w:rsidR="00B87848">
          <w:rPr>
            <w:noProof/>
            <w:webHidden/>
          </w:rPr>
          <w:fldChar w:fldCharType="begin"/>
        </w:r>
        <w:r w:rsidR="00B87848">
          <w:rPr>
            <w:noProof/>
            <w:webHidden/>
          </w:rPr>
          <w:instrText xml:space="preserve"> PAGEREF _Toc2005282 \h </w:instrText>
        </w:r>
        <w:r w:rsidR="00B87848">
          <w:rPr>
            <w:noProof/>
            <w:webHidden/>
          </w:rPr>
        </w:r>
        <w:r w:rsidR="00B87848">
          <w:rPr>
            <w:noProof/>
            <w:webHidden/>
          </w:rPr>
          <w:fldChar w:fldCharType="separate"/>
        </w:r>
        <w:r w:rsidR="00B87848">
          <w:rPr>
            <w:noProof/>
            <w:webHidden/>
          </w:rPr>
          <w:t>23</w:t>
        </w:r>
        <w:r w:rsidR="00B87848">
          <w:rPr>
            <w:noProof/>
            <w:webHidden/>
          </w:rPr>
          <w:fldChar w:fldCharType="end"/>
        </w:r>
      </w:hyperlink>
    </w:p>
    <w:p w14:paraId="490351E2" w14:textId="7CBFA967" w:rsidR="00B16036" w:rsidRPr="00B71523" w:rsidRDefault="00B16036" w:rsidP="00B16036">
      <w:pPr>
        <w:rPr>
          <w:sz w:val="22"/>
          <w:szCs w:val="22"/>
        </w:rPr>
      </w:pPr>
      <w:r w:rsidRPr="006613D0">
        <w:fldChar w:fldCharType="end"/>
      </w:r>
    </w:p>
    <w:p w14:paraId="1F6939B3" w14:textId="77777777" w:rsidR="00337E34" w:rsidRPr="003768F7" w:rsidRDefault="00337E34" w:rsidP="00337E34">
      <w:pPr>
        <w:pStyle w:val="Caption"/>
        <w:rPr>
          <w:sz w:val="36"/>
          <w:szCs w:val="36"/>
        </w:rPr>
      </w:pPr>
      <w:r w:rsidRPr="003768F7">
        <w:rPr>
          <w:sz w:val="36"/>
          <w:szCs w:val="36"/>
        </w:rPr>
        <w:t>List of figures</w:t>
      </w:r>
    </w:p>
    <w:p w14:paraId="4B0CA678" w14:textId="77777777" w:rsidR="00B87848" w:rsidRDefault="00337E34">
      <w:pPr>
        <w:pStyle w:val="TableofFigures"/>
        <w:tabs>
          <w:tab w:val="left" w:pos="1200"/>
          <w:tab w:val="right" w:leader="dot" w:pos="9344"/>
        </w:tabs>
        <w:rPr>
          <w:rFonts w:eastAsiaTheme="minorEastAsia" w:cstheme="minorBidi"/>
          <w:noProof/>
          <w:sz w:val="22"/>
          <w:szCs w:val="22"/>
        </w:rPr>
      </w:pPr>
      <w:r w:rsidRPr="006613D0">
        <w:rPr>
          <w:rStyle w:val="Hyperlink"/>
          <w:rFonts w:eastAsiaTheme="majorEastAsia"/>
          <w:noProof/>
          <w:color w:val="auto"/>
        </w:rPr>
        <w:fldChar w:fldCharType="begin"/>
      </w:r>
      <w:r w:rsidRPr="006613D0">
        <w:rPr>
          <w:rStyle w:val="Hyperlink"/>
          <w:rFonts w:eastAsiaTheme="majorEastAsia"/>
          <w:noProof/>
          <w:color w:val="auto"/>
        </w:rPr>
        <w:instrText xml:space="preserve"> TOC \h \z \c "Figure" </w:instrText>
      </w:r>
      <w:r w:rsidRPr="006613D0">
        <w:rPr>
          <w:rStyle w:val="Hyperlink"/>
          <w:rFonts w:eastAsiaTheme="majorEastAsia"/>
          <w:noProof/>
          <w:color w:val="auto"/>
        </w:rPr>
        <w:fldChar w:fldCharType="separate"/>
      </w:r>
      <w:hyperlink w:anchor="_Toc2005283" w:history="1">
        <w:r w:rsidR="00B87848" w:rsidRPr="00EB708D">
          <w:rPr>
            <w:rStyle w:val="Hyperlink"/>
            <w:rFonts w:eastAsiaTheme="majorEastAsia"/>
            <w:noProof/>
          </w:rPr>
          <w:t xml:space="preserve">Figure 1 </w:t>
        </w:r>
        <w:r w:rsidR="00B87848">
          <w:rPr>
            <w:rFonts w:eastAsiaTheme="minorEastAsia" w:cstheme="minorBidi"/>
            <w:noProof/>
            <w:sz w:val="22"/>
            <w:szCs w:val="22"/>
          </w:rPr>
          <w:tab/>
        </w:r>
        <w:r w:rsidR="00B87848" w:rsidRPr="00EB708D">
          <w:rPr>
            <w:rStyle w:val="Hyperlink"/>
            <w:rFonts w:eastAsiaTheme="majorEastAsia"/>
            <w:noProof/>
          </w:rPr>
          <w:t>Mortality rates by class 4-6 months after initial AN-ACC assessment</w:t>
        </w:r>
        <w:r w:rsidR="00B87848">
          <w:rPr>
            <w:noProof/>
            <w:webHidden/>
          </w:rPr>
          <w:tab/>
        </w:r>
        <w:r w:rsidR="00B87848">
          <w:rPr>
            <w:noProof/>
            <w:webHidden/>
          </w:rPr>
          <w:fldChar w:fldCharType="begin"/>
        </w:r>
        <w:r w:rsidR="00B87848">
          <w:rPr>
            <w:noProof/>
            <w:webHidden/>
          </w:rPr>
          <w:instrText xml:space="preserve"> PAGEREF _Toc2005283 \h </w:instrText>
        </w:r>
        <w:r w:rsidR="00B87848">
          <w:rPr>
            <w:noProof/>
            <w:webHidden/>
          </w:rPr>
        </w:r>
        <w:r w:rsidR="00B87848">
          <w:rPr>
            <w:noProof/>
            <w:webHidden/>
          </w:rPr>
          <w:fldChar w:fldCharType="separate"/>
        </w:r>
        <w:r w:rsidR="00B87848">
          <w:rPr>
            <w:noProof/>
            <w:webHidden/>
          </w:rPr>
          <w:t>18</w:t>
        </w:r>
        <w:r w:rsidR="00B87848">
          <w:rPr>
            <w:noProof/>
            <w:webHidden/>
          </w:rPr>
          <w:fldChar w:fldCharType="end"/>
        </w:r>
      </w:hyperlink>
    </w:p>
    <w:p w14:paraId="3F5B25D5" w14:textId="77777777" w:rsidR="00B87848" w:rsidRDefault="002E53D0">
      <w:pPr>
        <w:pStyle w:val="TableofFigures"/>
        <w:tabs>
          <w:tab w:val="left" w:pos="1200"/>
          <w:tab w:val="right" w:leader="dot" w:pos="9344"/>
        </w:tabs>
        <w:rPr>
          <w:rFonts w:eastAsiaTheme="minorEastAsia" w:cstheme="minorBidi"/>
          <w:noProof/>
          <w:sz w:val="22"/>
          <w:szCs w:val="22"/>
        </w:rPr>
      </w:pPr>
      <w:hyperlink w:anchor="_Toc2005284" w:history="1">
        <w:r w:rsidR="00B87848" w:rsidRPr="00EB708D">
          <w:rPr>
            <w:rStyle w:val="Hyperlink"/>
            <w:rFonts w:eastAsiaTheme="majorEastAsia"/>
            <w:noProof/>
          </w:rPr>
          <w:t xml:space="preserve">Figure 2 </w:t>
        </w:r>
        <w:r w:rsidR="00B87848">
          <w:rPr>
            <w:rFonts w:eastAsiaTheme="minorEastAsia" w:cstheme="minorBidi"/>
            <w:noProof/>
            <w:sz w:val="22"/>
            <w:szCs w:val="22"/>
          </w:rPr>
          <w:tab/>
        </w:r>
        <w:r w:rsidR="00B87848" w:rsidRPr="00EB708D">
          <w:rPr>
            <w:rStyle w:val="Hyperlink"/>
            <w:rFonts w:eastAsiaTheme="majorEastAsia"/>
            <w:noProof/>
          </w:rPr>
          <w:t>Class profile at assessment and reassessment</w:t>
        </w:r>
        <w:r w:rsidR="00B87848">
          <w:rPr>
            <w:noProof/>
            <w:webHidden/>
          </w:rPr>
          <w:tab/>
        </w:r>
        <w:r w:rsidR="00B87848">
          <w:rPr>
            <w:noProof/>
            <w:webHidden/>
          </w:rPr>
          <w:fldChar w:fldCharType="begin"/>
        </w:r>
        <w:r w:rsidR="00B87848">
          <w:rPr>
            <w:noProof/>
            <w:webHidden/>
          </w:rPr>
          <w:instrText xml:space="preserve"> PAGEREF _Toc2005284 \h </w:instrText>
        </w:r>
        <w:r w:rsidR="00B87848">
          <w:rPr>
            <w:noProof/>
            <w:webHidden/>
          </w:rPr>
        </w:r>
        <w:r w:rsidR="00B87848">
          <w:rPr>
            <w:noProof/>
            <w:webHidden/>
          </w:rPr>
          <w:fldChar w:fldCharType="separate"/>
        </w:r>
        <w:r w:rsidR="00B87848">
          <w:rPr>
            <w:noProof/>
            <w:webHidden/>
          </w:rPr>
          <w:t>19</w:t>
        </w:r>
        <w:r w:rsidR="00B87848">
          <w:rPr>
            <w:noProof/>
            <w:webHidden/>
          </w:rPr>
          <w:fldChar w:fldCharType="end"/>
        </w:r>
      </w:hyperlink>
    </w:p>
    <w:p w14:paraId="26C726DC" w14:textId="77777777" w:rsidR="00B87848" w:rsidRDefault="002E53D0">
      <w:pPr>
        <w:pStyle w:val="TableofFigures"/>
        <w:tabs>
          <w:tab w:val="left" w:pos="1200"/>
          <w:tab w:val="right" w:leader="dot" w:pos="9344"/>
        </w:tabs>
        <w:rPr>
          <w:rFonts w:eastAsiaTheme="minorEastAsia" w:cstheme="minorBidi"/>
          <w:noProof/>
          <w:sz w:val="22"/>
          <w:szCs w:val="22"/>
        </w:rPr>
      </w:pPr>
      <w:hyperlink w:anchor="_Toc2005285" w:history="1">
        <w:r w:rsidR="00B87848" w:rsidRPr="00EB708D">
          <w:rPr>
            <w:rStyle w:val="Hyperlink"/>
            <w:rFonts w:eastAsiaTheme="majorEastAsia"/>
            <w:noProof/>
          </w:rPr>
          <w:t xml:space="preserve">Figure 3 </w:t>
        </w:r>
        <w:r w:rsidR="00B87848">
          <w:rPr>
            <w:rFonts w:eastAsiaTheme="minorEastAsia" w:cstheme="minorBidi"/>
            <w:noProof/>
            <w:sz w:val="22"/>
            <w:szCs w:val="22"/>
          </w:rPr>
          <w:tab/>
        </w:r>
        <w:r w:rsidR="00B87848" w:rsidRPr="00EB708D">
          <w:rPr>
            <w:rStyle w:val="Hyperlink"/>
            <w:rFonts w:eastAsiaTheme="majorEastAsia"/>
            <w:noProof/>
          </w:rPr>
          <w:t>Assessment class profile for residents aged less than 85 years</w:t>
        </w:r>
        <w:r w:rsidR="00B87848">
          <w:rPr>
            <w:noProof/>
            <w:webHidden/>
          </w:rPr>
          <w:tab/>
        </w:r>
        <w:r w:rsidR="00B87848">
          <w:rPr>
            <w:noProof/>
            <w:webHidden/>
          </w:rPr>
          <w:fldChar w:fldCharType="begin"/>
        </w:r>
        <w:r w:rsidR="00B87848">
          <w:rPr>
            <w:noProof/>
            <w:webHidden/>
          </w:rPr>
          <w:instrText xml:space="preserve"> PAGEREF _Toc2005285 \h </w:instrText>
        </w:r>
        <w:r w:rsidR="00B87848">
          <w:rPr>
            <w:noProof/>
            <w:webHidden/>
          </w:rPr>
        </w:r>
        <w:r w:rsidR="00B87848">
          <w:rPr>
            <w:noProof/>
            <w:webHidden/>
          </w:rPr>
          <w:fldChar w:fldCharType="separate"/>
        </w:r>
        <w:r w:rsidR="00B87848">
          <w:rPr>
            <w:noProof/>
            <w:webHidden/>
          </w:rPr>
          <w:t>20</w:t>
        </w:r>
        <w:r w:rsidR="00B87848">
          <w:rPr>
            <w:noProof/>
            <w:webHidden/>
          </w:rPr>
          <w:fldChar w:fldCharType="end"/>
        </w:r>
      </w:hyperlink>
    </w:p>
    <w:p w14:paraId="412A8E87" w14:textId="77777777" w:rsidR="00B87848" w:rsidRDefault="002E53D0">
      <w:pPr>
        <w:pStyle w:val="TableofFigures"/>
        <w:tabs>
          <w:tab w:val="left" w:pos="1200"/>
          <w:tab w:val="right" w:leader="dot" w:pos="9344"/>
        </w:tabs>
        <w:rPr>
          <w:rFonts w:eastAsiaTheme="minorEastAsia" w:cstheme="minorBidi"/>
          <w:noProof/>
          <w:sz w:val="22"/>
          <w:szCs w:val="22"/>
        </w:rPr>
      </w:pPr>
      <w:hyperlink w:anchor="_Toc2005286" w:history="1">
        <w:r w:rsidR="00B87848" w:rsidRPr="00EB708D">
          <w:rPr>
            <w:rStyle w:val="Hyperlink"/>
            <w:rFonts w:eastAsiaTheme="majorEastAsia"/>
            <w:noProof/>
          </w:rPr>
          <w:t xml:space="preserve">Figure 4 </w:t>
        </w:r>
        <w:r w:rsidR="00B87848">
          <w:rPr>
            <w:rFonts w:eastAsiaTheme="minorEastAsia" w:cstheme="minorBidi"/>
            <w:noProof/>
            <w:sz w:val="22"/>
            <w:szCs w:val="22"/>
          </w:rPr>
          <w:tab/>
        </w:r>
        <w:r w:rsidR="00B87848" w:rsidRPr="00EB708D">
          <w:rPr>
            <w:rStyle w:val="Hyperlink"/>
            <w:rFonts w:eastAsiaTheme="majorEastAsia"/>
            <w:noProof/>
          </w:rPr>
          <w:t>Assessment class profile for residents aged 85 years or older</w:t>
        </w:r>
        <w:r w:rsidR="00B87848">
          <w:rPr>
            <w:noProof/>
            <w:webHidden/>
          </w:rPr>
          <w:tab/>
        </w:r>
        <w:r w:rsidR="00B87848">
          <w:rPr>
            <w:noProof/>
            <w:webHidden/>
          </w:rPr>
          <w:fldChar w:fldCharType="begin"/>
        </w:r>
        <w:r w:rsidR="00B87848">
          <w:rPr>
            <w:noProof/>
            <w:webHidden/>
          </w:rPr>
          <w:instrText xml:space="preserve"> PAGEREF _Toc2005286 \h </w:instrText>
        </w:r>
        <w:r w:rsidR="00B87848">
          <w:rPr>
            <w:noProof/>
            <w:webHidden/>
          </w:rPr>
        </w:r>
        <w:r w:rsidR="00B87848">
          <w:rPr>
            <w:noProof/>
            <w:webHidden/>
          </w:rPr>
          <w:fldChar w:fldCharType="separate"/>
        </w:r>
        <w:r w:rsidR="00B87848">
          <w:rPr>
            <w:noProof/>
            <w:webHidden/>
          </w:rPr>
          <w:t>20</w:t>
        </w:r>
        <w:r w:rsidR="00B87848">
          <w:rPr>
            <w:noProof/>
            <w:webHidden/>
          </w:rPr>
          <w:fldChar w:fldCharType="end"/>
        </w:r>
      </w:hyperlink>
    </w:p>
    <w:p w14:paraId="18AAAB42" w14:textId="77777777" w:rsidR="00B87848" w:rsidRDefault="002E53D0" w:rsidP="00B87848">
      <w:pPr>
        <w:pStyle w:val="TableofFigures"/>
        <w:tabs>
          <w:tab w:val="left" w:pos="1200"/>
          <w:tab w:val="right" w:leader="dot" w:pos="9344"/>
        </w:tabs>
        <w:ind w:left="1200" w:hanging="1200"/>
        <w:rPr>
          <w:rFonts w:eastAsiaTheme="minorEastAsia" w:cstheme="minorBidi"/>
          <w:noProof/>
          <w:sz w:val="22"/>
          <w:szCs w:val="22"/>
        </w:rPr>
      </w:pPr>
      <w:hyperlink w:anchor="_Toc2005287" w:history="1">
        <w:r w:rsidR="00B87848" w:rsidRPr="00EB708D">
          <w:rPr>
            <w:rStyle w:val="Hyperlink"/>
            <w:rFonts w:eastAsiaTheme="majorEastAsia"/>
            <w:noProof/>
          </w:rPr>
          <w:t xml:space="preserve">Figure 5 </w:t>
        </w:r>
        <w:r w:rsidR="00B87848">
          <w:rPr>
            <w:rFonts w:eastAsiaTheme="minorEastAsia" w:cstheme="minorBidi"/>
            <w:noProof/>
            <w:sz w:val="22"/>
            <w:szCs w:val="22"/>
          </w:rPr>
          <w:tab/>
        </w:r>
        <w:r w:rsidR="00B87848" w:rsidRPr="00EB708D">
          <w:rPr>
            <w:rStyle w:val="Hyperlink"/>
            <w:rFonts w:eastAsiaTheme="majorEastAsia"/>
            <w:noProof/>
          </w:rPr>
          <w:t>Summary of changes by AN-ACC payment class between assessment and reassessment</w:t>
        </w:r>
        <w:r w:rsidR="00B87848">
          <w:rPr>
            <w:noProof/>
            <w:webHidden/>
          </w:rPr>
          <w:tab/>
        </w:r>
        <w:r w:rsidR="00B87848">
          <w:rPr>
            <w:noProof/>
            <w:webHidden/>
          </w:rPr>
          <w:fldChar w:fldCharType="begin"/>
        </w:r>
        <w:r w:rsidR="00B87848">
          <w:rPr>
            <w:noProof/>
            <w:webHidden/>
          </w:rPr>
          <w:instrText xml:space="preserve"> PAGEREF _Toc2005287 \h </w:instrText>
        </w:r>
        <w:r w:rsidR="00B87848">
          <w:rPr>
            <w:noProof/>
            <w:webHidden/>
          </w:rPr>
        </w:r>
        <w:r w:rsidR="00B87848">
          <w:rPr>
            <w:noProof/>
            <w:webHidden/>
          </w:rPr>
          <w:fldChar w:fldCharType="separate"/>
        </w:r>
        <w:r w:rsidR="00B87848">
          <w:rPr>
            <w:noProof/>
            <w:webHidden/>
          </w:rPr>
          <w:t>21</w:t>
        </w:r>
        <w:r w:rsidR="00B87848">
          <w:rPr>
            <w:noProof/>
            <w:webHidden/>
          </w:rPr>
          <w:fldChar w:fldCharType="end"/>
        </w:r>
      </w:hyperlink>
    </w:p>
    <w:p w14:paraId="6DB177A9" w14:textId="75AE410B" w:rsidR="0018369B" w:rsidRPr="006613D0" w:rsidRDefault="00337E34" w:rsidP="00B16036">
      <w:pPr>
        <w:sectPr w:rsidR="0018369B" w:rsidRPr="006613D0" w:rsidSect="00D03CF7">
          <w:headerReference w:type="even" r:id="rId14"/>
          <w:headerReference w:type="default" r:id="rId15"/>
          <w:footerReference w:type="default" r:id="rId16"/>
          <w:headerReference w:type="first" r:id="rId17"/>
          <w:type w:val="continuous"/>
          <w:pgSz w:w="11906" w:h="16838"/>
          <w:pgMar w:top="1134" w:right="1134" w:bottom="1021" w:left="1418" w:header="709" w:footer="709" w:gutter="0"/>
          <w:pgNumType w:start="1"/>
          <w:cols w:space="708"/>
          <w:docGrid w:linePitch="360"/>
        </w:sectPr>
      </w:pPr>
      <w:r w:rsidRPr="006613D0">
        <w:fldChar w:fldCharType="end"/>
      </w:r>
    </w:p>
    <w:p w14:paraId="4C488934" w14:textId="77777777" w:rsidR="00601BE1" w:rsidRPr="006613D0" w:rsidRDefault="00601BE1"/>
    <w:p w14:paraId="15C45EA5" w14:textId="77777777" w:rsidR="00337E34" w:rsidRPr="00E9126C" w:rsidRDefault="00337E34" w:rsidP="00B16036">
      <w:pPr>
        <w:rPr>
          <w:sz w:val="20"/>
          <w:szCs w:val="20"/>
        </w:rPr>
      </w:pPr>
    </w:p>
    <w:p w14:paraId="296F8FBF" w14:textId="77777777" w:rsidR="00601BE1" w:rsidRDefault="00601BE1">
      <w:pPr>
        <w:rPr>
          <w:rFonts w:ascii="Calibri" w:eastAsiaTheme="majorEastAsia" w:hAnsi="Calibri" w:cstheme="majorBidi"/>
          <w:b/>
          <w:bCs/>
          <w:color w:val="0398D7"/>
          <w:sz w:val="4"/>
          <w:szCs w:val="4"/>
        </w:rPr>
        <w:sectPr w:rsidR="00601BE1" w:rsidSect="00D03CF7">
          <w:footerReference w:type="default" r:id="rId18"/>
          <w:type w:val="continuous"/>
          <w:pgSz w:w="11906" w:h="16838"/>
          <w:pgMar w:top="1134" w:right="1134" w:bottom="1021" w:left="1418" w:header="708" w:footer="708" w:gutter="0"/>
          <w:pgNumType w:start="0"/>
          <w:cols w:space="708"/>
          <w:docGrid w:linePitch="360"/>
        </w:sectPr>
      </w:pPr>
    </w:p>
    <w:p w14:paraId="37EA67E1" w14:textId="77777777" w:rsidR="00953754" w:rsidRDefault="00953754" w:rsidP="00026FD1">
      <w:pPr>
        <w:pStyle w:val="Heading1"/>
        <w:numPr>
          <w:ilvl w:val="0"/>
          <w:numId w:val="0"/>
        </w:numPr>
      </w:pPr>
      <w:bookmarkStart w:id="10" w:name="_Toc531178375"/>
      <w:bookmarkStart w:id="11" w:name="_Ref534367715"/>
      <w:bookmarkStart w:id="12" w:name="_Toc2005232"/>
      <w:bookmarkStart w:id="13" w:name="_Toc471369418"/>
      <w:bookmarkStart w:id="14" w:name="_Ref467164317"/>
      <w:r>
        <w:lastRenderedPageBreak/>
        <w:t>Acknowledgements</w:t>
      </w:r>
      <w:bookmarkEnd w:id="10"/>
      <w:bookmarkEnd w:id="11"/>
      <w:bookmarkEnd w:id="12"/>
    </w:p>
    <w:p w14:paraId="341C5AC1" w14:textId="650DB0C1" w:rsidR="005D6A41" w:rsidRDefault="004B08CE" w:rsidP="006613D0">
      <w:pPr>
        <w:pStyle w:val="Normal-nospacing"/>
      </w:pPr>
      <w:r>
        <w:t>We would like to acknowledge the many stakeholders who contributed to this study. First, we extend our deep thanks to the residents who allowed us to conduct this study. We would also like to thank the</w:t>
      </w:r>
      <w:r w:rsidR="000E22B5">
        <w:t xml:space="preserve"> residents and staff of the</w:t>
      </w:r>
      <w:r>
        <w:t xml:space="preserve"> </w:t>
      </w:r>
      <w:r w:rsidR="005D6A41">
        <w:t xml:space="preserve">100 facilities who welcomed our assessors </w:t>
      </w:r>
      <w:r w:rsidR="00E532DD">
        <w:t>into their homes for over the ni</w:t>
      </w:r>
      <w:r w:rsidR="005D6A41">
        <w:t xml:space="preserve">ne months during which </w:t>
      </w:r>
      <w:r w:rsidR="00E532DD">
        <w:t>the resident assessments were u</w:t>
      </w:r>
      <w:r w:rsidR="005D6A41">
        <w:t>ndertake</w:t>
      </w:r>
      <w:r w:rsidR="009A67A9">
        <w:t>n.</w:t>
      </w:r>
    </w:p>
    <w:p w14:paraId="2C1134A6" w14:textId="1F62365D" w:rsidR="004B08CE" w:rsidRDefault="005D6A41" w:rsidP="006613D0">
      <w:pPr>
        <w:pStyle w:val="Normal-nospacing"/>
      </w:pPr>
      <w:r>
        <w:t xml:space="preserve">Thank you also to the assessors </w:t>
      </w:r>
      <w:r w:rsidR="004B08CE">
        <w:t>who so willingly</w:t>
      </w:r>
      <w:r w:rsidR="00E532DD">
        <w:t xml:space="preserve"> </w:t>
      </w:r>
      <w:r>
        <w:t>and enthusiastically</w:t>
      </w:r>
      <w:r w:rsidR="004B08CE">
        <w:t xml:space="preserve"> participated in this study</w:t>
      </w:r>
      <w:r>
        <w:t>,</w:t>
      </w:r>
      <w:r w:rsidR="004B08CE">
        <w:t xml:space="preserve"> </w:t>
      </w:r>
      <w:r>
        <w:t>undertaking more than 5,000 assessments whilst ensuring that the welf</w:t>
      </w:r>
      <w:r w:rsidR="00E532DD">
        <w:t>are of residents was paramount</w:t>
      </w:r>
      <w:r>
        <w:t>. Y</w:t>
      </w:r>
      <w:r w:rsidR="004B08CE">
        <w:t>our efforts to make this study a success are greatly</w:t>
      </w:r>
      <w:r w:rsidR="009A67A9">
        <w:t xml:space="preserve"> appreciated.</w:t>
      </w:r>
    </w:p>
    <w:p w14:paraId="291530F4" w14:textId="0353784C" w:rsidR="004B08CE" w:rsidRPr="00574C88" w:rsidRDefault="004B08CE" w:rsidP="006613D0">
      <w:pPr>
        <w:pStyle w:val="Normal-nospacing"/>
      </w:pPr>
      <w:r>
        <w:t xml:space="preserve">We also acknowledge the members of the clinical advisory panels whose expert advice was critical to the study. Finally, our </w:t>
      </w:r>
      <w:r w:rsidRPr="00F25EE9">
        <w:t xml:space="preserve">thanks go to Melissa </w:t>
      </w:r>
      <w:r>
        <w:t xml:space="preserve">Crampton, </w:t>
      </w:r>
      <w:r w:rsidRPr="00F25EE9">
        <w:t xml:space="preserve">Rob Montefiore-Gardner and the team in the </w:t>
      </w:r>
      <w:r>
        <w:t xml:space="preserve">Funding Reform Section within the Residential and Flexible Aged Care Division of the </w:t>
      </w:r>
      <w:r w:rsidR="00D452AA">
        <w:t xml:space="preserve">Commonwealth </w:t>
      </w:r>
      <w:r>
        <w:t>Department of Health for their ongoing support during this study.</w:t>
      </w:r>
    </w:p>
    <w:p w14:paraId="2D03C6A0" w14:textId="77777777" w:rsidR="004B08CE" w:rsidRDefault="004B08CE" w:rsidP="006613D0">
      <w:pPr>
        <w:pStyle w:val="Normal-nospacing"/>
        <w:rPr>
          <w:rFonts w:ascii="Calibri" w:eastAsiaTheme="majorEastAsia" w:hAnsi="Calibri" w:cstheme="majorBidi"/>
          <w:b/>
          <w:bCs/>
          <w:sz w:val="28"/>
          <w:szCs w:val="28"/>
        </w:rPr>
      </w:pPr>
      <w:r>
        <w:br w:type="page"/>
      </w:r>
    </w:p>
    <w:p w14:paraId="04E7B4A1" w14:textId="77777777" w:rsidR="00E71949" w:rsidRPr="00E71949" w:rsidRDefault="00E71949" w:rsidP="00026FD1">
      <w:pPr>
        <w:pStyle w:val="Heading1"/>
        <w:numPr>
          <w:ilvl w:val="0"/>
          <w:numId w:val="0"/>
        </w:numPr>
      </w:pPr>
      <w:bookmarkStart w:id="15" w:name="_Toc531178376"/>
      <w:bookmarkStart w:id="16" w:name="_Toc2005233"/>
      <w:r w:rsidRPr="00FA4CAD">
        <w:lastRenderedPageBreak/>
        <w:t>A</w:t>
      </w:r>
      <w:bookmarkEnd w:id="13"/>
      <w:r w:rsidR="00C87053" w:rsidRPr="00FA4CAD">
        <w:t>bbreviations</w:t>
      </w:r>
      <w:bookmarkEnd w:id="15"/>
      <w:bookmarkEnd w:id="16"/>
    </w:p>
    <w:tbl>
      <w:tblPr>
        <w:tblW w:w="9014" w:type="dxa"/>
        <w:tblLook w:val="04A0" w:firstRow="1" w:lastRow="0" w:firstColumn="1" w:lastColumn="0" w:noHBand="0" w:noVBand="1"/>
        <w:tblCaption w:val="Abbreviations"/>
        <w:tblDescription w:val="This table is a list of abbreviations used throughout the Resource Utilisation Classification Study (RUCS) report. This table is to be read left to right, top to bottom (abbreviation followed by full term)."/>
      </w:tblPr>
      <w:tblGrid>
        <w:gridCol w:w="1950"/>
        <w:gridCol w:w="7064"/>
      </w:tblGrid>
      <w:tr w:rsidR="00BD6315" w:rsidRPr="009A67A9" w14:paraId="11DF9999" w14:textId="77777777" w:rsidTr="009A67A9">
        <w:trPr>
          <w:trHeight w:val="300"/>
          <w:tblHeader/>
        </w:trPr>
        <w:tc>
          <w:tcPr>
            <w:tcW w:w="1950" w:type="dxa"/>
            <w:tcBorders>
              <w:top w:val="nil"/>
              <w:left w:val="nil"/>
              <w:bottom w:val="nil"/>
              <w:right w:val="nil"/>
            </w:tcBorders>
            <w:shd w:val="clear" w:color="auto" w:fill="auto"/>
            <w:noWrap/>
          </w:tcPr>
          <w:p w14:paraId="6B304FF3" w14:textId="28F42751" w:rsidR="00BD6315" w:rsidRPr="009A67A9" w:rsidRDefault="009A67A9" w:rsidP="00CB56BC">
            <w:pPr>
              <w:rPr>
                <w:rFonts w:ascii="Calibri" w:hAnsi="Calibri" w:cs="Calibri"/>
                <w:b/>
                <w:color w:val="000000"/>
                <w:sz w:val="20"/>
                <w:szCs w:val="20"/>
              </w:rPr>
            </w:pPr>
            <w:r w:rsidRPr="009A67A9">
              <w:rPr>
                <w:rFonts w:ascii="Calibri" w:hAnsi="Calibri" w:cs="Calibri"/>
                <w:b/>
                <w:color w:val="000000"/>
                <w:sz w:val="20"/>
                <w:szCs w:val="20"/>
              </w:rPr>
              <w:t>Abbreviation</w:t>
            </w:r>
          </w:p>
        </w:tc>
        <w:tc>
          <w:tcPr>
            <w:tcW w:w="7064" w:type="dxa"/>
            <w:tcBorders>
              <w:top w:val="nil"/>
              <w:left w:val="nil"/>
              <w:bottom w:val="nil"/>
              <w:right w:val="nil"/>
            </w:tcBorders>
            <w:shd w:val="clear" w:color="auto" w:fill="auto"/>
            <w:noWrap/>
          </w:tcPr>
          <w:p w14:paraId="37780188" w14:textId="69704B8E" w:rsidR="00BD6315" w:rsidRPr="009A67A9" w:rsidRDefault="009A67A9" w:rsidP="00BD6315">
            <w:pPr>
              <w:rPr>
                <w:rFonts w:ascii="Calibri" w:hAnsi="Calibri" w:cs="Calibri"/>
                <w:b/>
                <w:color w:val="000000"/>
                <w:sz w:val="20"/>
                <w:szCs w:val="20"/>
              </w:rPr>
            </w:pPr>
            <w:r w:rsidRPr="009A67A9">
              <w:rPr>
                <w:rFonts w:ascii="Calibri" w:hAnsi="Calibri" w:cs="Calibri"/>
                <w:b/>
                <w:color w:val="000000"/>
                <w:sz w:val="20"/>
                <w:szCs w:val="20"/>
              </w:rPr>
              <w:t>Full term</w:t>
            </w:r>
          </w:p>
        </w:tc>
      </w:tr>
      <w:tr w:rsidR="009A67A9" w:rsidRPr="00BD6315" w14:paraId="28C7EBFD" w14:textId="77777777" w:rsidTr="001354DC">
        <w:trPr>
          <w:trHeight w:val="300"/>
        </w:trPr>
        <w:tc>
          <w:tcPr>
            <w:tcW w:w="1950" w:type="dxa"/>
            <w:tcBorders>
              <w:top w:val="nil"/>
              <w:left w:val="nil"/>
              <w:bottom w:val="nil"/>
              <w:right w:val="nil"/>
            </w:tcBorders>
            <w:shd w:val="clear" w:color="auto" w:fill="auto"/>
            <w:noWrap/>
          </w:tcPr>
          <w:p w14:paraId="273686C0" w14:textId="6CC52285" w:rsidR="009A67A9" w:rsidRPr="00BD6315" w:rsidRDefault="009A67A9" w:rsidP="009A67A9">
            <w:pPr>
              <w:rPr>
                <w:sz w:val="20"/>
                <w:szCs w:val="20"/>
              </w:rPr>
            </w:pPr>
            <w:r w:rsidRPr="00BD6315">
              <w:rPr>
                <w:sz w:val="20"/>
                <w:szCs w:val="20"/>
              </w:rPr>
              <w:t>ACAP</w:t>
            </w:r>
          </w:p>
        </w:tc>
        <w:tc>
          <w:tcPr>
            <w:tcW w:w="7064" w:type="dxa"/>
            <w:tcBorders>
              <w:top w:val="nil"/>
              <w:left w:val="nil"/>
              <w:bottom w:val="nil"/>
              <w:right w:val="nil"/>
            </w:tcBorders>
            <w:shd w:val="clear" w:color="auto" w:fill="auto"/>
            <w:noWrap/>
          </w:tcPr>
          <w:p w14:paraId="71DC3AC8" w14:textId="209A544A" w:rsidR="009A67A9" w:rsidRPr="00BD6315" w:rsidRDefault="009A67A9" w:rsidP="009A67A9">
            <w:pPr>
              <w:rPr>
                <w:sz w:val="20"/>
                <w:szCs w:val="20"/>
              </w:rPr>
            </w:pPr>
            <w:r w:rsidRPr="00BD6315">
              <w:rPr>
                <w:sz w:val="20"/>
                <w:szCs w:val="20"/>
              </w:rPr>
              <w:t>Aged Care Assessment Program</w:t>
            </w:r>
          </w:p>
        </w:tc>
      </w:tr>
      <w:tr w:rsidR="00CB56BC" w:rsidRPr="00CB56BC" w14:paraId="25C23955" w14:textId="77777777" w:rsidTr="001354DC">
        <w:trPr>
          <w:trHeight w:val="300"/>
        </w:trPr>
        <w:tc>
          <w:tcPr>
            <w:tcW w:w="1950" w:type="dxa"/>
            <w:tcBorders>
              <w:top w:val="nil"/>
              <w:left w:val="nil"/>
              <w:bottom w:val="nil"/>
              <w:right w:val="nil"/>
            </w:tcBorders>
            <w:shd w:val="clear" w:color="auto" w:fill="auto"/>
            <w:noWrap/>
            <w:hideMark/>
          </w:tcPr>
          <w:p w14:paraId="4809496C" w14:textId="77777777" w:rsidR="00CB56BC" w:rsidRPr="00CB56BC" w:rsidRDefault="00CB56BC" w:rsidP="00CB56BC">
            <w:pPr>
              <w:rPr>
                <w:rFonts w:ascii="Calibri" w:hAnsi="Calibri" w:cs="Calibri"/>
                <w:color w:val="000000"/>
                <w:sz w:val="20"/>
                <w:szCs w:val="20"/>
              </w:rPr>
            </w:pPr>
            <w:r w:rsidRPr="00CB56BC">
              <w:rPr>
                <w:rFonts w:ascii="Calibri" w:hAnsi="Calibri" w:cs="Calibri"/>
                <w:color w:val="000000"/>
                <w:sz w:val="20"/>
                <w:szCs w:val="20"/>
              </w:rPr>
              <w:t>ACAT</w:t>
            </w:r>
          </w:p>
        </w:tc>
        <w:tc>
          <w:tcPr>
            <w:tcW w:w="7064" w:type="dxa"/>
            <w:tcBorders>
              <w:top w:val="nil"/>
              <w:left w:val="nil"/>
              <w:bottom w:val="nil"/>
              <w:right w:val="nil"/>
            </w:tcBorders>
            <w:shd w:val="clear" w:color="auto" w:fill="auto"/>
            <w:noWrap/>
            <w:hideMark/>
          </w:tcPr>
          <w:p w14:paraId="27529245" w14:textId="77777777" w:rsidR="00CB56BC" w:rsidRPr="00CB56BC" w:rsidRDefault="00CB56BC" w:rsidP="00BD6315">
            <w:pPr>
              <w:rPr>
                <w:rFonts w:ascii="Calibri" w:hAnsi="Calibri" w:cs="Calibri"/>
                <w:color w:val="000000"/>
                <w:sz w:val="20"/>
                <w:szCs w:val="20"/>
              </w:rPr>
            </w:pPr>
            <w:r w:rsidRPr="00CB56BC">
              <w:rPr>
                <w:rFonts w:ascii="Calibri" w:hAnsi="Calibri" w:cs="Calibri"/>
                <w:color w:val="000000"/>
                <w:sz w:val="20"/>
                <w:szCs w:val="20"/>
              </w:rPr>
              <w:t>Aged Care Assessment Team</w:t>
            </w:r>
          </w:p>
        </w:tc>
      </w:tr>
      <w:tr w:rsidR="00CB56BC" w:rsidRPr="00CB56BC" w14:paraId="78F30DDF" w14:textId="77777777" w:rsidTr="001354DC">
        <w:trPr>
          <w:trHeight w:val="300"/>
        </w:trPr>
        <w:tc>
          <w:tcPr>
            <w:tcW w:w="1950" w:type="dxa"/>
            <w:tcBorders>
              <w:top w:val="nil"/>
              <w:left w:val="nil"/>
              <w:bottom w:val="nil"/>
              <w:right w:val="nil"/>
            </w:tcBorders>
            <w:shd w:val="clear" w:color="auto" w:fill="auto"/>
            <w:noWrap/>
            <w:hideMark/>
          </w:tcPr>
          <w:p w14:paraId="271E4AAC" w14:textId="77777777" w:rsidR="00CB56BC" w:rsidRPr="00CB56BC" w:rsidRDefault="00CB56BC" w:rsidP="00CB56BC">
            <w:pPr>
              <w:rPr>
                <w:rFonts w:ascii="Calibri" w:hAnsi="Calibri" w:cs="Calibri"/>
                <w:color w:val="000000"/>
                <w:sz w:val="20"/>
                <w:szCs w:val="20"/>
              </w:rPr>
            </w:pPr>
            <w:r w:rsidRPr="00CB56BC">
              <w:rPr>
                <w:rFonts w:ascii="Calibri" w:hAnsi="Calibri" w:cs="Calibri"/>
                <w:color w:val="000000"/>
                <w:sz w:val="20"/>
                <w:szCs w:val="20"/>
              </w:rPr>
              <w:t>ACFI</w:t>
            </w:r>
          </w:p>
        </w:tc>
        <w:tc>
          <w:tcPr>
            <w:tcW w:w="7064" w:type="dxa"/>
            <w:tcBorders>
              <w:top w:val="nil"/>
              <w:left w:val="nil"/>
              <w:bottom w:val="nil"/>
              <w:right w:val="nil"/>
            </w:tcBorders>
            <w:shd w:val="clear" w:color="auto" w:fill="auto"/>
            <w:noWrap/>
            <w:hideMark/>
          </w:tcPr>
          <w:p w14:paraId="50236553" w14:textId="77777777" w:rsidR="00CB56BC" w:rsidRPr="00CB56BC" w:rsidRDefault="00CB56BC" w:rsidP="00BD6315">
            <w:pPr>
              <w:rPr>
                <w:rFonts w:ascii="Calibri" w:hAnsi="Calibri" w:cs="Calibri"/>
                <w:color w:val="000000"/>
                <w:sz w:val="20"/>
                <w:szCs w:val="20"/>
              </w:rPr>
            </w:pPr>
            <w:r w:rsidRPr="00CB56BC">
              <w:rPr>
                <w:rFonts w:ascii="Calibri" w:hAnsi="Calibri" w:cs="Calibri"/>
                <w:color w:val="000000"/>
                <w:sz w:val="20"/>
                <w:szCs w:val="20"/>
              </w:rPr>
              <w:t>Aged Care Funding Instrument</w:t>
            </w:r>
          </w:p>
        </w:tc>
      </w:tr>
      <w:tr w:rsidR="00CB56BC" w:rsidRPr="00CB56BC" w14:paraId="47AD947E" w14:textId="77777777" w:rsidTr="001354DC">
        <w:trPr>
          <w:trHeight w:val="300"/>
        </w:trPr>
        <w:tc>
          <w:tcPr>
            <w:tcW w:w="1950" w:type="dxa"/>
            <w:tcBorders>
              <w:top w:val="nil"/>
              <w:left w:val="nil"/>
              <w:bottom w:val="nil"/>
              <w:right w:val="nil"/>
            </w:tcBorders>
            <w:shd w:val="clear" w:color="auto" w:fill="auto"/>
            <w:noWrap/>
            <w:hideMark/>
          </w:tcPr>
          <w:p w14:paraId="33503EFC" w14:textId="77777777" w:rsidR="00CB56BC" w:rsidRPr="00CB56BC" w:rsidRDefault="00CB56BC" w:rsidP="00CB56BC">
            <w:pPr>
              <w:rPr>
                <w:rFonts w:ascii="Calibri" w:hAnsi="Calibri" w:cs="Calibri"/>
                <w:color w:val="000000"/>
                <w:sz w:val="20"/>
                <w:szCs w:val="20"/>
              </w:rPr>
            </w:pPr>
            <w:r w:rsidRPr="00CB56BC">
              <w:rPr>
                <w:rFonts w:ascii="Calibri" w:hAnsi="Calibri" w:cs="Calibri"/>
                <w:color w:val="000000"/>
                <w:sz w:val="20"/>
                <w:szCs w:val="20"/>
              </w:rPr>
              <w:t>ADL</w:t>
            </w:r>
          </w:p>
        </w:tc>
        <w:tc>
          <w:tcPr>
            <w:tcW w:w="7064" w:type="dxa"/>
            <w:tcBorders>
              <w:top w:val="nil"/>
              <w:left w:val="nil"/>
              <w:bottom w:val="nil"/>
              <w:right w:val="nil"/>
            </w:tcBorders>
            <w:shd w:val="clear" w:color="auto" w:fill="auto"/>
            <w:noWrap/>
            <w:hideMark/>
          </w:tcPr>
          <w:p w14:paraId="288D16BA" w14:textId="77777777" w:rsidR="00CB56BC" w:rsidRPr="00CB56BC" w:rsidRDefault="00CB56BC" w:rsidP="00BD6315">
            <w:pPr>
              <w:rPr>
                <w:rFonts w:ascii="Calibri" w:hAnsi="Calibri" w:cs="Calibri"/>
                <w:color w:val="000000"/>
                <w:sz w:val="20"/>
                <w:szCs w:val="20"/>
              </w:rPr>
            </w:pPr>
            <w:r w:rsidRPr="00CB56BC">
              <w:rPr>
                <w:rFonts w:ascii="Calibri" w:hAnsi="Calibri" w:cs="Calibri"/>
                <w:color w:val="000000"/>
                <w:sz w:val="20"/>
                <w:szCs w:val="20"/>
              </w:rPr>
              <w:t>Activities of Daily Living</w:t>
            </w:r>
          </w:p>
        </w:tc>
      </w:tr>
      <w:tr w:rsidR="00BD6315" w:rsidRPr="00CB56BC" w14:paraId="35FE8416" w14:textId="77777777" w:rsidTr="001354DC">
        <w:trPr>
          <w:trHeight w:val="300"/>
        </w:trPr>
        <w:tc>
          <w:tcPr>
            <w:tcW w:w="1950" w:type="dxa"/>
            <w:tcBorders>
              <w:top w:val="nil"/>
              <w:left w:val="nil"/>
              <w:bottom w:val="nil"/>
              <w:right w:val="nil"/>
            </w:tcBorders>
            <w:shd w:val="clear" w:color="auto" w:fill="auto"/>
            <w:noWrap/>
          </w:tcPr>
          <w:p w14:paraId="4B8CF14B" w14:textId="5C62528C" w:rsidR="00BD6315" w:rsidRPr="00CB56BC" w:rsidRDefault="00BD6315" w:rsidP="00CB56BC">
            <w:pPr>
              <w:rPr>
                <w:rFonts w:ascii="Calibri" w:hAnsi="Calibri" w:cs="Calibri"/>
                <w:color w:val="000000"/>
                <w:sz w:val="20"/>
                <w:szCs w:val="20"/>
              </w:rPr>
            </w:pPr>
            <w:r>
              <w:rPr>
                <w:rFonts w:ascii="Calibri" w:hAnsi="Calibri" w:cs="Calibri"/>
                <w:color w:val="000000"/>
                <w:sz w:val="20"/>
                <w:szCs w:val="20"/>
              </w:rPr>
              <w:t>AHPRA</w:t>
            </w:r>
          </w:p>
        </w:tc>
        <w:tc>
          <w:tcPr>
            <w:tcW w:w="7064" w:type="dxa"/>
            <w:tcBorders>
              <w:top w:val="nil"/>
              <w:left w:val="nil"/>
              <w:bottom w:val="nil"/>
              <w:right w:val="nil"/>
            </w:tcBorders>
            <w:shd w:val="clear" w:color="auto" w:fill="auto"/>
            <w:noWrap/>
          </w:tcPr>
          <w:p w14:paraId="7911ABF3" w14:textId="79462911" w:rsidR="00BD6315" w:rsidRPr="00CB56BC" w:rsidRDefault="00BD6315" w:rsidP="00BD6315">
            <w:pPr>
              <w:rPr>
                <w:rFonts w:ascii="Calibri" w:hAnsi="Calibri" w:cs="Calibri"/>
                <w:color w:val="000000"/>
                <w:sz w:val="20"/>
                <w:szCs w:val="20"/>
              </w:rPr>
            </w:pPr>
            <w:r w:rsidRPr="00BD6315">
              <w:rPr>
                <w:rFonts w:ascii="Calibri" w:hAnsi="Calibri" w:cs="Calibri"/>
                <w:color w:val="000000"/>
                <w:sz w:val="20"/>
                <w:szCs w:val="20"/>
              </w:rPr>
              <w:t>Australian Health Practitioners Regulation Agency</w:t>
            </w:r>
          </w:p>
        </w:tc>
      </w:tr>
      <w:tr w:rsidR="00BD6315" w:rsidRPr="00CB56BC" w14:paraId="0A7CDA2A" w14:textId="77777777" w:rsidTr="001354DC">
        <w:trPr>
          <w:trHeight w:val="300"/>
        </w:trPr>
        <w:tc>
          <w:tcPr>
            <w:tcW w:w="1950" w:type="dxa"/>
            <w:tcBorders>
              <w:top w:val="nil"/>
              <w:left w:val="nil"/>
              <w:bottom w:val="nil"/>
              <w:right w:val="nil"/>
            </w:tcBorders>
            <w:shd w:val="clear" w:color="auto" w:fill="auto"/>
            <w:noWrap/>
            <w:hideMark/>
          </w:tcPr>
          <w:p w14:paraId="69268514" w14:textId="77777777" w:rsidR="00BD6315" w:rsidRPr="00CB56BC" w:rsidRDefault="00BD6315" w:rsidP="00CB56BC">
            <w:pPr>
              <w:rPr>
                <w:rFonts w:ascii="Calibri" w:hAnsi="Calibri" w:cs="Calibri"/>
                <w:color w:val="000000"/>
                <w:sz w:val="20"/>
                <w:szCs w:val="20"/>
              </w:rPr>
            </w:pPr>
            <w:r w:rsidRPr="00CB56BC">
              <w:rPr>
                <w:rFonts w:ascii="Calibri" w:hAnsi="Calibri" w:cs="Calibri"/>
                <w:color w:val="000000"/>
                <w:sz w:val="20"/>
                <w:szCs w:val="20"/>
              </w:rPr>
              <w:t>AHSRI</w:t>
            </w:r>
          </w:p>
        </w:tc>
        <w:tc>
          <w:tcPr>
            <w:tcW w:w="7064" w:type="dxa"/>
            <w:tcBorders>
              <w:top w:val="nil"/>
              <w:left w:val="nil"/>
              <w:bottom w:val="nil"/>
              <w:right w:val="nil"/>
            </w:tcBorders>
            <w:shd w:val="clear" w:color="auto" w:fill="auto"/>
            <w:noWrap/>
            <w:hideMark/>
          </w:tcPr>
          <w:p w14:paraId="05CC5245" w14:textId="77777777" w:rsidR="00BD6315" w:rsidRPr="00CB56BC" w:rsidRDefault="00BD6315" w:rsidP="00BD6315">
            <w:pPr>
              <w:rPr>
                <w:rFonts w:ascii="Calibri" w:hAnsi="Calibri" w:cs="Calibri"/>
                <w:color w:val="000000"/>
                <w:sz w:val="20"/>
                <w:szCs w:val="20"/>
              </w:rPr>
            </w:pPr>
            <w:r w:rsidRPr="00CB56BC">
              <w:rPr>
                <w:rFonts w:ascii="Calibri" w:hAnsi="Calibri" w:cs="Calibri"/>
                <w:color w:val="000000"/>
                <w:sz w:val="20"/>
                <w:szCs w:val="20"/>
              </w:rPr>
              <w:t>Australian Health Services Research Institute</w:t>
            </w:r>
          </w:p>
        </w:tc>
      </w:tr>
      <w:tr w:rsidR="00BD6315" w:rsidRPr="00CB56BC" w14:paraId="4E5F2FA1" w14:textId="77777777" w:rsidTr="001354DC">
        <w:trPr>
          <w:trHeight w:val="300"/>
        </w:trPr>
        <w:tc>
          <w:tcPr>
            <w:tcW w:w="1950" w:type="dxa"/>
            <w:tcBorders>
              <w:top w:val="nil"/>
              <w:left w:val="nil"/>
              <w:bottom w:val="nil"/>
              <w:right w:val="nil"/>
            </w:tcBorders>
            <w:shd w:val="clear" w:color="auto" w:fill="auto"/>
            <w:noWrap/>
          </w:tcPr>
          <w:p w14:paraId="0FD476B9" w14:textId="34B31C3D" w:rsidR="00BD6315" w:rsidRPr="00CB56BC" w:rsidRDefault="00BD6315" w:rsidP="00CB56BC">
            <w:pPr>
              <w:rPr>
                <w:rFonts w:ascii="Calibri" w:hAnsi="Calibri" w:cs="Calibri"/>
                <w:color w:val="000000"/>
                <w:sz w:val="20"/>
                <w:szCs w:val="20"/>
              </w:rPr>
            </w:pPr>
            <w:r>
              <w:rPr>
                <w:rFonts w:ascii="Calibri" w:hAnsi="Calibri" w:cs="Calibri"/>
                <w:color w:val="000000"/>
                <w:sz w:val="20"/>
                <w:szCs w:val="20"/>
              </w:rPr>
              <w:t>AKPS</w:t>
            </w:r>
          </w:p>
        </w:tc>
        <w:tc>
          <w:tcPr>
            <w:tcW w:w="7064" w:type="dxa"/>
            <w:tcBorders>
              <w:top w:val="nil"/>
              <w:left w:val="nil"/>
              <w:bottom w:val="nil"/>
              <w:right w:val="nil"/>
            </w:tcBorders>
            <w:shd w:val="clear" w:color="auto" w:fill="auto"/>
            <w:noWrap/>
          </w:tcPr>
          <w:p w14:paraId="64DB5BD7" w14:textId="3CA47698" w:rsidR="00BD6315" w:rsidRPr="00CB56BC" w:rsidRDefault="00BD6315" w:rsidP="00BD6315">
            <w:pPr>
              <w:rPr>
                <w:rFonts w:ascii="Calibri" w:hAnsi="Calibri" w:cs="Calibri"/>
                <w:color w:val="000000"/>
                <w:sz w:val="20"/>
                <w:szCs w:val="20"/>
              </w:rPr>
            </w:pPr>
            <w:r w:rsidRPr="000B42C6">
              <w:rPr>
                <w:rFonts w:ascii="Calibri" w:hAnsi="Calibri" w:cs="Calibri"/>
                <w:color w:val="000000"/>
                <w:sz w:val="20"/>
                <w:szCs w:val="20"/>
              </w:rPr>
              <w:t>Australia</w:t>
            </w:r>
            <w:r>
              <w:rPr>
                <w:rFonts w:ascii="Calibri" w:hAnsi="Calibri" w:cs="Calibri"/>
                <w:color w:val="000000"/>
                <w:sz w:val="20"/>
                <w:szCs w:val="20"/>
              </w:rPr>
              <w:t>-m</w:t>
            </w:r>
            <w:r w:rsidRPr="000B42C6">
              <w:rPr>
                <w:rFonts w:ascii="Calibri" w:hAnsi="Calibri" w:cs="Calibri"/>
                <w:color w:val="000000"/>
                <w:sz w:val="20"/>
                <w:szCs w:val="20"/>
              </w:rPr>
              <w:t>odified Karnofsky Performance Status</w:t>
            </w:r>
          </w:p>
        </w:tc>
      </w:tr>
      <w:tr w:rsidR="00E95F83" w:rsidRPr="00CB56BC" w14:paraId="4D763DBB" w14:textId="77777777" w:rsidTr="001354DC">
        <w:trPr>
          <w:trHeight w:val="300"/>
        </w:trPr>
        <w:tc>
          <w:tcPr>
            <w:tcW w:w="1950" w:type="dxa"/>
            <w:tcBorders>
              <w:top w:val="nil"/>
              <w:left w:val="nil"/>
              <w:bottom w:val="nil"/>
              <w:right w:val="nil"/>
            </w:tcBorders>
            <w:shd w:val="clear" w:color="auto" w:fill="auto"/>
            <w:noWrap/>
          </w:tcPr>
          <w:p w14:paraId="47E1574A" w14:textId="77777777" w:rsidR="00E95F83" w:rsidRPr="00CB56BC" w:rsidRDefault="00E95F83" w:rsidP="00AD2062">
            <w:pPr>
              <w:rPr>
                <w:rFonts w:ascii="Calibri" w:hAnsi="Calibri" w:cs="Calibri"/>
                <w:color w:val="000000"/>
                <w:sz w:val="20"/>
                <w:szCs w:val="20"/>
              </w:rPr>
            </w:pPr>
            <w:r>
              <w:rPr>
                <w:rFonts w:ascii="Calibri" w:hAnsi="Calibri" w:cs="Calibri"/>
                <w:color w:val="000000"/>
                <w:sz w:val="20"/>
                <w:szCs w:val="20"/>
              </w:rPr>
              <w:t>AM-FIM</w:t>
            </w:r>
          </w:p>
        </w:tc>
        <w:tc>
          <w:tcPr>
            <w:tcW w:w="7064" w:type="dxa"/>
            <w:tcBorders>
              <w:top w:val="nil"/>
              <w:left w:val="nil"/>
              <w:bottom w:val="nil"/>
              <w:right w:val="nil"/>
            </w:tcBorders>
            <w:shd w:val="clear" w:color="auto" w:fill="auto"/>
            <w:noWrap/>
          </w:tcPr>
          <w:p w14:paraId="34D43EB4" w14:textId="6758846B" w:rsidR="00E95F83" w:rsidRPr="003712C2" w:rsidRDefault="00E95F83" w:rsidP="00192088">
            <w:pPr>
              <w:rPr>
                <w:rFonts w:ascii="Calibri" w:hAnsi="Calibri" w:cs="Calibri"/>
                <w:color w:val="000000"/>
                <w:sz w:val="20"/>
                <w:szCs w:val="20"/>
              </w:rPr>
            </w:pPr>
            <w:r w:rsidRPr="003712C2">
              <w:rPr>
                <w:sz w:val="20"/>
                <w:szCs w:val="20"/>
              </w:rPr>
              <w:t>Australian</w:t>
            </w:r>
            <w:r w:rsidR="00192088">
              <w:rPr>
                <w:sz w:val="20"/>
                <w:szCs w:val="20"/>
              </w:rPr>
              <w:t xml:space="preserve"> M</w:t>
            </w:r>
            <w:r w:rsidRPr="003712C2">
              <w:rPr>
                <w:sz w:val="20"/>
                <w:szCs w:val="20"/>
              </w:rPr>
              <w:t>odified Functional Independence Measure</w:t>
            </w:r>
          </w:p>
        </w:tc>
      </w:tr>
      <w:tr w:rsidR="00E95F83" w:rsidRPr="000B42C6" w14:paraId="607D68DE" w14:textId="77777777" w:rsidTr="000613DF">
        <w:trPr>
          <w:trHeight w:val="300"/>
        </w:trPr>
        <w:tc>
          <w:tcPr>
            <w:tcW w:w="1950" w:type="dxa"/>
            <w:tcBorders>
              <w:top w:val="nil"/>
              <w:left w:val="nil"/>
              <w:bottom w:val="nil"/>
              <w:right w:val="nil"/>
            </w:tcBorders>
            <w:shd w:val="clear" w:color="auto" w:fill="auto"/>
            <w:noWrap/>
          </w:tcPr>
          <w:p w14:paraId="7D061240" w14:textId="77777777" w:rsidR="00E95F83" w:rsidRPr="000B42C6" w:rsidRDefault="00E95F83" w:rsidP="00AD2062">
            <w:pPr>
              <w:rPr>
                <w:rFonts w:ascii="Calibri" w:hAnsi="Calibri" w:cs="Calibri"/>
                <w:color w:val="000000"/>
                <w:sz w:val="20"/>
                <w:szCs w:val="20"/>
              </w:rPr>
            </w:pPr>
            <w:r w:rsidRPr="000B42C6">
              <w:rPr>
                <w:rFonts w:ascii="Calibri" w:hAnsi="Calibri" w:cs="Calibri"/>
                <w:color w:val="000000"/>
                <w:sz w:val="20"/>
                <w:szCs w:val="20"/>
              </w:rPr>
              <w:t>AN-ACC</w:t>
            </w:r>
          </w:p>
        </w:tc>
        <w:tc>
          <w:tcPr>
            <w:tcW w:w="7064" w:type="dxa"/>
            <w:tcBorders>
              <w:top w:val="nil"/>
              <w:left w:val="nil"/>
              <w:bottom w:val="nil"/>
              <w:right w:val="nil"/>
            </w:tcBorders>
            <w:shd w:val="clear" w:color="auto" w:fill="auto"/>
            <w:noWrap/>
          </w:tcPr>
          <w:p w14:paraId="6CF72618" w14:textId="77777777" w:rsidR="00E95F83" w:rsidRPr="000B42C6" w:rsidRDefault="00E95F83" w:rsidP="00E95F83">
            <w:pPr>
              <w:rPr>
                <w:rFonts w:ascii="Calibri" w:hAnsi="Calibri" w:cs="Calibri"/>
                <w:color w:val="000000"/>
                <w:sz w:val="20"/>
                <w:szCs w:val="20"/>
              </w:rPr>
            </w:pPr>
            <w:r w:rsidRPr="000B42C6">
              <w:rPr>
                <w:rFonts w:ascii="Calibri" w:hAnsi="Calibri" w:cs="Calibri"/>
                <w:color w:val="000000"/>
                <w:sz w:val="20"/>
                <w:szCs w:val="20"/>
              </w:rPr>
              <w:t>Australian National Aged Care Classification</w:t>
            </w:r>
          </w:p>
        </w:tc>
      </w:tr>
      <w:tr w:rsidR="00E95F83" w:rsidRPr="000B42C6" w14:paraId="6A8E01ED" w14:textId="77777777" w:rsidTr="000613DF">
        <w:trPr>
          <w:trHeight w:val="300"/>
        </w:trPr>
        <w:tc>
          <w:tcPr>
            <w:tcW w:w="1950" w:type="dxa"/>
            <w:tcBorders>
              <w:top w:val="nil"/>
              <w:left w:val="nil"/>
              <w:bottom w:val="nil"/>
              <w:right w:val="nil"/>
            </w:tcBorders>
            <w:shd w:val="clear" w:color="auto" w:fill="auto"/>
            <w:noWrap/>
          </w:tcPr>
          <w:p w14:paraId="21E0992D" w14:textId="77777777" w:rsidR="00E95F83" w:rsidRPr="000B42C6" w:rsidRDefault="00E95F83" w:rsidP="00AD2062">
            <w:pPr>
              <w:rPr>
                <w:rFonts w:ascii="Calibri" w:hAnsi="Calibri" w:cs="Calibri"/>
                <w:color w:val="000000"/>
                <w:sz w:val="20"/>
                <w:szCs w:val="20"/>
              </w:rPr>
            </w:pPr>
            <w:r w:rsidRPr="000B42C6">
              <w:rPr>
                <w:rFonts w:ascii="Calibri" w:hAnsi="Calibri" w:cs="Calibri"/>
                <w:color w:val="000000"/>
                <w:sz w:val="20"/>
                <w:szCs w:val="20"/>
              </w:rPr>
              <w:t>BRUA</w:t>
            </w:r>
          </w:p>
        </w:tc>
        <w:tc>
          <w:tcPr>
            <w:tcW w:w="7064" w:type="dxa"/>
            <w:tcBorders>
              <w:top w:val="nil"/>
              <w:left w:val="nil"/>
              <w:bottom w:val="nil"/>
              <w:right w:val="nil"/>
            </w:tcBorders>
            <w:shd w:val="clear" w:color="auto" w:fill="auto"/>
            <w:noWrap/>
          </w:tcPr>
          <w:p w14:paraId="406129D1" w14:textId="2A55C4C0" w:rsidR="00E95F83" w:rsidRPr="000B42C6" w:rsidRDefault="00E95F83" w:rsidP="00AD2062">
            <w:pPr>
              <w:rPr>
                <w:rFonts w:ascii="Calibri" w:hAnsi="Calibri" w:cs="Calibri"/>
                <w:color w:val="000000"/>
                <w:sz w:val="20"/>
                <w:szCs w:val="20"/>
              </w:rPr>
            </w:pPr>
            <w:r w:rsidRPr="000B42C6">
              <w:rPr>
                <w:rFonts w:ascii="Calibri" w:hAnsi="Calibri" w:cs="Calibri"/>
                <w:color w:val="000000"/>
                <w:sz w:val="20"/>
                <w:szCs w:val="20"/>
              </w:rPr>
              <w:t xml:space="preserve">Behaviour </w:t>
            </w:r>
            <w:r w:rsidR="009A67A9">
              <w:rPr>
                <w:rFonts w:ascii="Calibri" w:hAnsi="Calibri" w:cs="Calibri"/>
                <w:color w:val="000000"/>
                <w:sz w:val="20"/>
                <w:szCs w:val="20"/>
              </w:rPr>
              <w:t>Resource Utilisation Assessment</w:t>
            </w:r>
          </w:p>
        </w:tc>
      </w:tr>
      <w:tr w:rsidR="00BD6315" w:rsidRPr="00CB56BC" w14:paraId="5E000567" w14:textId="77777777" w:rsidTr="001354DC">
        <w:trPr>
          <w:trHeight w:val="300"/>
        </w:trPr>
        <w:tc>
          <w:tcPr>
            <w:tcW w:w="1950" w:type="dxa"/>
            <w:tcBorders>
              <w:top w:val="nil"/>
              <w:left w:val="nil"/>
              <w:bottom w:val="nil"/>
              <w:right w:val="nil"/>
            </w:tcBorders>
            <w:shd w:val="clear" w:color="auto" w:fill="auto"/>
            <w:noWrap/>
            <w:hideMark/>
          </w:tcPr>
          <w:p w14:paraId="39C0D9DB" w14:textId="77777777" w:rsidR="00BD6315" w:rsidRPr="00CB56BC" w:rsidRDefault="00BD6315" w:rsidP="00CB56BC">
            <w:pPr>
              <w:rPr>
                <w:rFonts w:ascii="Calibri" w:hAnsi="Calibri" w:cs="Calibri"/>
                <w:color w:val="000000"/>
                <w:sz w:val="20"/>
                <w:szCs w:val="20"/>
              </w:rPr>
            </w:pPr>
            <w:r w:rsidRPr="00CB56BC">
              <w:rPr>
                <w:rFonts w:ascii="Calibri" w:hAnsi="Calibri" w:cs="Calibri"/>
                <w:color w:val="000000"/>
                <w:sz w:val="20"/>
                <w:szCs w:val="20"/>
              </w:rPr>
              <w:t>CALD</w:t>
            </w:r>
          </w:p>
        </w:tc>
        <w:tc>
          <w:tcPr>
            <w:tcW w:w="7064" w:type="dxa"/>
            <w:tcBorders>
              <w:top w:val="nil"/>
              <w:left w:val="nil"/>
              <w:bottom w:val="nil"/>
              <w:right w:val="nil"/>
            </w:tcBorders>
            <w:shd w:val="clear" w:color="auto" w:fill="auto"/>
            <w:noWrap/>
            <w:hideMark/>
          </w:tcPr>
          <w:p w14:paraId="367267AC" w14:textId="77777777" w:rsidR="00BD6315" w:rsidRPr="00CB56BC" w:rsidRDefault="00BD6315" w:rsidP="00BD6315">
            <w:pPr>
              <w:rPr>
                <w:rFonts w:ascii="Calibri" w:hAnsi="Calibri" w:cs="Calibri"/>
                <w:color w:val="000000"/>
                <w:sz w:val="20"/>
                <w:szCs w:val="20"/>
              </w:rPr>
            </w:pPr>
            <w:r w:rsidRPr="00CB56BC">
              <w:rPr>
                <w:rFonts w:ascii="Calibri" w:hAnsi="Calibri" w:cs="Calibri"/>
                <w:color w:val="000000"/>
                <w:sz w:val="20"/>
                <w:szCs w:val="20"/>
              </w:rPr>
              <w:t>Culturally and Linguistically Diverse</w:t>
            </w:r>
          </w:p>
        </w:tc>
      </w:tr>
      <w:tr w:rsidR="00BD6315" w:rsidRPr="00CB56BC" w14:paraId="69E28C33" w14:textId="77777777" w:rsidTr="001354DC">
        <w:trPr>
          <w:trHeight w:val="300"/>
        </w:trPr>
        <w:tc>
          <w:tcPr>
            <w:tcW w:w="1950" w:type="dxa"/>
            <w:tcBorders>
              <w:top w:val="nil"/>
              <w:left w:val="nil"/>
              <w:bottom w:val="nil"/>
              <w:right w:val="nil"/>
            </w:tcBorders>
            <w:shd w:val="clear" w:color="auto" w:fill="auto"/>
            <w:noWrap/>
            <w:hideMark/>
          </w:tcPr>
          <w:p w14:paraId="41DC2B0B" w14:textId="77777777" w:rsidR="00BD6315" w:rsidRPr="00CB56BC" w:rsidRDefault="00BD6315" w:rsidP="00CB56BC">
            <w:pPr>
              <w:rPr>
                <w:rFonts w:ascii="Calibri" w:hAnsi="Calibri" w:cs="Calibri"/>
                <w:color w:val="000000"/>
                <w:sz w:val="20"/>
                <w:szCs w:val="20"/>
              </w:rPr>
            </w:pPr>
            <w:r w:rsidRPr="00CB56BC">
              <w:rPr>
                <w:rFonts w:ascii="Calibri" w:hAnsi="Calibri" w:cs="Calibri"/>
                <w:color w:val="000000"/>
                <w:sz w:val="20"/>
                <w:szCs w:val="20"/>
              </w:rPr>
              <w:t>CDC</w:t>
            </w:r>
          </w:p>
        </w:tc>
        <w:tc>
          <w:tcPr>
            <w:tcW w:w="7064" w:type="dxa"/>
            <w:tcBorders>
              <w:top w:val="nil"/>
              <w:left w:val="nil"/>
              <w:bottom w:val="nil"/>
              <w:right w:val="nil"/>
            </w:tcBorders>
            <w:shd w:val="clear" w:color="auto" w:fill="auto"/>
            <w:noWrap/>
            <w:hideMark/>
          </w:tcPr>
          <w:p w14:paraId="366C0AAE" w14:textId="77777777" w:rsidR="00BD6315" w:rsidRPr="00CB56BC" w:rsidRDefault="00BD6315" w:rsidP="00BD6315">
            <w:pPr>
              <w:rPr>
                <w:rFonts w:ascii="Calibri" w:hAnsi="Calibri" w:cs="Calibri"/>
                <w:color w:val="000000"/>
                <w:sz w:val="20"/>
                <w:szCs w:val="20"/>
              </w:rPr>
            </w:pPr>
            <w:r>
              <w:rPr>
                <w:rFonts w:ascii="Calibri" w:hAnsi="Calibri" w:cs="Calibri"/>
                <w:color w:val="000000"/>
                <w:sz w:val="20"/>
                <w:szCs w:val="20"/>
              </w:rPr>
              <w:t>Consumer Directed Care</w:t>
            </w:r>
          </w:p>
        </w:tc>
      </w:tr>
      <w:tr w:rsidR="00E95F83" w:rsidRPr="000B42C6" w14:paraId="5F1FC38D" w14:textId="77777777" w:rsidTr="000613DF">
        <w:trPr>
          <w:trHeight w:val="300"/>
        </w:trPr>
        <w:tc>
          <w:tcPr>
            <w:tcW w:w="1950" w:type="dxa"/>
            <w:tcBorders>
              <w:top w:val="nil"/>
              <w:left w:val="nil"/>
              <w:bottom w:val="nil"/>
              <w:right w:val="nil"/>
            </w:tcBorders>
            <w:shd w:val="clear" w:color="auto" w:fill="auto"/>
            <w:noWrap/>
          </w:tcPr>
          <w:p w14:paraId="7194884C" w14:textId="77777777" w:rsidR="00E95F83" w:rsidRPr="000B42C6" w:rsidRDefault="00E95F83" w:rsidP="00AD2062">
            <w:pPr>
              <w:rPr>
                <w:rFonts w:ascii="Calibri" w:hAnsi="Calibri" w:cs="Calibri"/>
                <w:color w:val="000000"/>
                <w:sz w:val="20"/>
                <w:szCs w:val="20"/>
              </w:rPr>
            </w:pPr>
            <w:r w:rsidRPr="000B42C6">
              <w:rPr>
                <w:rFonts w:ascii="Calibri" w:hAnsi="Calibri" w:cs="Calibri"/>
                <w:color w:val="000000"/>
                <w:sz w:val="20"/>
                <w:szCs w:val="20"/>
              </w:rPr>
              <w:t>DEMMI</w:t>
            </w:r>
          </w:p>
        </w:tc>
        <w:tc>
          <w:tcPr>
            <w:tcW w:w="7064" w:type="dxa"/>
            <w:tcBorders>
              <w:top w:val="nil"/>
              <w:left w:val="nil"/>
              <w:bottom w:val="nil"/>
              <w:right w:val="nil"/>
            </w:tcBorders>
            <w:shd w:val="clear" w:color="auto" w:fill="auto"/>
            <w:noWrap/>
          </w:tcPr>
          <w:p w14:paraId="6A3DC79D" w14:textId="77777777" w:rsidR="00E95F83" w:rsidRPr="000B42C6" w:rsidRDefault="00E95F83" w:rsidP="00AD2062">
            <w:pPr>
              <w:rPr>
                <w:rFonts w:ascii="Calibri" w:hAnsi="Calibri" w:cs="Calibri"/>
                <w:color w:val="000000"/>
                <w:sz w:val="20"/>
                <w:szCs w:val="20"/>
              </w:rPr>
            </w:pPr>
            <w:r w:rsidRPr="000B42C6">
              <w:rPr>
                <w:rFonts w:ascii="Calibri" w:hAnsi="Calibri" w:cs="Calibri"/>
                <w:color w:val="000000"/>
                <w:sz w:val="20"/>
                <w:szCs w:val="20"/>
              </w:rPr>
              <w:t>De Morton Mobility Index</w:t>
            </w:r>
          </w:p>
        </w:tc>
      </w:tr>
      <w:tr w:rsidR="00BD6315" w:rsidRPr="00CB56BC" w14:paraId="4FA585E5" w14:textId="77777777" w:rsidTr="001354DC">
        <w:trPr>
          <w:trHeight w:val="300"/>
        </w:trPr>
        <w:tc>
          <w:tcPr>
            <w:tcW w:w="1950" w:type="dxa"/>
            <w:tcBorders>
              <w:top w:val="nil"/>
              <w:left w:val="nil"/>
              <w:bottom w:val="nil"/>
              <w:right w:val="nil"/>
            </w:tcBorders>
            <w:shd w:val="clear" w:color="auto" w:fill="auto"/>
            <w:noWrap/>
            <w:hideMark/>
          </w:tcPr>
          <w:p w14:paraId="781EC4BB" w14:textId="22D15111" w:rsidR="00BD6315" w:rsidRPr="00CB56BC" w:rsidRDefault="00BD6315" w:rsidP="00CB56BC">
            <w:pPr>
              <w:rPr>
                <w:rFonts w:ascii="Calibri" w:hAnsi="Calibri" w:cs="Calibri"/>
                <w:color w:val="000000"/>
                <w:sz w:val="20"/>
                <w:szCs w:val="20"/>
              </w:rPr>
            </w:pPr>
            <w:r>
              <w:rPr>
                <w:rFonts w:ascii="Calibri" w:hAnsi="Calibri" w:cs="Calibri"/>
                <w:color w:val="000000"/>
                <w:sz w:val="20"/>
                <w:szCs w:val="20"/>
              </w:rPr>
              <w:t>The Department</w:t>
            </w:r>
          </w:p>
        </w:tc>
        <w:tc>
          <w:tcPr>
            <w:tcW w:w="7064" w:type="dxa"/>
            <w:tcBorders>
              <w:top w:val="nil"/>
              <w:left w:val="nil"/>
              <w:bottom w:val="nil"/>
              <w:right w:val="nil"/>
            </w:tcBorders>
            <w:shd w:val="clear" w:color="auto" w:fill="auto"/>
            <w:noWrap/>
            <w:hideMark/>
          </w:tcPr>
          <w:p w14:paraId="4F6E259B" w14:textId="531FBA83" w:rsidR="00BD6315" w:rsidRPr="00CB56BC" w:rsidRDefault="00BD6315" w:rsidP="00BD6315">
            <w:pPr>
              <w:rPr>
                <w:rFonts w:ascii="Calibri" w:hAnsi="Calibri" w:cs="Calibri"/>
                <w:color w:val="000000"/>
                <w:sz w:val="20"/>
                <w:szCs w:val="20"/>
              </w:rPr>
            </w:pPr>
            <w:r>
              <w:rPr>
                <w:rFonts w:ascii="Calibri" w:hAnsi="Calibri" w:cs="Calibri"/>
                <w:color w:val="000000"/>
                <w:sz w:val="20"/>
                <w:szCs w:val="20"/>
              </w:rPr>
              <w:t xml:space="preserve">Commonwealth </w:t>
            </w:r>
            <w:r w:rsidRPr="00CB56BC">
              <w:rPr>
                <w:rFonts w:ascii="Calibri" w:hAnsi="Calibri" w:cs="Calibri"/>
                <w:color w:val="000000"/>
                <w:sz w:val="20"/>
                <w:szCs w:val="20"/>
              </w:rPr>
              <w:t>Department of Health</w:t>
            </w:r>
          </w:p>
        </w:tc>
      </w:tr>
      <w:tr w:rsidR="00BD6315" w:rsidRPr="00CB56BC" w14:paraId="5BBBA75E" w14:textId="77777777" w:rsidTr="001354DC">
        <w:trPr>
          <w:trHeight w:val="300"/>
        </w:trPr>
        <w:tc>
          <w:tcPr>
            <w:tcW w:w="1950" w:type="dxa"/>
            <w:tcBorders>
              <w:top w:val="nil"/>
              <w:left w:val="nil"/>
              <w:bottom w:val="nil"/>
              <w:right w:val="nil"/>
            </w:tcBorders>
            <w:shd w:val="clear" w:color="auto" w:fill="auto"/>
            <w:noWrap/>
            <w:hideMark/>
          </w:tcPr>
          <w:p w14:paraId="1C0E9330" w14:textId="77777777" w:rsidR="00BD6315" w:rsidRPr="00CB56BC" w:rsidRDefault="00BD6315" w:rsidP="00CB56BC">
            <w:pPr>
              <w:rPr>
                <w:rFonts w:ascii="Calibri" w:hAnsi="Calibri" w:cs="Calibri"/>
                <w:color w:val="000000"/>
                <w:sz w:val="20"/>
                <w:szCs w:val="20"/>
              </w:rPr>
            </w:pPr>
            <w:r w:rsidRPr="00CB56BC">
              <w:rPr>
                <w:rFonts w:ascii="Calibri" w:hAnsi="Calibri" w:cs="Calibri"/>
                <w:color w:val="000000"/>
                <w:sz w:val="20"/>
                <w:szCs w:val="20"/>
              </w:rPr>
              <w:t>FIM</w:t>
            </w:r>
          </w:p>
        </w:tc>
        <w:tc>
          <w:tcPr>
            <w:tcW w:w="7064" w:type="dxa"/>
            <w:tcBorders>
              <w:top w:val="nil"/>
              <w:left w:val="nil"/>
              <w:bottom w:val="nil"/>
              <w:right w:val="nil"/>
            </w:tcBorders>
            <w:shd w:val="clear" w:color="auto" w:fill="auto"/>
            <w:noWrap/>
            <w:hideMark/>
          </w:tcPr>
          <w:p w14:paraId="7631489D" w14:textId="77777777" w:rsidR="00BD6315" w:rsidRPr="00CB56BC" w:rsidRDefault="00BD6315" w:rsidP="00BD6315">
            <w:pPr>
              <w:rPr>
                <w:rFonts w:ascii="Calibri" w:hAnsi="Calibri" w:cs="Calibri"/>
                <w:color w:val="000000"/>
                <w:sz w:val="20"/>
                <w:szCs w:val="20"/>
              </w:rPr>
            </w:pPr>
            <w:r w:rsidRPr="00CB56BC">
              <w:rPr>
                <w:rFonts w:ascii="Calibri" w:hAnsi="Calibri" w:cs="Calibri"/>
                <w:color w:val="000000"/>
                <w:sz w:val="20"/>
                <w:szCs w:val="20"/>
              </w:rPr>
              <w:t>Functional Independence Measure</w:t>
            </w:r>
          </w:p>
        </w:tc>
      </w:tr>
      <w:tr w:rsidR="001354DC" w:rsidRPr="00CB56BC" w14:paraId="6EB6D828" w14:textId="77777777" w:rsidTr="000613DF">
        <w:trPr>
          <w:trHeight w:val="300"/>
        </w:trPr>
        <w:tc>
          <w:tcPr>
            <w:tcW w:w="1950" w:type="dxa"/>
            <w:tcBorders>
              <w:top w:val="nil"/>
              <w:left w:val="nil"/>
              <w:bottom w:val="nil"/>
              <w:right w:val="nil"/>
            </w:tcBorders>
            <w:shd w:val="clear" w:color="auto" w:fill="auto"/>
            <w:noWrap/>
          </w:tcPr>
          <w:p w14:paraId="11D5EB7F" w14:textId="77777777" w:rsidR="001354DC" w:rsidRDefault="001354DC" w:rsidP="00AD2062">
            <w:pPr>
              <w:rPr>
                <w:rFonts w:ascii="Calibri" w:hAnsi="Calibri" w:cs="Calibri"/>
                <w:color w:val="000000"/>
                <w:sz w:val="20"/>
                <w:szCs w:val="20"/>
              </w:rPr>
            </w:pPr>
            <w:r>
              <w:rPr>
                <w:rFonts w:ascii="Calibri" w:hAnsi="Calibri" w:cs="Calibri"/>
                <w:color w:val="000000"/>
                <w:sz w:val="20"/>
                <w:szCs w:val="20"/>
              </w:rPr>
              <w:t>NPI-NH</w:t>
            </w:r>
          </w:p>
        </w:tc>
        <w:tc>
          <w:tcPr>
            <w:tcW w:w="7064" w:type="dxa"/>
            <w:tcBorders>
              <w:top w:val="nil"/>
              <w:left w:val="nil"/>
              <w:bottom w:val="nil"/>
              <w:right w:val="nil"/>
            </w:tcBorders>
            <w:shd w:val="clear" w:color="auto" w:fill="auto"/>
            <w:noWrap/>
          </w:tcPr>
          <w:p w14:paraId="56B812D2" w14:textId="77777777" w:rsidR="001354DC" w:rsidRDefault="001354DC" w:rsidP="00AD2062">
            <w:pPr>
              <w:rPr>
                <w:rFonts w:ascii="Calibri" w:hAnsi="Calibri" w:cs="Calibri"/>
                <w:color w:val="000000"/>
                <w:sz w:val="20"/>
                <w:szCs w:val="20"/>
              </w:rPr>
            </w:pPr>
            <w:r>
              <w:rPr>
                <w:rFonts w:ascii="Calibri" w:hAnsi="Calibri" w:cs="Calibri"/>
                <w:color w:val="000000"/>
                <w:sz w:val="20"/>
                <w:szCs w:val="20"/>
              </w:rPr>
              <w:t>Neuropsychiatric Inventory – Nursing Home</w:t>
            </w:r>
          </w:p>
        </w:tc>
      </w:tr>
      <w:tr w:rsidR="00E95F83" w:rsidRPr="000B42C6" w14:paraId="4291CC02" w14:textId="77777777" w:rsidTr="000613DF">
        <w:trPr>
          <w:trHeight w:val="300"/>
        </w:trPr>
        <w:tc>
          <w:tcPr>
            <w:tcW w:w="1950" w:type="dxa"/>
            <w:tcBorders>
              <w:top w:val="nil"/>
              <w:left w:val="nil"/>
              <w:bottom w:val="nil"/>
              <w:right w:val="nil"/>
            </w:tcBorders>
            <w:shd w:val="clear" w:color="auto" w:fill="auto"/>
            <w:noWrap/>
          </w:tcPr>
          <w:p w14:paraId="2F35CD78" w14:textId="77777777" w:rsidR="00E95F83" w:rsidRPr="000B42C6" w:rsidRDefault="00E95F83" w:rsidP="00AD2062">
            <w:pPr>
              <w:rPr>
                <w:rFonts w:ascii="Calibri" w:hAnsi="Calibri" w:cs="Calibri"/>
                <w:color w:val="000000"/>
                <w:sz w:val="20"/>
                <w:szCs w:val="20"/>
              </w:rPr>
            </w:pPr>
            <w:r w:rsidRPr="000B42C6">
              <w:rPr>
                <w:rFonts w:ascii="Calibri" w:hAnsi="Calibri" w:cs="Calibri"/>
                <w:color w:val="000000"/>
                <w:sz w:val="20"/>
                <w:szCs w:val="20"/>
              </w:rPr>
              <w:t>RUCS</w:t>
            </w:r>
          </w:p>
        </w:tc>
        <w:tc>
          <w:tcPr>
            <w:tcW w:w="7064" w:type="dxa"/>
            <w:tcBorders>
              <w:top w:val="nil"/>
              <w:left w:val="nil"/>
              <w:bottom w:val="nil"/>
              <w:right w:val="nil"/>
            </w:tcBorders>
            <w:shd w:val="clear" w:color="auto" w:fill="auto"/>
            <w:noWrap/>
          </w:tcPr>
          <w:p w14:paraId="3E183ABA" w14:textId="77777777" w:rsidR="00E95F83" w:rsidRPr="000B42C6" w:rsidRDefault="00E95F83" w:rsidP="00E95F83">
            <w:pPr>
              <w:rPr>
                <w:rFonts w:ascii="Calibri" w:hAnsi="Calibri" w:cs="Calibri"/>
                <w:color w:val="000000"/>
                <w:sz w:val="20"/>
                <w:szCs w:val="20"/>
              </w:rPr>
            </w:pPr>
            <w:r w:rsidRPr="000B42C6">
              <w:rPr>
                <w:rFonts w:ascii="Calibri" w:hAnsi="Calibri" w:cs="Calibri"/>
                <w:color w:val="000000"/>
                <w:sz w:val="20"/>
                <w:szCs w:val="20"/>
              </w:rPr>
              <w:t>Resource Utilisation and Classification Study</w:t>
            </w:r>
          </w:p>
        </w:tc>
      </w:tr>
      <w:tr w:rsidR="00BD6315" w:rsidRPr="00CB56BC" w14:paraId="4998D30E" w14:textId="77777777" w:rsidTr="000613DF">
        <w:trPr>
          <w:trHeight w:val="300"/>
        </w:trPr>
        <w:tc>
          <w:tcPr>
            <w:tcW w:w="1950" w:type="dxa"/>
            <w:tcBorders>
              <w:top w:val="nil"/>
              <w:left w:val="nil"/>
              <w:bottom w:val="nil"/>
              <w:right w:val="nil"/>
            </w:tcBorders>
            <w:shd w:val="clear" w:color="auto" w:fill="auto"/>
            <w:noWrap/>
          </w:tcPr>
          <w:p w14:paraId="1E4DEA03" w14:textId="77777777" w:rsidR="00BD6315" w:rsidRDefault="00BD6315" w:rsidP="00AD2062">
            <w:pPr>
              <w:rPr>
                <w:rFonts w:ascii="Calibri" w:hAnsi="Calibri" w:cs="Calibri"/>
                <w:color w:val="000000"/>
                <w:sz w:val="20"/>
                <w:szCs w:val="20"/>
              </w:rPr>
            </w:pPr>
            <w:r>
              <w:rPr>
                <w:rFonts w:ascii="Calibri" w:hAnsi="Calibri" w:cs="Calibri"/>
                <w:color w:val="000000"/>
                <w:sz w:val="20"/>
                <w:szCs w:val="20"/>
              </w:rPr>
              <w:t>RUG-ADL</w:t>
            </w:r>
          </w:p>
        </w:tc>
        <w:tc>
          <w:tcPr>
            <w:tcW w:w="7064" w:type="dxa"/>
            <w:tcBorders>
              <w:top w:val="nil"/>
              <w:left w:val="nil"/>
              <w:bottom w:val="nil"/>
              <w:right w:val="nil"/>
            </w:tcBorders>
            <w:shd w:val="clear" w:color="auto" w:fill="auto"/>
            <w:noWrap/>
          </w:tcPr>
          <w:p w14:paraId="2E172951" w14:textId="2B8CF038" w:rsidR="00BD6315" w:rsidRDefault="00BD6315" w:rsidP="00BD6315">
            <w:pPr>
              <w:rPr>
                <w:rFonts w:ascii="Calibri" w:hAnsi="Calibri" w:cs="Calibri"/>
                <w:color w:val="000000"/>
                <w:sz w:val="20"/>
                <w:szCs w:val="20"/>
              </w:rPr>
            </w:pPr>
            <w:r>
              <w:rPr>
                <w:rFonts w:ascii="Calibri" w:hAnsi="Calibri" w:cs="Calibri"/>
                <w:color w:val="000000"/>
                <w:sz w:val="20"/>
                <w:szCs w:val="20"/>
              </w:rPr>
              <w:t>Resource Utilisation Groups – Activities of Daily Living</w:t>
            </w:r>
          </w:p>
        </w:tc>
      </w:tr>
      <w:tr w:rsidR="00BD6315" w:rsidRPr="00CB56BC" w14:paraId="0E12928E" w14:textId="77777777" w:rsidTr="001354DC">
        <w:trPr>
          <w:trHeight w:val="300"/>
        </w:trPr>
        <w:tc>
          <w:tcPr>
            <w:tcW w:w="1950" w:type="dxa"/>
            <w:tcBorders>
              <w:top w:val="nil"/>
              <w:left w:val="nil"/>
              <w:bottom w:val="nil"/>
              <w:right w:val="nil"/>
            </w:tcBorders>
            <w:shd w:val="clear" w:color="auto" w:fill="auto"/>
            <w:noWrap/>
            <w:hideMark/>
          </w:tcPr>
          <w:p w14:paraId="7BAC6E4D" w14:textId="77777777" w:rsidR="00BD6315" w:rsidRPr="00CB56BC" w:rsidRDefault="00BD6315" w:rsidP="00CB56BC">
            <w:pPr>
              <w:rPr>
                <w:rFonts w:ascii="Calibri" w:hAnsi="Calibri" w:cs="Calibri"/>
                <w:color w:val="000000"/>
                <w:sz w:val="20"/>
                <w:szCs w:val="20"/>
              </w:rPr>
            </w:pPr>
            <w:r w:rsidRPr="00CB56BC">
              <w:rPr>
                <w:rFonts w:ascii="Calibri" w:hAnsi="Calibri" w:cs="Calibri"/>
                <w:color w:val="000000"/>
                <w:sz w:val="20"/>
                <w:szCs w:val="20"/>
              </w:rPr>
              <w:t>RVU</w:t>
            </w:r>
          </w:p>
        </w:tc>
        <w:tc>
          <w:tcPr>
            <w:tcW w:w="7064" w:type="dxa"/>
            <w:tcBorders>
              <w:top w:val="nil"/>
              <w:left w:val="nil"/>
              <w:bottom w:val="nil"/>
              <w:right w:val="nil"/>
            </w:tcBorders>
            <w:shd w:val="clear" w:color="auto" w:fill="auto"/>
            <w:noWrap/>
            <w:hideMark/>
          </w:tcPr>
          <w:p w14:paraId="21106C2C" w14:textId="77777777" w:rsidR="00BD6315" w:rsidRPr="00CB56BC" w:rsidRDefault="00BD6315" w:rsidP="00BD6315">
            <w:pPr>
              <w:rPr>
                <w:rFonts w:ascii="Calibri" w:hAnsi="Calibri" w:cs="Calibri"/>
                <w:color w:val="000000"/>
                <w:sz w:val="20"/>
                <w:szCs w:val="20"/>
              </w:rPr>
            </w:pPr>
            <w:r w:rsidRPr="00CB56BC">
              <w:rPr>
                <w:rFonts w:ascii="Calibri" w:hAnsi="Calibri" w:cs="Calibri"/>
                <w:color w:val="000000"/>
                <w:sz w:val="20"/>
                <w:szCs w:val="20"/>
              </w:rPr>
              <w:t>Relative Value Unit</w:t>
            </w:r>
          </w:p>
        </w:tc>
      </w:tr>
    </w:tbl>
    <w:p w14:paraId="51971D4A" w14:textId="77777777" w:rsidR="004522F7" w:rsidRDefault="004522F7">
      <w:r>
        <w:br w:type="page"/>
      </w:r>
    </w:p>
    <w:p w14:paraId="2D4B89D5" w14:textId="77777777" w:rsidR="004522F7" w:rsidRDefault="004522F7" w:rsidP="00B405EF">
      <w:pPr>
        <w:pStyle w:val="Heading1"/>
        <w:numPr>
          <w:ilvl w:val="0"/>
          <w:numId w:val="0"/>
        </w:numPr>
        <w:spacing w:after="120"/>
      </w:pPr>
      <w:bookmarkStart w:id="17" w:name="_Toc531178377"/>
      <w:bookmarkStart w:id="18" w:name="_Toc2005234"/>
      <w:r w:rsidRPr="00FA4CAD">
        <w:lastRenderedPageBreak/>
        <w:t>Glossary of Terms</w:t>
      </w:r>
      <w:bookmarkEnd w:id="17"/>
      <w:bookmarkEnd w:id="1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lossary of Terms"/>
        <w:tblDescription w:val="This table is a list of terms used throughout the Resource Utilisation Classification Study (RUCS) report. This table is to be read left to right, top to bottom (term followed by description)."/>
      </w:tblPr>
      <w:tblGrid>
        <w:gridCol w:w="2802"/>
        <w:gridCol w:w="6441"/>
      </w:tblGrid>
      <w:tr w:rsidR="004522F7" w:rsidRPr="009A67A9" w14:paraId="74517FCE" w14:textId="77777777" w:rsidTr="009A67A9">
        <w:trPr>
          <w:tblHeader/>
        </w:trPr>
        <w:tc>
          <w:tcPr>
            <w:tcW w:w="2802" w:type="dxa"/>
          </w:tcPr>
          <w:p w14:paraId="45F38413" w14:textId="0CFC18E1" w:rsidR="004522F7" w:rsidRPr="009A67A9" w:rsidRDefault="009A67A9" w:rsidP="00CD419A">
            <w:pPr>
              <w:spacing w:beforeLines="40" w:before="96" w:afterLines="40" w:after="96" w:line="276" w:lineRule="auto"/>
              <w:rPr>
                <w:b/>
                <w:sz w:val="20"/>
                <w:szCs w:val="20"/>
              </w:rPr>
            </w:pPr>
            <w:r w:rsidRPr="009A67A9">
              <w:rPr>
                <w:b/>
                <w:sz w:val="20"/>
                <w:szCs w:val="20"/>
              </w:rPr>
              <w:t>Term</w:t>
            </w:r>
          </w:p>
        </w:tc>
        <w:tc>
          <w:tcPr>
            <w:tcW w:w="6441" w:type="dxa"/>
          </w:tcPr>
          <w:p w14:paraId="2A1EA29F" w14:textId="5A97F294" w:rsidR="004522F7" w:rsidRPr="009A67A9" w:rsidRDefault="009A67A9" w:rsidP="004522F7">
            <w:pPr>
              <w:spacing w:beforeLines="40" w:before="96" w:afterLines="40" w:after="96" w:line="276" w:lineRule="auto"/>
              <w:rPr>
                <w:b/>
                <w:sz w:val="20"/>
                <w:szCs w:val="20"/>
              </w:rPr>
            </w:pPr>
            <w:r w:rsidRPr="009A67A9">
              <w:rPr>
                <w:b/>
                <w:sz w:val="20"/>
                <w:szCs w:val="20"/>
              </w:rPr>
              <w:t>Description</w:t>
            </w:r>
          </w:p>
        </w:tc>
      </w:tr>
      <w:tr w:rsidR="009A67A9" w:rsidRPr="00433D5D" w14:paraId="58A45FDE" w14:textId="77777777" w:rsidTr="00466287">
        <w:tc>
          <w:tcPr>
            <w:tcW w:w="2802" w:type="dxa"/>
          </w:tcPr>
          <w:p w14:paraId="2F6B2DE2" w14:textId="77777777" w:rsidR="009A67A9" w:rsidRPr="00433D5D" w:rsidRDefault="009A67A9" w:rsidP="00466287">
            <w:pPr>
              <w:spacing w:beforeLines="40" w:before="96" w:afterLines="40" w:after="96" w:line="276" w:lineRule="auto"/>
              <w:rPr>
                <w:sz w:val="20"/>
                <w:szCs w:val="20"/>
              </w:rPr>
            </w:pPr>
            <w:r w:rsidRPr="00433D5D">
              <w:rPr>
                <w:sz w:val="20"/>
                <w:szCs w:val="20"/>
              </w:rPr>
              <w:t>Aged Care Assessment Team</w:t>
            </w:r>
            <w:r>
              <w:rPr>
                <w:sz w:val="20"/>
                <w:szCs w:val="20"/>
              </w:rPr>
              <w:t xml:space="preserve"> (ACAT)</w:t>
            </w:r>
          </w:p>
        </w:tc>
        <w:tc>
          <w:tcPr>
            <w:tcW w:w="6441" w:type="dxa"/>
          </w:tcPr>
          <w:p w14:paraId="3DCC1091" w14:textId="77777777" w:rsidR="009A67A9" w:rsidRPr="00433D5D" w:rsidRDefault="009A67A9" w:rsidP="00466287">
            <w:pPr>
              <w:spacing w:beforeLines="40" w:before="96" w:afterLines="40" w:after="96" w:line="276" w:lineRule="auto"/>
              <w:rPr>
                <w:sz w:val="20"/>
                <w:szCs w:val="20"/>
              </w:rPr>
            </w:pPr>
            <w:r w:rsidRPr="00433D5D">
              <w:rPr>
                <w:sz w:val="20"/>
                <w:szCs w:val="20"/>
              </w:rPr>
              <w:t>A multidisciplinary team of health professionals responsible for determining eligibility for entry to residential aged care and other types of care under the Aged Care Act 1997. In Victoria this function is carried out by the Aged Care Assessment Service.</w:t>
            </w:r>
          </w:p>
        </w:tc>
      </w:tr>
      <w:tr w:rsidR="004522F7" w:rsidRPr="00433D5D" w14:paraId="72A85C55" w14:textId="77777777" w:rsidTr="00682906">
        <w:tc>
          <w:tcPr>
            <w:tcW w:w="2802" w:type="dxa"/>
          </w:tcPr>
          <w:p w14:paraId="75A0FE10" w14:textId="49169DED" w:rsidR="004522F7" w:rsidRPr="00433D5D" w:rsidRDefault="004522F7" w:rsidP="00CD419A">
            <w:pPr>
              <w:spacing w:beforeLines="40" w:before="96" w:afterLines="40" w:after="96" w:line="276" w:lineRule="auto"/>
              <w:rPr>
                <w:sz w:val="20"/>
                <w:szCs w:val="20"/>
              </w:rPr>
            </w:pPr>
            <w:r w:rsidRPr="00433D5D">
              <w:rPr>
                <w:sz w:val="20"/>
                <w:szCs w:val="20"/>
              </w:rPr>
              <w:t>Aged Care Funding Instrument</w:t>
            </w:r>
            <w:r w:rsidR="000E22B5">
              <w:rPr>
                <w:sz w:val="20"/>
                <w:szCs w:val="20"/>
              </w:rPr>
              <w:t xml:space="preserve"> </w:t>
            </w:r>
            <w:r w:rsidR="00CD419A">
              <w:rPr>
                <w:sz w:val="20"/>
                <w:szCs w:val="20"/>
              </w:rPr>
              <w:t>(</w:t>
            </w:r>
            <w:r w:rsidR="000E22B5">
              <w:rPr>
                <w:sz w:val="20"/>
                <w:szCs w:val="20"/>
              </w:rPr>
              <w:t>ACFI</w:t>
            </w:r>
            <w:r w:rsidR="00CD419A">
              <w:rPr>
                <w:sz w:val="20"/>
                <w:szCs w:val="20"/>
              </w:rPr>
              <w:t>)</w:t>
            </w:r>
          </w:p>
        </w:tc>
        <w:tc>
          <w:tcPr>
            <w:tcW w:w="6441" w:type="dxa"/>
          </w:tcPr>
          <w:p w14:paraId="3C3FB24F" w14:textId="77777777" w:rsidR="004522F7" w:rsidRPr="00433D5D" w:rsidRDefault="004B08CE" w:rsidP="004522F7">
            <w:pPr>
              <w:spacing w:beforeLines="40" w:before="96" w:afterLines="40" w:after="96" w:line="276" w:lineRule="auto"/>
              <w:rPr>
                <w:sz w:val="20"/>
                <w:szCs w:val="20"/>
              </w:rPr>
            </w:pPr>
            <w:r>
              <w:rPr>
                <w:sz w:val="20"/>
                <w:szCs w:val="20"/>
              </w:rPr>
              <w:t>The existing</w:t>
            </w:r>
            <w:r w:rsidRPr="00433D5D">
              <w:rPr>
                <w:sz w:val="20"/>
                <w:szCs w:val="20"/>
              </w:rPr>
              <w:t xml:space="preserve"> </w:t>
            </w:r>
            <w:r>
              <w:rPr>
                <w:sz w:val="20"/>
                <w:szCs w:val="20"/>
              </w:rPr>
              <w:t>resource allocation instrument used to determine care subsidies in Australian residential aged care.</w:t>
            </w:r>
          </w:p>
        </w:tc>
      </w:tr>
      <w:tr w:rsidR="004522F7" w:rsidRPr="00433D5D" w14:paraId="011E14E8" w14:textId="77777777" w:rsidTr="00682906">
        <w:tc>
          <w:tcPr>
            <w:tcW w:w="2802" w:type="dxa"/>
          </w:tcPr>
          <w:p w14:paraId="3FEB2EB4" w14:textId="6FC6D747" w:rsidR="004522F7" w:rsidRPr="00433D5D" w:rsidRDefault="004522F7" w:rsidP="00CD419A">
            <w:pPr>
              <w:spacing w:beforeLines="40" w:before="96" w:afterLines="40" w:after="96" w:line="276" w:lineRule="auto"/>
              <w:rPr>
                <w:sz w:val="20"/>
                <w:szCs w:val="20"/>
              </w:rPr>
            </w:pPr>
            <w:r w:rsidRPr="00433D5D">
              <w:rPr>
                <w:sz w:val="20"/>
                <w:szCs w:val="20"/>
              </w:rPr>
              <w:t>Activities of daily living</w:t>
            </w:r>
            <w:r w:rsidR="000E22B5">
              <w:rPr>
                <w:sz w:val="20"/>
                <w:szCs w:val="20"/>
              </w:rPr>
              <w:t xml:space="preserve"> </w:t>
            </w:r>
            <w:r w:rsidR="00CD419A">
              <w:rPr>
                <w:sz w:val="20"/>
                <w:szCs w:val="20"/>
              </w:rPr>
              <w:t>(</w:t>
            </w:r>
            <w:r w:rsidR="000E22B5">
              <w:rPr>
                <w:sz w:val="20"/>
                <w:szCs w:val="20"/>
              </w:rPr>
              <w:t>ADLs</w:t>
            </w:r>
            <w:r w:rsidR="00CD419A">
              <w:rPr>
                <w:sz w:val="20"/>
                <w:szCs w:val="20"/>
              </w:rPr>
              <w:t>)</w:t>
            </w:r>
          </w:p>
        </w:tc>
        <w:tc>
          <w:tcPr>
            <w:tcW w:w="6441" w:type="dxa"/>
          </w:tcPr>
          <w:p w14:paraId="3C6B72C0" w14:textId="77777777" w:rsidR="004522F7" w:rsidRPr="00433D5D" w:rsidRDefault="004522F7" w:rsidP="004522F7">
            <w:pPr>
              <w:spacing w:beforeLines="40" w:before="96" w:afterLines="40" w:after="96" w:line="276" w:lineRule="auto"/>
              <w:rPr>
                <w:sz w:val="20"/>
                <w:szCs w:val="20"/>
              </w:rPr>
            </w:pPr>
            <w:r w:rsidRPr="00433D5D">
              <w:rPr>
                <w:sz w:val="20"/>
                <w:szCs w:val="20"/>
              </w:rPr>
              <w:t>Self-care tasks that include, but are not limited to: functional mobility, bathing and showering, dressing, self-feeding, personal hygiene and grooming and toilet</w:t>
            </w:r>
            <w:r>
              <w:rPr>
                <w:sz w:val="20"/>
                <w:szCs w:val="20"/>
              </w:rPr>
              <w:t>ing</w:t>
            </w:r>
            <w:r w:rsidRPr="00433D5D">
              <w:rPr>
                <w:sz w:val="20"/>
                <w:szCs w:val="20"/>
              </w:rPr>
              <w:t>.</w:t>
            </w:r>
          </w:p>
        </w:tc>
      </w:tr>
      <w:tr w:rsidR="000D56A8" w:rsidRPr="00433D5D" w14:paraId="1ADCBA25" w14:textId="77777777" w:rsidTr="00682906">
        <w:tc>
          <w:tcPr>
            <w:tcW w:w="2802" w:type="dxa"/>
          </w:tcPr>
          <w:p w14:paraId="1CF08922" w14:textId="20DDE6B9" w:rsidR="000D56A8" w:rsidRPr="00433D5D" w:rsidRDefault="000D56A8" w:rsidP="004522F7">
            <w:pPr>
              <w:spacing w:beforeLines="40" w:before="96" w:afterLines="40" w:after="96" w:line="276" w:lineRule="auto"/>
              <w:rPr>
                <w:sz w:val="20"/>
                <w:szCs w:val="20"/>
              </w:rPr>
            </w:pPr>
            <w:r>
              <w:rPr>
                <w:sz w:val="20"/>
                <w:szCs w:val="20"/>
              </w:rPr>
              <w:t>Australian National Aged Care Classification (AN-ACC) system</w:t>
            </w:r>
          </w:p>
        </w:tc>
        <w:tc>
          <w:tcPr>
            <w:tcW w:w="6441" w:type="dxa"/>
          </w:tcPr>
          <w:p w14:paraId="52C99818" w14:textId="6F32E6CC" w:rsidR="000D56A8" w:rsidRPr="00B55D63" w:rsidRDefault="000D56A8" w:rsidP="004522F7">
            <w:pPr>
              <w:spacing w:beforeLines="40" w:before="96" w:afterLines="40" w:after="96" w:line="276" w:lineRule="auto"/>
              <w:rPr>
                <w:sz w:val="20"/>
                <w:szCs w:val="20"/>
              </w:rPr>
            </w:pPr>
            <w:r>
              <w:rPr>
                <w:sz w:val="20"/>
                <w:szCs w:val="20"/>
              </w:rPr>
              <w:t>C</w:t>
            </w:r>
            <w:r w:rsidRPr="000D56A8">
              <w:rPr>
                <w:sz w:val="20"/>
                <w:szCs w:val="20"/>
              </w:rPr>
              <w:t xml:space="preserve">onsists of the AN-ACC assessment, AN-ACC </w:t>
            </w:r>
            <w:r>
              <w:rPr>
                <w:sz w:val="20"/>
                <w:szCs w:val="20"/>
              </w:rPr>
              <w:t xml:space="preserve">casemix </w:t>
            </w:r>
            <w:r w:rsidRPr="000D56A8">
              <w:rPr>
                <w:sz w:val="20"/>
                <w:szCs w:val="20"/>
              </w:rPr>
              <w:t xml:space="preserve">classification and </w:t>
            </w:r>
            <w:r>
              <w:rPr>
                <w:sz w:val="20"/>
                <w:szCs w:val="20"/>
              </w:rPr>
              <w:t xml:space="preserve">AN-ACC </w:t>
            </w:r>
            <w:r w:rsidRPr="000D56A8">
              <w:rPr>
                <w:sz w:val="20"/>
                <w:szCs w:val="20"/>
              </w:rPr>
              <w:t>funding model</w:t>
            </w:r>
            <w:r w:rsidR="008421D5">
              <w:rPr>
                <w:sz w:val="20"/>
                <w:szCs w:val="20"/>
              </w:rPr>
              <w:t>.</w:t>
            </w:r>
          </w:p>
        </w:tc>
      </w:tr>
      <w:tr w:rsidR="004522F7" w:rsidRPr="00433D5D" w14:paraId="40B9BDB5" w14:textId="77777777" w:rsidTr="00682906">
        <w:tc>
          <w:tcPr>
            <w:tcW w:w="2802" w:type="dxa"/>
          </w:tcPr>
          <w:p w14:paraId="7A14C3FF" w14:textId="77777777" w:rsidR="004522F7" w:rsidRPr="00433D5D" w:rsidRDefault="004522F7" w:rsidP="004522F7">
            <w:pPr>
              <w:spacing w:beforeLines="40" w:before="96" w:afterLines="40" w:after="96" w:line="276" w:lineRule="auto"/>
              <w:rPr>
                <w:sz w:val="20"/>
                <w:szCs w:val="20"/>
              </w:rPr>
            </w:pPr>
            <w:r w:rsidRPr="00433D5D">
              <w:rPr>
                <w:sz w:val="20"/>
                <w:szCs w:val="20"/>
              </w:rPr>
              <w:t>Casemix</w:t>
            </w:r>
          </w:p>
        </w:tc>
        <w:tc>
          <w:tcPr>
            <w:tcW w:w="6441" w:type="dxa"/>
          </w:tcPr>
          <w:p w14:paraId="09B004ED" w14:textId="77777777" w:rsidR="004522F7" w:rsidRPr="00433D5D" w:rsidRDefault="004B08CE" w:rsidP="004522F7">
            <w:pPr>
              <w:spacing w:beforeLines="40" w:before="96" w:afterLines="40" w:after="96" w:line="276" w:lineRule="auto"/>
              <w:rPr>
                <w:sz w:val="20"/>
                <w:szCs w:val="20"/>
              </w:rPr>
            </w:pPr>
            <w:r w:rsidRPr="00B55D63">
              <w:rPr>
                <w:sz w:val="20"/>
                <w:szCs w:val="20"/>
              </w:rPr>
              <w:t>A system that allocates service recipients into</w:t>
            </w:r>
            <w:r>
              <w:rPr>
                <w:sz w:val="20"/>
                <w:szCs w:val="20"/>
              </w:rPr>
              <w:t xml:space="preserve"> classes</w:t>
            </w:r>
            <w:r w:rsidRPr="00B55D63">
              <w:rPr>
                <w:sz w:val="20"/>
                <w:szCs w:val="20"/>
              </w:rPr>
              <w:t xml:space="preserve">. </w:t>
            </w:r>
            <w:r>
              <w:rPr>
                <w:sz w:val="20"/>
                <w:szCs w:val="20"/>
              </w:rPr>
              <w:t xml:space="preserve"> </w:t>
            </w:r>
            <w:r w:rsidRPr="00B55D63">
              <w:rPr>
                <w:sz w:val="20"/>
                <w:szCs w:val="20"/>
              </w:rPr>
              <w:t>Care recipients within a class will have similar clinical attributes and their care will involve similar levels of resource consumption</w:t>
            </w:r>
            <w:r>
              <w:rPr>
                <w:sz w:val="20"/>
                <w:szCs w:val="20"/>
              </w:rPr>
              <w:t>.</w:t>
            </w:r>
          </w:p>
        </w:tc>
      </w:tr>
      <w:tr w:rsidR="004522F7" w:rsidRPr="00433D5D" w14:paraId="14253E8B" w14:textId="77777777" w:rsidTr="00682906">
        <w:tc>
          <w:tcPr>
            <w:tcW w:w="2802" w:type="dxa"/>
          </w:tcPr>
          <w:p w14:paraId="30AF98C7" w14:textId="506E632B" w:rsidR="004522F7" w:rsidRPr="00433D5D" w:rsidRDefault="004522F7" w:rsidP="00CD419A">
            <w:pPr>
              <w:spacing w:beforeLines="40" w:before="96" w:afterLines="40" w:after="96" w:line="276" w:lineRule="auto"/>
              <w:rPr>
                <w:sz w:val="20"/>
                <w:szCs w:val="20"/>
              </w:rPr>
            </w:pPr>
            <w:r w:rsidRPr="00433D5D">
              <w:rPr>
                <w:sz w:val="20"/>
                <w:szCs w:val="20"/>
              </w:rPr>
              <w:t>Consumer Directed Care</w:t>
            </w:r>
            <w:r w:rsidR="000E22B5">
              <w:rPr>
                <w:sz w:val="20"/>
                <w:szCs w:val="20"/>
              </w:rPr>
              <w:t xml:space="preserve"> </w:t>
            </w:r>
            <w:r w:rsidR="00CD419A">
              <w:rPr>
                <w:sz w:val="20"/>
                <w:szCs w:val="20"/>
              </w:rPr>
              <w:t>(</w:t>
            </w:r>
            <w:r w:rsidR="000E22B5">
              <w:rPr>
                <w:sz w:val="20"/>
                <w:szCs w:val="20"/>
              </w:rPr>
              <w:t>CDC</w:t>
            </w:r>
            <w:r w:rsidR="00CD419A">
              <w:rPr>
                <w:sz w:val="20"/>
                <w:szCs w:val="20"/>
              </w:rPr>
              <w:t>)</w:t>
            </w:r>
          </w:p>
        </w:tc>
        <w:tc>
          <w:tcPr>
            <w:tcW w:w="6441" w:type="dxa"/>
          </w:tcPr>
          <w:p w14:paraId="5B84E3D5" w14:textId="77777777" w:rsidR="004522F7" w:rsidRPr="00433D5D" w:rsidRDefault="004522F7" w:rsidP="004522F7">
            <w:pPr>
              <w:spacing w:beforeLines="40" w:before="96" w:afterLines="40" w:after="96" w:line="276" w:lineRule="auto"/>
              <w:rPr>
                <w:sz w:val="20"/>
                <w:szCs w:val="20"/>
              </w:rPr>
            </w:pPr>
            <w:r w:rsidRPr="00433D5D">
              <w:rPr>
                <w:sz w:val="20"/>
                <w:szCs w:val="20"/>
              </w:rPr>
              <w:t>CDC is an approach to the planning and management of care, which allows consumers and carers more power to influence the design and delivery of the services they receive, and allows them to exercise a greater degree of choice in what services are delivered, where and when they are delivered.</w:t>
            </w:r>
          </w:p>
        </w:tc>
      </w:tr>
      <w:tr w:rsidR="004522F7" w:rsidRPr="00433D5D" w14:paraId="7A58DEFA" w14:textId="77777777" w:rsidTr="00682906">
        <w:tc>
          <w:tcPr>
            <w:tcW w:w="2802" w:type="dxa"/>
          </w:tcPr>
          <w:p w14:paraId="73DD1E01" w14:textId="77777777" w:rsidR="004522F7" w:rsidRPr="00433D5D" w:rsidRDefault="004522F7" w:rsidP="004522F7">
            <w:pPr>
              <w:spacing w:beforeLines="40" w:before="96" w:afterLines="40" w:after="96" w:line="276" w:lineRule="auto"/>
              <w:rPr>
                <w:sz w:val="20"/>
                <w:szCs w:val="20"/>
              </w:rPr>
            </w:pPr>
            <w:r w:rsidRPr="00433D5D">
              <w:rPr>
                <w:sz w:val="20"/>
                <w:szCs w:val="20"/>
              </w:rPr>
              <w:t>Dependency</w:t>
            </w:r>
          </w:p>
        </w:tc>
        <w:tc>
          <w:tcPr>
            <w:tcW w:w="6441" w:type="dxa"/>
          </w:tcPr>
          <w:p w14:paraId="04D4FF75" w14:textId="77777777" w:rsidR="004522F7" w:rsidRPr="00433D5D" w:rsidRDefault="004522F7" w:rsidP="004522F7">
            <w:pPr>
              <w:spacing w:beforeLines="40" w:before="96" w:afterLines="40" w:after="96" w:line="276" w:lineRule="auto"/>
              <w:rPr>
                <w:sz w:val="20"/>
                <w:szCs w:val="20"/>
              </w:rPr>
            </w:pPr>
            <w:r w:rsidRPr="00433D5D">
              <w:rPr>
                <w:sz w:val="20"/>
                <w:szCs w:val="20"/>
              </w:rPr>
              <w:t>A subjective, secondary need for support in the domain of care to compensate a self-care deficit.</w:t>
            </w:r>
          </w:p>
        </w:tc>
      </w:tr>
      <w:tr w:rsidR="004522F7" w:rsidRPr="00433D5D" w14:paraId="35046E3F" w14:textId="77777777" w:rsidTr="00682906">
        <w:tc>
          <w:tcPr>
            <w:tcW w:w="2802" w:type="dxa"/>
          </w:tcPr>
          <w:p w14:paraId="3E6F14DB" w14:textId="77777777" w:rsidR="004522F7" w:rsidRPr="00433D5D" w:rsidRDefault="004522F7" w:rsidP="004522F7">
            <w:pPr>
              <w:spacing w:beforeLines="40" w:before="96" w:afterLines="40" w:after="96" w:line="276" w:lineRule="auto"/>
              <w:rPr>
                <w:sz w:val="20"/>
                <w:szCs w:val="20"/>
              </w:rPr>
            </w:pPr>
            <w:r w:rsidRPr="00433D5D">
              <w:rPr>
                <w:sz w:val="20"/>
                <w:szCs w:val="20"/>
              </w:rPr>
              <w:t xml:space="preserve">Frailty </w:t>
            </w:r>
          </w:p>
        </w:tc>
        <w:tc>
          <w:tcPr>
            <w:tcW w:w="6441" w:type="dxa"/>
          </w:tcPr>
          <w:p w14:paraId="467FEF19" w14:textId="77777777" w:rsidR="004522F7" w:rsidRPr="00433D5D" w:rsidRDefault="004522F7" w:rsidP="004522F7">
            <w:pPr>
              <w:spacing w:beforeLines="40" w:before="96" w:afterLines="40" w:after="96" w:line="276" w:lineRule="auto"/>
              <w:rPr>
                <w:sz w:val="20"/>
                <w:szCs w:val="20"/>
              </w:rPr>
            </w:pPr>
            <w:r w:rsidRPr="00433D5D">
              <w:rPr>
                <w:sz w:val="20"/>
                <w:szCs w:val="20"/>
              </w:rPr>
              <w:t>A chronic condition acquired with aging and associated with adverse outcomes, such as ADL impairment, falls, institutionalisation, and death.</w:t>
            </w:r>
          </w:p>
        </w:tc>
      </w:tr>
      <w:tr w:rsidR="004522F7" w:rsidRPr="00433D5D" w14:paraId="3D556D7F" w14:textId="77777777" w:rsidTr="00682906">
        <w:tc>
          <w:tcPr>
            <w:tcW w:w="2802" w:type="dxa"/>
          </w:tcPr>
          <w:p w14:paraId="06062A67" w14:textId="13FBDF67" w:rsidR="004522F7" w:rsidRPr="00433D5D" w:rsidRDefault="004522F7" w:rsidP="00CD419A">
            <w:pPr>
              <w:spacing w:beforeLines="40" w:before="96" w:afterLines="40" w:after="96" w:line="276" w:lineRule="auto"/>
              <w:rPr>
                <w:sz w:val="20"/>
                <w:szCs w:val="20"/>
              </w:rPr>
            </w:pPr>
            <w:r w:rsidRPr="00433D5D">
              <w:rPr>
                <w:sz w:val="20"/>
                <w:szCs w:val="20"/>
              </w:rPr>
              <w:t>Functional Independence Measure</w:t>
            </w:r>
            <w:r w:rsidR="00CD419A">
              <w:rPr>
                <w:sz w:val="20"/>
                <w:szCs w:val="20"/>
              </w:rPr>
              <w:t xml:space="preserve"> (</w:t>
            </w:r>
            <w:r w:rsidR="000E22B5">
              <w:rPr>
                <w:sz w:val="20"/>
                <w:szCs w:val="20"/>
              </w:rPr>
              <w:t>FIM</w:t>
            </w:r>
            <w:r w:rsidR="00CD419A">
              <w:rPr>
                <w:sz w:val="20"/>
                <w:szCs w:val="20"/>
              </w:rPr>
              <w:t>)</w:t>
            </w:r>
          </w:p>
        </w:tc>
        <w:tc>
          <w:tcPr>
            <w:tcW w:w="6441" w:type="dxa"/>
          </w:tcPr>
          <w:p w14:paraId="359557C8" w14:textId="77777777" w:rsidR="004522F7" w:rsidRPr="00433D5D" w:rsidRDefault="004522F7" w:rsidP="004522F7">
            <w:pPr>
              <w:spacing w:beforeLines="40" w:before="96" w:afterLines="40" w:after="96" w:line="276" w:lineRule="auto"/>
              <w:rPr>
                <w:sz w:val="20"/>
                <w:szCs w:val="20"/>
              </w:rPr>
            </w:pPr>
            <w:r w:rsidRPr="00433D5D">
              <w:rPr>
                <w:sz w:val="20"/>
                <w:szCs w:val="20"/>
              </w:rPr>
              <w:t>A basic indicator of patient disability. It involves 18 items that are ranked on a 7 point scale indicating dependence.</w:t>
            </w:r>
          </w:p>
        </w:tc>
      </w:tr>
      <w:tr w:rsidR="001A6BE9" w:rsidRPr="00433D5D" w14:paraId="1035C39C" w14:textId="77777777" w:rsidTr="00682906">
        <w:tc>
          <w:tcPr>
            <w:tcW w:w="2802" w:type="dxa"/>
          </w:tcPr>
          <w:p w14:paraId="383943D7" w14:textId="19E46DCE" w:rsidR="001A6BE9" w:rsidRPr="00433D5D" w:rsidRDefault="001A6BE9" w:rsidP="001A6BE9">
            <w:pPr>
              <w:spacing w:beforeLines="40" w:before="96" w:afterLines="40" w:after="96" w:line="276" w:lineRule="auto"/>
              <w:rPr>
                <w:sz w:val="20"/>
                <w:szCs w:val="20"/>
              </w:rPr>
            </w:pPr>
            <w:r w:rsidRPr="00946A28">
              <w:rPr>
                <w:rFonts w:cstheme="minorHAnsi"/>
                <w:sz w:val="20"/>
                <w:szCs w:val="20"/>
              </w:rPr>
              <w:t>Individual care</w:t>
            </w:r>
          </w:p>
        </w:tc>
        <w:tc>
          <w:tcPr>
            <w:tcW w:w="6441" w:type="dxa"/>
          </w:tcPr>
          <w:p w14:paraId="07EC52EB" w14:textId="6B55258A" w:rsidR="001A6BE9" w:rsidRPr="00433D5D" w:rsidRDefault="001A6BE9" w:rsidP="001A6BE9">
            <w:pPr>
              <w:spacing w:beforeLines="40" w:before="96" w:afterLines="40" w:after="96" w:line="276" w:lineRule="auto"/>
              <w:rPr>
                <w:sz w:val="20"/>
                <w:szCs w:val="20"/>
              </w:rPr>
            </w:pPr>
            <w:r w:rsidRPr="00946A28">
              <w:rPr>
                <w:rFonts w:cstheme="minorHAnsi"/>
                <w:sz w:val="20"/>
                <w:szCs w:val="20"/>
              </w:rPr>
              <w:t xml:space="preserve">Care </w:t>
            </w:r>
            <w:r>
              <w:rPr>
                <w:rFonts w:cstheme="minorHAnsi"/>
                <w:sz w:val="20"/>
                <w:szCs w:val="20"/>
              </w:rPr>
              <w:t xml:space="preserve">that is </w:t>
            </w:r>
            <w:r w:rsidRPr="00946A28">
              <w:rPr>
                <w:rFonts w:cstheme="minorHAnsi"/>
                <w:sz w:val="20"/>
                <w:szCs w:val="20"/>
              </w:rPr>
              <w:t>tailored to the needs of an individual resident. Differences in individual care time between residents are typically due to differences in assessed function, cognition, behaviour and health status.</w:t>
            </w:r>
          </w:p>
        </w:tc>
      </w:tr>
      <w:tr w:rsidR="004522F7" w:rsidRPr="00433D5D" w14:paraId="62FE1490" w14:textId="77777777" w:rsidTr="00682906">
        <w:tc>
          <w:tcPr>
            <w:tcW w:w="2802" w:type="dxa"/>
          </w:tcPr>
          <w:p w14:paraId="306B03D6" w14:textId="77777777" w:rsidR="004522F7" w:rsidRPr="00433D5D" w:rsidRDefault="004522F7" w:rsidP="004522F7">
            <w:pPr>
              <w:spacing w:beforeLines="40" w:before="96" w:afterLines="40" w:after="96" w:line="276" w:lineRule="auto"/>
              <w:rPr>
                <w:sz w:val="20"/>
                <w:szCs w:val="20"/>
              </w:rPr>
            </w:pPr>
            <w:r w:rsidRPr="00433D5D">
              <w:rPr>
                <w:sz w:val="20"/>
                <w:szCs w:val="20"/>
              </w:rPr>
              <w:t>Outcome</w:t>
            </w:r>
          </w:p>
        </w:tc>
        <w:tc>
          <w:tcPr>
            <w:tcW w:w="6441" w:type="dxa"/>
          </w:tcPr>
          <w:p w14:paraId="147EE403" w14:textId="77777777" w:rsidR="004522F7" w:rsidRPr="00433D5D" w:rsidRDefault="004522F7" w:rsidP="004522F7">
            <w:pPr>
              <w:spacing w:beforeLines="40" w:before="96" w:afterLines="40" w:after="96" w:line="276" w:lineRule="auto"/>
              <w:rPr>
                <w:sz w:val="20"/>
                <w:szCs w:val="20"/>
              </w:rPr>
            </w:pPr>
            <w:r w:rsidRPr="00433D5D">
              <w:rPr>
                <w:sz w:val="20"/>
                <w:szCs w:val="20"/>
              </w:rPr>
              <w:t>A change in an individual or group of individuals that can be attributed (at least in part) to an intervention or series of interventions.</w:t>
            </w:r>
          </w:p>
        </w:tc>
      </w:tr>
      <w:tr w:rsidR="004522F7" w:rsidRPr="00433D5D" w14:paraId="7AD81ECA" w14:textId="77777777" w:rsidTr="00682906">
        <w:tc>
          <w:tcPr>
            <w:tcW w:w="2802" w:type="dxa"/>
          </w:tcPr>
          <w:p w14:paraId="4867D179" w14:textId="3213BBDB" w:rsidR="004522F7" w:rsidRPr="00433D5D" w:rsidRDefault="004522F7" w:rsidP="004522F7">
            <w:pPr>
              <w:spacing w:beforeLines="40" w:before="96" w:afterLines="40" w:after="96" w:line="276" w:lineRule="auto"/>
              <w:rPr>
                <w:sz w:val="20"/>
                <w:szCs w:val="20"/>
              </w:rPr>
            </w:pPr>
            <w:r w:rsidRPr="00433D5D">
              <w:rPr>
                <w:sz w:val="20"/>
                <w:szCs w:val="20"/>
              </w:rPr>
              <w:t>Permanent resident</w:t>
            </w:r>
          </w:p>
        </w:tc>
        <w:tc>
          <w:tcPr>
            <w:tcW w:w="6441" w:type="dxa"/>
          </w:tcPr>
          <w:p w14:paraId="51DBDDC8" w14:textId="77777777" w:rsidR="004522F7" w:rsidRPr="00433D5D" w:rsidRDefault="004522F7" w:rsidP="004522F7">
            <w:pPr>
              <w:spacing w:beforeLines="40" w:before="96" w:afterLines="40" w:after="96" w:line="276" w:lineRule="auto"/>
              <w:rPr>
                <w:sz w:val="20"/>
                <w:szCs w:val="20"/>
              </w:rPr>
            </w:pPr>
            <w:r w:rsidRPr="00433D5D">
              <w:rPr>
                <w:sz w:val="20"/>
                <w:szCs w:val="20"/>
              </w:rPr>
              <w:t>A person who enters residential aged care as their ongoing place of residence.</w:t>
            </w:r>
          </w:p>
        </w:tc>
      </w:tr>
      <w:tr w:rsidR="004522F7" w:rsidRPr="00433D5D" w14:paraId="73129D2E" w14:textId="77777777" w:rsidTr="00682906">
        <w:tc>
          <w:tcPr>
            <w:tcW w:w="2802" w:type="dxa"/>
          </w:tcPr>
          <w:p w14:paraId="7564B265" w14:textId="222863BC" w:rsidR="004522F7" w:rsidRPr="00433D5D" w:rsidRDefault="00C0164F" w:rsidP="004522F7">
            <w:pPr>
              <w:spacing w:beforeLines="40" w:before="96" w:afterLines="40" w:after="96" w:line="276" w:lineRule="auto"/>
              <w:rPr>
                <w:sz w:val="20"/>
                <w:szCs w:val="20"/>
              </w:rPr>
            </w:pPr>
            <w:r>
              <w:rPr>
                <w:sz w:val="20"/>
                <w:szCs w:val="20"/>
              </w:rPr>
              <w:t>Reablement</w:t>
            </w:r>
          </w:p>
        </w:tc>
        <w:tc>
          <w:tcPr>
            <w:tcW w:w="6441" w:type="dxa"/>
          </w:tcPr>
          <w:p w14:paraId="331CCDDE" w14:textId="77777777" w:rsidR="004522F7" w:rsidRPr="00433D5D" w:rsidRDefault="004522F7" w:rsidP="004522F7">
            <w:pPr>
              <w:spacing w:beforeLines="40" w:before="96" w:afterLines="40" w:after="96" w:line="276" w:lineRule="auto"/>
              <w:rPr>
                <w:sz w:val="20"/>
                <w:szCs w:val="20"/>
              </w:rPr>
            </w:pPr>
            <w:r w:rsidRPr="00433D5D">
              <w:rPr>
                <w:sz w:val="20"/>
                <w:szCs w:val="20"/>
              </w:rPr>
              <w:t>Targeted, time-limited interventions that address functional loss, or that help the resident regain their confidence or capacity to resume activities – implemented by aged care facility staff.</w:t>
            </w:r>
          </w:p>
        </w:tc>
      </w:tr>
      <w:tr w:rsidR="00682906" w:rsidRPr="00433D5D" w14:paraId="641F8779" w14:textId="77777777" w:rsidTr="00682906">
        <w:tc>
          <w:tcPr>
            <w:tcW w:w="2802" w:type="dxa"/>
          </w:tcPr>
          <w:p w14:paraId="75380EA3" w14:textId="4BB06102" w:rsidR="00682906" w:rsidRPr="00433D5D" w:rsidRDefault="00682906" w:rsidP="00CD419A">
            <w:pPr>
              <w:spacing w:beforeLines="40" w:before="96" w:afterLines="40" w:after="96" w:line="276" w:lineRule="auto"/>
              <w:rPr>
                <w:sz w:val="20"/>
                <w:szCs w:val="20"/>
              </w:rPr>
            </w:pPr>
            <w:r w:rsidRPr="00946A28">
              <w:rPr>
                <w:rFonts w:cstheme="minorHAnsi"/>
                <w:sz w:val="20"/>
                <w:szCs w:val="20"/>
              </w:rPr>
              <w:t xml:space="preserve">Relative Value Unit </w:t>
            </w:r>
            <w:r w:rsidR="00CD419A">
              <w:rPr>
                <w:rFonts w:cstheme="minorHAnsi"/>
                <w:sz w:val="20"/>
                <w:szCs w:val="20"/>
              </w:rPr>
              <w:t>(</w:t>
            </w:r>
            <w:r w:rsidRPr="00946A28">
              <w:rPr>
                <w:rFonts w:cstheme="minorHAnsi"/>
                <w:sz w:val="20"/>
                <w:szCs w:val="20"/>
              </w:rPr>
              <w:t>RVU</w:t>
            </w:r>
            <w:r w:rsidR="00CD419A">
              <w:rPr>
                <w:rFonts w:cstheme="minorHAnsi"/>
                <w:sz w:val="20"/>
                <w:szCs w:val="20"/>
              </w:rPr>
              <w:t>)</w:t>
            </w:r>
          </w:p>
        </w:tc>
        <w:tc>
          <w:tcPr>
            <w:tcW w:w="6441" w:type="dxa"/>
          </w:tcPr>
          <w:p w14:paraId="02968957" w14:textId="664702B5" w:rsidR="00682906" w:rsidRPr="00C130D0" w:rsidRDefault="00682906" w:rsidP="00C130D0">
            <w:pPr>
              <w:spacing w:beforeLines="40" w:before="96" w:afterLines="40" w:after="96" w:line="276" w:lineRule="auto"/>
              <w:rPr>
                <w:sz w:val="20"/>
                <w:szCs w:val="20"/>
              </w:rPr>
            </w:pPr>
            <w:r w:rsidRPr="00C130D0">
              <w:rPr>
                <w:sz w:val="20"/>
                <w:szCs w:val="20"/>
              </w:rPr>
              <w:t xml:space="preserve">In the context of this study, a measure of relative resource consumption (staff time or dollars). An RVU of 1.2 means that the cost is 20% above the </w:t>
            </w:r>
            <w:r w:rsidRPr="00C130D0">
              <w:rPr>
                <w:sz w:val="20"/>
                <w:szCs w:val="20"/>
              </w:rPr>
              <w:lastRenderedPageBreak/>
              <w:t>national average. An RVU</w:t>
            </w:r>
            <w:r w:rsidR="00D452AA" w:rsidRPr="00C130D0">
              <w:rPr>
                <w:sz w:val="20"/>
                <w:szCs w:val="20"/>
              </w:rPr>
              <w:t xml:space="preserve"> of</w:t>
            </w:r>
            <w:r w:rsidRPr="00C130D0">
              <w:rPr>
                <w:sz w:val="20"/>
                <w:szCs w:val="20"/>
              </w:rPr>
              <w:t xml:space="preserve"> 0.5 means that the cost is 50% below national average.</w:t>
            </w:r>
          </w:p>
        </w:tc>
      </w:tr>
      <w:tr w:rsidR="004522F7" w:rsidRPr="00433D5D" w14:paraId="4E986831" w14:textId="77777777" w:rsidTr="00682906">
        <w:tc>
          <w:tcPr>
            <w:tcW w:w="2802" w:type="dxa"/>
          </w:tcPr>
          <w:p w14:paraId="2C24DE41" w14:textId="77777777" w:rsidR="004522F7" w:rsidRPr="00433D5D" w:rsidRDefault="004522F7" w:rsidP="004522F7">
            <w:pPr>
              <w:spacing w:beforeLines="40" w:before="96" w:afterLines="40" w:after="96" w:line="276" w:lineRule="auto"/>
              <w:rPr>
                <w:sz w:val="20"/>
                <w:szCs w:val="20"/>
              </w:rPr>
            </w:pPr>
            <w:r w:rsidRPr="00433D5D">
              <w:rPr>
                <w:sz w:val="20"/>
                <w:szCs w:val="20"/>
              </w:rPr>
              <w:lastRenderedPageBreak/>
              <w:t>Residential aged care</w:t>
            </w:r>
          </w:p>
        </w:tc>
        <w:tc>
          <w:tcPr>
            <w:tcW w:w="6441" w:type="dxa"/>
          </w:tcPr>
          <w:p w14:paraId="1D6F36DC" w14:textId="27522CAD" w:rsidR="004522F7" w:rsidRPr="00433D5D" w:rsidRDefault="004B08CE" w:rsidP="004522F7">
            <w:pPr>
              <w:spacing w:beforeLines="40" w:before="96" w:afterLines="40" w:after="96" w:line="276" w:lineRule="auto"/>
              <w:rPr>
                <w:sz w:val="20"/>
                <w:szCs w:val="20"/>
              </w:rPr>
            </w:pPr>
            <w:r w:rsidRPr="00433D5D">
              <w:rPr>
                <w:sz w:val="20"/>
                <w:szCs w:val="20"/>
              </w:rPr>
              <w:t>Personal and/or nursing care that is provided to a person in a residential aged care service</w:t>
            </w:r>
            <w:r w:rsidR="008230D1">
              <w:rPr>
                <w:sz w:val="20"/>
                <w:szCs w:val="20"/>
              </w:rPr>
              <w:t xml:space="preserve">. </w:t>
            </w:r>
            <w:r>
              <w:rPr>
                <w:sz w:val="20"/>
                <w:szCs w:val="20"/>
              </w:rPr>
              <w:t xml:space="preserve">In addition to care, the </w:t>
            </w:r>
            <w:r w:rsidRPr="00433D5D">
              <w:rPr>
                <w:sz w:val="20"/>
                <w:szCs w:val="20"/>
              </w:rPr>
              <w:t>person is also provided with accommodation that includes meals, cleaning services, furniture and equipment. The residential aged care service must meet certain building standards and appropriate staffing in supplying the provision of that care and accommodation.</w:t>
            </w:r>
          </w:p>
        </w:tc>
      </w:tr>
      <w:tr w:rsidR="004522F7" w:rsidRPr="00433D5D" w14:paraId="6B151DED" w14:textId="77777777" w:rsidTr="00682906">
        <w:tc>
          <w:tcPr>
            <w:tcW w:w="2802" w:type="dxa"/>
          </w:tcPr>
          <w:p w14:paraId="47E20A93" w14:textId="77777777" w:rsidR="004522F7" w:rsidRPr="00433D5D" w:rsidRDefault="004522F7" w:rsidP="004522F7">
            <w:pPr>
              <w:spacing w:beforeLines="40" w:before="96" w:afterLines="40" w:after="96" w:line="276" w:lineRule="auto"/>
              <w:rPr>
                <w:sz w:val="20"/>
                <w:szCs w:val="20"/>
              </w:rPr>
            </w:pPr>
            <w:r w:rsidRPr="00433D5D">
              <w:rPr>
                <w:sz w:val="20"/>
                <w:szCs w:val="20"/>
              </w:rPr>
              <w:t>Restorative care</w:t>
            </w:r>
          </w:p>
        </w:tc>
        <w:tc>
          <w:tcPr>
            <w:tcW w:w="6441" w:type="dxa"/>
          </w:tcPr>
          <w:p w14:paraId="45BC7D06" w14:textId="7F8BBC78" w:rsidR="004522F7" w:rsidRPr="00433D5D" w:rsidRDefault="004522F7" w:rsidP="004522F7">
            <w:pPr>
              <w:spacing w:beforeLines="40" w:before="96" w:afterLines="40" w:after="96" w:line="276" w:lineRule="auto"/>
              <w:rPr>
                <w:sz w:val="20"/>
                <w:szCs w:val="20"/>
              </w:rPr>
            </w:pPr>
            <w:r w:rsidRPr="00433D5D">
              <w:rPr>
                <w:sz w:val="20"/>
                <w:szCs w:val="20"/>
              </w:rPr>
              <w:t xml:space="preserve">Support for the provision of this type of care needs longer term consideration. It is similar to </w:t>
            </w:r>
            <w:r w:rsidR="00C0164F">
              <w:rPr>
                <w:sz w:val="20"/>
                <w:szCs w:val="20"/>
              </w:rPr>
              <w:t>reablement</w:t>
            </w:r>
            <w:r w:rsidRPr="00433D5D">
              <w:rPr>
                <w:sz w:val="20"/>
                <w:szCs w:val="20"/>
              </w:rPr>
              <w:t xml:space="preserve"> but implemented by clinical staff such as allied health and medical clinicians, possibly externally based. Requirements for restorative care would be externally assessed and based on sound, objective criteria involving accredited providers.</w:t>
            </w:r>
          </w:p>
        </w:tc>
      </w:tr>
      <w:tr w:rsidR="00F11392" w:rsidRPr="00433D5D" w14:paraId="4D71A1D6" w14:textId="77777777" w:rsidTr="00682906">
        <w:tc>
          <w:tcPr>
            <w:tcW w:w="2802" w:type="dxa"/>
          </w:tcPr>
          <w:p w14:paraId="490C7C53" w14:textId="6FB5B51D" w:rsidR="00F11392" w:rsidRPr="00433D5D" w:rsidRDefault="00F11392" w:rsidP="00F11392">
            <w:pPr>
              <w:spacing w:beforeLines="40" w:before="96" w:afterLines="40" w:after="96" w:line="276" w:lineRule="auto"/>
              <w:rPr>
                <w:sz w:val="20"/>
                <w:szCs w:val="20"/>
              </w:rPr>
            </w:pPr>
            <w:r w:rsidRPr="00567BBC">
              <w:rPr>
                <w:rFonts w:cs="Arial"/>
                <w:sz w:val="20"/>
                <w:szCs w:val="20"/>
              </w:rPr>
              <w:t>Shared care</w:t>
            </w:r>
          </w:p>
        </w:tc>
        <w:tc>
          <w:tcPr>
            <w:tcW w:w="6441" w:type="dxa"/>
          </w:tcPr>
          <w:p w14:paraId="7F0A692B" w14:textId="28F2153E" w:rsidR="00F11392" w:rsidRPr="00433D5D" w:rsidRDefault="00F11392" w:rsidP="00F11392">
            <w:pPr>
              <w:spacing w:beforeLines="40" w:before="96" w:afterLines="40" w:after="96" w:line="276" w:lineRule="auto"/>
              <w:rPr>
                <w:sz w:val="20"/>
                <w:szCs w:val="20"/>
              </w:rPr>
            </w:pPr>
            <w:r w:rsidRPr="00567BBC">
              <w:rPr>
                <w:rFonts w:cs="Arial"/>
                <w:sz w:val="20"/>
                <w:szCs w:val="20"/>
              </w:rPr>
              <w:t>Care that is not tailored to individual resident needs and that all residents generally benefit from equally. This includes activities such as general supervision in common areas, night supervision clinical care management and quality activities and incidental brief interactions with residents.</w:t>
            </w:r>
          </w:p>
        </w:tc>
      </w:tr>
    </w:tbl>
    <w:p w14:paraId="18F04F7E" w14:textId="77777777" w:rsidR="00726D8A" w:rsidRDefault="00726D8A"/>
    <w:p w14:paraId="182F9416" w14:textId="77777777" w:rsidR="00726D8A" w:rsidRDefault="00726D8A">
      <w:r>
        <w:br w:type="page"/>
      </w:r>
    </w:p>
    <w:p w14:paraId="10064BF2" w14:textId="562658F5" w:rsidR="00482957" w:rsidRDefault="00482957">
      <w:r>
        <w:lastRenderedPageBreak/>
        <w:br w:type="page"/>
      </w:r>
    </w:p>
    <w:p w14:paraId="40A3ACD2" w14:textId="5E98BA40" w:rsidR="001C1772" w:rsidRDefault="001C1772">
      <w:pPr>
        <w:sectPr w:rsidR="001C1772" w:rsidSect="001C1772">
          <w:footerReference w:type="default" r:id="rId19"/>
          <w:pgSz w:w="11906" w:h="16838"/>
          <w:pgMar w:top="1134" w:right="1134" w:bottom="1021" w:left="1418" w:header="708" w:footer="708" w:gutter="0"/>
          <w:pgNumType w:fmt="lowerRoman" w:start="1"/>
          <w:cols w:space="708"/>
          <w:docGrid w:linePitch="360"/>
        </w:sectPr>
      </w:pPr>
    </w:p>
    <w:p w14:paraId="5BF84CA0" w14:textId="77777777" w:rsidR="00EB5765" w:rsidRDefault="00EB5765" w:rsidP="00026FD1">
      <w:pPr>
        <w:pStyle w:val="Heading1"/>
        <w:numPr>
          <w:ilvl w:val="0"/>
          <w:numId w:val="0"/>
        </w:numPr>
      </w:pPr>
      <w:bookmarkStart w:id="19" w:name="_Toc531178378"/>
      <w:bookmarkStart w:id="20" w:name="_Toc2005235"/>
      <w:r>
        <w:lastRenderedPageBreak/>
        <w:t>Key messages</w:t>
      </w:r>
      <w:bookmarkEnd w:id="19"/>
      <w:bookmarkEnd w:id="20"/>
    </w:p>
    <w:p w14:paraId="14DD4E86" w14:textId="71AC09C1" w:rsidR="00AC2246" w:rsidRDefault="00AC2246" w:rsidP="00640517">
      <w:pPr>
        <w:pStyle w:val="Bullet"/>
      </w:pPr>
      <w:r>
        <w:t xml:space="preserve">This is the second </w:t>
      </w:r>
      <w:r w:rsidR="00C615EB">
        <w:t xml:space="preserve">in </w:t>
      </w:r>
      <w:r w:rsidR="00575E6E">
        <w:t xml:space="preserve">a </w:t>
      </w:r>
      <w:r>
        <w:t xml:space="preserve">series of reports </w:t>
      </w:r>
      <w:r w:rsidR="00C615EB">
        <w:t xml:space="preserve">on </w:t>
      </w:r>
      <w:r>
        <w:t>the R</w:t>
      </w:r>
      <w:r w:rsidRPr="00905D86">
        <w:t xml:space="preserve">esource </w:t>
      </w:r>
      <w:r>
        <w:t>U</w:t>
      </w:r>
      <w:r w:rsidRPr="00905D86">
        <w:t xml:space="preserve">tilisation and </w:t>
      </w:r>
      <w:r>
        <w:t>C</w:t>
      </w:r>
      <w:r w:rsidRPr="00905D86">
        <w:t xml:space="preserve">lassification </w:t>
      </w:r>
      <w:r>
        <w:t>S</w:t>
      </w:r>
      <w:r w:rsidRPr="00905D86">
        <w:t>tudy (RUCS)</w:t>
      </w:r>
      <w:r w:rsidR="00575E6E">
        <w:t>.</w:t>
      </w:r>
      <w:r w:rsidRPr="00905D86">
        <w:t xml:space="preserve"> </w:t>
      </w:r>
      <w:r w:rsidR="00C615EB">
        <w:t xml:space="preserve">This volume </w:t>
      </w:r>
      <w:r>
        <w:t xml:space="preserve">describes the assessment model for the new Australian National Aged Care </w:t>
      </w:r>
      <w:r w:rsidR="009A67A9">
        <w:t>Classification (AN-ACC) system.</w:t>
      </w:r>
    </w:p>
    <w:p w14:paraId="3BDD14B7" w14:textId="6628D830" w:rsidR="00F50409" w:rsidRDefault="00AC2246" w:rsidP="00640517">
      <w:pPr>
        <w:pStyle w:val="Bullet"/>
      </w:pPr>
      <w:r>
        <w:t xml:space="preserve">The AN-ACC assessment model is based on </w:t>
      </w:r>
      <w:r w:rsidR="009A67A9">
        <w:t>three design principles:</w:t>
      </w:r>
    </w:p>
    <w:p w14:paraId="7BC4C2F1" w14:textId="342597F8" w:rsidR="00F50409" w:rsidRDefault="00F50409" w:rsidP="00B85702">
      <w:pPr>
        <w:pStyle w:val="Bullet"/>
        <w:numPr>
          <w:ilvl w:val="0"/>
          <w:numId w:val="14"/>
        </w:numPr>
      </w:pPr>
      <w:r>
        <w:t xml:space="preserve">Separation of assessment for funding purposes from </w:t>
      </w:r>
      <w:r w:rsidR="00C615EB">
        <w:t xml:space="preserve">assessment for </w:t>
      </w:r>
      <w:r>
        <w:t>care planning</w:t>
      </w:r>
      <w:r w:rsidR="00C615EB">
        <w:t xml:space="preserve"> purposes</w:t>
      </w:r>
      <w:r w:rsidR="008C6D0A">
        <w:t>.</w:t>
      </w:r>
    </w:p>
    <w:p w14:paraId="55D81A14" w14:textId="43704CA2" w:rsidR="00AC2246" w:rsidRDefault="00F50409" w:rsidP="00B85702">
      <w:pPr>
        <w:pStyle w:val="Bullet"/>
        <w:numPr>
          <w:ilvl w:val="0"/>
          <w:numId w:val="14"/>
        </w:numPr>
      </w:pPr>
      <w:r>
        <w:t>A</w:t>
      </w:r>
      <w:r w:rsidR="00AC2246">
        <w:t xml:space="preserve">ssessment for funding purposes </w:t>
      </w:r>
      <w:r w:rsidR="00C615EB">
        <w:t xml:space="preserve">to be </w:t>
      </w:r>
      <w:r w:rsidR="00AC2246">
        <w:t>undertaken by external assessors capturing the information necessary to assign a resident to a payment class</w:t>
      </w:r>
      <w:r w:rsidR="008C6D0A">
        <w:t>.</w:t>
      </w:r>
    </w:p>
    <w:p w14:paraId="5E6D4914" w14:textId="1B88AEFF" w:rsidR="00AC2246" w:rsidRDefault="00AC2246" w:rsidP="00B85702">
      <w:pPr>
        <w:pStyle w:val="Bullet"/>
        <w:numPr>
          <w:ilvl w:val="0"/>
          <w:numId w:val="14"/>
        </w:numPr>
      </w:pPr>
      <w:r>
        <w:t xml:space="preserve">Assessment related to care planning </w:t>
      </w:r>
      <w:r w:rsidR="00C615EB">
        <w:t xml:space="preserve">to be </w:t>
      </w:r>
      <w:r>
        <w:t>undertaken by the residential aged care facility based on resident needs and underpinned by consumer</w:t>
      </w:r>
      <w:r w:rsidR="00BD6315">
        <w:t xml:space="preserve"> </w:t>
      </w:r>
      <w:r>
        <w:t xml:space="preserve">directed care </w:t>
      </w:r>
      <w:r w:rsidR="00793AC0">
        <w:t>(CDC) principles.</w:t>
      </w:r>
    </w:p>
    <w:p w14:paraId="5986BC3A" w14:textId="75AA8D55" w:rsidR="00FA082A" w:rsidRDefault="00AC2246" w:rsidP="004215B9">
      <w:pPr>
        <w:pStyle w:val="Bullet"/>
      </w:pPr>
      <w:r>
        <w:t xml:space="preserve">The AN-ACC casemix </w:t>
      </w:r>
      <w:r w:rsidR="008C6D0A">
        <w:t xml:space="preserve">classification </w:t>
      </w:r>
      <w:r>
        <w:t xml:space="preserve">and its associated assessment model have been informed </w:t>
      </w:r>
      <w:r w:rsidR="00C615EB">
        <w:t xml:space="preserve">by </w:t>
      </w:r>
      <w:r>
        <w:t xml:space="preserve">expert clinical advisory panels comprising </w:t>
      </w:r>
      <w:r w:rsidR="003D6C71">
        <w:t>over 3</w:t>
      </w:r>
      <w:r>
        <w:t>0 ex</w:t>
      </w:r>
      <w:r w:rsidR="00640517">
        <w:t>p</w:t>
      </w:r>
      <w:r w:rsidR="009A67A9">
        <w:t>ert clinicians and researchers.</w:t>
      </w:r>
    </w:p>
    <w:p w14:paraId="1B2BC982" w14:textId="7F2DA4B1" w:rsidR="00640517" w:rsidRDefault="001C33E4" w:rsidP="00AC2246">
      <w:pPr>
        <w:pStyle w:val="Bullet"/>
      </w:pPr>
      <w:r>
        <w:t xml:space="preserve">All panels agreed </w:t>
      </w:r>
      <w:r w:rsidR="0001447E">
        <w:t xml:space="preserve">that </w:t>
      </w:r>
      <w:r w:rsidRPr="00A91E6E">
        <w:t xml:space="preserve">the </w:t>
      </w:r>
      <w:r>
        <w:t>most significant cost driver</w:t>
      </w:r>
      <w:r w:rsidR="00640517">
        <w:t xml:space="preserve">s in residential aged care were admission for palliative care; </w:t>
      </w:r>
      <w:r w:rsidR="00575E6E">
        <w:t xml:space="preserve">frailty; </w:t>
      </w:r>
      <w:r>
        <w:t>mobility</w:t>
      </w:r>
      <w:r w:rsidR="00640517">
        <w:t xml:space="preserve">; </w:t>
      </w:r>
      <w:r w:rsidR="003F2D51">
        <w:t>activities of daily living (</w:t>
      </w:r>
      <w:r>
        <w:t>ADL</w:t>
      </w:r>
      <w:r w:rsidR="003F2D51">
        <w:t>)</w:t>
      </w:r>
      <w:r>
        <w:t xml:space="preserve"> function</w:t>
      </w:r>
      <w:r w:rsidR="00640517">
        <w:t xml:space="preserve">; </w:t>
      </w:r>
      <w:r>
        <w:t>cognition</w:t>
      </w:r>
      <w:r w:rsidR="00575E6E">
        <w:t>,</w:t>
      </w:r>
      <w:r>
        <w:t xml:space="preserve"> communication and </w:t>
      </w:r>
      <w:r w:rsidR="00575E6E">
        <w:t>behaviour</w:t>
      </w:r>
      <w:r>
        <w:t>.</w:t>
      </w:r>
      <w:r w:rsidR="00575E6E">
        <w:t xml:space="preserve"> </w:t>
      </w:r>
      <w:r>
        <w:t>Additional</w:t>
      </w:r>
      <w:r w:rsidR="00575E6E">
        <w:t xml:space="preserve"> cost drivers included mental health</w:t>
      </w:r>
      <w:r>
        <w:t xml:space="preserve">, risk of pressure wounds and </w:t>
      </w:r>
      <w:r w:rsidR="009A67A9">
        <w:t>technical nursing requirements.</w:t>
      </w:r>
    </w:p>
    <w:p w14:paraId="1249DD9B" w14:textId="5B59CB4D" w:rsidR="0001447E" w:rsidRDefault="00106793" w:rsidP="00AC2246">
      <w:pPr>
        <w:pStyle w:val="Bullet"/>
      </w:pPr>
      <w:r w:rsidRPr="0001447E">
        <w:t xml:space="preserve">These </w:t>
      </w:r>
      <w:r w:rsidR="0001447E">
        <w:t xml:space="preserve">cost drivers </w:t>
      </w:r>
      <w:r w:rsidRPr="0001447E">
        <w:t xml:space="preserve">may be due to one or more </w:t>
      </w:r>
      <w:r w:rsidR="00D85067">
        <w:t xml:space="preserve">underlying </w:t>
      </w:r>
      <w:r w:rsidRPr="0001447E">
        <w:t>diagnoses</w:t>
      </w:r>
      <w:r>
        <w:t>. B</w:t>
      </w:r>
      <w:r w:rsidRPr="0001447E">
        <w:t xml:space="preserve">ut </w:t>
      </w:r>
      <w:r w:rsidR="0001447E">
        <w:t xml:space="preserve">a medical </w:t>
      </w:r>
      <w:r w:rsidRPr="0001447E">
        <w:t xml:space="preserve">diagnosis </w:t>
      </w:r>
      <w:r w:rsidR="0001447E">
        <w:t xml:space="preserve">is not, per se, </w:t>
      </w:r>
      <w:r w:rsidRPr="0001447E">
        <w:t>a cost-driver</w:t>
      </w:r>
      <w:r w:rsidR="0001447E">
        <w:t>.</w:t>
      </w:r>
    </w:p>
    <w:p w14:paraId="69740D59" w14:textId="1F763C2B" w:rsidR="00793AC0" w:rsidRDefault="006E29E9" w:rsidP="00640517">
      <w:pPr>
        <w:pStyle w:val="Bullet"/>
      </w:pPr>
      <w:r>
        <w:t>The</w:t>
      </w:r>
      <w:r w:rsidR="00793AC0">
        <w:t xml:space="preserve"> </w:t>
      </w:r>
      <w:r w:rsidR="00B6398C">
        <w:t>AN-ACC Assessment Tool</w:t>
      </w:r>
      <w:r w:rsidR="00640517">
        <w:t xml:space="preserve"> reflects these drivers, and includes the following instruments</w:t>
      </w:r>
      <w:r w:rsidR="009A67A9">
        <w:t>:</w:t>
      </w:r>
    </w:p>
    <w:p w14:paraId="672C5124" w14:textId="36E68C5A" w:rsidR="0003077E" w:rsidRPr="0003077E" w:rsidRDefault="0003077E" w:rsidP="00B85702">
      <w:pPr>
        <w:pStyle w:val="Bullet"/>
        <w:numPr>
          <w:ilvl w:val="1"/>
          <w:numId w:val="13"/>
        </w:numPr>
      </w:pPr>
      <w:r w:rsidRPr="0003077E">
        <w:t xml:space="preserve">The Resource Utilisation Groups – Activities of Daily Living </w:t>
      </w:r>
      <w:r w:rsidR="00575E6E">
        <w:t xml:space="preserve">instrument </w:t>
      </w:r>
      <w:r w:rsidRPr="0003077E">
        <w:t>(RUG-ADL)</w:t>
      </w:r>
    </w:p>
    <w:p w14:paraId="2A31BAD4" w14:textId="45A31B3B" w:rsidR="0003077E" w:rsidRPr="0003077E" w:rsidRDefault="0003077E" w:rsidP="00B85702">
      <w:pPr>
        <w:pStyle w:val="Bullet"/>
        <w:numPr>
          <w:ilvl w:val="1"/>
          <w:numId w:val="13"/>
        </w:numPr>
      </w:pPr>
      <w:r w:rsidRPr="0003077E">
        <w:t>The Australia-modified Karnofsky Performance S</w:t>
      </w:r>
      <w:r w:rsidR="003712C2">
        <w:t>tatus</w:t>
      </w:r>
      <w:r w:rsidRPr="0003077E">
        <w:t xml:space="preserve"> (AKPS)</w:t>
      </w:r>
    </w:p>
    <w:p w14:paraId="50D92E4E" w14:textId="68F2BB71" w:rsidR="0003077E" w:rsidRPr="0003077E" w:rsidRDefault="0003077E" w:rsidP="00B85702">
      <w:pPr>
        <w:pStyle w:val="Bullet"/>
        <w:numPr>
          <w:ilvl w:val="1"/>
          <w:numId w:val="13"/>
        </w:numPr>
      </w:pPr>
      <w:r w:rsidRPr="0003077E">
        <w:t xml:space="preserve">The </w:t>
      </w:r>
      <w:r w:rsidR="008C6D0A">
        <w:t>Rockwood Clinical Frailty Scale</w:t>
      </w:r>
    </w:p>
    <w:p w14:paraId="36D257A1" w14:textId="430DD137" w:rsidR="0003077E" w:rsidRPr="0003077E" w:rsidRDefault="0003077E" w:rsidP="00B85702">
      <w:pPr>
        <w:pStyle w:val="Bullet"/>
        <w:numPr>
          <w:ilvl w:val="1"/>
          <w:numId w:val="13"/>
        </w:numPr>
      </w:pPr>
      <w:r w:rsidRPr="0003077E">
        <w:t>The Braden Scale</w:t>
      </w:r>
    </w:p>
    <w:p w14:paraId="3E78878A" w14:textId="04200BCB" w:rsidR="0003077E" w:rsidRPr="0003077E" w:rsidRDefault="0003077E" w:rsidP="00B85702">
      <w:pPr>
        <w:pStyle w:val="Bullet"/>
        <w:numPr>
          <w:ilvl w:val="1"/>
          <w:numId w:val="13"/>
        </w:numPr>
      </w:pPr>
      <w:r w:rsidRPr="0003077E">
        <w:t xml:space="preserve">The </w:t>
      </w:r>
      <w:r w:rsidR="00575E6E">
        <w:t xml:space="preserve">modified </w:t>
      </w:r>
      <w:r w:rsidRPr="0003077E">
        <w:t>D</w:t>
      </w:r>
      <w:r w:rsidR="00793AC0">
        <w:t>e Morton Mobility Index (DEMMI)</w:t>
      </w:r>
    </w:p>
    <w:p w14:paraId="30F4A0FC" w14:textId="5C7111EF" w:rsidR="0003077E" w:rsidRPr="0003077E" w:rsidRDefault="0003077E" w:rsidP="00B85702">
      <w:pPr>
        <w:pStyle w:val="Bullet"/>
        <w:numPr>
          <w:ilvl w:val="1"/>
          <w:numId w:val="13"/>
        </w:numPr>
      </w:pPr>
      <w:r w:rsidRPr="0003077E">
        <w:t xml:space="preserve">The </w:t>
      </w:r>
      <w:r w:rsidR="00575E6E">
        <w:t>Australian</w:t>
      </w:r>
      <w:r w:rsidR="00192088">
        <w:t xml:space="preserve"> M</w:t>
      </w:r>
      <w:r w:rsidR="00575E6E">
        <w:t xml:space="preserve">odified </w:t>
      </w:r>
      <w:r w:rsidRPr="0003077E">
        <w:t>Functional Independence Measure (</w:t>
      </w:r>
      <w:r w:rsidR="00575E6E">
        <w:t>AM-</w:t>
      </w:r>
      <w:r w:rsidRPr="0003077E">
        <w:t>FIM)</w:t>
      </w:r>
    </w:p>
    <w:p w14:paraId="33D0B3F2" w14:textId="78C9D796" w:rsidR="0003077E" w:rsidRPr="0003077E" w:rsidRDefault="00575E6E" w:rsidP="00B85702">
      <w:pPr>
        <w:pStyle w:val="Bullet"/>
        <w:numPr>
          <w:ilvl w:val="1"/>
          <w:numId w:val="13"/>
        </w:numPr>
      </w:pPr>
      <w:r>
        <w:t xml:space="preserve">The </w:t>
      </w:r>
      <w:r w:rsidR="005623FA">
        <w:t>Behaviour Resource Utilisation Assessment (BRUA)</w:t>
      </w:r>
      <w:r w:rsidR="008C6D0A">
        <w:t>.</w:t>
      </w:r>
    </w:p>
    <w:p w14:paraId="713CFFCA" w14:textId="0C1219FC" w:rsidR="00793AC0" w:rsidRDefault="00640517" w:rsidP="00640517">
      <w:pPr>
        <w:pStyle w:val="Bullet"/>
      </w:pPr>
      <w:r>
        <w:t xml:space="preserve">The assessment model testing involved assessing </w:t>
      </w:r>
      <w:r w:rsidR="00793AC0">
        <w:t xml:space="preserve">approximately 5,000 aged care residents, </w:t>
      </w:r>
      <w:r w:rsidR="0095799D">
        <w:t>including</w:t>
      </w:r>
      <w:r w:rsidR="00793AC0">
        <w:t xml:space="preserve"> 1</w:t>
      </w:r>
      <w:r w:rsidR="00B7652F">
        <w:t>,</w:t>
      </w:r>
      <w:r w:rsidR="00793AC0">
        <w:t xml:space="preserve">000 </w:t>
      </w:r>
      <w:r w:rsidR="003D6C71">
        <w:t>reassessment</w:t>
      </w:r>
      <w:r w:rsidR="00793AC0">
        <w:t>s</w:t>
      </w:r>
      <w:r>
        <w:t>,</w:t>
      </w:r>
      <w:r w:rsidR="00793AC0">
        <w:t xml:space="preserve"> in </w:t>
      </w:r>
      <w:r w:rsidR="0095799D">
        <w:t xml:space="preserve">approximately </w:t>
      </w:r>
      <w:r w:rsidR="00793AC0">
        <w:t xml:space="preserve">100 aged </w:t>
      </w:r>
      <w:r w:rsidR="00793AC0" w:rsidRPr="00A96C25">
        <w:t>care facilities nationally</w:t>
      </w:r>
      <w:r w:rsidR="003D4A1A">
        <w:t>.</w:t>
      </w:r>
    </w:p>
    <w:p w14:paraId="4D9CF5B3" w14:textId="6E174FDF" w:rsidR="00AA2254" w:rsidRDefault="00575E6E" w:rsidP="00AA2254">
      <w:pPr>
        <w:pStyle w:val="Bullet"/>
      </w:pPr>
      <w:r>
        <w:t>Future AN-ACC assessors should be credentialed individuals from appropriate professional groups whose undergraduate degree includes function and mobility as a core component i.e. nursing (registered), occupational therapy and physiotherapy.</w:t>
      </w:r>
    </w:p>
    <w:p w14:paraId="17F72C9D" w14:textId="06A965BE" w:rsidR="00AA2254" w:rsidRPr="001E5EBB" w:rsidRDefault="00B6398C" w:rsidP="001E5EBB">
      <w:pPr>
        <w:pStyle w:val="Bullet"/>
      </w:pPr>
      <w:r>
        <w:t>The AN-ACC A</w:t>
      </w:r>
      <w:r w:rsidR="00575E6E" w:rsidRPr="001E5EBB">
        <w:t xml:space="preserve">ssessment </w:t>
      </w:r>
      <w:r>
        <w:t>T</w:t>
      </w:r>
      <w:r w:rsidR="00575E6E" w:rsidRPr="001E5EBB">
        <w:t xml:space="preserve">ool should be used to assess all new residents entering care as well as existing residents whose care needs increase. </w:t>
      </w:r>
      <w:r w:rsidR="00AA2254" w:rsidRPr="001E5EBB">
        <w:t>P</w:t>
      </w:r>
      <w:r w:rsidR="00575E6E" w:rsidRPr="001E5EBB">
        <w:t>rotocols</w:t>
      </w:r>
      <w:r w:rsidR="00AA2254" w:rsidRPr="001E5EBB">
        <w:t xml:space="preserve"> for reassessment have been included in the AN-ACC funding model</w:t>
      </w:r>
      <w:r w:rsidR="00E432D7">
        <w:t xml:space="preserve"> (see Report 5)</w:t>
      </w:r>
      <w:r w:rsidR="00AA2254" w:rsidRPr="001E5EBB">
        <w:t>.</w:t>
      </w:r>
    </w:p>
    <w:p w14:paraId="3B2AC125" w14:textId="77777777" w:rsidR="001B7F9A" w:rsidRPr="00946A28" w:rsidRDefault="001B7F9A" w:rsidP="00635F18">
      <w:pPr>
        <w:pStyle w:val="Heading1"/>
      </w:pPr>
      <w:bookmarkStart w:id="21" w:name="_Toc473044038"/>
      <w:bookmarkStart w:id="22" w:name="_Toc473102110"/>
      <w:bookmarkStart w:id="23" w:name="_Toc473621430"/>
      <w:bookmarkStart w:id="24" w:name="_Toc473621507"/>
      <w:bookmarkStart w:id="25" w:name="_Toc473645586"/>
      <w:bookmarkStart w:id="26" w:name="_Toc473645974"/>
      <w:bookmarkStart w:id="27" w:name="_Toc473646166"/>
      <w:bookmarkStart w:id="28" w:name="_Toc473646548"/>
      <w:bookmarkStart w:id="29" w:name="_Toc473708202"/>
      <w:bookmarkStart w:id="30" w:name="_Toc473708249"/>
      <w:bookmarkStart w:id="31" w:name="_Toc473726070"/>
      <w:bookmarkStart w:id="32" w:name="_Toc473726182"/>
      <w:bookmarkStart w:id="33" w:name="_Toc473726287"/>
      <w:bookmarkStart w:id="34" w:name="_Toc515031462"/>
      <w:bookmarkStart w:id="35" w:name="_Toc515031512"/>
      <w:bookmarkStart w:id="36" w:name="_Toc533150122"/>
      <w:bookmarkStart w:id="37" w:name="_Toc2005236"/>
      <w:bookmarkEnd w:id="1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946A28">
        <w:lastRenderedPageBreak/>
        <w:t>Introduction and background</w:t>
      </w:r>
      <w:bookmarkEnd w:id="36"/>
      <w:bookmarkEnd w:id="37"/>
    </w:p>
    <w:p w14:paraId="45343F4E" w14:textId="7215C89D" w:rsidR="000A73EB" w:rsidRDefault="00054208" w:rsidP="00CD419A">
      <w:pPr>
        <w:pStyle w:val="Normal-nospacing"/>
      </w:pPr>
      <w:r>
        <w:t>T</w:t>
      </w:r>
      <w:r w:rsidRPr="00905D86">
        <w:t>he Australian Health Services Research Institute (AHSRI), University of Wollongong</w:t>
      </w:r>
      <w:r w:rsidR="00F95E29">
        <w:t>,</w:t>
      </w:r>
      <w:r w:rsidRPr="00905D86">
        <w:t xml:space="preserve"> </w:t>
      </w:r>
      <w:r>
        <w:t xml:space="preserve">was </w:t>
      </w:r>
      <w:r w:rsidRPr="00905D86">
        <w:t xml:space="preserve">commissioned by the Commonwealth Department of Health (the Department) </w:t>
      </w:r>
      <w:r>
        <w:t xml:space="preserve">in August 2017 </w:t>
      </w:r>
      <w:r w:rsidRPr="00905D86">
        <w:t xml:space="preserve">to undertake </w:t>
      </w:r>
      <w:r>
        <w:t>the ‘R</w:t>
      </w:r>
      <w:r w:rsidRPr="00905D86">
        <w:t xml:space="preserve">esource </w:t>
      </w:r>
      <w:r>
        <w:t>U</w:t>
      </w:r>
      <w:r w:rsidRPr="00905D86">
        <w:t xml:space="preserve">tilisation and </w:t>
      </w:r>
      <w:r>
        <w:t>C</w:t>
      </w:r>
      <w:r w:rsidRPr="00905D86">
        <w:t xml:space="preserve">lassification </w:t>
      </w:r>
      <w:r>
        <w:t>S</w:t>
      </w:r>
      <w:r w:rsidRPr="00905D86">
        <w:t>tudy</w:t>
      </w:r>
      <w:r>
        <w:t>’</w:t>
      </w:r>
      <w:r w:rsidRPr="00905D86">
        <w:t xml:space="preserve"> (RUCS)</w:t>
      </w:r>
      <w:r w:rsidR="00106793">
        <w:t xml:space="preserve">. This </w:t>
      </w:r>
      <w:r>
        <w:t>follow</w:t>
      </w:r>
      <w:r w:rsidR="00106793">
        <w:t>ed</w:t>
      </w:r>
      <w:r>
        <w:t xml:space="preserve"> an earlier review of the Aged Care Funding Instrument (ACFI)</w:t>
      </w:r>
      <w:r w:rsidR="00F95E29">
        <w:rPr>
          <w:rStyle w:val="FootnoteReference"/>
        </w:rPr>
        <w:footnoteReference w:id="1"/>
      </w:r>
      <w:r>
        <w:t xml:space="preserve"> which </w:t>
      </w:r>
      <w:r w:rsidR="00106793">
        <w:t xml:space="preserve">concluded </w:t>
      </w:r>
      <w:r>
        <w:t>that ACFI did not reflect the care needs of residents nor did payments reflect the relative costs of providing care. The ACFI review recommended the development of a new casemix classification an</w:t>
      </w:r>
      <w:r w:rsidR="00473200">
        <w:t>d funding assessment framework.</w:t>
      </w:r>
    </w:p>
    <w:p w14:paraId="02920736" w14:textId="17220D28" w:rsidR="00054208" w:rsidRDefault="000D56A8" w:rsidP="00CD419A">
      <w:pPr>
        <w:pStyle w:val="Normal-nospacing"/>
      </w:pPr>
      <w:r>
        <w:t xml:space="preserve">The </w:t>
      </w:r>
      <w:r w:rsidR="00054208">
        <w:t>RUCS comprised four separate but closely related studies, each of which included separate data collection and analysis elements that have been synthesised to produce a classification and associated funding model, the Australian National Aged Care Classification (AN-ACC), for implementation across the Australian residential aged care sector.</w:t>
      </w:r>
      <w:r w:rsidR="00106793">
        <w:t xml:space="preserve"> </w:t>
      </w:r>
      <w:r w:rsidR="00E21012">
        <w:t xml:space="preserve">A brief outline of the RUCS is provided </w:t>
      </w:r>
      <w:r w:rsidR="00106793">
        <w:t xml:space="preserve">in </w:t>
      </w:r>
      <w:r w:rsidR="00106793">
        <w:fldChar w:fldCharType="begin"/>
      </w:r>
      <w:r w:rsidR="00106793">
        <w:instrText xml:space="preserve"> REF _Ref534360349 \h </w:instrText>
      </w:r>
      <w:r w:rsidR="00CD419A">
        <w:instrText xml:space="preserve"> \* MERGEFORMAT </w:instrText>
      </w:r>
      <w:r w:rsidR="00106793">
        <w:fldChar w:fldCharType="separate"/>
      </w:r>
      <w:r w:rsidR="008928D6">
        <w:t>Appendix 1</w:t>
      </w:r>
      <w:r w:rsidR="00106793">
        <w:fldChar w:fldCharType="end"/>
      </w:r>
      <w:r w:rsidR="00106793">
        <w:t>.</w:t>
      </w:r>
    </w:p>
    <w:p w14:paraId="75211020" w14:textId="7D347734" w:rsidR="00B42E3A" w:rsidRDefault="00054208" w:rsidP="00CD419A">
      <w:pPr>
        <w:pStyle w:val="Normal-nospacing"/>
      </w:pPr>
      <w:r>
        <w:t>This is the second of a series of reports that present the results of the body of work completed as part of the overall RUCS program.</w:t>
      </w:r>
      <w:r w:rsidRPr="00970773">
        <w:t xml:space="preserve"> </w:t>
      </w:r>
      <w:r>
        <w:t xml:space="preserve">This report (Report 2) describes the new assessment model developed to support the AN-ACC. It </w:t>
      </w:r>
      <w:r w:rsidR="003D6C71">
        <w:t>contains details of the AN-ACC A</w:t>
      </w:r>
      <w:r>
        <w:t xml:space="preserve">ssessment </w:t>
      </w:r>
      <w:r w:rsidR="003D6C71">
        <w:t>T</w:t>
      </w:r>
      <w:r>
        <w:t xml:space="preserve">ool including its </w:t>
      </w:r>
      <w:r>
        <w:rPr>
          <w:lang w:val="sv-SE"/>
        </w:rPr>
        <w:t>developme</w:t>
      </w:r>
      <w:r w:rsidR="0096436F">
        <w:rPr>
          <w:lang w:val="sv-SE"/>
        </w:rPr>
        <w:t xml:space="preserve">nt using expert clinical panels, field-testing outcomes, and the recommended business rules regarding assessment, </w:t>
      </w:r>
      <w:r w:rsidR="003D6C71">
        <w:rPr>
          <w:lang w:val="sv-SE"/>
        </w:rPr>
        <w:t>reassessment</w:t>
      </w:r>
      <w:r w:rsidR="0096436F">
        <w:rPr>
          <w:lang w:val="sv-SE"/>
        </w:rPr>
        <w:t xml:space="preserve"> protocols and triggers. The report also describes the skills and competencies necessary for the AN-ACC assessment workforce</w:t>
      </w:r>
      <w:r>
        <w:rPr>
          <w:lang w:val="sv-SE"/>
        </w:rPr>
        <w:t>.</w:t>
      </w:r>
    </w:p>
    <w:p w14:paraId="75A68D20" w14:textId="125F978A" w:rsidR="00054208" w:rsidRDefault="00054208" w:rsidP="00054208">
      <w:pPr>
        <w:pStyle w:val="Heading2"/>
      </w:pPr>
      <w:bookmarkStart w:id="38" w:name="_Toc2005237"/>
      <w:r>
        <w:t xml:space="preserve">Key elements of the </w:t>
      </w:r>
      <w:r w:rsidR="00D452AA">
        <w:t>AN-ACC system</w:t>
      </w:r>
      <w:bookmarkEnd w:id="38"/>
      <w:r w:rsidR="00D452AA">
        <w:t xml:space="preserve"> </w:t>
      </w:r>
    </w:p>
    <w:p w14:paraId="2536F552" w14:textId="61ACCDFB" w:rsidR="00054208" w:rsidRDefault="00054208" w:rsidP="00054208">
      <w:pPr>
        <w:spacing w:before="240"/>
      </w:pPr>
      <w:r>
        <w:t>The</w:t>
      </w:r>
      <w:r w:rsidR="00D452AA" w:rsidRPr="00D452AA">
        <w:t xml:space="preserve"> </w:t>
      </w:r>
      <w:r w:rsidR="00D452AA">
        <w:t xml:space="preserve">AN-ACC system comprises a funding model, casemix classification and assessment </w:t>
      </w:r>
      <w:r w:rsidR="004E1196">
        <w:t>model</w:t>
      </w:r>
      <w:r w:rsidR="00D452AA">
        <w:t xml:space="preserve">. It has </w:t>
      </w:r>
      <w:r>
        <w:t>six key design elements:</w:t>
      </w:r>
    </w:p>
    <w:p w14:paraId="2D887E70" w14:textId="0C1E47C8" w:rsidR="00682906" w:rsidRPr="00946A28" w:rsidRDefault="00682906" w:rsidP="00B85702">
      <w:pPr>
        <w:pStyle w:val="Bullets"/>
        <w:numPr>
          <w:ilvl w:val="0"/>
          <w:numId w:val="11"/>
        </w:numPr>
        <w:rPr>
          <w:rFonts w:cstheme="minorHAnsi"/>
        </w:rPr>
      </w:pPr>
      <w:r w:rsidRPr="00946A28">
        <w:rPr>
          <w:rFonts w:cstheme="minorHAnsi"/>
        </w:rPr>
        <w:t>Resident assessment for funding to be separate from resident assessment for care planning purposes</w:t>
      </w:r>
      <w:r w:rsidR="008C6D0A">
        <w:rPr>
          <w:rFonts w:cstheme="minorHAnsi"/>
        </w:rPr>
        <w:t>.</w:t>
      </w:r>
    </w:p>
    <w:p w14:paraId="68674DA0" w14:textId="29927F43" w:rsidR="00682906" w:rsidRPr="00946A28" w:rsidRDefault="00682906" w:rsidP="00B85702">
      <w:pPr>
        <w:pStyle w:val="Bullets"/>
        <w:numPr>
          <w:ilvl w:val="0"/>
          <w:numId w:val="11"/>
        </w:numPr>
        <w:rPr>
          <w:rFonts w:cstheme="minorHAnsi"/>
        </w:rPr>
      </w:pPr>
      <w:r w:rsidRPr="00946A28">
        <w:rPr>
          <w:rFonts w:cstheme="minorHAnsi"/>
        </w:rPr>
        <w:t>Assessment for funding purposes to be undertaken by external assessors capturing the information necessary to assign a resident to a payment class</w:t>
      </w:r>
      <w:r w:rsidR="008C6D0A">
        <w:rPr>
          <w:rFonts w:cstheme="minorHAnsi"/>
        </w:rPr>
        <w:t>.</w:t>
      </w:r>
    </w:p>
    <w:p w14:paraId="5E19E324" w14:textId="62D7A5F9" w:rsidR="00682906" w:rsidRPr="00946A28" w:rsidRDefault="00682906" w:rsidP="00B85702">
      <w:pPr>
        <w:pStyle w:val="Bullets"/>
        <w:numPr>
          <w:ilvl w:val="0"/>
          <w:numId w:val="11"/>
        </w:numPr>
        <w:rPr>
          <w:rFonts w:cstheme="minorHAnsi"/>
        </w:rPr>
      </w:pPr>
      <w:r w:rsidRPr="00946A28">
        <w:rPr>
          <w:rFonts w:cstheme="minorHAnsi"/>
        </w:rPr>
        <w:t>Assessment related to care planning to be undertaken by the residential aged care facility based on resident needs and underpinned by consumer</w:t>
      </w:r>
      <w:r w:rsidR="00BD6315">
        <w:rPr>
          <w:rFonts w:cstheme="minorHAnsi"/>
        </w:rPr>
        <w:t xml:space="preserve"> </w:t>
      </w:r>
      <w:r w:rsidRPr="00946A28">
        <w:rPr>
          <w:rFonts w:cstheme="minorHAnsi"/>
        </w:rPr>
        <w:t>directed care (CDC) principles</w:t>
      </w:r>
      <w:r w:rsidR="008C6D0A">
        <w:rPr>
          <w:rFonts w:cstheme="minorHAnsi"/>
        </w:rPr>
        <w:t>.</w:t>
      </w:r>
    </w:p>
    <w:p w14:paraId="222BCB20" w14:textId="5AE57650" w:rsidR="00682906" w:rsidRPr="00946A28" w:rsidRDefault="00682906" w:rsidP="00B85702">
      <w:pPr>
        <w:pStyle w:val="Bullets"/>
        <w:numPr>
          <w:ilvl w:val="0"/>
          <w:numId w:val="11"/>
        </w:numPr>
        <w:rPr>
          <w:rFonts w:cstheme="minorHAnsi"/>
        </w:rPr>
      </w:pPr>
      <w:r w:rsidRPr="00946A28">
        <w:rPr>
          <w:rFonts w:cstheme="minorHAnsi"/>
        </w:rPr>
        <w:t>Provision of a one-off adjustment payment for each new resident that recognises additional, but time-limited, resource requirements when someone initially enters residential care</w:t>
      </w:r>
      <w:r w:rsidR="008C6D0A">
        <w:rPr>
          <w:rFonts w:cstheme="minorHAnsi"/>
        </w:rPr>
        <w:t>.</w:t>
      </w:r>
    </w:p>
    <w:p w14:paraId="051C4573" w14:textId="56A5D4BF" w:rsidR="00682906" w:rsidRPr="00946A28" w:rsidRDefault="00682906" w:rsidP="00B85702">
      <w:pPr>
        <w:pStyle w:val="Bullets"/>
        <w:numPr>
          <w:ilvl w:val="0"/>
          <w:numId w:val="11"/>
        </w:numPr>
        <w:rPr>
          <w:rFonts w:cstheme="minorHAnsi"/>
        </w:rPr>
      </w:pPr>
      <w:r w:rsidRPr="00946A28">
        <w:rPr>
          <w:rFonts w:cstheme="minorHAnsi"/>
        </w:rPr>
        <w:t>A fixed price per day for the costs of care that are shared equally by all residents. This may vary by location and other factors</w:t>
      </w:r>
      <w:r w:rsidR="008C6D0A">
        <w:rPr>
          <w:rFonts w:cstheme="minorHAnsi"/>
        </w:rPr>
        <w:t>.</w:t>
      </w:r>
    </w:p>
    <w:p w14:paraId="28A0F072" w14:textId="39AAB653" w:rsidR="00682906" w:rsidRPr="00946A28" w:rsidRDefault="00682906" w:rsidP="00B85702">
      <w:pPr>
        <w:pStyle w:val="Bullets"/>
        <w:numPr>
          <w:ilvl w:val="0"/>
          <w:numId w:val="11"/>
        </w:numPr>
        <w:rPr>
          <w:rFonts w:cstheme="minorHAnsi"/>
        </w:rPr>
      </w:pPr>
      <w:r w:rsidRPr="00946A28">
        <w:rPr>
          <w:rFonts w:cstheme="minorHAnsi"/>
        </w:rPr>
        <w:lastRenderedPageBreak/>
        <w:t>A variable price per day for the costs of individualised care for each resident based on their AN-ACC casemix class</w:t>
      </w:r>
      <w:r w:rsidR="00D452AA">
        <w:rPr>
          <w:rFonts w:cstheme="minorHAnsi"/>
        </w:rPr>
        <w:t>ification</w:t>
      </w:r>
      <w:r w:rsidRPr="00946A28">
        <w:rPr>
          <w:rFonts w:cstheme="minorHAnsi"/>
        </w:rPr>
        <w:t>.</w:t>
      </w:r>
    </w:p>
    <w:p w14:paraId="0FD41BCA" w14:textId="3E2AC67A" w:rsidR="00054208" w:rsidRPr="00054208" w:rsidRDefault="00793AC0" w:rsidP="00B42E3A">
      <w:pPr>
        <w:rPr>
          <w:lang w:val="sv-SE"/>
        </w:rPr>
      </w:pPr>
      <w:r>
        <w:t xml:space="preserve">The first three elements relate to the new assessment model, which is the subject of this report. The model has been developed with input from four clinical advisory panels involving </w:t>
      </w:r>
      <w:r w:rsidR="00B6398C">
        <w:t>more than 3</w:t>
      </w:r>
      <w:r>
        <w:t xml:space="preserve">0 expert clinicians and researchers, and </w:t>
      </w:r>
      <w:r w:rsidR="006E29E9">
        <w:t>trialled</w:t>
      </w:r>
      <w:r>
        <w:t xml:space="preserve"> as part of the </w:t>
      </w:r>
      <w:r w:rsidRPr="00B806F5">
        <w:t>RUCS</w:t>
      </w:r>
      <w:r w:rsidR="00192088">
        <w:t xml:space="preserve">. </w:t>
      </w:r>
      <w:r w:rsidR="00054208">
        <w:t xml:space="preserve">This report details the factors that have influenced the design of the new model, outcomes of the studies in which it has been trialled, and provides recommendations for future implementation to support the AN-ACC </w:t>
      </w:r>
      <w:r w:rsidR="00B7652F">
        <w:t>system</w:t>
      </w:r>
      <w:r w:rsidR="00473200">
        <w:t>.</w:t>
      </w:r>
    </w:p>
    <w:p w14:paraId="107492B0" w14:textId="77777777" w:rsidR="0048449A" w:rsidRDefault="0048449A" w:rsidP="00634F17">
      <w:pPr>
        <w:pStyle w:val="Heading2"/>
      </w:pPr>
      <w:bookmarkStart w:id="39" w:name="_Toc531178382"/>
      <w:bookmarkStart w:id="40" w:name="_Toc2005238"/>
      <w:r>
        <w:t>Ethical approval</w:t>
      </w:r>
      <w:bookmarkEnd w:id="39"/>
      <w:bookmarkEnd w:id="40"/>
      <w:r>
        <w:t xml:space="preserve"> </w:t>
      </w:r>
    </w:p>
    <w:p w14:paraId="320ED38A" w14:textId="393CCEBA" w:rsidR="00FA082A" w:rsidRDefault="0048449A" w:rsidP="00054208">
      <w:r w:rsidRPr="0048449A">
        <w:t>Ethical approval for all components of the RUCS was granted prior to its commencement by the University of Wollongong and Illawarra Shoalhaven Local Health District Health and Medical Human Research Ethics Committee (Approval date 21/02/2018, Ethics Number 2017/546).</w:t>
      </w:r>
    </w:p>
    <w:p w14:paraId="6CD386CA" w14:textId="77777777" w:rsidR="00FA082A" w:rsidRDefault="00FA082A">
      <w:r>
        <w:br w:type="page"/>
      </w:r>
    </w:p>
    <w:p w14:paraId="1D0C9BE7" w14:textId="6F3001A2" w:rsidR="0060188E" w:rsidRDefault="0060188E" w:rsidP="0060188E">
      <w:pPr>
        <w:pStyle w:val="Heading1"/>
      </w:pPr>
      <w:bookmarkStart w:id="41" w:name="_Toc2005239"/>
      <w:bookmarkStart w:id="42" w:name="_Toc531178383"/>
      <w:r>
        <w:lastRenderedPageBreak/>
        <w:t>AN-ACC Assessment Model</w:t>
      </w:r>
      <w:r w:rsidR="00EE065F">
        <w:t xml:space="preserve"> - overview</w:t>
      </w:r>
      <w:bookmarkEnd w:id="41"/>
    </w:p>
    <w:p w14:paraId="00A300B2" w14:textId="6DA88FE5" w:rsidR="00C2702D" w:rsidRDefault="0060188E" w:rsidP="0060188E">
      <w:pPr>
        <w:pStyle w:val="Normal-nospacing"/>
      </w:pPr>
      <w:r>
        <w:t xml:space="preserve">The AN-ACC </w:t>
      </w:r>
      <w:r w:rsidR="00551077">
        <w:t>a</w:t>
      </w:r>
      <w:r>
        <w:t xml:space="preserve">ssessment </w:t>
      </w:r>
      <w:r w:rsidR="00551077">
        <w:t>m</w:t>
      </w:r>
      <w:r>
        <w:t>odel provides for independent external assessment of aged care residents</w:t>
      </w:r>
      <w:r w:rsidR="00C2702D">
        <w:t xml:space="preserve">. It </w:t>
      </w:r>
      <w:r>
        <w:t>separat</w:t>
      </w:r>
      <w:r w:rsidR="00C2702D">
        <w:t xml:space="preserve">es </w:t>
      </w:r>
      <w:r>
        <w:t>assessment for funding purposes from care planning</w:t>
      </w:r>
      <w:r w:rsidR="00C2702D">
        <w:t xml:space="preserve">, with the former undertaken by a workforce of </w:t>
      </w:r>
      <w:r w:rsidR="00A00DA5">
        <w:t>e</w:t>
      </w:r>
      <w:r>
        <w:t xml:space="preserve">xperienced clinicians </w:t>
      </w:r>
      <w:r w:rsidR="00D85067">
        <w:t xml:space="preserve">who are </w:t>
      </w:r>
      <w:r>
        <w:t>independent from residential care providers</w:t>
      </w:r>
      <w:r w:rsidR="00C2702D">
        <w:t xml:space="preserve"> and the latter undertaken by care home staff who know the resident well</w:t>
      </w:r>
      <w:r w:rsidR="00473200">
        <w:t>.</w:t>
      </w:r>
    </w:p>
    <w:p w14:paraId="61C6A736" w14:textId="1F3DE9E4" w:rsidR="00C2702D" w:rsidRDefault="0060188E" w:rsidP="0060188E">
      <w:pPr>
        <w:pStyle w:val="Normal-nospacing"/>
      </w:pPr>
      <w:r>
        <w:t>Th</w:t>
      </w:r>
      <w:r w:rsidR="00C2702D">
        <w:t>is is a significant change from the current approach to assessment using ACFI. The ACFI model involves staff within the residential aged care facilities assessing each resident and submitting results to the Commonwealth for funding purposes</w:t>
      </w:r>
      <w:r w:rsidR="007978F1">
        <w:t>; the same information is often used as a basis for</w:t>
      </w:r>
      <w:r w:rsidR="00473200">
        <w:t xml:space="preserve"> care planning purposes.</w:t>
      </w:r>
    </w:p>
    <w:p w14:paraId="00AD12E0" w14:textId="6E59664B" w:rsidR="00015190" w:rsidRDefault="00015190" w:rsidP="0060188E">
      <w:pPr>
        <w:pStyle w:val="Normal-nospacing"/>
      </w:pPr>
      <w:r>
        <w:t>The model has been developed in consultation with expert clinicians and researchers, and extensively tested; these are discussed in more detail in the foll</w:t>
      </w:r>
      <w:r w:rsidR="00473200">
        <w:t>owing chapters of this report.</w:t>
      </w:r>
    </w:p>
    <w:p w14:paraId="06761748" w14:textId="21D296DF" w:rsidR="007978F1" w:rsidRPr="0060188E" w:rsidRDefault="00EE065F" w:rsidP="007978F1">
      <w:pPr>
        <w:pStyle w:val="Normal-nospacing"/>
      </w:pPr>
      <w:r>
        <w:t xml:space="preserve">The </w:t>
      </w:r>
      <w:r w:rsidR="0060188E">
        <w:t xml:space="preserve">AN-ACC Assessment </w:t>
      </w:r>
      <w:r>
        <w:t xml:space="preserve">Tool </w:t>
      </w:r>
      <w:r w:rsidR="0060188E">
        <w:t>has been designed to capture the core attributes that drive care</w:t>
      </w:r>
      <w:r w:rsidR="00C2702D">
        <w:t xml:space="preserve"> costs in residential aged care. </w:t>
      </w:r>
      <w:r>
        <w:t xml:space="preserve">This is a fundamentally different type of assessment to one that would be undertaken for care planning. </w:t>
      </w:r>
      <w:r w:rsidR="007978F1">
        <w:t xml:space="preserve">It </w:t>
      </w:r>
      <w:r>
        <w:t>is designed to be robust and concise and able to be undertaken by an external expert clinician who is not familiar with the resident.</w:t>
      </w:r>
      <w:r w:rsidR="007978F1">
        <w:t xml:space="preserve"> The structure of the tool aligns to the AN-ACC Version 1.0 branching classific</w:t>
      </w:r>
      <w:r w:rsidR="00473200">
        <w:t>ation that has been developed.</w:t>
      </w:r>
    </w:p>
    <w:p w14:paraId="5E0CFD42" w14:textId="01FE8711" w:rsidR="00163FB4" w:rsidRDefault="00015190" w:rsidP="00163FB4">
      <w:pPr>
        <w:pStyle w:val="Normal-nospacing"/>
      </w:pPr>
      <w:r>
        <w:t xml:space="preserve">The model includes protocols for assessment and reassessment, based on the data analysis conducted throughout the service utilisation studies. Depending on the circumstances, initial assessment for funding and classification purposes can be conducted prior to entry into the care home (with the assessment occurring in a health facility, or the person’s home), or within the first four weeks after the person’s entry into the care home. </w:t>
      </w:r>
      <w:r w:rsidR="00163FB4">
        <w:t>Reassessment and potential class reallocation is expected to occur if the resident experiences major hospital stays, significant changes in mobility capacity and/or increasing frailty or deterioration in health status.</w:t>
      </w:r>
    </w:p>
    <w:p w14:paraId="4507E983" w14:textId="5C8D14F4" w:rsidR="00163FB4" w:rsidRDefault="00163FB4" w:rsidP="00163FB4">
      <w:pPr>
        <w:pStyle w:val="Normal-nospacing"/>
      </w:pPr>
      <w:r>
        <w:t>The AN-ACC funding model is underpinned by an explicit incentive for high quality of care with a focus on restorative care and reablement, with no requirement for reassessment and potential reassignment to a lower payment class if the capability of a resident improves after entry to the care home.</w:t>
      </w:r>
    </w:p>
    <w:p w14:paraId="34367AF6" w14:textId="2460FBE1" w:rsidR="0060188E" w:rsidRDefault="00EE065F" w:rsidP="0060188E">
      <w:pPr>
        <w:pStyle w:val="Normal-nospacing"/>
      </w:pPr>
      <w:r>
        <w:t xml:space="preserve">The assessment process uses a capabilities framework that relies on a skilled and credentialed workforce. It is designed </w:t>
      </w:r>
      <w:r w:rsidR="00E9126C">
        <w:t>to be conducted in a conversational style and req</w:t>
      </w:r>
      <w:r w:rsidR="007978F1">
        <w:t xml:space="preserve">uires assessors to use their clinical judgement in terms of the best approach, sequencing of assessments and interpretation of outcomes. </w:t>
      </w:r>
      <w:r w:rsidR="00E9126C">
        <w:t>E</w:t>
      </w:r>
      <w:r w:rsidR="007978F1">
        <w:t xml:space="preserve">thical considerations </w:t>
      </w:r>
      <w:r w:rsidR="00E9126C">
        <w:t>for the conduct of assessments include ensuring</w:t>
      </w:r>
      <w:r w:rsidR="0060188E">
        <w:t xml:space="preserve"> consumer consent</w:t>
      </w:r>
      <w:r w:rsidR="00E9126C">
        <w:t xml:space="preserve"> and sensitivity to </w:t>
      </w:r>
      <w:r w:rsidR="0060188E">
        <w:t>potential signs of discomfort or distress</w:t>
      </w:r>
      <w:r w:rsidR="00E9126C">
        <w:t xml:space="preserve">, as well as an assessment of </w:t>
      </w:r>
      <w:r w:rsidR="0060188E">
        <w:t xml:space="preserve">risk associated with undertaking the assessment, both to </w:t>
      </w:r>
      <w:r w:rsidR="00E9126C">
        <w:t xml:space="preserve">assessor and the </w:t>
      </w:r>
      <w:r w:rsidR="00473200">
        <w:t>person being assessed.</w:t>
      </w:r>
    </w:p>
    <w:p w14:paraId="7DD617E4" w14:textId="5910A11A" w:rsidR="00875F09" w:rsidRPr="00082258" w:rsidRDefault="00F56230" w:rsidP="0095799D">
      <w:pPr>
        <w:pStyle w:val="Heading2"/>
      </w:pPr>
      <w:bookmarkStart w:id="43" w:name="_Toc2005240"/>
      <w:r>
        <w:t>E</w:t>
      </w:r>
      <w:r w:rsidR="00FE59D4">
        <w:t>xternal</w:t>
      </w:r>
      <w:r>
        <w:t xml:space="preserve"> independent </w:t>
      </w:r>
      <w:r w:rsidR="00FE59D4">
        <w:t xml:space="preserve">assessment </w:t>
      </w:r>
      <w:r>
        <w:t>for funding</w:t>
      </w:r>
      <w:bookmarkEnd w:id="42"/>
      <w:bookmarkEnd w:id="43"/>
      <w:r w:rsidR="005752F4">
        <w:t xml:space="preserve"> </w:t>
      </w:r>
    </w:p>
    <w:p w14:paraId="012D4548" w14:textId="6DFDC160" w:rsidR="004B4D5B" w:rsidRDefault="007666B2" w:rsidP="00CD419A">
      <w:pPr>
        <w:pStyle w:val="Normal-nospacing"/>
      </w:pPr>
      <w:bookmarkStart w:id="44" w:name="_Ref468114647"/>
      <w:r>
        <w:t xml:space="preserve">The </w:t>
      </w:r>
      <w:r w:rsidR="00054208">
        <w:t xml:space="preserve">AN-ACC assessment model is </w:t>
      </w:r>
      <w:r>
        <w:t xml:space="preserve">underpinned by the principle of separation of assessment for funding purposes from </w:t>
      </w:r>
      <w:r w:rsidR="00E432D7">
        <w:t xml:space="preserve">assessment for </w:t>
      </w:r>
      <w:r>
        <w:t xml:space="preserve">care planning. This is consistent with policy </w:t>
      </w:r>
      <w:r>
        <w:lastRenderedPageBreak/>
        <w:t>developments in relation to assessment for social services more broadly, and which also underpin the directions outlined in the</w:t>
      </w:r>
      <w:r w:rsidR="00ED4442">
        <w:t xml:space="preserve"> Department’s proposed </w:t>
      </w:r>
      <w:r>
        <w:t>s</w:t>
      </w:r>
      <w:r w:rsidR="00054208">
        <w:t xml:space="preserve">treamlined assessment </w:t>
      </w:r>
      <w:r w:rsidR="00ED4442">
        <w:t>processes for aged care</w:t>
      </w:r>
      <w:r w:rsidR="00054208">
        <w:t>.</w:t>
      </w:r>
      <w:r w:rsidR="00054208">
        <w:rPr>
          <w:rStyle w:val="FootnoteReference"/>
        </w:rPr>
        <w:footnoteReference w:id="2"/>
      </w:r>
    </w:p>
    <w:p w14:paraId="5AA632AF" w14:textId="1A4ED6CC" w:rsidR="00023FDA" w:rsidRDefault="007666B2" w:rsidP="00CD419A">
      <w:pPr>
        <w:pStyle w:val="Normal-nospacing"/>
      </w:pPr>
      <w:r>
        <w:t>There are potent arguments to separate assessment for funding from care planning, not least due to the perceived conflict of interest if the provider is also the assessor</w:t>
      </w:r>
      <w:r w:rsidR="004B4D5B">
        <w:t xml:space="preserve">. </w:t>
      </w:r>
      <w:r w:rsidR="00054208">
        <w:t>The</w:t>
      </w:r>
      <w:r w:rsidR="00E276E9">
        <w:t xml:space="preserve"> </w:t>
      </w:r>
      <w:r w:rsidR="00E276E9" w:rsidRPr="00E276E9">
        <w:t>Alternative Aged Care Assessment, Classification System and Funding Models</w:t>
      </w:r>
      <w:r w:rsidR="00E276E9">
        <w:rPr>
          <w:rStyle w:val="FootnoteReference"/>
        </w:rPr>
        <w:t xml:space="preserve"> </w:t>
      </w:r>
      <w:r w:rsidR="00E276E9">
        <w:t xml:space="preserve"> project,</w:t>
      </w:r>
      <w:r w:rsidR="008629E9">
        <w:rPr>
          <w:rStyle w:val="FootnoteReference"/>
        </w:rPr>
        <w:footnoteReference w:id="3"/>
      </w:r>
      <w:r w:rsidR="00E276E9">
        <w:t xml:space="preserve"> commonly referred to as the ACFI review, </w:t>
      </w:r>
      <w:r w:rsidR="00054208">
        <w:t>fo</w:t>
      </w:r>
      <w:r w:rsidR="00E276E9">
        <w:t xml:space="preserve">und there was strong evidence that ACFI was being used as </w:t>
      </w:r>
      <w:r w:rsidR="00054208">
        <w:t xml:space="preserve">a proxy </w:t>
      </w:r>
      <w:r w:rsidR="00E276E9">
        <w:t xml:space="preserve">measure of </w:t>
      </w:r>
      <w:r w:rsidR="00054208">
        <w:t xml:space="preserve">resident need. For </w:t>
      </w:r>
      <w:r w:rsidR="00054208" w:rsidRPr="00282324">
        <w:t>example, the pain management item is rated based on what the resident receives (</w:t>
      </w:r>
      <w:r w:rsidR="006E29E9" w:rsidRPr="00282324">
        <w:t>e.g.</w:t>
      </w:r>
      <w:r w:rsidR="00054208" w:rsidRPr="00282324">
        <w:t>, the frequency of therapeutic message and interventions involving technical equipment) irrespective of whether these interventions are what the indiv</w:t>
      </w:r>
      <w:r w:rsidR="00054208">
        <w:t>idual resident actually requires. T</w:t>
      </w:r>
      <w:r w:rsidR="00054208" w:rsidRPr="00282324">
        <w:t>he</w:t>
      </w:r>
      <w:r w:rsidR="00054208">
        <w:t xml:space="preserve"> review also found a</w:t>
      </w:r>
      <w:r w:rsidR="00054208" w:rsidRPr="00282324">
        <w:t xml:space="preserve"> widespread belief in the sector that the current model creates perverse disincentives</w:t>
      </w:r>
      <w:r w:rsidR="00054208">
        <w:t xml:space="preserve">, particularly </w:t>
      </w:r>
      <w:r w:rsidR="00023FDA">
        <w:t xml:space="preserve">in relation to </w:t>
      </w:r>
      <w:r w:rsidR="00054208">
        <w:t xml:space="preserve">restorative and </w:t>
      </w:r>
      <w:r w:rsidR="00C0164F">
        <w:t>reablement</w:t>
      </w:r>
      <w:r w:rsidR="00054208">
        <w:t xml:space="preserve"> programs, b</w:t>
      </w:r>
      <w:r w:rsidR="00023FDA">
        <w:t xml:space="preserve">ecause it </w:t>
      </w:r>
      <w:r w:rsidR="00054208">
        <w:t>reward</w:t>
      </w:r>
      <w:r w:rsidR="00023FDA">
        <w:t>s</w:t>
      </w:r>
      <w:r w:rsidR="00054208" w:rsidRPr="00282324">
        <w:t xml:space="preserve"> dependency</w:t>
      </w:r>
      <w:r w:rsidR="00023FDA">
        <w:t xml:space="preserve"> and thus creates disincentives for restorative care. This is</w:t>
      </w:r>
      <w:r w:rsidR="00054208" w:rsidRPr="00282324">
        <w:t xml:space="preserve"> because</w:t>
      </w:r>
      <w:r w:rsidR="00023FDA">
        <w:t>, under the ACFI,</w:t>
      </w:r>
      <w:r w:rsidR="00054208" w:rsidRPr="00282324">
        <w:t xml:space="preserve"> higher levels of need and depende</w:t>
      </w:r>
      <w:r w:rsidR="00473200">
        <w:t>ncy result in higher subsidies.</w:t>
      </w:r>
    </w:p>
    <w:p w14:paraId="2DC08117" w14:textId="68A40E45" w:rsidR="004B4D5B" w:rsidRDefault="00ED4442" w:rsidP="00CD419A">
      <w:pPr>
        <w:pStyle w:val="Normal-nospacing"/>
      </w:pPr>
      <w:r>
        <w:t>With its focus on assessment for classification and funding purposes, the AN-</w:t>
      </w:r>
      <w:r w:rsidR="006E1632">
        <w:t xml:space="preserve">ACC </w:t>
      </w:r>
      <w:r>
        <w:t>is designed to be robust and concise and able to be completed</w:t>
      </w:r>
      <w:r w:rsidR="00793AC0">
        <w:t xml:space="preserve"> on average</w:t>
      </w:r>
      <w:r>
        <w:t xml:space="preserve"> within one hour</w:t>
      </w:r>
      <w:r w:rsidR="006E1632">
        <w:t xml:space="preserve">. </w:t>
      </w:r>
      <w:r w:rsidR="006E1632" w:rsidRPr="006E1632">
        <w:t xml:space="preserve">Care planning requires a far more comprehensive approach </w:t>
      </w:r>
      <w:r w:rsidR="006E1632">
        <w:t xml:space="preserve">which draws on a thorough knowledge of the resident and uses assessment tools that have greater specificity and sensitivity related to their care needs. Underpinned by a CDC approach, it engages with residents and their family members and/or carers to ensure individual preferences and priorities are </w:t>
      </w:r>
      <w:r w:rsidR="006E29E9">
        <w:t>appropriately</w:t>
      </w:r>
      <w:r w:rsidR="006E1632">
        <w:t xml:space="preserve"> inc</w:t>
      </w:r>
      <w:r w:rsidR="00473200">
        <w:t>orporated within the care plan.</w:t>
      </w:r>
    </w:p>
    <w:p w14:paraId="6E2F27DA" w14:textId="2957AC44" w:rsidR="00F50D88" w:rsidRDefault="007924DC" w:rsidP="0095799D">
      <w:pPr>
        <w:pStyle w:val="Heading2"/>
      </w:pPr>
      <w:bookmarkStart w:id="45" w:name="_Toc2005241"/>
      <w:r>
        <w:t xml:space="preserve">AN-ACC </w:t>
      </w:r>
      <w:r w:rsidR="00F50D88">
        <w:t>Clinical Panels</w:t>
      </w:r>
      <w:bookmarkEnd w:id="45"/>
      <w:r w:rsidR="00F50D88">
        <w:t xml:space="preserve"> </w:t>
      </w:r>
    </w:p>
    <w:p w14:paraId="7FA5268F" w14:textId="4100846C" w:rsidR="004B4D5B" w:rsidRDefault="00DE5743" w:rsidP="00D46083">
      <w:pPr>
        <w:pStyle w:val="Bullets"/>
        <w:numPr>
          <w:ilvl w:val="0"/>
          <w:numId w:val="0"/>
        </w:numPr>
      </w:pPr>
      <w:r>
        <w:rPr>
          <w:rFonts w:eastAsia="Calibri"/>
        </w:rPr>
        <w:t>In addition to the international literature review conducted as part of the ACFI review (above),</w:t>
      </w:r>
      <w:r w:rsidRPr="00DE5743">
        <w:rPr>
          <w:rStyle w:val="FootnoteReference"/>
        </w:rPr>
        <w:t xml:space="preserve"> </w:t>
      </w:r>
      <w:r>
        <w:rPr>
          <w:rStyle w:val="FootnoteReference"/>
        </w:rPr>
        <w:footnoteReference w:id="4"/>
      </w:r>
      <w:r>
        <w:rPr>
          <w:rFonts w:eastAsia="Calibri"/>
        </w:rPr>
        <w:t xml:space="preserve"> the </w:t>
      </w:r>
      <w:r w:rsidR="008629E9">
        <w:rPr>
          <w:rFonts w:eastAsia="Calibri"/>
        </w:rPr>
        <w:t>AN</w:t>
      </w:r>
      <w:r>
        <w:rPr>
          <w:rFonts w:eastAsia="Calibri"/>
        </w:rPr>
        <w:t>-</w:t>
      </w:r>
      <w:r w:rsidR="008629E9">
        <w:rPr>
          <w:rFonts w:eastAsia="Calibri"/>
        </w:rPr>
        <w:t>ACC system</w:t>
      </w:r>
      <w:r>
        <w:rPr>
          <w:rFonts w:eastAsia="Calibri"/>
        </w:rPr>
        <w:t xml:space="preserve"> was developed in consultation with four expert clinical advisory panels</w:t>
      </w:r>
      <w:r w:rsidR="00473200">
        <w:rPr>
          <w:rFonts w:eastAsia="Calibri"/>
        </w:rPr>
        <w:t xml:space="preserve">. </w:t>
      </w:r>
      <w:r w:rsidR="00544501">
        <w:t>More than 30 clinicians and researchers, recognised experts in their respective fields, participated in the panels</w:t>
      </w:r>
      <w:r w:rsidR="00D46083">
        <w:t xml:space="preserve"> (</w:t>
      </w:r>
      <w:r w:rsidR="00544501">
        <w:t>including some members from sectors other than aged care</w:t>
      </w:r>
      <w:r w:rsidR="00D46083">
        <w:t xml:space="preserve">), including </w:t>
      </w:r>
      <w:r w:rsidR="00544501">
        <w:t>rehabilitation, geriatric medicine, psychiatry, wound management and end of life specialists</w:t>
      </w:r>
      <w:r w:rsidR="00D46083">
        <w:t xml:space="preserve">. The membership of each panel is included in </w:t>
      </w:r>
      <w:r w:rsidR="00D46083">
        <w:fldChar w:fldCharType="begin"/>
      </w:r>
      <w:r w:rsidR="00D46083">
        <w:instrText xml:space="preserve"> REF _Ref534367728 \h  \* MERGEFORMAT </w:instrText>
      </w:r>
      <w:r w:rsidR="00D46083">
        <w:fldChar w:fldCharType="separate"/>
      </w:r>
      <w:r w:rsidR="008928D6">
        <w:t>Appendix 2</w:t>
      </w:r>
      <w:r w:rsidR="00D46083">
        <w:fldChar w:fldCharType="end"/>
      </w:r>
      <w:r w:rsidR="00D46083">
        <w:t>. The panels focussed on the four areas of clinical need:</w:t>
      </w:r>
    </w:p>
    <w:p w14:paraId="4EB35F68" w14:textId="5F7B42C1" w:rsidR="003E54AC" w:rsidRDefault="008C6D0A" w:rsidP="003E54AC">
      <w:pPr>
        <w:pStyle w:val="Bullets"/>
        <w:numPr>
          <w:ilvl w:val="0"/>
          <w:numId w:val="8"/>
        </w:numPr>
      </w:pPr>
      <w:r>
        <w:t>f</w:t>
      </w:r>
      <w:r w:rsidR="003E54AC">
        <w:t>u</w:t>
      </w:r>
      <w:r w:rsidR="00473200">
        <w:t>nction, cognition and behaviour</w:t>
      </w:r>
    </w:p>
    <w:p w14:paraId="526002CE" w14:textId="14291DE9" w:rsidR="003E54AC" w:rsidRDefault="008C6D0A" w:rsidP="003E54AC">
      <w:pPr>
        <w:pStyle w:val="Bullets"/>
        <w:numPr>
          <w:ilvl w:val="0"/>
          <w:numId w:val="8"/>
        </w:numPr>
      </w:pPr>
      <w:r>
        <w:t>w</w:t>
      </w:r>
      <w:r w:rsidR="00473200">
        <w:t>ound management</w:t>
      </w:r>
    </w:p>
    <w:p w14:paraId="48587380" w14:textId="77340927" w:rsidR="003E54AC" w:rsidRDefault="008C6D0A" w:rsidP="003E54AC">
      <w:pPr>
        <w:pStyle w:val="Bullets"/>
        <w:numPr>
          <w:ilvl w:val="0"/>
          <w:numId w:val="8"/>
        </w:numPr>
      </w:pPr>
      <w:r>
        <w:t>e</w:t>
      </w:r>
      <w:r w:rsidR="003E54AC">
        <w:t>nd of life</w:t>
      </w:r>
    </w:p>
    <w:p w14:paraId="7D893381" w14:textId="4961176F" w:rsidR="006B2A7D" w:rsidRDefault="008C6D0A" w:rsidP="00C500A8">
      <w:pPr>
        <w:pStyle w:val="Bullets"/>
        <w:numPr>
          <w:ilvl w:val="0"/>
          <w:numId w:val="8"/>
        </w:numPr>
      </w:pPr>
      <w:r>
        <w:t>t</w:t>
      </w:r>
      <w:r w:rsidR="003E54AC">
        <w:t>echnical nursing</w:t>
      </w:r>
      <w:r>
        <w:t>.</w:t>
      </w:r>
    </w:p>
    <w:p w14:paraId="3AB48453" w14:textId="3064CA66" w:rsidR="00544501" w:rsidRDefault="00D46083" w:rsidP="00544501">
      <w:pPr>
        <w:pStyle w:val="Normal-nospacing"/>
      </w:pPr>
      <w:r>
        <w:rPr>
          <w:rFonts w:eastAsia="Calibri"/>
        </w:rPr>
        <w:lastRenderedPageBreak/>
        <w:t xml:space="preserve">The panels clarified the </w:t>
      </w:r>
      <w:r>
        <w:t xml:space="preserve">key characteristics or attributes of residents that drive the cost of care which, in turn, have been used to clarify the casemix classes. They were also used to inform the most relevant assessment tools which could ensure the robustness of the data as well as test the feasibility of the external assessment model. </w:t>
      </w:r>
      <w:r w:rsidR="00544501">
        <w:t>The</w:t>
      </w:r>
      <w:r>
        <w:t xml:space="preserve"> following key questions were co</w:t>
      </w:r>
      <w:r w:rsidR="00473200">
        <w:t>nsidered by each of the panels:</w:t>
      </w:r>
    </w:p>
    <w:p w14:paraId="38B080BA" w14:textId="2FC49F59" w:rsidR="003E54AC" w:rsidRDefault="003E54AC" w:rsidP="00B85702">
      <w:pPr>
        <w:pStyle w:val="Normal-nospacing"/>
        <w:numPr>
          <w:ilvl w:val="0"/>
          <w:numId w:val="15"/>
        </w:numPr>
      </w:pPr>
      <w:r>
        <w:t>What are the resident attributes t</w:t>
      </w:r>
      <w:r w:rsidR="00473200">
        <w:t>hat drive resource consumption?</w:t>
      </w:r>
    </w:p>
    <w:p w14:paraId="664739DB" w14:textId="19100B2D" w:rsidR="003E54AC" w:rsidRDefault="003E54AC" w:rsidP="003E54AC">
      <w:pPr>
        <w:pStyle w:val="Bullets"/>
        <w:numPr>
          <w:ilvl w:val="0"/>
          <w:numId w:val="8"/>
        </w:numPr>
      </w:pPr>
      <w:r>
        <w:t xml:space="preserve">What care costs </w:t>
      </w:r>
      <w:r w:rsidR="00ED3E40">
        <w:t>are</w:t>
      </w:r>
      <w:r>
        <w:t xml:space="preserve"> related to shared care versus individual care?</w:t>
      </w:r>
    </w:p>
    <w:p w14:paraId="5583820A" w14:textId="77777777" w:rsidR="003E54AC" w:rsidRDefault="003E54AC" w:rsidP="003E54AC">
      <w:pPr>
        <w:pStyle w:val="Bullet"/>
      </w:pPr>
      <w:r>
        <w:t>What assessment tools best assess the cost drivers of individual care?</w:t>
      </w:r>
    </w:p>
    <w:p w14:paraId="1B78043E" w14:textId="28C42023" w:rsidR="003E54AC" w:rsidRPr="00CD419A" w:rsidRDefault="003E54AC" w:rsidP="00CD419A">
      <w:pPr>
        <w:pStyle w:val="Normal-nospacing"/>
      </w:pPr>
      <w:r w:rsidRPr="00CD419A">
        <w:t xml:space="preserve">A key consideration was whether </w:t>
      </w:r>
      <w:r w:rsidR="000A73EB" w:rsidRPr="00CD419A">
        <w:t xml:space="preserve">a resident’s medical </w:t>
      </w:r>
      <w:r w:rsidRPr="00CD419A">
        <w:t>diagnos</w:t>
      </w:r>
      <w:r w:rsidR="000A73EB" w:rsidRPr="00CD419A">
        <w:t>is/diagnos</w:t>
      </w:r>
      <w:r w:rsidRPr="00CD419A">
        <w:t xml:space="preserve">es </w:t>
      </w:r>
      <w:r w:rsidR="000A73EB" w:rsidRPr="00CD419A">
        <w:t xml:space="preserve">was a direct </w:t>
      </w:r>
      <w:r w:rsidRPr="00CD419A">
        <w:t xml:space="preserve">driver of resource consumption, </w:t>
      </w:r>
      <w:r w:rsidR="006E29E9" w:rsidRPr="00CD419A">
        <w:t>i.e.</w:t>
      </w:r>
      <w:r w:rsidRPr="00CD419A">
        <w:t xml:space="preserve">, dementia, stroke etc. The consensus across all clinical </w:t>
      </w:r>
      <w:r w:rsidR="00DC5BDE" w:rsidRPr="00CD419A">
        <w:t>panels</w:t>
      </w:r>
      <w:r w:rsidRPr="00CD419A">
        <w:t xml:space="preserve"> was that it is not the diagnosis per se but rather the impact of</w:t>
      </w:r>
      <w:r w:rsidR="00B71523">
        <w:t xml:space="preserve"> the </w:t>
      </w:r>
      <w:r w:rsidRPr="00CD419A">
        <w:t>diagnosis on the</w:t>
      </w:r>
      <w:r w:rsidR="00B71523">
        <w:t xml:space="preserve"> residents’ </w:t>
      </w:r>
      <w:r w:rsidRPr="00CD419A">
        <w:t xml:space="preserve">ability to mobilise, to undertake daily </w:t>
      </w:r>
      <w:r w:rsidR="006E29E9" w:rsidRPr="00CD419A">
        <w:t>self-care</w:t>
      </w:r>
      <w:r w:rsidRPr="00CD419A">
        <w:t xml:space="preserve"> activities and to understand their environment that drives cost. This was a critical point of consensus as it guided the assessment tool selection considerations towards resident function and capability as cost drivers rather than diagnoses.</w:t>
      </w:r>
    </w:p>
    <w:p w14:paraId="292F1447" w14:textId="3EB0ED53" w:rsidR="003E54AC" w:rsidRDefault="003E54AC" w:rsidP="0095799D">
      <w:pPr>
        <w:pStyle w:val="Heading2"/>
      </w:pPr>
      <w:bookmarkStart w:id="46" w:name="_Toc531178387"/>
      <w:bookmarkStart w:id="47" w:name="_Toc2005242"/>
      <w:r>
        <w:t>Clinical</w:t>
      </w:r>
      <w:r w:rsidR="00D46083">
        <w:t xml:space="preserve"> P</w:t>
      </w:r>
      <w:r>
        <w:t xml:space="preserve">anel </w:t>
      </w:r>
      <w:bookmarkEnd w:id="46"/>
      <w:r>
        <w:t>outcomes</w:t>
      </w:r>
      <w:bookmarkEnd w:id="47"/>
    </w:p>
    <w:p w14:paraId="002E2337" w14:textId="7EC49693" w:rsidR="006B2A7D" w:rsidRDefault="00D46083" w:rsidP="003E54AC">
      <w:r>
        <w:t xml:space="preserve">The </w:t>
      </w:r>
      <w:r w:rsidR="003E54AC">
        <w:t>most significant cost drivers in residential aged care</w:t>
      </w:r>
      <w:r>
        <w:t>, agreed by all clinical panels,</w:t>
      </w:r>
      <w:r w:rsidR="003E54AC">
        <w:t xml:space="preserve"> </w:t>
      </w:r>
      <w:r>
        <w:t>are</w:t>
      </w:r>
      <w:r w:rsidR="00473200">
        <w:t>:</w:t>
      </w:r>
    </w:p>
    <w:p w14:paraId="542F675A" w14:textId="4FD215DC" w:rsidR="006B2A7D" w:rsidRDefault="008C6D0A" w:rsidP="00DC5BDE">
      <w:pPr>
        <w:pStyle w:val="Bullets"/>
      </w:pPr>
      <w:r>
        <w:t>e</w:t>
      </w:r>
      <w:r w:rsidR="00ED3E40">
        <w:t>nd of life care needs</w:t>
      </w:r>
    </w:p>
    <w:p w14:paraId="45DA3B0B" w14:textId="6DB48DF6" w:rsidR="006407B4" w:rsidRDefault="008C6D0A" w:rsidP="006407B4">
      <w:pPr>
        <w:pStyle w:val="Bullets"/>
      </w:pPr>
      <w:r>
        <w:t>f</w:t>
      </w:r>
      <w:r w:rsidR="006407B4">
        <w:t>railty</w:t>
      </w:r>
    </w:p>
    <w:p w14:paraId="7F83EC4E" w14:textId="03A4DF54" w:rsidR="006B2A7D" w:rsidRDefault="008C6D0A" w:rsidP="00DC5BDE">
      <w:pPr>
        <w:pStyle w:val="Bullets"/>
      </w:pPr>
      <w:r>
        <w:t>m</w:t>
      </w:r>
      <w:r w:rsidR="003E54AC">
        <w:t xml:space="preserve">obility </w:t>
      </w:r>
    </w:p>
    <w:p w14:paraId="0081BC19" w14:textId="2B09558A" w:rsidR="006B2A7D" w:rsidRDefault="008C6D0A" w:rsidP="00DC5BDE">
      <w:pPr>
        <w:pStyle w:val="Bullets"/>
      </w:pPr>
      <w:r>
        <w:t>a</w:t>
      </w:r>
      <w:r w:rsidR="003F2D51">
        <w:t>ctivities of daily living (AD</w:t>
      </w:r>
      <w:r w:rsidR="003E54AC">
        <w:t>L</w:t>
      </w:r>
      <w:r w:rsidR="003F2D51">
        <w:t>)</w:t>
      </w:r>
      <w:r w:rsidR="003E54AC">
        <w:t xml:space="preserve"> function</w:t>
      </w:r>
    </w:p>
    <w:p w14:paraId="2417526B" w14:textId="706907EB" w:rsidR="006B2A7D" w:rsidRDefault="008C6D0A" w:rsidP="00DC5BDE">
      <w:pPr>
        <w:pStyle w:val="Bullets"/>
      </w:pPr>
      <w:r>
        <w:t>c</w:t>
      </w:r>
      <w:r w:rsidR="003E54AC">
        <w:t>ogni</w:t>
      </w:r>
      <w:r w:rsidR="00466287">
        <w:t>tion and communication</w:t>
      </w:r>
    </w:p>
    <w:p w14:paraId="7512F3CD" w14:textId="5C00C112" w:rsidR="006B2A7D" w:rsidRDefault="008C6D0A" w:rsidP="00DC5BDE">
      <w:pPr>
        <w:pStyle w:val="Bullet"/>
      </w:pPr>
      <w:r>
        <w:t>b</w:t>
      </w:r>
      <w:r w:rsidR="003E54AC">
        <w:t>ehaviour/harm/anxiety/dist</w:t>
      </w:r>
      <w:r w:rsidR="006B2A7D">
        <w:t>ress</w:t>
      </w:r>
    </w:p>
    <w:p w14:paraId="152EE34D" w14:textId="32CE2D27" w:rsidR="006B2A7D" w:rsidRDefault="008C6D0A" w:rsidP="00DC5BDE">
      <w:pPr>
        <w:pStyle w:val="Bullet"/>
      </w:pPr>
      <w:r>
        <w:t>r</w:t>
      </w:r>
      <w:r w:rsidR="00473200">
        <w:t>isk of pressure wounds and</w:t>
      </w:r>
    </w:p>
    <w:p w14:paraId="015EE152" w14:textId="6C29EB75" w:rsidR="006B2A7D" w:rsidRDefault="008C6D0A" w:rsidP="00DC5BDE">
      <w:pPr>
        <w:pStyle w:val="Bullet"/>
      </w:pPr>
      <w:r>
        <w:t>t</w:t>
      </w:r>
      <w:r w:rsidR="003E54AC">
        <w:t>echnical nursing requirements</w:t>
      </w:r>
      <w:r w:rsidR="00ED3E40">
        <w:t>.</w:t>
      </w:r>
    </w:p>
    <w:p w14:paraId="6F881E3A" w14:textId="6D4669E5" w:rsidR="00B85702" w:rsidRDefault="00D46083" w:rsidP="00CD419A">
      <w:pPr>
        <w:pStyle w:val="Normal-nospacing"/>
      </w:pPr>
      <w:r>
        <w:t xml:space="preserve">Agreement was reached across all panels through the active engagement by the research team and individual members, with each panel being </w:t>
      </w:r>
      <w:r w:rsidR="00C500A8" w:rsidRPr="00CD419A">
        <w:t>kept appraised of the deliberations of other</w:t>
      </w:r>
      <w:r>
        <w:t xml:space="preserve">s. This supported the </w:t>
      </w:r>
      <w:r w:rsidR="00DC5BDE" w:rsidRPr="00CD419A">
        <w:t xml:space="preserve">development of a consensus across all panels on the domains to be captured within the AN-ACC </w:t>
      </w:r>
      <w:r w:rsidR="00B85702">
        <w:t xml:space="preserve">classification and </w:t>
      </w:r>
      <w:r w:rsidR="00473200">
        <w:t>assessment process.</w:t>
      </w:r>
    </w:p>
    <w:p w14:paraId="1957EDED" w14:textId="5D4F5392" w:rsidR="00F50D88" w:rsidRDefault="00F50D88">
      <w:r>
        <w:br w:type="page"/>
      </w:r>
    </w:p>
    <w:p w14:paraId="4745E3E7" w14:textId="77777777" w:rsidR="00F50D88" w:rsidRPr="00F50D88" w:rsidRDefault="00F50D88" w:rsidP="00DC5BDE">
      <w:pPr>
        <w:spacing w:before="120" w:after="120"/>
        <w:rPr>
          <w:sz w:val="4"/>
          <w:szCs w:val="4"/>
        </w:rPr>
      </w:pPr>
    </w:p>
    <w:p w14:paraId="392BC3E0" w14:textId="4EF56080" w:rsidR="006B2A7D" w:rsidRDefault="006B2A7D" w:rsidP="00026FD1">
      <w:pPr>
        <w:pStyle w:val="Heading1"/>
      </w:pPr>
      <w:bookmarkStart w:id="48" w:name="_Toc2005243"/>
      <w:r>
        <w:t>A</w:t>
      </w:r>
      <w:r w:rsidR="00A96B0A">
        <w:t xml:space="preserve">N-ACC </w:t>
      </w:r>
      <w:r w:rsidR="0060188E">
        <w:t xml:space="preserve">Assessment </w:t>
      </w:r>
      <w:r w:rsidR="00A96B0A">
        <w:t>T</w:t>
      </w:r>
      <w:r w:rsidR="00A42D72">
        <w:t xml:space="preserve">ool </w:t>
      </w:r>
      <w:r w:rsidR="00A3382C">
        <w:t>development</w:t>
      </w:r>
      <w:bookmarkEnd w:id="48"/>
      <w:r>
        <w:t xml:space="preserve"> </w:t>
      </w:r>
    </w:p>
    <w:p w14:paraId="21B52A25" w14:textId="589632EE" w:rsidR="007924DC" w:rsidRDefault="007835E7" w:rsidP="007924DC">
      <w:r>
        <w:t xml:space="preserve">Development of the </w:t>
      </w:r>
      <w:r w:rsidR="00B6398C">
        <w:t>AN-ACC Assessment Tool</w:t>
      </w:r>
      <w:r>
        <w:t xml:space="preserve"> </w:t>
      </w:r>
      <w:r w:rsidR="007924DC">
        <w:t>was guided by the following</w:t>
      </w:r>
      <w:r>
        <w:t xml:space="preserve"> principles</w:t>
      </w:r>
      <w:r w:rsidR="007924DC">
        <w:t>:</w:t>
      </w:r>
    </w:p>
    <w:p w14:paraId="3E1E88DC" w14:textId="77777777" w:rsidR="007924DC" w:rsidRPr="00A3382C" w:rsidRDefault="007924DC" w:rsidP="00A3382C">
      <w:pPr>
        <w:pStyle w:val="Bullets"/>
      </w:pPr>
      <w:r w:rsidRPr="00A3382C">
        <w:t>the tool is suitable for external assessment</w:t>
      </w:r>
    </w:p>
    <w:p w14:paraId="34753B56" w14:textId="1B367886" w:rsidR="007924DC" w:rsidRPr="00A3382C" w:rsidRDefault="007924DC" w:rsidP="00A3382C">
      <w:pPr>
        <w:pStyle w:val="Bullets"/>
      </w:pPr>
      <w:r w:rsidRPr="00A3382C">
        <w:t xml:space="preserve">the tool is able to be completed in one session, with minimal burden to the </w:t>
      </w:r>
      <w:r w:rsidR="00BC740E">
        <w:t>person being assessed</w:t>
      </w:r>
    </w:p>
    <w:p w14:paraId="10721CCD" w14:textId="4770E7E9" w:rsidR="007924DC" w:rsidRPr="00A3382C" w:rsidRDefault="007924DC" w:rsidP="00A3382C">
      <w:pPr>
        <w:pStyle w:val="Bullets"/>
      </w:pPr>
      <w:r w:rsidRPr="00A3382C">
        <w:t>the tool is appropriate for reassessment purposes</w:t>
      </w:r>
    </w:p>
    <w:p w14:paraId="04C78DB0" w14:textId="77777777" w:rsidR="007924DC" w:rsidRPr="00A3382C" w:rsidRDefault="007924DC" w:rsidP="00A3382C">
      <w:pPr>
        <w:pStyle w:val="Bullets"/>
      </w:pPr>
      <w:r w:rsidRPr="00A3382C">
        <w:t>the tool is psychometrically sound</w:t>
      </w:r>
    </w:p>
    <w:p w14:paraId="769348AA" w14:textId="77777777" w:rsidR="007924DC" w:rsidRPr="00A3382C" w:rsidRDefault="007924DC" w:rsidP="00A3382C">
      <w:pPr>
        <w:pStyle w:val="Bullets"/>
      </w:pPr>
      <w:r w:rsidRPr="00A3382C">
        <w:t>the items selected do not result in perverse incentives that could reward substandard care, and</w:t>
      </w:r>
    </w:p>
    <w:p w14:paraId="0B5796A6" w14:textId="77777777" w:rsidR="007924DC" w:rsidRDefault="007924DC" w:rsidP="00A3382C">
      <w:pPr>
        <w:pStyle w:val="Bullets"/>
      </w:pPr>
      <w:r w:rsidRPr="00A3382C">
        <w:t>instrum</w:t>
      </w:r>
      <w:r>
        <w:t>ents incorporated in the tool are not subject to royalty or copyright restrictions.</w:t>
      </w:r>
    </w:p>
    <w:p w14:paraId="73FE2370" w14:textId="3C59E84A" w:rsidR="00ED3E40" w:rsidRDefault="001853AD" w:rsidP="00ED3E40">
      <w:pPr>
        <w:pStyle w:val="Normal-nospacing"/>
      </w:pPr>
      <w:r>
        <w:t>Several high-level decisions were agreed by the panels that influenced the design, hierarchy and implementation approach of the AN-ACC</w:t>
      </w:r>
      <w:r w:rsidR="007835E7">
        <w:t xml:space="preserve"> system and the assessment tool design</w:t>
      </w:r>
      <w:r>
        <w:t xml:space="preserve">. These are </w:t>
      </w:r>
      <w:r w:rsidR="00DB1B82">
        <w:t xml:space="preserve">discussed below and summarised </w:t>
      </w:r>
      <w:r w:rsidR="00874B3C">
        <w:t>in</w:t>
      </w:r>
      <w:r w:rsidR="00ED3E40">
        <w:t xml:space="preserve"> </w:t>
      </w:r>
      <w:r w:rsidR="009C538E">
        <w:fldChar w:fldCharType="begin"/>
      </w:r>
      <w:r w:rsidR="009C538E">
        <w:instrText xml:space="preserve"> REF _Ref534362073 \h </w:instrText>
      </w:r>
      <w:r w:rsidR="009C538E">
        <w:fldChar w:fldCharType="separate"/>
      </w:r>
      <w:r w:rsidR="008928D6">
        <w:t>Appendix 3</w:t>
      </w:r>
      <w:r w:rsidR="009C538E">
        <w:fldChar w:fldCharType="end"/>
      </w:r>
      <w:r w:rsidR="00220432">
        <w:t>,</w:t>
      </w:r>
      <w:r w:rsidR="00F751E7">
        <w:t xml:space="preserve"> and the </w:t>
      </w:r>
      <w:r w:rsidR="00B6398C">
        <w:t>AN-ACC Assessment Tool</w:t>
      </w:r>
      <w:r w:rsidR="00F751E7">
        <w:t xml:space="preserve"> is included as</w:t>
      </w:r>
      <w:r w:rsidR="00AF19CF">
        <w:t xml:space="preserve"> </w:t>
      </w:r>
      <w:r w:rsidR="00AF19CF">
        <w:fldChar w:fldCharType="begin"/>
      </w:r>
      <w:r w:rsidR="00AF19CF">
        <w:instrText xml:space="preserve"> REF _Ref535237735 \h </w:instrText>
      </w:r>
      <w:r w:rsidR="00AF19CF">
        <w:fldChar w:fldCharType="separate"/>
      </w:r>
      <w:r w:rsidR="008928D6">
        <w:t>Appendix 5</w:t>
      </w:r>
      <w:r w:rsidR="00AF19CF">
        <w:fldChar w:fldCharType="end"/>
      </w:r>
      <w:r w:rsidR="00F751E7">
        <w:t>.</w:t>
      </w:r>
    </w:p>
    <w:p w14:paraId="27933144" w14:textId="62367CDE" w:rsidR="00635F18" w:rsidRDefault="00635F18" w:rsidP="00635F18">
      <w:r>
        <w:t>The AN-ACC assessment model was tested and refined through three studies undertaken as part of RUCS. These three studies included a</w:t>
      </w:r>
      <w:r w:rsidR="00473200">
        <w:t>pproximately 6,000 assessments:</w:t>
      </w:r>
    </w:p>
    <w:p w14:paraId="54D5BE84" w14:textId="575EF3EC" w:rsidR="00635F18" w:rsidRPr="00616E37" w:rsidRDefault="00B6398C" w:rsidP="00635F18">
      <w:pPr>
        <w:pStyle w:val="Bullet"/>
      </w:pPr>
      <w:r w:rsidRPr="00D85067">
        <w:rPr>
          <w:b/>
        </w:rPr>
        <w:t>Service utilisation and classification development study</w:t>
      </w:r>
      <w:r w:rsidR="00635F18" w:rsidRPr="00616E37">
        <w:t xml:space="preserve">: </w:t>
      </w:r>
      <w:r w:rsidR="00635F18">
        <w:t xml:space="preserve">Approximately </w:t>
      </w:r>
      <w:r w:rsidR="00635F18" w:rsidRPr="00616E37">
        <w:t>2,000 assessments undertaken in 30 aged facilities in three regional clusters</w:t>
      </w:r>
      <w:r w:rsidR="00D85067">
        <w:t xml:space="preserve"> (see Report </w:t>
      </w:r>
      <w:r w:rsidR="00F174D4">
        <w:t>1</w:t>
      </w:r>
      <w:r w:rsidR="00D85067">
        <w:t>)</w:t>
      </w:r>
      <w:r w:rsidR="008C6D0A">
        <w:t>.</w:t>
      </w:r>
    </w:p>
    <w:p w14:paraId="26FAAC5D" w14:textId="266820AF" w:rsidR="00635F18" w:rsidRPr="00616E37" w:rsidRDefault="009953A8" w:rsidP="00635F18">
      <w:pPr>
        <w:pStyle w:val="Bullet"/>
      </w:pPr>
      <w:r w:rsidRPr="00D85067">
        <w:rPr>
          <w:b/>
        </w:rPr>
        <w:t>Casemix profiling study</w:t>
      </w:r>
      <w:r w:rsidR="00635F18" w:rsidRPr="00616E37">
        <w:t xml:space="preserve">: </w:t>
      </w:r>
      <w:r w:rsidR="00635F18">
        <w:t>Approximately</w:t>
      </w:r>
      <w:r w:rsidR="00635F18" w:rsidRPr="00616E37">
        <w:t xml:space="preserve"> 3,000 assessments in </w:t>
      </w:r>
      <w:r w:rsidR="00635F18">
        <w:t>69</w:t>
      </w:r>
      <w:r w:rsidR="00635F18" w:rsidRPr="00616E37">
        <w:t xml:space="preserve"> facilities nationally</w:t>
      </w:r>
      <w:r w:rsidR="00D85067">
        <w:t xml:space="preserve"> (see Report </w:t>
      </w:r>
      <w:r w:rsidR="00F174D4">
        <w:t>4</w:t>
      </w:r>
      <w:r w:rsidR="00D85067">
        <w:t>)</w:t>
      </w:r>
      <w:r w:rsidR="008C6D0A">
        <w:t>.</w:t>
      </w:r>
    </w:p>
    <w:p w14:paraId="3BFB0247" w14:textId="2B440D1B" w:rsidR="00635F18" w:rsidRDefault="009953A8" w:rsidP="00ED3E40">
      <w:pPr>
        <w:pStyle w:val="Bullet"/>
      </w:pPr>
      <w:r w:rsidRPr="00D85067">
        <w:rPr>
          <w:b/>
        </w:rPr>
        <w:t>Reassessment study</w:t>
      </w:r>
      <w:r w:rsidR="00635F18" w:rsidRPr="00616E37">
        <w:t xml:space="preserve">: </w:t>
      </w:r>
      <w:r w:rsidR="00635F18">
        <w:t>Approximately</w:t>
      </w:r>
      <w:r w:rsidR="00635F18" w:rsidRPr="00616E37">
        <w:t xml:space="preserve"> 1,000 </w:t>
      </w:r>
      <w:r w:rsidR="003D6C71">
        <w:t>reassessment</w:t>
      </w:r>
      <w:r w:rsidR="00635F18" w:rsidRPr="00616E37">
        <w:t xml:space="preserve">s of </w:t>
      </w:r>
      <w:r w:rsidR="00A3382C">
        <w:t xml:space="preserve">residents </w:t>
      </w:r>
      <w:r w:rsidR="00635F18" w:rsidRPr="00616E37">
        <w:t xml:space="preserve">initially assessed in Study </w:t>
      </w:r>
      <w:r w:rsidR="00FD2684">
        <w:t>One</w:t>
      </w:r>
      <w:r w:rsidR="00D85067">
        <w:t xml:space="preserve"> (see Section </w:t>
      </w:r>
      <w:r w:rsidR="00D85067">
        <w:fldChar w:fldCharType="begin"/>
      </w:r>
      <w:r w:rsidR="00D85067">
        <w:instrText xml:space="preserve"> REF _Ref535510486 \r \h </w:instrText>
      </w:r>
      <w:r w:rsidR="00D85067">
        <w:fldChar w:fldCharType="separate"/>
      </w:r>
      <w:r w:rsidR="008928D6">
        <w:t>6</w:t>
      </w:r>
      <w:r w:rsidR="00D85067">
        <w:fldChar w:fldCharType="end"/>
      </w:r>
      <w:r w:rsidR="00D85067">
        <w:t xml:space="preserve"> of this report)</w:t>
      </w:r>
      <w:r w:rsidR="00473200">
        <w:t>.</w:t>
      </w:r>
    </w:p>
    <w:p w14:paraId="690BE4A9" w14:textId="31CBFD18" w:rsidR="0095799D" w:rsidRDefault="0095799D" w:rsidP="0095799D">
      <w:pPr>
        <w:pStyle w:val="Heading2"/>
      </w:pPr>
      <w:bookmarkStart w:id="49" w:name="_Toc2005244"/>
      <w:r>
        <w:t>Cost drivers and how they are assessed</w:t>
      </w:r>
      <w:bookmarkEnd w:id="49"/>
    </w:p>
    <w:p w14:paraId="7AC7B30F" w14:textId="77777777" w:rsidR="001853AD" w:rsidRPr="00A42D72" w:rsidRDefault="001853AD" w:rsidP="00F751E7">
      <w:pPr>
        <w:pStyle w:val="Heading4"/>
      </w:pPr>
      <w:r w:rsidRPr="00A42D72">
        <w:t>Palliative Care</w:t>
      </w:r>
    </w:p>
    <w:p w14:paraId="17A53257" w14:textId="042E36AA" w:rsidR="0095631B" w:rsidRDefault="00793AC0" w:rsidP="00793AC0">
      <w:r>
        <w:t xml:space="preserve">Residents </w:t>
      </w:r>
      <w:r w:rsidR="00F95C0A">
        <w:t>entering</w:t>
      </w:r>
      <w:r w:rsidRPr="0095631B">
        <w:t xml:space="preserve"> </w:t>
      </w:r>
      <w:r w:rsidR="00F95C0A">
        <w:t>a</w:t>
      </w:r>
      <w:r w:rsidRPr="0095631B">
        <w:t xml:space="preserve"> facility for palliative reasons are a distinct group with a predictable care trajectory and costs.</w:t>
      </w:r>
      <w:r w:rsidR="0095631B" w:rsidRPr="0095631B">
        <w:t xml:space="preserve"> In Version 1</w:t>
      </w:r>
      <w:r w:rsidR="000C700E">
        <w:t>.0</w:t>
      </w:r>
      <w:r w:rsidR="0095631B" w:rsidRPr="0095631B">
        <w:t xml:space="preserve"> of the AN-ACC, t</w:t>
      </w:r>
      <w:r w:rsidRPr="0095631B">
        <w:t>his group is defined as t</w:t>
      </w:r>
      <w:r w:rsidRPr="00A42D72">
        <w:t>hose having a palliative care plan</w:t>
      </w:r>
      <w:r w:rsidR="00F95C0A">
        <w:t xml:space="preserve"> developed by a palliative care team nurse or physician and/or appropriate medical practitioner </w:t>
      </w:r>
      <w:r w:rsidRPr="00A42D72">
        <w:t>on admission</w:t>
      </w:r>
      <w:r>
        <w:t xml:space="preserve"> to the care home</w:t>
      </w:r>
      <w:r w:rsidR="00F95C0A">
        <w:t>;</w:t>
      </w:r>
      <w:r w:rsidRPr="00A42D72">
        <w:t xml:space="preserve"> a life </w:t>
      </w:r>
      <w:r w:rsidR="006E29E9" w:rsidRPr="00A42D72">
        <w:t>expectancy</w:t>
      </w:r>
      <w:r w:rsidRPr="00A42D72">
        <w:t xml:space="preserve"> of three months or less</w:t>
      </w:r>
      <w:r w:rsidR="00F95C0A">
        <w:t>;</w:t>
      </w:r>
      <w:r w:rsidR="00113330">
        <w:t xml:space="preserve"> and</w:t>
      </w:r>
      <w:r w:rsidR="00F95C0A">
        <w:t>,</w:t>
      </w:r>
      <w:r w:rsidR="00113330">
        <w:t xml:space="preserve"> </w:t>
      </w:r>
      <w:r w:rsidRPr="00A42D72">
        <w:t xml:space="preserve">a score </w:t>
      </w:r>
      <w:r w:rsidRPr="00874B3C">
        <w:t>of 40 or less on the Australia-modified Karnofsky Performance Status (AKPS).</w:t>
      </w:r>
    </w:p>
    <w:p w14:paraId="1CF2E153" w14:textId="77777777" w:rsidR="00793AC0" w:rsidRPr="00A42D72" w:rsidRDefault="00793AC0" w:rsidP="00F751E7">
      <w:pPr>
        <w:pStyle w:val="Heading4"/>
      </w:pPr>
      <w:r w:rsidRPr="00A42D72">
        <w:t>Mobility</w:t>
      </w:r>
    </w:p>
    <w:p w14:paraId="1494AD6F" w14:textId="2210CCD8" w:rsidR="00113330" w:rsidRDefault="00793AC0" w:rsidP="00793AC0">
      <w:r>
        <w:t xml:space="preserve">The degree to which a resident can mobilise is a significant cost driver and </w:t>
      </w:r>
      <w:r w:rsidR="00F072F0">
        <w:t xml:space="preserve">proved to be </w:t>
      </w:r>
      <w:r>
        <w:t xml:space="preserve">the basis for the three main </w:t>
      </w:r>
      <w:r w:rsidR="00F072F0">
        <w:t xml:space="preserve">branches in </w:t>
      </w:r>
      <w:r>
        <w:t xml:space="preserve">the </w:t>
      </w:r>
      <w:r w:rsidR="00F072F0">
        <w:t xml:space="preserve">AN-ACC </w:t>
      </w:r>
      <w:r w:rsidR="009953A8">
        <w:t>Version 1.0</w:t>
      </w:r>
      <w:r>
        <w:t xml:space="preserve">. The </w:t>
      </w:r>
      <w:r w:rsidR="00380553">
        <w:t>D</w:t>
      </w:r>
      <w:r>
        <w:t xml:space="preserve">e Morton </w:t>
      </w:r>
      <w:r w:rsidR="006E29E9">
        <w:t>Mobility</w:t>
      </w:r>
      <w:r>
        <w:t xml:space="preserve"> Index (DEMMI Modified) is the selected tool to assess this variable.</w:t>
      </w:r>
      <w:r w:rsidR="00251B3F">
        <w:t xml:space="preserve"> </w:t>
      </w:r>
      <w:r>
        <w:t>The DEMMI was modified for an aged care cohort and does</w:t>
      </w:r>
      <w:r w:rsidR="009C538E">
        <w:t xml:space="preserve"> </w:t>
      </w:r>
      <w:r>
        <w:t>n</w:t>
      </w:r>
      <w:r w:rsidR="009C538E">
        <w:t>o</w:t>
      </w:r>
      <w:r>
        <w:t xml:space="preserve">t include questions 13 – 15 </w:t>
      </w:r>
      <w:r w:rsidR="00466287">
        <w:t>of the standardised DEMMI tool.</w:t>
      </w:r>
    </w:p>
    <w:p w14:paraId="0B68F0F1" w14:textId="77777777" w:rsidR="00793AC0" w:rsidRDefault="00793AC0" w:rsidP="00F751E7">
      <w:pPr>
        <w:pStyle w:val="Heading4"/>
      </w:pPr>
      <w:r w:rsidRPr="00764EF1">
        <w:lastRenderedPageBreak/>
        <w:t>Function</w:t>
      </w:r>
    </w:p>
    <w:p w14:paraId="08D7E6E0" w14:textId="061824C3" w:rsidR="002B7202" w:rsidRDefault="00793AC0" w:rsidP="00D85067">
      <w:pPr>
        <w:pStyle w:val="Normal-nospacing"/>
      </w:pPr>
      <w:r>
        <w:t xml:space="preserve">The third high level attribute that impacts on cost of care is </w:t>
      </w:r>
      <w:r w:rsidR="00F751E7">
        <w:t xml:space="preserve">function (the ability to manage </w:t>
      </w:r>
      <w:r w:rsidR="00551077">
        <w:t>ADLs</w:t>
      </w:r>
      <w:r w:rsidR="00F751E7">
        <w:t>).</w:t>
      </w:r>
      <w:r>
        <w:t xml:space="preserve"> </w:t>
      </w:r>
      <w:r w:rsidR="00F751E7">
        <w:t>Two functional measur</w:t>
      </w:r>
      <w:r w:rsidR="00473200">
        <w:t>es are included in the AN-ACC.</w:t>
      </w:r>
    </w:p>
    <w:p w14:paraId="27DC9151" w14:textId="79159077" w:rsidR="00F751E7" w:rsidRDefault="00793AC0" w:rsidP="00D85067">
      <w:pPr>
        <w:pStyle w:val="Normal-nospacing"/>
      </w:pPr>
      <w:r>
        <w:t>The Resource Utilisation Group</w:t>
      </w:r>
      <w:r w:rsidR="00BD6315">
        <w:t xml:space="preserve"> </w:t>
      </w:r>
      <w:r w:rsidR="00BD6315" w:rsidRPr="0003077E">
        <w:t>–</w:t>
      </w:r>
      <w:r w:rsidR="00BD6315">
        <w:t xml:space="preserve"> </w:t>
      </w:r>
      <w:r>
        <w:t xml:space="preserve">Activities of Daily Living (RUG-ADL) </w:t>
      </w:r>
      <w:r w:rsidR="009C538E">
        <w:t xml:space="preserve">instrument </w:t>
      </w:r>
      <w:r>
        <w:t xml:space="preserve">is included as the scoring is weighted on nursing burden and measures functions </w:t>
      </w:r>
      <w:r w:rsidR="00023FDA">
        <w:t xml:space="preserve">lost very late in life </w:t>
      </w:r>
      <w:r>
        <w:t>(bed mobility, toileting, transfer</w:t>
      </w:r>
      <w:r w:rsidR="00023FDA">
        <w:t>ring</w:t>
      </w:r>
      <w:r w:rsidR="00473200">
        <w:t>, eating).</w:t>
      </w:r>
    </w:p>
    <w:p w14:paraId="59B4E68A" w14:textId="453DDD74" w:rsidR="00F751E7" w:rsidRDefault="00793AC0" w:rsidP="00D85067">
      <w:pPr>
        <w:pStyle w:val="Normal-nospacing"/>
      </w:pPr>
      <w:r>
        <w:t xml:space="preserve">In addition, the </w:t>
      </w:r>
      <w:r w:rsidR="009C538E">
        <w:t xml:space="preserve">physical </w:t>
      </w:r>
      <w:r>
        <w:t xml:space="preserve">function measures of the </w:t>
      </w:r>
      <w:r w:rsidR="009C538E">
        <w:t>Australian</w:t>
      </w:r>
      <w:r w:rsidR="00192088">
        <w:t xml:space="preserve"> </w:t>
      </w:r>
      <w:r w:rsidR="009C538E">
        <w:t xml:space="preserve">Modified </w:t>
      </w:r>
      <w:r>
        <w:t>Functional Independence Measure (</w:t>
      </w:r>
      <w:r w:rsidR="009C538E">
        <w:t>AM-</w:t>
      </w:r>
      <w:r>
        <w:t xml:space="preserve">FIM) are included. The </w:t>
      </w:r>
      <w:r w:rsidR="009C538E">
        <w:t xml:space="preserve">Australian </w:t>
      </w:r>
      <w:r>
        <w:t>modification</w:t>
      </w:r>
      <w:r w:rsidR="00F751E7">
        <w:t>s</w:t>
      </w:r>
      <w:r>
        <w:t xml:space="preserve"> to the FIM are </w:t>
      </w:r>
      <w:r w:rsidR="009C538E">
        <w:t>twofold. The first is th</w:t>
      </w:r>
      <w:r>
        <w:t xml:space="preserve">at the assessor uses a capabilities approach </w:t>
      </w:r>
      <w:r w:rsidR="002B7202">
        <w:t xml:space="preserve">to assess what the person is capable of doing </w:t>
      </w:r>
      <w:r w:rsidR="00BC740E">
        <w:t>rather than assessing what they currently do</w:t>
      </w:r>
      <w:r w:rsidR="009C538E">
        <w:t xml:space="preserve">. </w:t>
      </w:r>
      <w:r w:rsidR="002B7202">
        <w:t>Capability in an AM-FIM assessment takes account of more than just physical abil</w:t>
      </w:r>
      <w:r w:rsidR="00251B3F">
        <w:t>ities; i</w:t>
      </w:r>
      <w:r w:rsidR="002B7202">
        <w:t xml:space="preserve">t also includes cognition, communication and mental health issues. </w:t>
      </w:r>
      <w:r w:rsidR="009C538E">
        <w:t xml:space="preserve">The second </w:t>
      </w:r>
      <w:r w:rsidR="00251B3F">
        <w:t xml:space="preserve">change has been the removal of the </w:t>
      </w:r>
      <w:r>
        <w:t xml:space="preserve">stairs </w:t>
      </w:r>
      <w:r w:rsidR="00251B3F">
        <w:t>item, as it wa</w:t>
      </w:r>
      <w:r>
        <w:t xml:space="preserve">s considered redundant for the </w:t>
      </w:r>
      <w:r w:rsidR="00251B3F">
        <w:t xml:space="preserve">residential </w:t>
      </w:r>
      <w:r>
        <w:t>aged care cohort.</w:t>
      </w:r>
      <w:r w:rsidR="009C538E">
        <w:t xml:space="preserve"> These two modifications make it a different instrument to the original FIM and the results using the two measures cannot be compared.</w:t>
      </w:r>
    </w:p>
    <w:p w14:paraId="460054EF" w14:textId="2A4D4931" w:rsidR="00001408" w:rsidRDefault="00001408" w:rsidP="002B7202">
      <w:pPr>
        <w:pStyle w:val="Heading4"/>
      </w:pPr>
      <w:r>
        <w:t>Frailty</w:t>
      </w:r>
    </w:p>
    <w:p w14:paraId="23BFD65A" w14:textId="0CB63D98" w:rsidR="00001408" w:rsidRDefault="00001408" w:rsidP="0055312E">
      <w:r>
        <w:t>Closely r</w:t>
      </w:r>
      <w:r w:rsidR="002B7202">
        <w:t xml:space="preserve">elated to </w:t>
      </w:r>
      <w:r>
        <w:t>function is frailty as a k</w:t>
      </w:r>
      <w:r w:rsidR="00473200">
        <w:t>ey determinant of cost of care.</w:t>
      </w:r>
      <w:r w:rsidR="002B7202">
        <w:t xml:space="preserve"> </w:t>
      </w:r>
      <w:r>
        <w:t>Frailty is measured through the Rockwood Frailty score and questions around falls and weight loss.</w:t>
      </w:r>
    </w:p>
    <w:p w14:paraId="1CF8897C" w14:textId="33EF7593" w:rsidR="00001408" w:rsidRPr="00001408" w:rsidRDefault="00001408" w:rsidP="002B7202">
      <w:pPr>
        <w:pStyle w:val="Heading4"/>
      </w:pPr>
      <w:r w:rsidRPr="00001408">
        <w:t>Cognition</w:t>
      </w:r>
      <w:r w:rsidR="002B7202">
        <w:t>,</w:t>
      </w:r>
      <w:r w:rsidRPr="00001408">
        <w:t xml:space="preserve"> communication</w:t>
      </w:r>
      <w:r w:rsidR="002B7202">
        <w:t>, behaviour and mental health</w:t>
      </w:r>
    </w:p>
    <w:p w14:paraId="28229572" w14:textId="43616A3C" w:rsidR="001354DC" w:rsidRDefault="00793AC0" w:rsidP="00CD419A">
      <w:pPr>
        <w:pStyle w:val="Normal-nospacing"/>
      </w:pPr>
      <w:r>
        <w:t>The two tools initially incorporated to capture the costs associated with cognition</w:t>
      </w:r>
      <w:r w:rsidR="002B7202">
        <w:t>,</w:t>
      </w:r>
      <w:r>
        <w:t xml:space="preserve"> communication</w:t>
      </w:r>
      <w:r w:rsidR="002B7202">
        <w:t>, behaviour and mental health</w:t>
      </w:r>
      <w:r>
        <w:t xml:space="preserve"> were the </w:t>
      </w:r>
      <w:r w:rsidRPr="0011534E">
        <w:t>FIM Cognition</w:t>
      </w:r>
      <w:r>
        <w:t xml:space="preserve"> </w:t>
      </w:r>
      <w:r w:rsidR="002B7202">
        <w:t xml:space="preserve">subscale </w:t>
      </w:r>
      <w:r>
        <w:t>and the Neuro</w:t>
      </w:r>
      <w:r w:rsidR="001354DC">
        <w:t>p</w:t>
      </w:r>
      <w:r w:rsidR="006E29E9">
        <w:t>sychiatric</w:t>
      </w:r>
      <w:r>
        <w:t xml:space="preserve"> Inventory</w:t>
      </w:r>
      <w:r w:rsidR="001354DC">
        <w:t xml:space="preserve"> </w:t>
      </w:r>
      <w:r w:rsidR="001354DC">
        <w:rPr>
          <w:rFonts w:ascii="Calibri" w:hAnsi="Calibri" w:cs="Calibri"/>
          <w:color w:val="000000"/>
          <w:sz w:val="20"/>
          <w:szCs w:val="20"/>
        </w:rPr>
        <w:t>– N</w:t>
      </w:r>
      <w:r w:rsidR="00473200">
        <w:t>ursing Home (NPI-NH).</w:t>
      </w:r>
    </w:p>
    <w:p w14:paraId="0F1EE062" w14:textId="4FD0C855" w:rsidR="00793AC0" w:rsidRPr="00001408" w:rsidRDefault="00793AC0" w:rsidP="00CD419A">
      <w:pPr>
        <w:pStyle w:val="Normal-nospacing"/>
      </w:pPr>
      <w:r>
        <w:t xml:space="preserve">The NPI-NH </w:t>
      </w:r>
      <w:r w:rsidR="002B7202">
        <w:t>was</w:t>
      </w:r>
      <w:r>
        <w:t xml:space="preserve"> replaced </w:t>
      </w:r>
      <w:r w:rsidR="002B7202">
        <w:t xml:space="preserve">in the final version </w:t>
      </w:r>
      <w:r w:rsidR="00F95C0A">
        <w:t xml:space="preserve">of the AN-ACC assessment tool </w:t>
      </w:r>
      <w:r>
        <w:t xml:space="preserve">with the Behaviour Resource Utilisation Assessment (BRUA) following feedback from assessors </w:t>
      </w:r>
      <w:r w:rsidRPr="00F072F0">
        <w:t>regarding logistical difficulties and scoring of the former</w:t>
      </w:r>
      <w:r w:rsidR="00A3382C">
        <w:t xml:space="preserve"> and testing of the BRUA in both the reassessment and the profile studies</w:t>
      </w:r>
      <w:r w:rsidRPr="00F072F0">
        <w:t xml:space="preserve">. </w:t>
      </w:r>
      <w:r w:rsidR="00A3382C">
        <w:t xml:space="preserve">These </w:t>
      </w:r>
      <w:r w:rsidRPr="00F072F0">
        <w:t>stud</w:t>
      </w:r>
      <w:r w:rsidR="00A3382C">
        <w:t xml:space="preserve">ies </w:t>
      </w:r>
      <w:r w:rsidRPr="00F072F0">
        <w:t xml:space="preserve">found </w:t>
      </w:r>
      <w:r w:rsidR="00A3382C">
        <w:t xml:space="preserve">that </w:t>
      </w:r>
      <w:r w:rsidRPr="00F072F0">
        <w:t xml:space="preserve">the </w:t>
      </w:r>
      <w:r w:rsidR="006E29E9" w:rsidRPr="00F072F0">
        <w:t>BRUA’s outcomes</w:t>
      </w:r>
      <w:r w:rsidRPr="00F072F0">
        <w:t xml:space="preserve"> </w:t>
      </w:r>
      <w:r w:rsidR="00A3382C">
        <w:t xml:space="preserve">are </w:t>
      </w:r>
      <w:r w:rsidRPr="00F072F0">
        <w:t xml:space="preserve">comparable to the NPI-NH for classification and funding purposes (refer Section </w:t>
      </w:r>
      <w:r w:rsidR="00F072F0" w:rsidRPr="00F072F0">
        <w:fldChar w:fldCharType="begin"/>
      </w:r>
      <w:r w:rsidR="00F072F0" w:rsidRPr="00F072F0">
        <w:instrText xml:space="preserve"> REF _Ref534365453 \r \h </w:instrText>
      </w:r>
      <w:r w:rsidR="00F072F0">
        <w:instrText xml:space="preserve"> \* MERGEFORMAT </w:instrText>
      </w:r>
      <w:r w:rsidR="00F072F0" w:rsidRPr="00F072F0">
        <w:fldChar w:fldCharType="separate"/>
      </w:r>
      <w:r w:rsidR="008928D6">
        <w:t>3.3</w:t>
      </w:r>
      <w:r w:rsidR="00F072F0" w:rsidRPr="00F072F0">
        <w:fldChar w:fldCharType="end"/>
      </w:r>
      <w:r w:rsidR="00F072F0" w:rsidRPr="00F072F0">
        <w:t xml:space="preserve"> below)</w:t>
      </w:r>
      <w:r w:rsidRPr="00F072F0">
        <w:t>.</w:t>
      </w:r>
    </w:p>
    <w:p w14:paraId="181AF8BA" w14:textId="72991B06" w:rsidR="00EB5592" w:rsidRPr="00661681" w:rsidRDefault="00661681" w:rsidP="002B7202">
      <w:pPr>
        <w:pStyle w:val="Heading4"/>
      </w:pPr>
      <w:r>
        <w:t>W</w:t>
      </w:r>
      <w:r w:rsidR="00EB5592" w:rsidRPr="00661681">
        <w:t>ound</w:t>
      </w:r>
      <w:r>
        <w:t xml:space="preserve"> care</w:t>
      </w:r>
    </w:p>
    <w:p w14:paraId="36E691A2" w14:textId="6F5D04F9" w:rsidR="00661681" w:rsidRDefault="00661681" w:rsidP="0055312E">
      <w:r>
        <w:t xml:space="preserve">The Braden Scale is included as residents with </w:t>
      </w:r>
      <w:r w:rsidRPr="00F95C0A">
        <w:rPr>
          <w:i/>
        </w:rPr>
        <w:t>high risk</w:t>
      </w:r>
      <w:r>
        <w:t xml:space="preserve"> for wounds have si</w:t>
      </w:r>
      <w:r w:rsidR="00F95C0A">
        <w:t>milar care needs to those who have w</w:t>
      </w:r>
      <w:r>
        <w:t>ounds</w:t>
      </w:r>
      <w:r w:rsidR="00F95C0A">
        <w:t xml:space="preserve">; this ensures there is no risk of </w:t>
      </w:r>
      <w:r>
        <w:t xml:space="preserve">introducing any perverse </w:t>
      </w:r>
      <w:r w:rsidR="00CF6A88">
        <w:t xml:space="preserve">financial </w:t>
      </w:r>
      <w:r>
        <w:t xml:space="preserve">incentives </w:t>
      </w:r>
      <w:r w:rsidR="00CF6A88">
        <w:t xml:space="preserve">that may occur </w:t>
      </w:r>
      <w:r w:rsidR="00473200">
        <w:t>with the development of wounds.</w:t>
      </w:r>
    </w:p>
    <w:p w14:paraId="56ACCE79" w14:textId="46028A00" w:rsidR="00661681" w:rsidRPr="00661681" w:rsidRDefault="00661681" w:rsidP="002B7202">
      <w:pPr>
        <w:pStyle w:val="Heading4"/>
      </w:pPr>
      <w:r w:rsidRPr="00661681">
        <w:t>Technical nursing</w:t>
      </w:r>
    </w:p>
    <w:p w14:paraId="0A3414B5" w14:textId="0B78EC46" w:rsidR="000A73EB" w:rsidRDefault="00661681" w:rsidP="00CF6A88">
      <w:r>
        <w:t>E</w:t>
      </w:r>
      <w:r w:rsidR="0055312E">
        <w:t>ight complex nursing requirements</w:t>
      </w:r>
      <w:r>
        <w:t xml:space="preserve"> have been addressed within the too</w:t>
      </w:r>
      <w:r w:rsidR="00D85067">
        <w:t>l</w:t>
      </w:r>
      <w:r w:rsidR="00D85067" w:rsidRPr="00D85067">
        <w:t xml:space="preserve"> </w:t>
      </w:r>
      <w:r w:rsidR="00D85067">
        <w:t>due to their impact on cost of care</w:t>
      </w:r>
      <w:r w:rsidR="00B060BF">
        <w:t xml:space="preserve">, </w:t>
      </w:r>
      <w:r w:rsidR="0055312E">
        <w:t>includ</w:t>
      </w:r>
      <w:r w:rsidR="00B060BF">
        <w:t>ing need for</w:t>
      </w:r>
      <w:r w:rsidR="0055312E">
        <w:t xml:space="preserve"> oxygen</w:t>
      </w:r>
      <w:r w:rsidR="00B060BF">
        <w:t>;</w:t>
      </w:r>
      <w:r w:rsidR="0055312E">
        <w:t xml:space="preserve"> entera</w:t>
      </w:r>
      <w:r w:rsidR="00B060BF">
        <w:t>l feeding;</w:t>
      </w:r>
      <w:r>
        <w:t xml:space="preserve"> </w:t>
      </w:r>
      <w:r w:rsidR="00B060BF">
        <w:t xml:space="preserve">tracheostomy, </w:t>
      </w:r>
      <w:r>
        <w:t>catheter and stoma care</w:t>
      </w:r>
      <w:r w:rsidR="00B060BF">
        <w:t>;</w:t>
      </w:r>
      <w:r w:rsidR="00CF6A88">
        <w:t xml:space="preserve"> peritoneal dialysis</w:t>
      </w:r>
      <w:r w:rsidR="00B060BF">
        <w:t>;</w:t>
      </w:r>
      <w:r w:rsidR="00CF6A88">
        <w:t xml:space="preserve"> daily injections</w:t>
      </w:r>
      <w:r w:rsidR="00B060BF">
        <w:t>;</w:t>
      </w:r>
      <w:r w:rsidR="00CF6A88">
        <w:t xml:space="preserve"> and</w:t>
      </w:r>
      <w:r w:rsidR="00B060BF">
        <w:t>,</w:t>
      </w:r>
      <w:r w:rsidR="00CF6A88">
        <w:t xml:space="preserve"> complex wound management. An addition</w:t>
      </w:r>
      <w:r w:rsidR="00B060BF">
        <w:t xml:space="preserve">al question is included </w:t>
      </w:r>
      <w:r>
        <w:t>regarding transfers and locomotion to address costs associated with bariatric residents.</w:t>
      </w:r>
    </w:p>
    <w:p w14:paraId="66931DD7" w14:textId="14DAFE40" w:rsidR="00F50D88" w:rsidRDefault="00F50D88" w:rsidP="00380553">
      <w:pPr>
        <w:pStyle w:val="Heading2"/>
      </w:pPr>
      <w:bookmarkStart w:id="50" w:name="_Toc2005245"/>
      <w:r>
        <w:lastRenderedPageBreak/>
        <w:t xml:space="preserve">Initial </w:t>
      </w:r>
      <w:r w:rsidR="00D8175A">
        <w:t xml:space="preserve">RUCS </w:t>
      </w:r>
      <w:r w:rsidR="00B6398C">
        <w:t>Assessment Tool</w:t>
      </w:r>
      <w:bookmarkEnd w:id="50"/>
    </w:p>
    <w:p w14:paraId="16667624" w14:textId="28F09E53" w:rsidR="002B7202" w:rsidRDefault="00562AE8" w:rsidP="00F072F0">
      <w:pPr>
        <w:pStyle w:val="Normal-nospacing"/>
      </w:pPr>
      <w:r>
        <w:t>The s</w:t>
      </w:r>
      <w:r w:rsidRPr="009658D0">
        <w:t>ervice utilisation and classification development study</w:t>
      </w:r>
      <w:r w:rsidR="004210F2">
        <w:t xml:space="preserve"> </w:t>
      </w:r>
      <w:r w:rsidR="002B7202">
        <w:t>involved a comprehensive, prospective data collection across 30 facilities in three geographic</w:t>
      </w:r>
      <w:r w:rsidR="00F072F0">
        <w:t xml:space="preserve"> clusters</w:t>
      </w:r>
      <w:r w:rsidR="002B7202">
        <w:t>. The study involved 1,877 resident assessments and 315,029 staff time activity records collected by 1,600 staff. It represented the most significant data collection in the Australian residential aged care sector to date</w:t>
      </w:r>
      <w:r w:rsidR="00CF0410">
        <w:t xml:space="preserve"> (see Report 1 in this </w:t>
      </w:r>
      <w:r w:rsidR="00FF4D55">
        <w:t>series for detailed findings)</w:t>
      </w:r>
      <w:r w:rsidR="002B7202">
        <w:t>.</w:t>
      </w:r>
    </w:p>
    <w:p w14:paraId="73CEF01B" w14:textId="25E46A18" w:rsidR="002B7202" w:rsidRDefault="00740BA7" w:rsidP="00F072F0">
      <w:pPr>
        <w:pStyle w:val="Normal-nospacing"/>
      </w:pPr>
      <w:r>
        <w:t>As discussed in Report 1, t</w:t>
      </w:r>
      <w:r w:rsidR="002B7202">
        <w:t>he clinical profile of study residents</w:t>
      </w:r>
      <w:r w:rsidR="00CF0410">
        <w:t xml:space="preserve"> </w:t>
      </w:r>
      <w:r w:rsidR="002B7202" w:rsidRPr="00942D6B">
        <w:t>support</w:t>
      </w:r>
      <w:r w:rsidR="00F50D88">
        <w:t>ed</w:t>
      </w:r>
      <w:r w:rsidR="002B7202" w:rsidRPr="00942D6B">
        <w:t xml:space="preserve"> the </w:t>
      </w:r>
      <w:r w:rsidR="002B7202">
        <w:t xml:space="preserve">hypothesis that </w:t>
      </w:r>
      <w:r w:rsidR="002B7202" w:rsidRPr="00942D6B">
        <w:t>costs are driven by care burden associated with end of life needs, frailty, functional decline, cognition, behaviour and technical nursing needs</w:t>
      </w:r>
      <w:r w:rsidR="002B7202">
        <w:t>. The staff time data collection found that close to 50% of staff time was spent delivering care tailored to the specific needs of the resident, while the remaining 50% was spent delivering shared care across all residents. This finding supports a funding model that comprises a fixed per diem price for the costs of shared care and a variable price per day fo</w:t>
      </w:r>
      <w:r w:rsidR="00473200">
        <w:t>r the costs of individual care.</w:t>
      </w:r>
    </w:p>
    <w:p w14:paraId="64DE4261" w14:textId="56E5FBED" w:rsidR="002B7202" w:rsidRDefault="002B7202" w:rsidP="00F072F0">
      <w:pPr>
        <w:pStyle w:val="Normal-nospacing"/>
      </w:pPr>
      <w:r>
        <w:t>Overall, the overwhelmi</w:t>
      </w:r>
      <w:r w:rsidR="00931F40">
        <w:t xml:space="preserve">ng finding emerging from </w:t>
      </w:r>
      <w:r w:rsidR="00562AE8">
        <w:t>the s</w:t>
      </w:r>
      <w:r w:rsidR="00562AE8" w:rsidRPr="009658D0">
        <w:t>ervice utilisation and classification development study</w:t>
      </w:r>
      <w:r>
        <w:t xml:space="preserve"> was that the assessment tool can effectively be completed by suitably qualified external assessors</w:t>
      </w:r>
      <w:r w:rsidR="00A3382C">
        <w:t xml:space="preserve"> and that</w:t>
      </w:r>
      <w:r>
        <w:t>, on average</w:t>
      </w:r>
      <w:r w:rsidR="00A3382C">
        <w:t xml:space="preserve">, the assessment can be completed in </w:t>
      </w:r>
      <w:r>
        <w:t>one hour.</w:t>
      </w:r>
      <w:r w:rsidR="00562AE8">
        <w:t xml:space="preserve"> </w:t>
      </w:r>
      <w:r>
        <w:t>This finding supports the proposed approach of assessment for funding purposes being separated from assessm</w:t>
      </w:r>
      <w:r w:rsidR="00473200">
        <w:t>ent for care planning purposes.</w:t>
      </w:r>
    </w:p>
    <w:p w14:paraId="07EB7E72" w14:textId="459B085F" w:rsidR="002B7202" w:rsidRPr="00D40204" w:rsidRDefault="00F50D88" w:rsidP="00380553">
      <w:pPr>
        <w:pStyle w:val="Heading2"/>
      </w:pPr>
      <w:bookmarkStart w:id="51" w:name="_Ref534365453"/>
      <w:bookmarkStart w:id="52" w:name="_Toc2005246"/>
      <w:r>
        <w:t>Refinement of the tool by inclusion of the BRUA</w:t>
      </w:r>
      <w:bookmarkEnd w:id="51"/>
      <w:bookmarkEnd w:id="52"/>
    </w:p>
    <w:p w14:paraId="705E890B" w14:textId="2F36EA88" w:rsidR="002B7202" w:rsidRPr="00D40204" w:rsidRDefault="002B7202" w:rsidP="00A3382C">
      <w:pPr>
        <w:pStyle w:val="Normal-nospacing"/>
      </w:pPr>
      <w:r w:rsidRPr="00D40204">
        <w:t xml:space="preserve">As described </w:t>
      </w:r>
      <w:r w:rsidR="00F072F0">
        <w:t>previously</w:t>
      </w:r>
      <w:r w:rsidRPr="00F8508E">
        <w:t xml:space="preserve">, the </w:t>
      </w:r>
      <w:r w:rsidRPr="00D40204">
        <w:t xml:space="preserve">NPI-NH was </w:t>
      </w:r>
      <w:r w:rsidR="00F072F0">
        <w:t xml:space="preserve">initially </w:t>
      </w:r>
      <w:r w:rsidRPr="00D40204">
        <w:t>chosen to assess behaviour as it is a multi</w:t>
      </w:r>
      <w:r>
        <w:t>-concept</w:t>
      </w:r>
      <w:r w:rsidRPr="00D40204">
        <w:t xml:space="preserve"> tool with individual items, subscales and totals that could also be used to assess compounding factors. Th</w:t>
      </w:r>
      <w:r>
        <w:t>e</w:t>
      </w:r>
      <w:r w:rsidRPr="00D40204">
        <w:t xml:space="preserve"> tool has 12 ‘screening’ questions, with a further drill down to three domains for frequency, severity and occupational disruptiveness</w:t>
      </w:r>
      <w:r w:rsidR="00473200">
        <w:t xml:space="preserve"> (where indicated).</w:t>
      </w:r>
    </w:p>
    <w:p w14:paraId="75BC5C96" w14:textId="15FBCD58" w:rsidR="002B7202" w:rsidRPr="00D40204" w:rsidRDefault="002B7202" w:rsidP="00A3382C">
      <w:pPr>
        <w:pStyle w:val="Normal-nospacing"/>
      </w:pPr>
      <w:r>
        <w:t>Several</w:t>
      </w:r>
      <w:r w:rsidRPr="00D40204">
        <w:t xml:space="preserve"> issues with the use of the NPI</w:t>
      </w:r>
      <w:r>
        <w:t xml:space="preserve">-NH </w:t>
      </w:r>
      <w:r w:rsidRPr="00D40204">
        <w:t xml:space="preserve">were identified in </w:t>
      </w:r>
      <w:r w:rsidR="00562AE8">
        <w:t>the initial study</w:t>
      </w:r>
      <w:r w:rsidRPr="00D40204">
        <w:t xml:space="preserve">. </w:t>
      </w:r>
      <w:r>
        <w:t xml:space="preserve">Assessors </w:t>
      </w:r>
      <w:r w:rsidRPr="00D40204">
        <w:t xml:space="preserve">reported that the </w:t>
      </w:r>
      <w:r>
        <w:t>tool</w:t>
      </w:r>
      <w:r w:rsidRPr="00D40204">
        <w:t xml:space="preserve"> was very time-consuming</w:t>
      </w:r>
      <w:r w:rsidR="00A3382C">
        <w:t>,</w:t>
      </w:r>
      <w:r w:rsidRPr="00D40204">
        <w:t xml:space="preserve"> typically consuming 30% of the total assessment time. </w:t>
      </w:r>
      <w:r w:rsidR="00A3382C">
        <w:t xml:space="preserve"> </w:t>
      </w:r>
      <w:r w:rsidRPr="00D40204">
        <w:t>It was further noted that the 12 screening questions in the NPI</w:t>
      </w:r>
      <w:r>
        <w:t>-NH</w:t>
      </w:r>
      <w:r w:rsidRPr="00D40204">
        <w:t xml:space="preserve"> required the assessor to make judgements about aspects of the resident’s neuropsychiatric symptoms that could not be easily observed during a</w:t>
      </w:r>
      <w:r w:rsidR="00F072F0">
        <w:t>n initial</w:t>
      </w:r>
      <w:r w:rsidRPr="00D40204">
        <w:t xml:space="preserve"> one hour interview. This required assessors to rely on staff report</w:t>
      </w:r>
      <w:r w:rsidR="00562AE8">
        <w:t xml:space="preserve">ing </w:t>
      </w:r>
      <w:r w:rsidRPr="00D40204">
        <w:t xml:space="preserve">to rate the resident. </w:t>
      </w:r>
      <w:r>
        <w:t>Some a</w:t>
      </w:r>
      <w:r w:rsidRPr="00D40204">
        <w:t xml:space="preserve">ssessors </w:t>
      </w:r>
      <w:r>
        <w:t xml:space="preserve">reported a </w:t>
      </w:r>
      <w:r w:rsidRPr="00D40204">
        <w:t>lack</w:t>
      </w:r>
      <w:r>
        <w:t xml:space="preserve"> of</w:t>
      </w:r>
      <w:r w:rsidRPr="00D40204">
        <w:t xml:space="preserve"> conf</w:t>
      </w:r>
      <w:r>
        <w:t>idence in rating a resident on the tool</w:t>
      </w:r>
      <w:r w:rsidRPr="00D40204">
        <w:t xml:space="preserve"> based on how they presented during a face to face discussion (occurring during the day) when afternoon or night staff reported very different behaviours to t</w:t>
      </w:r>
      <w:r w:rsidR="00473200">
        <w:t>hose observed by the assessor.</w:t>
      </w:r>
    </w:p>
    <w:p w14:paraId="5C53B650" w14:textId="09A86007" w:rsidR="002B7202" w:rsidRPr="00D40204" w:rsidRDefault="002B7202" w:rsidP="00A3382C">
      <w:pPr>
        <w:pStyle w:val="Normal-nospacing"/>
      </w:pPr>
      <w:r>
        <w:t xml:space="preserve">Following advice from members of the </w:t>
      </w:r>
      <w:r w:rsidR="00251B3F">
        <w:t xml:space="preserve">Function, Cognition and </w:t>
      </w:r>
      <w:r>
        <w:t>Behaviour</w:t>
      </w:r>
      <w:r w:rsidR="00251B3F">
        <w:t xml:space="preserve"> Clinical Advisory Panel, the decision was made to test the replacement of </w:t>
      </w:r>
      <w:r w:rsidRPr="00D40204">
        <w:t>the NPI</w:t>
      </w:r>
      <w:r>
        <w:t>-NH</w:t>
      </w:r>
      <w:r w:rsidRPr="00D40204">
        <w:t xml:space="preserve"> with a simpler alternative tool</w:t>
      </w:r>
      <w:r w:rsidR="003206DE">
        <w:t>, t</w:t>
      </w:r>
      <w:r w:rsidRPr="00D40204">
        <w:t>he BRUA</w:t>
      </w:r>
      <w:r w:rsidR="00AD2062">
        <w:t xml:space="preserve">. </w:t>
      </w:r>
      <w:r w:rsidRPr="00D40204">
        <w:t>The NPI-NH was used in</w:t>
      </w:r>
      <w:r w:rsidR="00F072F0">
        <w:t xml:space="preserve"> all three studies a</w:t>
      </w:r>
      <w:r w:rsidRPr="00D40204">
        <w:t xml:space="preserve">nd the BRUA </w:t>
      </w:r>
      <w:r w:rsidR="00A3382C">
        <w:t xml:space="preserve">was subsequently </w:t>
      </w:r>
      <w:r w:rsidRPr="00D40204">
        <w:t xml:space="preserve">introduced </w:t>
      </w:r>
      <w:r w:rsidR="00F072F0">
        <w:t>and tested in the final two</w:t>
      </w:r>
      <w:r w:rsidRPr="00D40204">
        <w:t>.</w:t>
      </w:r>
      <w:r w:rsidR="00F072F0">
        <w:t xml:space="preserve"> </w:t>
      </w:r>
      <w:r w:rsidRPr="00D40204">
        <w:t xml:space="preserve">Training was provided </w:t>
      </w:r>
      <w:r w:rsidR="00A3382C">
        <w:t xml:space="preserve">for </w:t>
      </w:r>
      <w:r w:rsidRPr="00D40204">
        <w:t xml:space="preserve">the assessors </w:t>
      </w:r>
      <w:r w:rsidR="00A3382C">
        <w:t xml:space="preserve">on </w:t>
      </w:r>
      <w:r w:rsidR="003206DE">
        <w:t xml:space="preserve">the </w:t>
      </w:r>
      <w:r w:rsidRPr="00D40204">
        <w:t xml:space="preserve">use </w:t>
      </w:r>
      <w:r w:rsidR="003206DE">
        <w:t xml:space="preserve">of </w:t>
      </w:r>
      <w:r w:rsidRPr="00D40204">
        <w:t xml:space="preserve">the BRUA </w:t>
      </w:r>
      <w:r w:rsidR="00F072F0">
        <w:t>and</w:t>
      </w:r>
      <w:r w:rsidRPr="00D40204">
        <w:t xml:space="preserve"> guidelines </w:t>
      </w:r>
      <w:r w:rsidR="00A3382C">
        <w:t xml:space="preserve">were </w:t>
      </w:r>
      <w:r w:rsidRPr="00D40204">
        <w:t>incorporated into the</w:t>
      </w:r>
      <w:r w:rsidR="00A3382C">
        <w:t>ir resource</w:t>
      </w:r>
      <w:r w:rsidR="00473200">
        <w:t xml:space="preserve"> manual.</w:t>
      </w:r>
    </w:p>
    <w:p w14:paraId="1285F3EE" w14:textId="6C3C7FBA" w:rsidR="002B7202" w:rsidRDefault="006F0D1E" w:rsidP="00A3382C">
      <w:pPr>
        <w:pStyle w:val="Normal-nospacing"/>
      </w:pPr>
      <w:r>
        <w:t xml:space="preserve">The </w:t>
      </w:r>
      <w:r w:rsidR="003D6C71">
        <w:t>reassessment</w:t>
      </w:r>
      <w:r w:rsidRPr="00D40204">
        <w:t xml:space="preserve"> </w:t>
      </w:r>
      <w:r>
        <w:t xml:space="preserve">study (see Section </w:t>
      </w:r>
      <w:r w:rsidR="00A96B0A">
        <w:fldChar w:fldCharType="begin"/>
      </w:r>
      <w:r w:rsidR="00A96B0A">
        <w:instrText xml:space="preserve"> REF _Ref535332666 \r \h </w:instrText>
      </w:r>
      <w:r w:rsidR="00A96B0A">
        <w:fldChar w:fldCharType="separate"/>
      </w:r>
      <w:r w:rsidR="008928D6">
        <w:t>6.1</w:t>
      </w:r>
      <w:r w:rsidR="00A96B0A">
        <w:fldChar w:fldCharType="end"/>
      </w:r>
      <w:r>
        <w:t xml:space="preserve">) provided an opportunity for </w:t>
      </w:r>
      <w:r w:rsidR="00F072F0">
        <w:t>each resident to be assessed with both the NPI-NH and the BRUA and the results compared. It also provided an opportunity to seek assessor feedback on the use of both instruments.</w:t>
      </w:r>
      <w:r w:rsidRPr="006F0D1E">
        <w:t xml:space="preserve"> </w:t>
      </w:r>
      <w:r w:rsidR="00655EC2">
        <w:t>T</w:t>
      </w:r>
      <w:r w:rsidRPr="00D40204">
        <w:t xml:space="preserve">he </w:t>
      </w:r>
      <w:r w:rsidR="00397B82">
        <w:t xml:space="preserve">assessment </w:t>
      </w:r>
      <w:r>
        <w:t xml:space="preserve">forms </w:t>
      </w:r>
      <w:r w:rsidRPr="00D40204">
        <w:t>included an assessor feedback section</w:t>
      </w:r>
      <w:r>
        <w:t xml:space="preserve"> that</w:t>
      </w:r>
      <w:r w:rsidRPr="00D40204">
        <w:t xml:space="preserve"> was completed </w:t>
      </w:r>
      <w:r>
        <w:t xml:space="preserve">after </w:t>
      </w:r>
      <w:r w:rsidRPr="00D40204">
        <w:t>each resident assessment</w:t>
      </w:r>
      <w:r w:rsidR="00931F40">
        <w:t xml:space="preserve"> </w:t>
      </w:r>
      <w:r w:rsidR="00397B82">
        <w:t xml:space="preserve">to </w:t>
      </w:r>
      <w:r w:rsidR="00397B82">
        <w:lastRenderedPageBreak/>
        <w:t>collect data</w:t>
      </w:r>
      <w:r w:rsidRPr="00D40204">
        <w:t xml:space="preserve"> on sources of information, time taken</w:t>
      </w:r>
      <w:r>
        <w:t xml:space="preserve"> and</w:t>
      </w:r>
      <w:r w:rsidR="00931F40">
        <w:t xml:space="preserve"> </w:t>
      </w:r>
      <w:r w:rsidRPr="00D40204">
        <w:t xml:space="preserve">confidence in the ratings for </w:t>
      </w:r>
      <w:r>
        <w:t xml:space="preserve">both </w:t>
      </w:r>
      <w:r w:rsidRPr="00D40204">
        <w:t>the NPI-NH and the BRUA.</w:t>
      </w:r>
    </w:p>
    <w:p w14:paraId="26BE3876" w14:textId="0B3339E0" w:rsidR="00E76D6C" w:rsidRDefault="00026FD1" w:rsidP="00A3382C">
      <w:pPr>
        <w:pStyle w:val="Normal-nospacing"/>
      </w:pPr>
      <w:r>
        <w:t xml:space="preserve">The </w:t>
      </w:r>
      <w:r w:rsidR="00397B82">
        <w:t>casemix profiling</w:t>
      </w:r>
      <w:r w:rsidR="006F0D1E">
        <w:t xml:space="preserve"> </w:t>
      </w:r>
      <w:r>
        <w:t xml:space="preserve">study </w:t>
      </w:r>
      <w:r w:rsidR="003206DE">
        <w:t xml:space="preserve">also </w:t>
      </w:r>
      <w:r w:rsidR="002B7202" w:rsidRPr="00D40204">
        <w:t>co</w:t>
      </w:r>
      <w:r w:rsidR="006F0D1E">
        <w:t xml:space="preserve">llected </w:t>
      </w:r>
      <w:r w:rsidR="00A3382C">
        <w:t xml:space="preserve">both </w:t>
      </w:r>
      <w:r w:rsidR="002B7202" w:rsidRPr="00D40204">
        <w:t>the NPI-NH and the BRUA.</w:t>
      </w:r>
      <w:r>
        <w:t xml:space="preserve"> </w:t>
      </w:r>
      <w:r w:rsidR="002B7202">
        <w:t xml:space="preserve">The structure of the assessment form </w:t>
      </w:r>
      <w:r w:rsidR="00A3382C">
        <w:t>used in th</w:t>
      </w:r>
      <w:r w:rsidR="00397B82">
        <w:t>is</w:t>
      </w:r>
      <w:r w:rsidR="006F0D1E">
        <w:t xml:space="preserve"> </w:t>
      </w:r>
      <w:r w:rsidR="00A3382C">
        <w:t xml:space="preserve">study </w:t>
      </w:r>
      <w:r w:rsidR="002B7202">
        <w:t xml:space="preserve">positioned the </w:t>
      </w:r>
      <w:r w:rsidR="00380553">
        <w:t xml:space="preserve">BRUA ahead of the </w:t>
      </w:r>
      <w:r w:rsidR="002B7202">
        <w:t xml:space="preserve">NPI-NH. Concerns were raised regarding the potential for the </w:t>
      </w:r>
      <w:r w:rsidR="00380553">
        <w:t>BRUA</w:t>
      </w:r>
      <w:r w:rsidR="002B7202">
        <w:t xml:space="preserve"> findings to influence the ratings within the subsequent </w:t>
      </w:r>
      <w:r w:rsidR="00380553">
        <w:t>NPI-NH</w:t>
      </w:r>
      <w:r w:rsidR="002B7202">
        <w:t xml:space="preserve">. To address this, the final </w:t>
      </w:r>
      <w:r w:rsidR="002B7202" w:rsidRPr="00D40204">
        <w:t xml:space="preserve">500 assessments </w:t>
      </w:r>
      <w:r w:rsidR="002B7202">
        <w:t xml:space="preserve">were conducted using </w:t>
      </w:r>
      <w:r w:rsidR="002B7202" w:rsidRPr="00D40204">
        <w:t>the BRUA as a stand-alone tool</w:t>
      </w:r>
      <w:r w:rsidR="00380553">
        <w:t xml:space="preserve"> rather than being incorporated in the assessment form with the NPI-NH</w:t>
      </w:r>
      <w:r w:rsidR="00473200">
        <w:t>.</w:t>
      </w:r>
    </w:p>
    <w:p w14:paraId="076F407F" w14:textId="2E73C23C" w:rsidR="0095799D" w:rsidRDefault="002B7202" w:rsidP="00A3382C">
      <w:pPr>
        <w:pStyle w:val="Normal-nospacing"/>
      </w:pPr>
      <w:r>
        <w:t>An assessment of this latter process indicated that the BRUA was able</w:t>
      </w:r>
      <w:r w:rsidR="00397B82">
        <w:t xml:space="preserve"> to be completed independently </w:t>
      </w:r>
      <w:r>
        <w:t>and provided sufficient detail, with a few minor changes to the definitions, to include in the fina</w:t>
      </w:r>
      <w:r w:rsidR="00473200">
        <w:t>l tool in place of the NPI-NH.</w:t>
      </w:r>
    </w:p>
    <w:p w14:paraId="4DFA1189" w14:textId="77777777" w:rsidR="0095799D" w:rsidRDefault="0095799D">
      <w:pPr>
        <w:rPr>
          <w:rFonts w:eastAsiaTheme="minorHAnsi" w:cstheme="minorHAnsi"/>
          <w:lang w:eastAsia="zh-CN" w:bidi="th-TH"/>
        </w:rPr>
      </w:pPr>
      <w:r>
        <w:br w:type="page"/>
      </w:r>
    </w:p>
    <w:p w14:paraId="4213A2A6" w14:textId="77777777" w:rsidR="002B7202" w:rsidRPr="0095799D" w:rsidRDefault="002B7202" w:rsidP="00A3382C">
      <w:pPr>
        <w:pStyle w:val="Normal-nospacing"/>
        <w:rPr>
          <w:sz w:val="4"/>
          <w:szCs w:val="4"/>
        </w:rPr>
      </w:pPr>
    </w:p>
    <w:p w14:paraId="04CD71DA" w14:textId="79B95A95" w:rsidR="000A73EB" w:rsidRDefault="000A73EB" w:rsidP="0095799D">
      <w:pPr>
        <w:pStyle w:val="Heading1"/>
      </w:pPr>
      <w:bookmarkStart w:id="53" w:name="_Toc2005247"/>
      <w:r>
        <w:t xml:space="preserve">The </w:t>
      </w:r>
      <w:r w:rsidR="00B6398C">
        <w:t>AN-ACC Assessment Tool</w:t>
      </w:r>
      <w:r>
        <w:t xml:space="preserve"> </w:t>
      </w:r>
      <w:r w:rsidR="0095799D">
        <w:t>Version 1.0</w:t>
      </w:r>
      <w:bookmarkEnd w:id="53"/>
    </w:p>
    <w:p w14:paraId="31BEE9F6" w14:textId="4084A200" w:rsidR="000A73EB" w:rsidRDefault="00F146CB" w:rsidP="007F510F">
      <w:pPr>
        <w:pStyle w:val="Normal-nospacing"/>
      </w:pPr>
      <w:r>
        <w:t>As described in Section 3.1, t</w:t>
      </w:r>
      <w:r w:rsidR="000A73EB" w:rsidRPr="00874B3C">
        <w:t xml:space="preserve">he </w:t>
      </w:r>
      <w:r w:rsidR="00B6398C">
        <w:t>AN-ACC Assessment Tool</w:t>
      </w:r>
      <w:r w:rsidR="000A73EB">
        <w:t xml:space="preserve"> incl</w:t>
      </w:r>
      <w:r w:rsidR="00473200">
        <w:t>udes the following instruments:</w:t>
      </w:r>
    </w:p>
    <w:p w14:paraId="04224C66" w14:textId="5D92988F" w:rsidR="000A73EB" w:rsidRPr="0003077E" w:rsidRDefault="000A73EB" w:rsidP="007F510F">
      <w:pPr>
        <w:pStyle w:val="Bullets"/>
        <w:ind w:left="357" w:hanging="357"/>
      </w:pPr>
      <w:r w:rsidRPr="0003077E">
        <w:t xml:space="preserve">The Resource Utilisation Groups – Activities of Daily Living </w:t>
      </w:r>
      <w:r>
        <w:t xml:space="preserve">instrument </w:t>
      </w:r>
      <w:r w:rsidRPr="0003077E">
        <w:t>(RUG-ADL)</w:t>
      </w:r>
    </w:p>
    <w:p w14:paraId="32D9AA37" w14:textId="5BF38901" w:rsidR="000A73EB" w:rsidRPr="0003077E" w:rsidRDefault="000A73EB" w:rsidP="000A73EB">
      <w:pPr>
        <w:pStyle w:val="Bullets"/>
      </w:pPr>
      <w:r w:rsidRPr="0003077E">
        <w:t>The Australia-modified Karnofsky Performance S</w:t>
      </w:r>
      <w:r w:rsidR="003712C2">
        <w:t>tatus</w:t>
      </w:r>
      <w:r w:rsidRPr="0003077E">
        <w:t xml:space="preserve"> (AKPS)</w:t>
      </w:r>
    </w:p>
    <w:p w14:paraId="6363CC8E" w14:textId="28DBCA26" w:rsidR="000A73EB" w:rsidRPr="0003077E" w:rsidRDefault="000A73EB" w:rsidP="000A73EB">
      <w:pPr>
        <w:pStyle w:val="Bullets"/>
      </w:pPr>
      <w:r w:rsidRPr="0003077E">
        <w:t>The Rockwood Clinical Frailty Scale</w:t>
      </w:r>
    </w:p>
    <w:p w14:paraId="06AB55DB" w14:textId="12E6E508" w:rsidR="000A73EB" w:rsidRPr="0003077E" w:rsidRDefault="000A73EB" w:rsidP="000A73EB">
      <w:pPr>
        <w:pStyle w:val="Bullets"/>
      </w:pPr>
      <w:r w:rsidRPr="0003077E">
        <w:t>The Braden Scale</w:t>
      </w:r>
    </w:p>
    <w:p w14:paraId="7609661B" w14:textId="3EED137C" w:rsidR="000A73EB" w:rsidRPr="0003077E" w:rsidRDefault="000A73EB" w:rsidP="000A73EB">
      <w:pPr>
        <w:pStyle w:val="Bullets"/>
      </w:pPr>
      <w:r w:rsidRPr="0003077E">
        <w:t xml:space="preserve">The </w:t>
      </w:r>
      <w:r>
        <w:t xml:space="preserve">modified </w:t>
      </w:r>
      <w:r w:rsidRPr="0003077E">
        <w:t>D</w:t>
      </w:r>
      <w:r>
        <w:t>e Morton Mobility Index (DEMMI)</w:t>
      </w:r>
    </w:p>
    <w:p w14:paraId="619F18CF" w14:textId="28116300" w:rsidR="000A73EB" w:rsidRPr="0003077E" w:rsidRDefault="000A73EB" w:rsidP="000A73EB">
      <w:pPr>
        <w:pStyle w:val="Bullets"/>
      </w:pPr>
      <w:r w:rsidRPr="0003077E">
        <w:t xml:space="preserve">The </w:t>
      </w:r>
      <w:r>
        <w:t>Australian</w:t>
      </w:r>
      <w:r w:rsidR="00192088">
        <w:t xml:space="preserve"> M</w:t>
      </w:r>
      <w:r>
        <w:t xml:space="preserve">odified </w:t>
      </w:r>
      <w:r w:rsidRPr="0003077E">
        <w:t>Functional Independence Measure (</w:t>
      </w:r>
      <w:r>
        <w:t>AM-</w:t>
      </w:r>
      <w:r w:rsidRPr="0003077E">
        <w:t>FIM)</w:t>
      </w:r>
    </w:p>
    <w:p w14:paraId="2F87B8E8" w14:textId="3E0FC081" w:rsidR="000A73EB" w:rsidRPr="0003077E" w:rsidRDefault="000A73EB" w:rsidP="000A73EB">
      <w:pPr>
        <w:pStyle w:val="Bullets"/>
      </w:pPr>
      <w:r>
        <w:t>The Behaviour Resource Utilisation Assessment (BRUA)</w:t>
      </w:r>
      <w:r w:rsidR="008C6D0A">
        <w:t>.</w:t>
      </w:r>
    </w:p>
    <w:p w14:paraId="496FF191" w14:textId="6E491B72" w:rsidR="00F50D88" w:rsidRDefault="000A73EB" w:rsidP="0095799D">
      <w:pPr>
        <w:spacing w:before="120" w:after="120"/>
      </w:pPr>
      <w:r>
        <w:t>In addition, there are questions about palliative care needs, technical nursing requireme</w:t>
      </w:r>
      <w:r w:rsidR="007F5F94">
        <w:t>nts</w:t>
      </w:r>
      <w:r w:rsidR="00CD419A">
        <w:t>,</w:t>
      </w:r>
      <w:r w:rsidR="007F5F94">
        <w:t xml:space="preserve"> falls history and weight loss.</w:t>
      </w:r>
    </w:p>
    <w:p w14:paraId="03209EDA" w14:textId="39A36E32" w:rsidR="0060188E" w:rsidRDefault="0060188E" w:rsidP="0060188E">
      <w:pPr>
        <w:pStyle w:val="Normal-nospacing"/>
      </w:pPr>
      <w:r>
        <w:t xml:space="preserve">There are a number of areas of duplication within the assessment tool, with items such as ‘bed mobility’ and ‘transfers’ included in more than one of the functional tools. This is because the tool has been developed using a series of validated </w:t>
      </w:r>
      <w:r w:rsidR="007F510F">
        <w:t>instruments</w:t>
      </w:r>
      <w:r>
        <w:t xml:space="preserve"> and therefore have subtle differences in scoring. In some tools items are defined slightly differently, and rating scales very across the tools i.e., in the AM-FIM, a score of 7 is used for most independent while in the RUG-ADL, a score of </w:t>
      </w:r>
      <w:r w:rsidR="00473200">
        <w:t>1 is used for most independent.</w:t>
      </w:r>
    </w:p>
    <w:p w14:paraId="157AD635" w14:textId="3F7E456A" w:rsidR="0060188E" w:rsidRDefault="0060188E" w:rsidP="0060188E">
      <w:pPr>
        <w:pStyle w:val="Normal-nospacing"/>
      </w:pPr>
      <w:r>
        <w:t>Maintaining these differences maintains the integrity of the tool and enables a set of ‘error checks’ to be developed to flag assessments that are clinically inconsistent and need to be reviewed. This is critical when the assessment is un</w:t>
      </w:r>
      <w:r w:rsidR="00473200">
        <w:t>dertaken in a funding context.</w:t>
      </w:r>
    </w:p>
    <w:p w14:paraId="246C86F6" w14:textId="693F9E14" w:rsidR="00A63CA4" w:rsidRDefault="00551077" w:rsidP="00A63CA4">
      <w:pPr>
        <w:pStyle w:val="Normal-nospacing"/>
      </w:pPr>
      <w:r>
        <w:t>The AN-ACC A</w:t>
      </w:r>
      <w:r w:rsidR="00A63CA4">
        <w:t xml:space="preserve">ssessment </w:t>
      </w:r>
      <w:r>
        <w:t>T</w:t>
      </w:r>
      <w:r w:rsidR="00A63CA4">
        <w:t xml:space="preserve">ool is used to allocate residents into one of thirteen classes within the AN-ACC </w:t>
      </w:r>
      <w:r w:rsidR="00A63CA4" w:rsidRPr="00CD419A">
        <w:t>Version 1.0</w:t>
      </w:r>
      <w:r w:rsidR="00A63CA4">
        <w:t>. including</w:t>
      </w:r>
      <w:r w:rsidR="00A63CA4" w:rsidRPr="00CD419A">
        <w:t xml:space="preserve"> one class for residential aged care admission for palliative care and twelve classes based on the results of a clinically informed classification model. The three main branches of the classification are defined by the resident’s mobility and each branch has classes defined by </w:t>
      </w:r>
      <w:r w:rsidR="00A63CA4">
        <w:t xml:space="preserve">other variables, including whether or </w:t>
      </w:r>
      <w:r w:rsidR="00A63CA4" w:rsidRPr="00CD419A">
        <w:t xml:space="preserve">not a resident has </w:t>
      </w:r>
      <w:r w:rsidR="00A63CA4">
        <w:t>‘</w:t>
      </w:r>
      <w:r w:rsidR="00A63CA4" w:rsidRPr="00CD419A">
        <w:t>compounding factors</w:t>
      </w:r>
      <w:r w:rsidR="00473200">
        <w:t>.’</w:t>
      </w:r>
    </w:p>
    <w:p w14:paraId="35633FC4" w14:textId="783C02A1" w:rsidR="0060188E" w:rsidRPr="002B7202" w:rsidRDefault="0060188E" w:rsidP="002B7202"/>
    <w:p w14:paraId="7F569291" w14:textId="77777777" w:rsidR="00FA082A" w:rsidRDefault="00FA082A">
      <w:pPr>
        <w:rPr>
          <w:rFonts w:ascii="Calibri" w:eastAsiaTheme="majorEastAsia" w:hAnsi="Calibri" w:cstheme="majorBidi"/>
          <w:b/>
          <w:bCs/>
          <w:sz w:val="28"/>
          <w:szCs w:val="28"/>
        </w:rPr>
      </w:pPr>
      <w:r>
        <w:br w:type="page"/>
      </w:r>
    </w:p>
    <w:p w14:paraId="6373277F" w14:textId="447DF3E6" w:rsidR="009467B4" w:rsidRDefault="0060188E" w:rsidP="00026FD1">
      <w:pPr>
        <w:pStyle w:val="Heading1"/>
      </w:pPr>
      <w:bookmarkStart w:id="54" w:name="_Toc2005248"/>
      <w:r>
        <w:lastRenderedPageBreak/>
        <w:t>I</w:t>
      </w:r>
      <w:r w:rsidR="00946577">
        <w:t>mplementation</w:t>
      </w:r>
      <w:bookmarkEnd w:id="54"/>
      <w:r w:rsidR="00946577">
        <w:t xml:space="preserve"> </w:t>
      </w:r>
    </w:p>
    <w:p w14:paraId="745152A2" w14:textId="672B057F" w:rsidR="00EE065F" w:rsidRDefault="00FB6C38" w:rsidP="00484892">
      <w:pPr>
        <w:pStyle w:val="Normal-nospacing"/>
      </w:pPr>
      <w:r>
        <w:t xml:space="preserve">The AN-ACC </w:t>
      </w:r>
      <w:r w:rsidR="00551077">
        <w:t>a</w:t>
      </w:r>
      <w:r>
        <w:t xml:space="preserve">ssessment </w:t>
      </w:r>
      <w:r w:rsidR="00551077">
        <w:t>m</w:t>
      </w:r>
      <w:r w:rsidR="0060188E">
        <w:t xml:space="preserve">odel </w:t>
      </w:r>
      <w:r>
        <w:t>uses a capabilities framework that relies on a skilled and credentialed workforce</w:t>
      </w:r>
      <w:r w:rsidR="00663669">
        <w:t xml:space="preserve"> which is</w:t>
      </w:r>
      <w:r w:rsidR="00484892" w:rsidRPr="009C7DD9">
        <w:t xml:space="preserve"> external to the aged care home.</w:t>
      </w:r>
      <w:r w:rsidR="00484892" w:rsidRPr="00184B56">
        <w:t xml:space="preserve"> </w:t>
      </w:r>
      <w:r w:rsidR="00BA594A">
        <w:t>T</w:t>
      </w:r>
      <w:r w:rsidR="00484892">
        <w:t xml:space="preserve">he comprehensive training and support offered to the assessors during </w:t>
      </w:r>
      <w:r w:rsidR="00B71523">
        <w:t>the studies</w:t>
      </w:r>
      <w:r w:rsidR="00484892">
        <w:t xml:space="preserve"> identified a number of key lessons for future implementation of a national assessment workforce. The following discussion outlines the core elements required to ensure the outcomes of the assessments are not only robust for funding purposes, but are able to inform the quality and outcome</w:t>
      </w:r>
      <w:r w:rsidR="00473200">
        <w:t>s for the sector going forward.</w:t>
      </w:r>
    </w:p>
    <w:p w14:paraId="5D0A4034" w14:textId="33D4FB28" w:rsidR="00EE065F" w:rsidRDefault="00EE065F" w:rsidP="002B7202">
      <w:pPr>
        <w:pStyle w:val="Heading2"/>
      </w:pPr>
      <w:bookmarkStart w:id="55" w:name="_Toc2005249"/>
      <w:r>
        <w:t>Initial AN-ACC assessment</w:t>
      </w:r>
      <w:bookmarkEnd w:id="55"/>
    </w:p>
    <w:p w14:paraId="1949F5F9" w14:textId="26EE8329" w:rsidR="00EE065F" w:rsidRDefault="00EE065F" w:rsidP="0095799D">
      <w:pPr>
        <w:pStyle w:val="Normal-nospacing"/>
      </w:pPr>
      <w:r>
        <w:t xml:space="preserve">The AN-ACC assessment for funding purposes focuses on the drivers of cost </w:t>
      </w:r>
      <w:r w:rsidR="00774713">
        <w:t>of care. The funding assessment should be undertaken within four weeks of entry into care. Depending on the circumstances, this could be an assessment prior to entry (with the assessment occurring in a health facility or the person’s home), or within the first four weeks after the person</w:t>
      </w:r>
      <w:r w:rsidR="00473200">
        <w:t>’s entry into the care home.</w:t>
      </w:r>
    </w:p>
    <w:p w14:paraId="2A7E4FB1" w14:textId="0E6A6FAA" w:rsidR="00E309AF" w:rsidRDefault="00774713" w:rsidP="0095799D">
      <w:pPr>
        <w:pStyle w:val="Normal-nospacing"/>
      </w:pPr>
      <w:r>
        <w:t>To ensure there are no incentives for preferential resident selection by the care home it is proposed that, where an AN-ACC assessment for funding is undertaken prior to entry, the care home is not advised of the specific AN-ACC class assigned. The home would, however, receive the relevant documentation from the aged care assessment team (ACAT) and referral information as they do now. The only information restriction woul</w:t>
      </w:r>
      <w:r w:rsidR="00473200">
        <w:t>d be the specific AN-ACC class.</w:t>
      </w:r>
    </w:p>
    <w:p w14:paraId="0F276292" w14:textId="4B622B56" w:rsidR="00774713" w:rsidRDefault="00774713" w:rsidP="0095799D">
      <w:pPr>
        <w:pStyle w:val="Normal-nospacing"/>
      </w:pPr>
      <w:r>
        <w:t>If the AN-ACC assessment is undertaken after entry to the care home, the recommended entry payment default is Class 2, the lowest payment class. Once the assessment is AN-ACC assessment is completed and the corre</w:t>
      </w:r>
      <w:r w:rsidR="00FF4D55">
        <w:t>ct class assigned, payments can</w:t>
      </w:r>
      <w:r>
        <w:t xml:space="preserve"> be retrospectively adjusted back to </w:t>
      </w:r>
      <w:r w:rsidR="00473200">
        <w:t>the date of entry.</w:t>
      </w:r>
    </w:p>
    <w:p w14:paraId="28AB5482" w14:textId="3F61DF3B" w:rsidR="00774713" w:rsidRPr="00EE065F" w:rsidRDefault="00774713" w:rsidP="0095799D">
      <w:pPr>
        <w:pStyle w:val="Normal-nospacing"/>
      </w:pPr>
      <w:r>
        <w:t xml:space="preserve">Assessment for care planning continues to be the responsibility of the care home staff, who know the resident best. The AN-ACC model includes provision of a one-off Adjustment Payment </w:t>
      </w:r>
      <w:r w:rsidR="00A90674">
        <w:t xml:space="preserve">in recognition of the additional, but time-limited, resource requirements when someone initially enters residential </w:t>
      </w:r>
      <w:r w:rsidR="00A90674" w:rsidRPr="00BB0D39">
        <w:t>care. This is discussed in more detail in Report 5 of this series.</w:t>
      </w:r>
    </w:p>
    <w:p w14:paraId="538EE1D9" w14:textId="28F86A14" w:rsidR="00F51910" w:rsidRPr="004C19EC" w:rsidRDefault="00F51910" w:rsidP="002B7202">
      <w:pPr>
        <w:pStyle w:val="Heading2"/>
      </w:pPr>
      <w:bookmarkStart w:id="56" w:name="_Toc2005250"/>
      <w:r w:rsidRPr="004C19EC">
        <w:t>Capabilities approach</w:t>
      </w:r>
      <w:bookmarkEnd w:id="56"/>
    </w:p>
    <w:p w14:paraId="28BB189A" w14:textId="418F8AD1" w:rsidR="00345CBB" w:rsidRDefault="00AA2355" w:rsidP="00636A61">
      <w:pPr>
        <w:pStyle w:val="Normal-nospacing"/>
      </w:pPr>
      <w:r>
        <w:t xml:space="preserve">The AN-ACC assessment </w:t>
      </w:r>
      <w:r w:rsidR="00484892">
        <w:t>use</w:t>
      </w:r>
      <w:r>
        <w:t xml:space="preserve">s a ‘capabilities’ approach to determine the functional care needs of residents. </w:t>
      </w:r>
      <w:r w:rsidR="003206DE">
        <w:t>A c</w:t>
      </w:r>
      <w:r>
        <w:t xml:space="preserve">apability approach, or determining what a </w:t>
      </w:r>
      <w:r w:rsidR="00BC740E">
        <w:t>person</w:t>
      </w:r>
      <w:r>
        <w:t xml:space="preserve"> ‘can do’, requires assessors to take account holistically </w:t>
      </w:r>
      <w:r w:rsidR="003206DE">
        <w:t xml:space="preserve">of </w:t>
      </w:r>
      <w:r>
        <w:t>the</w:t>
      </w:r>
      <w:r w:rsidR="00B77839">
        <w:t xml:space="preserve"> person’s </w:t>
      </w:r>
      <w:r>
        <w:t>physical functions, cognition</w:t>
      </w:r>
      <w:r w:rsidR="00B77839">
        <w:t xml:space="preserve">, </w:t>
      </w:r>
      <w:r>
        <w:t>behaviour, motivation, and organisational ability. It takes into account the functional consequences of health conditions such as pain, cognitive impairment, mental health issu</w:t>
      </w:r>
      <w:r w:rsidR="00345CBB">
        <w:t xml:space="preserve">es etc. on staff time. </w:t>
      </w:r>
      <w:r>
        <w:t xml:space="preserve">For example, a </w:t>
      </w:r>
      <w:r w:rsidR="00BC740E">
        <w:t>person</w:t>
      </w:r>
      <w:r>
        <w:t xml:space="preserve"> </w:t>
      </w:r>
      <w:r w:rsidR="00B77839">
        <w:t xml:space="preserve">may have </w:t>
      </w:r>
      <w:r>
        <w:t>the physical capability to shower independently</w:t>
      </w:r>
      <w:r w:rsidR="00B77839">
        <w:t>. H</w:t>
      </w:r>
      <w:r>
        <w:t>owever</w:t>
      </w:r>
      <w:r w:rsidR="00B77839">
        <w:t>, if they</w:t>
      </w:r>
      <w:r>
        <w:t xml:space="preserve"> no longer ha</w:t>
      </w:r>
      <w:r w:rsidR="00B77839">
        <w:t>ve</w:t>
      </w:r>
      <w:r>
        <w:t xml:space="preserve"> the planning skills required</w:t>
      </w:r>
      <w:r w:rsidR="00B77839" w:rsidRPr="00B77839">
        <w:t xml:space="preserve"> </w:t>
      </w:r>
      <w:r w:rsidR="00B77839">
        <w:t>due to a cognitive impairment</w:t>
      </w:r>
      <w:r>
        <w:t>, the assessor determines that th</w:t>
      </w:r>
      <w:r w:rsidR="00BC740E">
        <w:t>ey are</w:t>
      </w:r>
      <w:r w:rsidR="0088748A">
        <w:t xml:space="preserve"> </w:t>
      </w:r>
      <w:r>
        <w:t>n</w:t>
      </w:r>
      <w:r w:rsidR="0088748A">
        <w:t>o</w:t>
      </w:r>
      <w:r>
        <w:t>t inde</w:t>
      </w:r>
      <w:r w:rsidR="00473200">
        <w:t>pendent and require assistance.</w:t>
      </w:r>
    </w:p>
    <w:p w14:paraId="0250BAF8" w14:textId="322D1CE4" w:rsidR="00AA2355" w:rsidRDefault="00B77839" w:rsidP="00636A61">
      <w:pPr>
        <w:pStyle w:val="Normal-nospacing"/>
      </w:pPr>
      <w:r>
        <w:t>Th</w:t>
      </w:r>
      <w:r w:rsidR="0088748A">
        <w:t>e assessment of behaviour is the one exception</w:t>
      </w:r>
      <w:r>
        <w:t xml:space="preserve"> to a capabilities approach</w:t>
      </w:r>
      <w:r w:rsidR="0088748A">
        <w:t>. T</w:t>
      </w:r>
      <w:r w:rsidR="00AA2355">
        <w:t xml:space="preserve">he behavioural care needs of a </w:t>
      </w:r>
      <w:r w:rsidR="00BC740E">
        <w:t>resident</w:t>
      </w:r>
      <w:r w:rsidR="00AA2355">
        <w:t xml:space="preserve"> is </w:t>
      </w:r>
      <w:r w:rsidR="0088748A">
        <w:t xml:space="preserve">assessed </w:t>
      </w:r>
      <w:r w:rsidR="00AA2355">
        <w:t xml:space="preserve">based on what the </w:t>
      </w:r>
      <w:r w:rsidR="00BC740E">
        <w:t>person</w:t>
      </w:r>
      <w:r w:rsidR="00AA2355">
        <w:t xml:space="preserve"> does; </w:t>
      </w:r>
      <w:r w:rsidR="006E29E9">
        <w:t>i.e.</w:t>
      </w:r>
      <w:r w:rsidR="00AA2355">
        <w:t xml:space="preserve"> a ‘do, do’ approach, as opposed to what the</w:t>
      </w:r>
      <w:r w:rsidR="00BC740E">
        <w:t>y are</w:t>
      </w:r>
      <w:r w:rsidR="00AA2355">
        <w:t xml:space="preserve"> capable of doing. For example, there </w:t>
      </w:r>
      <w:r w:rsidR="00345CBB">
        <w:t xml:space="preserve">may be </w:t>
      </w:r>
      <w:r w:rsidR="00BC740E">
        <w:t xml:space="preserve">evidence that they </w:t>
      </w:r>
      <w:r w:rsidR="00AA2355">
        <w:t xml:space="preserve">can </w:t>
      </w:r>
      <w:r w:rsidR="00AA2355">
        <w:lastRenderedPageBreak/>
        <w:t xml:space="preserve">become physically aggressive in response to certain situations </w:t>
      </w:r>
      <w:r w:rsidR="00345CBB">
        <w:t>or to certain</w:t>
      </w:r>
      <w:r w:rsidR="00AA2355">
        <w:t xml:space="preserve"> triggers</w:t>
      </w:r>
      <w:r w:rsidR="00345CBB">
        <w:t>; t</w:t>
      </w:r>
      <w:r w:rsidR="00AA2355">
        <w:t xml:space="preserve">he </w:t>
      </w:r>
      <w:r w:rsidR="00345CBB">
        <w:t>tool records the m</w:t>
      </w:r>
      <w:r w:rsidR="00AA2355">
        <w:t xml:space="preserve">onitoring and supervision required </w:t>
      </w:r>
      <w:r w:rsidR="00345CBB">
        <w:t xml:space="preserve">by staff to </w:t>
      </w:r>
      <w:r w:rsidR="00AA2355">
        <w:t>care for th</w:t>
      </w:r>
      <w:r w:rsidR="00345CBB">
        <w:t>e</w:t>
      </w:r>
      <w:r w:rsidR="00AA2355">
        <w:t xml:space="preserve"> resident and reduce </w:t>
      </w:r>
      <w:r w:rsidR="00345CBB">
        <w:t xml:space="preserve">the </w:t>
      </w:r>
      <w:r w:rsidR="00AA2355">
        <w:t xml:space="preserve">occurrence of </w:t>
      </w:r>
      <w:r w:rsidR="00345CBB">
        <w:t>these behaviours</w:t>
      </w:r>
      <w:r w:rsidR="00473200">
        <w:t>.</w:t>
      </w:r>
    </w:p>
    <w:p w14:paraId="57CE9DB3" w14:textId="725CD34F" w:rsidR="00AA2355" w:rsidRDefault="00091549" w:rsidP="00636A61">
      <w:pPr>
        <w:pStyle w:val="Normal-nospacing"/>
      </w:pPr>
      <w:r>
        <w:t>The AN-ACC capabilities assessment approach aligns with the new 2018 Aged Care Quality Framework’s Standards, in particular around consumer dignity and choice and especially in relation to risk, and assessment being conducted in partnership with consumers.</w:t>
      </w:r>
    </w:p>
    <w:p w14:paraId="14CBA307" w14:textId="335294BB" w:rsidR="00345CBB" w:rsidRDefault="00345CBB" w:rsidP="002B7202">
      <w:pPr>
        <w:pStyle w:val="Heading2"/>
      </w:pPr>
      <w:bookmarkStart w:id="57" w:name="_Toc2005251"/>
      <w:r w:rsidRPr="004C19EC">
        <w:t>Assessor attributes</w:t>
      </w:r>
      <w:bookmarkEnd w:id="57"/>
    </w:p>
    <w:p w14:paraId="73751706" w14:textId="4C98AF9A" w:rsidR="00FA082A" w:rsidRDefault="00FA082A" w:rsidP="00636A61">
      <w:pPr>
        <w:pStyle w:val="Normal-nospacing"/>
      </w:pPr>
      <w:r>
        <w:t xml:space="preserve">The assessment tool is designed to be implemented using a conversational approach rather than a formal clinical review. It utilises a range of strategies to gather information about the capabilities of the </w:t>
      </w:r>
      <w:r w:rsidR="0088748A">
        <w:t>person being assessed</w:t>
      </w:r>
      <w:r>
        <w:t xml:space="preserve">, including observation, conversation with </w:t>
      </w:r>
      <w:r w:rsidR="0088748A">
        <w:t>co-</w:t>
      </w:r>
      <w:r>
        <w:t xml:space="preserve">residents and key informants </w:t>
      </w:r>
      <w:r w:rsidR="00551077">
        <w:t>–</w:t>
      </w:r>
      <w:r>
        <w:t xml:space="preserve"> family, carers, friends, staff; external health providers – as well as review of relevant </w:t>
      </w:r>
      <w:r w:rsidR="00473200">
        <w:t>documentation.</w:t>
      </w:r>
    </w:p>
    <w:p w14:paraId="7550F05C" w14:textId="525C21AB" w:rsidR="007F510F" w:rsidRDefault="00663669" w:rsidP="00636A61">
      <w:pPr>
        <w:pStyle w:val="Normal-nospacing"/>
      </w:pPr>
      <w:r>
        <w:t>The AN-ACC assessment requires a high degree of professional judgement that takes into consideration variance in a person’s abilities and behaviours over a 24 hour period, where assessors may have to ‘piece together’ sometimes conflicting information to make a judgement regarding the person’s capabilities. Assessors will be required to make clinical judgements in a relatively short period of time and therefore need to have expert clinical skills in aged care assessment, and sophisticated professional a</w:t>
      </w:r>
      <w:r w:rsidR="00473200">
        <w:t>nd organisational capabilities.</w:t>
      </w:r>
    </w:p>
    <w:p w14:paraId="40DFE23A" w14:textId="1274DB9A" w:rsidR="00FA082A" w:rsidRPr="002E2B51" w:rsidRDefault="00A00DA5" w:rsidP="00636A61">
      <w:pPr>
        <w:pStyle w:val="Normal-nospacing"/>
      </w:pPr>
      <w:r>
        <w:t xml:space="preserve">The major cost drivers in residential aged care are related to </w:t>
      </w:r>
      <w:r w:rsidRPr="00942D6B">
        <w:t>end of life needs, frailty, functional decline, cognition, behaviour and technical nursing needs</w:t>
      </w:r>
      <w:r w:rsidR="007F510F">
        <w:t>. A</w:t>
      </w:r>
      <w:r>
        <w:t xml:space="preserve">ssessors need to be drawn from professional groups that have these </w:t>
      </w:r>
      <w:r w:rsidR="007F510F">
        <w:t xml:space="preserve">domains </w:t>
      </w:r>
      <w:r>
        <w:t xml:space="preserve">as core </w:t>
      </w:r>
      <w:r w:rsidR="00B71523">
        <w:t xml:space="preserve">components </w:t>
      </w:r>
      <w:r w:rsidR="007F510F">
        <w:t>in t</w:t>
      </w:r>
      <w:r>
        <w:t>heir undergraduate traini</w:t>
      </w:r>
      <w:r w:rsidR="00B71523">
        <w:t xml:space="preserve">ng. Consequently, the AN-ACC </w:t>
      </w:r>
      <w:r>
        <w:t xml:space="preserve">assessment workforce </w:t>
      </w:r>
      <w:r w:rsidR="00663669">
        <w:t>should be comprised of</w:t>
      </w:r>
      <w:r w:rsidR="00FA082A">
        <w:t xml:space="preserve"> credentialed registered nurses, occupational therapists and </w:t>
      </w:r>
      <w:r w:rsidR="00474831">
        <w:t>physiotherapists</w:t>
      </w:r>
      <w:r w:rsidR="00FA082A">
        <w:t xml:space="preserve"> who have experience in aged care, </w:t>
      </w:r>
      <w:r w:rsidR="008421D5">
        <w:t xml:space="preserve">have </w:t>
      </w:r>
      <w:r w:rsidR="00FA082A">
        <w:t>complete</w:t>
      </w:r>
      <w:r w:rsidR="00F146CB">
        <w:t>d</w:t>
      </w:r>
      <w:r w:rsidR="00FA082A">
        <w:t xml:space="preserve"> approved AN-ACC assessment training, have c</w:t>
      </w:r>
      <w:r w:rsidR="00FA082A" w:rsidRPr="00D40204">
        <w:t xml:space="preserve">urrent unrestricted registration with the Australian Health Practitioners Regulation Agency (AHPRA) </w:t>
      </w:r>
      <w:r w:rsidR="00FA082A">
        <w:t>and comply with relevant continuing professional development requirements.</w:t>
      </w:r>
      <w:r w:rsidR="00636A61">
        <w:t xml:space="preserve">  </w:t>
      </w:r>
      <w:r w:rsidR="00636A61">
        <w:fldChar w:fldCharType="begin"/>
      </w:r>
      <w:r w:rsidR="00636A61">
        <w:instrText xml:space="preserve"> REF _Ref534378366 \h  \* MERGEFORMAT </w:instrText>
      </w:r>
      <w:r w:rsidR="00636A61">
        <w:fldChar w:fldCharType="separate"/>
      </w:r>
      <w:r w:rsidR="008928D6">
        <w:t>Appendix 4</w:t>
      </w:r>
      <w:r w:rsidR="00636A61">
        <w:fldChar w:fldCharType="end"/>
      </w:r>
      <w:r w:rsidR="00636A61">
        <w:t xml:space="preserve"> sets out the criteria for selecting suitable assessors.</w:t>
      </w:r>
    </w:p>
    <w:p w14:paraId="67F6B40B" w14:textId="57494FB7" w:rsidR="00FA082A" w:rsidRPr="00F51910" w:rsidRDefault="00FA082A" w:rsidP="002B7202">
      <w:pPr>
        <w:pStyle w:val="Heading2"/>
      </w:pPr>
      <w:bookmarkStart w:id="58" w:name="_Toc2005252"/>
      <w:r w:rsidRPr="00F51910">
        <w:t>Training and support</w:t>
      </w:r>
      <w:bookmarkEnd w:id="58"/>
    </w:p>
    <w:p w14:paraId="2ADF9A45" w14:textId="68D53A4E" w:rsidR="00484892" w:rsidRDefault="00484892" w:rsidP="00484892">
      <w:pPr>
        <w:pStyle w:val="Normal-nospacing"/>
      </w:pPr>
      <w:r>
        <w:t>Assessors will be required to undertake specialised training in the assessment model with its capabilities approach. At least initially, this needs to be face to face and involve case scenarios</w:t>
      </w:r>
      <w:r w:rsidR="007F510F">
        <w:t xml:space="preserve">. This is necessary to allow the successful </w:t>
      </w:r>
      <w:r>
        <w:t>transition from the traditional, long-term clinical approach of assess</w:t>
      </w:r>
      <w:r w:rsidR="007F510F">
        <w:t xml:space="preserve">ment </w:t>
      </w:r>
      <w:r>
        <w:t xml:space="preserve">for care planning </w:t>
      </w:r>
      <w:r w:rsidR="007F510F">
        <w:t xml:space="preserve">purposes. Assessors will need a good </w:t>
      </w:r>
      <w:r>
        <w:t>understanding</w:t>
      </w:r>
      <w:r w:rsidR="007F510F">
        <w:t xml:space="preserve"> of, and know how to </w:t>
      </w:r>
      <w:r>
        <w:t xml:space="preserve">apply the </w:t>
      </w:r>
      <w:r w:rsidR="007F510F">
        <w:t>l</w:t>
      </w:r>
      <w:r>
        <w:t>ogic behind</w:t>
      </w:r>
      <w:r w:rsidR="007F510F">
        <w:t>,</w:t>
      </w:r>
      <w:r>
        <w:t xml:space="preserve"> assess</w:t>
      </w:r>
      <w:r w:rsidR="007F510F">
        <w:t xml:space="preserve">ment </w:t>
      </w:r>
      <w:r>
        <w:t>for funding</w:t>
      </w:r>
      <w:r w:rsidR="007F510F">
        <w:t xml:space="preserve"> purposes</w:t>
      </w:r>
      <w:r w:rsidR="00473200">
        <w:t>.</w:t>
      </w:r>
    </w:p>
    <w:p w14:paraId="5BFFB594" w14:textId="204187A6" w:rsidR="00636A61" w:rsidRDefault="00484892" w:rsidP="00636A61">
      <w:pPr>
        <w:pStyle w:val="Normal-nospacing"/>
      </w:pPr>
      <w:r>
        <w:t xml:space="preserve">The studies used to inform the AN-ACC were underpinned by a comprehensive and strategic training and support program designed to support assessors, ensure consistency of data collection and provide regular opportunities for feedback on the overall assessment model and </w:t>
      </w:r>
      <w:r w:rsidR="00A34113">
        <w:t>tool elements. An</w:t>
      </w:r>
      <w:r w:rsidR="00636A61">
        <w:t xml:space="preserve"> initial full-day face to face training combined a series of </w:t>
      </w:r>
      <w:r w:rsidR="00636A61" w:rsidRPr="00072283">
        <w:t>lecture</w:t>
      </w:r>
      <w:r w:rsidR="00636A61">
        <w:t xml:space="preserve">s and </w:t>
      </w:r>
      <w:r w:rsidR="00636A61" w:rsidRPr="00072283">
        <w:t xml:space="preserve">interactive </w:t>
      </w:r>
      <w:r w:rsidR="00636A61">
        <w:t xml:space="preserve">case scenarios, based on the </w:t>
      </w:r>
      <w:r w:rsidR="00636A61" w:rsidRPr="00072283">
        <w:t>training manual developed as a reference guide</w:t>
      </w:r>
      <w:r w:rsidR="00636A61">
        <w:t xml:space="preserve">. New assessors were ‘buddied’ with experienced assessors to provide an initial ‘on the job’ orientation and support. Assessors were also </w:t>
      </w:r>
      <w:r w:rsidR="00636A61" w:rsidRPr="00072283">
        <w:t xml:space="preserve">supported via an email group, enabling standard responses to questions (Frequently Asked Questions documents) to be provided to all </w:t>
      </w:r>
      <w:r w:rsidR="00636A61" w:rsidRPr="00072283">
        <w:lastRenderedPageBreak/>
        <w:t>assessors, and weekly assessor teleconferences.</w:t>
      </w:r>
      <w:r w:rsidR="00636A61">
        <w:t xml:space="preserve"> It also provided a forum for ensuring that assessors remained consistent in their application of the assessment approach and tools. Assessors were also able to contact a member of the RUCS research team if they had specific questions. A log of issues was maintained by the study team, and participants were surveyed regarding the usability of the assessment and their experience of the external assessor model.</w:t>
      </w:r>
    </w:p>
    <w:p w14:paraId="49249719" w14:textId="3340E494" w:rsidR="00663669" w:rsidRDefault="007F510F" w:rsidP="006577CD">
      <w:pPr>
        <w:pStyle w:val="Normal-nospacing"/>
      </w:pPr>
      <w:r>
        <w:t>Going forward, t</w:t>
      </w:r>
      <w:r w:rsidR="00663669">
        <w:t xml:space="preserve">he </w:t>
      </w:r>
      <w:r w:rsidR="006577CD" w:rsidRPr="00BD6315">
        <w:t xml:space="preserve">Aged Care Assessment Program </w:t>
      </w:r>
      <w:r w:rsidR="006577CD">
        <w:t>(</w:t>
      </w:r>
      <w:r w:rsidR="00663669">
        <w:t>ACAP</w:t>
      </w:r>
      <w:r w:rsidR="006577CD">
        <w:t>)</w:t>
      </w:r>
      <w:r w:rsidR="00663669">
        <w:t xml:space="preserve"> training strategy could be used as a model for </w:t>
      </w:r>
      <w:r>
        <w:t xml:space="preserve">the </w:t>
      </w:r>
      <w:r w:rsidR="00663669">
        <w:t>AN-ACC assess</w:t>
      </w:r>
      <w:r>
        <w:t>ment workforce</w:t>
      </w:r>
      <w:r w:rsidR="00663669">
        <w:t xml:space="preserve">. However, initially a more structured training and support approach would need to be </w:t>
      </w:r>
      <w:r w:rsidR="00B71523">
        <w:t xml:space="preserve">employed </w:t>
      </w:r>
      <w:r w:rsidR="00663669">
        <w:t xml:space="preserve">until the AN-ACC assessment model </w:t>
      </w:r>
      <w:r w:rsidR="00473200">
        <w:t>has been fully operationalised.</w:t>
      </w:r>
    </w:p>
    <w:p w14:paraId="2069D9C0" w14:textId="36E6001B" w:rsidR="0088748A" w:rsidRDefault="0088748A" w:rsidP="001666C8">
      <w:pPr>
        <w:pStyle w:val="Heading2"/>
      </w:pPr>
      <w:bookmarkStart w:id="59" w:name="_Toc2005253"/>
      <w:r>
        <w:t xml:space="preserve">AN-ACC assessment workforce </w:t>
      </w:r>
      <w:r w:rsidR="00663669">
        <w:t>strategy</w:t>
      </w:r>
      <w:bookmarkEnd w:id="59"/>
    </w:p>
    <w:p w14:paraId="5B7DEA57" w14:textId="17B9D537" w:rsidR="002B7202" w:rsidRDefault="00636A61" w:rsidP="006577CD">
      <w:pPr>
        <w:pStyle w:val="Normal-nospacing"/>
      </w:pPr>
      <w:r>
        <w:t xml:space="preserve">There is a need for an AN-ACC assessment workforce model and strategy. </w:t>
      </w:r>
      <w:r w:rsidR="002B7202" w:rsidRPr="009C7DD9">
        <w:t xml:space="preserve">A </w:t>
      </w:r>
      <w:r w:rsidR="002B7202">
        <w:t xml:space="preserve">useful </w:t>
      </w:r>
      <w:r w:rsidR="002B7202" w:rsidRPr="009C7DD9">
        <w:t>prototype model is the Australian Aged Care Quality Agency’s</w:t>
      </w:r>
      <w:r w:rsidR="006577CD">
        <w:rPr>
          <w:rStyle w:val="FootnoteReference"/>
        </w:rPr>
        <w:footnoteReference w:id="5"/>
      </w:r>
      <w:r w:rsidR="002B7202" w:rsidRPr="009C7DD9">
        <w:t xml:space="preserve"> assessment workforce</w:t>
      </w:r>
      <w:r w:rsidR="002B7202">
        <w:t>. At a minimum, the strategy should include:</w:t>
      </w:r>
    </w:p>
    <w:p w14:paraId="089403CB" w14:textId="58E11484" w:rsidR="002B7202" w:rsidRDefault="008C6D0A" w:rsidP="002B7202">
      <w:pPr>
        <w:pStyle w:val="Bullet"/>
      </w:pPr>
      <w:r>
        <w:t>a</w:t>
      </w:r>
      <w:r w:rsidR="002B7202">
        <w:t>ccredited training program for purposes of as</w:t>
      </w:r>
      <w:r w:rsidR="00E227E1">
        <w:t>sessor credentialing</w:t>
      </w:r>
    </w:p>
    <w:p w14:paraId="316243B6" w14:textId="2B61BC53" w:rsidR="002B7202" w:rsidRDefault="008C6D0A" w:rsidP="002B7202">
      <w:pPr>
        <w:pStyle w:val="Bullet"/>
      </w:pPr>
      <w:r>
        <w:t>c</w:t>
      </w:r>
      <w:r w:rsidR="002B7202">
        <w:t xml:space="preserve">omprehensive resource development </w:t>
      </w:r>
      <w:r w:rsidR="00551077">
        <w:t>–</w:t>
      </w:r>
      <w:r w:rsidR="002B7202">
        <w:t xml:space="preserve"> training manuals, operational procedures</w:t>
      </w:r>
    </w:p>
    <w:p w14:paraId="21CC631A" w14:textId="61812FBD" w:rsidR="002B7202" w:rsidRDefault="008C6D0A" w:rsidP="002B7202">
      <w:pPr>
        <w:pStyle w:val="Bullet"/>
      </w:pPr>
      <w:r>
        <w:t>r</w:t>
      </w:r>
      <w:r w:rsidR="002B7202">
        <w:t xml:space="preserve">egular communication mechanism </w:t>
      </w:r>
      <w:r w:rsidR="00551077">
        <w:t>(teleconferences, newsletters) –</w:t>
      </w:r>
      <w:r w:rsidR="002B7202">
        <w:t xml:space="preserve"> to ensure consistency in a distributed, national workforce</w:t>
      </w:r>
    </w:p>
    <w:p w14:paraId="3902A8F3" w14:textId="7B3C169E" w:rsidR="002B7202" w:rsidRDefault="008C6D0A" w:rsidP="002B7202">
      <w:pPr>
        <w:pStyle w:val="Bullet"/>
      </w:pPr>
      <w:r>
        <w:t>c</w:t>
      </w:r>
      <w:r w:rsidR="002B7202">
        <w:t>ontinuing professional development activities</w:t>
      </w:r>
    </w:p>
    <w:p w14:paraId="36183736" w14:textId="6B143729" w:rsidR="002B7202" w:rsidRPr="007F21DE" w:rsidRDefault="008C6D0A" w:rsidP="002B7202">
      <w:pPr>
        <w:pStyle w:val="Bullet"/>
        <w:rPr>
          <w:rFonts w:cstheme="minorHAnsi"/>
        </w:rPr>
      </w:pPr>
      <w:r>
        <w:t>h</w:t>
      </w:r>
      <w:r w:rsidR="002B7202">
        <w:t>elp desk function to support assessors as required e.g., in the field, complex</w:t>
      </w:r>
      <w:r w:rsidR="00473200">
        <w:t xml:space="preserve"> cases, expert clinical advice.</w:t>
      </w:r>
    </w:p>
    <w:p w14:paraId="3006D1CE" w14:textId="3E3E5588" w:rsidR="00663669" w:rsidRDefault="00663669" w:rsidP="00663669">
      <w:pPr>
        <w:pStyle w:val="Normal-nospacing"/>
      </w:pPr>
      <w:r>
        <w:t xml:space="preserve">The AN-ACC </w:t>
      </w:r>
      <w:r w:rsidR="00551077">
        <w:t>a</w:t>
      </w:r>
      <w:r w:rsidR="00BA594A">
        <w:t xml:space="preserve">ssessment </w:t>
      </w:r>
      <w:r w:rsidR="00551077">
        <w:t>m</w:t>
      </w:r>
      <w:r>
        <w:t>odel is agnostic in relation to the broader organisational context</w:t>
      </w:r>
      <w:r w:rsidR="00BA594A">
        <w:t xml:space="preserve"> from which credentialed assessors are drawn</w:t>
      </w:r>
      <w:r>
        <w:t xml:space="preserve">. The </w:t>
      </w:r>
      <w:r w:rsidRPr="00184B56">
        <w:t>A</w:t>
      </w:r>
      <w:r>
        <w:t xml:space="preserve">ged </w:t>
      </w:r>
      <w:r w:rsidRPr="00184B56">
        <w:t>C</w:t>
      </w:r>
      <w:r>
        <w:t xml:space="preserve">are </w:t>
      </w:r>
      <w:r w:rsidRPr="00184B56">
        <w:t>A</w:t>
      </w:r>
      <w:r>
        <w:t xml:space="preserve">ssessment </w:t>
      </w:r>
      <w:r w:rsidRPr="00184B56">
        <w:t>T</w:t>
      </w:r>
      <w:r>
        <w:t>eam (ACAT)</w:t>
      </w:r>
      <w:r w:rsidRPr="00184B56">
        <w:t xml:space="preserve"> program role </w:t>
      </w:r>
      <w:r>
        <w:t xml:space="preserve">is </w:t>
      </w:r>
      <w:r w:rsidRPr="00184B56">
        <w:t>likely to be unchanged</w:t>
      </w:r>
      <w:r>
        <w:t xml:space="preserve">, with ACATs </w:t>
      </w:r>
      <w:r w:rsidRPr="00184B56">
        <w:t>retain</w:t>
      </w:r>
      <w:r>
        <w:t>ing their current</w:t>
      </w:r>
      <w:r w:rsidRPr="00184B56">
        <w:t xml:space="preserve"> role of ‘gatekeeper’ to </w:t>
      </w:r>
      <w:r>
        <w:t xml:space="preserve">packaged </w:t>
      </w:r>
      <w:r w:rsidRPr="00184B56">
        <w:t>aged care across community and residential</w:t>
      </w:r>
      <w:r>
        <w:t xml:space="preserve"> settings. The AN-ACC assessment function could sit within an ACAT</w:t>
      </w:r>
      <w:r w:rsidR="00D85067">
        <w:t>. A</w:t>
      </w:r>
      <w:r>
        <w:t>lternately, it could be undertaken by a separate agency or network</w:t>
      </w:r>
      <w:r w:rsidR="00B71523">
        <w:t xml:space="preserve"> of appropriately </w:t>
      </w:r>
      <w:r w:rsidR="00D85067">
        <w:t xml:space="preserve">credentialed </w:t>
      </w:r>
      <w:r w:rsidR="00B71523">
        <w:t>assessors</w:t>
      </w:r>
      <w:r>
        <w:t>.</w:t>
      </w:r>
    </w:p>
    <w:p w14:paraId="704CB5D7" w14:textId="77777777" w:rsidR="002B7202" w:rsidRPr="00E90708" w:rsidRDefault="002B7202" w:rsidP="007F5F94">
      <w:pPr>
        <w:pStyle w:val="Heading2"/>
      </w:pPr>
      <w:bookmarkStart w:id="60" w:name="_Toc2005254"/>
      <w:r w:rsidRPr="00E90708">
        <w:t>Sector development</w:t>
      </w:r>
      <w:bookmarkEnd w:id="60"/>
    </w:p>
    <w:p w14:paraId="49E8F26A" w14:textId="4FCFD65E" w:rsidR="002B7202" w:rsidRDefault="002B7202" w:rsidP="0095799D">
      <w:pPr>
        <w:pStyle w:val="Normal-nospacing"/>
      </w:pPr>
      <w:r>
        <w:t xml:space="preserve">The AN-ACC and external assessment process represents a major change for the residential aged care sector. It is recommended that a widespread education for the aged care sector be provided to ensure that residential aged care providers and care staff are familiar with the new funding approach and what is required of them when an external assessor is </w:t>
      </w:r>
      <w:r w:rsidR="00473200">
        <w:t>present in the care home.</w:t>
      </w:r>
    </w:p>
    <w:p w14:paraId="53F9D240" w14:textId="77777777" w:rsidR="00874B3C" w:rsidRDefault="00874B3C">
      <w:r>
        <w:br w:type="page"/>
      </w:r>
    </w:p>
    <w:p w14:paraId="483C4FDB" w14:textId="2875C9C5" w:rsidR="00106793" w:rsidRDefault="00BB0D39" w:rsidP="00026FD1">
      <w:pPr>
        <w:pStyle w:val="Heading1"/>
      </w:pPr>
      <w:bookmarkStart w:id="61" w:name="_Toc532293818"/>
      <w:bookmarkStart w:id="62" w:name="_Ref534366221"/>
      <w:bookmarkStart w:id="63" w:name="_Ref534377482"/>
      <w:bookmarkStart w:id="64" w:name="_Ref535510486"/>
      <w:bookmarkStart w:id="65" w:name="_Toc2005255"/>
      <w:r>
        <w:lastRenderedPageBreak/>
        <w:t>AN-ACC r</w:t>
      </w:r>
      <w:r w:rsidR="00106793">
        <w:t>eassessment</w:t>
      </w:r>
      <w:bookmarkEnd w:id="61"/>
      <w:bookmarkEnd w:id="62"/>
      <w:bookmarkEnd w:id="63"/>
      <w:bookmarkEnd w:id="64"/>
      <w:bookmarkEnd w:id="65"/>
    </w:p>
    <w:p w14:paraId="2B1047D0" w14:textId="5B4BD252" w:rsidR="00BB730D" w:rsidRDefault="00BB0D39" w:rsidP="0095799D">
      <w:pPr>
        <w:pStyle w:val="Normal-nospacing"/>
      </w:pPr>
      <w:bookmarkStart w:id="66" w:name="_Ref532292353"/>
      <w:r>
        <w:t xml:space="preserve">The design and implementation of the AN-ACC funding model allows for a person to be assigned to a higher paying class if their needs change significantly either due to deterioration over time or as a result of a specific event. </w:t>
      </w:r>
      <w:r w:rsidR="002C14FC">
        <w:t xml:space="preserve">At the same time, the model does not create incentives for frequent unnecessary reassessments due to the payment and classification structure. That is, the individualised payment represents, on average, only half the daily payment for a facility; </w:t>
      </w:r>
      <w:r w:rsidR="00E309AF">
        <w:t>t</w:t>
      </w:r>
      <w:r w:rsidR="00E309AF" w:rsidRPr="000B42C6">
        <w:t>he base care tariff (</w:t>
      </w:r>
      <w:r w:rsidR="00E309AF">
        <w:t>fix</w:t>
      </w:r>
      <w:r w:rsidR="00E309AF" w:rsidRPr="000B42C6">
        <w:t>ed care payment) does not change as the result of a reassessment.</w:t>
      </w:r>
      <w:r w:rsidR="002C14FC">
        <w:t xml:space="preserve"> </w:t>
      </w:r>
      <w:r w:rsidR="004B78AE">
        <w:t>Th</w:t>
      </w:r>
      <w:r w:rsidR="002C14FC">
        <w:t xml:space="preserve">e </w:t>
      </w:r>
      <w:r w:rsidR="004B78AE">
        <w:t xml:space="preserve">small </w:t>
      </w:r>
      <w:r w:rsidR="002C14FC">
        <w:t xml:space="preserve">number of classes between which individuals can potentially move also </w:t>
      </w:r>
      <w:r w:rsidR="00473200">
        <w:t>provides less scope for change.</w:t>
      </w:r>
    </w:p>
    <w:p w14:paraId="1C252105" w14:textId="0A8E2FFC" w:rsidR="002A7B0A" w:rsidRDefault="00BB730D" w:rsidP="0095799D">
      <w:pPr>
        <w:pStyle w:val="Normal-nospacing"/>
      </w:pPr>
      <w:r>
        <w:t>The AN-ACC funding model is underpinned by an explicit incentive for high quality of care with a focus on restorative care and reablement by having no formal requirement for reassessment for funding purposes. That is, if the capability of a resident improves after entry to the care home, there is no requirement for reassessment and potential reassig</w:t>
      </w:r>
      <w:r w:rsidR="00473200">
        <w:t>nment to a lower payment class.</w:t>
      </w:r>
    </w:p>
    <w:p w14:paraId="438DD5B5" w14:textId="6057EFF6" w:rsidR="002A7B0A" w:rsidRDefault="004B78AE" w:rsidP="0095799D">
      <w:pPr>
        <w:pStyle w:val="Normal-nospacing"/>
      </w:pPr>
      <w:r>
        <w:t>The reassessment study described in this section of the report identified t</w:t>
      </w:r>
      <w:r w:rsidR="002A7B0A">
        <w:t xml:space="preserve">hree core triggers for reassessment and class </w:t>
      </w:r>
      <w:r w:rsidR="00CD6B9D">
        <w:t>reallocation</w:t>
      </w:r>
      <w:r>
        <w:t>:</w:t>
      </w:r>
    </w:p>
    <w:p w14:paraId="6279BE20" w14:textId="41C31218" w:rsidR="004B78AE" w:rsidRDefault="008C6D0A" w:rsidP="0095799D">
      <w:pPr>
        <w:pStyle w:val="Bullet"/>
      </w:pPr>
      <w:r>
        <w:t>h</w:t>
      </w:r>
      <w:r w:rsidR="002A7B0A">
        <w:t xml:space="preserve">ospitalisation of </w:t>
      </w:r>
      <w:r w:rsidR="002A7B0A" w:rsidRPr="000B42C6">
        <w:t>five days or more or, in the event of a patient who has a general anaesthetic, two days or more</w:t>
      </w:r>
    </w:p>
    <w:p w14:paraId="2812E53C" w14:textId="3E97EBEA" w:rsidR="004B78AE" w:rsidRDefault="008C6D0A" w:rsidP="0095799D">
      <w:pPr>
        <w:pStyle w:val="Bullet"/>
      </w:pPr>
      <w:r>
        <w:t>s</w:t>
      </w:r>
      <w:r w:rsidR="004B78AE">
        <w:t xml:space="preserve">ignificant change in </w:t>
      </w:r>
      <w:r w:rsidR="002A7B0A" w:rsidRPr="000B42C6">
        <w:t>mobility capacity (i.e., from independent/assisted to assisted/non-mobile)</w:t>
      </w:r>
    </w:p>
    <w:p w14:paraId="71C8A0E6" w14:textId="5E623176" w:rsidR="004B78AE" w:rsidRPr="004B78AE" w:rsidRDefault="008C6D0A" w:rsidP="0095799D">
      <w:pPr>
        <w:pStyle w:val="Bullet"/>
        <w:rPr>
          <w:rFonts w:cstheme="minorHAnsi"/>
        </w:rPr>
      </w:pPr>
      <w:r>
        <w:t>t</w:t>
      </w:r>
      <w:r w:rsidR="002A7B0A">
        <w:t xml:space="preserve">ime, to account for changes associated with increasing </w:t>
      </w:r>
      <w:r w:rsidR="002A7B0A" w:rsidRPr="000B42C6">
        <w:t>frail</w:t>
      </w:r>
      <w:r w:rsidR="002A7B0A">
        <w:t>ty</w:t>
      </w:r>
      <w:r w:rsidR="002A7B0A" w:rsidRPr="000B42C6">
        <w:t xml:space="preserve"> and/or </w:t>
      </w:r>
      <w:r w:rsidR="002A7B0A">
        <w:t>deter</w:t>
      </w:r>
      <w:r w:rsidR="00473200">
        <w:t>ioration in health status.</w:t>
      </w:r>
    </w:p>
    <w:p w14:paraId="45F90323" w14:textId="53CEF920" w:rsidR="00AD2062" w:rsidRDefault="00A96B0A" w:rsidP="00AD2062">
      <w:pPr>
        <w:pStyle w:val="Heading2"/>
      </w:pPr>
      <w:bookmarkStart w:id="67" w:name="_Ref535332666"/>
      <w:bookmarkStart w:id="68" w:name="_Toc2005256"/>
      <w:r>
        <w:t>T</w:t>
      </w:r>
      <w:r w:rsidR="00AD2062" w:rsidRPr="00FA4CAD">
        <w:t>he reassessment study</w:t>
      </w:r>
      <w:bookmarkEnd w:id="66"/>
      <w:bookmarkEnd w:id="67"/>
      <w:bookmarkEnd w:id="68"/>
    </w:p>
    <w:p w14:paraId="248F1CC4" w14:textId="51AEC31A" w:rsidR="00AD2062" w:rsidRDefault="00CD6B9D" w:rsidP="0095799D">
      <w:pPr>
        <w:pStyle w:val="Normal-nospacing"/>
      </w:pPr>
      <w:r>
        <w:t xml:space="preserve">The core components of the AN-ACC assessment model have been extensively tested and validated as appropriate for implementation within the Australian residential aged care context (reported on in </w:t>
      </w:r>
      <w:r w:rsidR="00F174D4">
        <w:t>Report</w:t>
      </w:r>
      <w:r>
        <w:t xml:space="preserve">s 1 and 4 of this series). However, </w:t>
      </w:r>
      <w:r w:rsidR="006F591C">
        <w:t xml:space="preserve">several issues required further clarification, including the </w:t>
      </w:r>
      <w:r>
        <w:t xml:space="preserve">reassessment triggers and protocols; this was addressed through a separate reassessment study. </w:t>
      </w:r>
      <w:r w:rsidR="00A96B0A">
        <w:t>Th</w:t>
      </w:r>
      <w:r w:rsidR="00473200">
        <w:t>e study sought to confirm:</w:t>
      </w:r>
    </w:p>
    <w:p w14:paraId="214F63D8" w14:textId="00040B76" w:rsidR="00AD2062" w:rsidRPr="00A14A04" w:rsidRDefault="006F591C" w:rsidP="00AD2062">
      <w:pPr>
        <w:pStyle w:val="Bullet"/>
      </w:pPr>
      <w:r>
        <w:t xml:space="preserve">Assessor skills – initial studies recruited assessors who were registered nurses </w:t>
      </w:r>
      <w:r w:rsidR="00AD2062" w:rsidRPr="00A14A04">
        <w:t>with fiv</w:t>
      </w:r>
      <w:r w:rsidR="00AD2062">
        <w:t>e years of aged care experience</w:t>
      </w:r>
      <w:r>
        <w:t xml:space="preserve">. The </w:t>
      </w:r>
      <w:r w:rsidR="00AD2062">
        <w:t>potential for experi</w:t>
      </w:r>
      <w:r w:rsidR="00AD2062" w:rsidRPr="00A14A04">
        <w:t xml:space="preserve">enced </w:t>
      </w:r>
      <w:r w:rsidR="00AD2062">
        <w:t>o</w:t>
      </w:r>
      <w:r w:rsidR="00AD2062" w:rsidRPr="00A14A04">
        <w:t xml:space="preserve">ccupational </w:t>
      </w:r>
      <w:r w:rsidR="00AD2062">
        <w:t>t</w:t>
      </w:r>
      <w:r w:rsidR="00AD2062" w:rsidRPr="00A14A04">
        <w:t xml:space="preserve">herapists and </w:t>
      </w:r>
      <w:r w:rsidR="00AD2062">
        <w:t>p</w:t>
      </w:r>
      <w:r>
        <w:t>hysiotherapists to conduct assessments was explored.</w:t>
      </w:r>
    </w:p>
    <w:p w14:paraId="7DB62ABC" w14:textId="6311760F" w:rsidR="00AD2062" w:rsidRPr="00A14A04" w:rsidRDefault="008C6D0A" w:rsidP="00AD2062">
      <w:pPr>
        <w:pStyle w:val="Bullet"/>
      </w:pPr>
      <w:r>
        <w:t xml:space="preserve">Information sources required – </w:t>
      </w:r>
      <w:r w:rsidR="006F591C">
        <w:t xml:space="preserve">particularly in regards to </w:t>
      </w:r>
      <w:r w:rsidR="00AD2062" w:rsidRPr="00A14A04">
        <w:t>assess</w:t>
      </w:r>
      <w:r w:rsidR="006F591C">
        <w:t xml:space="preserve">ment of </w:t>
      </w:r>
      <w:r w:rsidR="00AD2062" w:rsidRPr="00A14A04">
        <w:t>cognition and behaviour</w:t>
      </w:r>
      <w:r w:rsidR="006F591C">
        <w:t xml:space="preserve"> and the i</w:t>
      </w:r>
      <w:r w:rsidR="00AD2062">
        <w:t xml:space="preserve">nput </w:t>
      </w:r>
      <w:r w:rsidR="006F591C">
        <w:t xml:space="preserve">provided by </w:t>
      </w:r>
      <w:r w:rsidR="00AD2062">
        <w:t>care staff.</w:t>
      </w:r>
    </w:p>
    <w:p w14:paraId="1AF6C9A6" w14:textId="04814071" w:rsidR="00AD2062" w:rsidRPr="00A14A04" w:rsidRDefault="00AD2062" w:rsidP="00AD2062">
      <w:pPr>
        <w:pStyle w:val="Bullet"/>
      </w:pPr>
      <w:r w:rsidRPr="00A14A04">
        <w:t>W</w:t>
      </w:r>
      <w:r w:rsidR="006F591C">
        <w:t xml:space="preserve">orkforce issues – recruitment, training and support and organisational contexts to support a national </w:t>
      </w:r>
      <w:r w:rsidRPr="00A14A04">
        <w:t>assessment workforce</w:t>
      </w:r>
      <w:r w:rsidR="006F591C">
        <w:t>.</w:t>
      </w:r>
    </w:p>
    <w:p w14:paraId="08A2A3A6" w14:textId="789D32D9" w:rsidR="00AD2062" w:rsidRPr="00B3578B" w:rsidRDefault="006F591C" w:rsidP="00AD2062">
      <w:pPr>
        <w:pStyle w:val="Bullet"/>
      </w:pPr>
      <w:r>
        <w:t xml:space="preserve">Reassessment </w:t>
      </w:r>
      <w:r w:rsidR="008C6D0A">
        <w:t xml:space="preserve">– </w:t>
      </w:r>
      <w:r w:rsidR="00AD2062" w:rsidRPr="00B3578B">
        <w:t xml:space="preserve">triggers and protocols for reassessment of residents to account for </w:t>
      </w:r>
      <w:r w:rsidR="00EB4148">
        <w:t>increasing care needs over time.</w:t>
      </w:r>
    </w:p>
    <w:p w14:paraId="29E907D0" w14:textId="2A9C6CA3" w:rsidR="004B78AE" w:rsidRDefault="00A96B0A" w:rsidP="00AD2062">
      <w:pPr>
        <w:pStyle w:val="Normal-nospacing"/>
      </w:pPr>
      <w:r>
        <w:t xml:space="preserve">The study involved a </w:t>
      </w:r>
      <w:r w:rsidR="00AD2062">
        <w:t xml:space="preserve">reassessment of residents who </w:t>
      </w:r>
      <w:r>
        <w:t xml:space="preserve">had </w:t>
      </w:r>
      <w:r w:rsidR="00AD2062">
        <w:t>participated in the initial study (s</w:t>
      </w:r>
      <w:r w:rsidR="00AD2062" w:rsidRPr="009658D0">
        <w:t>ervice utilisation and classification development study</w:t>
      </w:r>
      <w:r w:rsidR="00AD2062">
        <w:t xml:space="preserve">) </w:t>
      </w:r>
      <w:r>
        <w:t xml:space="preserve">in order to clarify </w:t>
      </w:r>
      <w:r w:rsidR="00AD2062">
        <w:t xml:space="preserve">changes in their care needs </w:t>
      </w:r>
      <w:r w:rsidR="00AD2062">
        <w:lastRenderedPageBreak/>
        <w:t>and capability over a four to six month period.</w:t>
      </w:r>
      <w:r w:rsidR="004B78AE">
        <w:t xml:space="preserve"> </w:t>
      </w:r>
      <w:r w:rsidR="008406DD">
        <w:t>The same assessment tool was used, with some additional data items to facilitate the analysis of significant events and other relevant factors. The reassessment data were then compared to the initial assessments along with the additional data collected about significant events that had occurred during the intervening period, such as falls, hospitalisation and other medical events.</w:t>
      </w:r>
    </w:p>
    <w:p w14:paraId="33C7E4E9" w14:textId="00860E35" w:rsidR="00AD2062" w:rsidRDefault="00AD2062" w:rsidP="00AD2062">
      <w:pPr>
        <w:pStyle w:val="Normal-nospacing"/>
      </w:pPr>
      <w:r>
        <w:t xml:space="preserve">The assessment workforce for the reassessment study was expanded to include a number of experienced occupational therapists and physiotherapists along with registered nurses who had previously been </w:t>
      </w:r>
      <w:r w:rsidR="00A96B0A">
        <w:t xml:space="preserve">involved in the initial study. </w:t>
      </w:r>
      <w:r>
        <w:t>The 31 assessors recruited for the reassessment study included 21</w:t>
      </w:r>
      <w:r w:rsidRPr="00AD6536">
        <w:t xml:space="preserve"> registered nurses</w:t>
      </w:r>
      <w:r>
        <w:t xml:space="preserve"> (including one nurse practitioner)</w:t>
      </w:r>
      <w:r w:rsidRPr="00AD6536">
        <w:t>; six physiotherapists; and four occupational therapists.</w:t>
      </w:r>
    </w:p>
    <w:p w14:paraId="22F403A7" w14:textId="54A1C84D" w:rsidR="00A96B0A" w:rsidRDefault="00106793" w:rsidP="00636A61">
      <w:pPr>
        <w:pStyle w:val="Normal-nospacing"/>
      </w:pPr>
      <w:r>
        <w:fldChar w:fldCharType="begin"/>
      </w:r>
      <w:r>
        <w:instrText xml:space="preserve"> REF _Ref532036320 \h </w:instrText>
      </w:r>
      <w:r w:rsidR="00636A61">
        <w:instrText xml:space="preserve"> \* MERGEFORMAT </w:instrText>
      </w:r>
      <w:r>
        <w:fldChar w:fldCharType="separate"/>
      </w:r>
      <w:r w:rsidR="008928D6">
        <w:t xml:space="preserve">Table </w:t>
      </w:r>
      <w:r w:rsidR="008928D6">
        <w:rPr>
          <w:noProof/>
        </w:rPr>
        <w:t>1</w:t>
      </w:r>
      <w:r>
        <w:fldChar w:fldCharType="end"/>
      </w:r>
      <w:r>
        <w:t xml:space="preserve"> below shows summary statistics for the reassessment study. In total, 961 residents were eligible to be included in the sample for reassessment. Their distribution between the AN-ACC classes (based on their initial assessment) is shown in this table as well as the percentage who died or had a significant </w:t>
      </w:r>
      <w:r w:rsidR="009C538E">
        <w:t>event between</w:t>
      </w:r>
      <w:r>
        <w:t xml:space="preserve"> their initial assessment an</w:t>
      </w:r>
      <w:r w:rsidR="00E309AF">
        <w:t>d their reassessment. Class 1 (a</w:t>
      </w:r>
      <w:r>
        <w:t>dmit for palliative care) is excluded. For ease of reference, this table also includes the Relative Value Unit</w:t>
      </w:r>
      <w:r w:rsidR="00E227E1">
        <w:t xml:space="preserve"> (RVU)</w:t>
      </w:r>
      <w:r>
        <w:t xml:space="preserve"> (index of relative costliness) and the branch of the AN-ACC tree. Branch 1 is for those who are independent</w:t>
      </w:r>
      <w:r w:rsidR="00E227E1">
        <w:t>ly mobile</w:t>
      </w:r>
      <w:r>
        <w:t xml:space="preserve"> (as assessed by the DEMMI</w:t>
      </w:r>
      <w:r w:rsidR="006D5EBE">
        <w:t>),</w:t>
      </w:r>
      <w:r>
        <w:t xml:space="preserve"> branch 2 is for those who can mobilise with assistance and branch 3 is for those who are not mobile at all.</w:t>
      </w:r>
    </w:p>
    <w:p w14:paraId="34564828" w14:textId="77777777" w:rsidR="00106793" w:rsidRDefault="00106793" w:rsidP="00106793">
      <w:pPr>
        <w:pStyle w:val="Caption"/>
      </w:pPr>
      <w:bookmarkStart w:id="69" w:name="_Ref532036320"/>
      <w:bookmarkStart w:id="70" w:name="_Toc532293837"/>
      <w:bookmarkStart w:id="71" w:name="_Toc532044371"/>
      <w:bookmarkStart w:id="72" w:name="_Toc2005278"/>
      <w:r>
        <w:t xml:space="preserve">Table </w:t>
      </w:r>
      <w:r>
        <w:fldChar w:fldCharType="begin"/>
      </w:r>
      <w:r>
        <w:rPr>
          <w:noProof/>
        </w:rPr>
        <w:instrText xml:space="preserve"> SEQ Table \* ARABIC </w:instrText>
      </w:r>
      <w:r>
        <w:fldChar w:fldCharType="separate"/>
      </w:r>
      <w:r w:rsidR="008928D6">
        <w:rPr>
          <w:noProof/>
        </w:rPr>
        <w:t>1</w:t>
      </w:r>
      <w:r>
        <w:fldChar w:fldCharType="end"/>
      </w:r>
      <w:bookmarkEnd w:id="69"/>
      <w:r>
        <w:t xml:space="preserve"> </w:t>
      </w:r>
      <w:r>
        <w:tab/>
        <w:t>Key results for the reassessment study</w:t>
      </w:r>
      <w:bookmarkEnd w:id="70"/>
      <w:bookmarkEnd w:id="71"/>
      <w:bookmarkEnd w:id="72"/>
    </w:p>
    <w:tbl>
      <w:tblPr>
        <w:tblW w:w="9372" w:type="dxa"/>
        <w:tblInd w:w="93" w:type="dxa"/>
        <w:tblLayout w:type="fixed"/>
        <w:tblLook w:val="04A0" w:firstRow="1" w:lastRow="0" w:firstColumn="1" w:lastColumn="0" w:noHBand="0" w:noVBand="1"/>
        <w:tblDescription w:val="Table 1 is a list of statistics for the reassessment study. This table is to be read left to right, top to bottom (class number, relative value unit (RVU), branch number in relation to mobility rating (branch 1 is independent, branch 2 for those needing assistance and branch 3 are immobile), description of class, number of people classified under the class at first assessment, percentage of people who died between first assessment and reassessment and percentage of those having experienced a significant between first assessment and reassessment)."/>
      </w:tblPr>
      <w:tblGrid>
        <w:gridCol w:w="1008"/>
        <w:gridCol w:w="708"/>
        <w:gridCol w:w="851"/>
        <w:gridCol w:w="3544"/>
        <w:gridCol w:w="1135"/>
        <w:gridCol w:w="992"/>
        <w:gridCol w:w="1134"/>
      </w:tblGrid>
      <w:tr w:rsidR="00106793" w14:paraId="177E5B07" w14:textId="77777777" w:rsidTr="004B78AE">
        <w:trPr>
          <w:tblHeader/>
        </w:trPr>
        <w:tc>
          <w:tcPr>
            <w:tcW w:w="1008" w:type="dxa"/>
            <w:tcBorders>
              <w:top w:val="single" w:sz="4" w:space="0" w:color="auto"/>
              <w:left w:val="single" w:sz="4" w:space="0" w:color="auto"/>
              <w:bottom w:val="single" w:sz="4" w:space="0" w:color="auto"/>
              <w:right w:val="single" w:sz="4" w:space="0" w:color="auto"/>
            </w:tcBorders>
            <w:hideMark/>
          </w:tcPr>
          <w:p w14:paraId="6D1AFF8B" w14:textId="77777777" w:rsidR="00106793" w:rsidRDefault="00106793">
            <w:pPr>
              <w:pStyle w:val="Tableformat"/>
              <w:rPr>
                <w:b/>
                <w:lang w:val="en-AU"/>
              </w:rPr>
            </w:pPr>
            <w:r>
              <w:rPr>
                <w:b/>
                <w:lang w:val="en-AU"/>
              </w:rPr>
              <w:t>Classes</w:t>
            </w:r>
          </w:p>
        </w:tc>
        <w:tc>
          <w:tcPr>
            <w:tcW w:w="708" w:type="dxa"/>
            <w:tcBorders>
              <w:top w:val="single" w:sz="4" w:space="0" w:color="auto"/>
              <w:left w:val="nil"/>
              <w:bottom w:val="single" w:sz="4" w:space="0" w:color="auto"/>
              <w:right w:val="single" w:sz="4" w:space="0" w:color="auto"/>
            </w:tcBorders>
            <w:hideMark/>
          </w:tcPr>
          <w:p w14:paraId="3FCA6F9B" w14:textId="77777777" w:rsidR="00106793" w:rsidRDefault="00106793">
            <w:pPr>
              <w:pStyle w:val="Tableformat"/>
              <w:rPr>
                <w:b/>
                <w:lang w:val="en-AU"/>
              </w:rPr>
            </w:pPr>
            <w:r>
              <w:rPr>
                <w:b/>
                <w:lang w:val="en-AU"/>
              </w:rPr>
              <w:t>RVU</w:t>
            </w:r>
          </w:p>
        </w:tc>
        <w:tc>
          <w:tcPr>
            <w:tcW w:w="851" w:type="dxa"/>
            <w:tcBorders>
              <w:top w:val="single" w:sz="4" w:space="0" w:color="auto"/>
              <w:left w:val="nil"/>
              <w:bottom w:val="single" w:sz="4" w:space="0" w:color="auto"/>
              <w:right w:val="single" w:sz="4" w:space="0" w:color="auto"/>
            </w:tcBorders>
            <w:hideMark/>
          </w:tcPr>
          <w:p w14:paraId="54286DBE" w14:textId="77777777" w:rsidR="00106793" w:rsidRDefault="00106793">
            <w:pPr>
              <w:pStyle w:val="Tableformat"/>
              <w:jc w:val="center"/>
              <w:rPr>
                <w:b/>
                <w:lang w:val="en-AU"/>
              </w:rPr>
            </w:pPr>
            <w:r>
              <w:rPr>
                <w:b/>
                <w:lang w:val="en-AU"/>
              </w:rPr>
              <w:t>Branch</w:t>
            </w:r>
          </w:p>
        </w:tc>
        <w:tc>
          <w:tcPr>
            <w:tcW w:w="3544" w:type="dxa"/>
            <w:tcBorders>
              <w:top w:val="single" w:sz="4" w:space="0" w:color="auto"/>
              <w:left w:val="nil"/>
              <w:bottom w:val="single" w:sz="4" w:space="0" w:color="auto"/>
              <w:right w:val="single" w:sz="4" w:space="0" w:color="auto"/>
            </w:tcBorders>
            <w:hideMark/>
          </w:tcPr>
          <w:p w14:paraId="2E06E319" w14:textId="77777777" w:rsidR="00106793" w:rsidRDefault="00106793">
            <w:pPr>
              <w:pStyle w:val="Tableformat"/>
              <w:rPr>
                <w:b/>
                <w:lang w:val="en-AU"/>
              </w:rPr>
            </w:pPr>
            <w:r>
              <w:rPr>
                <w:b/>
                <w:lang w:val="en-AU"/>
              </w:rPr>
              <w:t>Description</w:t>
            </w:r>
          </w:p>
        </w:tc>
        <w:tc>
          <w:tcPr>
            <w:tcW w:w="1135" w:type="dxa"/>
            <w:tcBorders>
              <w:top w:val="single" w:sz="4" w:space="0" w:color="auto"/>
              <w:left w:val="nil"/>
              <w:bottom w:val="single" w:sz="4" w:space="0" w:color="auto"/>
              <w:right w:val="single" w:sz="4" w:space="0" w:color="auto"/>
            </w:tcBorders>
            <w:hideMark/>
          </w:tcPr>
          <w:p w14:paraId="5942FE16" w14:textId="41EDB9BA" w:rsidR="00106793" w:rsidRDefault="00106793" w:rsidP="008406DD">
            <w:pPr>
              <w:pStyle w:val="Tableformat"/>
              <w:jc w:val="right"/>
              <w:rPr>
                <w:b/>
                <w:lang w:val="en-AU"/>
              </w:rPr>
            </w:pPr>
            <w:r>
              <w:rPr>
                <w:b/>
                <w:lang w:val="en-AU"/>
              </w:rPr>
              <w:t>Class at 1</w:t>
            </w:r>
            <w:r w:rsidRPr="008406DD">
              <w:rPr>
                <w:b/>
                <w:vertAlign w:val="superscript"/>
                <w:lang w:val="en-AU"/>
              </w:rPr>
              <w:t>st</w:t>
            </w:r>
            <w:r w:rsidR="008406DD">
              <w:rPr>
                <w:b/>
                <w:lang w:val="en-AU"/>
              </w:rPr>
              <w:t xml:space="preserve"> </w:t>
            </w:r>
            <w:r w:rsidRPr="008406DD">
              <w:rPr>
                <w:b/>
                <w:sz w:val="19"/>
                <w:szCs w:val="19"/>
                <w:lang w:val="en-AU"/>
              </w:rPr>
              <w:t>assess</w:t>
            </w:r>
            <w:r w:rsidR="008406DD" w:rsidRPr="008406DD">
              <w:rPr>
                <w:b/>
                <w:sz w:val="19"/>
                <w:szCs w:val="19"/>
                <w:lang w:val="en-AU"/>
              </w:rPr>
              <w:t>ment</w:t>
            </w:r>
          </w:p>
        </w:tc>
        <w:tc>
          <w:tcPr>
            <w:tcW w:w="992" w:type="dxa"/>
            <w:tcBorders>
              <w:top w:val="single" w:sz="4" w:space="0" w:color="auto"/>
              <w:left w:val="nil"/>
              <w:bottom w:val="single" w:sz="4" w:space="0" w:color="auto"/>
              <w:right w:val="single" w:sz="4" w:space="0" w:color="auto"/>
            </w:tcBorders>
            <w:hideMark/>
          </w:tcPr>
          <w:p w14:paraId="7A1A812F" w14:textId="77777777" w:rsidR="00106793" w:rsidRDefault="00106793">
            <w:pPr>
              <w:pStyle w:val="Tableformat"/>
              <w:jc w:val="right"/>
              <w:rPr>
                <w:b/>
                <w:lang w:val="en-AU"/>
              </w:rPr>
            </w:pPr>
            <w:r>
              <w:rPr>
                <w:b/>
                <w:lang w:val="en-AU"/>
              </w:rPr>
              <w:t>% died</w:t>
            </w:r>
          </w:p>
        </w:tc>
        <w:tc>
          <w:tcPr>
            <w:tcW w:w="1134" w:type="dxa"/>
            <w:tcBorders>
              <w:top w:val="single" w:sz="4" w:space="0" w:color="auto"/>
              <w:left w:val="nil"/>
              <w:bottom w:val="single" w:sz="4" w:space="0" w:color="auto"/>
              <w:right w:val="single" w:sz="4" w:space="0" w:color="auto"/>
            </w:tcBorders>
            <w:hideMark/>
          </w:tcPr>
          <w:p w14:paraId="65DAD731" w14:textId="1721173C" w:rsidR="00106793" w:rsidRDefault="009C538E">
            <w:pPr>
              <w:pStyle w:val="Tableformat"/>
              <w:jc w:val="right"/>
              <w:rPr>
                <w:b/>
                <w:lang w:val="en-AU"/>
              </w:rPr>
            </w:pPr>
            <w:r>
              <w:rPr>
                <w:b/>
                <w:lang w:val="en-AU"/>
              </w:rPr>
              <w:t>Significant</w:t>
            </w:r>
            <w:r w:rsidR="00106793">
              <w:rPr>
                <w:b/>
                <w:lang w:val="en-AU"/>
              </w:rPr>
              <w:t xml:space="preserve"> event %</w:t>
            </w:r>
          </w:p>
        </w:tc>
      </w:tr>
      <w:tr w:rsidR="00106793" w14:paraId="1CC040DD" w14:textId="77777777" w:rsidTr="004B78AE">
        <w:tc>
          <w:tcPr>
            <w:tcW w:w="1008" w:type="dxa"/>
            <w:tcBorders>
              <w:top w:val="nil"/>
              <w:left w:val="single" w:sz="4" w:space="0" w:color="auto"/>
              <w:bottom w:val="single" w:sz="4" w:space="0" w:color="auto"/>
              <w:right w:val="single" w:sz="4" w:space="0" w:color="auto"/>
            </w:tcBorders>
            <w:hideMark/>
          </w:tcPr>
          <w:p w14:paraId="53307C08" w14:textId="61730551" w:rsidR="00106793" w:rsidRDefault="00106793">
            <w:pPr>
              <w:pStyle w:val="Tableformat"/>
              <w:rPr>
                <w:lang w:val="en-AU"/>
              </w:rPr>
            </w:pPr>
            <w:r>
              <w:rPr>
                <w:lang w:val="en-AU"/>
              </w:rPr>
              <w:t>Class</w:t>
            </w:r>
            <w:r w:rsidR="009C538E">
              <w:rPr>
                <w:lang w:val="en-AU"/>
              </w:rPr>
              <w:t xml:space="preserve"> </w:t>
            </w:r>
            <w:r>
              <w:rPr>
                <w:lang w:val="en-AU"/>
              </w:rPr>
              <w:t>2</w:t>
            </w:r>
          </w:p>
        </w:tc>
        <w:tc>
          <w:tcPr>
            <w:tcW w:w="708" w:type="dxa"/>
            <w:tcBorders>
              <w:top w:val="nil"/>
              <w:left w:val="nil"/>
              <w:bottom w:val="single" w:sz="4" w:space="0" w:color="auto"/>
              <w:right w:val="single" w:sz="4" w:space="0" w:color="auto"/>
            </w:tcBorders>
            <w:hideMark/>
          </w:tcPr>
          <w:p w14:paraId="06132749" w14:textId="77777777" w:rsidR="00106793" w:rsidRDefault="00106793">
            <w:pPr>
              <w:pStyle w:val="Tableformat"/>
              <w:rPr>
                <w:lang w:val="en-AU"/>
              </w:rPr>
            </w:pPr>
            <w:r>
              <w:rPr>
                <w:lang w:val="en-AU"/>
              </w:rPr>
              <w:t>0.37</w:t>
            </w:r>
          </w:p>
        </w:tc>
        <w:tc>
          <w:tcPr>
            <w:tcW w:w="851" w:type="dxa"/>
            <w:tcBorders>
              <w:top w:val="nil"/>
              <w:left w:val="nil"/>
              <w:bottom w:val="single" w:sz="4" w:space="0" w:color="auto"/>
              <w:right w:val="single" w:sz="4" w:space="0" w:color="auto"/>
            </w:tcBorders>
            <w:hideMark/>
          </w:tcPr>
          <w:p w14:paraId="27D6CFF9" w14:textId="77777777" w:rsidR="00106793" w:rsidRDefault="00106793">
            <w:pPr>
              <w:pStyle w:val="Tableformat"/>
              <w:jc w:val="center"/>
              <w:rPr>
                <w:lang w:val="en-AU"/>
              </w:rPr>
            </w:pPr>
            <w:r>
              <w:rPr>
                <w:lang w:val="en-AU"/>
              </w:rPr>
              <w:t>1</w:t>
            </w:r>
          </w:p>
        </w:tc>
        <w:tc>
          <w:tcPr>
            <w:tcW w:w="3544" w:type="dxa"/>
            <w:tcBorders>
              <w:top w:val="nil"/>
              <w:left w:val="nil"/>
              <w:bottom w:val="single" w:sz="4" w:space="0" w:color="auto"/>
              <w:right w:val="single" w:sz="4" w:space="0" w:color="auto"/>
            </w:tcBorders>
            <w:hideMark/>
          </w:tcPr>
          <w:p w14:paraId="76F53CA0" w14:textId="77777777" w:rsidR="00106793" w:rsidRDefault="00106793">
            <w:pPr>
              <w:pStyle w:val="Tableformat"/>
              <w:rPr>
                <w:lang w:val="en-AU"/>
              </w:rPr>
            </w:pPr>
            <w:r>
              <w:rPr>
                <w:lang w:val="en-AU"/>
              </w:rPr>
              <w:t>Independent without compounding factors (CF)</w:t>
            </w:r>
          </w:p>
        </w:tc>
        <w:tc>
          <w:tcPr>
            <w:tcW w:w="1135" w:type="dxa"/>
            <w:tcBorders>
              <w:top w:val="nil"/>
              <w:left w:val="nil"/>
              <w:bottom w:val="single" w:sz="4" w:space="0" w:color="auto"/>
              <w:right w:val="single" w:sz="4" w:space="0" w:color="auto"/>
            </w:tcBorders>
            <w:hideMark/>
          </w:tcPr>
          <w:p w14:paraId="3923B6AB" w14:textId="77777777" w:rsidR="00106793" w:rsidRDefault="00106793">
            <w:pPr>
              <w:pStyle w:val="Tableformat"/>
              <w:jc w:val="right"/>
              <w:rPr>
                <w:lang w:val="en-AU"/>
              </w:rPr>
            </w:pPr>
            <w:r>
              <w:rPr>
                <w:lang w:val="en-AU"/>
              </w:rPr>
              <w:t>118</w:t>
            </w:r>
          </w:p>
        </w:tc>
        <w:tc>
          <w:tcPr>
            <w:tcW w:w="992" w:type="dxa"/>
            <w:tcBorders>
              <w:top w:val="nil"/>
              <w:left w:val="nil"/>
              <w:bottom w:val="single" w:sz="4" w:space="0" w:color="auto"/>
              <w:right w:val="single" w:sz="4" w:space="0" w:color="auto"/>
            </w:tcBorders>
            <w:hideMark/>
          </w:tcPr>
          <w:p w14:paraId="2A239138" w14:textId="77777777" w:rsidR="00106793" w:rsidRDefault="00106793">
            <w:pPr>
              <w:pStyle w:val="Tableformat"/>
              <w:jc w:val="right"/>
              <w:rPr>
                <w:lang w:val="en-AU"/>
              </w:rPr>
            </w:pPr>
            <w:r>
              <w:rPr>
                <w:lang w:val="en-AU"/>
              </w:rPr>
              <w:t>6%</w:t>
            </w:r>
          </w:p>
        </w:tc>
        <w:tc>
          <w:tcPr>
            <w:tcW w:w="1134" w:type="dxa"/>
            <w:tcBorders>
              <w:top w:val="nil"/>
              <w:left w:val="nil"/>
              <w:bottom w:val="single" w:sz="4" w:space="0" w:color="auto"/>
              <w:right w:val="single" w:sz="4" w:space="0" w:color="auto"/>
            </w:tcBorders>
            <w:hideMark/>
          </w:tcPr>
          <w:p w14:paraId="3186D5AE" w14:textId="77777777" w:rsidR="00106793" w:rsidRDefault="00106793">
            <w:pPr>
              <w:pStyle w:val="Tableformat"/>
              <w:jc w:val="right"/>
              <w:rPr>
                <w:lang w:val="en-AU"/>
              </w:rPr>
            </w:pPr>
            <w:r>
              <w:rPr>
                <w:lang w:val="en-AU"/>
              </w:rPr>
              <w:t>10%</w:t>
            </w:r>
          </w:p>
        </w:tc>
      </w:tr>
      <w:tr w:rsidR="00106793" w14:paraId="3A7DD62F" w14:textId="77777777" w:rsidTr="004B78AE">
        <w:tc>
          <w:tcPr>
            <w:tcW w:w="1008" w:type="dxa"/>
            <w:tcBorders>
              <w:top w:val="nil"/>
              <w:left w:val="single" w:sz="4" w:space="0" w:color="auto"/>
              <w:bottom w:val="single" w:sz="4" w:space="0" w:color="auto"/>
              <w:right w:val="single" w:sz="4" w:space="0" w:color="auto"/>
            </w:tcBorders>
            <w:hideMark/>
          </w:tcPr>
          <w:p w14:paraId="16853129" w14:textId="149FCCC5" w:rsidR="00106793" w:rsidRDefault="00106793">
            <w:pPr>
              <w:pStyle w:val="Tableformat"/>
              <w:rPr>
                <w:lang w:val="en-AU"/>
              </w:rPr>
            </w:pPr>
            <w:r>
              <w:rPr>
                <w:lang w:val="en-AU"/>
              </w:rPr>
              <w:t>Class</w:t>
            </w:r>
            <w:r w:rsidR="009C538E">
              <w:rPr>
                <w:lang w:val="en-AU"/>
              </w:rPr>
              <w:t xml:space="preserve"> </w:t>
            </w:r>
            <w:r>
              <w:rPr>
                <w:lang w:val="en-AU"/>
              </w:rPr>
              <w:t>3</w:t>
            </w:r>
          </w:p>
        </w:tc>
        <w:tc>
          <w:tcPr>
            <w:tcW w:w="708" w:type="dxa"/>
            <w:tcBorders>
              <w:top w:val="nil"/>
              <w:left w:val="nil"/>
              <w:bottom w:val="single" w:sz="4" w:space="0" w:color="auto"/>
              <w:right w:val="single" w:sz="4" w:space="0" w:color="auto"/>
            </w:tcBorders>
            <w:hideMark/>
          </w:tcPr>
          <w:p w14:paraId="0EBBA154" w14:textId="77777777" w:rsidR="00106793" w:rsidRDefault="00106793">
            <w:pPr>
              <w:pStyle w:val="Tableformat"/>
              <w:rPr>
                <w:lang w:val="en-AU"/>
              </w:rPr>
            </w:pPr>
            <w:r>
              <w:rPr>
                <w:lang w:val="en-AU"/>
              </w:rPr>
              <w:t>0.61</w:t>
            </w:r>
          </w:p>
        </w:tc>
        <w:tc>
          <w:tcPr>
            <w:tcW w:w="851" w:type="dxa"/>
            <w:tcBorders>
              <w:top w:val="nil"/>
              <w:left w:val="nil"/>
              <w:bottom w:val="single" w:sz="4" w:space="0" w:color="auto"/>
              <w:right w:val="single" w:sz="4" w:space="0" w:color="auto"/>
            </w:tcBorders>
            <w:hideMark/>
          </w:tcPr>
          <w:p w14:paraId="4F28C62B" w14:textId="77777777" w:rsidR="00106793" w:rsidRDefault="00106793">
            <w:pPr>
              <w:pStyle w:val="Tableformat"/>
              <w:jc w:val="center"/>
              <w:rPr>
                <w:lang w:val="en-AU"/>
              </w:rPr>
            </w:pPr>
            <w:r>
              <w:rPr>
                <w:lang w:val="en-AU"/>
              </w:rPr>
              <w:t>1</w:t>
            </w:r>
          </w:p>
        </w:tc>
        <w:tc>
          <w:tcPr>
            <w:tcW w:w="3544" w:type="dxa"/>
            <w:tcBorders>
              <w:top w:val="nil"/>
              <w:left w:val="nil"/>
              <w:bottom w:val="single" w:sz="4" w:space="0" w:color="auto"/>
              <w:right w:val="single" w:sz="4" w:space="0" w:color="auto"/>
            </w:tcBorders>
            <w:hideMark/>
          </w:tcPr>
          <w:p w14:paraId="6A47315E" w14:textId="77777777" w:rsidR="00106793" w:rsidRDefault="00106793">
            <w:pPr>
              <w:pStyle w:val="Tableformat"/>
              <w:rPr>
                <w:lang w:val="en-AU"/>
              </w:rPr>
            </w:pPr>
            <w:r>
              <w:rPr>
                <w:lang w:val="en-AU"/>
              </w:rPr>
              <w:t>Independent with CF</w:t>
            </w:r>
          </w:p>
        </w:tc>
        <w:tc>
          <w:tcPr>
            <w:tcW w:w="1135" w:type="dxa"/>
            <w:tcBorders>
              <w:top w:val="nil"/>
              <w:left w:val="nil"/>
              <w:bottom w:val="single" w:sz="4" w:space="0" w:color="auto"/>
              <w:right w:val="single" w:sz="4" w:space="0" w:color="auto"/>
            </w:tcBorders>
            <w:hideMark/>
          </w:tcPr>
          <w:p w14:paraId="483DC382" w14:textId="77777777" w:rsidR="00106793" w:rsidRDefault="00106793">
            <w:pPr>
              <w:pStyle w:val="Tableformat"/>
              <w:jc w:val="right"/>
              <w:rPr>
                <w:lang w:val="en-AU"/>
              </w:rPr>
            </w:pPr>
            <w:r>
              <w:rPr>
                <w:lang w:val="en-AU"/>
              </w:rPr>
              <w:t>46</w:t>
            </w:r>
          </w:p>
        </w:tc>
        <w:tc>
          <w:tcPr>
            <w:tcW w:w="992" w:type="dxa"/>
            <w:tcBorders>
              <w:top w:val="nil"/>
              <w:left w:val="nil"/>
              <w:bottom w:val="single" w:sz="4" w:space="0" w:color="auto"/>
              <w:right w:val="single" w:sz="4" w:space="0" w:color="auto"/>
            </w:tcBorders>
            <w:hideMark/>
          </w:tcPr>
          <w:p w14:paraId="04821C56" w14:textId="77777777" w:rsidR="00106793" w:rsidRDefault="00106793">
            <w:pPr>
              <w:pStyle w:val="Tableformat"/>
              <w:jc w:val="right"/>
              <w:rPr>
                <w:lang w:val="en-AU"/>
              </w:rPr>
            </w:pPr>
            <w:r>
              <w:rPr>
                <w:lang w:val="en-AU"/>
              </w:rPr>
              <w:t>4%</w:t>
            </w:r>
          </w:p>
        </w:tc>
        <w:tc>
          <w:tcPr>
            <w:tcW w:w="1134" w:type="dxa"/>
            <w:tcBorders>
              <w:top w:val="nil"/>
              <w:left w:val="nil"/>
              <w:bottom w:val="single" w:sz="4" w:space="0" w:color="auto"/>
              <w:right w:val="single" w:sz="4" w:space="0" w:color="auto"/>
            </w:tcBorders>
            <w:hideMark/>
          </w:tcPr>
          <w:p w14:paraId="0E85B502" w14:textId="77777777" w:rsidR="00106793" w:rsidRDefault="00106793">
            <w:pPr>
              <w:pStyle w:val="Tableformat"/>
              <w:jc w:val="right"/>
              <w:rPr>
                <w:lang w:val="en-AU"/>
              </w:rPr>
            </w:pPr>
            <w:r>
              <w:rPr>
                <w:lang w:val="en-AU"/>
              </w:rPr>
              <w:t>9%</w:t>
            </w:r>
          </w:p>
        </w:tc>
      </w:tr>
      <w:tr w:rsidR="00106793" w14:paraId="2D457A08" w14:textId="77777777" w:rsidTr="004B78AE">
        <w:tc>
          <w:tcPr>
            <w:tcW w:w="1008" w:type="dxa"/>
            <w:tcBorders>
              <w:top w:val="nil"/>
              <w:left w:val="single" w:sz="4" w:space="0" w:color="auto"/>
              <w:bottom w:val="single" w:sz="4" w:space="0" w:color="auto"/>
              <w:right w:val="single" w:sz="4" w:space="0" w:color="auto"/>
            </w:tcBorders>
            <w:hideMark/>
          </w:tcPr>
          <w:p w14:paraId="088E955B" w14:textId="517F5AF6" w:rsidR="00106793" w:rsidRDefault="00106793">
            <w:pPr>
              <w:pStyle w:val="Tableformat"/>
              <w:rPr>
                <w:lang w:val="en-AU"/>
              </w:rPr>
            </w:pPr>
            <w:r>
              <w:rPr>
                <w:lang w:val="en-AU"/>
              </w:rPr>
              <w:t>Class</w:t>
            </w:r>
            <w:r w:rsidR="009C538E">
              <w:rPr>
                <w:lang w:val="en-AU"/>
              </w:rPr>
              <w:t xml:space="preserve"> </w:t>
            </w:r>
            <w:r>
              <w:rPr>
                <w:lang w:val="en-AU"/>
              </w:rPr>
              <w:t>4</w:t>
            </w:r>
          </w:p>
        </w:tc>
        <w:tc>
          <w:tcPr>
            <w:tcW w:w="708" w:type="dxa"/>
            <w:tcBorders>
              <w:top w:val="nil"/>
              <w:left w:val="nil"/>
              <w:bottom w:val="single" w:sz="4" w:space="0" w:color="auto"/>
              <w:right w:val="single" w:sz="4" w:space="0" w:color="auto"/>
            </w:tcBorders>
            <w:hideMark/>
          </w:tcPr>
          <w:p w14:paraId="61047416" w14:textId="77777777" w:rsidR="00106793" w:rsidRDefault="00106793">
            <w:pPr>
              <w:pStyle w:val="Tableformat"/>
              <w:rPr>
                <w:lang w:val="en-AU"/>
              </w:rPr>
            </w:pPr>
            <w:r>
              <w:rPr>
                <w:lang w:val="en-AU"/>
              </w:rPr>
              <w:t>0.41</w:t>
            </w:r>
          </w:p>
        </w:tc>
        <w:tc>
          <w:tcPr>
            <w:tcW w:w="851" w:type="dxa"/>
            <w:tcBorders>
              <w:top w:val="nil"/>
              <w:left w:val="nil"/>
              <w:bottom w:val="single" w:sz="4" w:space="0" w:color="auto"/>
              <w:right w:val="single" w:sz="4" w:space="0" w:color="auto"/>
            </w:tcBorders>
            <w:hideMark/>
          </w:tcPr>
          <w:p w14:paraId="02E65A65" w14:textId="77777777" w:rsidR="00106793" w:rsidRDefault="00106793">
            <w:pPr>
              <w:pStyle w:val="Tableformat"/>
              <w:jc w:val="center"/>
              <w:rPr>
                <w:lang w:val="en-AU"/>
              </w:rPr>
            </w:pPr>
            <w:r>
              <w:rPr>
                <w:lang w:val="en-AU"/>
              </w:rPr>
              <w:t>2</w:t>
            </w:r>
          </w:p>
        </w:tc>
        <w:tc>
          <w:tcPr>
            <w:tcW w:w="3544" w:type="dxa"/>
            <w:tcBorders>
              <w:top w:val="nil"/>
              <w:left w:val="nil"/>
              <w:bottom w:val="single" w:sz="4" w:space="0" w:color="auto"/>
              <w:right w:val="single" w:sz="4" w:space="0" w:color="auto"/>
            </w:tcBorders>
            <w:hideMark/>
          </w:tcPr>
          <w:p w14:paraId="5A268578" w14:textId="77777777" w:rsidR="00106793" w:rsidRDefault="00106793">
            <w:pPr>
              <w:pStyle w:val="Tableformat"/>
              <w:rPr>
                <w:lang w:val="en-AU"/>
              </w:rPr>
            </w:pPr>
            <w:r>
              <w:rPr>
                <w:lang w:val="en-AU"/>
              </w:rPr>
              <w:t>Assisted mobility, high cognition, without CF</w:t>
            </w:r>
          </w:p>
        </w:tc>
        <w:tc>
          <w:tcPr>
            <w:tcW w:w="1135" w:type="dxa"/>
            <w:tcBorders>
              <w:top w:val="nil"/>
              <w:left w:val="nil"/>
              <w:bottom w:val="single" w:sz="4" w:space="0" w:color="auto"/>
              <w:right w:val="single" w:sz="4" w:space="0" w:color="auto"/>
            </w:tcBorders>
            <w:hideMark/>
          </w:tcPr>
          <w:p w14:paraId="12DB2FF4" w14:textId="77777777" w:rsidR="00106793" w:rsidRDefault="00106793">
            <w:pPr>
              <w:pStyle w:val="Tableformat"/>
              <w:jc w:val="right"/>
              <w:rPr>
                <w:lang w:val="en-AU"/>
              </w:rPr>
            </w:pPr>
            <w:r>
              <w:rPr>
                <w:lang w:val="en-AU"/>
              </w:rPr>
              <w:t>72</w:t>
            </w:r>
          </w:p>
        </w:tc>
        <w:tc>
          <w:tcPr>
            <w:tcW w:w="992" w:type="dxa"/>
            <w:tcBorders>
              <w:top w:val="nil"/>
              <w:left w:val="nil"/>
              <w:bottom w:val="single" w:sz="4" w:space="0" w:color="auto"/>
              <w:right w:val="single" w:sz="4" w:space="0" w:color="auto"/>
            </w:tcBorders>
            <w:hideMark/>
          </w:tcPr>
          <w:p w14:paraId="7DCB6892" w14:textId="77777777" w:rsidR="00106793" w:rsidRDefault="00106793">
            <w:pPr>
              <w:pStyle w:val="Tableformat"/>
              <w:jc w:val="right"/>
              <w:rPr>
                <w:lang w:val="en-AU"/>
              </w:rPr>
            </w:pPr>
            <w:r>
              <w:rPr>
                <w:lang w:val="en-AU"/>
              </w:rPr>
              <w:t>8%</w:t>
            </w:r>
          </w:p>
        </w:tc>
        <w:tc>
          <w:tcPr>
            <w:tcW w:w="1134" w:type="dxa"/>
            <w:tcBorders>
              <w:top w:val="nil"/>
              <w:left w:val="nil"/>
              <w:bottom w:val="single" w:sz="4" w:space="0" w:color="auto"/>
              <w:right w:val="single" w:sz="4" w:space="0" w:color="auto"/>
            </w:tcBorders>
            <w:hideMark/>
          </w:tcPr>
          <w:p w14:paraId="7F77AD6F" w14:textId="77777777" w:rsidR="00106793" w:rsidRDefault="00106793">
            <w:pPr>
              <w:pStyle w:val="Tableformat"/>
              <w:jc w:val="right"/>
              <w:rPr>
                <w:lang w:val="en-AU"/>
              </w:rPr>
            </w:pPr>
            <w:r>
              <w:rPr>
                <w:lang w:val="en-AU"/>
              </w:rPr>
              <w:t>10%</w:t>
            </w:r>
          </w:p>
        </w:tc>
      </w:tr>
      <w:tr w:rsidR="00106793" w14:paraId="35B4155E" w14:textId="77777777" w:rsidTr="004B78AE">
        <w:tc>
          <w:tcPr>
            <w:tcW w:w="1008" w:type="dxa"/>
            <w:tcBorders>
              <w:top w:val="nil"/>
              <w:left w:val="single" w:sz="4" w:space="0" w:color="auto"/>
              <w:bottom w:val="single" w:sz="4" w:space="0" w:color="auto"/>
              <w:right w:val="single" w:sz="4" w:space="0" w:color="auto"/>
            </w:tcBorders>
            <w:hideMark/>
          </w:tcPr>
          <w:p w14:paraId="5D673E60" w14:textId="1DD16E74" w:rsidR="00106793" w:rsidRDefault="00106793">
            <w:pPr>
              <w:pStyle w:val="Tableformat"/>
              <w:rPr>
                <w:lang w:val="en-AU"/>
              </w:rPr>
            </w:pPr>
            <w:r>
              <w:rPr>
                <w:lang w:val="en-AU"/>
              </w:rPr>
              <w:t>Class</w:t>
            </w:r>
            <w:r w:rsidR="009C538E">
              <w:rPr>
                <w:lang w:val="en-AU"/>
              </w:rPr>
              <w:t xml:space="preserve"> </w:t>
            </w:r>
            <w:r>
              <w:rPr>
                <w:lang w:val="en-AU"/>
              </w:rPr>
              <w:t>5</w:t>
            </w:r>
          </w:p>
        </w:tc>
        <w:tc>
          <w:tcPr>
            <w:tcW w:w="708" w:type="dxa"/>
            <w:tcBorders>
              <w:top w:val="nil"/>
              <w:left w:val="nil"/>
              <w:bottom w:val="single" w:sz="4" w:space="0" w:color="auto"/>
              <w:right w:val="single" w:sz="4" w:space="0" w:color="auto"/>
            </w:tcBorders>
            <w:hideMark/>
          </w:tcPr>
          <w:p w14:paraId="5CD0CEED" w14:textId="77777777" w:rsidR="00106793" w:rsidRDefault="00106793">
            <w:pPr>
              <w:pStyle w:val="Tableformat"/>
              <w:rPr>
                <w:lang w:val="en-AU"/>
              </w:rPr>
            </w:pPr>
            <w:r>
              <w:rPr>
                <w:lang w:val="en-AU"/>
              </w:rPr>
              <w:t>0.73</w:t>
            </w:r>
          </w:p>
        </w:tc>
        <w:tc>
          <w:tcPr>
            <w:tcW w:w="851" w:type="dxa"/>
            <w:tcBorders>
              <w:top w:val="nil"/>
              <w:left w:val="nil"/>
              <w:bottom w:val="single" w:sz="4" w:space="0" w:color="auto"/>
              <w:right w:val="single" w:sz="4" w:space="0" w:color="auto"/>
            </w:tcBorders>
            <w:hideMark/>
          </w:tcPr>
          <w:p w14:paraId="519F4312" w14:textId="77777777" w:rsidR="00106793" w:rsidRDefault="00106793">
            <w:pPr>
              <w:pStyle w:val="Tableformat"/>
              <w:jc w:val="center"/>
              <w:rPr>
                <w:lang w:val="en-AU"/>
              </w:rPr>
            </w:pPr>
            <w:r>
              <w:rPr>
                <w:lang w:val="en-AU"/>
              </w:rPr>
              <w:t>2</w:t>
            </w:r>
          </w:p>
        </w:tc>
        <w:tc>
          <w:tcPr>
            <w:tcW w:w="3544" w:type="dxa"/>
            <w:tcBorders>
              <w:top w:val="nil"/>
              <w:left w:val="nil"/>
              <w:bottom w:val="single" w:sz="4" w:space="0" w:color="auto"/>
              <w:right w:val="single" w:sz="4" w:space="0" w:color="auto"/>
            </w:tcBorders>
            <w:hideMark/>
          </w:tcPr>
          <w:p w14:paraId="65DCF5BC" w14:textId="77777777" w:rsidR="00106793" w:rsidRDefault="00106793">
            <w:pPr>
              <w:pStyle w:val="Tableformat"/>
              <w:rPr>
                <w:lang w:val="en-AU"/>
              </w:rPr>
            </w:pPr>
            <w:r>
              <w:rPr>
                <w:lang w:val="en-AU"/>
              </w:rPr>
              <w:t>Assisted mobility, high cognition, with CF</w:t>
            </w:r>
          </w:p>
        </w:tc>
        <w:tc>
          <w:tcPr>
            <w:tcW w:w="1135" w:type="dxa"/>
            <w:tcBorders>
              <w:top w:val="nil"/>
              <w:left w:val="nil"/>
              <w:bottom w:val="single" w:sz="4" w:space="0" w:color="auto"/>
              <w:right w:val="single" w:sz="4" w:space="0" w:color="auto"/>
            </w:tcBorders>
            <w:hideMark/>
          </w:tcPr>
          <w:p w14:paraId="68CC1239" w14:textId="77777777" w:rsidR="00106793" w:rsidRDefault="00106793">
            <w:pPr>
              <w:pStyle w:val="Tableformat"/>
              <w:jc w:val="right"/>
              <w:rPr>
                <w:lang w:val="en-AU"/>
              </w:rPr>
            </w:pPr>
            <w:r>
              <w:rPr>
                <w:lang w:val="en-AU"/>
              </w:rPr>
              <w:t>188</w:t>
            </w:r>
          </w:p>
        </w:tc>
        <w:tc>
          <w:tcPr>
            <w:tcW w:w="992" w:type="dxa"/>
            <w:tcBorders>
              <w:top w:val="nil"/>
              <w:left w:val="nil"/>
              <w:bottom w:val="single" w:sz="4" w:space="0" w:color="auto"/>
              <w:right w:val="single" w:sz="4" w:space="0" w:color="auto"/>
            </w:tcBorders>
            <w:hideMark/>
          </w:tcPr>
          <w:p w14:paraId="77E4083E" w14:textId="77777777" w:rsidR="00106793" w:rsidRDefault="00106793">
            <w:pPr>
              <w:pStyle w:val="Tableformat"/>
              <w:jc w:val="right"/>
              <w:rPr>
                <w:lang w:val="en-AU"/>
              </w:rPr>
            </w:pPr>
            <w:r>
              <w:rPr>
                <w:lang w:val="en-AU"/>
              </w:rPr>
              <w:t>11%</w:t>
            </w:r>
          </w:p>
        </w:tc>
        <w:tc>
          <w:tcPr>
            <w:tcW w:w="1134" w:type="dxa"/>
            <w:tcBorders>
              <w:top w:val="nil"/>
              <w:left w:val="nil"/>
              <w:bottom w:val="single" w:sz="4" w:space="0" w:color="auto"/>
              <w:right w:val="single" w:sz="4" w:space="0" w:color="auto"/>
            </w:tcBorders>
            <w:hideMark/>
          </w:tcPr>
          <w:p w14:paraId="021D362D" w14:textId="77777777" w:rsidR="00106793" w:rsidRDefault="00106793">
            <w:pPr>
              <w:pStyle w:val="Tableformat"/>
              <w:jc w:val="right"/>
              <w:rPr>
                <w:lang w:val="en-AU"/>
              </w:rPr>
            </w:pPr>
            <w:r>
              <w:rPr>
                <w:lang w:val="en-AU"/>
              </w:rPr>
              <w:t>8%</w:t>
            </w:r>
          </w:p>
        </w:tc>
      </w:tr>
      <w:tr w:rsidR="00106793" w14:paraId="53BA9C95" w14:textId="77777777" w:rsidTr="004B78AE">
        <w:tc>
          <w:tcPr>
            <w:tcW w:w="1008" w:type="dxa"/>
            <w:tcBorders>
              <w:top w:val="nil"/>
              <w:left w:val="single" w:sz="4" w:space="0" w:color="auto"/>
              <w:bottom w:val="single" w:sz="4" w:space="0" w:color="auto"/>
              <w:right w:val="single" w:sz="4" w:space="0" w:color="auto"/>
            </w:tcBorders>
            <w:hideMark/>
          </w:tcPr>
          <w:p w14:paraId="58A499C1" w14:textId="06871EE0" w:rsidR="00106793" w:rsidRDefault="00106793">
            <w:pPr>
              <w:pStyle w:val="Tableformat"/>
              <w:rPr>
                <w:lang w:val="en-AU"/>
              </w:rPr>
            </w:pPr>
            <w:r>
              <w:rPr>
                <w:lang w:val="en-AU"/>
              </w:rPr>
              <w:t>Class</w:t>
            </w:r>
            <w:r w:rsidR="009C538E">
              <w:rPr>
                <w:lang w:val="en-AU"/>
              </w:rPr>
              <w:t xml:space="preserve"> </w:t>
            </w:r>
            <w:r>
              <w:rPr>
                <w:lang w:val="en-AU"/>
              </w:rPr>
              <w:t>6</w:t>
            </w:r>
          </w:p>
        </w:tc>
        <w:tc>
          <w:tcPr>
            <w:tcW w:w="708" w:type="dxa"/>
            <w:tcBorders>
              <w:top w:val="nil"/>
              <w:left w:val="nil"/>
              <w:bottom w:val="single" w:sz="4" w:space="0" w:color="auto"/>
              <w:right w:val="single" w:sz="4" w:space="0" w:color="auto"/>
            </w:tcBorders>
            <w:hideMark/>
          </w:tcPr>
          <w:p w14:paraId="3DAB7374" w14:textId="77777777" w:rsidR="00106793" w:rsidRDefault="00106793">
            <w:pPr>
              <w:pStyle w:val="Tableformat"/>
              <w:rPr>
                <w:lang w:val="en-AU"/>
              </w:rPr>
            </w:pPr>
            <w:r>
              <w:rPr>
                <w:lang w:val="en-AU"/>
              </w:rPr>
              <w:t>0.69</w:t>
            </w:r>
          </w:p>
        </w:tc>
        <w:tc>
          <w:tcPr>
            <w:tcW w:w="851" w:type="dxa"/>
            <w:tcBorders>
              <w:top w:val="nil"/>
              <w:left w:val="nil"/>
              <w:bottom w:val="single" w:sz="4" w:space="0" w:color="auto"/>
              <w:right w:val="single" w:sz="4" w:space="0" w:color="auto"/>
            </w:tcBorders>
            <w:hideMark/>
          </w:tcPr>
          <w:p w14:paraId="75790A05" w14:textId="77777777" w:rsidR="00106793" w:rsidRDefault="00106793">
            <w:pPr>
              <w:pStyle w:val="Tableformat"/>
              <w:jc w:val="center"/>
              <w:rPr>
                <w:lang w:val="en-AU"/>
              </w:rPr>
            </w:pPr>
            <w:r>
              <w:rPr>
                <w:lang w:val="en-AU"/>
              </w:rPr>
              <w:t>2</w:t>
            </w:r>
          </w:p>
        </w:tc>
        <w:tc>
          <w:tcPr>
            <w:tcW w:w="3544" w:type="dxa"/>
            <w:tcBorders>
              <w:top w:val="nil"/>
              <w:left w:val="nil"/>
              <w:bottom w:val="single" w:sz="4" w:space="0" w:color="auto"/>
              <w:right w:val="single" w:sz="4" w:space="0" w:color="auto"/>
            </w:tcBorders>
            <w:hideMark/>
          </w:tcPr>
          <w:p w14:paraId="3F825CB3" w14:textId="77777777" w:rsidR="00106793" w:rsidRDefault="00106793">
            <w:pPr>
              <w:pStyle w:val="Tableformat"/>
              <w:rPr>
                <w:lang w:val="en-AU"/>
              </w:rPr>
            </w:pPr>
            <w:r>
              <w:rPr>
                <w:lang w:val="en-AU"/>
              </w:rPr>
              <w:t>Assisted mobility, medium cognition, without CF</w:t>
            </w:r>
          </w:p>
        </w:tc>
        <w:tc>
          <w:tcPr>
            <w:tcW w:w="1135" w:type="dxa"/>
            <w:tcBorders>
              <w:top w:val="nil"/>
              <w:left w:val="nil"/>
              <w:bottom w:val="single" w:sz="4" w:space="0" w:color="auto"/>
              <w:right w:val="single" w:sz="4" w:space="0" w:color="auto"/>
            </w:tcBorders>
            <w:hideMark/>
          </w:tcPr>
          <w:p w14:paraId="072B14AD" w14:textId="77777777" w:rsidR="00106793" w:rsidRDefault="00106793">
            <w:pPr>
              <w:pStyle w:val="Tableformat"/>
              <w:jc w:val="right"/>
              <w:rPr>
                <w:lang w:val="en-AU"/>
              </w:rPr>
            </w:pPr>
            <w:r>
              <w:rPr>
                <w:lang w:val="en-AU"/>
              </w:rPr>
              <w:t>84</w:t>
            </w:r>
          </w:p>
        </w:tc>
        <w:tc>
          <w:tcPr>
            <w:tcW w:w="992" w:type="dxa"/>
            <w:tcBorders>
              <w:top w:val="nil"/>
              <w:left w:val="nil"/>
              <w:bottom w:val="single" w:sz="4" w:space="0" w:color="auto"/>
              <w:right w:val="single" w:sz="4" w:space="0" w:color="auto"/>
            </w:tcBorders>
            <w:hideMark/>
          </w:tcPr>
          <w:p w14:paraId="1AC4D591" w14:textId="77777777" w:rsidR="00106793" w:rsidRDefault="00106793">
            <w:pPr>
              <w:pStyle w:val="Tableformat"/>
              <w:jc w:val="right"/>
              <w:rPr>
                <w:lang w:val="en-AU"/>
              </w:rPr>
            </w:pPr>
            <w:r>
              <w:rPr>
                <w:lang w:val="en-AU"/>
              </w:rPr>
              <w:t>7%</w:t>
            </w:r>
          </w:p>
        </w:tc>
        <w:tc>
          <w:tcPr>
            <w:tcW w:w="1134" w:type="dxa"/>
            <w:tcBorders>
              <w:top w:val="nil"/>
              <w:left w:val="nil"/>
              <w:bottom w:val="single" w:sz="4" w:space="0" w:color="auto"/>
              <w:right w:val="single" w:sz="4" w:space="0" w:color="auto"/>
            </w:tcBorders>
            <w:hideMark/>
          </w:tcPr>
          <w:p w14:paraId="0C41CF4E" w14:textId="77777777" w:rsidR="00106793" w:rsidRDefault="00106793">
            <w:pPr>
              <w:pStyle w:val="Tableformat"/>
              <w:jc w:val="right"/>
              <w:rPr>
                <w:lang w:val="en-AU"/>
              </w:rPr>
            </w:pPr>
            <w:r>
              <w:rPr>
                <w:lang w:val="en-AU"/>
              </w:rPr>
              <w:t>13%</w:t>
            </w:r>
          </w:p>
        </w:tc>
      </w:tr>
      <w:tr w:rsidR="00106793" w14:paraId="77E43BAB" w14:textId="77777777" w:rsidTr="004B78AE">
        <w:tc>
          <w:tcPr>
            <w:tcW w:w="1008" w:type="dxa"/>
            <w:tcBorders>
              <w:top w:val="nil"/>
              <w:left w:val="single" w:sz="4" w:space="0" w:color="auto"/>
              <w:bottom w:val="single" w:sz="4" w:space="0" w:color="auto"/>
              <w:right w:val="single" w:sz="4" w:space="0" w:color="auto"/>
            </w:tcBorders>
            <w:hideMark/>
          </w:tcPr>
          <w:p w14:paraId="3915D147" w14:textId="08B83CD6" w:rsidR="00106793" w:rsidRDefault="00106793">
            <w:pPr>
              <w:pStyle w:val="Tableformat"/>
              <w:rPr>
                <w:lang w:val="en-AU"/>
              </w:rPr>
            </w:pPr>
            <w:r>
              <w:rPr>
                <w:lang w:val="en-AU"/>
              </w:rPr>
              <w:t>Class</w:t>
            </w:r>
            <w:r w:rsidR="009C538E">
              <w:rPr>
                <w:lang w:val="en-AU"/>
              </w:rPr>
              <w:t xml:space="preserve"> </w:t>
            </w:r>
            <w:r>
              <w:rPr>
                <w:lang w:val="en-AU"/>
              </w:rPr>
              <w:t>7</w:t>
            </w:r>
          </w:p>
        </w:tc>
        <w:tc>
          <w:tcPr>
            <w:tcW w:w="708" w:type="dxa"/>
            <w:tcBorders>
              <w:top w:val="nil"/>
              <w:left w:val="nil"/>
              <w:bottom w:val="single" w:sz="4" w:space="0" w:color="auto"/>
              <w:right w:val="single" w:sz="4" w:space="0" w:color="auto"/>
            </w:tcBorders>
            <w:hideMark/>
          </w:tcPr>
          <w:p w14:paraId="150A5FC5" w14:textId="77777777" w:rsidR="00106793" w:rsidRDefault="00106793">
            <w:pPr>
              <w:pStyle w:val="Tableformat"/>
              <w:rPr>
                <w:lang w:val="en-AU"/>
              </w:rPr>
            </w:pPr>
            <w:r>
              <w:rPr>
                <w:lang w:val="en-AU"/>
              </w:rPr>
              <w:t>0.95</w:t>
            </w:r>
          </w:p>
        </w:tc>
        <w:tc>
          <w:tcPr>
            <w:tcW w:w="851" w:type="dxa"/>
            <w:tcBorders>
              <w:top w:val="nil"/>
              <w:left w:val="nil"/>
              <w:bottom w:val="single" w:sz="4" w:space="0" w:color="auto"/>
              <w:right w:val="single" w:sz="4" w:space="0" w:color="auto"/>
            </w:tcBorders>
            <w:hideMark/>
          </w:tcPr>
          <w:p w14:paraId="4A08CD46" w14:textId="77777777" w:rsidR="00106793" w:rsidRDefault="00106793">
            <w:pPr>
              <w:pStyle w:val="Tableformat"/>
              <w:jc w:val="center"/>
              <w:rPr>
                <w:lang w:val="en-AU"/>
              </w:rPr>
            </w:pPr>
            <w:r>
              <w:rPr>
                <w:lang w:val="en-AU"/>
              </w:rPr>
              <w:t>2</w:t>
            </w:r>
          </w:p>
        </w:tc>
        <w:tc>
          <w:tcPr>
            <w:tcW w:w="3544" w:type="dxa"/>
            <w:tcBorders>
              <w:top w:val="nil"/>
              <w:left w:val="nil"/>
              <w:bottom w:val="single" w:sz="4" w:space="0" w:color="auto"/>
              <w:right w:val="single" w:sz="4" w:space="0" w:color="auto"/>
            </w:tcBorders>
            <w:hideMark/>
          </w:tcPr>
          <w:p w14:paraId="4EB7E5EC" w14:textId="77777777" w:rsidR="00106793" w:rsidRDefault="00106793">
            <w:pPr>
              <w:pStyle w:val="Tableformat"/>
              <w:rPr>
                <w:lang w:val="en-AU"/>
              </w:rPr>
            </w:pPr>
            <w:r>
              <w:rPr>
                <w:lang w:val="en-AU"/>
              </w:rPr>
              <w:t>Assisted mobility, medium cognition, with CF</w:t>
            </w:r>
          </w:p>
        </w:tc>
        <w:tc>
          <w:tcPr>
            <w:tcW w:w="1135" w:type="dxa"/>
            <w:tcBorders>
              <w:top w:val="nil"/>
              <w:left w:val="nil"/>
              <w:bottom w:val="single" w:sz="4" w:space="0" w:color="auto"/>
              <w:right w:val="single" w:sz="4" w:space="0" w:color="auto"/>
            </w:tcBorders>
            <w:hideMark/>
          </w:tcPr>
          <w:p w14:paraId="7FFC735C" w14:textId="77777777" w:rsidR="00106793" w:rsidRDefault="00106793">
            <w:pPr>
              <w:pStyle w:val="Tableformat"/>
              <w:jc w:val="right"/>
              <w:rPr>
                <w:lang w:val="en-AU"/>
              </w:rPr>
            </w:pPr>
            <w:r>
              <w:rPr>
                <w:lang w:val="en-AU"/>
              </w:rPr>
              <w:t>51</w:t>
            </w:r>
          </w:p>
        </w:tc>
        <w:tc>
          <w:tcPr>
            <w:tcW w:w="992" w:type="dxa"/>
            <w:tcBorders>
              <w:top w:val="nil"/>
              <w:left w:val="nil"/>
              <w:bottom w:val="single" w:sz="4" w:space="0" w:color="auto"/>
              <w:right w:val="single" w:sz="4" w:space="0" w:color="auto"/>
            </w:tcBorders>
            <w:hideMark/>
          </w:tcPr>
          <w:p w14:paraId="12E28E74" w14:textId="77777777" w:rsidR="00106793" w:rsidRDefault="00106793">
            <w:pPr>
              <w:pStyle w:val="Tableformat"/>
              <w:jc w:val="right"/>
              <w:rPr>
                <w:lang w:val="en-AU"/>
              </w:rPr>
            </w:pPr>
            <w:r>
              <w:rPr>
                <w:lang w:val="en-AU"/>
              </w:rPr>
              <w:t>14%</w:t>
            </w:r>
          </w:p>
        </w:tc>
        <w:tc>
          <w:tcPr>
            <w:tcW w:w="1134" w:type="dxa"/>
            <w:tcBorders>
              <w:top w:val="nil"/>
              <w:left w:val="nil"/>
              <w:bottom w:val="single" w:sz="4" w:space="0" w:color="auto"/>
              <w:right w:val="single" w:sz="4" w:space="0" w:color="auto"/>
            </w:tcBorders>
            <w:hideMark/>
          </w:tcPr>
          <w:p w14:paraId="187FBF8D" w14:textId="77777777" w:rsidR="00106793" w:rsidRDefault="00106793">
            <w:pPr>
              <w:pStyle w:val="Tableformat"/>
              <w:jc w:val="right"/>
              <w:rPr>
                <w:lang w:val="en-AU"/>
              </w:rPr>
            </w:pPr>
            <w:r>
              <w:rPr>
                <w:lang w:val="en-AU"/>
              </w:rPr>
              <w:t>18%</w:t>
            </w:r>
          </w:p>
        </w:tc>
      </w:tr>
      <w:tr w:rsidR="00106793" w14:paraId="776877A3" w14:textId="77777777" w:rsidTr="004B78AE">
        <w:tc>
          <w:tcPr>
            <w:tcW w:w="1008" w:type="dxa"/>
            <w:tcBorders>
              <w:top w:val="nil"/>
              <w:left w:val="single" w:sz="4" w:space="0" w:color="auto"/>
              <w:bottom w:val="single" w:sz="4" w:space="0" w:color="auto"/>
              <w:right w:val="single" w:sz="4" w:space="0" w:color="auto"/>
            </w:tcBorders>
            <w:hideMark/>
          </w:tcPr>
          <w:p w14:paraId="09D1F8D9" w14:textId="1F029FD5" w:rsidR="00106793" w:rsidRDefault="00106793">
            <w:pPr>
              <w:pStyle w:val="Tableformat"/>
              <w:rPr>
                <w:lang w:val="en-AU"/>
              </w:rPr>
            </w:pPr>
            <w:r>
              <w:rPr>
                <w:lang w:val="en-AU"/>
              </w:rPr>
              <w:t>Class</w:t>
            </w:r>
            <w:r w:rsidR="009C538E">
              <w:rPr>
                <w:lang w:val="en-AU"/>
              </w:rPr>
              <w:t xml:space="preserve"> </w:t>
            </w:r>
            <w:r>
              <w:rPr>
                <w:lang w:val="en-AU"/>
              </w:rPr>
              <w:t>8</w:t>
            </w:r>
          </w:p>
        </w:tc>
        <w:tc>
          <w:tcPr>
            <w:tcW w:w="708" w:type="dxa"/>
            <w:tcBorders>
              <w:top w:val="nil"/>
              <w:left w:val="nil"/>
              <w:bottom w:val="single" w:sz="4" w:space="0" w:color="auto"/>
              <w:right w:val="single" w:sz="4" w:space="0" w:color="auto"/>
            </w:tcBorders>
            <w:hideMark/>
          </w:tcPr>
          <w:p w14:paraId="57445BB2" w14:textId="77777777" w:rsidR="00106793" w:rsidRDefault="00106793">
            <w:pPr>
              <w:pStyle w:val="Tableformat"/>
              <w:rPr>
                <w:lang w:val="en-AU"/>
              </w:rPr>
            </w:pPr>
            <w:r>
              <w:rPr>
                <w:lang w:val="en-AU"/>
              </w:rPr>
              <w:t>1.05</w:t>
            </w:r>
          </w:p>
        </w:tc>
        <w:tc>
          <w:tcPr>
            <w:tcW w:w="851" w:type="dxa"/>
            <w:tcBorders>
              <w:top w:val="nil"/>
              <w:left w:val="nil"/>
              <w:bottom w:val="single" w:sz="4" w:space="0" w:color="auto"/>
              <w:right w:val="single" w:sz="4" w:space="0" w:color="auto"/>
            </w:tcBorders>
            <w:hideMark/>
          </w:tcPr>
          <w:p w14:paraId="747EA4B6" w14:textId="77777777" w:rsidR="00106793" w:rsidRDefault="00106793">
            <w:pPr>
              <w:pStyle w:val="Tableformat"/>
              <w:jc w:val="center"/>
              <w:rPr>
                <w:lang w:val="en-AU"/>
              </w:rPr>
            </w:pPr>
            <w:r>
              <w:rPr>
                <w:lang w:val="en-AU"/>
              </w:rPr>
              <w:t>2</w:t>
            </w:r>
          </w:p>
        </w:tc>
        <w:tc>
          <w:tcPr>
            <w:tcW w:w="3544" w:type="dxa"/>
            <w:tcBorders>
              <w:top w:val="nil"/>
              <w:left w:val="nil"/>
              <w:bottom w:val="single" w:sz="4" w:space="0" w:color="auto"/>
              <w:right w:val="single" w:sz="4" w:space="0" w:color="auto"/>
            </w:tcBorders>
            <w:hideMark/>
          </w:tcPr>
          <w:p w14:paraId="3981CD48" w14:textId="77777777" w:rsidR="00106793" w:rsidRDefault="00106793">
            <w:pPr>
              <w:pStyle w:val="Tableformat"/>
              <w:rPr>
                <w:lang w:val="en-AU"/>
              </w:rPr>
            </w:pPr>
            <w:r>
              <w:rPr>
                <w:lang w:val="en-AU"/>
              </w:rPr>
              <w:t>Assisted mobility, low cognition</w:t>
            </w:r>
          </w:p>
        </w:tc>
        <w:tc>
          <w:tcPr>
            <w:tcW w:w="1135" w:type="dxa"/>
            <w:tcBorders>
              <w:top w:val="nil"/>
              <w:left w:val="nil"/>
              <w:bottom w:val="single" w:sz="4" w:space="0" w:color="auto"/>
              <w:right w:val="single" w:sz="4" w:space="0" w:color="auto"/>
            </w:tcBorders>
            <w:hideMark/>
          </w:tcPr>
          <w:p w14:paraId="43AD240A" w14:textId="77777777" w:rsidR="00106793" w:rsidRDefault="00106793">
            <w:pPr>
              <w:pStyle w:val="Tableformat"/>
              <w:jc w:val="right"/>
              <w:rPr>
                <w:lang w:val="en-AU"/>
              </w:rPr>
            </w:pPr>
            <w:r>
              <w:rPr>
                <w:lang w:val="en-AU"/>
              </w:rPr>
              <w:t>62</w:t>
            </w:r>
          </w:p>
        </w:tc>
        <w:tc>
          <w:tcPr>
            <w:tcW w:w="992" w:type="dxa"/>
            <w:tcBorders>
              <w:top w:val="nil"/>
              <w:left w:val="nil"/>
              <w:bottom w:val="single" w:sz="4" w:space="0" w:color="auto"/>
              <w:right w:val="single" w:sz="4" w:space="0" w:color="auto"/>
            </w:tcBorders>
            <w:hideMark/>
          </w:tcPr>
          <w:p w14:paraId="644C6826" w14:textId="77777777" w:rsidR="00106793" w:rsidRDefault="00106793">
            <w:pPr>
              <w:pStyle w:val="Tableformat"/>
              <w:jc w:val="right"/>
              <w:rPr>
                <w:lang w:val="en-AU"/>
              </w:rPr>
            </w:pPr>
            <w:r>
              <w:rPr>
                <w:lang w:val="en-AU"/>
              </w:rPr>
              <w:t>15%</w:t>
            </w:r>
          </w:p>
        </w:tc>
        <w:tc>
          <w:tcPr>
            <w:tcW w:w="1134" w:type="dxa"/>
            <w:tcBorders>
              <w:top w:val="nil"/>
              <w:left w:val="nil"/>
              <w:bottom w:val="single" w:sz="4" w:space="0" w:color="auto"/>
              <w:right w:val="single" w:sz="4" w:space="0" w:color="auto"/>
            </w:tcBorders>
            <w:hideMark/>
          </w:tcPr>
          <w:p w14:paraId="624475CF" w14:textId="77777777" w:rsidR="00106793" w:rsidRDefault="00106793">
            <w:pPr>
              <w:pStyle w:val="Tableformat"/>
              <w:jc w:val="right"/>
              <w:rPr>
                <w:lang w:val="en-AU"/>
              </w:rPr>
            </w:pPr>
            <w:r>
              <w:rPr>
                <w:lang w:val="en-AU"/>
              </w:rPr>
              <w:t>18%</w:t>
            </w:r>
          </w:p>
        </w:tc>
      </w:tr>
      <w:tr w:rsidR="00106793" w14:paraId="6EFB602A" w14:textId="77777777" w:rsidTr="004B78AE">
        <w:tc>
          <w:tcPr>
            <w:tcW w:w="1008" w:type="dxa"/>
            <w:tcBorders>
              <w:top w:val="nil"/>
              <w:left w:val="single" w:sz="4" w:space="0" w:color="auto"/>
              <w:bottom w:val="single" w:sz="4" w:space="0" w:color="auto"/>
              <w:right w:val="single" w:sz="4" w:space="0" w:color="auto"/>
            </w:tcBorders>
            <w:hideMark/>
          </w:tcPr>
          <w:p w14:paraId="7DC2A890" w14:textId="42BA69CC" w:rsidR="00106793" w:rsidRDefault="00106793">
            <w:pPr>
              <w:pStyle w:val="Tableformat"/>
              <w:rPr>
                <w:lang w:val="en-AU"/>
              </w:rPr>
            </w:pPr>
            <w:r>
              <w:rPr>
                <w:lang w:val="en-AU"/>
              </w:rPr>
              <w:t>Class</w:t>
            </w:r>
            <w:r w:rsidR="009C538E">
              <w:rPr>
                <w:lang w:val="en-AU"/>
              </w:rPr>
              <w:t xml:space="preserve"> </w:t>
            </w:r>
            <w:r>
              <w:rPr>
                <w:lang w:val="en-AU"/>
              </w:rPr>
              <w:t>9</w:t>
            </w:r>
          </w:p>
        </w:tc>
        <w:tc>
          <w:tcPr>
            <w:tcW w:w="708" w:type="dxa"/>
            <w:tcBorders>
              <w:top w:val="nil"/>
              <w:left w:val="nil"/>
              <w:bottom w:val="single" w:sz="4" w:space="0" w:color="auto"/>
              <w:right w:val="single" w:sz="4" w:space="0" w:color="auto"/>
            </w:tcBorders>
            <w:hideMark/>
          </w:tcPr>
          <w:p w14:paraId="2FC9A25C" w14:textId="77777777" w:rsidR="00106793" w:rsidRDefault="00106793">
            <w:pPr>
              <w:pStyle w:val="Tableformat"/>
              <w:rPr>
                <w:lang w:val="en-AU"/>
              </w:rPr>
            </w:pPr>
            <w:r>
              <w:rPr>
                <w:lang w:val="en-AU"/>
              </w:rPr>
              <w:t>1.06</w:t>
            </w:r>
          </w:p>
        </w:tc>
        <w:tc>
          <w:tcPr>
            <w:tcW w:w="851" w:type="dxa"/>
            <w:tcBorders>
              <w:top w:val="nil"/>
              <w:left w:val="nil"/>
              <w:bottom w:val="single" w:sz="4" w:space="0" w:color="auto"/>
              <w:right w:val="single" w:sz="4" w:space="0" w:color="auto"/>
            </w:tcBorders>
            <w:hideMark/>
          </w:tcPr>
          <w:p w14:paraId="65667B9C" w14:textId="77777777" w:rsidR="00106793" w:rsidRDefault="00106793">
            <w:pPr>
              <w:pStyle w:val="Tableformat"/>
              <w:jc w:val="center"/>
              <w:rPr>
                <w:lang w:val="en-AU"/>
              </w:rPr>
            </w:pPr>
            <w:r>
              <w:rPr>
                <w:lang w:val="en-AU"/>
              </w:rPr>
              <w:t>3</w:t>
            </w:r>
          </w:p>
        </w:tc>
        <w:tc>
          <w:tcPr>
            <w:tcW w:w="3544" w:type="dxa"/>
            <w:tcBorders>
              <w:top w:val="nil"/>
              <w:left w:val="nil"/>
              <w:bottom w:val="single" w:sz="4" w:space="0" w:color="auto"/>
              <w:right w:val="single" w:sz="4" w:space="0" w:color="auto"/>
            </w:tcBorders>
            <w:hideMark/>
          </w:tcPr>
          <w:p w14:paraId="27A107DC" w14:textId="77777777" w:rsidR="00106793" w:rsidRDefault="00106793">
            <w:pPr>
              <w:pStyle w:val="Tableformat"/>
              <w:rPr>
                <w:lang w:val="en-AU"/>
              </w:rPr>
            </w:pPr>
            <w:r>
              <w:rPr>
                <w:lang w:val="en-AU"/>
              </w:rPr>
              <w:t>Not mobile, higher function, without CF</w:t>
            </w:r>
          </w:p>
        </w:tc>
        <w:tc>
          <w:tcPr>
            <w:tcW w:w="1135" w:type="dxa"/>
            <w:tcBorders>
              <w:top w:val="nil"/>
              <w:left w:val="nil"/>
              <w:bottom w:val="single" w:sz="4" w:space="0" w:color="auto"/>
              <w:right w:val="single" w:sz="4" w:space="0" w:color="auto"/>
            </w:tcBorders>
            <w:hideMark/>
          </w:tcPr>
          <w:p w14:paraId="67B743E2" w14:textId="77777777" w:rsidR="00106793" w:rsidRDefault="00106793">
            <w:pPr>
              <w:pStyle w:val="Tableformat"/>
              <w:jc w:val="right"/>
              <w:rPr>
                <w:lang w:val="en-AU"/>
              </w:rPr>
            </w:pPr>
            <w:r>
              <w:rPr>
                <w:lang w:val="en-AU"/>
              </w:rPr>
              <w:t>82</w:t>
            </w:r>
          </w:p>
        </w:tc>
        <w:tc>
          <w:tcPr>
            <w:tcW w:w="992" w:type="dxa"/>
            <w:tcBorders>
              <w:top w:val="nil"/>
              <w:left w:val="nil"/>
              <w:bottom w:val="single" w:sz="4" w:space="0" w:color="auto"/>
              <w:right w:val="single" w:sz="4" w:space="0" w:color="auto"/>
            </w:tcBorders>
            <w:hideMark/>
          </w:tcPr>
          <w:p w14:paraId="7CB42172" w14:textId="77777777" w:rsidR="00106793" w:rsidRDefault="00106793">
            <w:pPr>
              <w:pStyle w:val="Tableformat"/>
              <w:jc w:val="right"/>
              <w:rPr>
                <w:lang w:val="en-AU"/>
              </w:rPr>
            </w:pPr>
            <w:r>
              <w:rPr>
                <w:lang w:val="en-AU"/>
              </w:rPr>
              <w:t>10%</w:t>
            </w:r>
          </w:p>
        </w:tc>
        <w:tc>
          <w:tcPr>
            <w:tcW w:w="1134" w:type="dxa"/>
            <w:tcBorders>
              <w:top w:val="nil"/>
              <w:left w:val="nil"/>
              <w:bottom w:val="single" w:sz="4" w:space="0" w:color="auto"/>
              <w:right w:val="single" w:sz="4" w:space="0" w:color="auto"/>
            </w:tcBorders>
            <w:hideMark/>
          </w:tcPr>
          <w:p w14:paraId="25740548" w14:textId="77777777" w:rsidR="00106793" w:rsidRDefault="00106793">
            <w:pPr>
              <w:pStyle w:val="Tableformat"/>
              <w:jc w:val="right"/>
              <w:rPr>
                <w:lang w:val="en-AU"/>
              </w:rPr>
            </w:pPr>
            <w:r>
              <w:rPr>
                <w:lang w:val="en-AU"/>
              </w:rPr>
              <w:t>16%</w:t>
            </w:r>
          </w:p>
        </w:tc>
      </w:tr>
      <w:tr w:rsidR="00106793" w14:paraId="7DAED4DE" w14:textId="77777777" w:rsidTr="004B78AE">
        <w:tc>
          <w:tcPr>
            <w:tcW w:w="1008" w:type="dxa"/>
            <w:tcBorders>
              <w:top w:val="nil"/>
              <w:left w:val="single" w:sz="4" w:space="0" w:color="auto"/>
              <w:bottom w:val="single" w:sz="4" w:space="0" w:color="auto"/>
              <w:right w:val="single" w:sz="4" w:space="0" w:color="auto"/>
            </w:tcBorders>
            <w:hideMark/>
          </w:tcPr>
          <w:p w14:paraId="3CA51043" w14:textId="04799287" w:rsidR="00106793" w:rsidRDefault="00106793">
            <w:pPr>
              <w:pStyle w:val="Tableformat"/>
              <w:rPr>
                <w:lang w:val="en-AU"/>
              </w:rPr>
            </w:pPr>
            <w:r>
              <w:rPr>
                <w:lang w:val="en-AU"/>
              </w:rPr>
              <w:t>Class</w:t>
            </w:r>
            <w:r w:rsidR="009C538E">
              <w:rPr>
                <w:lang w:val="en-AU"/>
              </w:rPr>
              <w:t xml:space="preserve"> </w:t>
            </w:r>
            <w:r>
              <w:rPr>
                <w:lang w:val="en-AU"/>
              </w:rPr>
              <w:t>10</w:t>
            </w:r>
          </w:p>
        </w:tc>
        <w:tc>
          <w:tcPr>
            <w:tcW w:w="708" w:type="dxa"/>
            <w:tcBorders>
              <w:top w:val="nil"/>
              <w:left w:val="nil"/>
              <w:bottom w:val="single" w:sz="4" w:space="0" w:color="auto"/>
              <w:right w:val="single" w:sz="4" w:space="0" w:color="auto"/>
            </w:tcBorders>
            <w:hideMark/>
          </w:tcPr>
          <w:p w14:paraId="236DAE7D" w14:textId="77777777" w:rsidR="00106793" w:rsidRDefault="00106793">
            <w:pPr>
              <w:pStyle w:val="Tableformat"/>
              <w:rPr>
                <w:lang w:val="en-AU"/>
              </w:rPr>
            </w:pPr>
            <w:r>
              <w:rPr>
                <w:lang w:val="en-AU"/>
              </w:rPr>
              <w:t>1.70</w:t>
            </w:r>
          </w:p>
        </w:tc>
        <w:tc>
          <w:tcPr>
            <w:tcW w:w="851" w:type="dxa"/>
            <w:tcBorders>
              <w:top w:val="nil"/>
              <w:left w:val="nil"/>
              <w:bottom w:val="single" w:sz="4" w:space="0" w:color="auto"/>
              <w:right w:val="single" w:sz="4" w:space="0" w:color="auto"/>
            </w:tcBorders>
            <w:hideMark/>
          </w:tcPr>
          <w:p w14:paraId="41CBA436" w14:textId="77777777" w:rsidR="00106793" w:rsidRDefault="00106793">
            <w:pPr>
              <w:pStyle w:val="Tableformat"/>
              <w:jc w:val="center"/>
              <w:rPr>
                <w:lang w:val="en-AU"/>
              </w:rPr>
            </w:pPr>
            <w:r>
              <w:rPr>
                <w:lang w:val="en-AU"/>
              </w:rPr>
              <w:t>3</w:t>
            </w:r>
          </w:p>
        </w:tc>
        <w:tc>
          <w:tcPr>
            <w:tcW w:w="3544" w:type="dxa"/>
            <w:tcBorders>
              <w:top w:val="nil"/>
              <w:left w:val="nil"/>
              <w:bottom w:val="single" w:sz="4" w:space="0" w:color="auto"/>
              <w:right w:val="single" w:sz="4" w:space="0" w:color="auto"/>
            </w:tcBorders>
            <w:hideMark/>
          </w:tcPr>
          <w:p w14:paraId="3C678B4D" w14:textId="77777777" w:rsidR="00106793" w:rsidRDefault="00106793">
            <w:pPr>
              <w:pStyle w:val="Tableformat"/>
              <w:rPr>
                <w:lang w:val="en-AU"/>
              </w:rPr>
            </w:pPr>
            <w:r>
              <w:rPr>
                <w:lang w:val="en-AU"/>
              </w:rPr>
              <w:t>Not mobile, higher function, with CF</w:t>
            </w:r>
          </w:p>
        </w:tc>
        <w:tc>
          <w:tcPr>
            <w:tcW w:w="1135" w:type="dxa"/>
            <w:tcBorders>
              <w:top w:val="nil"/>
              <w:left w:val="nil"/>
              <w:bottom w:val="single" w:sz="4" w:space="0" w:color="auto"/>
              <w:right w:val="single" w:sz="4" w:space="0" w:color="auto"/>
            </w:tcBorders>
            <w:hideMark/>
          </w:tcPr>
          <w:p w14:paraId="6B57E116" w14:textId="77777777" w:rsidR="00106793" w:rsidRDefault="00106793">
            <w:pPr>
              <w:pStyle w:val="Tableformat"/>
              <w:jc w:val="right"/>
              <w:rPr>
                <w:lang w:val="en-AU"/>
              </w:rPr>
            </w:pPr>
            <w:r>
              <w:rPr>
                <w:lang w:val="en-AU"/>
              </w:rPr>
              <w:t>54</w:t>
            </w:r>
          </w:p>
        </w:tc>
        <w:tc>
          <w:tcPr>
            <w:tcW w:w="992" w:type="dxa"/>
            <w:tcBorders>
              <w:top w:val="nil"/>
              <w:left w:val="nil"/>
              <w:bottom w:val="single" w:sz="4" w:space="0" w:color="auto"/>
              <w:right w:val="single" w:sz="4" w:space="0" w:color="auto"/>
            </w:tcBorders>
            <w:hideMark/>
          </w:tcPr>
          <w:p w14:paraId="2562FA36" w14:textId="77777777" w:rsidR="00106793" w:rsidRDefault="00106793">
            <w:pPr>
              <w:pStyle w:val="Tableformat"/>
              <w:jc w:val="right"/>
              <w:rPr>
                <w:lang w:val="en-AU"/>
              </w:rPr>
            </w:pPr>
            <w:r>
              <w:rPr>
                <w:lang w:val="en-AU"/>
              </w:rPr>
              <w:t>20%</w:t>
            </w:r>
          </w:p>
        </w:tc>
        <w:tc>
          <w:tcPr>
            <w:tcW w:w="1134" w:type="dxa"/>
            <w:tcBorders>
              <w:top w:val="nil"/>
              <w:left w:val="nil"/>
              <w:bottom w:val="single" w:sz="4" w:space="0" w:color="auto"/>
              <w:right w:val="single" w:sz="4" w:space="0" w:color="auto"/>
            </w:tcBorders>
            <w:hideMark/>
          </w:tcPr>
          <w:p w14:paraId="6125AEC6" w14:textId="77777777" w:rsidR="00106793" w:rsidRDefault="00106793">
            <w:pPr>
              <w:pStyle w:val="Tableformat"/>
              <w:jc w:val="right"/>
              <w:rPr>
                <w:lang w:val="en-AU"/>
              </w:rPr>
            </w:pPr>
            <w:r>
              <w:rPr>
                <w:lang w:val="en-AU"/>
              </w:rPr>
              <w:t>7%</w:t>
            </w:r>
          </w:p>
        </w:tc>
      </w:tr>
      <w:tr w:rsidR="00106793" w14:paraId="6682699D" w14:textId="77777777" w:rsidTr="004B78AE">
        <w:tc>
          <w:tcPr>
            <w:tcW w:w="1008" w:type="dxa"/>
            <w:tcBorders>
              <w:top w:val="nil"/>
              <w:left w:val="single" w:sz="4" w:space="0" w:color="auto"/>
              <w:bottom w:val="single" w:sz="4" w:space="0" w:color="auto"/>
              <w:right w:val="single" w:sz="4" w:space="0" w:color="auto"/>
            </w:tcBorders>
            <w:hideMark/>
          </w:tcPr>
          <w:p w14:paraId="37293AEA" w14:textId="46F6E93C" w:rsidR="00106793" w:rsidRDefault="00106793">
            <w:pPr>
              <w:pStyle w:val="Tableformat"/>
              <w:rPr>
                <w:lang w:val="en-AU"/>
              </w:rPr>
            </w:pPr>
            <w:r>
              <w:rPr>
                <w:lang w:val="en-AU"/>
              </w:rPr>
              <w:t>Class</w:t>
            </w:r>
            <w:r w:rsidR="009C538E">
              <w:rPr>
                <w:lang w:val="en-AU"/>
              </w:rPr>
              <w:t xml:space="preserve"> </w:t>
            </w:r>
            <w:r>
              <w:rPr>
                <w:lang w:val="en-AU"/>
              </w:rPr>
              <w:t>11</w:t>
            </w:r>
          </w:p>
        </w:tc>
        <w:tc>
          <w:tcPr>
            <w:tcW w:w="708" w:type="dxa"/>
            <w:tcBorders>
              <w:top w:val="nil"/>
              <w:left w:val="nil"/>
              <w:bottom w:val="single" w:sz="4" w:space="0" w:color="auto"/>
              <w:right w:val="single" w:sz="4" w:space="0" w:color="auto"/>
            </w:tcBorders>
            <w:hideMark/>
          </w:tcPr>
          <w:p w14:paraId="43C5FCFF" w14:textId="77777777" w:rsidR="00106793" w:rsidRDefault="00106793">
            <w:pPr>
              <w:pStyle w:val="Tableformat"/>
              <w:rPr>
                <w:lang w:val="en-AU"/>
              </w:rPr>
            </w:pPr>
            <w:r>
              <w:rPr>
                <w:lang w:val="en-AU"/>
              </w:rPr>
              <w:t>1.63</w:t>
            </w:r>
          </w:p>
        </w:tc>
        <w:tc>
          <w:tcPr>
            <w:tcW w:w="851" w:type="dxa"/>
            <w:tcBorders>
              <w:top w:val="nil"/>
              <w:left w:val="nil"/>
              <w:bottom w:val="single" w:sz="4" w:space="0" w:color="auto"/>
              <w:right w:val="single" w:sz="4" w:space="0" w:color="auto"/>
            </w:tcBorders>
            <w:hideMark/>
          </w:tcPr>
          <w:p w14:paraId="1D87A23F" w14:textId="77777777" w:rsidR="00106793" w:rsidRDefault="00106793">
            <w:pPr>
              <w:pStyle w:val="Tableformat"/>
              <w:jc w:val="center"/>
              <w:rPr>
                <w:lang w:val="en-AU"/>
              </w:rPr>
            </w:pPr>
            <w:r>
              <w:rPr>
                <w:lang w:val="en-AU"/>
              </w:rPr>
              <w:t>3</w:t>
            </w:r>
          </w:p>
        </w:tc>
        <w:tc>
          <w:tcPr>
            <w:tcW w:w="3544" w:type="dxa"/>
            <w:tcBorders>
              <w:top w:val="nil"/>
              <w:left w:val="nil"/>
              <w:bottom w:val="single" w:sz="4" w:space="0" w:color="auto"/>
              <w:right w:val="single" w:sz="4" w:space="0" w:color="auto"/>
            </w:tcBorders>
            <w:hideMark/>
          </w:tcPr>
          <w:p w14:paraId="77681C08" w14:textId="77777777" w:rsidR="00106793" w:rsidRDefault="00106793">
            <w:pPr>
              <w:pStyle w:val="Tableformat"/>
              <w:rPr>
                <w:lang w:val="en-AU"/>
              </w:rPr>
            </w:pPr>
            <w:r>
              <w:rPr>
                <w:lang w:val="en-AU"/>
              </w:rPr>
              <w:t>Not mobile, lower function, lower pressure sore risk</w:t>
            </w:r>
          </w:p>
        </w:tc>
        <w:tc>
          <w:tcPr>
            <w:tcW w:w="1135" w:type="dxa"/>
            <w:tcBorders>
              <w:top w:val="nil"/>
              <w:left w:val="nil"/>
              <w:bottom w:val="single" w:sz="4" w:space="0" w:color="auto"/>
              <w:right w:val="single" w:sz="4" w:space="0" w:color="auto"/>
            </w:tcBorders>
            <w:hideMark/>
          </w:tcPr>
          <w:p w14:paraId="7008543E" w14:textId="77777777" w:rsidR="00106793" w:rsidRDefault="00106793">
            <w:pPr>
              <w:pStyle w:val="Tableformat"/>
              <w:jc w:val="right"/>
              <w:rPr>
                <w:lang w:val="en-AU"/>
              </w:rPr>
            </w:pPr>
            <w:r>
              <w:rPr>
                <w:lang w:val="en-AU"/>
              </w:rPr>
              <w:t>51</w:t>
            </w:r>
          </w:p>
        </w:tc>
        <w:tc>
          <w:tcPr>
            <w:tcW w:w="992" w:type="dxa"/>
            <w:tcBorders>
              <w:top w:val="nil"/>
              <w:left w:val="nil"/>
              <w:bottom w:val="single" w:sz="4" w:space="0" w:color="auto"/>
              <w:right w:val="single" w:sz="4" w:space="0" w:color="auto"/>
            </w:tcBorders>
            <w:hideMark/>
          </w:tcPr>
          <w:p w14:paraId="0A94B999" w14:textId="77777777" w:rsidR="00106793" w:rsidRDefault="00106793">
            <w:pPr>
              <w:pStyle w:val="Tableformat"/>
              <w:jc w:val="right"/>
              <w:rPr>
                <w:lang w:val="en-AU"/>
              </w:rPr>
            </w:pPr>
            <w:r>
              <w:rPr>
                <w:lang w:val="en-AU"/>
              </w:rPr>
              <w:t>10%</w:t>
            </w:r>
          </w:p>
        </w:tc>
        <w:tc>
          <w:tcPr>
            <w:tcW w:w="1134" w:type="dxa"/>
            <w:tcBorders>
              <w:top w:val="nil"/>
              <w:left w:val="nil"/>
              <w:bottom w:val="single" w:sz="4" w:space="0" w:color="auto"/>
              <w:right w:val="single" w:sz="4" w:space="0" w:color="auto"/>
            </w:tcBorders>
            <w:hideMark/>
          </w:tcPr>
          <w:p w14:paraId="06A0EBCA" w14:textId="77777777" w:rsidR="00106793" w:rsidRDefault="00106793">
            <w:pPr>
              <w:pStyle w:val="Tableformat"/>
              <w:jc w:val="right"/>
              <w:rPr>
                <w:lang w:val="en-AU"/>
              </w:rPr>
            </w:pPr>
            <w:r>
              <w:rPr>
                <w:lang w:val="en-AU"/>
              </w:rPr>
              <w:t>12%</w:t>
            </w:r>
          </w:p>
        </w:tc>
      </w:tr>
      <w:tr w:rsidR="00106793" w14:paraId="15D5F556" w14:textId="77777777" w:rsidTr="004B78AE">
        <w:tc>
          <w:tcPr>
            <w:tcW w:w="1008" w:type="dxa"/>
            <w:tcBorders>
              <w:top w:val="nil"/>
              <w:left w:val="single" w:sz="4" w:space="0" w:color="auto"/>
              <w:bottom w:val="single" w:sz="4" w:space="0" w:color="auto"/>
              <w:right w:val="single" w:sz="4" w:space="0" w:color="auto"/>
            </w:tcBorders>
            <w:hideMark/>
          </w:tcPr>
          <w:p w14:paraId="341AA5F2" w14:textId="095E7260" w:rsidR="00106793" w:rsidRDefault="00106793">
            <w:pPr>
              <w:pStyle w:val="Tableformat"/>
              <w:rPr>
                <w:lang w:val="en-AU"/>
              </w:rPr>
            </w:pPr>
            <w:r>
              <w:rPr>
                <w:lang w:val="en-AU"/>
              </w:rPr>
              <w:t>Class</w:t>
            </w:r>
            <w:r w:rsidR="009C538E">
              <w:rPr>
                <w:lang w:val="en-AU"/>
              </w:rPr>
              <w:t xml:space="preserve"> </w:t>
            </w:r>
            <w:r>
              <w:rPr>
                <w:lang w:val="en-AU"/>
              </w:rPr>
              <w:t>12</w:t>
            </w:r>
          </w:p>
        </w:tc>
        <w:tc>
          <w:tcPr>
            <w:tcW w:w="708" w:type="dxa"/>
            <w:tcBorders>
              <w:top w:val="nil"/>
              <w:left w:val="nil"/>
              <w:bottom w:val="single" w:sz="4" w:space="0" w:color="auto"/>
              <w:right w:val="single" w:sz="4" w:space="0" w:color="auto"/>
            </w:tcBorders>
            <w:hideMark/>
          </w:tcPr>
          <w:p w14:paraId="7D5CFCB1" w14:textId="77777777" w:rsidR="00106793" w:rsidRDefault="00106793">
            <w:pPr>
              <w:pStyle w:val="Tableformat"/>
              <w:rPr>
                <w:lang w:val="en-AU"/>
              </w:rPr>
            </w:pPr>
            <w:r>
              <w:rPr>
                <w:lang w:val="en-AU"/>
              </w:rPr>
              <w:t>1.59</w:t>
            </w:r>
          </w:p>
        </w:tc>
        <w:tc>
          <w:tcPr>
            <w:tcW w:w="851" w:type="dxa"/>
            <w:tcBorders>
              <w:top w:val="nil"/>
              <w:left w:val="nil"/>
              <w:bottom w:val="single" w:sz="4" w:space="0" w:color="auto"/>
              <w:right w:val="single" w:sz="4" w:space="0" w:color="auto"/>
            </w:tcBorders>
            <w:hideMark/>
          </w:tcPr>
          <w:p w14:paraId="735712F3" w14:textId="77777777" w:rsidR="00106793" w:rsidRDefault="00106793">
            <w:pPr>
              <w:pStyle w:val="Tableformat"/>
              <w:jc w:val="center"/>
              <w:rPr>
                <w:lang w:val="en-AU"/>
              </w:rPr>
            </w:pPr>
            <w:r>
              <w:rPr>
                <w:lang w:val="en-AU"/>
              </w:rPr>
              <w:t>3</w:t>
            </w:r>
          </w:p>
        </w:tc>
        <w:tc>
          <w:tcPr>
            <w:tcW w:w="3544" w:type="dxa"/>
            <w:tcBorders>
              <w:top w:val="nil"/>
              <w:left w:val="nil"/>
              <w:bottom w:val="single" w:sz="4" w:space="0" w:color="auto"/>
              <w:right w:val="single" w:sz="4" w:space="0" w:color="auto"/>
            </w:tcBorders>
            <w:hideMark/>
          </w:tcPr>
          <w:p w14:paraId="6E7EEFD5" w14:textId="7438C547" w:rsidR="00106793" w:rsidRDefault="00106793">
            <w:pPr>
              <w:pStyle w:val="Tableformat"/>
              <w:rPr>
                <w:lang w:val="en-AU"/>
              </w:rPr>
            </w:pPr>
            <w:r>
              <w:rPr>
                <w:lang w:val="en-AU"/>
              </w:rPr>
              <w:t>Not mobile, lower function, higher pressure sore risk, with</w:t>
            </w:r>
            <w:r w:rsidR="00FC513E">
              <w:rPr>
                <w:lang w:val="en-AU"/>
              </w:rPr>
              <w:t>out</w:t>
            </w:r>
            <w:r>
              <w:rPr>
                <w:lang w:val="en-AU"/>
              </w:rPr>
              <w:t xml:space="preserve"> CF</w:t>
            </w:r>
          </w:p>
        </w:tc>
        <w:tc>
          <w:tcPr>
            <w:tcW w:w="1135" w:type="dxa"/>
            <w:tcBorders>
              <w:top w:val="nil"/>
              <w:left w:val="nil"/>
              <w:bottom w:val="single" w:sz="4" w:space="0" w:color="auto"/>
              <w:right w:val="single" w:sz="4" w:space="0" w:color="auto"/>
            </w:tcBorders>
            <w:hideMark/>
          </w:tcPr>
          <w:p w14:paraId="16C3AC74" w14:textId="77777777" w:rsidR="00106793" w:rsidRDefault="00106793">
            <w:pPr>
              <w:pStyle w:val="Tableformat"/>
              <w:jc w:val="right"/>
              <w:rPr>
                <w:lang w:val="en-AU"/>
              </w:rPr>
            </w:pPr>
            <w:r>
              <w:rPr>
                <w:lang w:val="en-AU"/>
              </w:rPr>
              <w:t>50</w:t>
            </w:r>
          </w:p>
        </w:tc>
        <w:tc>
          <w:tcPr>
            <w:tcW w:w="992" w:type="dxa"/>
            <w:tcBorders>
              <w:top w:val="nil"/>
              <w:left w:val="nil"/>
              <w:bottom w:val="single" w:sz="4" w:space="0" w:color="auto"/>
              <w:right w:val="single" w:sz="4" w:space="0" w:color="auto"/>
            </w:tcBorders>
            <w:hideMark/>
          </w:tcPr>
          <w:p w14:paraId="6BBB8B2C" w14:textId="77777777" w:rsidR="00106793" w:rsidRDefault="00106793">
            <w:pPr>
              <w:pStyle w:val="Tableformat"/>
              <w:jc w:val="right"/>
              <w:rPr>
                <w:lang w:val="en-AU"/>
              </w:rPr>
            </w:pPr>
            <w:r>
              <w:rPr>
                <w:lang w:val="en-AU"/>
              </w:rPr>
              <w:t>20%</w:t>
            </w:r>
          </w:p>
        </w:tc>
        <w:tc>
          <w:tcPr>
            <w:tcW w:w="1134" w:type="dxa"/>
            <w:tcBorders>
              <w:top w:val="nil"/>
              <w:left w:val="nil"/>
              <w:bottom w:val="single" w:sz="4" w:space="0" w:color="auto"/>
              <w:right w:val="single" w:sz="4" w:space="0" w:color="auto"/>
            </w:tcBorders>
            <w:hideMark/>
          </w:tcPr>
          <w:p w14:paraId="14D6F732" w14:textId="77777777" w:rsidR="00106793" w:rsidRDefault="00106793">
            <w:pPr>
              <w:pStyle w:val="Tableformat"/>
              <w:jc w:val="right"/>
              <w:rPr>
                <w:lang w:val="en-AU"/>
              </w:rPr>
            </w:pPr>
            <w:r>
              <w:rPr>
                <w:lang w:val="en-AU"/>
              </w:rPr>
              <w:t>6%</w:t>
            </w:r>
          </w:p>
        </w:tc>
      </w:tr>
      <w:tr w:rsidR="00106793" w14:paraId="545DF7FC" w14:textId="77777777" w:rsidTr="004B78AE">
        <w:tc>
          <w:tcPr>
            <w:tcW w:w="1008" w:type="dxa"/>
            <w:tcBorders>
              <w:top w:val="nil"/>
              <w:left w:val="single" w:sz="4" w:space="0" w:color="auto"/>
              <w:bottom w:val="single" w:sz="4" w:space="0" w:color="auto"/>
              <w:right w:val="single" w:sz="4" w:space="0" w:color="auto"/>
            </w:tcBorders>
            <w:hideMark/>
          </w:tcPr>
          <w:p w14:paraId="4C31923F" w14:textId="07567C9C" w:rsidR="00106793" w:rsidRDefault="00106793">
            <w:pPr>
              <w:pStyle w:val="Tableformat"/>
              <w:rPr>
                <w:lang w:val="en-AU"/>
              </w:rPr>
            </w:pPr>
            <w:r>
              <w:rPr>
                <w:lang w:val="en-AU"/>
              </w:rPr>
              <w:t>Class</w:t>
            </w:r>
            <w:r w:rsidR="009C538E">
              <w:rPr>
                <w:lang w:val="en-AU"/>
              </w:rPr>
              <w:t xml:space="preserve"> </w:t>
            </w:r>
            <w:r>
              <w:rPr>
                <w:lang w:val="en-AU"/>
              </w:rPr>
              <w:t>13</w:t>
            </w:r>
          </w:p>
        </w:tc>
        <w:tc>
          <w:tcPr>
            <w:tcW w:w="708" w:type="dxa"/>
            <w:tcBorders>
              <w:top w:val="nil"/>
              <w:left w:val="nil"/>
              <w:bottom w:val="single" w:sz="4" w:space="0" w:color="auto"/>
              <w:right w:val="single" w:sz="4" w:space="0" w:color="auto"/>
            </w:tcBorders>
            <w:hideMark/>
          </w:tcPr>
          <w:p w14:paraId="24C468F5" w14:textId="77777777" w:rsidR="00106793" w:rsidRDefault="00106793">
            <w:pPr>
              <w:pStyle w:val="Tableformat"/>
              <w:rPr>
                <w:lang w:val="en-AU"/>
              </w:rPr>
            </w:pPr>
            <w:r>
              <w:rPr>
                <w:lang w:val="en-AU"/>
              </w:rPr>
              <w:t>1.95</w:t>
            </w:r>
          </w:p>
        </w:tc>
        <w:tc>
          <w:tcPr>
            <w:tcW w:w="851" w:type="dxa"/>
            <w:tcBorders>
              <w:top w:val="nil"/>
              <w:left w:val="nil"/>
              <w:bottom w:val="single" w:sz="4" w:space="0" w:color="auto"/>
              <w:right w:val="single" w:sz="4" w:space="0" w:color="auto"/>
            </w:tcBorders>
            <w:hideMark/>
          </w:tcPr>
          <w:p w14:paraId="1DFB5254" w14:textId="77777777" w:rsidR="00106793" w:rsidRDefault="00106793">
            <w:pPr>
              <w:pStyle w:val="Tableformat"/>
              <w:jc w:val="center"/>
              <w:rPr>
                <w:lang w:val="en-AU"/>
              </w:rPr>
            </w:pPr>
            <w:r>
              <w:rPr>
                <w:lang w:val="en-AU"/>
              </w:rPr>
              <w:t>3</w:t>
            </w:r>
          </w:p>
        </w:tc>
        <w:tc>
          <w:tcPr>
            <w:tcW w:w="3544" w:type="dxa"/>
            <w:tcBorders>
              <w:top w:val="nil"/>
              <w:left w:val="nil"/>
              <w:bottom w:val="single" w:sz="4" w:space="0" w:color="auto"/>
              <w:right w:val="single" w:sz="4" w:space="0" w:color="auto"/>
            </w:tcBorders>
            <w:hideMark/>
          </w:tcPr>
          <w:p w14:paraId="4D921364" w14:textId="1E552F4A" w:rsidR="00106793" w:rsidRDefault="00106793">
            <w:pPr>
              <w:pStyle w:val="Tableformat"/>
              <w:rPr>
                <w:lang w:val="en-AU"/>
              </w:rPr>
            </w:pPr>
            <w:r>
              <w:rPr>
                <w:lang w:val="en-AU"/>
              </w:rPr>
              <w:t>Not mobile, lower function, hi</w:t>
            </w:r>
            <w:r w:rsidR="00FC513E">
              <w:rPr>
                <w:lang w:val="en-AU"/>
              </w:rPr>
              <w:t>gher pressure sore risk, with</w:t>
            </w:r>
            <w:r>
              <w:rPr>
                <w:lang w:val="en-AU"/>
              </w:rPr>
              <w:t xml:space="preserve"> CF</w:t>
            </w:r>
          </w:p>
        </w:tc>
        <w:tc>
          <w:tcPr>
            <w:tcW w:w="1135" w:type="dxa"/>
            <w:tcBorders>
              <w:top w:val="nil"/>
              <w:left w:val="nil"/>
              <w:bottom w:val="single" w:sz="4" w:space="0" w:color="auto"/>
              <w:right w:val="single" w:sz="4" w:space="0" w:color="auto"/>
            </w:tcBorders>
            <w:hideMark/>
          </w:tcPr>
          <w:p w14:paraId="77FEC9FA" w14:textId="77777777" w:rsidR="00106793" w:rsidRDefault="00106793">
            <w:pPr>
              <w:pStyle w:val="Tableformat"/>
              <w:jc w:val="right"/>
              <w:rPr>
                <w:lang w:val="en-AU"/>
              </w:rPr>
            </w:pPr>
            <w:r>
              <w:rPr>
                <w:lang w:val="en-AU"/>
              </w:rPr>
              <w:t>103</w:t>
            </w:r>
          </w:p>
        </w:tc>
        <w:tc>
          <w:tcPr>
            <w:tcW w:w="992" w:type="dxa"/>
            <w:tcBorders>
              <w:top w:val="nil"/>
              <w:left w:val="nil"/>
              <w:bottom w:val="single" w:sz="4" w:space="0" w:color="auto"/>
              <w:right w:val="single" w:sz="4" w:space="0" w:color="auto"/>
            </w:tcBorders>
            <w:hideMark/>
          </w:tcPr>
          <w:p w14:paraId="0497762F" w14:textId="77777777" w:rsidR="00106793" w:rsidRDefault="00106793">
            <w:pPr>
              <w:pStyle w:val="Tableformat"/>
              <w:jc w:val="right"/>
              <w:rPr>
                <w:lang w:val="en-AU"/>
              </w:rPr>
            </w:pPr>
            <w:r>
              <w:rPr>
                <w:lang w:val="en-AU"/>
              </w:rPr>
              <w:t>22%</w:t>
            </w:r>
          </w:p>
        </w:tc>
        <w:tc>
          <w:tcPr>
            <w:tcW w:w="1134" w:type="dxa"/>
            <w:tcBorders>
              <w:top w:val="nil"/>
              <w:left w:val="nil"/>
              <w:bottom w:val="single" w:sz="4" w:space="0" w:color="auto"/>
              <w:right w:val="single" w:sz="4" w:space="0" w:color="auto"/>
            </w:tcBorders>
            <w:hideMark/>
          </w:tcPr>
          <w:p w14:paraId="419D8E04" w14:textId="77777777" w:rsidR="00106793" w:rsidRDefault="00106793">
            <w:pPr>
              <w:pStyle w:val="Tableformat"/>
              <w:jc w:val="right"/>
              <w:rPr>
                <w:lang w:val="en-AU"/>
              </w:rPr>
            </w:pPr>
            <w:r>
              <w:rPr>
                <w:lang w:val="en-AU"/>
              </w:rPr>
              <w:t>9%</w:t>
            </w:r>
          </w:p>
        </w:tc>
      </w:tr>
      <w:tr w:rsidR="00106793" w14:paraId="0EF1440E" w14:textId="77777777" w:rsidTr="004B78AE">
        <w:tc>
          <w:tcPr>
            <w:tcW w:w="6111" w:type="dxa"/>
            <w:gridSpan w:val="4"/>
            <w:tcBorders>
              <w:top w:val="nil"/>
              <w:left w:val="single" w:sz="4" w:space="0" w:color="auto"/>
              <w:bottom w:val="single" w:sz="4" w:space="0" w:color="auto"/>
              <w:right w:val="single" w:sz="4" w:space="0" w:color="auto"/>
            </w:tcBorders>
            <w:noWrap/>
            <w:vAlign w:val="bottom"/>
            <w:hideMark/>
          </w:tcPr>
          <w:p w14:paraId="33FF51CB" w14:textId="77777777" w:rsidR="00106793" w:rsidRDefault="00106793">
            <w:pPr>
              <w:pStyle w:val="Tableformat"/>
              <w:rPr>
                <w:b/>
                <w:lang w:val="en-AU"/>
              </w:rPr>
            </w:pPr>
            <w:r>
              <w:rPr>
                <w:b/>
                <w:lang w:val="en-AU"/>
              </w:rPr>
              <w:t>Number included in sample for the reassessment study</w:t>
            </w:r>
          </w:p>
        </w:tc>
        <w:tc>
          <w:tcPr>
            <w:tcW w:w="1135" w:type="dxa"/>
            <w:tcBorders>
              <w:top w:val="nil"/>
              <w:left w:val="nil"/>
              <w:bottom w:val="single" w:sz="4" w:space="0" w:color="auto"/>
              <w:right w:val="single" w:sz="4" w:space="0" w:color="auto"/>
            </w:tcBorders>
            <w:hideMark/>
          </w:tcPr>
          <w:p w14:paraId="64F1AB04" w14:textId="77777777" w:rsidR="00106793" w:rsidRDefault="00106793">
            <w:pPr>
              <w:pStyle w:val="Tableformat"/>
              <w:jc w:val="right"/>
              <w:rPr>
                <w:b/>
                <w:lang w:val="en-AU"/>
              </w:rPr>
            </w:pPr>
            <w:r>
              <w:rPr>
                <w:b/>
                <w:lang w:val="en-AU"/>
              </w:rPr>
              <w:t>961</w:t>
            </w:r>
          </w:p>
        </w:tc>
        <w:tc>
          <w:tcPr>
            <w:tcW w:w="992" w:type="dxa"/>
            <w:tcBorders>
              <w:top w:val="nil"/>
              <w:left w:val="nil"/>
              <w:bottom w:val="single" w:sz="4" w:space="0" w:color="auto"/>
              <w:right w:val="single" w:sz="4" w:space="0" w:color="auto"/>
            </w:tcBorders>
            <w:hideMark/>
          </w:tcPr>
          <w:p w14:paraId="263AA33A" w14:textId="77777777" w:rsidR="00106793" w:rsidRDefault="00106793">
            <w:pPr>
              <w:pStyle w:val="Tableformat"/>
              <w:jc w:val="right"/>
              <w:rPr>
                <w:b/>
                <w:lang w:val="en-AU"/>
              </w:rPr>
            </w:pPr>
            <w:r>
              <w:rPr>
                <w:b/>
                <w:lang w:val="en-AU"/>
              </w:rPr>
              <w:t>12%</w:t>
            </w:r>
          </w:p>
        </w:tc>
        <w:tc>
          <w:tcPr>
            <w:tcW w:w="1134" w:type="dxa"/>
            <w:tcBorders>
              <w:top w:val="nil"/>
              <w:left w:val="nil"/>
              <w:bottom w:val="single" w:sz="4" w:space="0" w:color="auto"/>
              <w:right w:val="single" w:sz="4" w:space="0" w:color="auto"/>
            </w:tcBorders>
            <w:hideMark/>
          </w:tcPr>
          <w:p w14:paraId="3294BBB1" w14:textId="77777777" w:rsidR="00106793" w:rsidRDefault="00106793">
            <w:pPr>
              <w:pStyle w:val="Tableformat"/>
              <w:jc w:val="right"/>
              <w:rPr>
                <w:b/>
                <w:lang w:val="en-AU"/>
              </w:rPr>
            </w:pPr>
            <w:r>
              <w:rPr>
                <w:b/>
                <w:lang w:val="en-AU"/>
              </w:rPr>
              <w:t>11%</w:t>
            </w:r>
          </w:p>
        </w:tc>
      </w:tr>
    </w:tbl>
    <w:p w14:paraId="58CC7CE4" w14:textId="77777777" w:rsidR="00106793" w:rsidRDefault="00106793" w:rsidP="00B85702">
      <w:pPr>
        <w:pStyle w:val="Heading2"/>
        <w:numPr>
          <w:ilvl w:val="1"/>
          <w:numId w:val="12"/>
        </w:numPr>
        <w:ind w:left="578" w:hanging="578"/>
      </w:pPr>
      <w:bookmarkStart w:id="73" w:name="_Toc532293821"/>
      <w:bookmarkStart w:id="74" w:name="_Toc532044362"/>
      <w:bookmarkStart w:id="75" w:name="_Toc2005257"/>
      <w:r>
        <w:lastRenderedPageBreak/>
        <w:t>Significant events between assessment and reassessment</w:t>
      </w:r>
      <w:bookmarkEnd w:id="73"/>
      <w:bookmarkEnd w:id="74"/>
      <w:bookmarkEnd w:id="75"/>
    </w:p>
    <w:p w14:paraId="50F100DF" w14:textId="50B3CB33" w:rsidR="00BA594A" w:rsidRDefault="00106793" w:rsidP="00383D30">
      <w:pPr>
        <w:pStyle w:val="Normal-nospacing"/>
      </w:pPr>
      <w:r>
        <w:t>Of those who had both a complete initial assessment and a complete reassessment, 775 had data recorded on significant events between the two assessments (typically 4-6 months apart). Residents could have more than one significant event recorded.</w:t>
      </w:r>
      <w:r w:rsidR="003B70C6">
        <w:rPr>
          <w:rStyle w:val="FootnoteReference"/>
        </w:rPr>
        <w:footnoteReference w:id="6"/>
      </w:r>
    </w:p>
    <w:p w14:paraId="66BA0C61" w14:textId="692AD154" w:rsidR="00BA594A" w:rsidRDefault="00106793" w:rsidP="00383D30">
      <w:pPr>
        <w:pStyle w:val="Normal-nospacing"/>
      </w:pPr>
      <w:r>
        <w:t>Of these 775 residents, 94 (12.1%) had one or more significant event</w:t>
      </w:r>
      <w:r w:rsidR="0054196C">
        <w:t xml:space="preserve">s between the two assessments. </w:t>
      </w:r>
      <w:r>
        <w:t xml:space="preserve">The most common of these were a significant fall resulting in a change of care requirements for </w:t>
      </w:r>
      <w:r w:rsidR="00E227E1">
        <w:t>seven</w:t>
      </w:r>
      <w:r>
        <w:t xml:space="preserve"> days or more (32 residents), a hospital admission (28 residents), and an acute illness lasting </w:t>
      </w:r>
      <w:r w:rsidR="00E227E1">
        <w:t>seven</w:t>
      </w:r>
      <w:r w:rsidR="0054196C">
        <w:t xml:space="preserve"> days or more (27 residents). </w:t>
      </w:r>
      <w:r>
        <w:t xml:space="preserve">Six residents participated in a structured </w:t>
      </w:r>
      <w:r w:rsidR="00C0164F">
        <w:t>reablement</w:t>
      </w:r>
      <w:r>
        <w:t xml:space="preserve"> or restorative care program while three had a p</w:t>
      </w:r>
      <w:r w:rsidR="0054196C">
        <w:t>alliative care plan developed.</w:t>
      </w:r>
    </w:p>
    <w:p w14:paraId="37E00C52" w14:textId="38AD5C17" w:rsidR="00106793" w:rsidRDefault="00106793" w:rsidP="00383D30">
      <w:pPr>
        <w:pStyle w:val="Normal-nospacing"/>
      </w:pPr>
      <w:r>
        <w:t xml:space="preserve">The detailed results are presented both as numbers in </w:t>
      </w:r>
      <w:r w:rsidR="00383D30">
        <w:fldChar w:fldCharType="begin"/>
      </w:r>
      <w:r w:rsidR="00383D30">
        <w:instrText xml:space="preserve"> REF _Ref534379643 \h </w:instrText>
      </w:r>
      <w:r w:rsidR="00383D30">
        <w:fldChar w:fldCharType="separate"/>
      </w:r>
      <w:r w:rsidR="008928D6">
        <w:t xml:space="preserve">Table </w:t>
      </w:r>
      <w:r w:rsidR="008928D6">
        <w:rPr>
          <w:noProof/>
        </w:rPr>
        <w:t>2</w:t>
      </w:r>
      <w:r w:rsidR="00383D30">
        <w:fldChar w:fldCharType="end"/>
      </w:r>
      <w:r w:rsidR="00383D30">
        <w:t xml:space="preserve"> </w:t>
      </w:r>
      <w:r>
        <w:t xml:space="preserve">and as percentages in </w:t>
      </w:r>
      <w:r>
        <w:fldChar w:fldCharType="begin"/>
      </w:r>
      <w:r>
        <w:instrText xml:space="preserve"> REF _Ref532227528 \h </w:instrText>
      </w:r>
      <w:r>
        <w:fldChar w:fldCharType="separate"/>
      </w:r>
      <w:r w:rsidR="008928D6">
        <w:t xml:space="preserve">Table </w:t>
      </w:r>
      <w:r w:rsidR="008928D6">
        <w:rPr>
          <w:noProof/>
        </w:rPr>
        <w:t>3</w:t>
      </w:r>
      <w:r>
        <w:fldChar w:fldCharType="end"/>
      </w:r>
      <w:r>
        <w:t xml:space="preserve"> below.</w:t>
      </w:r>
    </w:p>
    <w:p w14:paraId="2945894C" w14:textId="77777777" w:rsidR="00106793" w:rsidRDefault="00106793" w:rsidP="00106793">
      <w:pPr>
        <w:rPr>
          <w:sz w:val="4"/>
          <w:szCs w:val="4"/>
        </w:rPr>
      </w:pPr>
    </w:p>
    <w:p w14:paraId="6BB0E47A" w14:textId="77777777" w:rsidR="00106793" w:rsidRDefault="00106793" w:rsidP="00106793">
      <w:pPr>
        <w:pStyle w:val="Caption"/>
        <w:ind w:left="1440" w:hanging="1440"/>
      </w:pPr>
      <w:bookmarkStart w:id="76" w:name="_Ref534379643"/>
      <w:bookmarkStart w:id="77" w:name="_Toc532293838"/>
      <w:bookmarkStart w:id="78" w:name="_Toc2005279"/>
      <w:r>
        <w:t xml:space="preserve">Table </w:t>
      </w:r>
      <w:r>
        <w:fldChar w:fldCharType="begin"/>
      </w:r>
      <w:r>
        <w:rPr>
          <w:noProof/>
        </w:rPr>
        <w:instrText xml:space="preserve"> SEQ Table \* ARABIC </w:instrText>
      </w:r>
      <w:r>
        <w:fldChar w:fldCharType="separate"/>
      </w:r>
      <w:r w:rsidR="008928D6">
        <w:rPr>
          <w:noProof/>
        </w:rPr>
        <w:t>2</w:t>
      </w:r>
      <w:r>
        <w:fldChar w:fldCharType="end"/>
      </w:r>
      <w:bookmarkEnd w:id="76"/>
      <w:r>
        <w:t xml:space="preserve"> </w:t>
      </w:r>
      <w:r>
        <w:tab/>
        <w:t>Significant events (numbers) by AN-ACC class between assessment and reassessment</w:t>
      </w:r>
      <w:bookmarkEnd w:id="77"/>
      <w:bookmarkEnd w:id="78"/>
    </w:p>
    <w:tbl>
      <w:tblPr>
        <w:tblW w:w="9799" w:type="dxa"/>
        <w:tblInd w:w="93" w:type="dxa"/>
        <w:tblLayout w:type="fixed"/>
        <w:tblLook w:val="04A0" w:firstRow="1" w:lastRow="0" w:firstColumn="1" w:lastColumn="0" w:noHBand="0" w:noVBand="1"/>
        <w:tblDescription w:val="Table 2 lists number of significant events by class between assessment and reassessment. This table is to be read left to right, top to bottom (class number, number of residents who did not experience a significant event, number of residents who experienced more than one significant event, number of palliative care plans developed, number of significant falls, number of residents who participated in reablement or restorative care program, number of residents who experienced acute illness lasting 7 days or more (noted as over 6 days), number of hospital admissions lasting over a day with anaesthetic, number of hospital admissions lasting over 4 days without anaesthetic, number of other significant events, number of residents who were given a first assessment and reassessment, number of deaths)."/>
      </w:tblPr>
      <w:tblGrid>
        <w:gridCol w:w="976"/>
        <w:gridCol w:w="735"/>
        <w:gridCol w:w="735"/>
        <w:gridCol w:w="735"/>
        <w:gridCol w:w="735"/>
        <w:gridCol w:w="736"/>
        <w:gridCol w:w="735"/>
        <w:gridCol w:w="735"/>
        <w:gridCol w:w="735"/>
        <w:gridCol w:w="736"/>
        <w:gridCol w:w="735"/>
        <w:gridCol w:w="735"/>
        <w:gridCol w:w="736"/>
      </w:tblGrid>
      <w:tr w:rsidR="00356D1E" w14:paraId="4146F507" w14:textId="77777777" w:rsidTr="000E19C7">
        <w:trPr>
          <w:cantSplit/>
          <w:trHeight w:val="1656"/>
          <w:tblHeader/>
        </w:trPr>
        <w:tc>
          <w:tcPr>
            <w:tcW w:w="976" w:type="dxa"/>
            <w:tcBorders>
              <w:top w:val="single" w:sz="4" w:space="0" w:color="auto"/>
              <w:left w:val="single" w:sz="4" w:space="0" w:color="auto"/>
              <w:bottom w:val="single" w:sz="4" w:space="0" w:color="auto"/>
              <w:right w:val="single" w:sz="4" w:space="0" w:color="auto"/>
            </w:tcBorders>
            <w:textDirection w:val="btLr"/>
            <w:hideMark/>
          </w:tcPr>
          <w:p w14:paraId="7C39FB2D" w14:textId="480535BC" w:rsidR="00356D1E" w:rsidRPr="000E19C7" w:rsidRDefault="00314EEB" w:rsidP="000E19C7">
            <w:pPr>
              <w:ind w:left="113" w:right="113"/>
              <w:jc w:val="right"/>
              <w:rPr>
                <w:rFonts w:ascii="Arial" w:hAnsi="Arial" w:cs="Arial"/>
                <w:b/>
                <w:color w:val="000000"/>
                <w:sz w:val="14"/>
                <w:szCs w:val="18"/>
              </w:rPr>
            </w:pPr>
            <w:r>
              <w:rPr>
                <w:rFonts w:ascii="Arial" w:hAnsi="Arial" w:cs="Arial"/>
                <w:b/>
                <w:color w:val="000000"/>
                <w:sz w:val="14"/>
                <w:szCs w:val="18"/>
              </w:rPr>
              <w:t>Class number</w:t>
            </w:r>
          </w:p>
        </w:tc>
        <w:tc>
          <w:tcPr>
            <w:tcW w:w="735" w:type="dxa"/>
            <w:tcBorders>
              <w:top w:val="single" w:sz="4" w:space="0" w:color="auto"/>
              <w:left w:val="nil"/>
              <w:bottom w:val="single" w:sz="4" w:space="0" w:color="auto"/>
              <w:right w:val="single" w:sz="4" w:space="0" w:color="auto"/>
            </w:tcBorders>
            <w:textDirection w:val="btLr"/>
            <w:vAlign w:val="bottom"/>
            <w:hideMark/>
          </w:tcPr>
          <w:p w14:paraId="5765EBE7" w14:textId="77777777" w:rsidR="00356D1E" w:rsidRPr="00CE0E10" w:rsidRDefault="00356D1E" w:rsidP="00CE0E10">
            <w:pPr>
              <w:ind w:left="113" w:right="113"/>
              <w:jc w:val="right"/>
              <w:rPr>
                <w:rFonts w:ascii="Arial" w:hAnsi="Arial" w:cs="Arial"/>
                <w:b/>
                <w:color w:val="000000"/>
                <w:sz w:val="14"/>
                <w:szCs w:val="18"/>
              </w:rPr>
            </w:pPr>
            <w:r w:rsidRPr="00CE0E10">
              <w:rPr>
                <w:rFonts w:ascii="Arial" w:hAnsi="Arial" w:cs="Arial"/>
                <w:b/>
                <w:color w:val="000000"/>
                <w:sz w:val="14"/>
                <w:szCs w:val="18"/>
              </w:rPr>
              <w:t>No significant event</w:t>
            </w:r>
          </w:p>
        </w:tc>
        <w:tc>
          <w:tcPr>
            <w:tcW w:w="735" w:type="dxa"/>
            <w:tcBorders>
              <w:top w:val="single" w:sz="4" w:space="0" w:color="auto"/>
              <w:left w:val="nil"/>
              <w:bottom w:val="single" w:sz="4" w:space="0" w:color="auto"/>
              <w:right w:val="single" w:sz="4" w:space="0" w:color="auto"/>
            </w:tcBorders>
            <w:textDirection w:val="btLr"/>
            <w:vAlign w:val="bottom"/>
          </w:tcPr>
          <w:p w14:paraId="715BF469" w14:textId="30908774" w:rsidR="00356D1E" w:rsidRPr="00CE0E10" w:rsidRDefault="00356D1E" w:rsidP="00356D1E">
            <w:pPr>
              <w:ind w:left="113" w:right="113"/>
              <w:jc w:val="right"/>
              <w:rPr>
                <w:rFonts w:ascii="Arial" w:hAnsi="Arial" w:cs="Arial"/>
                <w:b/>
                <w:color w:val="000000"/>
                <w:sz w:val="14"/>
                <w:szCs w:val="18"/>
              </w:rPr>
            </w:pPr>
            <w:r>
              <w:rPr>
                <w:rFonts w:ascii="Arial" w:hAnsi="Arial" w:cs="Arial"/>
                <w:b/>
                <w:color w:val="000000"/>
                <w:sz w:val="14"/>
                <w:szCs w:val="18"/>
              </w:rPr>
              <w:t>More than one significant event</w:t>
            </w:r>
          </w:p>
        </w:tc>
        <w:tc>
          <w:tcPr>
            <w:tcW w:w="735" w:type="dxa"/>
            <w:tcBorders>
              <w:top w:val="single" w:sz="4" w:space="0" w:color="auto"/>
              <w:left w:val="single" w:sz="4" w:space="0" w:color="auto"/>
              <w:bottom w:val="single" w:sz="4" w:space="0" w:color="auto"/>
              <w:right w:val="single" w:sz="4" w:space="0" w:color="auto"/>
            </w:tcBorders>
            <w:textDirection w:val="btLr"/>
            <w:vAlign w:val="bottom"/>
            <w:hideMark/>
          </w:tcPr>
          <w:p w14:paraId="7C17CED0" w14:textId="3110ECDF" w:rsidR="00356D1E" w:rsidRPr="00CE0E10" w:rsidRDefault="00356D1E" w:rsidP="00CE0E10">
            <w:pPr>
              <w:ind w:left="113" w:right="113"/>
              <w:jc w:val="right"/>
              <w:rPr>
                <w:rFonts w:ascii="Arial" w:hAnsi="Arial" w:cs="Arial"/>
                <w:b/>
                <w:color w:val="000000"/>
                <w:sz w:val="14"/>
                <w:szCs w:val="18"/>
              </w:rPr>
            </w:pPr>
            <w:r w:rsidRPr="00CE0E10">
              <w:rPr>
                <w:rFonts w:ascii="Arial" w:hAnsi="Arial" w:cs="Arial"/>
                <w:b/>
                <w:color w:val="000000"/>
                <w:sz w:val="14"/>
                <w:szCs w:val="18"/>
              </w:rPr>
              <w:t>Palliative care plan developed</w:t>
            </w:r>
          </w:p>
        </w:tc>
        <w:tc>
          <w:tcPr>
            <w:tcW w:w="735" w:type="dxa"/>
            <w:tcBorders>
              <w:top w:val="single" w:sz="4" w:space="0" w:color="auto"/>
              <w:left w:val="single" w:sz="4" w:space="0" w:color="auto"/>
              <w:bottom w:val="single" w:sz="4" w:space="0" w:color="auto"/>
              <w:right w:val="single" w:sz="4" w:space="0" w:color="auto"/>
            </w:tcBorders>
            <w:textDirection w:val="btLr"/>
            <w:vAlign w:val="bottom"/>
            <w:hideMark/>
          </w:tcPr>
          <w:p w14:paraId="3865EFDC" w14:textId="40A435F9" w:rsidR="00356D1E" w:rsidRPr="00CE0E10" w:rsidRDefault="00356D1E" w:rsidP="00CE0E10">
            <w:pPr>
              <w:ind w:left="113" w:right="113"/>
              <w:jc w:val="right"/>
              <w:rPr>
                <w:rFonts w:ascii="Arial" w:hAnsi="Arial" w:cs="Arial"/>
                <w:b/>
                <w:color w:val="000000"/>
                <w:sz w:val="14"/>
                <w:szCs w:val="18"/>
              </w:rPr>
            </w:pPr>
            <w:r w:rsidRPr="00CE0E10">
              <w:rPr>
                <w:rFonts w:ascii="Arial" w:hAnsi="Arial" w:cs="Arial"/>
                <w:b/>
                <w:color w:val="000000"/>
                <w:sz w:val="14"/>
                <w:szCs w:val="18"/>
              </w:rPr>
              <w:t>Significant fall</w:t>
            </w:r>
          </w:p>
        </w:tc>
        <w:tc>
          <w:tcPr>
            <w:tcW w:w="736" w:type="dxa"/>
            <w:tcBorders>
              <w:top w:val="single" w:sz="4" w:space="0" w:color="auto"/>
              <w:left w:val="nil"/>
              <w:bottom w:val="single" w:sz="4" w:space="0" w:color="auto"/>
              <w:right w:val="single" w:sz="4" w:space="0" w:color="auto"/>
            </w:tcBorders>
            <w:textDirection w:val="btLr"/>
            <w:vAlign w:val="bottom"/>
            <w:hideMark/>
          </w:tcPr>
          <w:p w14:paraId="39AF8CC9" w14:textId="1F79D91E" w:rsidR="00356D1E" w:rsidRPr="00CE0E10" w:rsidRDefault="00356D1E" w:rsidP="00CE0E10">
            <w:pPr>
              <w:ind w:left="113" w:right="113"/>
              <w:jc w:val="right"/>
              <w:rPr>
                <w:rFonts w:ascii="Arial" w:hAnsi="Arial" w:cs="Arial"/>
                <w:b/>
                <w:color w:val="000000"/>
                <w:sz w:val="14"/>
                <w:szCs w:val="18"/>
              </w:rPr>
            </w:pPr>
            <w:r w:rsidRPr="00CE0E10">
              <w:rPr>
                <w:rFonts w:ascii="Arial" w:hAnsi="Arial" w:cs="Arial"/>
                <w:b/>
                <w:color w:val="000000"/>
                <w:sz w:val="14"/>
                <w:szCs w:val="18"/>
              </w:rPr>
              <w:t>Reablement or restorative care</w:t>
            </w:r>
          </w:p>
        </w:tc>
        <w:tc>
          <w:tcPr>
            <w:tcW w:w="735" w:type="dxa"/>
            <w:tcBorders>
              <w:top w:val="single" w:sz="4" w:space="0" w:color="auto"/>
              <w:left w:val="nil"/>
              <w:bottom w:val="single" w:sz="4" w:space="0" w:color="auto"/>
              <w:right w:val="single" w:sz="4" w:space="0" w:color="auto"/>
            </w:tcBorders>
            <w:textDirection w:val="btLr"/>
            <w:vAlign w:val="bottom"/>
            <w:hideMark/>
          </w:tcPr>
          <w:p w14:paraId="1EB8C7E6" w14:textId="77777777" w:rsidR="00356D1E" w:rsidRPr="00CE0E10" w:rsidRDefault="00356D1E" w:rsidP="00CE0E10">
            <w:pPr>
              <w:ind w:left="113" w:right="113"/>
              <w:jc w:val="right"/>
              <w:rPr>
                <w:rFonts w:ascii="Arial" w:hAnsi="Arial" w:cs="Arial"/>
                <w:b/>
                <w:color w:val="000000"/>
                <w:sz w:val="14"/>
                <w:szCs w:val="18"/>
              </w:rPr>
            </w:pPr>
            <w:r w:rsidRPr="00CE0E10">
              <w:rPr>
                <w:rFonts w:ascii="Arial" w:hAnsi="Arial" w:cs="Arial"/>
                <w:b/>
                <w:color w:val="000000"/>
                <w:sz w:val="14"/>
                <w:szCs w:val="18"/>
              </w:rPr>
              <w:t>Acute illness &gt;6 days</w:t>
            </w:r>
          </w:p>
        </w:tc>
        <w:tc>
          <w:tcPr>
            <w:tcW w:w="735" w:type="dxa"/>
            <w:tcBorders>
              <w:top w:val="single" w:sz="4" w:space="0" w:color="auto"/>
              <w:left w:val="nil"/>
              <w:bottom w:val="single" w:sz="4" w:space="0" w:color="auto"/>
              <w:right w:val="single" w:sz="4" w:space="0" w:color="auto"/>
            </w:tcBorders>
            <w:textDirection w:val="btLr"/>
            <w:vAlign w:val="bottom"/>
            <w:hideMark/>
          </w:tcPr>
          <w:p w14:paraId="31D983F8" w14:textId="77777777" w:rsidR="00356D1E" w:rsidRPr="00CE0E10" w:rsidRDefault="00356D1E" w:rsidP="00CE0E10">
            <w:pPr>
              <w:ind w:left="113" w:right="113"/>
              <w:jc w:val="right"/>
              <w:rPr>
                <w:rFonts w:ascii="Arial" w:hAnsi="Arial" w:cs="Arial"/>
                <w:b/>
                <w:color w:val="000000"/>
                <w:sz w:val="14"/>
                <w:szCs w:val="18"/>
              </w:rPr>
            </w:pPr>
            <w:r w:rsidRPr="00CE0E10">
              <w:rPr>
                <w:rFonts w:ascii="Arial" w:hAnsi="Arial" w:cs="Arial"/>
                <w:b/>
                <w:color w:val="000000"/>
                <w:sz w:val="14"/>
                <w:szCs w:val="18"/>
              </w:rPr>
              <w:t>Hospital admission &gt;1 day with anaesthetic</w:t>
            </w:r>
          </w:p>
        </w:tc>
        <w:tc>
          <w:tcPr>
            <w:tcW w:w="735" w:type="dxa"/>
            <w:tcBorders>
              <w:top w:val="single" w:sz="4" w:space="0" w:color="auto"/>
              <w:left w:val="nil"/>
              <w:bottom w:val="single" w:sz="4" w:space="0" w:color="auto"/>
              <w:right w:val="single" w:sz="4" w:space="0" w:color="auto"/>
            </w:tcBorders>
            <w:textDirection w:val="btLr"/>
            <w:vAlign w:val="bottom"/>
            <w:hideMark/>
          </w:tcPr>
          <w:p w14:paraId="00A88A87" w14:textId="60F75C88" w:rsidR="00356D1E" w:rsidRPr="00CE0E10" w:rsidRDefault="00356D1E" w:rsidP="000A22F1">
            <w:pPr>
              <w:ind w:left="113" w:right="113"/>
              <w:jc w:val="right"/>
              <w:rPr>
                <w:rFonts w:ascii="Arial" w:hAnsi="Arial" w:cs="Arial"/>
                <w:b/>
                <w:color w:val="000000"/>
                <w:sz w:val="14"/>
                <w:szCs w:val="18"/>
              </w:rPr>
            </w:pPr>
            <w:r w:rsidRPr="00CE0E10">
              <w:rPr>
                <w:rFonts w:ascii="Arial" w:hAnsi="Arial" w:cs="Arial"/>
                <w:b/>
                <w:color w:val="000000"/>
                <w:sz w:val="14"/>
                <w:szCs w:val="18"/>
              </w:rPr>
              <w:t>Hospital admission &gt;4 days without anaesthetic</w:t>
            </w:r>
          </w:p>
        </w:tc>
        <w:tc>
          <w:tcPr>
            <w:tcW w:w="736" w:type="dxa"/>
            <w:tcBorders>
              <w:top w:val="single" w:sz="4" w:space="0" w:color="auto"/>
              <w:left w:val="nil"/>
              <w:bottom w:val="single" w:sz="4" w:space="0" w:color="auto"/>
              <w:right w:val="single" w:sz="4" w:space="0" w:color="auto"/>
            </w:tcBorders>
            <w:textDirection w:val="btLr"/>
            <w:vAlign w:val="bottom"/>
            <w:hideMark/>
          </w:tcPr>
          <w:p w14:paraId="5CD710D1" w14:textId="77777777" w:rsidR="00356D1E" w:rsidRPr="00CE0E10" w:rsidRDefault="00356D1E" w:rsidP="00CE0E10">
            <w:pPr>
              <w:ind w:left="113" w:right="113"/>
              <w:jc w:val="right"/>
              <w:rPr>
                <w:rFonts w:ascii="Arial" w:hAnsi="Arial" w:cs="Arial"/>
                <w:b/>
                <w:color w:val="000000"/>
                <w:sz w:val="14"/>
                <w:szCs w:val="18"/>
              </w:rPr>
            </w:pPr>
            <w:r w:rsidRPr="00CE0E10">
              <w:rPr>
                <w:rFonts w:ascii="Arial" w:hAnsi="Arial" w:cs="Arial"/>
                <w:b/>
                <w:color w:val="000000"/>
                <w:sz w:val="14"/>
                <w:szCs w:val="18"/>
              </w:rPr>
              <w:t>Other significant events</w:t>
            </w:r>
          </w:p>
        </w:tc>
        <w:tc>
          <w:tcPr>
            <w:tcW w:w="735" w:type="dxa"/>
            <w:tcBorders>
              <w:top w:val="single" w:sz="4" w:space="0" w:color="auto"/>
              <w:left w:val="nil"/>
              <w:bottom w:val="single" w:sz="4" w:space="0" w:color="auto"/>
              <w:right w:val="single" w:sz="4" w:space="0" w:color="auto"/>
            </w:tcBorders>
            <w:textDirection w:val="btLr"/>
            <w:vAlign w:val="bottom"/>
            <w:hideMark/>
          </w:tcPr>
          <w:p w14:paraId="41AD0F79" w14:textId="77777777" w:rsidR="00356D1E" w:rsidRPr="00CE0E10" w:rsidRDefault="00356D1E" w:rsidP="00CE0E10">
            <w:pPr>
              <w:ind w:left="113" w:right="113"/>
              <w:jc w:val="right"/>
              <w:rPr>
                <w:rFonts w:ascii="Arial" w:hAnsi="Arial" w:cs="Arial"/>
                <w:b/>
                <w:color w:val="000000"/>
                <w:sz w:val="14"/>
                <w:szCs w:val="18"/>
              </w:rPr>
            </w:pPr>
            <w:r w:rsidRPr="00CE0E10">
              <w:rPr>
                <w:rFonts w:ascii="Arial" w:hAnsi="Arial" w:cs="Arial"/>
                <w:b/>
                <w:color w:val="000000"/>
                <w:sz w:val="14"/>
                <w:szCs w:val="18"/>
              </w:rPr>
              <w:t>Residents with significant events (excl.death)</w:t>
            </w:r>
          </w:p>
        </w:tc>
        <w:tc>
          <w:tcPr>
            <w:tcW w:w="735" w:type="dxa"/>
            <w:tcBorders>
              <w:top w:val="single" w:sz="4" w:space="0" w:color="auto"/>
              <w:left w:val="nil"/>
              <w:bottom w:val="single" w:sz="4" w:space="0" w:color="auto"/>
              <w:right w:val="single" w:sz="4" w:space="0" w:color="auto"/>
            </w:tcBorders>
            <w:textDirection w:val="btLr"/>
            <w:vAlign w:val="bottom"/>
            <w:hideMark/>
          </w:tcPr>
          <w:p w14:paraId="27376954" w14:textId="77777777" w:rsidR="00356D1E" w:rsidRPr="00CE0E10" w:rsidRDefault="00356D1E" w:rsidP="00CE0E10">
            <w:pPr>
              <w:ind w:left="113" w:right="113"/>
              <w:jc w:val="right"/>
              <w:rPr>
                <w:rFonts w:ascii="Arial" w:hAnsi="Arial" w:cs="Arial"/>
                <w:b/>
                <w:color w:val="000000"/>
                <w:sz w:val="14"/>
                <w:szCs w:val="18"/>
              </w:rPr>
            </w:pPr>
            <w:r w:rsidRPr="00CE0E10">
              <w:rPr>
                <w:rFonts w:ascii="Arial" w:hAnsi="Arial" w:cs="Arial"/>
                <w:b/>
                <w:color w:val="000000"/>
                <w:sz w:val="14"/>
                <w:szCs w:val="18"/>
              </w:rPr>
              <w:t>Number of residents with assessment &amp; reassessment</w:t>
            </w:r>
          </w:p>
        </w:tc>
        <w:tc>
          <w:tcPr>
            <w:tcW w:w="736" w:type="dxa"/>
            <w:tcBorders>
              <w:top w:val="single" w:sz="4" w:space="0" w:color="auto"/>
              <w:left w:val="single" w:sz="4" w:space="0" w:color="auto"/>
              <w:bottom w:val="single" w:sz="4" w:space="0" w:color="auto"/>
              <w:right w:val="single" w:sz="4" w:space="0" w:color="auto"/>
            </w:tcBorders>
            <w:textDirection w:val="btLr"/>
            <w:hideMark/>
          </w:tcPr>
          <w:p w14:paraId="13D0833A" w14:textId="77777777" w:rsidR="00356D1E" w:rsidRPr="00CE0E10" w:rsidRDefault="00356D1E" w:rsidP="00CE0E10">
            <w:pPr>
              <w:ind w:left="113" w:right="113"/>
              <w:jc w:val="right"/>
              <w:rPr>
                <w:rFonts w:ascii="Arial" w:hAnsi="Arial" w:cs="Arial"/>
                <w:b/>
                <w:color w:val="000000"/>
                <w:sz w:val="14"/>
                <w:szCs w:val="18"/>
              </w:rPr>
            </w:pPr>
            <w:r w:rsidRPr="00CE0E10">
              <w:rPr>
                <w:rFonts w:ascii="Arial" w:hAnsi="Arial" w:cs="Arial"/>
                <w:b/>
                <w:color w:val="000000"/>
                <w:sz w:val="14"/>
                <w:szCs w:val="18"/>
              </w:rPr>
              <w:t>Deaths</w:t>
            </w:r>
          </w:p>
        </w:tc>
      </w:tr>
      <w:tr w:rsidR="00356D1E" w14:paraId="0F968A54" w14:textId="77777777" w:rsidTr="004041E8">
        <w:trPr>
          <w:trHeight w:val="306"/>
        </w:trPr>
        <w:tc>
          <w:tcPr>
            <w:tcW w:w="976" w:type="dxa"/>
            <w:tcBorders>
              <w:top w:val="nil"/>
              <w:left w:val="single" w:sz="4" w:space="0" w:color="auto"/>
              <w:bottom w:val="single" w:sz="4" w:space="0" w:color="auto"/>
              <w:right w:val="single" w:sz="4" w:space="0" w:color="auto"/>
            </w:tcBorders>
            <w:hideMark/>
          </w:tcPr>
          <w:p w14:paraId="5A32E6C8" w14:textId="4516363B" w:rsidR="00356D1E" w:rsidRDefault="00356D1E">
            <w:pPr>
              <w:pStyle w:val="Tableformat"/>
              <w:rPr>
                <w:lang w:val="en-AU"/>
              </w:rPr>
            </w:pPr>
            <w:r>
              <w:rPr>
                <w:lang w:val="en-AU"/>
              </w:rPr>
              <w:t>Class 2</w:t>
            </w:r>
          </w:p>
        </w:tc>
        <w:tc>
          <w:tcPr>
            <w:tcW w:w="735" w:type="dxa"/>
            <w:tcBorders>
              <w:top w:val="nil"/>
              <w:left w:val="nil"/>
              <w:bottom w:val="single" w:sz="4" w:space="0" w:color="auto"/>
              <w:right w:val="single" w:sz="4" w:space="0" w:color="auto"/>
            </w:tcBorders>
            <w:hideMark/>
          </w:tcPr>
          <w:p w14:paraId="6DCC6D4E" w14:textId="77777777" w:rsidR="00356D1E" w:rsidRDefault="00356D1E">
            <w:pPr>
              <w:pStyle w:val="Tableformat"/>
              <w:jc w:val="right"/>
              <w:rPr>
                <w:lang w:val="en-AU"/>
              </w:rPr>
            </w:pPr>
            <w:r>
              <w:rPr>
                <w:lang w:val="en-AU"/>
              </w:rPr>
              <w:t>93</w:t>
            </w:r>
          </w:p>
        </w:tc>
        <w:tc>
          <w:tcPr>
            <w:tcW w:w="735" w:type="dxa"/>
            <w:tcBorders>
              <w:top w:val="single" w:sz="4" w:space="0" w:color="auto"/>
              <w:left w:val="nil"/>
              <w:bottom w:val="single" w:sz="4" w:space="0" w:color="auto"/>
              <w:right w:val="single" w:sz="4" w:space="0" w:color="auto"/>
            </w:tcBorders>
          </w:tcPr>
          <w:p w14:paraId="26AF8031" w14:textId="4CE41E38" w:rsidR="00356D1E" w:rsidRDefault="00356D1E">
            <w:pPr>
              <w:pStyle w:val="Tableformat"/>
              <w:jc w:val="right"/>
              <w:rPr>
                <w:lang w:val="en-AU"/>
              </w:rPr>
            </w:pPr>
            <w:r w:rsidRPr="00B053DB">
              <w:t>1</w:t>
            </w:r>
          </w:p>
        </w:tc>
        <w:tc>
          <w:tcPr>
            <w:tcW w:w="735" w:type="dxa"/>
            <w:tcBorders>
              <w:top w:val="nil"/>
              <w:left w:val="single" w:sz="4" w:space="0" w:color="auto"/>
              <w:bottom w:val="single" w:sz="4" w:space="0" w:color="auto"/>
              <w:right w:val="single" w:sz="4" w:space="0" w:color="auto"/>
            </w:tcBorders>
            <w:hideMark/>
          </w:tcPr>
          <w:p w14:paraId="568A43B1" w14:textId="6FBC5255" w:rsidR="00356D1E" w:rsidRDefault="00356D1E">
            <w:pPr>
              <w:pStyle w:val="Tableformat"/>
              <w:jc w:val="right"/>
              <w:rPr>
                <w:lang w:val="en-AU"/>
              </w:rPr>
            </w:pPr>
            <w:r>
              <w:rPr>
                <w:lang w:val="en-AU"/>
              </w:rPr>
              <w:t>0</w:t>
            </w:r>
          </w:p>
        </w:tc>
        <w:tc>
          <w:tcPr>
            <w:tcW w:w="735" w:type="dxa"/>
            <w:tcBorders>
              <w:top w:val="nil"/>
              <w:left w:val="single" w:sz="4" w:space="0" w:color="auto"/>
              <w:bottom w:val="single" w:sz="4" w:space="0" w:color="auto"/>
              <w:right w:val="single" w:sz="4" w:space="0" w:color="auto"/>
            </w:tcBorders>
            <w:hideMark/>
          </w:tcPr>
          <w:p w14:paraId="1153CEF8" w14:textId="72BC3563" w:rsidR="00356D1E" w:rsidRDefault="00356D1E">
            <w:pPr>
              <w:pStyle w:val="Tableformat"/>
              <w:jc w:val="right"/>
              <w:rPr>
                <w:lang w:val="en-AU"/>
              </w:rPr>
            </w:pPr>
            <w:r>
              <w:rPr>
                <w:lang w:val="en-AU"/>
              </w:rPr>
              <w:t>2</w:t>
            </w:r>
          </w:p>
        </w:tc>
        <w:tc>
          <w:tcPr>
            <w:tcW w:w="736" w:type="dxa"/>
            <w:tcBorders>
              <w:top w:val="nil"/>
              <w:left w:val="nil"/>
              <w:bottom w:val="single" w:sz="4" w:space="0" w:color="auto"/>
              <w:right w:val="single" w:sz="4" w:space="0" w:color="auto"/>
            </w:tcBorders>
            <w:hideMark/>
          </w:tcPr>
          <w:p w14:paraId="5737C8A0" w14:textId="77777777" w:rsidR="00356D1E" w:rsidRDefault="00356D1E">
            <w:pPr>
              <w:pStyle w:val="Tableformat"/>
              <w:jc w:val="right"/>
              <w:rPr>
                <w:lang w:val="en-AU"/>
              </w:rPr>
            </w:pPr>
            <w:r>
              <w:rPr>
                <w:lang w:val="en-AU"/>
              </w:rPr>
              <w:t>1</w:t>
            </w:r>
          </w:p>
        </w:tc>
        <w:tc>
          <w:tcPr>
            <w:tcW w:w="735" w:type="dxa"/>
            <w:tcBorders>
              <w:top w:val="nil"/>
              <w:left w:val="nil"/>
              <w:bottom w:val="single" w:sz="4" w:space="0" w:color="auto"/>
              <w:right w:val="single" w:sz="4" w:space="0" w:color="auto"/>
            </w:tcBorders>
            <w:hideMark/>
          </w:tcPr>
          <w:p w14:paraId="12187560" w14:textId="77777777" w:rsidR="00356D1E" w:rsidRDefault="00356D1E">
            <w:pPr>
              <w:pStyle w:val="Tableformat"/>
              <w:jc w:val="right"/>
              <w:rPr>
                <w:lang w:val="en-AU"/>
              </w:rPr>
            </w:pPr>
            <w:r>
              <w:t>2</w:t>
            </w:r>
          </w:p>
        </w:tc>
        <w:tc>
          <w:tcPr>
            <w:tcW w:w="735" w:type="dxa"/>
            <w:tcBorders>
              <w:top w:val="nil"/>
              <w:left w:val="nil"/>
              <w:bottom w:val="single" w:sz="4" w:space="0" w:color="auto"/>
              <w:right w:val="single" w:sz="4" w:space="0" w:color="auto"/>
            </w:tcBorders>
            <w:hideMark/>
          </w:tcPr>
          <w:p w14:paraId="4F5B8FC8" w14:textId="77777777" w:rsidR="00356D1E" w:rsidRDefault="00356D1E">
            <w:pPr>
              <w:pStyle w:val="Tableformat"/>
              <w:jc w:val="right"/>
              <w:rPr>
                <w:lang w:val="en-AU"/>
              </w:rPr>
            </w:pPr>
            <w:r>
              <w:rPr>
                <w:lang w:val="en-AU"/>
              </w:rPr>
              <w:t>3</w:t>
            </w:r>
          </w:p>
        </w:tc>
        <w:tc>
          <w:tcPr>
            <w:tcW w:w="735" w:type="dxa"/>
            <w:tcBorders>
              <w:top w:val="nil"/>
              <w:left w:val="nil"/>
              <w:bottom w:val="single" w:sz="4" w:space="0" w:color="auto"/>
              <w:right w:val="single" w:sz="4" w:space="0" w:color="auto"/>
            </w:tcBorders>
            <w:hideMark/>
          </w:tcPr>
          <w:p w14:paraId="06A7D66F" w14:textId="77777777" w:rsidR="00356D1E" w:rsidRDefault="00356D1E">
            <w:pPr>
              <w:pStyle w:val="Tableformat"/>
              <w:jc w:val="right"/>
              <w:rPr>
                <w:lang w:val="en-AU"/>
              </w:rPr>
            </w:pPr>
            <w:r>
              <w:rPr>
                <w:lang w:val="en-AU"/>
              </w:rPr>
              <w:t>4</w:t>
            </w:r>
          </w:p>
        </w:tc>
        <w:tc>
          <w:tcPr>
            <w:tcW w:w="736" w:type="dxa"/>
            <w:tcBorders>
              <w:top w:val="nil"/>
              <w:left w:val="nil"/>
              <w:bottom w:val="single" w:sz="4" w:space="0" w:color="auto"/>
              <w:right w:val="single" w:sz="4" w:space="0" w:color="auto"/>
            </w:tcBorders>
            <w:hideMark/>
          </w:tcPr>
          <w:p w14:paraId="6FDA0D94" w14:textId="77777777" w:rsidR="00356D1E" w:rsidRDefault="00356D1E">
            <w:pPr>
              <w:pStyle w:val="Tableformat"/>
              <w:jc w:val="right"/>
              <w:rPr>
                <w:lang w:val="en-AU"/>
              </w:rPr>
            </w:pPr>
            <w:r>
              <w:rPr>
                <w:lang w:val="en-AU"/>
              </w:rPr>
              <w:t>0</w:t>
            </w:r>
          </w:p>
        </w:tc>
        <w:tc>
          <w:tcPr>
            <w:tcW w:w="735" w:type="dxa"/>
            <w:tcBorders>
              <w:top w:val="nil"/>
              <w:left w:val="nil"/>
              <w:bottom w:val="single" w:sz="4" w:space="0" w:color="auto"/>
              <w:right w:val="single" w:sz="4" w:space="0" w:color="auto"/>
            </w:tcBorders>
            <w:hideMark/>
          </w:tcPr>
          <w:p w14:paraId="1B47DBE2" w14:textId="77777777" w:rsidR="00356D1E" w:rsidRDefault="00356D1E">
            <w:pPr>
              <w:pStyle w:val="Tableformat"/>
              <w:jc w:val="right"/>
              <w:rPr>
                <w:lang w:val="en-AU"/>
              </w:rPr>
            </w:pPr>
            <w:r>
              <w:rPr>
                <w:lang w:val="en-AU"/>
              </w:rPr>
              <w:t>11</w:t>
            </w:r>
          </w:p>
        </w:tc>
        <w:tc>
          <w:tcPr>
            <w:tcW w:w="735" w:type="dxa"/>
            <w:tcBorders>
              <w:top w:val="single" w:sz="4" w:space="0" w:color="auto"/>
              <w:left w:val="nil"/>
              <w:bottom w:val="single" w:sz="4" w:space="0" w:color="auto"/>
              <w:right w:val="single" w:sz="4" w:space="0" w:color="auto"/>
            </w:tcBorders>
            <w:hideMark/>
          </w:tcPr>
          <w:p w14:paraId="2ECB1CFB" w14:textId="77777777" w:rsidR="00356D1E" w:rsidRDefault="00356D1E">
            <w:pPr>
              <w:pStyle w:val="Tableformat"/>
              <w:jc w:val="right"/>
              <w:rPr>
                <w:lang w:val="en-AU"/>
              </w:rPr>
            </w:pPr>
            <w:r>
              <w:rPr>
                <w:lang w:val="en-AU"/>
              </w:rPr>
              <w:t>104</w:t>
            </w:r>
          </w:p>
        </w:tc>
        <w:tc>
          <w:tcPr>
            <w:tcW w:w="736" w:type="dxa"/>
            <w:tcBorders>
              <w:top w:val="single" w:sz="4" w:space="0" w:color="auto"/>
              <w:left w:val="single" w:sz="4" w:space="0" w:color="auto"/>
              <w:bottom w:val="single" w:sz="4" w:space="0" w:color="auto"/>
              <w:right w:val="single" w:sz="4" w:space="0" w:color="auto"/>
            </w:tcBorders>
            <w:hideMark/>
          </w:tcPr>
          <w:p w14:paraId="4123A5A5" w14:textId="77777777" w:rsidR="00356D1E" w:rsidRDefault="00356D1E">
            <w:pPr>
              <w:pStyle w:val="Tableformat"/>
              <w:jc w:val="right"/>
              <w:rPr>
                <w:lang w:val="en-AU"/>
              </w:rPr>
            </w:pPr>
            <w:r>
              <w:t>7</w:t>
            </w:r>
          </w:p>
        </w:tc>
      </w:tr>
      <w:tr w:rsidR="00356D1E" w14:paraId="087119D1" w14:textId="77777777" w:rsidTr="004041E8">
        <w:trPr>
          <w:trHeight w:val="306"/>
        </w:trPr>
        <w:tc>
          <w:tcPr>
            <w:tcW w:w="976" w:type="dxa"/>
            <w:tcBorders>
              <w:top w:val="nil"/>
              <w:left w:val="single" w:sz="4" w:space="0" w:color="auto"/>
              <w:bottom w:val="single" w:sz="4" w:space="0" w:color="auto"/>
              <w:right w:val="single" w:sz="4" w:space="0" w:color="auto"/>
            </w:tcBorders>
            <w:hideMark/>
          </w:tcPr>
          <w:p w14:paraId="1D4574C3" w14:textId="15E3C0C1" w:rsidR="00356D1E" w:rsidRDefault="00356D1E">
            <w:pPr>
              <w:pStyle w:val="Tableformat"/>
              <w:rPr>
                <w:lang w:val="en-AU"/>
              </w:rPr>
            </w:pPr>
            <w:r>
              <w:rPr>
                <w:lang w:val="en-AU"/>
              </w:rPr>
              <w:t>Class 3</w:t>
            </w:r>
          </w:p>
        </w:tc>
        <w:tc>
          <w:tcPr>
            <w:tcW w:w="735" w:type="dxa"/>
            <w:tcBorders>
              <w:top w:val="nil"/>
              <w:left w:val="nil"/>
              <w:bottom w:val="single" w:sz="4" w:space="0" w:color="auto"/>
              <w:right w:val="single" w:sz="4" w:space="0" w:color="auto"/>
            </w:tcBorders>
            <w:hideMark/>
          </w:tcPr>
          <w:p w14:paraId="0C9D11D1" w14:textId="77777777" w:rsidR="00356D1E" w:rsidRDefault="00356D1E">
            <w:pPr>
              <w:pStyle w:val="Tableformat"/>
              <w:jc w:val="right"/>
              <w:rPr>
                <w:lang w:val="en-AU"/>
              </w:rPr>
            </w:pPr>
            <w:r>
              <w:rPr>
                <w:lang w:val="en-AU"/>
              </w:rPr>
              <w:t>38</w:t>
            </w:r>
          </w:p>
        </w:tc>
        <w:tc>
          <w:tcPr>
            <w:tcW w:w="735" w:type="dxa"/>
            <w:tcBorders>
              <w:top w:val="single" w:sz="4" w:space="0" w:color="auto"/>
              <w:left w:val="nil"/>
              <w:bottom w:val="single" w:sz="4" w:space="0" w:color="auto"/>
              <w:right w:val="single" w:sz="4" w:space="0" w:color="auto"/>
            </w:tcBorders>
          </w:tcPr>
          <w:p w14:paraId="5CBFEF4A" w14:textId="66682561" w:rsidR="00356D1E" w:rsidRDefault="00356D1E">
            <w:pPr>
              <w:pStyle w:val="Tableformat"/>
              <w:jc w:val="right"/>
              <w:rPr>
                <w:lang w:val="en-AU"/>
              </w:rPr>
            </w:pPr>
            <w:r w:rsidRPr="00B053DB">
              <w:t>1</w:t>
            </w:r>
          </w:p>
        </w:tc>
        <w:tc>
          <w:tcPr>
            <w:tcW w:w="735" w:type="dxa"/>
            <w:tcBorders>
              <w:top w:val="nil"/>
              <w:left w:val="single" w:sz="4" w:space="0" w:color="auto"/>
              <w:bottom w:val="single" w:sz="4" w:space="0" w:color="auto"/>
              <w:right w:val="single" w:sz="4" w:space="0" w:color="auto"/>
            </w:tcBorders>
            <w:hideMark/>
          </w:tcPr>
          <w:p w14:paraId="00C14284" w14:textId="35D58E46" w:rsidR="00356D1E" w:rsidRDefault="00356D1E">
            <w:pPr>
              <w:pStyle w:val="Tableformat"/>
              <w:jc w:val="right"/>
              <w:rPr>
                <w:lang w:val="en-AU"/>
              </w:rPr>
            </w:pPr>
            <w:r>
              <w:rPr>
                <w:lang w:val="en-AU"/>
              </w:rPr>
              <w:t>0</w:t>
            </w:r>
          </w:p>
        </w:tc>
        <w:tc>
          <w:tcPr>
            <w:tcW w:w="735" w:type="dxa"/>
            <w:tcBorders>
              <w:top w:val="nil"/>
              <w:left w:val="single" w:sz="4" w:space="0" w:color="auto"/>
              <w:bottom w:val="single" w:sz="4" w:space="0" w:color="auto"/>
              <w:right w:val="single" w:sz="4" w:space="0" w:color="auto"/>
            </w:tcBorders>
            <w:hideMark/>
          </w:tcPr>
          <w:p w14:paraId="11216F4A" w14:textId="26EF3FFF" w:rsidR="00356D1E" w:rsidRDefault="00356D1E">
            <w:pPr>
              <w:pStyle w:val="Tableformat"/>
              <w:jc w:val="right"/>
              <w:rPr>
                <w:lang w:val="en-AU"/>
              </w:rPr>
            </w:pPr>
            <w:r>
              <w:rPr>
                <w:lang w:val="en-AU"/>
              </w:rPr>
              <w:t>3</w:t>
            </w:r>
          </w:p>
        </w:tc>
        <w:tc>
          <w:tcPr>
            <w:tcW w:w="736" w:type="dxa"/>
            <w:tcBorders>
              <w:top w:val="nil"/>
              <w:left w:val="nil"/>
              <w:bottom w:val="single" w:sz="4" w:space="0" w:color="auto"/>
              <w:right w:val="single" w:sz="4" w:space="0" w:color="auto"/>
            </w:tcBorders>
            <w:hideMark/>
          </w:tcPr>
          <w:p w14:paraId="4AB7193D" w14:textId="77777777" w:rsidR="00356D1E" w:rsidRDefault="00356D1E">
            <w:pPr>
              <w:pStyle w:val="Tableformat"/>
              <w:jc w:val="right"/>
              <w:rPr>
                <w:lang w:val="en-AU"/>
              </w:rPr>
            </w:pPr>
            <w:r>
              <w:rPr>
                <w:lang w:val="en-AU"/>
              </w:rPr>
              <w:t>1</w:t>
            </w:r>
          </w:p>
        </w:tc>
        <w:tc>
          <w:tcPr>
            <w:tcW w:w="735" w:type="dxa"/>
            <w:tcBorders>
              <w:top w:val="nil"/>
              <w:left w:val="nil"/>
              <w:bottom w:val="single" w:sz="4" w:space="0" w:color="auto"/>
              <w:right w:val="single" w:sz="4" w:space="0" w:color="auto"/>
            </w:tcBorders>
            <w:hideMark/>
          </w:tcPr>
          <w:p w14:paraId="6D5016B5" w14:textId="77777777" w:rsidR="00356D1E" w:rsidRDefault="00356D1E">
            <w:pPr>
              <w:pStyle w:val="Tableformat"/>
              <w:jc w:val="right"/>
              <w:rPr>
                <w:lang w:val="en-AU"/>
              </w:rPr>
            </w:pPr>
            <w:r>
              <w:t>0</w:t>
            </w:r>
          </w:p>
        </w:tc>
        <w:tc>
          <w:tcPr>
            <w:tcW w:w="735" w:type="dxa"/>
            <w:tcBorders>
              <w:top w:val="nil"/>
              <w:left w:val="nil"/>
              <w:bottom w:val="single" w:sz="4" w:space="0" w:color="auto"/>
              <w:right w:val="single" w:sz="4" w:space="0" w:color="auto"/>
            </w:tcBorders>
            <w:hideMark/>
          </w:tcPr>
          <w:p w14:paraId="3484024F" w14:textId="77777777" w:rsidR="00356D1E" w:rsidRDefault="00356D1E">
            <w:pPr>
              <w:jc w:val="right"/>
              <w:rPr>
                <w:rFonts w:eastAsiaTheme="minorEastAsia" w:cstheme="minorBidi"/>
                <w:sz w:val="20"/>
                <w:szCs w:val="20"/>
                <w:lang w:eastAsia="ja-JP"/>
              </w:rPr>
            </w:pPr>
            <w:r>
              <w:rPr>
                <w:rFonts w:eastAsiaTheme="minorEastAsia" w:cstheme="minorBidi"/>
                <w:sz w:val="20"/>
                <w:szCs w:val="20"/>
                <w:lang w:eastAsia="ja-JP"/>
              </w:rPr>
              <w:t>0</w:t>
            </w:r>
          </w:p>
        </w:tc>
        <w:tc>
          <w:tcPr>
            <w:tcW w:w="735" w:type="dxa"/>
            <w:tcBorders>
              <w:top w:val="nil"/>
              <w:left w:val="nil"/>
              <w:bottom w:val="single" w:sz="4" w:space="0" w:color="auto"/>
              <w:right w:val="single" w:sz="4" w:space="0" w:color="auto"/>
            </w:tcBorders>
            <w:hideMark/>
          </w:tcPr>
          <w:p w14:paraId="47596166" w14:textId="77777777" w:rsidR="00356D1E" w:rsidRDefault="00356D1E">
            <w:pPr>
              <w:jc w:val="right"/>
              <w:rPr>
                <w:rFonts w:eastAsiaTheme="minorEastAsia" w:cstheme="minorBidi"/>
                <w:sz w:val="20"/>
                <w:szCs w:val="20"/>
                <w:lang w:eastAsia="ja-JP"/>
              </w:rPr>
            </w:pPr>
            <w:r>
              <w:rPr>
                <w:rFonts w:eastAsiaTheme="minorEastAsia" w:cstheme="minorBidi"/>
                <w:sz w:val="20"/>
                <w:szCs w:val="20"/>
                <w:lang w:eastAsia="ja-JP"/>
              </w:rPr>
              <w:t>1</w:t>
            </w:r>
          </w:p>
        </w:tc>
        <w:tc>
          <w:tcPr>
            <w:tcW w:w="736" w:type="dxa"/>
            <w:tcBorders>
              <w:top w:val="nil"/>
              <w:left w:val="nil"/>
              <w:bottom w:val="single" w:sz="4" w:space="0" w:color="auto"/>
              <w:right w:val="single" w:sz="4" w:space="0" w:color="auto"/>
            </w:tcBorders>
            <w:hideMark/>
          </w:tcPr>
          <w:p w14:paraId="4AFA5195" w14:textId="77777777" w:rsidR="00356D1E" w:rsidRDefault="00356D1E">
            <w:pPr>
              <w:jc w:val="right"/>
              <w:rPr>
                <w:rFonts w:eastAsiaTheme="minorEastAsia" w:cstheme="minorBidi"/>
                <w:sz w:val="20"/>
                <w:szCs w:val="20"/>
                <w:lang w:eastAsia="ja-JP"/>
              </w:rPr>
            </w:pPr>
            <w:r>
              <w:rPr>
                <w:rFonts w:eastAsiaTheme="minorEastAsia" w:cstheme="minorBidi"/>
                <w:sz w:val="20"/>
                <w:szCs w:val="20"/>
                <w:lang w:eastAsia="ja-JP"/>
              </w:rPr>
              <w:t>0</w:t>
            </w:r>
          </w:p>
        </w:tc>
        <w:tc>
          <w:tcPr>
            <w:tcW w:w="735" w:type="dxa"/>
            <w:tcBorders>
              <w:top w:val="nil"/>
              <w:left w:val="nil"/>
              <w:bottom w:val="single" w:sz="4" w:space="0" w:color="auto"/>
              <w:right w:val="single" w:sz="4" w:space="0" w:color="auto"/>
            </w:tcBorders>
            <w:hideMark/>
          </w:tcPr>
          <w:p w14:paraId="00189E92" w14:textId="77777777" w:rsidR="00356D1E" w:rsidRDefault="00356D1E">
            <w:pPr>
              <w:pStyle w:val="Tableformat"/>
              <w:jc w:val="right"/>
              <w:rPr>
                <w:lang w:val="en-AU"/>
              </w:rPr>
            </w:pPr>
            <w:r>
              <w:rPr>
                <w:lang w:val="en-AU"/>
              </w:rPr>
              <w:t>4</w:t>
            </w:r>
          </w:p>
        </w:tc>
        <w:tc>
          <w:tcPr>
            <w:tcW w:w="735" w:type="dxa"/>
            <w:tcBorders>
              <w:top w:val="single" w:sz="4" w:space="0" w:color="auto"/>
              <w:left w:val="nil"/>
              <w:bottom w:val="single" w:sz="4" w:space="0" w:color="auto"/>
              <w:right w:val="single" w:sz="4" w:space="0" w:color="auto"/>
            </w:tcBorders>
            <w:hideMark/>
          </w:tcPr>
          <w:p w14:paraId="4B87E78F" w14:textId="77777777" w:rsidR="00356D1E" w:rsidRDefault="00356D1E">
            <w:pPr>
              <w:pStyle w:val="Tableformat"/>
              <w:jc w:val="right"/>
              <w:rPr>
                <w:lang w:val="en-AU"/>
              </w:rPr>
            </w:pPr>
            <w:r>
              <w:rPr>
                <w:lang w:val="en-AU"/>
              </w:rPr>
              <w:t>42</w:t>
            </w:r>
          </w:p>
        </w:tc>
        <w:tc>
          <w:tcPr>
            <w:tcW w:w="736" w:type="dxa"/>
            <w:tcBorders>
              <w:top w:val="single" w:sz="4" w:space="0" w:color="auto"/>
              <w:left w:val="single" w:sz="4" w:space="0" w:color="auto"/>
              <w:bottom w:val="single" w:sz="4" w:space="0" w:color="auto"/>
              <w:right w:val="single" w:sz="4" w:space="0" w:color="auto"/>
            </w:tcBorders>
            <w:hideMark/>
          </w:tcPr>
          <w:p w14:paraId="37CB2C59" w14:textId="77777777" w:rsidR="00356D1E" w:rsidRDefault="00356D1E">
            <w:pPr>
              <w:pStyle w:val="Tableformat"/>
              <w:jc w:val="right"/>
              <w:rPr>
                <w:lang w:val="en-AU"/>
              </w:rPr>
            </w:pPr>
            <w:r>
              <w:t>2</w:t>
            </w:r>
          </w:p>
        </w:tc>
      </w:tr>
      <w:tr w:rsidR="00356D1E" w14:paraId="0C0B2991" w14:textId="77777777" w:rsidTr="004041E8">
        <w:trPr>
          <w:trHeight w:val="306"/>
        </w:trPr>
        <w:tc>
          <w:tcPr>
            <w:tcW w:w="976" w:type="dxa"/>
            <w:tcBorders>
              <w:top w:val="nil"/>
              <w:left w:val="single" w:sz="4" w:space="0" w:color="auto"/>
              <w:bottom w:val="single" w:sz="4" w:space="0" w:color="auto"/>
              <w:right w:val="single" w:sz="4" w:space="0" w:color="auto"/>
            </w:tcBorders>
            <w:hideMark/>
          </w:tcPr>
          <w:p w14:paraId="75F82557" w14:textId="3E004648" w:rsidR="00356D1E" w:rsidRDefault="00356D1E">
            <w:pPr>
              <w:pStyle w:val="Tableformat"/>
              <w:rPr>
                <w:lang w:val="en-AU"/>
              </w:rPr>
            </w:pPr>
            <w:r>
              <w:rPr>
                <w:lang w:val="en-AU"/>
              </w:rPr>
              <w:t>Class 4</w:t>
            </w:r>
          </w:p>
        </w:tc>
        <w:tc>
          <w:tcPr>
            <w:tcW w:w="735" w:type="dxa"/>
            <w:tcBorders>
              <w:top w:val="nil"/>
              <w:left w:val="nil"/>
              <w:bottom w:val="single" w:sz="4" w:space="0" w:color="auto"/>
              <w:right w:val="single" w:sz="4" w:space="0" w:color="auto"/>
            </w:tcBorders>
            <w:hideMark/>
          </w:tcPr>
          <w:p w14:paraId="4BBD6035" w14:textId="77777777" w:rsidR="00356D1E" w:rsidRDefault="00356D1E">
            <w:pPr>
              <w:pStyle w:val="Tableformat"/>
              <w:jc w:val="right"/>
              <w:rPr>
                <w:lang w:val="en-AU"/>
              </w:rPr>
            </w:pPr>
            <w:r>
              <w:rPr>
                <w:lang w:val="en-AU"/>
              </w:rPr>
              <w:t>57</w:t>
            </w:r>
          </w:p>
        </w:tc>
        <w:tc>
          <w:tcPr>
            <w:tcW w:w="735" w:type="dxa"/>
            <w:tcBorders>
              <w:top w:val="single" w:sz="4" w:space="0" w:color="auto"/>
              <w:left w:val="nil"/>
              <w:bottom w:val="single" w:sz="4" w:space="0" w:color="auto"/>
              <w:right w:val="single" w:sz="4" w:space="0" w:color="auto"/>
            </w:tcBorders>
          </w:tcPr>
          <w:p w14:paraId="5B99F419" w14:textId="446EEEAD" w:rsidR="00356D1E" w:rsidRDefault="00356D1E">
            <w:pPr>
              <w:pStyle w:val="Tableformat"/>
              <w:jc w:val="right"/>
              <w:rPr>
                <w:lang w:val="en-AU"/>
              </w:rPr>
            </w:pPr>
            <w:r w:rsidRPr="00B053DB">
              <w:t>0</w:t>
            </w:r>
          </w:p>
        </w:tc>
        <w:tc>
          <w:tcPr>
            <w:tcW w:w="735" w:type="dxa"/>
            <w:tcBorders>
              <w:top w:val="nil"/>
              <w:left w:val="single" w:sz="4" w:space="0" w:color="auto"/>
              <w:bottom w:val="single" w:sz="4" w:space="0" w:color="auto"/>
              <w:right w:val="single" w:sz="4" w:space="0" w:color="auto"/>
            </w:tcBorders>
            <w:hideMark/>
          </w:tcPr>
          <w:p w14:paraId="3B20B6C8" w14:textId="4A4BDE3F" w:rsidR="00356D1E" w:rsidRDefault="00356D1E">
            <w:pPr>
              <w:pStyle w:val="Tableformat"/>
              <w:jc w:val="right"/>
              <w:rPr>
                <w:lang w:val="en-AU"/>
              </w:rPr>
            </w:pPr>
            <w:r>
              <w:rPr>
                <w:lang w:val="en-AU"/>
              </w:rPr>
              <w:t>0</w:t>
            </w:r>
          </w:p>
        </w:tc>
        <w:tc>
          <w:tcPr>
            <w:tcW w:w="735" w:type="dxa"/>
            <w:tcBorders>
              <w:top w:val="nil"/>
              <w:left w:val="single" w:sz="4" w:space="0" w:color="auto"/>
              <w:bottom w:val="single" w:sz="4" w:space="0" w:color="auto"/>
              <w:right w:val="single" w:sz="4" w:space="0" w:color="auto"/>
            </w:tcBorders>
            <w:hideMark/>
          </w:tcPr>
          <w:p w14:paraId="7110F537" w14:textId="403A3C9D" w:rsidR="00356D1E" w:rsidRDefault="00356D1E">
            <w:pPr>
              <w:pStyle w:val="Tableformat"/>
              <w:jc w:val="right"/>
              <w:rPr>
                <w:lang w:val="en-AU"/>
              </w:rPr>
            </w:pPr>
            <w:r>
              <w:rPr>
                <w:lang w:val="en-AU"/>
              </w:rPr>
              <w:t>2</w:t>
            </w:r>
          </w:p>
        </w:tc>
        <w:tc>
          <w:tcPr>
            <w:tcW w:w="736" w:type="dxa"/>
            <w:tcBorders>
              <w:top w:val="nil"/>
              <w:left w:val="nil"/>
              <w:bottom w:val="single" w:sz="4" w:space="0" w:color="auto"/>
              <w:right w:val="single" w:sz="4" w:space="0" w:color="auto"/>
            </w:tcBorders>
            <w:hideMark/>
          </w:tcPr>
          <w:p w14:paraId="329C21AA" w14:textId="77777777" w:rsidR="00356D1E" w:rsidRDefault="00356D1E">
            <w:pPr>
              <w:pStyle w:val="Tableformat"/>
              <w:jc w:val="right"/>
              <w:rPr>
                <w:lang w:val="en-AU"/>
              </w:rPr>
            </w:pPr>
            <w:r>
              <w:rPr>
                <w:lang w:val="en-AU"/>
              </w:rPr>
              <w:t>0</w:t>
            </w:r>
          </w:p>
        </w:tc>
        <w:tc>
          <w:tcPr>
            <w:tcW w:w="735" w:type="dxa"/>
            <w:tcBorders>
              <w:top w:val="nil"/>
              <w:left w:val="nil"/>
              <w:bottom w:val="single" w:sz="4" w:space="0" w:color="auto"/>
              <w:right w:val="single" w:sz="4" w:space="0" w:color="auto"/>
            </w:tcBorders>
            <w:hideMark/>
          </w:tcPr>
          <w:p w14:paraId="2AC432C7" w14:textId="77777777" w:rsidR="00356D1E" w:rsidRDefault="00356D1E">
            <w:pPr>
              <w:pStyle w:val="Tableformat"/>
              <w:jc w:val="right"/>
              <w:rPr>
                <w:lang w:val="en-AU"/>
              </w:rPr>
            </w:pPr>
            <w:r>
              <w:t>5</w:t>
            </w:r>
          </w:p>
        </w:tc>
        <w:tc>
          <w:tcPr>
            <w:tcW w:w="735" w:type="dxa"/>
            <w:tcBorders>
              <w:top w:val="nil"/>
              <w:left w:val="nil"/>
              <w:bottom w:val="single" w:sz="4" w:space="0" w:color="auto"/>
              <w:right w:val="single" w:sz="4" w:space="0" w:color="auto"/>
            </w:tcBorders>
            <w:hideMark/>
          </w:tcPr>
          <w:p w14:paraId="43DCC2BA" w14:textId="77777777" w:rsidR="00356D1E" w:rsidRDefault="00356D1E">
            <w:pPr>
              <w:pStyle w:val="Tableformat"/>
              <w:jc w:val="right"/>
              <w:rPr>
                <w:lang w:val="en-AU"/>
              </w:rPr>
            </w:pPr>
            <w:r>
              <w:rPr>
                <w:lang w:val="en-AU"/>
              </w:rPr>
              <w:t>0</w:t>
            </w:r>
          </w:p>
        </w:tc>
        <w:tc>
          <w:tcPr>
            <w:tcW w:w="735" w:type="dxa"/>
            <w:tcBorders>
              <w:top w:val="nil"/>
              <w:left w:val="nil"/>
              <w:bottom w:val="single" w:sz="4" w:space="0" w:color="auto"/>
              <w:right w:val="single" w:sz="4" w:space="0" w:color="auto"/>
            </w:tcBorders>
            <w:hideMark/>
          </w:tcPr>
          <w:p w14:paraId="07272986" w14:textId="77777777" w:rsidR="00356D1E" w:rsidRDefault="00356D1E">
            <w:pPr>
              <w:pStyle w:val="Tableformat"/>
              <w:jc w:val="right"/>
              <w:rPr>
                <w:lang w:val="en-AU"/>
              </w:rPr>
            </w:pPr>
            <w:r>
              <w:rPr>
                <w:lang w:val="en-AU"/>
              </w:rPr>
              <w:t>0</w:t>
            </w:r>
          </w:p>
        </w:tc>
        <w:tc>
          <w:tcPr>
            <w:tcW w:w="736" w:type="dxa"/>
            <w:tcBorders>
              <w:top w:val="nil"/>
              <w:left w:val="nil"/>
              <w:bottom w:val="single" w:sz="4" w:space="0" w:color="auto"/>
              <w:right w:val="single" w:sz="4" w:space="0" w:color="auto"/>
            </w:tcBorders>
            <w:hideMark/>
          </w:tcPr>
          <w:p w14:paraId="0470A5E4" w14:textId="77777777" w:rsidR="00356D1E" w:rsidRDefault="00356D1E">
            <w:pPr>
              <w:pStyle w:val="Tableformat"/>
              <w:jc w:val="right"/>
              <w:rPr>
                <w:lang w:val="en-AU"/>
              </w:rPr>
            </w:pPr>
            <w:r>
              <w:rPr>
                <w:lang w:val="en-AU"/>
              </w:rPr>
              <w:t>0</w:t>
            </w:r>
          </w:p>
        </w:tc>
        <w:tc>
          <w:tcPr>
            <w:tcW w:w="735" w:type="dxa"/>
            <w:tcBorders>
              <w:top w:val="nil"/>
              <w:left w:val="nil"/>
              <w:bottom w:val="single" w:sz="4" w:space="0" w:color="auto"/>
              <w:right w:val="single" w:sz="4" w:space="0" w:color="auto"/>
            </w:tcBorders>
            <w:hideMark/>
          </w:tcPr>
          <w:p w14:paraId="7098D5BF" w14:textId="77777777" w:rsidR="00356D1E" w:rsidRDefault="00356D1E">
            <w:pPr>
              <w:pStyle w:val="Tableformat"/>
              <w:jc w:val="right"/>
              <w:rPr>
                <w:lang w:val="en-AU"/>
              </w:rPr>
            </w:pPr>
            <w:r>
              <w:rPr>
                <w:lang w:val="en-AU"/>
              </w:rPr>
              <w:t>7</w:t>
            </w:r>
          </w:p>
        </w:tc>
        <w:tc>
          <w:tcPr>
            <w:tcW w:w="735" w:type="dxa"/>
            <w:tcBorders>
              <w:top w:val="single" w:sz="4" w:space="0" w:color="auto"/>
              <w:left w:val="nil"/>
              <w:bottom w:val="single" w:sz="4" w:space="0" w:color="auto"/>
              <w:right w:val="single" w:sz="4" w:space="0" w:color="auto"/>
            </w:tcBorders>
            <w:hideMark/>
          </w:tcPr>
          <w:p w14:paraId="324CE9E3" w14:textId="77777777" w:rsidR="00356D1E" w:rsidRDefault="00356D1E">
            <w:pPr>
              <w:pStyle w:val="Tableformat"/>
              <w:jc w:val="right"/>
              <w:rPr>
                <w:lang w:val="en-AU"/>
              </w:rPr>
            </w:pPr>
            <w:r>
              <w:rPr>
                <w:lang w:val="en-AU"/>
              </w:rPr>
              <w:t>64</w:t>
            </w:r>
          </w:p>
        </w:tc>
        <w:tc>
          <w:tcPr>
            <w:tcW w:w="736" w:type="dxa"/>
            <w:tcBorders>
              <w:top w:val="single" w:sz="4" w:space="0" w:color="auto"/>
              <w:left w:val="single" w:sz="4" w:space="0" w:color="auto"/>
              <w:bottom w:val="single" w:sz="4" w:space="0" w:color="auto"/>
              <w:right w:val="single" w:sz="4" w:space="0" w:color="auto"/>
            </w:tcBorders>
            <w:hideMark/>
          </w:tcPr>
          <w:p w14:paraId="4BB579B6" w14:textId="77777777" w:rsidR="00356D1E" w:rsidRDefault="00356D1E">
            <w:pPr>
              <w:pStyle w:val="Tableformat"/>
              <w:jc w:val="right"/>
              <w:rPr>
                <w:lang w:val="en-AU"/>
              </w:rPr>
            </w:pPr>
            <w:r>
              <w:t>6</w:t>
            </w:r>
          </w:p>
        </w:tc>
      </w:tr>
      <w:tr w:rsidR="00356D1E" w14:paraId="7BE336A4" w14:textId="77777777" w:rsidTr="004041E8">
        <w:trPr>
          <w:trHeight w:val="306"/>
        </w:trPr>
        <w:tc>
          <w:tcPr>
            <w:tcW w:w="976" w:type="dxa"/>
            <w:tcBorders>
              <w:top w:val="nil"/>
              <w:left w:val="single" w:sz="4" w:space="0" w:color="auto"/>
              <w:bottom w:val="single" w:sz="4" w:space="0" w:color="auto"/>
              <w:right w:val="single" w:sz="4" w:space="0" w:color="auto"/>
            </w:tcBorders>
            <w:hideMark/>
          </w:tcPr>
          <w:p w14:paraId="2346491D" w14:textId="0DD2587D" w:rsidR="00356D1E" w:rsidRDefault="00356D1E">
            <w:pPr>
              <w:pStyle w:val="Tableformat"/>
              <w:rPr>
                <w:lang w:val="en-AU"/>
              </w:rPr>
            </w:pPr>
            <w:r>
              <w:rPr>
                <w:lang w:val="en-AU"/>
              </w:rPr>
              <w:t>Class 5</w:t>
            </w:r>
          </w:p>
        </w:tc>
        <w:tc>
          <w:tcPr>
            <w:tcW w:w="735" w:type="dxa"/>
            <w:tcBorders>
              <w:top w:val="nil"/>
              <w:left w:val="nil"/>
              <w:bottom w:val="single" w:sz="4" w:space="0" w:color="auto"/>
              <w:right w:val="single" w:sz="4" w:space="0" w:color="auto"/>
            </w:tcBorders>
            <w:hideMark/>
          </w:tcPr>
          <w:p w14:paraId="5A6FA22B" w14:textId="77777777" w:rsidR="00356D1E" w:rsidRDefault="00356D1E">
            <w:pPr>
              <w:pStyle w:val="Tableformat"/>
              <w:jc w:val="right"/>
              <w:rPr>
                <w:lang w:val="en-AU"/>
              </w:rPr>
            </w:pPr>
            <w:r>
              <w:rPr>
                <w:lang w:val="en-AU"/>
              </w:rPr>
              <w:t>144</w:t>
            </w:r>
          </w:p>
        </w:tc>
        <w:tc>
          <w:tcPr>
            <w:tcW w:w="735" w:type="dxa"/>
            <w:tcBorders>
              <w:top w:val="single" w:sz="4" w:space="0" w:color="auto"/>
              <w:left w:val="nil"/>
              <w:bottom w:val="single" w:sz="4" w:space="0" w:color="auto"/>
              <w:right w:val="single" w:sz="4" w:space="0" w:color="auto"/>
            </w:tcBorders>
          </w:tcPr>
          <w:p w14:paraId="07927DFF" w14:textId="6EC74706" w:rsidR="00356D1E" w:rsidRDefault="00356D1E">
            <w:pPr>
              <w:pStyle w:val="Tableformat"/>
              <w:jc w:val="right"/>
              <w:rPr>
                <w:lang w:val="en-AU"/>
              </w:rPr>
            </w:pPr>
            <w:r w:rsidRPr="00B053DB">
              <w:t>4</w:t>
            </w:r>
          </w:p>
        </w:tc>
        <w:tc>
          <w:tcPr>
            <w:tcW w:w="735" w:type="dxa"/>
            <w:tcBorders>
              <w:top w:val="nil"/>
              <w:left w:val="single" w:sz="4" w:space="0" w:color="auto"/>
              <w:bottom w:val="single" w:sz="4" w:space="0" w:color="auto"/>
              <w:right w:val="single" w:sz="4" w:space="0" w:color="auto"/>
            </w:tcBorders>
            <w:hideMark/>
          </w:tcPr>
          <w:p w14:paraId="07AD3426" w14:textId="3C363B6C" w:rsidR="00356D1E" w:rsidRDefault="00356D1E">
            <w:pPr>
              <w:pStyle w:val="Tableformat"/>
              <w:jc w:val="right"/>
              <w:rPr>
                <w:lang w:val="en-AU"/>
              </w:rPr>
            </w:pPr>
            <w:r>
              <w:rPr>
                <w:lang w:val="en-AU"/>
              </w:rPr>
              <w:t>0</w:t>
            </w:r>
          </w:p>
        </w:tc>
        <w:tc>
          <w:tcPr>
            <w:tcW w:w="735" w:type="dxa"/>
            <w:tcBorders>
              <w:top w:val="nil"/>
              <w:left w:val="single" w:sz="4" w:space="0" w:color="auto"/>
              <w:bottom w:val="single" w:sz="4" w:space="0" w:color="auto"/>
              <w:right w:val="single" w:sz="4" w:space="0" w:color="auto"/>
            </w:tcBorders>
            <w:hideMark/>
          </w:tcPr>
          <w:p w14:paraId="1AB65832" w14:textId="0AD8DF83" w:rsidR="00356D1E" w:rsidRDefault="00356D1E">
            <w:pPr>
              <w:pStyle w:val="Tableformat"/>
              <w:jc w:val="right"/>
              <w:rPr>
                <w:lang w:val="en-AU"/>
              </w:rPr>
            </w:pPr>
            <w:r>
              <w:rPr>
                <w:lang w:val="en-AU"/>
              </w:rPr>
              <w:t>6</w:t>
            </w:r>
          </w:p>
        </w:tc>
        <w:tc>
          <w:tcPr>
            <w:tcW w:w="736" w:type="dxa"/>
            <w:tcBorders>
              <w:top w:val="nil"/>
              <w:left w:val="nil"/>
              <w:bottom w:val="single" w:sz="4" w:space="0" w:color="auto"/>
              <w:right w:val="single" w:sz="4" w:space="0" w:color="auto"/>
            </w:tcBorders>
            <w:hideMark/>
          </w:tcPr>
          <w:p w14:paraId="60622717" w14:textId="77777777" w:rsidR="00356D1E" w:rsidRDefault="00356D1E">
            <w:pPr>
              <w:pStyle w:val="Tableformat"/>
              <w:jc w:val="right"/>
              <w:rPr>
                <w:lang w:val="en-AU"/>
              </w:rPr>
            </w:pPr>
            <w:r>
              <w:rPr>
                <w:lang w:val="en-AU"/>
              </w:rPr>
              <w:t>2</w:t>
            </w:r>
          </w:p>
        </w:tc>
        <w:tc>
          <w:tcPr>
            <w:tcW w:w="735" w:type="dxa"/>
            <w:tcBorders>
              <w:top w:val="nil"/>
              <w:left w:val="nil"/>
              <w:bottom w:val="single" w:sz="4" w:space="0" w:color="auto"/>
              <w:right w:val="single" w:sz="4" w:space="0" w:color="auto"/>
            </w:tcBorders>
            <w:hideMark/>
          </w:tcPr>
          <w:p w14:paraId="30828EA6" w14:textId="77777777" w:rsidR="00356D1E" w:rsidRDefault="00356D1E">
            <w:pPr>
              <w:pStyle w:val="Tableformat"/>
              <w:jc w:val="right"/>
              <w:rPr>
                <w:lang w:val="en-AU"/>
              </w:rPr>
            </w:pPr>
            <w:r>
              <w:t>3</w:t>
            </w:r>
          </w:p>
        </w:tc>
        <w:tc>
          <w:tcPr>
            <w:tcW w:w="735" w:type="dxa"/>
            <w:tcBorders>
              <w:top w:val="nil"/>
              <w:left w:val="nil"/>
              <w:bottom w:val="single" w:sz="4" w:space="0" w:color="auto"/>
              <w:right w:val="single" w:sz="4" w:space="0" w:color="auto"/>
            </w:tcBorders>
            <w:hideMark/>
          </w:tcPr>
          <w:p w14:paraId="1BA7425C" w14:textId="77777777" w:rsidR="00356D1E" w:rsidRDefault="00356D1E">
            <w:pPr>
              <w:pStyle w:val="Tableformat"/>
              <w:jc w:val="right"/>
              <w:rPr>
                <w:lang w:val="en-AU"/>
              </w:rPr>
            </w:pPr>
            <w:r>
              <w:rPr>
                <w:lang w:val="en-AU"/>
              </w:rPr>
              <w:t>3</w:t>
            </w:r>
          </w:p>
        </w:tc>
        <w:tc>
          <w:tcPr>
            <w:tcW w:w="735" w:type="dxa"/>
            <w:tcBorders>
              <w:top w:val="nil"/>
              <w:left w:val="nil"/>
              <w:bottom w:val="single" w:sz="4" w:space="0" w:color="auto"/>
              <w:right w:val="single" w:sz="4" w:space="0" w:color="auto"/>
            </w:tcBorders>
            <w:hideMark/>
          </w:tcPr>
          <w:p w14:paraId="7AA984E8" w14:textId="77777777" w:rsidR="00356D1E" w:rsidRDefault="00356D1E">
            <w:pPr>
              <w:pStyle w:val="Tableformat"/>
              <w:jc w:val="right"/>
              <w:rPr>
                <w:lang w:val="en-AU"/>
              </w:rPr>
            </w:pPr>
            <w:r>
              <w:rPr>
                <w:lang w:val="en-AU"/>
              </w:rPr>
              <w:t>3</w:t>
            </w:r>
          </w:p>
        </w:tc>
        <w:tc>
          <w:tcPr>
            <w:tcW w:w="736" w:type="dxa"/>
            <w:tcBorders>
              <w:top w:val="nil"/>
              <w:left w:val="nil"/>
              <w:bottom w:val="single" w:sz="4" w:space="0" w:color="auto"/>
              <w:right w:val="single" w:sz="4" w:space="0" w:color="auto"/>
            </w:tcBorders>
            <w:hideMark/>
          </w:tcPr>
          <w:p w14:paraId="545CAF0B" w14:textId="77777777" w:rsidR="00356D1E" w:rsidRDefault="00356D1E">
            <w:pPr>
              <w:pStyle w:val="Tableformat"/>
              <w:jc w:val="right"/>
              <w:rPr>
                <w:lang w:val="en-AU"/>
              </w:rPr>
            </w:pPr>
            <w:r>
              <w:rPr>
                <w:lang w:val="en-AU"/>
              </w:rPr>
              <w:t>1</w:t>
            </w:r>
          </w:p>
        </w:tc>
        <w:tc>
          <w:tcPr>
            <w:tcW w:w="735" w:type="dxa"/>
            <w:tcBorders>
              <w:top w:val="nil"/>
              <w:left w:val="nil"/>
              <w:bottom w:val="single" w:sz="4" w:space="0" w:color="auto"/>
              <w:right w:val="single" w:sz="4" w:space="0" w:color="auto"/>
            </w:tcBorders>
            <w:hideMark/>
          </w:tcPr>
          <w:p w14:paraId="02B40F18" w14:textId="77777777" w:rsidR="00356D1E" w:rsidRDefault="00356D1E">
            <w:pPr>
              <w:pStyle w:val="Tableformat"/>
              <w:jc w:val="right"/>
              <w:rPr>
                <w:lang w:val="en-AU"/>
              </w:rPr>
            </w:pPr>
            <w:r>
              <w:rPr>
                <w:lang w:val="en-AU"/>
              </w:rPr>
              <w:t>13</w:t>
            </w:r>
          </w:p>
        </w:tc>
        <w:tc>
          <w:tcPr>
            <w:tcW w:w="735" w:type="dxa"/>
            <w:tcBorders>
              <w:top w:val="single" w:sz="4" w:space="0" w:color="auto"/>
              <w:left w:val="nil"/>
              <w:bottom w:val="single" w:sz="4" w:space="0" w:color="auto"/>
              <w:right w:val="single" w:sz="4" w:space="0" w:color="auto"/>
            </w:tcBorders>
            <w:hideMark/>
          </w:tcPr>
          <w:p w14:paraId="50B3B3E1" w14:textId="77777777" w:rsidR="00356D1E" w:rsidRDefault="00356D1E">
            <w:pPr>
              <w:pStyle w:val="Tableformat"/>
              <w:jc w:val="right"/>
              <w:rPr>
                <w:lang w:val="en-AU"/>
              </w:rPr>
            </w:pPr>
            <w:r>
              <w:rPr>
                <w:lang w:val="en-AU"/>
              </w:rPr>
              <w:t>157</w:t>
            </w:r>
          </w:p>
        </w:tc>
        <w:tc>
          <w:tcPr>
            <w:tcW w:w="736" w:type="dxa"/>
            <w:tcBorders>
              <w:top w:val="single" w:sz="4" w:space="0" w:color="auto"/>
              <w:left w:val="single" w:sz="4" w:space="0" w:color="auto"/>
              <w:bottom w:val="single" w:sz="4" w:space="0" w:color="auto"/>
              <w:right w:val="single" w:sz="4" w:space="0" w:color="auto"/>
            </w:tcBorders>
            <w:hideMark/>
          </w:tcPr>
          <w:p w14:paraId="1908A65F" w14:textId="77777777" w:rsidR="00356D1E" w:rsidRDefault="00356D1E">
            <w:pPr>
              <w:pStyle w:val="Tableformat"/>
              <w:jc w:val="right"/>
              <w:rPr>
                <w:lang w:val="en-AU"/>
              </w:rPr>
            </w:pPr>
            <w:r>
              <w:t>20</w:t>
            </w:r>
          </w:p>
        </w:tc>
      </w:tr>
      <w:tr w:rsidR="00356D1E" w14:paraId="62DFC5E0" w14:textId="77777777" w:rsidTr="004041E8">
        <w:trPr>
          <w:trHeight w:val="306"/>
        </w:trPr>
        <w:tc>
          <w:tcPr>
            <w:tcW w:w="976" w:type="dxa"/>
            <w:tcBorders>
              <w:top w:val="nil"/>
              <w:left w:val="single" w:sz="4" w:space="0" w:color="auto"/>
              <w:bottom w:val="single" w:sz="4" w:space="0" w:color="auto"/>
              <w:right w:val="single" w:sz="4" w:space="0" w:color="auto"/>
            </w:tcBorders>
            <w:hideMark/>
          </w:tcPr>
          <w:p w14:paraId="56B43141" w14:textId="6E3D966D" w:rsidR="00356D1E" w:rsidRDefault="00356D1E">
            <w:pPr>
              <w:pStyle w:val="Tableformat"/>
              <w:rPr>
                <w:lang w:val="en-AU"/>
              </w:rPr>
            </w:pPr>
            <w:r>
              <w:rPr>
                <w:lang w:val="en-AU"/>
              </w:rPr>
              <w:t>Class 6</w:t>
            </w:r>
          </w:p>
        </w:tc>
        <w:tc>
          <w:tcPr>
            <w:tcW w:w="735" w:type="dxa"/>
            <w:tcBorders>
              <w:top w:val="nil"/>
              <w:left w:val="nil"/>
              <w:bottom w:val="single" w:sz="4" w:space="0" w:color="auto"/>
              <w:right w:val="single" w:sz="4" w:space="0" w:color="auto"/>
            </w:tcBorders>
            <w:hideMark/>
          </w:tcPr>
          <w:p w14:paraId="59D2783B" w14:textId="77777777" w:rsidR="00356D1E" w:rsidRDefault="00356D1E">
            <w:pPr>
              <w:pStyle w:val="Tableformat"/>
              <w:jc w:val="right"/>
              <w:rPr>
                <w:lang w:val="en-AU"/>
              </w:rPr>
            </w:pPr>
            <w:r>
              <w:rPr>
                <w:lang w:val="en-AU"/>
              </w:rPr>
              <w:t>57</w:t>
            </w:r>
          </w:p>
        </w:tc>
        <w:tc>
          <w:tcPr>
            <w:tcW w:w="735" w:type="dxa"/>
            <w:tcBorders>
              <w:top w:val="single" w:sz="4" w:space="0" w:color="auto"/>
              <w:left w:val="nil"/>
              <w:bottom w:val="single" w:sz="4" w:space="0" w:color="auto"/>
              <w:right w:val="single" w:sz="4" w:space="0" w:color="auto"/>
            </w:tcBorders>
          </w:tcPr>
          <w:p w14:paraId="67628827" w14:textId="6DFCABC3" w:rsidR="00356D1E" w:rsidRDefault="00356D1E">
            <w:pPr>
              <w:pStyle w:val="Tableformat"/>
              <w:jc w:val="right"/>
              <w:rPr>
                <w:lang w:val="en-AU"/>
              </w:rPr>
            </w:pPr>
            <w:r w:rsidRPr="00B053DB">
              <w:t>1</w:t>
            </w:r>
          </w:p>
        </w:tc>
        <w:tc>
          <w:tcPr>
            <w:tcW w:w="735" w:type="dxa"/>
            <w:tcBorders>
              <w:top w:val="nil"/>
              <w:left w:val="single" w:sz="4" w:space="0" w:color="auto"/>
              <w:bottom w:val="single" w:sz="4" w:space="0" w:color="auto"/>
              <w:right w:val="single" w:sz="4" w:space="0" w:color="auto"/>
            </w:tcBorders>
            <w:hideMark/>
          </w:tcPr>
          <w:p w14:paraId="7A5B65AB" w14:textId="19F8585C" w:rsidR="00356D1E" w:rsidRDefault="00356D1E">
            <w:pPr>
              <w:pStyle w:val="Tableformat"/>
              <w:jc w:val="right"/>
              <w:rPr>
                <w:lang w:val="en-AU"/>
              </w:rPr>
            </w:pPr>
            <w:r>
              <w:rPr>
                <w:lang w:val="en-AU"/>
              </w:rPr>
              <w:t>1</w:t>
            </w:r>
          </w:p>
        </w:tc>
        <w:tc>
          <w:tcPr>
            <w:tcW w:w="735" w:type="dxa"/>
            <w:tcBorders>
              <w:top w:val="nil"/>
              <w:left w:val="single" w:sz="4" w:space="0" w:color="auto"/>
              <w:bottom w:val="single" w:sz="4" w:space="0" w:color="auto"/>
              <w:right w:val="single" w:sz="4" w:space="0" w:color="auto"/>
            </w:tcBorders>
            <w:hideMark/>
          </w:tcPr>
          <w:p w14:paraId="1F584317" w14:textId="440E7915" w:rsidR="00356D1E" w:rsidRDefault="00356D1E">
            <w:pPr>
              <w:pStyle w:val="Tableformat"/>
              <w:jc w:val="right"/>
              <w:rPr>
                <w:lang w:val="en-AU"/>
              </w:rPr>
            </w:pPr>
            <w:r>
              <w:rPr>
                <w:lang w:val="en-AU"/>
              </w:rPr>
              <w:t>6</w:t>
            </w:r>
          </w:p>
        </w:tc>
        <w:tc>
          <w:tcPr>
            <w:tcW w:w="736" w:type="dxa"/>
            <w:tcBorders>
              <w:top w:val="nil"/>
              <w:left w:val="nil"/>
              <w:bottom w:val="single" w:sz="4" w:space="0" w:color="auto"/>
              <w:right w:val="single" w:sz="4" w:space="0" w:color="auto"/>
            </w:tcBorders>
            <w:hideMark/>
          </w:tcPr>
          <w:p w14:paraId="18128779" w14:textId="77777777" w:rsidR="00356D1E" w:rsidRDefault="00356D1E">
            <w:pPr>
              <w:jc w:val="right"/>
              <w:rPr>
                <w:rFonts w:eastAsiaTheme="minorEastAsia" w:cstheme="minorBidi"/>
                <w:sz w:val="20"/>
                <w:szCs w:val="20"/>
                <w:lang w:eastAsia="ja-JP"/>
              </w:rPr>
            </w:pPr>
            <w:r>
              <w:rPr>
                <w:rFonts w:eastAsiaTheme="minorEastAsia" w:cstheme="minorBidi"/>
                <w:sz w:val="20"/>
                <w:szCs w:val="20"/>
                <w:lang w:eastAsia="ja-JP"/>
              </w:rPr>
              <w:t>0</w:t>
            </w:r>
          </w:p>
        </w:tc>
        <w:tc>
          <w:tcPr>
            <w:tcW w:w="735" w:type="dxa"/>
            <w:tcBorders>
              <w:top w:val="nil"/>
              <w:left w:val="nil"/>
              <w:bottom w:val="single" w:sz="4" w:space="0" w:color="auto"/>
              <w:right w:val="single" w:sz="4" w:space="0" w:color="auto"/>
            </w:tcBorders>
            <w:hideMark/>
          </w:tcPr>
          <w:p w14:paraId="19E3F6B0" w14:textId="77777777" w:rsidR="00356D1E" w:rsidRDefault="00356D1E">
            <w:pPr>
              <w:jc w:val="right"/>
              <w:rPr>
                <w:rFonts w:eastAsiaTheme="minorEastAsia" w:cstheme="minorBidi"/>
                <w:sz w:val="20"/>
                <w:szCs w:val="20"/>
                <w:lang w:eastAsia="ja-JP"/>
              </w:rPr>
            </w:pPr>
            <w:r>
              <w:t>0</w:t>
            </w:r>
          </w:p>
        </w:tc>
        <w:tc>
          <w:tcPr>
            <w:tcW w:w="735" w:type="dxa"/>
            <w:tcBorders>
              <w:top w:val="nil"/>
              <w:left w:val="nil"/>
              <w:bottom w:val="single" w:sz="4" w:space="0" w:color="auto"/>
              <w:right w:val="single" w:sz="4" w:space="0" w:color="auto"/>
            </w:tcBorders>
            <w:hideMark/>
          </w:tcPr>
          <w:p w14:paraId="597B8D96" w14:textId="77777777" w:rsidR="00356D1E" w:rsidRDefault="00356D1E">
            <w:pPr>
              <w:pStyle w:val="Tableformat"/>
              <w:jc w:val="right"/>
              <w:rPr>
                <w:lang w:val="en-AU"/>
              </w:rPr>
            </w:pPr>
            <w:r>
              <w:rPr>
                <w:lang w:val="en-AU"/>
              </w:rPr>
              <w:t>1</w:t>
            </w:r>
          </w:p>
        </w:tc>
        <w:tc>
          <w:tcPr>
            <w:tcW w:w="735" w:type="dxa"/>
            <w:tcBorders>
              <w:top w:val="nil"/>
              <w:left w:val="nil"/>
              <w:bottom w:val="single" w:sz="4" w:space="0" w:color="auto"/>
              <w:right w:val="single" w:sz="4" w:space="0" w:color="auto"/>
            </w:tcBorders>
            <w:hideMark/>
          </w:tcPr>
          <w:p w14:paraId="73F3908D" w14:textId="77777777" w:rsidR="00356D1E" w:rsidRDefault="00356D1E">
            <w:pPr>
              <w:pStyle w:val="Tableformat"/>
              <w:jc w:val="right"/>
              <w:rPr>
                <w:lang w:val="en-AU"/>
              </w:rPr>
            </w:pPr>
            <w:r>
              <w:rPr>
                <w:lang w:val="en-AU"/>
              </w:rPr>
              <w:t>2</w:t>
            </w:r>
          </w:p>
        </w:tc>
        <w:tc>
          <w:tcPr>
            <w:tcW w:w="736" w:type="dxa"/>
            <w:tcBorders>
              <w:top w:val="nil"/>
              <w:left w:val="nil"/>
              <w:bottom w:val="single" w:sz="4" w:space="0" w:color="auto"/>
              <w:right w:val="single" w:sz="4" w:space="0" w:color="auto"/>
            </w:tcBorders>
            <w:hideMark/>
          </w:tcPr>
          <w:p w14:paraId="61FD61FD" w14:textId="77777777" w:rsidR="00356D1E" w:rsidRDefault="00356D1E">
            <w:pPr>
              <w:pStyle w:val="Tableformat"/>
              <w:jc w:val="right"/>
              <w:rPr>
                <w:lang w:val="en-AU"/>
              </w:rPr>
            </w:pPr>
            <w:r>
              <w:rPr>
                <w:lang w:val="en-AU"/>
              </w:rPr>
              <w:t>1</w:t>
            </w:r>
          </w:p>
        </w:tc>
        <w:tc>
          <w:tcPr>
            <w:tcW w:w="735" w:type="dxa"/>
            <w:tcBorders>
              <w:top w:val="nil"/>
              <w:left w:val="nil"/>
              <w:bottom w:val="single" w:sz="4" w:space="0" w:color="auto"/>
              <w:right w:val="single" w:sz="4" w:space="0" w:color="auto"/>
            </w:tcBorders>
            <w:hideMark/>
          </w:tcPr>
          <w:p w14:paraId="50A50EFC" w14:textId="77777777" w:rsidR="00356D1E" w:rsidRDefault="00356D1E">
            <w:pPr>
              <w:pStyle w:val="Tableformat"/>
              <w:jc w:val="right"/>
              <w:rPr>
                <w:lang w:val="en-AU"/>
              </w:rPr>
            </w:pPr>
            <w:r>
              <w:rPr>
                <w:lang w:val="en-AU"/>
              </w:rPr>
              <w:t>10</w:t>
            </w:r>
          </w:p>
        </w:tc>
        <w:tc>
          <w:tcPr>
            <w:tcW w:w="735" w:type="dxa"/>
            <w:tcBorders>
              <w:top w:val="single" w:sz="4" w:space="0" w:color="auto"/>
              <w:left w:val="nil"/>
              <w:bottom w:val="single" w:sz="4" w:space="0" w:color="auto"/>
              <w:right w:val="single" w:sz="4" w:space="0" w:color="auto"/>
            </w:tcBorders>
            <w:hideMark/>
          </w:tcPr>
          <w:p w14:paraId="673CBED9" w14:textId="77777777" w:rsidR="00356D1E" w:rsidRDefault="00356D1E">
            <w:pPr>
              <w:pStyle w:val="Tableformat"/>
              <w:jc w:val="right"/>
              <w:rPr>
                <w:lang w:val="en-AU"/>
              </w:rPr>
            </w:pPr>
            <w:r>
              <w:rPr>
                <w:lang w:val="en-AU"/>
              </w:rPr>
              <w:t>67</w:t>
            </w:r>
          </w:p>
        </w:tc>
        <w:tc>
          <w:tcPr>
            <w:tcW w:w="736" w:type="dxa"/>
            <w:tcBorders>
              <w:top w:val="single" w:sz="4" w:space="0" w:color="auto"/>
              <w:left w:val="single" w:sz="4" w:space="0" w:color="auto"/>
              <w:bottom w:val="single" w:sz="4" w:space="0" w:color="auto"/>
              <w:right w:val="single" w:sz="4" w:space="0" w:color="auto"/>
            </w:tcBorders>
            <w:hideMark/>
          </w:tcPr>
          <w:p w14:paraId="20727ADA" w14:textId="77777777" w:rsidR="00356D1E" w:rsidRDefault="00356D1E">
            <w:pPr>
              <w:pStyle w:val="Tableformat"/>
              <w:jc w:val="right"/>
              <w:rPr>
                <w:lang w:val="en-AU"/>
              </w:rPr>
            </w:pPr>
            <w:r>
              <w:t>6</w:t>
            </w:r>
          </w:p>
        </w:tc>
      </w:tr>
      <w:tr w:rsidR="00356D1E" w14:paraId="6A306195" w14:textId="77777777" w:rsidTr="004041E8">
        <w:trPr>
          <w:trHeight w:val="306"/>
        </w:trPr>
        <w:tc>
          <w:tcPr>
            <w:tcW w:w="976" w:type="dxa"/>
            <w:tcBorders>
              <w:top w:val="nil"/>
              <w:left w:val="single" w:sz="4" w:space="0" w:color="auto"/>
              <w:bottom w:val="single" w:sz="4" w:space="0" w:color="auto"/>
              <w:right w:val="single" w:sz="4" w:space="0" w:color="auto"/>
            </w:tcBorders>
            <w:hideMark/>
          </w:tcPr>
          <w:p w14:paraId="3DB7038F" w14:textId="3D3FCB9A" w:rsidR="00356D1E" w:rsidRDefault="00356D1E">
            <w:pPr>
              <w:pStyle w:val="Tableformat"/>
              <w:rPr>
                <w:lang w:val="en-AU"/>
              </w:rPr>
            </w:pPr>
            <w:r>
              <w:rPr>
                <w:lang w:val="en-AU"/>
              </w:rPr>
              <w:t>Class 7</w:t>
            </w:r>
          </w:p>
        </w:tc>
        <w:tc>
          <w:tcPr>
            <w:tcW w:w="735" w:type="dxa"/>
            <w:tcBorders>
              <w:top w:val="nil"/>
              <w:left w:val="nil"/>
              <w:bottom w:val="single" w:sz="4" w:space="0" w:color="auto"/>
              <w:right w:val="single" w:sz="4" w:space="0" w:color="auto"/>
            </w:tcBorders>
            <w:hideMark/>
          </w:tcPr>
          <w:p w14:paraId="31104EFB" w14:textId="77777777" w:rsidR="00356D1E" w:rsidRDefault="00356D1E">
            <w:pPr>
              <w:pStyle w:val="Tableformat"/>
              <w:jc w:val="right"/>
              <w:rPr>
                <w:lang w:val="en-AU"/>
              </w:rPr>
            </w:pPr>
            <w:r>
              <w:rPr>
                <w:lang w:val="en-AU"/>
              </w:rPr>
              <w:t>24</w:t>
            </w:r>
          </w:p>
        </w:tc>
        <w:tc>
          <w:tcPr>
            <w:tcW w:w="735" w:type="dxa"/>
            <w:tcBorders>
              <w:top w:val="single" w:sz="4" w:space="0" w:color="auto"/>
              <w:left w:val="nil"/>
              <w:bottom w:val="single" w:sz="4" w:space="0" w:color="auto"/>
              <w:right w:val="single" w:sz="4" w:space="0" w:color="auto"/>
            </w:tcBorders>
          </w:tcPr>
          <w:p w14:paraId="1CBA715D" w14:textId="115637FA" w:rsidR="00356D1E" w:rsidRDefault="00356D1E">
            <w:pPr>
              <w:pStyle w:val="Tableformat"/>
              <w:jc w:val="right"/>
              <w:rPr>
                <w:lang w:val="en-AU"/>
              </w:rPr>
            </w:pPr>
            <w:r w:rsidRPr="00B053DB">
              <w:t>1</w:t>
            </w:r>
          </w:p>
        </w:tc>
        <w:tc>
          <w:tcPr>
            <w:tcW w:w="735" w:type="dxa"/>
            <w:tcBorders>
              <w:top w:val="nil"/>
              <w:left w:val="single" w:sz="4" w:space="0" w:color="auto"/>
              <w:bottom w:val="single" w:sz="4" w:space="0" w:color="auto"/>
              <w:right w:val="single" w:sz="4" w:space="0" w:color="auto"/>
            </w:tcBorders>
            <w:hideMark/>
          </w:tcPr>
          <w:p w14:paraId="59B2B857" w14:textId="4A0E2BFD" w:rsidR="00356D1E" w:rsidRDefault="00356D1E">
            <w:pPr>
              <w:pStyle w:val="Tableformat"/>
              <w:jc w:val="right"/>
              <w:rPr>
                <w:lang w:val="en-AU"/>
              </w:rPr>
            </w:pPr>
            <w:r>
              <w:rPr>
                <w:lang w:val="en-AU"/>
              </w:rPr>
              <w:t>1</w:t>
            </w:r>
          </w:p>
        </w:tc>
        <w:tc>
          <w:tcPr>
            <w:tcW w:w="735" w:type="dxa"/>
            <w:tcBorders>
              <w:top w:val="nil"/>
              <w:left w:val="single" w:sz="4" w:space="0" w:color="auto"/>
              <w:bottom w:val="single" w:sz="4" w:space="0" w:color="auto"/>
              <w:right w:val="single" w:sz="4" w:space="0" w:color="auto"/>
            </w:tcBorders>
            <w:hideMark/>
          </w:tcPr>
          <w:p w14:paraId="3856D48C" w14:textId="339A66DD" w:rsidR="00356D1E" w:rsidRDefault="00356D1E">
            <w:pPr>
              <w:pStyle w:val="Tableformat"/>
              <w:jc w:val="right"/>
              <w:rPr>
                <w:lang w:val="en-AU"/>
              </w:rPr>
            </w:pPr>
            <w:r>
              <w:rPr>
                <w:lang w:val="en-AU"/>
              </w:rPr>
              <w:t>3</w:t>
            </w:r>
          </w:p>
        </w:tc>
        <w:tc>
          <w:tcPr>
            <w:tcW w:w="736" w:type="dxa"/>
            <w:tcBorders>
              <w:top w:val="nil"/>
              <w:left w:val="nil"/>
              <w:bottom w:val="single" w:sz="4" w:space="0" w:color="auto"/>
              <w:right w:val="single" w:sz="4" w:space="0" w:color="auto"/>
            </w:tcBorders>
            <w:hideMark/>
          </w:tcPr>
          <w:p w14:paraId="7624CAC2" w14:textId="77777777" w:rsidR="00356D1E" w:rsidRDefault="00356D1E">
            <w:pPr>
              <w:jc w:val="right"/>
              <w:rPr>
                <w:rFonts w:eastAsiaTheme="minorEastAsia" w:cstheme="minorBidi"/>
                <w:sz w:val="20"/>
                <w:szCs w:val="20"/>
                <w:lang w:eastAsia="ja-JP"/>
              </w:rPr>
            </w:pPr>
            <w:r>
              <w:rPr>
                <w:rFonts w:eastAsiaTheme="minorEastAsia" w:cstheme="minorBidi"/>
                <w:sz w:val="20"/>
                <w:szCs w:val="20"/>
                <w:lang w:eastAsia="ja-JP"/>
              </w:rPr>
              <w:t>0</w:t>
            </w:r>
          </w:p>
        </w:tc>
        <w:tc>
          <w:tcPr>
            <w:tcW w:w="735" w:type="dxa"/>
            <w:tcBorders>
              <w:top w:val="nil"/>
              <w:left w:val="nil"/>
              <w:bottom w:val="single" w:sz="4" w:space="0" w:color="auto"/>
              <w:right w:val="single" w:sz="4" w:space="0" w:color="auto"/>
            </w:tcBorders>
            <w:hideMark/>
          </w:tcPr>
          <w:p w14:paraId="7C8374C0" w14:textId="77777777" w:rsidR="00356D1E" w:rsidRDefault="00356D1E">
            <w:pPr>
              <w:pStyle w:val="Tableformat"/>
              <w:jc w:val="right"/>
              <w:rPr>
                <w:lang w:val="en-AU"/>
              </w:rPr>
            </w:pPr>
            <w:r>
              <w:t>1</w:t>
            </w:r>
          </w:p>
        </w:tc>
        <w:tc>
          <w:tcPr>
            <w:tcW w:w="735" w:type="dxa"/>
            <w:tcBorders>
              <w:top w:val="nil"/>
              <w:left w:val="nil"/>
              <w:bottom w:val="single" w:sz="4" w:space="0" w:color="auto"/>
              <w:right w:val="single" w:sz="4" w:space="0" w:color="auto"/>
            </w:tcBorders>
            <w:hideMark/>
          </w:tcPr>
          <w:p w14:paraId="5A22E8C1" w14:textId="77777777" w:rsidR="00356D1E" w:rsidRDefault="00356D1E">
            <w:pPr>
              <w:jc w:val="right"/>
              <w:rPr>
                <w:rFonts w:eastAsiaTheme="minorEastAsia" w:cstheme="minorBidi"/>
                <w:sz w:val="20"/>
                <w:szCs w:val="20"/>
                <w:lang w:eastAsia="ja-JP"/>
              </w:rPr>
            </w:pPr>
            <w:r>
              <w:rPr>
                <w:rFonts w:eastAsiaTheme="minorEastAsia" w:cstheme="minorBidi"/>
                <w:sz w:val="20"/>
                <w:szCs w:val="20"/>
                <w:lang w:eastAsia="ja-JP"/>
              </w:rPr>
              <w:t>1</w:t>
            </w:r>
          </w:p>
        </w:tc>
        <w:tc>
          <w:tcPr>
            <w:tcW w:w="735" w:type="dxa"/>
            <w:tcBorders>
              <w:top w:val="nil"/>
              <w:left w:val="nil"/>
              <w:bottom w:val="single" w:sz="4" w:space="0" w:color="auto"/>
              <w:right w:val="single" w:sz="4" w:space="0" w:color="auto"/>
            </w:tcBorders>
            <w:hideMark/>
          </w:tcPr>
          <w:p w14:paraId="08480976" w14:textId="77777777" w:rsidR="00356D1E" w:rsidRDefault="00356D1E">
            <w:pPr>
              <w:pStyle w:val="Tableformat"/>
              <w:jc w:val="right"/>
              <w:rPr>
                <w:lang w:val="en-AU"/>
              </w:rPr>
            </w:pPr>
            <w:r>
              <w:rPr>
                <w:lang w:val="en-AU"/>
              </w:rPr>
              <w:t>1</w:t>
            </w:r>
          </w:p>
        </w:tc>
        <w:tc>
          <w:tcPr>
            <w:tcW w:w="736" w:type="dxa"/>
            <w:tcBorders>
              <w:top w:val="nil"/>
              <w:left w:val="nil"/>
              <w:bottom w:val="single" w:sz="4" w:space="0" w:color="auto"/>
              <w:right w:val="single" w:sz="4" w:space="0" w:color="auto"/>
            </w:tcBorders>
            <w:hideMark/>
          </w:tcPr>
          <w:p w14:paraId="4E9FA312" w14:textId="77777777" w:rsidR="00356D1E" w:rsidRDefault="00356D1E">
            <w:pPr>
              <w:pStyle w:val="Tableformat"/>
              <w:jc w:val="right"/>
              <w:rPr>
                <w:lang w:val="en-AU"/>
              </w:rPr>
            </w:pPr>
            <w:r>
              <w:rPr>
                <w:lang w:val="en-AU"/>
              </w:rPr>
              <w:t>2</w:t>
            </w:r>
          </w:p>
        </w:tc>
        <w:tc>
          <w:tcPr>
            <w:tcW w:w="735" w:type="dxa"/>
            <w:tcBorders>
              <w:top w:val="nil"/>
              <w:left w:val="nil"/>
              <w:bottom w:val="single" w:sz="4" w:space="0" w:color="auto"/>
              <w:right w:val="single" w:sz="4" w:space="0" w:color="auto"/>
            </w:tcBorders>
            <w:hideMark/>
          </w:tcPr>
          <w:p w14:paraId="5D3FD403" w14:textId="77777777" w:rsidR="00356D1E" w:rsidRDefault="00356D1E">
            <w:pPr>
              <w:pStyle w:val="Tableformat"/>
              <w:jc w:val="right"/>
              <w:rPr>
                <w:lang w:val="en-AU"/>
              </w:rPr>
            </w:pPr>
            <w:r>
              <w:rPr>
                <w:lang w:val="en-AU"/>
              </w:rPr>
              <w:t>7</w:t>
            </w:r>
          </w:p>
        </w:tc>
        <w:tc>
          <w:tcPr>
            <w:tcW w:w="735" w:type="dxa"/>
            <w:tcBorders>
              <w:top w:val="single" w:sz="4" w:space="0" w:color="auto"/>
              <w:left w:val="nil"/>
              <w:bottom w:val="single" w:sz="4" w:space="0" w:color="auto"/>
              <w:right w:val="single" w:sz="4" w:space="0" w:color="auto"/>
            </w:tcBorders>
            <w:hideMark/>
          </w:tcPr>
          <w:p w14:paraId="74B55532" w14:textId="77777777" w:rsidR="00356D1E" w:rsidRDefault="00356D1E">
            <w:pPr>
              <w:pStyle w:val="Tableformat"/>
              <w:jc w:val="right"/>
              <w:rPr>
                <w:lang w:val="en-AU"/>
              </w:rPr>
            </w:pPr>
            <w:r>
              <w:rPr>
                <w:lang w:val="en-AU"/>
              </w:rPr>
              <w:t>31</w:t>
            </w:r>
          </w:p>
        </w:tc>
        <w:tc>
          <w:tcPr>
            <w:tcW w:w="736" w:type="dxa"/>
            <w:tcBorders>
              <w:top w:val="single" w:sz="4" w:space="0" w:color="auto"/>
              <w:left w:val="single" w:sz="4" w:space="0" w:color="auto"/>
              <w:bottom w:val="single" w:sz="4" w:space="0" w:color="auto"/>
              <w:right w:val="single" w:sz="4" w:space="0" w:color="auto"/>
            </w:tcBorders>
            <w:hideMark/>
          </w:tcPr>
          <w:p w14:paraId="6B9264C2" w14:textId="77777777" w:rsidR="00356D1E" w:rsidRDefault="00356D1E">
            <w:pPr>
              <w:pStyle w:val="Tableformat"/>
              <w:jc w:val="right"/>
              <w:rPr>
                <w:lang w:val="en-AU"/>
              </w:rPr>
            </w:pPr>
            <w:r>
              <w:t>7</w:t>
            </w:r>
          </w:p>
        </w:tc>
      </w:tr>
      <w:tr w:rsidR="00356D1E" w14:paraId="7032F363" w14:textId="77777777" w:rsidTr="004041E8">
        <w:trPr>
          <w:trHeight w:val="306"/>
        </w:trPr>
        <w:tc>
          <w:tcPr>
            <w:tcW w:w="976" w:type="dxa"/>
            <w:tcBorders>
              <w:top w:val="nil"/>
              <w:left w:val="single" w:sz="4" w:space="0" w:color="auto"/>
              <w:bottom w:val="single" w:sz="4" w:space="0" w:color="auto"/>
              <w:right w:val="single" w:sz="4" w:space="0" w:color="auto"/>
            </w:tcBorders>
            <w:hideMark/>
          </w:tcPr>
          <w:p w14:paraId="5D1C7BC0" w14:textId="71D70721" w:rsidR="00356D1E" w:rsidRDefault="00356D1E">
            <w:pPr>
              <w:pStyle w:val="Tableformat"/>
              <w:rPr>
                <w:lang w:val="en-AU"/>
              </w:rPr>
            </w:pPr>
            <w:r>
              <w:rPr>
                <w:lang w:val="en-AU"/>
              </w:rPr>
              <w:t>Class 8</w:t>
            </w:r>
          </w:p>
        </w:tc>
        <w:tc>
          <w:tcPr>
            <w:tcW w:w="735" w:type="dxa"/>
            <w:tcBorders>
              <w:top w:val="nil"/>
              <w:left w:val="nil"/>
              <w:bottom w:val="single" w:sz="4" w:space="0" w:color="auto"/>
              <w:right w:val="single" w:sz="4" w:space="0" w:color="auto"/>
            </w:tcBorders>
            <w:hideMark/>
          </w:tcPr>
          <w:p w14:paraId="28C460CC" w14:textId="77777777" w:rsidR="00356D1E" w:rsidRDefault="00356D1E">
            <w:pPr>
              <w:pStyle w:val="Tableformat"/>
              <w:jc w:val="right"/>
              <w:rPr>
                <w:lang w:val="en-AU"/>
              </w:rPr>
            </w:pPr>
            <w:r>
              <w:rPr>
                <w:lang w:val="en-AU"/>
              </w:rPr>
              <w:t>38</w:t>
            </w:r>
          </w:p>
        </w:tc>
        <w:tc>
          <w:tcPr>
            <w:tcW w:w="735" w:type="dxa"/>
            <w:tcBorders>
              <w:top w:val="single" w:sz="4" w:space="0" w:color="auto"/>
              <w:left w:val="nil"/>
              <w:bottom w:val="single" w:sz="4" w:space="0" w:color="auto"/>
              <w:right w:val="single" w:sz="4" w:space="0" w:color="auto"/>
            </w:tcBorders>
          </w:tcPr>
          <w:p w14:paraId="6BF67E4D" w14:textId="33AE2718" w:rsidR="00356D1E" w:rsidRDefault="00356D1E">
            <w:pPr>
              <w:pStyle w:val="Tableformat"/>
              <w:jc w:val="right"/>
              <w:rPr>
                <w:lang w:val="en-AU"/>
              </w:rPr>
            </w:pPr>
            <w:r w:rsidRPr="00B053DB">
              <w:t>0</w:t>
            </w:r>
          </w:p>
        </w:tc>
        <w:tc>
          <w:tcPr>
            <w:tcW w:w="735" w:type="dxa"/>
            <w:tcBorders>
              <w:top w:val="nil"/>
              <w:left w:val="single" w:sz="4" w:space="0" w:color="auto"/>
              <w:bottom w:val="single" w:sz="4" w:space="0" w:color="auto"/>
              <w:right w:val="single" w:sz="4" w:space="0" w:color="auto"/>
            </w:tcBorders>
            <w:hideMark/>
          </w:tcPr>
          <w:p w14:paraId="10C2491B" w14:textId="379BB834" w:rsidR="00356D1E" w:rsidRDefault="00356D1E">
            <w:pPr>
              <w:pStyle w:val="Tableformat"/>
              <w:jc w:val="right"/>
              <w:rPr>
                <w:lang w:val="en-AU"/>
              </w:rPr>
            </w:pPr>
            <w:r>
              <w:rPr>
                <w:lang w:val="en-AU"/>
              </w:rPr>
              <w:t>0</w:t>
            </w:r>
          </w:p>
        </w:tc>
        <w:tc>
          <w:tcPr>
            <w:tcW w:w="735" w:type="dxa"/>
            <w:tcBorders>
              <w:top w:val="nil"/>
              <w:left w:val="single" w:sz="4" w:space="0" w:color="auto"/>
              <w:bottom w:val="single" w:sz="4" w:space="0" w:color="auto"/>
              <w:right w:val="single" w:sz="4" w:space="0" w:color="auto"/>
            </w:tcBorders>
            <w:hideMark/>
          </w:tcPr>
          <w:p w14:paraId="087B3FDE" w14:textId="68B54FF3" w:rsidR="00356D1E" w:rsidRDefault="00356D1E">
            <w:pPr>
              <w:pStyle w:val="Tableformat"/>
              <w:jc w:val="right"/>
              <w:rPr>
                <w:lang w:val="en-AU"/>
              </w:rPr>
            </w:pPr>
            <w:r>
              <w:rPr>
                <w:lang w:val="en-AU"/>
              </w:rPr>
              <w:t>7</w:t>
            </w:r>
          </w:p>
        </w:tc>
        <w:tc>
          <w:tcPr>
            <w:tcW w:w="736" w:type="dxa"/>
            <w:tcBorders>
              <w:top w:val="nil"/>
              <w:left w:val="nil"/>
              <w:bottom w:val="single" w:sz="4" w:space="0" w:color="auto"/>
              <w:right w:val="single" w:sz="4" w:space="0" w:color="auto"/>
            </w:tcBorders>
            <w:hideMark/>
          </w:tcPr>
          <w:p w14:paraId="7B4DDDD1" w14:textId="77777777" w:rsidR="00356D1E" w:rsidRDefault="00356D1E">
            <w:pPr>
              <w:pStyle w:val="Tableformat"/>
              <w:jc w:val="right"/>
              <w:rPr>
                <w:lang w:val="en-AU"/>
              </w:rPr>
            </w:pPr>
            <w:r>
              <w:rPr>
                <w:lang w:val="en-AU"/>
              </w:rPr>
              <w:t>0</w:t>
            </w:r>
          </w:p>
        </w:tc>
        <w:tc>
          <w:tcPr>
            <w:tcW w:w="735" w:type="dxa"/>
            <w:tcBorders>
              <w:top w:val="nil"/>
              <w:left w:val="nil"/>
              <w:bottom w:val="single" w:sz="4" w:space="0" w:color="auto"/>
              <w:right w:val="single" w:sz="4" w:space="0" w:color="auto"/>
            </w:tcBorders>
            <w:hideMark/>
          </w:tcPr>
          <w:p w14:paraId="7543A7A3" w14:textId="77777777" w:rsidR="00356D1E" w:rsidRDefault="00356D1E">
            <w:pPr>
              <w:pStyle w:val="Tableformat"/>
              <w:jc w:val="right"/>
              <w:rPr>
                <w:lang w:val="en-AU"/>
              </w:rPr>
            </w:pPr>
            <w:r>
              <w:t>0</w:t>
            </w:r>
          </w:p>
        </w:tc>
        <w:tc>
          <w:tcPr>
            <w:tcW w:w="735" w:type="dxa"/>
            <w:tcBorders>
              <w:top w:val="nil"/>
              <w:left w:val="nil"/>
              <w:bottom w:val="single" w:sz="4" w:space="0" w:color="auto"/>
              <w:right w:val="single" w:sz="4" w:space="0" w:color="auto"/>
            </w:tcBorders>
            <w:hideMark/>
          </w:tcPr>
          <w:p w14:paraId="3F831D10" w14:textId="77777777" w:rsidR="00356D1E" w:rsidRDefault="00356D1E">
            <w:pPr>
              <w:pStyle w:val="Tableformat"/>
              <w:jc w:val="right"/>
              <w:rPr>
                <w:lang w:val="en-AU"/>
              </w:rPr>
            </w:pPr>
            <w:r>
              <w:rPr>
                <w:lang w:val="en-AU"/>
              </w:rPr>
              <w:t>0</w:t>
            </w:r>
          </w:p>
        </w:tc>
        <w:tc>
          <w:tcPr>
            <w:tcW w:w="735" w:type="dxa"/>
            <w:tcBorders>
              <w:top w:val="nil"/>
              <w:left w:val="nil"/>
              <w:bottom w:val="single" w:sz="4" w:space="0" w:color="auto"/>
              <w:right w:val="single" w:sz="4" w:space="0" w:color="auto"/>
            </w:tcBorders>
            <w:hideMark/>
          </w:tcPr>
          <w:p w14:paraId="23FECA9A" w14:textId="77777777" w:rsidR="00356D1E" w:rsidRDefault="00356D1E">
            <w:pPr>
              <w:pStyle w:val="Tableformat"/>
              <w:jc w:val="right"/>
              <w:rPr>
                <w:lang w:val="en-AU"/>
              </w:rPr>
            </w:pPr>
            <w:r>
              <w:rPr>
                <w:lang w:val="en-AU"/>
              </w:rPr>
              <w:t>2</w:t>
            </w:r>
          </w:p>
        </w:tc>
        <w:tc>
          <w:tcPr>
            <w:tcW w:w="736" w:type="dxa"/>
            <w:tcBorders>
              <w:top w:val="nil"/>
              <w:left w:val="nil"/>
              <w:bottom w:val="single" w:sz="4" w:space="0" w:color="auto"/>
              <w:right w:val="single" w:sz="4" w:space="0" w:color="auto"/>
            </w:tcBorders>
            <w:hideMark/>
          </w:tcPr>
          <w:p w14:paraId="00AF3CFB" w14:textId="77777777" w:rsidR="00356D1E" w:rsidRDefault="00356D1E">
            <w:pPr>
              <w:pStyle w:val="Tableformat"/>
              <w:jc w:val="right"/>
              <w:rPr>
                <w:lang w:val="en-AU"/>
              </w:rPr>
            </w:pPr>
            <w:r>
              <w:rPr>
                <w:lang w:val="en-AU"/>
              </w:rPr>
              <w:t>1</w:t>
            </w:r>
          </w:p>
        </w:tc>
        <w:tc>
          <w:tcPr>
            <w:tcW w:w="735" w:type="dxa"/>
            <w:tcBorders>
              <w:top w:val="nil"/>
              <w:left w:val="nil"/>
              <w:bottom w:val="single" w:sz="4" w:space="0" w:color="auto"/>
              <w:right w:val="single" w:sz="4" w:space="0" w:color="auto"/>
            </w:tcBorders>
            <w:hideMark/>
          </w:tcPr>
          <w:p w14:paraId="5DC32427" w14:textId="77777777" w:rsidR="00356D1E" w:rsidRDefault="00356D1E">
            <w:pPr>
              <w:pStyle w:val="Tableformat"/>
              <w:jc w:val="right"/>
              <w:rPr>
                <w:lang w:val="en-AU"/>
              </w:rPr>
            </w:pPr>
            <w:r>
              <w:rPr>
                <w:lang w:val="en-AU"/>
              </w:rPr>
              <w:t>10</w:t>
            </w:r>
          </w:p>
        </w:tc>
        <w:tc>
          <w:tcPr>
            <w:tcW w:w="735" w:type="dxa"/>
            <w:tcBorders>
              <w:top w:val="single" w:sz="4" w:space="0" w:color="auto"/>
              <w:left w:val="nil"/>
              <w:bottom w:val="single" w:sz="4" w:space="0" w:color="auto"/>
              <w:right w:val="single" w:sz="4" w:space="0" w:color="auto"/>
            </w:tcBorders>
            <w:hideMark/>
          </w:tcPr>
          <w:p w14:paraId="224EC423" w14:textId="77777777" w:rsidR="00356D1E" w:rsidRDefault="00356D1E">
            <w:pPr>
              <w:pStyle w:val="Tableformat"/>
              <w:jc w:val="right"/>
              <w:rPr>
                <w:lang w:val="en-AU"/>
              </w:rPr>
            </w:pPr>
            <w:r>
              <w:rPr>
                <w:lang w:val="en-AU"/>
              </w:rPr>
              <w:t>48</w:t>
            </w:r>
          </w:p>
        </w:tc>
        <w:tc>
          <w:tcPr>
            <w:tcW w:w="736" w:type="dxa"/>
            <w:tcBorders>
              <w:top w:val="single" w:sz="4" w:space="0" w:color="auto"/>
              <w:left w:val="single" w:sz="4" w:space="0" w:color="auto"/>
              <w:bottom w:val="single" w:sz="4" w:space="0" w:color="auto"/>
              <w:right w:val="single" w:sz="4" w:space="0" w:color="auto"/>
            </w:tcBorders>
            <w:hideMark/>
          </w:tcPr>
          <w:p w14:paraId="42C73B19" w14:textId="77777777" w:rsidR="00356D1E" w:rsidRDefault="00356D1E">
            <w:pPr>
              <w:pStyle w:val="Tableformat"/>
              <w:jc w:val="right"/>
              <w:rPr>
                <w:lang w:val="en-AU"/>
              </w:rPr>
            </w:pPr>
            <w:r>
              <w:t>9</w:t>
            </w:r>
          </w:p>
        </w:tc>
      </w:tr>
      <w:tr w:rsidR="00356D1E" w14:paraId="13B503DE" w14:textId="77777777" w:rsidTr="004041E8">
        <w:trPr>
          <w:trHeight w:val="306"/>
        </w:trPr>
        <w:tc>
          <w:tcPr>
            <w:tcW w:w="976" w:type="dxa"/>
            <w:tcBorders>
              <w:top w:val="nil"/>
              <w:left w:val="single" w:sz="4" w:space="0" w:color="auto"/>
              <w:bottom w:val="single" w:sz="4" w:space="0" w:color="auto"/>
              <w:right w:val="single" w:sz="4" w:space="0" w:color="auto"/>
            </w:tcBorders>
            <w:hideMark/>
          </w:tcPr>
          <w:p w14:paraId="6DB01DD7" w14:textId="71E41C3E" w:rsidR="00356D1E" w:rsidRDefault="00356D1E">
            <w:pPr>
              <w:pStyle w:val="Tableformat"/>
              <w:rPr>
                <w:lang w:val="en-AU"/>
              </w:rPr>
            </w:pPr>
            <w:r>
              <w:rPr>
                <w:lang w:val="en-AU"/>
              </w:rPr>
              <w:t>Class 9</w:t>
            </w:r>
          </w:p>
        </w:tc>
        <w:tc>
          <w:tcPr>
            <w:tcW w:w="735" w:type="dxa"/>
            <w:tcBorders>
              <w:top w:val="nil"/>
              <w:left w:val="nil"/>
              <w:bottom w:val="single" w:sz="4" w:space="0" w:color="auto"/>
              <w:right w:val="single" w:sz="4" w:space="0" w:color="auto"/>
            </w:tcBorders>
            <w:hideMark/>
          </w:tcPr>
          <w:p w14:paraId="1875AB22" w14:textId="77777777" w:rsidR="00356D1E" w:rsidRDefault="00356D1E">
            <w:pPr>
              <w:pStyle w:val="Tableformat"/>
              <w:jc w:val="right"/>
              <w:rPr>
                <w:lang w:val="en-AU"/>
              </w:rPr>
            </w:pPr>
            <w:r>
              <w:rPr>
                <w:lang w:val="en-AU"/>
              </w:rPr>
              <w:t>54</w:t>
            </w:r>
          </w:p>
        </w:tc>
        <w:tc>
          <w:tcPr>
            <w:tcW w:w="735" w:type="dxa"/>
            <w:tcBorders>
              <w:top w:val="single" w:sz="4" w:space="0" w:color="auto"/>
              <w:left w:val="nil"/>
              <w:bottom w:val="single" w:sz="4" w:space="0" w:color="auto"/>
              <w:right w:val="single" w:sz="4" w:space="0" w:color="auto"/>
            </w:tcBorders>
          </w:tcPr>
          <w:p w14:paraId="56BE3A7A" w14:textId="3B1EA32E" w:rsidR="00356D1E" w:rsidRDefault="00356D1E">
            <w:pPr>
              <w:pStyle w:val="Tableformat"/>
              <w:jc w:val="right"/>
              <w:rPr>
                <w:lang w:val="en-AU"/>
              </w:rPr>
            </w:pPr>
            <w:r w:rsidRPr="00B053DB">
              <w:t>1</w:t>
            </w:r>
          </w:p>
        </w:tc>
        <w:tc>
          <w:tcPr>
            <w:tcW w:w="735" w:type="dxa"/>
            <w:tcBorders>
              <w:top w:val="nil"/>
              <w:left w:val="single" w:sz="4" w:space="0" w:color="auto"/>
              <w:bottom w:val="single" w:sz="4" w:space="0" w:color="auto"/>
              <w:right w:val="single" w:sz="4" w:space="0" w:color="auto"/>
            </w:tcBorders>
            <w:hideMark/>
          </w:tcPr>
          <w:p w14:paraId="7532EBB9" w14:textId="6A5840E3" w:rsidR="00356D1E" w:rsidRDefault="00356D1E">
            <w:pPr>
              <w:pStyle w:val="Tableformat"/>
              <w:jc w:val="right"/>
              <w:rPr>
                <w:lang w:val="en-AU"/>
              </w:rPr>
            </w:pPr>
            <w:r>
              <w:rPr>
                <w:lang w:val="en-AU"/>
              </w:rPr>
              <w:t>0</w:t>
            </w:r>
          </w:p>
        </w:tc>
        <w:tc>
          <w:tcPr>
            <w:tcW w:w="735" w:type="dxa"/>
            <w:tcBorders>
              <w:top w:val="nil"/>
              <w:left w:val="single" w:sz="4" w:space="0" w:color="auto"/>
              <w:bottom w:val="single" w:sz="4" w:space="0" w:color="auto"/>
              <w:right w:val="single" w:sz="4" w:space="0" w:color="auto"/>
            </w:tcBorders>
            <w:hideMark/>
          </w:tcPr>
          <w:p w14:paraId="3D8A1723" w14:textId="53A812ED" w:rsidR="00356D1E" w:rsidRDefault="00356D1E">
            <w:pPr>
              <w:pStyle w:val="Tableformat"/>
              <w:jc w:val="right"/>
              <w:rPr>
                <w:lang w:val="en-AU"/>
              </w:rPr>
            </w:pPr>
            <w:r>
              <w:rPr>
                <w:lang w:val="en-AU"/>
              </w:rPr>
              <w:t>1</w:t>
            </w:r>
          </w:p>
        </w:tc>
        <w:tc>
          <w:tcPr>
            <w:tcW w:w="736" w:type="dxa"/>
            <w:tcBorders>
              <w:top w:val="nil"/>
              <w:left w:val="nil"/>
              <w:bottom w:val="single" w:sz="4" w:space="0" w:color="auto"/>
              <w:right w:val="single" w:sz="4" w:space="0" w:color="auto"/>
            </w:tcBorders>
            <w:hideMark/>
          </w:tcPr>
          <w:p w14:paraId="75A66803" w14:textId="77777777" w:rsidR="00356D1E" w:rsidRDefault="00356D1E">
            <w:pPr>
              <w:pStyle w:val="Tableformat"/>
              <w:jc w:val="right"/>
              <w:rPr>
                <w:lang w:val="en-AU"/>
              </w:rPr>
            </w:pPr>
            <w:r>
              <w:rPr>
                <w:lang w:val="en-AU"/>
              </w:rPr>
              <w:t>0</w:t>
            </w:r>
          </w:p>
        </w:tc>
        <w:tc>
          <w:tcPr>
            <w:tcW w:w="735" w:type="dxa"/>
            <w:tcBorders>
              <w:top w:val="nil"/>
              <w:left w:val="nil"/>
              <w:bottom w:val="single" w:sz="4" w:space="0" w:color="auto"/>
              <w:right w:val="single" w:sz="4" w:space="0" w:color="auto"/>
            </w:tcBorders>
            <w:hideMark/>
          </w:tcPr>
          <w:p w14:paraId="0BF1342D" w14:textId="77777777" w:rsidR="00356D1E" w:rsidRDefault="00356D1E">
            <w:pPr>
              <w:pStyle w:val="Tableformat"/>
              <w:jc w:val="right"/>
              <w:rPr>
                <w:lang w:val="en-AU"/>
              </w:rPr>
            </w:pPr>
            <w:r>
              <w:t>7</w:t>
            </w:r>
          </w:p>
        </w:tc>
        <w:tc>
          <w:tcPr>
            <w:tcW w:w="735" w:type="dxa"/>
            <w:tcBorders>
              <w:top w:val="nil"/>
              <w:left w:val="nil"/>
              <w:bottom w:val="single" w:sz="4" w:space="0" w:color="auto"/>
              <w:right w:val="single" w:sz="4" w:space="0" w:color="auto"/>
            </w:tcBorders>
            <w:hideMark/>
          </w:tcPr>
          <w:p w14:paraId="3F6B6A34" w14:textId="77777777" w:rsidR="00356D1E" w:rsidRDefault="00356D1E">
            <w:pPr>
              <w:pStyle w:val="Tableformat"/>
              <w:jc w:val="right"/>
              <w:rPr>
                <w:lang w:val="en-AU"/>
              </w:rPr>
            </w:pPr>
            <w:r>
              <w:rPr>
                <w:lang w:val="en-AU"/>
              </w:rPr>
              <w:t>2</w:t>
            </w:r>
          </w:p>
        </w:tc>
        <w:tc>
          <w:tcPr>
            <w:tcW w:w="735" w:type="dxa"/>
            <w:tcBorders>
              <w:top w:val="nil"/>
              <w:left w:val="nil"/>
              <w:bottom w:val="single" w:sz="4" w:space="0" w:color="auto"/>
              <w:right w:val="single" w:sz="4" w:space="0" w:color="auto"/>
            </w:tcBorders>
            <w:hideMark/>
          </w:tcPr>
          <w:p w14:paraId="16D62E26" w14:textId="77777777" w:rsidR="00356D1E" w:rsidRDefault="00356D1E">
            <w:pPr>
              <w:pStyle w:val="Tableformat"/>
              <w:jc w:val="right"/>
              <w:rPr>
                <w:lang w:val="en-AU"/>
              </w:rPr>
            </w:pPr>
            <w:r>
              <w:rPr>
                <w:lang w:val="en-AU"/>
              </w:rPr>
              <w:t>0</w:t>
            </w:r>
          </w:p>
        </w:tc>
        <w:tc>
          <w:tcPr>
            <w:tcW w:w="736" w:type="dxa"/>
            <w:tcBorders>
              <w:top w:val="nil"/>
              <w:left w:val="nil"/>
              <w:bottom w:val="single" w:sz="4" w:space="0" w:color="auto"/>
              <w:right w:val="single" w:sz="4" w:space="0" w:color="auto"/>
            </w:tcBorders>
            <w:hideMark/>
          </w:tcPr>
          <w:p w14:paraId="31B538CE" w14:textId="77777777" w:rsidR="00356D1E" w:rsidRDefault="00356D1E">
            <w:pPr>
              <w:pStyle w:val="Tableformat"/>
              <w:jc w:val="right"/>
              <w:rPr>
                <w:lang w:val="en-AU"/>
              </w:rPr>
            </w:pPr>
            <w:r>
              <w:rPr>
                <w:lang w:val="en-AU"/>
              </w:rPr>
              <w:t>2</w:t>
            </w:r>
          </w:p>
        </w:tc>
        <w:tc>
          <w:tcPr>
            <w:tcW w:w="735" w:type="dxa"/>
            <w:tcBorders>
              <w:top w:val="nil"/>
              <w:left w:val="nil"/>
              <w:bottom w:val="single" w:sz="4" w:space="0" w:color="auto"/>
              <w:right w:val="single" w:sz="4" w:space="0" w:color="auto"/>
            </w:tcBorders>
            <w:hideMark/>
          </w:tcPr>
          <w:p w14:paraId="1050F7E0" w14:textId="77777777" w:rsidR="00356D1E" w:rsidRDefault="00356D1E">
            <w:pPr>
              <w:pStyle w:val="Tableformat"/>
              <w:jc w:val="right"/>
              <w:rPr>
                <w:lang w:val="en-AU"/>
              </w:rPr>
            </w:pPr>
            <w:r>
              <w:rPr>
                <w:lang w:val="en-AU"/>
              </w:rPr>
              <w:t>11</w:t>
            </w:r>
          </w:p>
        </w:tc>
        <w:tc>
          <w:tcPr>
            <w:tcW w:w="735" w:type="dxa"/>
            <w:tcBorders>
              <w:top w:val="single" w:sz="4" w:space="0" w:color="auto"/>
              <w:left w:val="nil"/>
              <w:bottom w:val="single" w:sz="4" w:space="0" w:color="auto"/>
              <w:right w:val="single" w:sz="4" w:space="0" w:color="auto"/>
            </w:tcBorders>
            <w:hideMark/>
          </w:tcPr>
          <w:p w14:paraId="0D421954" w14:textId="77777777" w:rsidR="00356D1E" w:rsidRDefault="00356D1E">
            <w:pPr>
              <w:pStyle w:val="Tableformat"/>
              <w:jc w:val="right"/>
              <w:rPr>
                <w:lang w:val="en-AU"/>
              </w:rPr>
            </w:pPr>
            <w:r>
              <w:rPr>
                <w:lang w:val="en-AU"/>
              </w:rPr>
              <w:t>65</w:t>
            </w:r>
          </w:p>
        </w:tc>
        <w:tc>
          <w:tcPr>
            <w:tcW w:w="736" w:type="dxa"/>
            <w:tcBorders>
              <w:top w:val="single" w:sz="4" w:space="0" w:color="auto"/>
              <w:left w:val="single" w:sz="4" w:space="0" w:color="auto"/>
              <w:bottom w:val="single" w:sz="4" w:space="0" w:color="auto"/>
              <w:right w:val="single" w:sz="4" w:space="0" w:color="auto"/>
            </w:tcBorders>
            <w:hideMark/>
          </w:tcPr>
          <w:p w14:paraId="3BD273E6" w14:textId="77777777" w:rsidR="00356D1E" w:rsidRDefault="00356D1E">
            <w:pPr>
              <w:pStyle w:val="Tableformat"/>
              <w:jc w:val="right"/>
              <w:rPr>
                <w:lang w:val="en-AU"/>
              </w:rPr>
            </w:pPr>
            <w:r>
              <w:t>8</w:t>
            </w:r>
          </w:p>
        </w:tc>
      </w:tr>
      <w:tr w:rsidR="00356D1E" w14:paraId="63B48200" w14:textId="77777777" w:rsidTr="004041E8">
        <w:trPr>
          <w:trHeight w:val="306"/>
        </w:trPr>
        <w:tc>
          <w:tcPr>
            <w:tcW w:w="976" w:type="dxa"/>
            <w:tcBorders>
              <w:top w:val="nil"/>
              <w:left w:val="single" w:sz="4" w:space="0" w:color="auto"/>
              <w:bottom w:val="single" w:sz="4" w:space="0" w:color="auto"/>
              <w:right w:val="single" w:sz="4" w:space="0" w:color="auto"/>
            </w:tcBorders>
            <w:hideMark/>
          </w:tcPr>
          <w:p w14:paraId="22620FCD" w14:textId="7834C40F" w:rsidR="00356D1E" w:rsidRDefault="00356D1E">
            <w:pPr>
              <w:pStyle w:val="Tableformat"/>
              <w:rPr>
                <w:lang w:val="en-AU"/>
              </w:rPr>
            </w:pPr>
            <w:r>
              <w:rPr>
                <w:lang w:val="en-AU"/>
              </w:rPr>
              <w:t>Class 10</w:t>
            </w:r>
          </w:p>
        </w:tc>
        <w:tc>
          <w:tcPr>
            <w:tcW w:w="735" w:type="dxa"/>
            <w:tcBorders>
              <w:top w:val="nil"/>
              <w:left w:val="nil"/>
              <w:bottom w:val="single" w:sz="4" w:space="0" w:color="auto"/>
              <w:right w:val="single" w:sz="4" w:space="0" w:color="auto"/>
            </w:tcBorders>
            <w:hideMark/>
          </w:tcPr>
          <w:p w14:paraId="2704EF22" w14:textId="77777777" w:rsidR="00356D1E" w:rsidRDefault="00356D1E">
            <w:pPr>
              <w:pStyle w:val="Tableformat"/>
              <w:jc w:val="right"/>
              <w:rPr>
                <w:lang w:val="en-AU"/>
              </w:rPr>
            </w:pPr>
            <w:r>
              <w:rPr>
                <w:lang w:val="en-AU"/>
              </w:rPr>
              <w:t>35</w:t>
            </w:r>
          </w:p>
        </w:tc>
        <w:tc>
          <w:tcPr>
            <w:tcW w:w="735" w:type="dxa"/>
            <w:tcBorders>
              <w:top w:val="single" w:sz="4" w:space="0" w:color="auto"/>
              <w:left w:val="nil"/>
              <w:bottom w:val="single" w:sz="4" w:space="0" w:color="auto"/>
              <w:right w:val="single" w:sz="4" w:space="0" w:color="auto"/>
            </w:tcBorders>
          </w:tcPr>
          <w:p w14:paraId="67177501" w14:textId="2166DEEC" w:rsidR="00356D1E" w:rsidRDefault="00356D1E">
            <w:pPr>
              <w:pStyle w:val="Tableformat"/>
              <w:jc w:val="right"/>
              <w:rPr>
                <w:lang w:val="en-AU"/>
              </w:rPr>
            </w:pPr>
            <w:r w:rsidRPr="00B053DB">
              <w:t>0</w:t>
            </w:r>
          </w:p>
        </w:tc>
        <w:tc>
          <w:tcPr>
            <w:tcW w:w="735" w:type="dxa"/>
            <w:tcBorders>
              <w:top w:val="nil"/>
              <w:left w:val="single" w:sz="4" w:space="0" w:color="auto"/>
              <w:bottom w:val="single" w:sz="4" w:space="0" w:color="auto"/>
              <w:right w:val="single" w:sz="4" w:space="0" w:color="auto"/>
            </w:tcBorders>
            <w:hideMark/>
          </w:tcPr>
          <w:p w14:paraId="0356C605" w14:textId="5AD63761" w:rsidR="00356D1E" w:rsidRDefault="00356D1E">
            <w:pPr>
              <w:pStyle w:val="Tableformat"/>
              <w:jc w:val="right"/>
              <w:rPr>
                <w:lang w:val="en-AU"/>
              </w:rPr>
            </w:pPr>
            <w:r>
              <w:rPr>
                <w:lang w:val="en-AU"/>
              </w:rPr>
              <w:t>0</w:t>
            </w:r>
          </w:p>
        </w:tc>
        <w:tc>
          <w:tcPr>
            <w:tcW w:w="735" w:type="dxa"/>
            <w:tcBorders>
              <w:top w:val="nil"/>
              <w:left w:val="single" w:sz="4" w:space="0" w:color="auto"/>
              <w:bottom w:val="single" w:sz="4" w:space="0" w:color="auto"/>
              <w:right w:val="single" w:sz="4" w:space="0" w:color="auto"/>
            </w:tcBorders>
            <w:hideMark/>
          </w:tcPr>
          <w:p w14:paraId="32F7590D" w14:textId="5B74B7FF" w:rsidR="00356D1E" w:rsidRDefault="00356D1E">
            <w:pPr>
              <w:pStyle w:val="Tableformat"/>
              <w:jc w:val="right"/>
              <w:rPr>
                <w:lang w:val="en-AU"/>
              </w:rPr>
            </w:pPr>
            <w:r>
              <w:rPr>
                <w:lang w:val="en-AU"/>
              </w:rPr>
              <w:t>1</w:t>
            </w:r>
          </w:p>
        </w:tc>
        <w:tc>
          <w:tcPr>
            <w:tcW w:w="736" w:type="dxa"/>
            <w:tcBorders>
              <w:top w:val="nil"/>
              <w:left w:val="nil"/>
              <w:bottom w:val="single" w:sz="4" w:space="0" w:color="auto"/>
              <w:right w:val="single" w:sz="4" w:space="0" w:color="auto"/>
            </w:tcBorders>
            <w:hideMark/>
          </w:tcPr>
          <w:p w14:paraId="56201A25" w14:textId="77777777" w:rsidR="00356D1E" w:rsidRDefault="00356D1E">
            <w:pPr>
              <w:pStyle w:val="Tableformat"/>
              <w:jc w:val="right"/>
              <w:rPr>
                <w:lang w:val="en-AU"/>
              </w:rPr>
            </w:pPr>
            <w:r>
              <w:rPr>
                <w:lang w:val="en-AU"/>
              </w:rPr>
              <w:t>0</w:t>
            </w:r>
          </w:p>
        </w:tc>
        <w:tc>
          <w:tcPr>
            <w:tcW w:w="735" w:type="dxa"/>
            <w:tcBorders>
              <w:top w:val="nil"/>
              <w:left w:val="nil"/>
              <w:bottom w:val="single" w:sz="4" w:space="0" w:color="auto"/>
              <w:right w:val="single" w:sz="4" w:space="0" w:color="auto"/>
            </w:tcBorders>
            <w:hideMark/>
          </w:tcPr>
          <w:p w14:paraId="2897CFCA" w14:textId="77777777" w:rsidR="00356D1E" w:rsidRDefault="00356D1E">
            <w:pPr>
              <w:pStyle w:val="Tableformat"/>
              <w:jc w:val="right"/>
              <w:rPr>
                <w:lang w:val="en-AU"/>
              </w:rPr>
            </w:pPr>
            <w:r>
              <w:t>3</w:t>
            </w:r>
          </w:p>
        </w:tc>
        <w:tc>
          <w:tcPr>
            <w:tcW w:w="735" w:type="dxa"/>
            <w:tcBorders>
              <w:top w:val="nil"/>
              <w:left w:val="nil"/>
              <w:bottom w:val="single" w:sz="4" w:space="0" w:color="auto"/>
              <w:right w:val="single" w:sz="4" w:space="0" w:color="auto"/>
            </w:tcBorders>
            <w:hideMark/>
          </w:tcPr>
          <w:p w14:paraId="630B43C2" w14:textId="77777777" w:rsidR="00356D1E" w:rsidRDefault="00356D1E">
            <w:pPr>
              <w:pStyle w:val="Tableformat"/>
              <w:jc w:val="right"/>
              <w:rPr>
                <w:lang w:val="en-AU"/>
              </w:rPr>
            </w:pPr>
            <w:r>
              <w:rPr>
                <w:lang w:val="en-AU"/>
              </w:rPr>
              <w:t>0</w:t>
            </w:r>
          </w:p>
        </w:tc>
        <w:tc>
          <w:tcPr>
            <w:tcW w:w="735" w:type="dxa"/>
            <w:tcBorders>
              <w:top w:val="nil"/>
              <w:left w:val="nil"/>
              <w:bottom w:val="single" w:sz="4" w:space="0" w:color="auto"/>
              <w:right w:val="single" w:sz="4" w:space="0" w:color="auto"/>
            </w:tcBorders>
            <w:hideMark/>
          </w:tcPr>
          <w:p w14:paraId="42335F57" w14:textId="77777777" w:rsidR="00356D1E" w:rsidRDefault="00356D1E">
            <w:pPr>
              <w:pStyle w:val="Tableformat"/>
              <w:jc w:val="right"/>
              <w:rPr>
                <w:lang w:val="en-AU"/>
              </w:rPr>
            </w:pPr>
            <w:r>
              <w:rPr>
                <w:lang w:val="en-AU"/>
              </w:rPr>
              <w:t>0</w:t>
            </w:r>
          </w:p>
        </w:tc>
        <w:tc>
          <w:tcPr>
            <w:tcW w:w="736" w:type="dxa"/>
            <w:tcBorders>
              <w:top w:val="nil"/>
              <w:left w:val="nil"/>
              <w:bottom w:val="single" w:sz="4" w:space="0" w:color="auto"/>
              <w:right w:val="single" w:sz="4" w:space="0" w:color="auto"/>
            </w:tcBorders>
            <w:hideMark/>
          </w:tcPr>
          <w:p w14:paraId="47DD5BBB" w14:textId="77777777" w:rsidR="00356D1E" w:rsidRDefault="00356D1E">
            <w:pPr>
              <w:pStyle w:val="Tableformat"/>
              <w:jc w:val="right"/>
              <w:rPr>
                <w:lang w:val="en-AU"/>
              </w:rPr>
            </w:pPr>
            <w:r>
              <w:rPr>
                <w:lang w:val="en-AU"/>
              </w:rPr>
              <w:t>0</w:t>
            </w:r>
          </w:p>
        </w:tc>
        <w:tc>
          <w:tcPr>
            <w:tcW w:w="735" w:type="dxa"/>
            <w:tcBorders>
              <w:top w:val="nil"/>
              <w:left w:val="nil"/>
              <w:bottom w:val="single" w:sz="4" w:space="0" w:color="auto"/>
              <w:right w:val="single" w:sz="4" w:space="0" w:color="auto"/>
            </w:tcBorders>
            <w:hideMark/>
          </w:tcPr>
          <w:p w14:paraId="1214E795" w14:textId="77777777" w:rsidR="00356D1E" w:rsidRDefault="00356D1E">
            <w:pPr>
              <w:pStyle w:val="Tableformat"/>
              <w:jc w:val="right"/>
              <w:rPr>
                <w:lang w:val="en-AU"/>
              </w:rPr>
            </w:pPr>
            <w:r>
              <w:rPr>
                <w:lang w:val="en-AU"/>
              </w:rPr>
              <w:t>4</w:t>
            </w:r>
          </w:p>
        </w:tc>
        <w:tc>
          <w:tcPr>
            <w:tcW w:w="735" w:type="dxa"/>
            <w:tcBorders>
              <w:top w:val="single" w:sz="4" w:space="0" w:color="auto"/>
              <w:left w:val="nil"/>
              <w:bottom w:val="single" w:sz="4" w:space="0" w:color="auto"/>
              <w:right w:val="single" w:sz="4" w:space="0" w:color="auto"/>
            </w:tcBorders>
            <w:hideMark/>
          </w:tcPr>
          <w:p w14:paraId="47050004" w14:textId="77777777" w:rsidR="00356D1E" w:rsidRDefault="00356D1E">
            <w:pPr>
              <w:pStyle w:val="Tableformat"/>
              <w:jc w:val="right"/>
              <w:rPr>
                <w:lang w:val="en-AU"/>
              </w:rPr>
            </w:pPr>
            <w:r>
              <w:rPr>
                <w:lang w:val="en-AU"/>
              </w:rPr>
              <w:t>39</w:t>
            </w:r>
          </w:p>
        </w:tc>
        <w:tc>
          <w:tcPr>
            <w:tcW w:w="736" w:type="dxa"/>
            <w:tcBorders>
              <w:top w:val="single" w:sz="4" w:space="0" w:color="auto"/>
              <w:left w:val="single" w:sz="4" w:space="0" w:color="auto"/>
              <w:bottom w:val="single" w:sz="4" w:space="0" w:color="auto"/>
              <w:right w:val="single" w:sz="4" w:space="0" w:color="auto"/>
            </w:tcBorders>
            <w:hideMark/>
          </w:tcPr>
          <w:p w14:paraId="25DE7ED5" w14:textId="77777777" w:rsidR="00356D1E" w:rsidRDefault="00356D1E">
            <w:pPr>
              <w:pStyle w:val="Tableformat"/>
              <w:jc w:val="right"/>
              <w:rPr>
                <w:lang w:val="en-AU"/>
              </w:rPr>
            </w:pPr>
            <w:r>
              <w:t>11</w:t>
            </w:r>
          </w:p>
        </w:tc>
      </w:tr>
      <w:tr w:rsidR="00356D1E" w14:paraId="71C5407A" w14:textId="77777777" w:rsidTr="004041E8">
        <w:trPr>
          <w:trHeight w:val="306"/>
        </w:trPr>
        <w:tc>
          <w:tcPr>
            <w:tcW w:w="976" w:type="dxa"/>
            <w:tcBorders>
              <w:top w:val="nil"/>
              <w:left w:val="single" w:sz="4" w:space="0" w:color="auto"/>
              <w:bottom w:val="single" w:sz="4" w:space="0" w:color="auto"/>
              <w:right w:val="single" w:sz="4" w:space="0" w:color="auto"/>
            </w:tcBorders>
            <w:hideMark/>
          </w:tcPr>
          <w:p w14:paraId="1EEC24ED" w14:textId="46CC6C96" w:rsidR="00356D1E" w:rsidRDefault="00356D1E">
            <w:pPr>
              <w:pStyle w:val="Tableformat"/>
              <w:rPr>
                <w:lang w:val="en-AU"/>
              </w:rPr>
            </w:pPr>
            <w:r>
              <w:rPr>
                <w:lang w:val="en-AU"/>
              </w:rPr>
              <w:t>Class 11</w:t>
            </w:r>
          </w:p>
        </w:tc>
        <w:tc>
          <w:tcPr>
            <w:tcW w:w="735" w:type="dxa"/>
            <w:tcBorders>
              <w:top w:val="nil"/>
              <w:left w:val="nil"/>
              <w:bottom w:val="single" w:sz="4" w:space="0" w:color="auto"/>
              <w:right w:val="single" w:sz="4" w:space="0" w:color="auto"/>
            </w:tcBorders>
            <w:hideMark/>
          </w:tcPr>
          <w:p w14:paraId="6451534A" w14:textId="77777777" w:rsidR="00356D1E" w:rsidRDefault="00356D1E">
            <w:pPr>
              <w:pStyle w:val="Tableformat"/>
              <w:jc w:val="right"/>
              <w:rPr>
                <w:lang w:val="en-AU"/>
              </w:rPr>
            </w:pPr>
            <w:r>
              <w:rPr>
                <w:lang w:val="en-AU"/>
              </w:rPr>
              <w:t>38</w:t>
            </w:r>
          </w:p>
        </w:tc>
        <w:tc>
          <w:tcPr>
            <w:tcW w:w="735" w:type="dxa"/>
            <w:tcBorders>
              <w:top w:val="single" w:sz="4" w:space="0" w:color="auto"/>
              <w:left w:val="nil"/>
              <w:bottom w:val="single" w:sz="4" w:space="0" w:color="auto"/>
              <w:right w:val="single" w:sz="4" w:space="0" w:color="auto"/>
            </w:tcBorders>
          </w:tcPr>
          <w:p w14:paraId="6CB8C11E" w14:textId="0282DAF4" w:rsidR="00356D1E" w:rsidRDefault="00356D1E">
            <w:pPr>
              <w:pStyle w:val="Tableformat"/>
              <w:jc w:val="right"/>
              <w:rPr>
                <w:lang w:val="en-AU"/>
              </w:rPr>
            </w:pPr>
            <w:r w:rsidRPr="00B053DB">
              <w:t>1</w:t>
            </w:r>
          </w:p>
        </w:tc>
        <w:tc>
          <w:tcPr>
            <w:tcW w:w="735" w:type="dxa"/>
            <w:tcBorders>
              <w:top w:val="nil"/>
              <w:left w:val="single" w:sz="4" w:space="0" w:color="auto"/>
              <w:bottom w:val="single" w:sz="4" w:space="0" w:color="auto"/>
              <w:right w:val="single" w:sz="4" w:space="0" w:color="auto"/>
            </w:tcBorders>
            <w:hideMark/>
          </w:tcPr>
          <w:p w14:paraId="1EF52AC2" w14:textId="09F08F5E" w:rsidR="00356D1E" w:rsidRDefault="00356D1E">
            <w:pPr>
              <w:pStyle w:val="Tableformat"/>
              <w:jc w:val="right"/>
              <w:rPr>
                <w:lang w:val="en-AU"/>
              </w:rPr>
            </w:pPr>
            <w:r>
              <w:rPr>
                <w:lang w:val="en-AU"/>
              </w:rPr>
              <w:t>0</w:t>
            </w:r>
          </w:p>
        </w:tc>
        <w:tc>
          <w:tcPr>
            <w:tcW w:w="735" w:type="dxa"/>
            <w:tcBorders>
              <w:top w:val="nil"/>
              <w:left w:val="single" w:sz="4" w:space="0" w:color="auto"/>
              <w:bottom w:val="single" w:sz="4" w:space="0" w:color="auto"/>
              <w:right w:val="single" w:sz="4" w:space="0" w:color="auto"/>
            </w:tcBorders>
            <w:hideMark/>
          </w:tcPr>
          <w:p w14:paraId="3E760508" w14:textId="1642FC8B" w:rsidR="00356D1E" w:rsidRDefault="00356D1E">
            <w:pPr>
              <w:pStyle w:val="Tableformat"/>
              <w:jc w:val="right"/>
              <w:rPr>
                <w:lang w:val="en-AU"/>
              </w:rPr>
            </w:pPr>
            <w:r>
              <w:rPr>
                <w:lang w:val="en-AU"/>
              </w:rPr>
              <w:t>0</w:t>
            </w:r>
          </w:p>
        </w:tc>
        <w:tc>
          <w:tcPr>
            <w:tcW w:w="736" w:type="dxa"/>
            <w:tcBorders>
              <w:top w:val="nil"/>
              <w:left w:val="nil"/>
              <w:bottom w:val="single" w:sz="4" w:space="0" w:color="auto"/>
              <w:right w:val="single" w:sz="4" w:space="0" w:color="auto"/>
            </w:tcBorders>
            <w:hideMark/>
          </w:tcPr>
          <w:p w14:paraId="50ABD25B" w14:textId="77777777" w:rsidR="00356D1E" w:rsidRDefault="00356D1E">
            <w:pPr>
              <w:pStyle w:val="Tableformat"/>
              <w:jc w:val="right"/>
              <w:rPr>
                <w:lang w:val="en-AU"/>
              </w:rPr>
            </w:pPr>
            <w:r>
              <w:rPr>
                <w:lang w:val="en-AU"/>
              </w:rPr>
              <w:t>1</w:t>
            </w:r>
          </w:p>
        </w:tc>
        <w:tc>
          <w:tcPr>
            <w:tcW w:w="735" w:type="dxa"/>
            <w:tcBorders>
              <w:top w:val="nil"/>
              <w:left w:val="nil"/>
              <w:bottom w:val="single" w:sz="4" w:space="0" w:color="auto"/>
              <w:right w:val="single" w:sz="4" w:space="0" w:color="auto"/>
            </w:tcBorders>
            <w:hideMark/>
          </w:tcPr>
          <w:p w14:paraId="6AB1CDB7" w14:textId="77777777" w:rsidR="00356D1E" w:rsidRDefault="00356D1E">
            <w:pPr>
              <w:pStyle w:val="Tableformat"/>
              <w:jc w:val="right"/>
              <w:rPr>
                <w:lang w:val="en-AU"/>
              </w:rPr>
            </w:pPr>
            <w:r>
              <w:t>3</w:t>
            </w:r>
          </w:p>
        </w:tc>
        <w:tc>
          <w:tcPr>
            <w:tcW w:w="735" w:type="dxa"/>
            <w:tcBorders>
              <w:top w:val="nil"/>
              <w:left w:val="nil"/>
              <w:bottom w:val="single" w:sz="4" w:space="0" w:color="auto"/>
              <w:right w:val="single" w:sz="4" w:space="0" w:color="auto"/>
            </w:tcBorders>
            <w:hideMark/>
          </w:tcPr>
          <w:p w14:paraId="422DCB75" w14:textId="77777777" w:rsidR="00356D1E" w:rsidRDefault="00356D1E">
            <w:pPr>
              <w:pStyle w:val="Tableformat"/>
              <w:jc w:val="right"/>
              <w:rPr>
                <w:lang w:val="en-AU"/>
              </w:rPr>
            </w:pPr>
            <w:r>
              <w:rPr>
                <w:lang w:val="en-AU"/>
              </w:rPr>
              <w:t>2</w:t>
            </w:r>
          </w:p>
        </w:tc>
        <w:tc>
          <w:tcPr>
            <w:tcW w:w="735" w:type="dxa"/>
            <w:tcBorders>
              <w:top w:val="nil"/>
              <w:left w:val="nil"/>
              <w:bottom w:val="single" w:sz="4" w:space="0" w:color="auto"/>
              <w:right w:val="single" w:sz="4" w:space="0" w:color="auto"/>
            </w:tcBorders>
            <w:hideMark/>
          </w:tcPr>
          <w:p w14:paraId="71E32982" w14:textId="77777777" w:rsidR="00356D1E" w:rsidRDefault="00356D1E">
            <w:pPr>
              <w:pStyle w:val="Tableformat"/>
              <w:jc w:val="right"/>
              <w:rPr>
                <w:lang w:val="en-AU"/>
              </w:rPr>
            </w:pPr>
            <w:r>
              <w:rPr>
                <w:lang w:val="en-AU"/>
              </w:rPr>
              <w:t>0</w:t>
            </w:r>
          </w:p>
        </w:tc>
        <w:tc>
          <w:tcPr>
            <w:tcW w:w="736" w:type="dxa"/>
            <w:tcBorders>
              <w:top w:val="nil"/>
              <w:left w:val="nil"/>
              <w:bottom w:val="single" w:sz="4" w:space="0" w:color="auto"/>
              <w:right w:val="single" w:sz="4" w:space="0" w:color="auto"/>
            </w:tcBorders>
            <w:hideMark/>
          </w:tcPr>
          <w:p w14:paraId="32BC508C" w14:textId="77777777" w:rsidR="00356D1E" w:rsidRDefault="00356D1E">
            <w:pPr>
              <w:pStyle w:val="Tableformat"/>
              <w:jc w:val="right"/>
              <w:rPr>
                <w:lang w:val="en-AU"/>
              </w:rPr>
            </w:pPr>
            <w:r>
              <w:rPr>
                <w:lang w:val="en-AU"/>
              </w:rPr>
              <w:t>1</w:t>
            </w:r>
          </w:p>
        </w:tc>
        <w:tc>
          <w:tcPr>
            <w:tcW w:w="735" w:type="dxa"/>
            <w:tcBorders>
              <w:top w:val="nil"/>
              <w:left w:val="nil"/>
              <w:bottom w:val="single" w:sz="4" w:space="0" w:color="auto"/>
              <w:right w:val="single" w:sz="4" w:space="0" w:color="auto"/>
            </w:tcBorders>
            <w:hideMark/>
          </w:tcPr>
          <w:p w14:paraId="7D6AC91F" w14:textId="77777777" w:rsidR="00356D1E" w:rsidRDefault="00356D1E">
            <w:pPr>
              <w:pStyle w:val="Tableformat"/>
              <w:jc w:val="right"/>
              <w:rPr>
                <w:lang w:val="en-AU"/>
              </w:rPr>
            </w:pPr>
            <w:r>
              <w:rPr>
                <w:lang w:val="en-AU"/>
              </w:rPr>
              <w:t>6</w:t>
            </w:r>
          </w:p>
        </w:tc>
        <w:tc>
          <w:tcPr>
            <w:tcW w:w="735" w:type="dxa"/>
            <w:tcBorders>
              <w:top w:val="single" w:sz="4" w:space="0" w:color="auto"/>
              <w:left w:val="nil"/>
              <w:bottom w:val="single" w:sz="4" w:space="0" w:color="auto"/>
              <w:right w:val="single" w:sz="4" w:space="0" w:color="auto"/>
            </w:tcBorders>
            <w:hideMark/>
          </w:tcPr>
          <w:p w14:paraId="04B2A84C" w14:textId="77777777" w:rsidR="00356D1E" w:rsidRDefault="00356D1E">
            <w:pPr>
              <w:pStyle w:val="Tableformat"/>
              <w:jc w:val="right"/>
              <w:rPr>
                <w:lang w:val="en-AU"/>
              </w:rPr>
            </w:pPr>
            <w:r>
              <w:rPr>
                <w:lang w:val="en-AU"/>
              </w:rPr>
              <w:t>44</w:t>
            </w:r>
          </w:p>
        </w:tc>
        <w:tc>
          <w:tcPr>
            <w:tcW w:w="736" w:type="dxa"/>
            <w:tcBorders>
              <w:top w:val="single" w:sz="4" w:space="0" w:color="auto"/>
              <w:left w:val="single" w:sz="4" w:space="0" w:color="auto"/>
              <w:bottom w:val="single" w:sz="4" w:space="0" w:color="auto"/>
              <w:right w:val="single" w:sz="4" w:space="0" w:color="auto"/>
            </w:tcBorders>
            <w:hideMark/>
          </w:tcPr>
          <w:p w14:paraId="54EF0CA7" w14:textId="77777777" w:rsidR="00356D1E" w:rsidRDefault="00356D1E">
            <w:pPr>
              <w:pStyle w:val="Tableformat"/>
              <w:jc w:val="right"/>
              <w:rPr>
                <w:lang w:val="en-AU"/>
              </w:rPr>
            </w:pPr>
            <w:r>
              <w:t>5</w:t>
            </w:r>
          </w:p>
        </w:tc>
      </w:tr>
      <w:tr w:rsidR="00356D1E" w14:paraId="25BB40E0" w14:textId="77777777" w:rsidTr="004041E8">
        <w:trPr>
          <w:trHeight w:val="306"/>
        </w:trPr>
        <w:tc>
          <w:tcPr>
            <w:tcW w:w="976" w:type="dxa"/>
            <w:tcBorders>
              <w:top w:val="nil"/>
              <w:left w:val="single" w:sz="4" w:space="0" w:color="auto"/>
              <w:bottom w:val="single" w:sz="4" w:space="0" w:color="auto"/>
              <w:right w:val="single" w:sz="4" w:space="0" w:color="auto"/>
            </w:tcBorders>
            <w:hideMark/>
          </w:tcPr>
          <w:p w14:paraId="3747720C" w14:textId="4E026343" w:rsidR="00356D1E" w:rsidRDefault="00356D1E">
            <w:pPr>
              <w:pStyle w:val="Tableformat"/>
              <w:rPr>
                <w:lang w:val="en-AU"/>
              </w:rPr>
            </w:pPr>
            <w:r>
              <w:rPr>
                <w:lang w:val="en-AU"/>
              </w:rPr>
              <w:t>Class 12</w:t>
            </w:r>
          </w:p>
        </w:tc>
        <w:tc>
          <w:tcPr>
            <w:tcW w:w="735" w:type="dxa"/>
            <w:tcBorders>
              <w:top w:val="nil"/>
              <w:left w:val="nil"/>
              <w:bottom w:val="single" w:sz="4" w:space="0" w:color="auto"/>
              <w:right w:val="single" w:sz="4" w:space="0" w:color="auto"/>
            </w:tcBorders>
            <w:hideMark/>
          </w:tcPr>
          <w:p w14:paraId="4AEEF539" w14:textId="77777777" w:rsidR="00356D1E" w:rsidRDefault="00356D1E">
            <w:pPr>
              <w:pStyle w:val="Tableformat"/>
              <w:jc w:val="right"/>
              <w:rPr>
                <w:lang w:val="en-AU"/>
              </w:rPr>
            </w:pPr>
            <w:r>
              <w:rPr>
                <w:lang w:val="en-AU"/>
              </w:rPr>
              <w:t>36</w:t>
            </w:r>
          </w:p>
        </w:tc>
        <w:tc>
          <w:tcPr>
            <w:tcW w:w="735" w:type="dxa"/>
            <w:tcBorders>
              <w:top w:val="single" w:sz="4" w:space="0" w:color="auto"/>
              <w:left w:val="nil"/>
              <w:bottom w:val="single" w:sz="4" w:space="0" w:color="auto"/>
              <w:right w:val="single" w:sz="4" w:space="0" w:color="auto"/>
            </w:tcBorders>
          </w:tcPr>
          <w:p w14:paraId="4A039817" w14:textId="71168699" w:rsidR="00356D1E" w:rsidRDefault="00356D1E">
            <w:pPr>
              <w:pStyle w:val="Tableformat"/>
              <w:jc w:val="right"/>
              <w:rPr>
                <w:lang w:val="en-AU"/>
              </w:rPr>
            </w:pPr>
            <w:r w:rsidRPr="00B053DB">
              <w:t>1</w:t>
            </w:r>
          </w:p>
        </w:tc>
        <w:tc>
          <w:tcPr>
            <w:tcW w:w="735" w:type="dxa"/>
            <w:tcBorders>
              <w:top w:val="nil"/>
              <w:left w:val="single" w:sz="4" w:space="0" w:color="auto"/>
              <w:bottom w:val="single" w:sz="4" w:space="0" w:color="auto"/>
              <w:right w:val="single" w:sz="4" w:space="0" w:color="auto"/>
            </w:tcBorders>
            <w:hideMark/>
          </w:tcPr>
          <w:p w14:paraId="4C4274C2" w14:textId="06D5900B" w:rsidR="00356D1E" w:rsidRDefault="00356D1E">
            <w:pPr>
              <w:pStyle w:val="Tableformat"/>
              <w:jc w:val="right"/>
              <w:rPr>
                <w:lang w:val="en-AU"/>
              </w:rPr>
            </w:pPr>
            <w:r>
              <w:rPr>
                <w:lang w:val="en-AU"/>
              </w:rPr>
              <w:t>1</w:t>
            </w:r>
          </w:p>
        </w:tc>
        <w:tc>
          <w:tcPr>
            <w:tcW w:w="735" w:type="dxa"/>
            <w:tcBorders>
              <w:top w:val="nil"/>
              <w:left w:val="single" w:sz="4" w:space="0" w:color="auto"/>
              <w:bottom w:val="single" w:sz="4" w:space="0" w:color="auto"/>
              <w:right w:val="single" w:sz="4" w:space="0" w:color="auto"/>
            </w:tcBorders>
            <w:hideMark/>
          </w:tcPr>
          <w:p w14:paraId="2C860348" w14:textId="65193197" w:rsidR="00356D1E" w:rsidRDefault="00356D1E">
            <w:pPr>
              <w:jc w:val="right"/>
              <w:rPr>
                <w:rFonts w:eastAsiaTheme="minorEastAsia" w:cstheme="minorBidi"/>
                <w:sz w:val="20"/>
                <w:szCs w:val="20"/>
                <w:lang w:eastAsia="ja-JP"/>
              </w:rPr>
            </w:pPr>
            <w:r>
              <w:rPr>
                <w:rFonts w:eastAsiaTheme="minorEastAsia" w:cstheme="minorBidi"/>
                <w:sz w:val="20"/>
                <w:szCs w:val="20"/>
                <w:lang w:eastAsia="ja-JP"/>
              </w:rPr>
              <w:t>0</w:t>
            </w:r>
          </w:p>
        </w:tc>
        <w:tc>
          <w:tcPr>
            <w:tcW w:w="736" w:type="dxa"/>
            <w:tcBorders>
              <w:top w:val="nil"/>
              <w:left w:val="nil"/>
              <w:bottom w:val="single" w:sz="4" w:space="0" w:color="auto"/>
              <w:right w:val="single" w:sz="4" w:space="0" w:color="auto"/>
            </w:tcBorders>
            <w:hideMark/>
          </w:tcPr>
          <w:p w14:paraId="2C389B9A" w14:textId="77777777" w:rsidR="00356D1E" w:rsidRDefault="00356D1E">
            <w:pPr>
              <w:pStyle w:val="Tableformat"/>
              <w:jc w:val="right"/>
              <w:rPr>
                <w:lang w:val="en-AU"/>
              </w:rPr>
            </w:pPr>
            <w:r>
              <w:rPr>
                <w:lang w:val="en-AU"/>
              </w:rPr>
              <w:t>1</w:t>
            </w:r>
          </w:p>
        </w:tc>
        <w:tc>
          <w:tcPr>
            <w:tcW w:w="735" w:type="dxa"/>
            <w:tcBorders>
              <w:top w:val="nil"/>
              <w:left w:val="nil"/>
              <w:bottom w:val="single" w:sz="4" w:space="0" w:color="auto"/>
              <w:right w:val="single" w:sz="4" w:space="0" w:color="auto"/>
            </w:tcBorders>
            <w:hideMark/>
          </w:tcPr>
          <w:p w14:paraId="12B63080" w14:textId="77777777" w:rsidR="00356D1E" w:rsidRDefault="00356D1E">
            <w:pPr>
              <w:jc w:val="right"/>
              <w:rPr>
                <w:rFonts w:eastAsiaTheme="minorEastAsia" w:cstheme="minorBidi"/>
                <w:sz w:val="20"/>
                <w:szCs w:val="20"/>
                <w:lang w:eastAsia="ja-JP"/>
              </w:rPr>
            </w:pPr>
            <w:r>
              <w:t>1</w:t>
            </w:r>
          </w:p>
        </w:tc>
        <w:tc>
          <w:tcPr>
            <w:tcW w:w="735" w:type="dxa"/>
            <w:tcBorders>
              <w:top w:val="nil"/>
              <w:left w:val="nil"/>
              <w:bottom w:val="single" w:sz="4" w:space="0" w:color="auto"/>
              <w:right w:val="single" w:sz="4" w:space="0" w:color="auto"/>
            </w:tcBorders>
            <w:hideMark/>
          </w:tcPr>
          <w:p w14:paraId="726F51E6" w14:textId="77777777" w:rsidR="00356D1E" w:rsidRDefault="00356D1E">
            <w:pPr>
              <w:jc w:val="right"/>
              <w:rPr>
                <w:rFonts w:eastAsiaTheme="minorEastAsia" w:cstheme="minorBidi"/>
                <w:sz w:val="20"/>
                <w:szCs w:val="20"/>
                <w:lang w:eastAsia="ja-JP"/>
              </w:rPr>
            </w:pPr>
            <w:r>
              <w:rPr>
                <w:rFonts w:eastAsiaTheme="minorEastAsia" w:cstheme="minorBidi"/>
                <w:sz w:val="20"/>
                <w:szCs w:val="20"/>
                <w:lang w:eastAsia="ja-JP"/>
              </w:rPr>
              <w:t>0</w:t>
            </w:r>
          </w:p>
        </w:tc>
        <w:tc>
          <w:tcPr>
            <w:tcW w:w="735" w:type="dxa"/>
            <w:tcBorders>
              <w:top w:val="nil"/>
              <w:left w:val="nil"/>
              <w:bottom w:val="single" w:sz="4" w:space="0" w:color="auto"/>
              <w:right w:val="single" w:sz="4" w:space="0" w:color="auto"/>
            </w:tcBorders>
            <w:hideMark/>
          </w:tcPr>
          <w:p w14:paraId="33A5D59F" w14:textId="77777777" w:rsidR="00356D1E" w:rsidRDefault="00356D1E">
            <w:pPr>
              <w:jc w:val="right"/>
              <w:rPr>
                <w:rFonts w:eastAsiaTheme="minorEastAsia" w:cstheme="minorBidi"/>
                <w:sz w:val="20"/>
                <w:szCs w:val="20"/>
                <w:lang w:eastAsia="ja-JP"/>
              </w:rPr>
            </w:pPr>
            <w:r>
              <w:rPr>
                <w:rFonts w:eastAsiaTheme="minorEastAsia" w:cstheme="minorBidi"/>
                <w:sz w:val="20"/>
                <w:szCs w:val="20"/>
                <w:lang w:eastAsia="ja-JP"/>
              </w:rPr>
              <w:t>0</w:t>
            </w:r>
          </w:p>
        </w:tc>
        <w:tc>
          <w:tcPr>
            <w:tcW w:w="736" w:type="dxa"/>
            <w:tcBorders>
              <w:top w:val="nil"/>
              <w:left w:val="nil"/>
              <w:bottom w:val="single" w:sz="4" w:space="0" w:color="auto"/>
              <w:right w:val="single" w:sz="4" w:space="0" w:color="auto"/>
            </w:tcBorders>
            <w:hideMark/>
          </w:tcPr>
          <w:p w14:paraId="7C011258" w14:textId="77777777" w:rsidR="00356D1E" w:rsidRDefault="00356D1E">
            <w:pPr>
              <w:pStyle w:val="Tableformat"/>
              <w:jc w:val="right"/>
              <w:rPr>
                <w:lang w:val="en-AU"/>
              </w:rPr>
            </w:pPr>
            <w:r>
              <w:rPr>
                <w:lang w:val="en-AU"/>
              </w:rPr>
              <w:t>1</w:t>
            </w:r>
          </w:p>
        </w:tc>
        <w:tc>
          <w:tcPr>
            <w:tcW w:w="735" w:type="dxa"/>
            <w:tcBorders>
              <w:top w:val="nil"/>
              <w:left w:val="nil"/>
              <w:bottom w:val="single" w:sz="4" w:space="0" w:color="auto"/>
              <w:right w:val="single" w:sz="4" w:space="0" w:color="auto"/>
            </w:tcBorders>
            <w:hideMark/>
          </w:tcPr>
          <w:p w14:paraId="5029B526" w14:textId="77777777" w:rsidR="00356D1E" w:rsidRDefault="00356D1E">
            <w:pPr>
              <w:pStyle w:val="Tableformat"/>
              <w:jc w:val="right"/>
              <w:rPr>
                <w:lang w:val="en-AU"/>
              </w:rPr>
            </w:pPr>
            <w:r>
              <w:rPr>
                <w:lang w:val="en-AU"/>
              </w:rPr>
              <w:t>3</w:t>
            </w:r>
          </w:p>
        </w:tc>
        <w:tc>
          <w:tcPr>
            <w:tcW w:w="735" w:type="dxa"/>
            <w:tcBorders>
              <w:top w:val="single" w:sz="4" w:space="0" w:color="auto"/>
              <w:left w:val="nil"/>
              <w:bottom w:val="single" w:sz="4" w:space="0" w:color="auto"/>
              <w:right w:val="single" w:sz="4" w:space="0" w:color="auto"/>
            </w:tcBorders>
            <w:hideMark/>
          </w:tcPr>
          <w:p w14:paraId="6B176452" w14:textId="77777777" w:rsidR="00356D1E" w:rsidRDefault="00356D1E">
            <w:pPr>
              <w:pStyle w:val="Tableformat"/>
              <w:jc w:val="right"/>
              <w:rPr>
                <w:lang w:val="en-AU"/>
              </w:rPr>
            </w:pPr>
            <w:r>
              <w:rPr>
                <w:lang w:val="en-AU"/>
              </w:rPr>
              <w:t>39</w:t>
            </w:r>
          </w:p>
        </w:tc>
        <w:tc>
          <w:tcPr>
            <w:tcW w:w="736" w:type="dxa"/>
            <w:tcBorders>
              <w:top w:val="single" w:sz="4" w:space="0" w:color="auto"/>
              <w:left w:val="single" w:sz="4" w:space="0" w:color="auto"/>
              <w:bottom w:val="single" w:sz="4" w:space="0" w:color="auto"/>
              <w:right w:val="single" w:sz="4" w:space="0" w:color="auto"/>
            </w:tcBorders>
            <w:hideMark/>
          </w:tcPr>
          <w:p w14:paraId="7B707EBE" w14:textId="77777777" w:rsidR="00356D1E" w:rsidRDefault="00356D1E">
            <w:pPr>
              <w:pStyle w:val="Tableformat"/>
              <w:jc w:val="right"/>
              <w:rPr>
                <w:lang w:val="en-AU"/>
              </w:rPr>
            </w:pPr>
            <w:r>
              <w:t>10</w:t>
            </w:r>
          </w:p>
        </w:tc>
      </w:tr>
      <w:tr w:rsidR="00356D1E" w14:paraId="7C7DF066" w14:textId="77777777" w:rsidTr="004041E8">
        <w:trPr>
          <w:trHeight w:val="306"/>
        </w:trPr>
        <w:tc>
          <w:tcPr>
            <w:tcW w:w="976" w:type="dxa"/>
            <w:tcBorders>
              <w:top w:val="nil"/>
              <w:left w:val="single" w:sz="4" w:space="0" w:color="auto"/>
              <w:bottom w:val="single" w:sz="4" w:space="0" w:color="auto"/>
              <w:right w:val="single" w:sz="4" w:space="0" w:color="auto"/>
            </w:tcBorders>
            <w:hideMark/>
          </w:tcPr>
          <w:p w14:paraId="1BB4A2F9" w14:textId="3A0D900B" w:rsidR="00356D1E" w:rsidRDefault="00356D1E">
            <w:pPr>
              <w:pStyle w:val="Tableformat"/>
              <w:rPr>
                <w:lang w:val="en-AU"/>
              </w:rPr>
            </w:pPr>
            <w:r>
              <w:rPr>
                <w:lang w:val="en-AU"/>
              </w:rPr>
              <w:t>Class 13</w:t>
            </w:r>
          </w:p>
        </w:tc>
        <w:tc>
          <w:tcPr>
            <w:tcW w:w="735" w:type="dxa"/>
            <w:tcBorders>
              <w:top w:val="nil"/>
              <w:left w:val="nil"/>
              <w:bottom w:val="single" w:sz="4" w:space="0" w:color="auto"/>
              <w:right w:val="single" w:sz="4" w:space="0" w:color="auto"/>
            </w:tcBorders>
            <w:hideMark/>
          </w:tcPr>
          <w:p w14:paraId="7BDCFCE0" w14:textId="77777777" w:rsidR="00356D1E" w:rsidRDefault="00356D1E">
            <w:pPr>
              <w:pStyle w:val="Tableformat"/>
              <w:jc w:val="right"/>
              <w:rPr>
                <w:lang w:val="en-AU"/>
              </w:rPr>
            </w:pPr>
            <w:r>
              <w:rPr>
                <w:lang w:val="en-AU"/>
              </w:rPr>
              <w:t>67</w:t>
            </w:r>
          </w:p>
        </w:tc>
        <w:tc>
          <w:tcPr>
            <w:tcW w:w="735" w:type="dxa"/>
            <w:tcBorders>
              <w:top w:val="single" w:sz="4" w:space="0" w:color="auto"/>
              <w:left w:val="nil"/>
              <w:bottom w:val="single" w:sz="4" w:space="0" w:color="auto"/>
              <w:right w:val="single" w:sz="4" w:space="0" w:color="auto"/>
            </w:tcBorders>
          </w:tcPr>
          <w:p w14:paraId="0549FB3F" w14:textId="08369220" w:rsidR="00356D1E" w:rsidRDefault="00356D1E">
            <w:pPr>
              <w:pStyle w:val="Tableformat"/>
              <w:jc w:val="right"/>
              <w:rPr>
                <w:lang w:val="en-AU"/>
              </w:rPr>
            </w:pPr>
            <w:r w:rsidRPr="00B053DB">
              <w:t>1</w:t>
            </w:r>
          </w:p>
        </w:tc>
        <w:tc>
          <w:tcPr>
            <w:tcW w:w="735" w:type="dxa"/>
            <w:tcBorders>
              <w:top w:val="nil"/>
              <w:left w:val="single" w:sz="4" w:space="0" w:color="auto"/>
              <w:bottom w:val="single" w:sz="4" w:space="0" w:color="auto"/>
              <w:right w:val="single" w:sz="4" w:space="0" w:color="auto"/>
            </w:tcBorders>
            <w:hideMark/>
          </w:tcPr>
          <w:p w14:paraId="67DE1615" w14:textId="06EE76A3" w:rsidR="00356D1E" w:rsidRDefault="00356D1E">
            <w:pPr>
              <w:pStyle w:val="Tableformat"/>
              <w:jc w:val="right"/>
              <w:rPr>
                <w:lang w:val="en-AU"/>
              </w:rPr>
            </w:pPr>
            <w:r>
              <w:rPr>
                <w:lang w:val="en-AU"/>
              </w:rPr>
              <w:t>0</w:t>
            </w:r>
          </w:p>
        </w:tc>
        <w:tc>
          <w:tcPr>
            <w:tcW w:w="735" w:type="dxa"/>
            <w:tcBorders>
              <w:top w:val="nil"/>
              <w:left w:val="single" w:sz="4" w:space="0" w:color="auto"/>
              <w:bottom w:val="single" w:sz="4" w:space="0" w:color="auto"/>
              <w:right w:val="single" w:sz="4" w:space="0" w:color="auto"/>
            </w:tcBorders>
            <w:hideMark/>
          </w:tcPr>
          <w:p w14:paraId="4E021572" w14:textId="469F2C5E" w:rsidR="00356D1E" w:rsidRDefault="00356D1E">
            <w:pPr>
              <w:pStyle w:val="Tableformat"/>
              <w:jc w:val="right"/>
              <w:rPr>
                <w:lang w:val="en-AU"/>
              </w:rPr>
            </w:pPr>
            <w:r>
              <w:rPr>
                <w:lang w:val="en-AU"/>
              </w:rPr>
              <w:t>1</w:t>
            </w:r>
          </w:p>
        </w:tc>
        <w:tc>
          <w:tcPr>
            <w:tcW w:w="736" w:type="dxa"/>
            <w:tcBorders>
              <w:top w:val="nil"/>
              <w:left w:val="nil"/>
              <w:bottom w:val="single" w:sz="4" w:space="0" w:color="auto"/>
              <w:right w:val="single" w:sz="4" w:space="0" w:color="auto"/>
            </w:tcBorders>
            <w:hideMark/>
          </w:tcPr>
          <w:p w14:paraId="40FD8CE2" w14:textId="77777777" w:rsidR="00356D1E" w:rsidRDefault="00356D1E">
            <w:pPr>
              <w:pStyle w:val="Tableformat"/>
              <w:jc w:val="right"/>
              <w:rPr>
                <w:lang w:val="en-AU"/>
              </w:rPr>
            </w:pPr>
            <w:r>
              <w:rPr>
                <w:lang w:val="en-AU"/>
              </w:rPr>
              <w:t>0</w:t>
            </w:r>
          </w:p>
        </w:tc>
        <w:tc>
          <w:tcPr>
            <w:tcW w:w="735" w:type="dxa"/>
            <w:tcBorders>
              <w:top w:val="nil"/>
              <w:left w:val="nil"/>
              <w:bottom w:val="single" w:sz="4" w:space="0" w:color="auto"/>
              <w:right w:val="single" w:sz="4" w:space="0" w:color="auto"/>
            </w:tcBorders>
            <w:hideMark/>
          </w:tcPr>
          <w:p w14:paraId="5A12851B" w14:textId="77777777" w:rsidR="00356D1E" w:rsidRDefault="00356D1E">
            <w:pPr>
              <w:pStyle w:val="Tableformat"/>
              <w:jc w:val="right"/>
              <w:rPr>
                <w:lang w:val="en-AU"/>
              </w:rPr>
            </w:pPr>
            <w:r>
              <w:t>2</w:t>
            </w:r>
          </w:p>
        </w:tc>
        <w:tc>
          <w:tcPr>
            <w:tcW w:w="735" w:type="dxa"/>
            <w:tcBorders>
              <w:top w:val="nil"/>
              <w:left w:val="nil"/>
              <w:bottom w:val="single" w:sz="4" w:space="0" w:color="auto"/>
              <w:right w:val="single" w:sz="4" w:space="0" w:color="auto"/>
            </w:tcBorders>
            <w:hideMark/>
          </w:tcPr>
          <w:p w14:paraId="13892FD5" w14:textId="77777777" w:rsidR="00356D1E" w:rsidRDefault="00356D1E">
            <w:pPr>
              <w:pStyle w:val="Tableformat"/>
              <w:jc w:val="right"/>
              <w:rPr>
                <w:lang w:val="en-AU"/>
              </w:rPr>
            </w:pPr>
            <w:r>
              <w:rPr>
                <w:lang w:val="en-AU"/>
              </w:rPr>
              <w:t>0</w:t>
            </w:r>
          </w:p>
        </w:tc>
        <w:tc>
          <w:tcPr>
            <w:tcW w:w="735" w:type="dxa"/>
            <w:tcBorders>
              <w:top w:val="nil"/>
              <w:left w:val="nil"/>
              <w:bottom w:val="single" w:sz="4" w:space="0" w:color="auto"/>
              <w:right w:val="single" w:sz="4" w:space="0" w:color="auto"/>
            </w:tcBorders>
            <w:hideMark/>
          </w:tcPr>
          <w:p w14:paraId="10FCBBC0" w14:textId="77777777" w:rsidR="00356D1E" w:rsidRDefault="00356D1E">
            <w:pPr>
              <w:pStyle w:val="Tableformat"/>
              <w:jc w:val="right"/>
              <w:rPr>
                <w:lang w:val="en-AU"/>
              </w:rPr>
            </w:pPr>
            <w:r>
              <w:rPr>
                <w:lang w:val="en-AU"/>
              </w:rPr>
              <w:t>3</w:t>
            </w:r>
          </w:p>
        </w:tc>
        <w:tc>
          <w:tcPr>
            <w:tcW w:w="736" w:type="dxa"/>
            <w:tcBorders>
              <w:top w:val="nil"/>
              <w:left w:val="nil"/>
              <w:bottom w:val="single" w:sz="4" w:space="0" w:color="auto"/>
              <w:right w:val="single" w:sz="4" w:space="0" w:color="auto"/>
            </w:tcBorders>
            <w:hideMark/>
          </w:tcPr>
          <w:p w14:paraId="4ABB5F29" w14:textId="77777777" w:rsidR="00356D1E" w:rsidRDefault="00356D1E">
            <w:pPr>
              <w:pStyle w:val="Tableformat"/>
              <w:jc w:val="right"/>
              <w:rPr>
                <w:lang w:val="en-AU"/>
              </w:rPr>
            </w:pPr>
            <w:r>
              <w:rPr>
                <w:lang w:val="en-AU"/>
              </w:rPr>
              <w:t>3</w:t>
            </w:r>
          </w:p>
        </w:tc>
        <w:tc>
          <w:tcPr>
            <w:tcW w:w="735" w:type="dxa"/>
            <w:tcBorders>
              <w:top w:val="nil"/>
              <w:left w:val="nil"/>
              <w:bottom w:val="single" w:sz="4" w:space="0" w:color="auto"/>
              <w:right w:val="single" w:sz="4" w:space="0" w:color="auto"/>
            </w:tcBorders>
            <w:hideMark/>
          </w:tcPr>
          <w:p w14:paraId="113E7A65" w14:textId="77777777" w:rsidR="00356D1E" w:rsidRDefault="00356D1E">
            <w:pPr>
              <w:pStyle w:val="Tableformat"/>
              <w:jc w:val="right"/>
              <w:rPr>
                <w:lang w:val="en-AU"/>
              </w:rPr>
            </w:pPr>
            <w:r>
              <w:rPr>
                <w:lang w:val="en-AU"/>
              </w:rPr>
              <w:t>8</w:t>
            </w:r>
          </w:p>
        </w:tc>
        <w:tc>
          <w:tcPr>
            <w:tcW w:w="735" w:type="dxa"/>
            <w:tcBorders>
              <w:top w:val="single" w:sz="4" w:space="0" w:color="auto"/>
              <w:left w:val="nil"/>
              <w:bottom w:val="single" w:sz="4" w:space="0" w:color="auto"/>
              <w:right w:val="single" w:sz="4" w:space="0" w:color="auto"/>
            </w:tcBorders>
            <w:hideMark/>
          </w:tcPr>
          <w:p w14:paraId="24EA27A5" w14:textId="77777777" w:rsidR="00356D1E" w:rsidRDefault="00356D1E">
            <w:pPr>
              <w:pStyle w:val="Tableformat"/>
              <w:jc w:val="right"/>
              <w:rPr>
                <w:lang w:val="en-AU"/>
              </w:rPr>
            </w:pPr>
            <w:r>
              <w:rPr>
                <w:lang w:val="en-AU"/>
              </w:rPr>
              <w:t>75</w:t>
            </w:r>
          </w:p>
        </w:tc>
        <w:tc>
          <w:tcPr>
            <w:tcW w:w="736" w:type="dxa"/>
            <w:tcBorders>
              <w:top w:val="single" w:sz="4" w:space="0" w:color="auto"/>
              <w:left w:val="single" w:sz="4" w:space="0" w:color="auto"/>
              <w:bottom w:val="single" w:sz="4" w:space="0" w:color="auto"/>
              <w:right w:val="single" w:sz="4" w:space="0" w:color="auto"/>
            </w:tcBorders>
            <w:hideMark/>
          </w:tcPr>
          <w:p w14:paraId="45FFAC33" w14:textId="77777777" w:rsidR="00356D1E" w:rsidRDefault="00356D1E">
            <w:pPr>
              <w:pStyle w:val="Tableformat"/>
              <w:jc w:val="right"/>
              <w:rPr>
                <w:lang w:val="en-AU"/>
              </w:rPr>
            </w:pPr>
            <w:r>
              <w:t>23</w:t>
            </w:r>
          </w:p>
        </w:tc>
      </w:tr>
      <w:tr w:rsidR="00356D1E" w14:paraId="3037AE0E" w14:textId="77777777" w:rsidTr="004041E8">
        <w:trPr>
          <w:trHeight w:val="306"/>
        </w:trPr>
        <w:tc>
          <w:tcPr>
            <w:tcW w:w="976" w:type="dxa"/>
            <w:tcBorders>
              <w:top w:val="nil"/>
              <w:left w:val="single" w:sz="4" w:space="0" w:color="auto"/>
              <w:bottom w:val="single" w:sz="4" w:space="0" w:color="auto"/>
              <w:right w:val="single" w:sz="4" w:space="0" w:color="auto"/>
            </w:tcBorders>
            <w:hideMark/>
          </w:tcPr>
          <w:p w14:paraId="067C6B06" w14:textId="77777777" w:rsidR="00356D1E" w:rsidRDefault="00356D1E">
            <w:pPr>
              <w:pStyle w:val="Tableformat"/>
              <w:rPr>
                <w:b/>
                <w:lang w:val="en-AU"/>
              </w:rPr>
            </w:pPr>
            <w:r>
              <w:rPr>
                <w:b/>
                <w:lang w:val="en-AU"/>
              </w:rPr>
              <w:t>All</w:t>
            </w:r>
          </w:p>
        </w:tc>
        <w:tc>
          <w:tcPr>
            <w:tcW w:w="735" w:type="dxa"/>
            <w:tcBorders>
              <w:top w:val="nil"/>
              <w:left w:val="nil"/>
              <w:bottom w:val="single" w:sz="4" w:space="0" w:color="auto"/>
              <w:right w:val="single" w:sz="4" w:space="0" w:color="auto"/>
            </w:tcBorders>
            <w:hideMark/>
          </w:tcPr>
          <w:p w14:paraId="6E22834B" w14:textId="77777777" w:rsidR="00356D1E" w:rsidRDefault="00356D1E">
            <w:pPr>
              <w:pStyle w:val="Tableformat"/>
              <w:jc w:val="right"/>
              <w:rPr>
                <w:b/>
                <w:lang w:val="en-AU"/>
              </w:rPr>
            </w:pPr>
            <w:r>
              <w:rPr>
                <w:b/>
                <w:lang w:val="en-AU"/>
              </w:rPr>
              <w:t>681</w:t>
            </w:r>
          </w:p>
        </w:tc>
        <w:tc>
          <w:tcPr>
            <w:tcW w:w="735" w:type="dxa"/>
            <w:tcBorders>
              <w:top w:val="single" w:sz="4" w:space="0" w:color="auto"/>
              <w:left w:val="nil"/>
              <w:bottom w:val="single" w:sz="4" w:space="0" w:color="auto"/>
              <w:right w:val="single" w:sz="4" w:space="0" w:color="auto"/>
            </w:tcBorders>
          </w:tcPr>
          <w:p w14:paraId="485E2BE0" w14:textId="3A384A22" w:rsidR="00356D1E" w:rsidRDefault="00356D1E">
            <w:pPr>
              <w:pStyle w:val="Tableformat"/>
              <w:jc w:val="right"/>
              <w:rPr>
                <w:b/>
                <w:lang w:val="en-AU"/>
              </w:rPr>
            </w:pPr>
            <w:r>
              <w:rPr>
                <w:b/>
                <w:lang w:val="en-AU"/>
              </w:rPr>
              <w:t>12</w:t>
            </w:r>
          </w:p>
        </w:tc>
        <w:tc>
          <w:tcPr>
            <w:tcW w:w="735" w:type="dxa"/>
            <w:tcBorders>
              <w:top w:val="nil"/>
              <w:left w:val="single" w:sz="4" w:space="0" w:color="auto"/>
              <w:bottom w:val="single" w:sz="4" w:space="0" w:color="auto"/>
              <w:right w:val="single" w:sz="4" w:space="0" w:color="auto"/>
            </w:tcBorders>
            <w:hideMark/>
          </w:tcPr>
          <w:p w14:paraId="3D13C457" w14:textId="023863ED" w:rsidR="00356D1E" w:rsidRDefault="00356D1E">
            <w:pPr>
              <w:pStyle w:val="Tableformat"/>
              <w:jc w:val="right"/>
              <w:rPr>
                <w:b/>
                <w:lang w:val="en-AU"/>
              </w:rPr>
            </w:pPr>
            <w:r>
              <w:rPr>
                <w:b/>
                <w:lang w:val="en-AU"/>
              </w:rPr>
              <w:t>3</w:t>
            </w:r>
          </w:p>
        </w:tc>
        <w:tc>
          <w:tcPr>
            <w:tcW w:w="735" w:type="dxa"/>
            <w:tcBorders>
              <w:top w:val="nil"/>
              <w:left w:val="single" w:sz="4" w:space="0" w:color="auto"/>
              <w:bottom w:val="single" w:sz="4" w:space="0" w:color="auto"/>
              <w:right w:val="single" w:sz="4" w:space="0" w:color="auto"/>
            </w:tcBorders>
            <w:hideMark/>
          </w:tcPr>
          <w:p w14:paraId="3A600D41" w14:textId="3D7DDF7F" w:rsidR="00356D1E" w:rsidRDefault="00356D1E">
            <w:pPr>
              <w:pStyle w:val="Tableformat"/>
              <w:jc w:val="right"/>
              <w:rPr>
                <w:b/>
                <w:lang w:val="en-AU"/>
              </w:rPr>
            </w:pPr>
            <w:r>
              <w:rPr>
                <w:b/>
                <w:lang w:val="en-AU"/>
              </w:rPr>
              <w:t>32</w:t>
            </w:r>
          </w:p>
        </w:tc>
        <w:tc>
          <w:tcPr>
            <w:tcW w:w="736" w:type="dxa"/>
            <w:tcBorders>
              <w:top w:val="nil"/>
              <w:left w:val="nil"/>
              <w:bottom w:val="single" w:sz="4" w:space="0" w:color="auto"/>
              <w:right w:val="single" w:sz="4" w:space="0" w:color="auto"/>
            </w:tcBorders>
            <w:hideMark/>
          </w:tcPr>
          <w:p w14:paraId="11E953AD" w14:textId="77777777" w:rsidR="00356D1E" w:rsidRDefault="00356D1E">
            <w:pPr>
              <w:pStyle w:val="Tableformat"/>
              <w:jc w:val="right"/>
              <w:rPr>
                <w:b/>
                <w:lang w:val="en-AU"/>
              </w:rPr>
            </w:pPr>
            <w:r>
              <w:rPr>
                <w:b/>
                <w:lang w:val="en-AU"/>
              </w:rPr>
              <w:t>6</w:t>
            </w:r>
          </w:p>
        </w:tc>
        <w:tc>
          <w:tcPr>
            <w:tcW w:w="735" w:type="dxa"/>
            <w:tcBorders>
              <w:top w:val="nil"/>
              <w:left w:val="nil"/>
              <w:bottom w:val="single" w:sz="4" w:space="0" w:color="auto"/>
              <w:right w:val="single" w:sz="4" w:space="0" w:color="auto"/>
            </w:tcBorders>
            <w:hideMark/>
          </w:tcPr>
          <w:p w14:paraId="3F3BDE40" w14:textId="77777777" w:rsidR="00356D1E" w:rsidRDefault="00356D1E">
            <w:pPr>
              <w:pStyle w:val="Tableformat"/>
              <w:jc w:val="right"/>
              <w:rPr>
                <w:b/>
                <w:lang w:val="en-AU"/>
              </w:rPr>
            </w:pPr>
            <w:r>
              <w:rPr>
                <w:b/>
              </w:rPr>
              <w:t>27</w:t>
            </w:r>
          </w:p>
        </w:tc>
        <w:tc>
          <w:tcPr>
            <w:tcW w:w="735" w:type="dxa"/>
            <w:tcBorders>
              <w:top w:val="nil"/>
              <w:left w:val="nil"/>
              <w:bottom w:val="single" w:sz="4" w:space="0" w:color="auto"/>
              <w:right w:val="single" w:sz="4" w:space="0" w:color="auto"/>
            </w:tcBorders>
            <w:hideMark/>
          </w:tcPr>
          <w:p w14:paraId="76CA253F" w14:textId="77777777" w:rsidR="00356D1E" w:rsidRDefault="00356D1E">
            <w:pPr>
              <w:pStyle w:val="Tableformat"/>
              <w:jc w:val="right"/>
              <w:rPr>
                <w:b/>
                <w:lang w:val="en-AU"/>
              </w:rPr>
            </w:pPr>
            <w:r>
              <w:rPr>
                <w:b/>
                <w:lang w:val="en-AU"/>
              </w:rPr>
              <w:t>12</w:t>
            </w:r>
          </w:p>
        </w:tc>
        <w:tc>
          <w:tcPr>
            <w:tcW w:w="735" w:type="dxa"/>
            <w:tcBorders>
              <w:top w:val="nil"/>
              <w:left w:val="nil"/>
              <w:bottom w:val="single" w:sz="4" w:space="0" w:color="auto"/>
              <w:right w:val="single" w:sz="4" w:space="0" w:color="auto"/>
            </w:tcBorders>
            <w:hideMark/>
          </w:tcPr>
          <w:p w14:paraId="4403E696" w14:textId="77777777" w:rsidR="00356D1E" w:rsidRDefault="00356D1E">
            <w:pPr>
              <w:pStyle w:val="Tableformat"/>
              <w:jc w:val="right"/>
              <w:rPr>
                <w:b/>
                <w:lang w:val="en-AU"/>
              </w:rPr>
            </w:pPr>
            <w:r>
              <w:rPr>
                <w:b/>
                <w:lang w:val="en-AU"/>
              </w:rPr>
              <w:t>16</w:t>
            </w:r>
          </w:p>
        </w:tc>
        <w:tc>
          <w:tcPr>
            <w:tcW w:w="736" w:type="dxa"/>
            <w:tcBorders>
              <w:top w:val="nil"/>
              <w:left w:val="nil"/>
              <w:bottom w:val="single" w:sz="4" w:space="0" w:color="auto"/>
              <w:right w:val="single" w:sz="4" w:space="0" w:color="auto"/>
            </w:tcBorders>
            <w:hideMark/>
          </w:tcPr>
          <w:p w14:paraId="64B1D657" w14:textId="77777777" w:rsidR="00356D1E" w:rsidRDefault="00356D1E">
            <w:pPr>
              <w:pStyle w:val="Tableformat"/>
              <w:jc w:val="right"/>
              <w:rPr>
                <w:b/>
                <w:lang w:val="en-AU"/>
              </w:rPr>
            </w:pPr>
            <w:r>
              <w:rPr>
                <w:b/>
                <w:lang w:val="en-AU"/>
              </w:rPr>
              <w:t>12</w:t>
            </w:r>
          </w:p>
        </w:tc>
        <w:tc>
          <w:tcPr>
            <w:tcW w:w="735" w:type="dxa"/>
            <w:tcBorders>
              <w:top w:val="nil"/>
              <w:left w:val="nil"/>
              <w:bottom w:val="single" w:sz="4" w:space="0" w:color="auto"/>
              <w:right w:val="single" w:sz="4" w:space="0" w:color="auto"/>
            </w:tcBorders>
            <w:hideMark/>
          </w:tcPr>
          <w:p w14:paraId="1578BD3F" w14:textId="77777777" w:rsidR="00356D1E" w:rsidRDefault="00356D1E">
            <w:pPr>
              <w:pStyle w:val="Tableformat"/>
              <w:jc w:val="right"/>
              <w:rPr>
                <w:b/>
                <w:lang w:val="en-AU"/>
              </w:rPr>
            </w:pPr>
            <w:r>
              <w:rPr>
                <w:b/>
                <w:lang w:val="en-AU"/>
              </w:rPr>
              <w:t>94</w:t>
            </w:r>
          </w:p>
        </w:tc>
        <w:tc>
          <w:tcPr>
            <w:tcW w:w="735" w:type="dxa"/>
            <w:tcBorders>
              <w:top w:val="single" w:sz="4" w:space="0" w:color="auto"/>
              <w:left w:val="nil"/>
              <w:bottom w:val="single" w:sz="4" w:space="0" w:color="auto"/>
              <w:right w:val="single" w:sz="4" w:space="0" w:color="auto"/>
            </w:tcBorders>
            <w:hideMark/>
          </w:tcPr>
          <w:p w14:paraId="5400D41B" w14:textId="77777777" w:rsidR="00356D1E" w:rsidRDefault="00356D1E">
            <w:pPr>
              <w:pStyle w:val="Tableformat"/>
              <w:jc w:val="right"/>
              <w:rPr>
                <w:b/>
                <w:lang w:val="en-AU"/>
              </w:rPr>
            </w:pPr>
            <w:r>
              <w:rPr>
                <w:b/>
                <w:lang w:val="en-AU"/>
              </w:rPr>
              <w:t>775</w:t>
            </w:r>
          </w:p>
        </w:tc>
        <w:tc>
          <w:tcPr>
            <w:tcW w:w="736" w:type="dxa"/>
            <w:tcBorders>
              <w:top w:val="single" w:sz="4" w:space="0" w:color="auto"/>
              <w:left w:val="single" w:sz="4" w:space="0" w:color="auto"/>
              <w:bottom w:val="single" w:sz="4" w:space="0" w:color="auto"/>
              <w:right w:val="single" w:sz="4" w:space="0" w:color="auto"/>
            </w:tcBorders>
            <w:hideMark/>
          </w:tcPr>
          <w:p w14:paraId="3ED5EED1" w14:textId="77777777" w:rsidR="00356D1E" w:rsidRDefault="00356D1E">
            <w:pPr>
              <w:pStyle w:val="Tableformat"/>
              <w:jc w:val="right"/>
              <w:rPr>
                <w:b/>
                <w:lang w:val="en-AU"/>
              </w:rPr>
            </w:pPr>
            <w:r>
              <w:rPr>
                <w:b/>
                <w:lang w:val="en-AU"/>
              </w:rPr>
              <w:t>114</w:t>
            </w:r>
          </w:p>
        </w:tc>
      </w:tr>
    </w:tbl>
    <w:p w14:paraId="195F343B" w14:textId="77777777" w:rsidR="00106793" w:rsidRDefault="00106793" w:rsidP="00106793">
      <w:pPr>
        <w:rPr>
          <w:sz w:val="4"/>
          <w:szCs w:val="4"/>
        </w:rPr>
      </w:pPr>
    </w:p>
    <w:p w14:paraId="7463841C" w14:textId="77777777" w:rsidR="00106793" w:rsidRDefault="00106793" w:rsidP="0054196C">
      <w:pPr>
        <w:pStyle w:val="Caption"/>
        <w:spacing w:before="840"/>
        <w:ind w:left="1440" w:hanging="1440"/>
      </w:pPr>
      <w:bookmarkStart w:id="79" w:name="_Ref532227528"/>
      <w:bookmarkStart w:id="80" w:name="_Toc532293839"/>
      <w:bookmarkStart w:id="81" w:name="_Toc2005280"/>
      <w:r>
        <w:lastRenderedPageBreak/>
        <w:t xml:space="preserve">Table </w:t>
      </w:r>
      <w:r>
        <w:fldChar w:fldCharType="begin"/>
      </w:r>
      <w:r>
        <w:rPr>
          <w:noProof/>
        </w:rPr>
        <w:instrText xml:space="preserve"> SEQ Table \* ARABIC </w:instrText>
      </w:r>
      <w:r>
        <w:fldChar w:fldCharType="separate"/>
      </w:r>
      <w:r w:rsidR="008928D6">
        <w:rPr>
          <w:noProof/>
        </w:rPr>
        <w:t>3</w:t>
      </w:r>
      <w:r>
        <w:fldChar w:fldCharType="end"/>
      </w:r>
      <w:bookmarkEnd w:id="79"/>
      <w:r>
        <w:t xml:space="preserve"> </w:t>
      </w:r>
      <w:r>
        <w:tab/>
        <w:t>Significant events (percentages) by AN-ACC class between assessment and reassessment</w:t>
      </w:r>
      <w:bookmarkEnd w:id="80"/>
      <w:bookmarkEnd w:id="81"/>
    </w:p>
    <w:tbl>
      <w:tblPr>
        <w:tblW w:w="9372" w:type="dxa"/>
        <w:tblInd w:w="93" w:type="dxa"/>
        <w:tblLayout w:type="fixed"/>
        <w:tblLook w:val="04A0" w:firstRow="1" w:lastRow="0" w:firstColumn="1" w:lastColumn="0" w:noHBand="0" w:noVBand="1"/>
        <w:tblDescription w:val="Table 3 provides percentage of significant events by class between assessment and reassessment. This table is to be read left to right, top to bottom (class number, percentage of residents who did not experience a significant event, percentage of palliative care plans developed, percentage of significant falls, percentage of residents who participated in reablement or restorative care program, percentage of residents who experienced acute illness lasting 7 days or more (noted as over 6 days), percentage of hospital admissions lasting over a day with anaesthetic, percentage of hospital admissions lasting over 4 days without anaesthetic, percentage of other significant events, percentage of any significant event (excluding death), percentage with no significant event (including death))."/>
      </w:tblPr>
      <w:tblGrid>
        <w:gridCol w:w="1009"/>
        <w:gridCol w:w="836"/>
        <w:gridCol w:w="836"/>
        <w:gridCol w:w="836"/>
        <w:gridCol w:w="837"/>
        <w:gridCol w:w="836"/>
        <w:gridCol w:w="836"/>
        <w:gridCol w:w="837"/>
        <w:gridCol w:w="836"/>
        <w:gridCol w:w="836"/>
        <w:gridCol w:w="837"/>
      </w:tblGrid>
      <w:tr w:rsidR="00106793" w14:paraId="78C87952" w14:textId="77777777" w:rsidTr="000E19C7">
        <w:trPr>
          <w:cantSplit/>
          <w:trHeight w:val="1695"/>
          <w:tblHeader/>
        </w:trPr>
        <w:tc>
          <w:tcPr>
            <w:tcW w:w="1009" w:type="dxa"/>
            <w:tcBorders>
              <w:top w:val="single" w:sz="4" w:space="0" w:color="auto"/>
              <w:left w:val="single" w:sz="4" w:space="0" w:color="auto"/>
              <w:bottom w:val="single" w:sz="4" w:space="0" w:color="auto"/>
              <w:right w:val="single" w:sz="4" w:space="0" w:color="auto"/>
            </w:tcBorders>
            <w:textDirection w:val="btLr"/>
            <w:hideMark/>
          </w:tcPr>
          <w:p w14:paraId="28D02DB8" w14:textId="5DAE5C98" w:rsidR="00106793" w:rsidRDefault="00614B98" w:rsidP="000E19C7">
            <w:pPr>
              <w:ind w:left="113" w:right="113"/>
              <w:jc w:val="right"/>
              <w:rPr>
                <w:rFonts w:ascii="Calibri" w:hAnsi="Calibri"/>
                <w:color w:val="000000"/>
              </w:rPr>
            </w:pPr>
            <w:r>
              <w:rPr>
                <w:rFonts w:ascii="Arial" w:hAnsi="Arial" w:cs="Arial"/>
                <w:b/>
                <w:color w:val="000000"/>
                <w:sz w:val="14"/>
                <w:szCs w:val="18"/>
              </w:rPr>
              <w:t>Class number</w:t>
            </w:r>
          </w:p>
        </w:tc>
        <w:tc>
          <w:tcPr>
            <w:tcW w:w="836" w:type="dxa"/>
            <w:tcBorders>
              <w:top w:val="single" w:sz="4" w:space="0" w:color="auto"/>
              <w:left w:val="nil"/>
              <w:bottom w:val="single" w:sz="4" w:space="0" w:color="auto"/>
              <w:right w:val="single" w:sz="4" w:space="0" w:color="auto"/>
            </w:tcBorders>
            <w:textDirection w:val="btLr"/>
            <w:vAlign w:val="bottom"/>
            <w:hideMark/>
          </w:tcPr>
          <w:p w14:paraId="5576B5F2" w14:textId="77777777" w:rsidR="00106793" w:rsidRPr="00CE0E10" w:rsidRDefault="00106793" w:rsidP="00CE0E10">
            <w:pPr>
              <w:ind w:left="113" w:right="113"/>
              <w:jc w:val="right"/>
              <w:rPr>
                <w:rFonts w:ascii="Calibri" w:hAnsi="Calibri"/>
                <w:b/>
                <w:color w:val="000000"/>
                <w:sz w:val="14"/>
                <w:szCs w:val="14"/>
              </w:rPr>
            </w:pPr>
            <w:r w:rsidRPr="00CE0E10">
              <w:rPr>
                <w:rFonts w:ascii="Calibri" w:hAnsi="Calibri"/>
                <w:b/>
                <w:color w:val="000000"/>
                <w:sz w:val="14"/>
                <w:szCs w:val="14"/>
              </w:rPr>
              <w:t>Class as % of those with no event</w:t>
            </w:r>
          </w:p>
        </w:tc>
        <w:tc>
          <w:tcPr>
            <w:tcW w:w="836" w:type="dxa"/>
            <w:tcBorders>
              <w:top w:val="single" w:sz="4" w:space="0" w:color="auto"/>
              <w:left w:val="nil"/>
              <w:bottom w:val="single" w:sz="4" w:space="0" w:color="auto"/>
              <w:right w:val="single" w:sz="4" w:space="0" w:color="auto"/>
            </w:tcBorders>
            <w:textDirection w:val="btLr"/>
            <w:vAlign w:val="bottom"/>
            <w:hideMark/>
          </w:tcPr>
          <w:p w14:paraId="462EF768" w14:textId="77777777" w:rsidR="00106793" w:rsidRPr="00CE0E10" w:rsidRDefault="00106793" w:rsidP="00CE0E10">
            <w:pPr>
              <w:ind w:left="113" w:right="113"/>
              <w:jc w:val="right"/>
              <w:rPr>
                <w:rFonts w:ascii="Calibri" w:hAnsi="Calibri"/>
                <w:b/>
                <w:color w:val="000000"/>
                <w:sz w:val="14"/>
                <w:szCs w:val="14"/>
              </w:rPr>
            </w:pPr>
            <w:r w:rsidRPr="00CE0E10">
              <w:rPr>
                <w:rFonts w:ascii="Calibri" w:hAnsi="Calibri"/>
                <w:b/>
                <w:color w:val="000000"/>
                <w:sz w:val="14"/>
                <w:szCs w:val="14"/>
              </w:rPr>
              <w:t>Palliative care plan developed</w:t>
            </w:r>
          </w:p>
        </w:tc>
        <w:tc>
          <w:tcPr>
            <w:tcW w:w="836" w:type="dxa"/>
            <w:tcBorders>
              <w:top w:val="single" w:sz="4" w:space="0" w:color="auto"/>
              <w:left w:val="nil"/>
              <w:bottom w:val="single" w:sz="4" w:space="0" w:color="auto"/>
              <w:right w:val="single" w:sz="4" w:space="0" w:color="auto"/>
            </w:tcBorders>
            <w:textDirection w:val="btLr"/>
            <w:vAlign w:val="bottom"/>
            <w:hideMark/>
          </w:tcPr>
          <w:p w14:paraId="12D6193D" w14:textId="77777777" w:rsidR="00106793" w:rsidRPr="00CE0E10" w:rsidRDefault="00106793" w:rsidP="00CE0E10">
            <w:pPr>
              <w:ind w:left="113" w:right="113"/>
              <w:jc w:val="right"/>
              <w:rPr>
                <w:rFonts w:ascii="Calibri" w:hAnsi="Calibri"/>
                <w:b/>
                <w:color w:val="000000"/>
                <w:sz w:val="14"/>
                <w:szCs w:val="14"/>
              </w:rPr>
            </w:pPr>
            <w:r w:rsidRPr="00CE0E10">
              <w:rPr>
                <w:rFonts w:ascii="Calibri" w:hAnsi="Calibri"/>
                <w:b/>
                <w:color w:val="000000"/>
                <w:sz w:val="14"/>
                <w:szCs w:val="14"/>
              </w:rPr>
              <w:t>Significant fall</w:t>
            </w:r>
          </w:p>
        </w:tc>
        <w:tc>
          <w:tcPr>
            <w:tcW w:w="837" w:type="dxa"/>
            <w:tcBorders>
              <w:top w:val="single" w:sz="4" w:space="0" w:color="auto"/>
              <w:left w:val="nil"/>
              <w:bottom w:val="single" w:sz="4" w:space="0" w:color="auto"/>
              <w:right w:val="single" w:sz="4" w:space="0" w:color="auto"/>
            </w:tcBorders>
            <w:textDirection w:val="btLr"/>
            <w:vAlign w:val="bottom"/>
            <w:hideMark/>
          </w:tcPr>
          <w:p w14:paraId="3A930570" w14:textId="135E6041" w:rsidR="00106793" w:rsidRPr="00CE0E10" w:rsidRDefault="00C0164F" w:rsidP="00CE0E10">
            <w:pPr>
              <w:ind w:left="113" w:right="113"/>
              <w:jc w:val="right"/>
              <w:rPr>
                <w:rFonts w:ascii="Calibri" w:hAnsi="Calibri"/>
                <w:b/>
                <w:color w:val="000000"/>
                <w:sz w:val="14"/>
                <w:szCs w:val="14"/>
              </w:rPr>
            </w:pPr>
            <w:r w:rsidRPr="00CE0E10">
              <w:rPr>
                <w:rFonts w:ascii="Calibri" w:hAnsi="Calibri"/>
                <w:b/>
                <w:color w:val="000000"/>
                <w:sz w:val="14"/>
                <w:szCs w:val="14"/>
              </w:rPr>
              <w:t>Reablement</w:t>
            </w:r>
            <w:r w:rsidR="00106793" w:rsidRPr="00CE0E10">
              <w:rPr>
                <w:rFonts w:ascii="Calibri" w:hAnsi="Calibri"/>
                <w:b/>
                <w:color w:val="000000"/>
                <w:sz w:val="14"/>
                <w:szCs w:val="14"/>
              </w:rPr>
              <w:t xml:space="preserve"> or restorative care</w:t>
            </w:r>
          </w:p>
        </w:tc>
        <w:tc>
          <w:tcPr>
            <w:tcW w:w="836" w:type="dxa"/>
            <w:tcBorders>
              <w:top w:val="single" w:sz="4" w:space="0" w:color="auto"/>
              <w:left w:val="nil"/>
              <w:bottom w:val="single" w:sz="4" w:space="0" w:color="auto"/>
              <w:right w:val="single" w:sz="4" w:space="0" w:color="auto"/>
            </w:tcBorders>
            <w:textDirection w:val="btLr"/>
            <w:vAlign w:val="bottom"/>
            <w:hideMark/>
          </w:tcPr>
          <w:p w14:paraId="35447015" w14:textId="77777777" w:rsidR="00106793" w:rsidRPr="00CE0E10" w:rsidRDefault="00106793" w:rsidP="00CE0E10">
            <w:pPr>
              <w:ind w:left="113" w:right="113"/>
              <w:jc w:val="right"/>
              <w:rPr>
                <w:rFonts w:ascii="Calibri" w:hAnsi="Calibri"/>
                <w:b/>
                <w:color w:val="000000"/>
                <w:sz w:val="14"/>
                <w:szCs w:val="14"/>
              </w:rPr>
            </w:pPr>
            <w:r w:rsidRPr="00CE0E10">
              <w:rPr>
                <w:rFonts w:ascii="Calibri" w:hAnsi="Calibri"/>
                <w:b/>
                <w:color w:val="000000"/>
                <w:sz w:val="14"/>
                <w:szCs w:val="14"/>
              </w:rPr>
              <w:t>Acute illness &gt;6 days</w:t>
            </w:r>
          </w:p>
        </w:tc>
        <w:tc>
          <w:tcPr>
            <w:tcW w:w="836" w:type="dxa"/>
            <w:tcBorders>
              <w:top w:val="single" w:sz="4" w:space="0" w:color="auto"/>
              <w:left w:val="nil"/>
              <w:bottom w:val="single" w:sz="4" w:space="0" w:color="auto"/>
              <w:right w:val="single" w:sz="4" w:space="0" w:color="auto"/>
            </w:tcBorders>
            <w:textDirection w:val="btLr"/>
            <w:vAlign w:val="bottom"/>
            <w:hideMark/>
          </w:tcPr>
          <w:p w14:paraId="1D8C99AB" w14:textId="77777777" w:rsidR="00106793" w:rsidRPr="00CE0E10" w:rsidRDefault="00106793" w:rsidP="00CE0E10">
            <w:pPr>
              <w:ind w:left="113" w:right="113"/>
              <w:jc w:val="right"/>
              <w:rPr>
                <w:rFonts w:ascii="Calibri" w:hAnsi="Calibri"/>
                <w:b/>
                <w:color w:val="000000"/>
                <w:sz w:val="14"/>
                <w:szCs w:val="14"/>
              </w:rPr>
            </w:pPr>
            <w:r w:rsidRPr="00CE0E10">
              <w:rPr>
                <w:rFonts w:ascii="Calibri" w:hAnsi="Calibri"/>
                <w:b/>
                <w:color w:val="000000"/>
                <w:sz w:val="14"/>
                <w:szCs w:val="14"/>
              </w:rPr>
              <w:t>Hospital admission &gt;1 day with anaesthetic</w:t>
            </w:r>
          </w:p>
        </w:tc>
        <w:tc>
          <w:tcPr>
            <w:tcW w:w="837" w:type="dxa"/>
            <w:tcBorders>
              <w:top w:val="single" w:sz="4" w:space="0" w:color="auto"/>
              <w:left w:val="nil"/>
              <w:bottom w:val="single" w:sz="4" w:space="0" w:color="auto"/>
              <w:right w:val="single" w:sz="4" w:space="0" w:color="auto"/>
            </w:tcBorders>
            <w:textDirection w:val="btLr"/>
            <w:vAlign w:val="bottom"/>
            <w:hideMark/>
          </w:tcPr>
          <w:p w14:paraId="35EFE5E6" w14:textId="77777777" w:rsidR="00106793" w:rsidRPr="00CE0E10" w:rsidRDefault="00106793" w:rsidP="00CE0E10">
            <w:pPr>
              <w:ind w:left="113" w:right="113"/>
              <w:jc w:val="right"/>
              <w:rPr>
                <w:rFonts w:ascii="Calibri" w:hAnsi="Calibri"/>
                <w:b/>
                <w:color w:val="000000"/>
                <w:sz w:val="14"/>
                <w:szCs w:val="14"/>
              </w:rPr>
            </w:pPr>
            <w:r w:rsidRPr="00CE0E10">
              <w:rPr>
                <w:rFonts w:ascii="Calibri" w:hAnsi="Calibri"/>
                <w:b/>
                <w:color w:val="000000"/>
                <w:sz w:val="14"/>
                <w:szCs w:val="14"/>
              </w:rPr>
              <w:t>Hospital admission &gt; 4 days without anaesthetic</w:t>
            </w:r>
          </w:p>
        </w:tc>
        <w:tc>
          <w:tcPr>
            <w:tcW w:w="836" w:type="dxa"/>
            <w:tcBorders>
              <w:top w:val="single" w:sz="4" w:space="0" w:color="auto"/>
              <w:left w:val="nil"/>
              <w:bottom w:val="single" w:sz="4" w:space="0" w:color="auto"/>
              <w:right w:val="single" w:sz="4" w:space="0" w:color="auto"/>
            </w:tcBorders>
            <w:textDirection w:val="btLr"/>
            <w:vAlign w:val="bottom"/>
            <w:hideMark/>
          </w:tcPr>
          <w:p w14:paraId="4F538BE9" w14:textId="77777777" w:rsidR="00106793" w:rsidRPr="00CE0E10" w:rsidRDefault="00106793" w:rsidP="00CE0E10">
            <w:pPr>
              <w:ind w:left="113" w:right="113"/>
              <w:jc w:val="right"/>
              <w:rPr>
                <w:rFonts w:ascii="Calibri" w:hAnsi="Calibri"/>
                <w:b/>
                <w:color w:val="000000"/>
                <w:sz w:val="14"/>
                <w:szCs w:val="14"/>
              </w:rPr>
            </w:pPr>
            <w:r w:rsidRPr="00CE0E10">
              <w:rPr>
                <w:rFonts w:ascii="Calibri" w:hAnsi="Calibri"/>
                <w:b/>
                <w:color w:val="000000"/>
                <w:sz w:val="14"/>
                <w:szCs w:val="14"/>
              </w:rPr>
              <w:t>Other significant events</w:t>
            </w:r>
          </w:p>
        </w:tc>
        <w:tc>
          <w:tcPr>
            <w:tcW w:w="836" w:type="dxa"/>
            <w:tcBorders>
              <w:top w:val="single" w:sz="4" w:space="0" w:color="auto"/>
              <w:left w:val="nil"/>
              <w:bottom w:val="single" w:sz="4" w:space="0" w:color="auto"/>
              <w:right w:val="single" w:sz="4" w:space="0" w:color="auto"/>
            </w:tcBorders>
            <w:textDirection w:val="btLr"/>
            <w:vAlign w:val="bottom"/>
            <w:hideMark/>
          </w:tcPr>
          <w:p w14:paraId="532B3DF0" w14:textId="77777777" w:rsidR="00106793" w:rsidRPr="00CE0E10" w:rsidRDefault="00106793" w:rsidP="00CE0E10">
            <w:pPr>
              <w:ind w:left="113" w:right="113"/>
              <w:jc w:val="right"/>
              <w:rPr>
                <w:rFonts w:ascii="Calibri" w:hAnsi="Calibri"/>
                <w:b/>
                <w:color w:val="000000"/>
                <w:sz w:val="14"/>
                <w:szCs w:val="14"/>
              </w:rPr>
            </w:pPr>
            <w:r w:rsidRPr="00CE0E10">
              <w:rPr>
                <w:rFonts w:ascii="Calibri" w:hAnsi="Calibri"/>
                <w:b/>
                <w:color w:val="000000"/>
                <w:sz w:val="14"/>
                <w:szCs w:val="14"/>
              </w:rPr>
              <w:t>Any significant event (excl death)</w:t>
            </w:r>
          </w:p>
        </w:tc>
        <w:tc>
          <w:tcPr>
            <w:tcW w:w="837" w:type="dxa"/>
            <w:tcBorders>
              <w:top w:val="single" w:sz="4" w:space="0" w:color="auto"/>
              <w:left w:val="nil"/>
              <w:bottom w:val="single" w:sz="4" w:space="0" w:color="auto"/>
              <w:right w:val="single" w:sz="4" w:space="0" w:color="auto"/>
            </w:tcBorders>
            <w:textDirection w:val="btLr"/>
            <w:vAlign w:val="bottom"/>
            <w:hideMark/>
          </w:tcPr>
          <w:p w14:paraId="3CF4074A" w14:textId="77777777" w:rsidR="00106793" w:rsidRPr="00CE0E10" w:rsidRDefault="00106793" w:rsidP="00CE0E10">
            <w:pPr>
              <w:ind w:left="113" w:right="113"/>
              <w:jc w:val="right"/>
              <w:rPr>
                <w:rFonts w:ascii="Calibri" w:hAnsi="Calibri"/>
                <w:b/>
                <w:color w:val="000000"/>
                <w:sz w:val="14"/>
                <w:szCs w:val="14"/>
              </w:rPr>
            </w:pPr>
            <w:r w:rsidRPr="00CE0E10">
              <w:rPr>
                <w:rFonts w:ascii="Calibri" w:hAnsi="Calibri"/>
                <w:b/>
                <w:color w:val="000000"/>
                <w:sz w:val="14"/>
                <w:szCs w:val="14"/>
              </w:rPr>
              <w:t>% with no significant event (incl death)</w:t>
            </w:r>
          </w:p>
        </w:tc>
      </w:tr>
      <w:tr w:rsidR="009C538E" w14:paraId="1B1B139C" w14:textId="77777777" w:rsidTr="009C538E">
        <w:trPr>
          <w:trHeight w:val="291"/>
        </w:trPr>
        <w:tc>
          <w:tcPr>
            <w:tcW w:w="1009" w:type="dxa"/>
            <w:tcBorders>
              <w:top w:val="nil"/>
              <w:left w:val="single" w:sz="4" w:space="0" w:color="auto"/>
              <w:bottom w:val="single" w:sz="4" w:space="0" w:color="auto"/>
              <w:right w:val="single" w:sz="4" w:space="0" w:color="auto"/>
            </w:tcBorders>
            <w:hideMark/>
          </w:tcPr>
          <w:p w14:paraId="3DE33E05" w14:textId="775DCE7D" w:rsidR="009C538E" w:rsidRDefault="009C538E">
            <w:pPr>
              <w:pStyle w:val="Tableformat"/>
              <w:rPr>
                <w:lang w:val="en-AU"/>
              </w:rPr>
            </w:pPr>
            <w:r>
              <w:rPr>
                <w:lang w:val="en-AU"/>
              </w:rPr>
              <w:t>Class 2</w:t>
            </w:r>
          </w:p>
        </w:tc>
        <w:tc>
          <w:tcPr>
            <w:tcW w:w="836" w:type="dxa"/>
            <w:tcBorders>
              <w:top w:val="nil"/>
              <w:left w:val="nil"/>
              <w:bottom w:val="single" w:sz="4" w:space="0" w:color="auto"/>
              <w:right w:val="single" w:sz="4" w:space="0" w:color="auto"/>
            </w:tcBorders>
            <w:hideMark/>
          </w:tcPr>
          <w:p w14:paraId="51CF09A0" w14:textId="77777777" w:rsidR="009C538E" w:rsidRDefault="009C538E">
            <w:pPr>
              <w:pStyle w:val="Tableformat"/>
              <w:jc w:val="right"/>
              <w:rPr>
                <w:lang w:val="en-AU"/>
              </w:rPr>
            </w:pPr>
            <w:r>
              <w:t>13.7%</w:t>
            </w:r>
          </w:p>
        </w:tc>
        <w:tc>
          <w:tcPr>
            <w:tcW w:w="836" w:type="dxa"/>
            <w:tcBorders>
              <w:top w:val="nil"/>
              <w:left w:val="nil"/>
              <w:bottom w:val="single" w:sz="4" w:space="0" w:color="auto"/>
              <w:right w:val="single" w:sz="4" w:space="0" w:color="auto"/>
            </w:tcBorders>
            <w:hideMark/>
          </w:tcPr>
          <w:p w14:paraId="0EB127BA" w14:textId="77777777" w:rsidR="009C538E" w:rsidRDefault="009C538E">
            <w:pPr>
              <w:pStyle w:val="Tableformat"/>
              <w:jc w:val="right"/>
              <w:rPr>
                <w:lang w:val="en-AU"/>
              </w:rPr>
            </w:pPr>
            <w:r>
              <w:t>0.0%</w:t>
            </w:r>
          </w:p>
        </w:tc>
        <w:tc>
          <w:tcPr>
            <w:tcW w:w="836" w:type="dxa"/>
            <w:tcBorders>
              <w:top w:val="nil"/>
              <w:left w:val="nil"/>
              <w:bottom w:val="single" w:sz="4" w:space="0" w:color="auto"/>
              <w:right w:val="single" w:sz="4" w:space="0" w:color="auto"/>
            </w:tcBorders>
            <w:hideMark/>
          </w:tcPr>
          <w:p w14:paraId="3D4DD3ED" w14:textId="77777777" w:rsidR="009C538E" w:rsidRDefault="009C538E">
            <w:pPr>
              <w:pStyle w:val="Tableformat"/>
              <w:jc w:val="right"/>
              <w:rPr>
                <w:lang w:val="en-AU"/>
              </w:rPr>
            </w:pPr>
            <w:r>
              <w:t>6.3%</w:t>
            </w:r>
          </w:p>
        </w:tc>
        <w:tc>
          <w:tcPr>
            <w:tcW w:w="837" w:type="dxa"/>
            <w:tcBorders>
              <w:top w:val="nil"/>
              <w:left w:val="nil"/>
              <w:bottom w:val="single" w:sz="4" w:space="0" w:color="auto"/>
              <w:right w:val="single" w:sz="4" w:space="0" w:color="auto"/>
            </w:tcBorders>
            <w:hideMark/>
          </w:tcPr>
          <w:p w14:paraId="6DC7FE44" w14:textId="77777777" w:rsidR="009C538E" w:rsidRDefault="009C538E">
            <w:pPr>
              <w:pStyle w:val="Tableformat"/>
              <w:jc w:val="right"/>
              <w:rPr>
                <w:lang w:val="en-AU"/>
              </w:rPr>
            </w:pPr>
            <w:r>
              <w:t>16.7%</w:t>
            </w:r>
          </w:p>
        </w:tc>
        <w:tc>
          <w:tcPr>
            <w:tcW w:w="836" w:type="dxa"/>
            <w:tcBorders>
              <w:top w:val="nil"/>
              <w:left w:val="nil"/>
              <w:bottom w:val="single" w:sz="4" w:space="0" w:color="auto"/>
              <w:right w:val="single" w:sz="4" w:space="0" w:color="auto"/>
            </w:tcBorders>
            <w:hideMark/>
          </w:tcPr>
          <w:p w14:paraId="2C72685F" w14:textId="77777777" w:rsidR="009C538E" w:rsidRDefault="009C538E">
            <w:pPr>
              <w:pStyle w:val="Tableformat"/>
              <w:jc w:val="right"/>
              <w:rPr>
                <w:lang w:val="en-AU"/>
              </w:rPr>
            </w:pPr>
            <w:r>
              <w:t>7.4%</w:t>
            </w:r>
          </w:p>
        </w:tc>
        <w:tc>
          <w:tcPr>
            <w:tcW w:w="836" w:type="dxa"/>
            <w:tcBorders>
              <w:top w:val="nil"/>
              <w:left w:val="nil"/>
              <w:bottom w:val="single" w:sz="4" w:space="0" w:color="auto"/>
              <w:right w:val="single" w:sz="4" w:space="0" w:color="auto"/>
            </w:tcBorders>
            <w:hideMark/>
          </w:tcPr>
          <w:p w14:paraId="3C1ACD1E" w14:textId="77777777" w:rsidR="009C538E" w:rsidRDefault="009C538E">
            <w:pPr>
              <w:pStyle w:val="Tableformat"/>
              <w:jc w:val="right"/>
              <w:rPr>
                <w:lang w:val="en-AU"/>
              </w:rPr>
            </w:pPr>
            <w:r>
              <w:t>25.0%</w:t>
            </w:r>
          </w:p>
        </w:tc>
        <w:tc>
          <w:tcPr>
            <w:tcW w:w="837" w:type="dxa"/>
            <w:tcBorders>
              <w:top w:val="nil"/>
              <w:left w:val="nil"/>
              <w:bottom w:val="single" w:sz="4" w:space="0" w:color="auto"/>
              <w:right w:val="single" w:sz="4" w:space="0" w:color="auto"/>
            </w:tcBorders>
            <w:hideMark/>
          </w:tcPr>
          <w:p w14:paraId="6B3BD21C" w14:textId="77777777" w:rsidR="009C538E" w:rsidRDefault="009C538E">
            <w:pPr>
              <w:pStyle w:val="Tableformat"/>
              <w:jc w:val="right"/>
              <w:rPr>
                <w:lang w:val="en-AU"/>
              </w:rPr>
            </w:pPr>
            <w:r>
              <w:t>25.0%</w:t>
            </w:r>
          </w:p>
        </w:tc>
        <w:tc>
          <w:tcPr>
            <w:tcW w:w="836" w:type="dxa"/>
            <w:tcBorders>
              <w:top w:val="nil"/>
              <w:left w:val="nil"/>
              <w:bottom w:val="single" w:sz="4" w:space="0" w:color="auto"/>
              <w:right w:val="single" w:sz="4" w:space="0" w:color="auto"/>
            </w:tcBorders>
            <w:hideMark/>
          </w:tcPr>
          <w:p w14:paraId="70F870AF" w14:textId="77777777" w:rsidR="009C538E" w:rsidRDefault="009C538E">
            <w:pPr>
              <w:pStyle w:val="Tableformat"/>
              <w:jc w:val="right"/>
              <w:rPr>
                <w:lang w:val="en-AU"/>
              </w:rPr>
            </w:pPr>
            <w:r>
              <w:t>0.0%</w:t>
            </w:r>
          </w:p>
        </w:tc>
        <w:tc>
          <w:tcPr>
            <w:tcW w:w="836" w:type="dxa"/>
            <w:tcBorders>
              <w:top w:val="nil"/>
              <w:left w:val="nil"/>
              <w:bottom w:val="single" w:sz="4" w:space="0" w:color="auto"/>
              <w:right w:val="single" w:sz="4" w:space="0" w:color="auto"/>
            </w:tcBorders>
            <w:hideMark/>
          </w:tcPr>
          <w:p w14:paraId="0607D4CD" w14:textId="77777777" w:rsidR="009C538E" w:rsidRDefault="009C538E">
            <w:pPr>
              <w:pStyle w:val="Tableformat"/>
              <w:jc w:val="right"/>
              <w:rPr>
                <w:lang w:val="en-AU"/>
              </w:rPr>
            </w:pPr>
            <w:r>
              <w:t>13.4%</w:t>
            </w:r>
          </w:p>
        </w:tc>
        <w:tc>
          <w:tcPr>
            <w:tcW w:w="837" w:type="dxa"/>
            <w:tcBorders>
              <w:top w:val="nil"/>
              <w:left w:val="nil"/>
              <w:bottom w:val="single" w:sz="4" w:space="0" w:color="auto"/>
              <w:right w:val="single" w:sz="4" w:space="0" w:color="auto"/>
            </w:tcBorders>
            <w:hideMark/>
          </w:tcPr>
          <w:p w14:paraId="757B6D3F" w14:textId="77777777" w:rsidR="009C538E" w:rsidRDefault="009C538E">
            <w:pPr>
              <w:pStyle w:val="Tableformat"/>
              <w:jc w:val="right"/>
              <w:rPr>
                <w:lang w:val="en-AU"/>
              </w:rPr>
            </w:pPr>
            <w:r>
              <w:t>83.8%</w:t>
            </w:r>
          </w:p>
        </w:tc>
      </w:tr>
      <w:tr w:rsidR="009C538E" w14:paraId="4BE867BC" w14:textId="77777777" w:rsidTr="009C538E">
        <w:trPr>
          <w:trHeight w:val="291"/>
        </w:trPr>
        <w:tc>
          <w:tcPr>
            <w:tcW w:w="1009" w:type="dxa"/>
            <w:tcBorders>
              <w:top w:val="nil"/>
              <w:left w:val="single" w:sz="4" w:space="0" w:color="auto"/>
              <w:bottom w:val="single" w:sz="4" w:space="0" w:color="auto"/>
              <w:right w:val="single" w:sz="4" w:space="0" w:color="auto"/>
            </w:tcBorders>
            <w:hideMark/>
          </w:tcPr>
          <w:p w14:paraId="78CBF59A" w14:textId="55DF7494" w:rsidR="009C538E" w:rsidRDefault="009C538E">
            <w:pPr>
              <w:pStyle w:val="Tableformat"/>
              <w:rPr>
                <w:lang w:val="en-AU"/>
              </w:rPr>
            </w:pPr>
            <w:r>
              <w:rPr>
                <w:lang w:val="en-AU"/>
              </w:rPr>
              <w:t>Class 3</w:t>
            </w:r>
          </w:p>
        </w:tc>
        <w:tc>
          <w:tcPr>
            <w:tcW w:w="836" w:type="dxa"/>
            <w:tcBorders>
              <w:top w:val="nil"/>
              <w:left w:val="nil"/>
              <w:bottom w:val="single" w:sz="4" w:space="0" w:color="auto"/>
              <w:right w:val="single" w:sz="4" w:space="0" w:color="auto"/>
            </w:tcBorders>
            <w:hideMark/>
          </w:tcPr>
          <w:p w14:paraId="4399FC0C" w14:textId="77777777" w:rsidR="009C538E" w:rsidRDefault="009C538E">
            <w:pPr>
              <w:pStyle w:val="Tableformat"/>
              <w:jc w:val="right"/>
              <w:rPr>
                <w:lang w:val="en-AU"/>
              </w:rPr>
            </w:pPr>
            <w:r>
              <w:t>5.6%</w:t>
            </w:r>
          </w:p>
        </w:tc>
        <w:tc>
          <w:tcPr>
            <w:tcW w:w="836" w:type="dxa"/>
            <w:tcBorders>
              <w:top w:val="nil"/>
              <w:left w:val="nil"/>
              <w:bottom w:val="single" w:sz="4" w:space="0" w:color="auto"/>
              <w:right w:val="single" w:sz="4" w:space="0" w:color="auto"/>
            </w:tcBorders>
            <w:hideMark/>
          </w:tcPr>
          <w:p w14:paraId="05672FCE" w14:textId="77777777" w:rsidR="009C538E" w:rsidRDefault="009C538E">
            <w:pPr>
              <w:pStyle w:val="Tableformat"/>
              <w:jc w:val="right"/>
              <w:rPr>
                <w:lang w:val="en-AU"/>
              </w:rPr>
            </w:pPr>
            <w:r>
              <w:t>0.0%</w:t>
            </w:r>
          </w:p>
        </w:tc>
        <w:tc>
          <w:tcPr>
            <w:tcW w:w="836" w:type="dxa"/>
            <w:tcBorders>
              <w:top w:val="nil"/>
              <w:left w:val="nil"/>
              <w:bottom w:val="single" w:sz="4" w:space="0" w:color="auto"/>
              <w:right w:val="single" w:sz="4" w:space="0" w:color="auto"/>
            </w:tcBorders>
            <w:hideMark/>
          </w:tcPr>
          <w:p w14:paraId="62A1A456" w14:textId="77777777" w:rsidR="009C538E" w:rsidRDefault="009C538E">
            <w:pPr>
              <w:pStyle w:val="Tableformat"/>
              <w:jc w:val="right"/>
              <w:rPr>
                <w:lang w:val="en-AU"/>
              </w:rPr>
            </w:pPr>
            <w:r>
              <w:t>9.4%</w:t>
            </w:r>
          </w:p>
        </w:tc>
        <w:tc>
          <w:tcPr>
            <w:tcW w:w="837" w:type="dxa"/>
            <w:tcBorders>
              <w:top w:val="nil"/>
              <w:left w:val="nil"/>
              <w:bottom w:val="single" w:sz="4" w:space="0" w:color="auto"/>
              <w:right w:val="single" w:sz="4" w:space="0" w:color="auto"/>
            </w:tcBorders>
            <w:hideMark/>
          </w:tcPr>
          <w:p w14:paraId="6E2A616A" w14:textId="77777777" w:rsidR="009C538E" w:rsidRDefault="009C538E">
            <w:pPr>
              <w:pStyle w:val="Tableformat"/>
              <w:jc w:val="right"/>
              <w:rPr>
                <w:lang w:val="en-AU"/>
              </w:rPr>
            </w:pPr>
            <w:r>
              <w:t>16.7%</w:t>
            </w:r>
          </w:p>
        </w:tc>
        <w:tc>
          <w:tcPr>
            <w:tcW w:w="836" w:type="dxa"/>
            <w:tcBorders>
              <w:top w:val="nil"/>
              <w:left w:val="nil"/>
              <w:bottom w:val="single" w:sz="4" w:space="0" w:color="auto"/>
              <w:right w:val="single" w:sz="4" w:space="0" w:color="auto"/>
            </w:tcBorders>
            <w:hideMark/>
          </w:tcPr>
          <w:p w14:paraId="6AE8081B" w14:textId="77777777" w:rsidR="009C538E" w:rsidRDefault="009C538E">
            <w:pPr>
              <w:pStyle w:val="Tableformat"/>
              <w:jc w:val="right"/>
              <w:rPr>
                <w:lang w:val="en-AU"/>
              </w:rPr>
            </w:pPr>
            <w:r>
              <w:t>0.0%</w:t>
            </w:r>
          </w:p>
        </w:tc>
        <w:tc>
          <w:tcPr>
            <w:tcW w:w="836" w:type="dxa"/>
            <w:tcBorders>
              <w:top w:val="nil"/>
              <w:left w:val="nil"/>
              <w:bottom w:val="single" w:sz="4" w:space="0" w:color="auto"/>
              <w:right w:val="single" w:sz="4" w:space="0" w:color="auto"/>
            </w:tcBorders>
            <w:hideMark/>
          </w:tcPr>
          <w:p w14:paraId="628BE386" w14:textId="77777777" w:rsidR="009C538E" w:rsidRDefault="009C538E">
            <w:pPr>
              <w:pStyle w:val="Tableformat"/>
              <w:jc w:val="right"/>
              <w:rPr>
                <w:lang w:val="en-AU"/>
              </w:rPr>
            </w:pPr>
            <w:r>
              <w:t>0.0%</w:t>
            </w:r>
          </w:p>
        </w:tc>
        <w:tc>
          <w:tcPr>
            <w:tcW w:w="837" w:type="dxa"/>
            <w:tcBorders>
              <w:top w:val="nil"/>
              <w:left w:val="nil"/>
              <w:bottom w:val="single" w:sz="4" w:space="0" w:color="auto"/>
              <w:right w:val="single" w:sz="4" w:space="0" w:color="auto"/>
            </w:tcBorders>
            <w:hideMark/>
          </w:tcPr>
          <w:p w14:paraId="2BA4854A" w14:textId="77777777" w:rsidR="009C538E" w:rsidRDefault="009C538E">
            <w:pPr>
              <w:pStyle w:val="Tableformat"/>
              <w:jc w:val="right"/>
              <w:rPr>
                <w:lang w:val="en-AU"/>
              </w:rPr>
            </w:pPr>
            <w:r>
              <w:t>6.3%</w:t>
            </w:r>
          </w:p>
        </w:tc>
        <w:tc>
          <w:tcPr>
            <w:tcW w:w="836" w:type="dxa"/>
            <w:tcBorders>
              <w:top w:val="nil"/>
              <w:left w:val="nil"/>
              <w:bottom w:val="single" w:sz="4" w:space="0" w:color="auto"/>
              <w:right w:val="single" w:sz="4" w:space="0" w:color="auto"/>
            </w:tcBorders>
            <w:hideMark/>
          </w:tcPr>
          <w:p w14:paraId="619A3A27" w14:textId="77777777" w:rsidR="009C538E" w:rsidRDefault="009C538E">
            <w:pPr>
              <w:pStyle w:val="Tableformat"/>
              <w:jc w:val="right"/>
              <w:rPr>
                <w:lang w:val="en-AU"/>
              </w:rPr>
            </w:pPr>
            <w:r>
              <w:t>0.0%</w:t>
            </w:r>
          </w:p>
        </w:tc>
        <w:tc>
          <w:tcPr>
            <w:tcW w:w="836" w:type="dxa"/>
            <w:tcBorders>
              <w:top w:val="nil"/>
              <w:left w:val="nil"/>
              <w:bottom w:val="single" w:sz="4" w:space="0" w:color="auto"/>
              <w:right w:val="single" w:sz="4" w:space="0" w:color="auto"/>
            </w:tcBorders>
            <w:hideMark/>
          </w:tcPr>
          <w:p w14:paraId="74B5D4F0" w14:textId="77777777" w:rsidR="009C538E" w:rsidRDefault="009C538E">
            <w:pPr>
              <w:pStyle w:val="Tableformat"/>
              <w:jc w:val="right"/>
              <w:rPr>
                <w:lang w:val="en-AU"/>
              </w:rPr>
            </w:pPr>
            <w:r>
              <w:t>5.4%</w:t>
            </w:r>
          </w:p>
        </w:tc>
        <w:tc>
          <w:tcPr>
            <w:tcW w:w="837" w:type="dxa"/>
            <w:tcBorders>
              <w:top w:val="nil"/>
              <w:left w:val="nil"/>
              <w:bottom w:val="single" w:sz="4" w:space="0" w:color="auto"/>
              <w:right w:val="single" w:sz="4" w:space="0" w:color="auto"/>
            </w:tcBorders>
            <w:hideMark/>
          </w:tcPr>
          <w:p w14:paraId="7EB6F52B" w14:textId="77777777" w:rsidR="009C538E" w:rsidRDefault="009C538E">
            <w:pPr>
              <w:pStyle w:val="Tableformat"/>
              <w:jc w:val="right"/>
              <w:rPr>
                <w:lang w:val="en-AU"/>
              </w:rPr>
            </w:pPr>
            <w:r>
              <w:t>86.4%</w:t>
            </w:r>
          </w:p>
        </w:tc>
      </w:tr>
      <w:tr w:rsidR="009C538E" w14:paraId="634FC112" w14:textId="77777777" w:rsidTr="009C538E">
        <w:trPr>
          <w:trHeight w:val="291"/>
        </w:trPr>
        <w:tc>
          <w:tcPr>
            <w:tcW w:w="1009" w:type="dxa"/>
            <w:tcBorders>
              <w:top w:val="nil"/>
              <w:left w:val="single" w:sz="4" w:space="0" w:color="auto"/>
              <w:bottom w:val="single" w:sz="4" w:space="0" w:color="auto"/>
              <w:right w:val="single" w:sz="4" w:space="0" w:color="auto"/>
            </w:tcBorders>
            <w:hideMark/>
          </w:tcPr>
          <w:p w14:paraId="2DE06D8A" w14:textId="1CF4B45A" w:rsidR="009C538E" w:rsidRDefault="009C538E">
            <w:pPr>
              <w:pStyle w:val="Tableformat"/>
              <w:rPr>
                <w:lang w:val="en-AU"/>
              </w:rPr>
            </w:pPr>
            <w:r>
              <w:rPr>
                <w:lang w:val="en-AU"/>
              </w:rPr>
              <w:t>Class 4</w:t>
            </w:r>
          </w:p>
        </w:tc>
        <w:tc>
          <w:tcPr>
            <w:tcW w:w="836" w:type="dxa"/>
            <w:tcBorders>
              <w:top w:val="nil"/>
              <w:left w:val="nil"/>
              <w:bottom w:val="single" w:sz="4" w:space="0" w:color="auto"/>
              <w:right w:val="single" w:sz="4" w:space="0" w:color="auto"/>
            </w:tcBorders>
            <w:hideMark/>
          </w:tcPr>
          <w:p w14:paraId="15D72399" w14:textId="77777777" w:rsidR="009C538E" w:rsidRDefault="009C538E">
            <w:pPr>
              <w:pStyle w:val="Tableformat"/>
              <w:jc w:val="right"/>
              <w:rPr>
                <w:lang w:val="en-AU"/>
              </w:rPr>
            </w:pPr>
            <w:r>
              <w:t>8.4%</w:t>
            </w:r>
          </w:p>
        </w:tc>
        <w:tc>
          <w:tcPr>
            <w:tcW w:w="836" w:type="dxa"/>
            <w:tcBorders>
              <w:top w:val="nil"/>
              <w:left w:val="nil"/>
              <w:bottom w:val="single" w:sz="4" w:space="0" w:color="auto"/>
              <w:right w:val="single" w:sz="4" w:space="0" w:color="auto"/>
            </w:tcBorders>
            <w:hideMark/>
          </w:tcPr>
          <w:p w14:paraId="797D5D99" w14:textId="77777777" w:rsidR="009C538E" w:rsidRDefault="009C538E">
            <w:pPr>
              <w:pStyle w:val="Tableformat"/>
              <w:jc w:val="right"/>
              <w:rPr>
                <w:lang w:val="en-AU"/>
              </w:rPr>
            </w:pPr>
            <w:r>
              <w:t>0.0%</w:t>
            </w:r>
          </w:p>
        </w:tc>
        <w:tc>
          <w:tcPr>
            <w:tcW w:w="836" w:type="dxa"/>
            <w:tcBorders>
              <w:top w:val="nil"/>
              <w:left w:val="nil"/>
              <w:bottom w:val="single" w:sz="4" w:space="0" w:color="auto"/>
              <w:right w:val="single" w:sz="4" w:space="0" w:color="auto"/>
            </w:tcBorders>
            <w:hideMark/>
          </w:tcPr>
          <w:p w14:paraId="597CBF8D" w14:textId="77777777" w:rsidR="009C538E" w:rsidRDefault="009C538E">
            <w:pPr>
              <w:pStyle w:val="Tableformat"/>
              <w:jc w:val="right"/>
              <w:rPr>
                <w:lang w:val="en-AU"/>
              </w:rPr>
            </w:pPr>
            <w:r>
              <w:t>6.3%</w:t>
            </w:r>
          </w:p>
        </w:tc>
        <w:tc>
          <w:tcPr>
            <w:tcW w:w="837" w:type="dxa"/>
            <w:tcBorders>
              <w:top w:val="nil"/>
              <w:left w:val="nil"/>
              <w:bottom w:val="single" w:sz="4" w:space="0" w:color="auto"/>
              <w:right w:val="single" w:sz="4" w:space="0" w:color="auto"/>
            </w:tcBorders>
            <w:hideMark/>
          </w:tcPr>
          <w:p w14:paraId="21CD5F90" w14:textId="77777777" w:rsidR="009C538E" w:rsidRDefault="009C538E">
            <w:pPr>
              <w:pStyle w:val="Tableformat"/>
              <w:jc w:val="right"/>
              <w:rPr>
                <w:lang w:val="en-AU"/>
              </w:rPr>
            </w:pPr>
            <w:r>
              <w:t>0.0%</w:t>
            </w:r>
          </w:p>
        </w:tc>
        <w:tc>
          <w:tcPr>
            <w:tcW w:w="836" w:type="dxa"/>
            <w:tcBorders>
              <w:top w:val="nil"/>
              <w:left w:val="nil"/>
              <w:bottom w:val="single" w:sz="4" w:space="0" w:color="auto"/>
              <w:right w:val="single" w:sz="4" w:space="0" w:color="auto"/>
            </w:tcBorders>
            <w:hideMark/>
          </w:tcPr>
          <w:p w14:paraId="5ED7DAE5" w14:textId="77777777" w:rsidR="009C538E" w:rsidRDefault="009C538E">
            <w:pPr>
              <w:pStyle w:val="Tableformat"/>
              <w:jc w:val="right"/>
              <w:rPr>
                <w:lang w:val="en-AU"/>
              </w:rPr>
            </w:pPr>
            <w:r>
              <w:t>18.5%</w:t>
            </w:r>
          </w:p>
        </w:tc>
        <w:tc>
          <w:tcPr>
            <w:tcW w:w="836" w:type="dxa"/>
            <w:tcBorders>
              <w:top w:val="nil"/>
              <w:left w:val="nil"/>
              <w:bottom w:val="single" w:sz="4" w:space="0" w:color="auto"/>
              <w:right w:val="single" w:sz="4" w:space="0" w:color="auto"/>
            </w:tcBorders>
            <w:hideMark/>
          </w:tcPr>
          <w:p w14:paraId="19F57D41" w14:textId="77777777" w:rsidR="009C538E" w:rsidRDefault="009C538E">
            <w:pPr>
              <w:pStyle w:val="Tableformat"/>
              <w:jc w:val="right"/>
              <w:rPr>
                <w:lang w:val="en-AU"/>
              </w:rPr>
            </w:pPr>
            <w:r>
              <w:t>0.0%</w:t>
            </w:r>
          </w:p>
        </w:tc>
        <w:tc>
          <w:tcPr>
            <w:tcW w:w="837" w:type="dxa"/>
            <w:tcBorders>
              <w:top w:val="nil"/>
              <w:left w:val="nil"/>
              <w:bottom w:val="single" w:sz="4" w:space="0" w:color="auto"/>
              <w:right w:val="single" w:sz="4" w:space="0" w:color="auto"/>
            </w:tcBorders>
            <w:hideMark/>
          </w:tcPr>
          <w:p w14:paraId="79D2D5F7" w14:textId="77777777" w:rsidR="009C538E" w:rsidRDefault="009C538E">
            <w:pPr>
              <w:pStyle w:val="Tableformat"/>
              <w:jc w:val="right"/>
              <w:rPr>
                <w:lang w:val="en-AU"/>
              </w:rPr>
            </w:pPr>
            <w:r>
              <w:t>0.0%</w:t>
            </w:r>
          </w:p>
        </w:tc>
        <w:tc>
          <w:tcPr>
            <w:tcW w:w="836" w:type="dxa"/>
            <w:tcBorders>
              <w:top w:val="nil"/>
              <w:left w:val="nil"/>
              <w:bottom w:val="single" w:sz="4" w:space="0" w:color="auto"/>
              <w:right w:val="single" w:sz="4" w:space="0" w:color="auto"/>
            </w:tcBorders>
            <w:hideMark/>
          </w:tcPr>
          <w:p w14:paraId="28675D24" w14:textId="77777777" w:rsidR="009C538E" w:rsidRDefault="009C538E">
            <w:pPr>
              <w:pStyle w:val="Tableformat"/>
              <w:jc w:val="right"/>
              <w:rPr>
                <w:lang w:val="en-AU"/>
              </w:rPr>
            </w:pPr>
            <w:r>
              <w:t>0.0%</w:t>
            </w:r>
          </w:p>
        </w:tc>
        <w:tc>
          <w:tcPr>
            <w:tcW w:w="836" w:type="dxa"/>
            <w:tcBorders>
              <w:top w:val="nil"/>
              <w:left w:val="nil"/>
              <w:bottom w:val="single" w:sz="4" w:space="0" w:color="auto"/>
              <w:right w:val="single" w:sz="4" w:space="0" w:color="auto"/>
            </w:tcBorders>
            <w:hideMark/>
          </w:tcPr>
          <w:p w14:paraId="206D0406" w14:textId="77777777" w:rsidR="009C538E" w:rsidRDefault="009C538E">
            <w:pPr>
              <w:pStyle w:val="Tableformat"/>
              <w:jc w:val="right"/>
              <w:rPr>
                <w:lang w:val="en-AU"/>
              </w:rPr>
            </w:pPr>
            <w:r>
              <w:t>8.3%</w:t>
            </w:r>
          </w:p>
        </w:tc>
        <w:tc>
          <w:tcPr>
            <w:tcW w:w="837" w:type="dxa"/>
            <w:tcBorders>
              <w:top w:val="nil"/>
              <w:left w:val="nil"/>
              <w:bottom w:val="single" w:sz="4" w:space="0" w:color="auto"/>
              <w:right w:val="single" w:sz="4" w:space="0" w:color="auto"/>
            </w:tcBorders>
            <w:hideMark/>
          </w:tcPr>
          <w:p w14:paraId="11401AC5" w14:textId="77777777" w:rsidR="009C538E" w:rsidRDefault="009C538E">
            <w:pPr>
              <w:pStyle w:val="Tableformat"/>
              <w:jc w:val="right"/>
              <w:rPr>
                <w:lang w:val="en-AU"/>
              </w:rPr>
            </w:pPr>
            <w:r>
              <w:t>81.4%</w:t>
            </w:r>
          </w:p>
        </w:tc>
      </w:tr>
      <w:tr w:rsidR="009C538E" w14:paraId="29AFD93C" w14:textId="77777777" w:rsidTr="009C538E">
        <w:trPr>
          <w:trHeight w:val="291"/>
        </w:trPr>
        <w:tc>
          <w:tcPr>
            <w:tcW w:w="1009" w:type="dxa"/>
            <w:tcBorders>
              <w:top w:val="nil"/>
              <w:left w:val="single" w:sz="4" w:space="0" w:color="auto"/>
              <w:bottom w:val="single" w:sz="4" w:space="0" w:color="auto"/>
              <w:right w:val="single" w:sz="4" w:space="0" w:color="auto"/>
            </w:tcBorders>
            <w:hideMark/>
          </w:tcPr>
          <w:p w14:paraId="05AEB0A6" w14:textId="08D5E0FC" w:rsidR="009C538E" w:rsidRDefault="009C538E">
            <w:pPr>
              <w:pStyle w:val="Tableformat"/>
              <w:rPr>
                <w:lang w:val="en-AU"/>
              </w:rPr>
            </w:pPr>
            <w:r>
              <w:rPr>
                <w:lang w:val="en-AU"/>
              </w:rPr>
              <w:t>Class 5</w:t>
            </w:r>
          </w:p>
        </w:tc>
        <w:tc>
          <w:tcPr>
            <w:tcW w:w="836" w:type="dxa"/>
            <w:tcBorders>
              <w:top w:val="nil"/>
              <w:left w:val="nil"/>
              <w:bottom w:val="single" w:sz="4" w:space="0" w:color="auto"/>
              <w:right w:val="single" w:sz="4" w:space="0" w:color="auto"/>
            </w:tcBorders>
            <w:hideMark/>
          </w:tcPr>
          <w:p w14:paraId="19BB935E" w14:textId="77777777" w:rsidR="009C538E" w:rsidRDefault="009C538E">
            <w:pPr>
              <w:pStyle w:val="Tableformat"/>
              <w:jc w:val="right"/>
              <w:rPr>
                <w:lang w:val="en-AU"/>
              </w:rPr>
            </w:pPr>
            <w:r>
              <w:t>21.1%</w:t>
            </w:r>
          </w:p>
        </w:tc>
        <w:tc>
          <w:tcPr>
            <w:tcW w:w="836" w:type="dxa"/>
            <w:tcBorders>
              <w:top w:val="nil"/>
              <w:left w:val="nil"/>
              <w:bottom w:val="single" w:sz="4" w:space="0" w:color="auto"/>
              <w:right w:val="single" w:sz="4" w:space="0" w:color="auto"/>
            </w:tcBorders>
            <w:hideMark/>
          </w:tcPr>
          <w:p w14:paraId="4C11466E" w14:textId="77777777" w:rsidR="009C538E" w:rsidRDefault="009C538E">
            <w:pPr>
              <w:pStyle w:val="Tableformat"/>
              <w:jc w:val="right"/>
              <w:rPr>
                <w:lang w:val="en-AU"/>
              </w:rPr>
            </w:pPr>
            <w:r>
              <w:t>0.0%</w:t>
            </w:r>
          </w:p>
        </w:tc>
        <w:tc>
          <w:tcPr>
            <w:tcW w:w="836" w:type="dxa"/>
            <w:tcBorders>
              <w:top w:val="nil"/>
              <w:left w:val="nil"/>
              <w:bottom w:val="single" w:sz="4" w:space="0" w:color="auto"/>
              <w:right w:val="single" w:sz="4" w:space="0" w:color="auto"/>
            </w:tcBorders>
            <w:hideMark/>
          </w:tcPr>
          <w:p w14:paraId="4DC7B62A" w14:textId="77777777" w:rsidR="009C538E" w:rsidRDefault="009C538E">
            <w:pPr>
              <w:pStyle w:val="Tableformat"/>
              <w:jc w:val="right"/>
              <w:rPr>
                <w:lang w:val="en-AU"/>
              </w:rPr>
            </w:pPr>
            <w:r>
              <w:t>18.8%</w:t>
            </w:r>
          </w:p>
        </w:tc>
        <w:tc>
          <w:tcPr>
            <w:tcW w:w="837" w:type="dxa"/>
            <w:tcBorders>
              <w:top w:val="nil"/>
              <w:left w:val="nil"/>
              <w:bottom w:val="single" w:sz="4" w:space="0" w:color="auto"/>
              <w:right w:val="single" w:sz="4" w:space="0" w:color="auto"/>
            </w:tcBorders>
            <w:hideMark/>
          </w:tcPr>
          <w:p w14:paraId="01A438B0" w14:textId="77777777" w:rsidR="009C538E" w:rsidRDefault="009C538E">
            <w:pPr>
              <w:pStyle w:val="Tableformat"/>
              <w:jc w:val="right"/>
              <w:rPr>
                <w:lang w:val="en-AU"/>
              </w:rPr>
            </w:pPr>
            <w:r>
              <w:t>33.3%</w:t>
            </w:r>
          </w:p>
        </w:tc>
        <w:tc>
          <w:tcPr>
            <w:tcW w:w="836" w:type="dxa"/>
            <w:tcBorders>
              <w:top w:val="nil"/>
              <w:left w:val="nil"/>
              <w:bottom w:val="single" w:sz="4" w:space="0" w:color="auto"/>
              <w:right w:val="single" w:sz="4" w:space="0" w:color="auto"/>
            </w:tcBorders>
            <w:hideMark/>
          </w:tcPr>
          <w:p w14:paraId="141F59BC" w14:textId="77777777" w:rsidR="009C538E" w:rsidRDefault="009C538E">
            <w:pPr>
              <w:pStyle w:val="Tableformat"/>
              <w:jc w:val="right"/>
              <w:rPr>
                <w:lang w:val="en-AU"/>
              </w:rPr>
            </w:pPr>
            <w:r>
              <w:t>11.1%</w:t>
            </w:r>
          </w:p>
        </w:tc>
        <w:tc>
          <w:tcPr>
            <w:tcW w:w="836" w:type="dxa"/>
            <w:tcBorders>
              <w:top w:val="nil"/>
              <w:left w:val="nil"/>
              <w:bottom w:val="single" w:sz="4" w:space="0" w:color="auto"/>
              <w:right w:val="single" w:sz="4" w:space="0" w:color="auto"/>
            </w:tcBorders>
            <w:hideMark/>
          </w:tcPr>
          <w:p w14:paraId="11C231B4" w14:textId="77777777" w:rsidR="009C538E" w:rsidRDefault="009C538E">
            <w:pPr>
              <w:pStyle w:val="Tableformat"/>
              <w:jc w:val="right"/>
              <w:rPr>
                <w:lang w:val="en-AU"/>
              </w:rPr>
            </w:pPr>
            <w:r>
              <w:t>25.0%</w:t>
            </w:r>
          </w:p>
        </w:tc>
        <w:tc>
          <w:tcPr>
            <w:tcW w:w="837" w:type="dxa"/>
            <w:tcBorders>
              <w:top w:val="nil"/>
              <w:left w:val="nil"/>
              <w:bottom w:val="single" w:sz="4" w:space="0" w:color="auto"/>
              <w:right w:val="single" w:sz="4" w:space="0" w:color="auto"/>
            </w:tcBorders>
            <w:hideMark/>
          </w:tcPr>
          <w:p w14:paraId="61F99267" w14:textId="77777777" w:rsidR="009C538E" w:rsidRDefault="009C538E">
            <w:pPr>
              <w:pStyle w:val="Tableformat"/>
              <w:jc w:val="right"/>
              <w:rPr>
                <w:lang w:val="en-AU"/>
              </w:rPr>
            </w:pPr>
            <w:r>
              <w:t>18.8%</w:t>
            </w:r>
          </w:p>
        </w:tc>
        <w:tc>
          <w:tcPr>
            <w:tcW w:w="836" w:type="dxa"/>
            <w:tcBorders>
              <w:top w:val="nil"/>
              <w:left w:val="nil"/>
              <w:bottom w:val="single" w:sz="4" w:space="0" w:color="auto"/>
              <w:right w:val="single" w:sz="4" w:space="0" w:color="auto"/>
            </w:tcBorders>
            <w:hideMark/>
          </w:tcPr>
          <w:p w14:paraId="3E7270F7" w14:textId="77777777" w:rsidR="009C538E" w:rsidRDefault="009C538E">
            <w:pPr>
              <w:pStyle w:val="Tableformat"/>
              <w:jc w:val="right"/>
              <w:rPr>
                <w:lang w:val="en-AU"/>
              </w:rPr>
            </w:pPr>
            <w:r>
              <w:t>8.3%</w:t>
            </w:r>
          </w:p>
        </w:tc>
        <w:tc>
          <w:tcPr>
            <w:tcW w:w="836" w:type="dxa"/>
            <w:tcBorders>
              <w:top w:val="nil"/>
              <w:left w:val="nil"/>
              <w:bottom w:val="single" w:sz="4" w:space="0" w:color="auto"/>
              <w:right w:val="single" w:sz="4" w:space="0" w:color="auto"/>
            </w:tcBorders>
            <w:hideMark/>
          </w:tcPr>
          <w:p w14:paraId="47649968" w14:textId="77777777" w:rsidR="009C538E" w:rsidRDefault="009C538E">
            <w:pPr>
              <w:pStyle w:val="Tableformat"/>
              <w:jc w:val="right"/>
              <w:rPr>
                <w:lang w:val="en-AU"/>
              </w:rPr>
            </w:pPr>
            <w:r>
              <w:t>20.3%</w:t>
            </w:r>
          </w:p>
        </w:tc>
        <w:tc>
          <w:tcPr>
            <w:tcW w:w="837" w:type="dxa"/>
            <w:tcBorders>
              <w:top w:val="nil"/>
              <w:left w:val="nil"/>
              <w:bottom w:val="single" w:sz="4" w:space="0" w:color="auto"/>
              <w:right w:val="single" w:sz="4" w:space="0" w:color="auto"/>
            </w:tcBorders>
            <w:hideMark/>
          </w:tcPr>
          <w:p w14:paraId="795E1746" w14:textId="77777777" w:rsidR="009C538E" w:rsidRDefault="009C538E">
            <w:pPr>
              <w:pStyle w:val="Tableformat"/>
              <w:jc w:val="right"/>
              <w:rPr>
                <w:lang w:val="en-AU"/>
              </w:rPr>
            </w:pPr>
            <w:r>
              <w:t>81.4%</w:t>
            </w:r>
          </w:p>
        </w:tc>
      </w:tr>
      <w:tr w:rsidR="009C538E" w14:paraId="4E5995F4" w14:textId="77777777" w:rsidTr="009C538E">
        <w:trPr>
          <w:trHeight w:val="291"/>
        </w:trPr>
        <w:tc>
          <w:tcPr>
            <w:tcW w:w="1009" w:type="dxa"/>
            <w:tcBorders>
              <w:top w:val="nil"/>
              <w:left w:val="single" w:sz="4" w:space="0" w:color="auto"/>
              <w:bottom w:val="single" w:sz="4" w:space="0" w:color="auto"/>
              <w:right w:val="single" w:sz="4" w:space="0" w:color="auto"/>
            </w:tcBorders>
            <w:hideMark/>
          </w:tcPr>
          <w:p w14:paraId="5A2D8F90" w14:textId="73003454" w:rsidR="009C538E" w:rsidRDefault="009C538E">
            <w:pPr>
              <w:pStyle w:val="Tableformat"/>
              <w:rPr>
                <w:lang w:val="en-AU"/>
              </w:rPr>
            </w:pPr>
            <w:r>
              <w:rPr>
                <w:lang w:val="en-AU"/>
              </w:rPr>
              <w:t>Class 6</w:t>
            </w:r>
          </w:p>
        </w:tc>
        <w:tc>
          <w:tcPr>
            <w:tcW w:w="836" w:type="dxa"/>
            <w:tcBorders>
              <w:top w:val="nil"/>
              <w:left w:val="nil"/>
              <w:bottom w:val="single" w:sz="4" w:space="0" w:color="auto"/>
              <w:right w:val="single" w:sz="4" w:space="0" w:color="auto"/>
            </w:tcBorders>
            <w:hideMark/>
          </w:tcPr>
          <w:p w14:paraId="20E96D11" w14:textId="77777777" w:rsidR="009C538E" w:rsidRDefault="009C538E">
            <w:pPr>
              <w:pStyle w:val="Tableformat"/>
              <w:jc w:val="right"/>
              <w:rPr>
                <w:lang w:val="en-AU"/>
              </w:rPr>
            </w:pPr>
            <w:r>
              <w:t>8.4%</w:t>
            </w:r>
          </w:p>
        </w:tc>
        <w:tc>
          <w:tcPr>
            <w:tcW w:w="836" w:type="dxa"/>
            <w:tcBorders>
              <w:top w:val="nil"/>
              <w:left w:val="nil"/>
              <w:bottom w:val="single" w:sz="4" w:space="0" w:color="auto"/>
              <w:right w:val="single" w:sz="4" w:space="0" w:color="auto"/>
            </w:tcBorders>
            <w:hideMark/>
          </w:tcPr>
          <w:p w14:paraId="3609F247" w14:textId="77777777" w:rsidR="009C538E" w:rsidRDefault="009C538E">
            <w:pPr>
              <w:pStyle w:val="Tableformat"/>
              <w:jc w:val="right"/>
              <w:rPr>
                <w:lang w:val="en-AU"/>
              </w:rPr>
            </w:pPr>
            <w:r>
              <w:t>33.3%</w:t>
            </w:r>
          </w:p>
        </w:tc>
        <w:tc>
          <w:tcPr>
            <w:tcW w:w="836" w:type="dxa"/>
            <w:tcBorders>
              <w:top w:val="nil"/>
              <w:left w:val="nil"/>
              <w:bottom w:val="single" w:sz="4" w:space="0" w:color="auto"/>
              <w:right w:val="single" w:sz="4" w:space="0" w:color="auto"/>
            </w:tcBorders>
            <w:hideMark/>
          </w:tcPr>
          <w:p w14:paraId="36A0641C" w14:textId="77777777" w:rsidR="009C538E" w:rsidRDefault="009C538E">
            <w:pPr>
              <w:pStyle w:val="Tableformat"/>
              <w:jc w:val="right"/>
              <w:rPr>
                <w:lang w:val="en-AU"/>
              </w:rPr>
            </w:pPr>
            <w:r>
              <w:t>18.8%</w:t>
            </w:r>
          </w:p>
        </w:tc>
        <w:tc>
          <w:tcPr>
            <w:tcW w:w="837" w:type="dxa"/>
            <w:tcBorders>
              <w:top w:val="nil"/>
              <w:left w:val="nil"/>
              <w:bottom w:val="single" w:sz="4" w:space="0" w:color="auto"/>
              <w:right w:val="single" w:sz="4" w:space="0" w:color="auto"/>
            </w:tcBorders>
            <w:hideMark/>
          </w:tcPr>
          <w:p w14:paraId="422D699A" w14:textId="77777777" w:rsidR="009C538E" w:rsidRDefault="009C538E">
            <w:pPr>
              <w:pStyle w:val="Tableformat"/>
              <w:jc w:val="right"/>
              <w:rPr>
                <w:lang w:val="en-AU"/>
              </w:rPr>
            </w:pPr>
            <w:r>
              <w:t>0.0%</w:t>
            </w:r>
          </w:p>
        </w:tc>
        <w:tc>
          <w:tcPr>
            <w:tcW w:w="836" w:type="dxa"/>
            <w:tcBorders>
              <w:top w:val="nil"/>
              <w:left w:val="nil"/>
              <w:bottom w:val="single" w:sz="4" w:space="0" w:color="auto"/>
              <w:right w:val="single" w:sz="4" w:space="0" w:color="auto"/>
            </w:tcBorders>
            <w:hideMark/>
          </w:tcPr>
          <w:p w14:paraId="63391435" w14:textId="77777777" w:rsidR="009C538E" w:rsidRDefault="009C538E">
            <w:pPr>
              <w:pStyle w:val="Tableformat"/>
              <w:jc w:val="right"/>
              <w:rPr>
                <w:lang w:val="en-AU"/>
              </w:rPr>
            </w:pPr>
            <w:r>
              <w:t>0.0%</w:t>
            </w:r>
          </w:p>
        </w:tc>
        <w:tc>
          <w:tcPr>
            <w:tcW w:w="836" w:type="dxa"/>
            <w:tcBorders>
              <w:top w:val="nil"/>
              <w:left w:val="nil"/>
              <w:bottom w:val="single" w:sz="4" w:space="0" w:color="auto"/>
              <w:right w:val="single" w:sz="4" w:space="0" w:color="auto"/>
            </w:tcBorders>
            <w:hideMark/>
          </w:tcPr>
          <w:p w14:paraId="1FC9183D" w14:textId="77777777" w:rsidR="009C538E" w:rsidRDefault="009C538E">
            <w:pPr>
              <w:pStyle w:val="Tableformat"/>
              <w:jc w:val="right"/>
              <w:rPr>
                <w:lang w:val="en-AU"/>
              </w:rPr>
            </w:pPr>
            <w:r>
              <w:t>8.3%</w:t>
            </w:r>
          </w:p>
        </w:tc>
        <w:tc>
          <w:tcPr>
            <w:tcW w:w="837" w:type="dxa"/>
            <w:tcBorders>
              <w:top w:val="nil"/>
              <w:left w:val="nil"/>
              <w:bottom w:val="single" w:sz="4" w:space="0" w:color="auto"/>
              <w:right w:val="single" w:sz="4" w:space="0" w:color="auto"/>
            </w:tcBorders>
            <w:hideMark/>
          </w:tcPr>
          <w:p w14:paraId="00B38D9E" w14:textId="77777777" w:rsidR="009C538E" w:rsidRDefault="009C538E">
            <w:pPr>
              <w:pStyle w:val="Tableformat"/>
              <w:jc w:val="right"/>
              <w:rPr>
                <w:lang w:val="en-AU"/>
              </w:rPr>
            </w:pPr>
            <w:r>
              <w:t>12.5%</w:t>
            </w:r>
          </w:p>
        </w:tc>
        <w:tc>
          <w:tcPr>
            <w:tcW w:w="836" w:type="dxa"/>
            <w:tcBorders>
              <w:top w:val="nil"/>
              <w:left w:val="nil"/>
              <w:bottom w:val="single" w:sz="4" w:space="0" w:color="auto"/>
              <w:right w:val="single" w:sz="4" w:space="0" w:color="auto"/>
            </w:tcBorders>
            <w:hideMark/>
          </w:tcPr>
          <w:p w14:paraId="034C9562" w14:textId="77777777" w:rsidR="009C538E" w:rsidRDefault="009C538E">
            <w:pPr>
              <w:pStyle w:val="Tableformat"/>
              <w:jc w:val="right"/>
              <w:rPr>
                <w:lang w:val="en-AU"/>
              </w:rPr>
            </w:pPr>
            <w:r>
              <w:t>8.3%</w:t>
            </w:r>
          </w:p>
        </w:tc>
        <w:tc>
          <w:tcPr>
            <w:tcW w:w="836" w:type="dxa"/>
            <w:tcBorders>
              <w:top w:val="nil"/>
              <w:left w:val="nil"/>
              <w:bottom w:val="single" w:sz="4" w:space="0" w:color="auto"/>
              <w:right w:val="single" w:sz="4" w:space="0" w:color="auto"/>
            </w:tcBorders>
            <w:hideMark/>
          </w:tcPr>
          <w:p w14:paraId="2C0B7FCF" w14:textId="77777777" w:rsidR="009C538E" w:rsidRDefault="009C538E">
            <w:pPr>
              <w:pStyle w:val="Tableformat"/>
              <w:jc w:val="right"/>
              <w:rPr>
                <w:lang w:val="en-AU"/>
              </w:rPr>
            </w:pPr>
            <w:r>
              <w:t>8.6%</w:t>
            </w:r>
          </w:p>
        </w:tc>
        <w:tc>
          <w:tcPr>
            <w:tcW w:w="837" w:type="dxa"/>
            <w:tcBorders>
              <w:top w:val="nil"/>
              <w:left w:val="nil"/>
              <w:bottom w:val="single" w:sz="4" w:space="0" w:color="auto"/>
              <w:right w:val="single" w:sz="4" w:space="0" w:color="auto"/>
            </w:tcBorders>
            <w:hideMark/>
          </w:tcPr>
          <w:p w14:paraId="5032F7CF" w14:textId="77777777" w:rsidR="009C538E" w:rsidRDefault="009C538E">
            <w:pPr>
              <w:pStyle w:val="Tableformat"/>
              <w:jc w:val="right"/>
              <w:rPr>
                <w:lang w:val="en-AU"/>
              </w:rPr>
            </w:pPr>
            <w:r>
              <w:t>78.1%</w:t>
            </w:r>
          </w:p>
        </w:tc>
      </w:tr>
      <w:tr w:rsidR="009C538E" w14:paraId="4D756344" w14:textId="77777777" w:rsidTr="009C538E">
        <w:trPr>
          <w:trHeight w:val="291"/>
        </w:trPr>
        <w:tc>
          <w:tcPr>
            <w:tcW w:w="1009" w:type="dxa"/>
            <w:tcBorders>
              <w:top w:val="nil"/>
              <w:left w:val="single" w:sz="4" w:space="0" w:color="auto"/>
              <w:bottom w:val="single" w:sz="4" w:space="0" w:color="auto"/>
              <w:right w:val="single" w:sz="4" w:space="0" w:color="auto"/>
            </w:tcBorders>
            <w:hideMark/>
          </w:tcPr>
          <w:p w14:paraId="5DDA9A64" w14:textId="7B2E0EA4" w:rsidR="009C538E" w:rsidRDefault="009C538E">
            <w:pPr>
              <w:pStyle w:val="Tableformat"/>
              <w:rPr>
                <w:lang w:val="en-AU"/>
              </w:rPr>
            </w:pPr>
            <w:r>
              <w:rPr>
                <w:lang w:val="en-AU"/>
              </w:rPr>
              <w:t>Class 7</w:t>
            </w:r>
          </w:p>
        </w:tc>
        <w:tc>
          <w:tcPr>
            <w:tcW w:w="836" w:type="dxa"/>
            <w:tcBorders>
              <w:top w:val="nil"/>
              <w:left w:val="nil"/>
              <w:bottom w:val="single" w:sz="4" w:space="0" w:color="auto"/>
              <w:right w:val="single" w:sz="4" w:space="0" w:color="auto"/>
            </w:tcBorders>
            <w:hideMark/>
          </w:tcPr>
          <w:p w14:paraId="2661C59F" w14:textId="77777777" w:rsidR="009C538E" w:rsidRDefault="009C538E">
            <w:pPr>
              <w:pStyle w:val="Tableformat"/>
              <w:jc w:val="right"/>
              <w:rPr>
                <w:lang w:val="en-AU"/>
              </w:rPr>
            </w:pPr>
            <w:r>
              <w:t>3.5%</w:t>
            </w:r>
          </w:p>
        </w:tc>
        <w:tc>
          <w:tcPr>
            <w:tcW w:w="836" w:type="dxa"/>
            <w:tcBorders>
              <w:top w:val="nil"/>
              <w:left w:val="nil"/>
              <w:bottom w:val="single" w:sz="4" w:space="0" w:color="auto"/>
              <w:right w:val="single" w:sz="4" w:space="0" w:color="auto"/>
            </w:tcBorders>
            <w:hideMark/>
          </w:tcPr>
          <w:p w14:paraId="0FE72FB1" w14:textId="77777777" w:rsidR="009C538E" w:rsidRDefault="009C538E">
            <w:pPr>
              <w:pStyle w:val="Tableformat"/>
              <w:jc w:val="right"/>
              <w:rPr>
                <w:lang w:val="en-AU"/>
              </w:rPr>
            </w:pPr>
            <w:r>
              <w:t>33.3%</w:t>
            </w:r>
          </w:p>
        </w:tc>
        <w:tc>
          <w:tcPr>
            <w:tcW w:w="836" w:type="dxa"/>
            <w:tcBorders>
              <w:top w:val="nil"/>
              <w:left w:val="nil"/>
              <w:bottom w:val="single" w:sz="4" w:space="0" w:color="auto"/>
              <w:right w:val="single" w:sz="4" w:space="0" w:color="auto"/>
            </w:tcBorders>
            <w:hideMark/>
          </w:tcPr>
          <w:p w14:paraId="331D655B" w14:textId="77777777" w:rsidR="009C538E" w:rsidRDefault="009C538E">
            <w:pPr>
              <w:pStyle w:val="Tableformat"/>
              <w:jc w:val="right"/>
              <w:rPr>
                <w:lang w:val="en-AU"/>
              </w:rPr>
            </w:pPr>
            <w:r>
              <w:t>9.4%</w:t>
            </w:r>
          </w:p>
        </w:tc>
        <w:tc>
          <w:tcPr>
            <w:tcW w:w="837" w:type="dxa"/>
            <w:tcBorders>
              <w:top w:val="nil"/>
              <w:left w:val="nil"/>
              <w:bottom w:val="single" w:sz="4" w:space="0" w:color="auto"/>
              <w:right w:val="single" w:sz="4" w:space="0" w:color="auto"/>
            </w:tcBorders>
            <w:hideMark/>
          </w:tcPr>
          <w:p w14:paraId="09C6158D" w14:textId="77777777" w:rsidR="009C538E" w:rsidRDefault="009C538E">
            <w:pPr>
              <w:pStyle w:val="Tableformat"/>
              <w:jc w:val="right"/>
              <w:rPr>
                <w:lang w:val="en-AU"/>
              </w:rPr>
            </w:pPr>
            <w:r>
              <w:t>0.0%</w:t>
            </w:r>
          </w:p>
        </w:tc>
        <w:tc>
          <w:tcPr>
            <w:tcW w:w="836" w:type="dxa"/>
            <w:tcBorders>
              <w:top w:val="nil"/>
              <w:left w:val="nil"/>
              <w:bottom w:val="single" w:sz="4" w:space="0" w:color="auto"/>
              <w:right w:val="single" w:sz="4" w:space="0" w:color="auto"/>
            </w:tcBorders>
            <w:hideMark/>
          </w:tcPr>
          <w:p w14:paraId="0F356C43" w14:textId="77777777" w:rsidR="009C538E" w:rsidRDefault="009C538E">
            <w:pPr>
              <w:pStyle w:val="Tableformat"/>
              <w:jc w:val="right"/>
              <w:rPr>
                <w:lang w:val="en-AU"/>
              </w:rPr>
            </w:pPr>
            <w:r>
              <w:t>3.7%</w:t>
            </w:r>
          </w:p>
        </w:tc>
        <w:tc>
          <w:tcPr>
            <w:tcW w:w="836" w:type="dxa"/>
            <w:tcBorders>
              <w:top w:val="nil"/>
              <w:left w:val="nil"/>
              <w:bottom w:val="single" w:sz="4" w:space="0" w:color="auto"/>
              <w:right w:val="single" w:sz="4" w:space="0" w:color="auto"/>
            </w:tcBorders>
            <w:hideMark/>
          </w:tcPr>
          <w:p w14:paraId="0F86F5FF" w14:textId="77777777" w:rsidR="009C538E" w:rsidRDefault="009C538E">
            <w:pPr>
              <w:pStyle w:val="Tableformat"/>
              <w:jc w:val="right"/>
              <w:rPr>
                <w:lang w:val="en-AU"/>
              </w:rPr>
            </w:pPr>
            <w:r>
              <w:t>8.3%</w:t>
            </w:r>
          </w:p>
        </w:tc>
        <w:tc>
          <w:tcPr>
            <w:tcW w:w="837" w:type="dxa"/>
            <w:tcBorders>
              <w:top w:val="nil"/>
              <w:left w:val="nil"/>
              <w:bottom w:val="single" w:sz="4" w:space="0" w:color="auto"/>
              <w:right w:val="single" w:sz="4" w:space="0" w:color="auto"/>
            </w:tcBorders>
            <w:hideMark/>
          </w:tcPr>
          <w:p w14:paraId="4797FF31" w14:textId="77777777" w:rsidR="009C538E" w:rsidRDefault="009C538E">
            <w:pPr>
              <w:pStyle w:val="Tableformat"/>
              <w:jc w:val="right"/>
              <w:rPr>
                <w:lang w:val="en-AU"/>
              </w:rPr>
            </w:pPr>
            <w:r>
              <w:t>6.3%</w:t>
            </w:r>
          </w:p>
        </w:tc>
        <w:tc>
          <w:tcPr>
            <w:tcW w:w="836" w:type="dxa"/>
            <w:tcBorders>
              <w:top w:val="nil"/>
              <w:left w:val="nil"/>
              <w:bottom w:val="single" w:sz="4" w:space="0" w:color="auto"/>
              <w:right w:val="single" w:sz="4" w:space="0" w:color="auto"/>
            </w:tcBorders>
            <w:hideMark/>
          </w:tcPr>
          <w:p w14:paraId="2D25E68D" w14:textId="77777777" w:rsidR="009C538E" w:rsidRDefault="009C538E">
            <w:pPr>
              <w:pStyle w:val="Tableformat"/>
              <w:jc w:val="right"/>
              <w:rPr>
                <w:lang w:val="en-AU"/>
              </w:rPr>
            </w:pPr>
            <w:r>
              <w:t>16.7%</w:t>
            </w:r>
          </w:p>
        </w:tc>
        <w:tc>
          <w:tcPr>
            <w:tcW w:w="836" w:type="dxa"/>
            <w:tcBorders>
              <w:top w:val="nil"/>
              <w:left w:val="nil"/>
              <w:bottom w:val="single" w:sz="4" w:space="0" w:color="auto"/>
              <w:right w:val="single" w:sz="4" w:space="0" w:color="auto"/>
            </w:tcBorders>
            <w:hideMark/>
          </w:tcPr>
          <w:p w14:paraId="220A6A58" w14:textId="77777777" w:rsidR="009C538E" w:rsidRDefault="009C538E">
            <w:pPr>
              <w:pStyle w:val="Tableformat"/>
              <w:jc w:val="right"/>
              <w:rPr>
                <w:lang w:val="en-AU"/>
              </w:rPr>
            </w:pPr>
            <w:r>
              <w:t>4.0%</w:t>
            </w:r>
          </w:p>
        </w:tc>
        <w:tc>
          <w:tcPr>
            <w:tcW w:w="837" w:type="dxa"/>
            <w:tcBorders>
              <w:top w:val="nil"/>
              <w:left w:val="nil"/>
              <w:bottom w:val="single" w:sz="4" w:space="0" w:color="auto"/>
              <w:right w:val="single" w:sz="4" w:space="0" w:color="auto"/>
            </w:tcBorders>
            <w:hideMark/>
          </w:tcPr>
          <w:p w14:paraId="049E7183" w14:textId="77777777" w:rsidR="009C538E" w:rsidRDefault="009C538E">
            <w:pPr>
              <w:pStyle w:val="Tableformat"/>
              <w:jc w:val="right"/>
              <w:rPr>
                <w:lang w:val="en-AU"/>
              </w:rPr>
            </w:pPr>
            <w:r>
              <w:t>63.2%</w:t>
            </w:r>
          </w:p>
        </w:tc>
      </w:tr>
      <w:tr w:rsidR="009C538E" w14:paraId="112C6E81" w14:textId="77777777" w:rsidTr="009C538E">
        <w:trPr>
          <w:trHeight w:val="291"/>
        </w:trPr>
        <w:tc>
          <w:tcPr>
            <w:tcW w:w="1009" w:type="dxa"/>
            <w:tcBorders>
              <w:top w:val="nil"/>
              <w:left w:val="single" w:sz="4" w:space="0" w:color="auto"/>
              <w:bottom w:val="single" w:sz="4" w:space="0" w:color="auto"/>
              <w:right w:val="single" w:sz="4" w:space="0" w:color="auto"/>
            </w:tcBorders>
            <w:hideMark/>
          </w:tcPr>
          <w:p w14:paraId="2B6DF5C8" w14:textId="35FF855F" w:rsidR="009C538E" w:rsidRDefault="009C538E">
            <w:pPr>
              <w:pStyle w:val="Tableformat"/>
              <w:rPr>
                <w:lang w:val="en-AU"/>
              </w:rPr>
            </w:pPr>
            <w:r>
              <w:rPr>
                <w:lang w:val="en-AU"/>
              </w:rPr>
              <w:t>Class 8</w:t>
            </w:r>
          </w:p>
        </w:tc>
        <w:tc>
          <w:tcPr>
            <w:tcW w:w="836" w:type="dxa"/>
            <w:tcBorders>
              <w:top w:val="nil"/>
              <w:left w:val="nil"/>
              <w:bottom w:val="single" w:sz="4" w:space="0" w:color="auto"/>
              <w:right w:val="single" w:sz="4" w:space="0" w:color="auto"/>
            </w:tcBorders>
            <w:hideMark/>
          </w:tcPr>
          <w:p w14:paraId="347AB779" w14:textId="77777777" w:rsidR="009C538E" w:rsidRDefault="009C538E">
            <w:pPr>
              <w:pStyle w:val="Tableformat"/>
              <w:jc w:val="right"/>
              <w:rPr>
                <w:lang w:val="en-AU"/>
              </w:rPr>
            </w:pPr>
            <w:r>
              <w:t>5.6%</w:t>
            </w:r>
          </w:p>
        </w:tc>
        <w:tc>
          <w:tcPr>
            <w:tcW w:w="836" w:type="dxa"/>
            <w:tcBorders>
              <w:top w:val="nil"/>
              <w:left w:val="nil"/>
              <w:bottom w:val="single" w:sz="4" w:space="0" w:color="auto"/>
              <w:right w:val="single" w:sz="4" w:space="0" w:color="auto"/>
            </w:tcBorders>
            <w:hideMark/>
          </w:tcPr>
          <w:p w14:paraId="62DD712D" w14:textId="77777777" w:rsidR="009C538E" w:rsidRDefault="009C538E">
            <w:pPr>
              <w:pStyle w:val="Tableformat"/>
              <w:jc w:val="right"/>
              <w:rPr>
                <w:lang w:val="en-AU"/>
              </w:rPr>
            </w:pPr>
            <w:r>
              <w:t>0.0%</w:t>
            </w:r>
          </w:p>
        </w:tc>
        <w:tc>
          <w:tcPr>
            <w:tcW w:w="836" w:type="dxa"/>
            <w:tcBorders>
              <w:top w:val="nil"/>
              <w:left w:val="nil"/>
              <w:bottom w:val="single" w:sz="4" w:space="0" w:color="auto"/>
              <w:right w:val="single" w:sz="4" w:space="0" w:color="auto"/>
            </w:tcBorders>
            <w:hideMark/>
          </w:tcPr>
          <w:p w14:paraId="644BAB7B" w14:textId="77777777" w:rsidR="009C538E" w:rsidRDefault="009C538E">
            <w:pPr>
              <w:pStyle w:val="Tableformat"/>
              <w:jc w:val="right"/>
              <w:rPr>
                <w:lang w:val="en-AU"/>
              </w:rPr>
            </w:pPr>
            <w:r>
              <w:t>21.9%</w:t>
            </w:r>
          </w:p>
        </w:tc>
        <w:tc>
          <w:tcPr>
            <w:tcW w:w="837" w:type="dxa"/>
            <w:tcBorders>
              <w:top w:val="nil"/>
              <w:left w:val="nil"/>
              <w:bottom w:val="single" w:sz="4" w:space="0" w:color="auto"/>
              <w:right w:val="single" w:sz="4" w:space="0" w:color="auto"/>
            </w:tcBorders>
            <w:hideMark/>
          </w:tcPr>
          <w:p w14:paraId="45FE693F" w14:textId="77777777" w:rsidR="009C538E" w:rsidRDefault="009C538E">
            <w:pPr>
              <w:pStyle w:val="Tableformat"/>
              <w:jc w:val="right"/>
              <w:rPr>
                <w:lang w:val="en-AU"/>
              </w:rPr>
            </w:pPr>
            <w:r>
              <w:t>0.0%</w:t>
            </w:r>
          </w:p>
        </w:tc>
        <w:tc>
          <w:tcPr>
            <w:tcW w:w="836" w:type="dxa"/>
            <w:tcBorders>
              <w:top w:val="nil"/>
              <w:left w:val="nil"/>
              <w:bottom w:val="single" w:sz="4" w:space="0" w:color="auto"/>
              <w:right w:val="single" w:sz="4" w:space="0" w:color="auto"/>
            </w:tcBorders>
            <w:hideMark/>
          </w:tcPr>
          <w:p w14:paraId="4C186E60" w14:textId="77777777" w:rsidR="009C538E" w:rsidRDefault="009C538E">
            <w:pPr>
              <w:pStyle w:val="Tableformat"/>
              <w:jc w:val="right"/>
              <w:rPr>
                <w:lang w:val="en-AU"/>
              </w:rPr>
            </w:pPr>
            <w:r>
              <w:t>0.0%</w:t>
            </w:r>
          </w:p>
        </w:tc>
        <w:tc>
          <w:tcPr>
            <w:tcW w:w="836" w:type="dxa"/>
            <w:tcBorders>
              <w:top w:val="nil"/>
              <w:left w:val="nil"/>
              <w:bottom w:val="single" w:sz="4" w:space="0" w:color="auto"/>
              <w:right w:val="single" w:sz="4" w:space="0" w:color="auto"/>
            </w:tcBorders>
            <w:hideMark/>
          </w:tcPr>
          <w:p w14:paraId="604F4692" w14:textId="77777777" w:rsidR="009C538E" w:rsidRDefault="009C538E">
            <w:pPr>
              <w:pStyle w:val="Tableformat"/>
              <w:jc w:val="right"/>
              <w:rPr>
                <w:lang w:val="en-AU"/>
              </w:rPr>
            </w:pPr>
            <w:r>
              <w:t>0.0%</w:t>
            </w:r>
          </w:p>
        </w:tc>
        <w:tc>
          <w:tcPr>
            <w:tcW w:w="837" w:type="dxa"/>
            <w:tcBorders>
              <w:top w:val="nil"/>
              <w:left w:val="nil"/>
              <w:bottom w:val="single" w:sz="4" w:space="0" w:color="auto"/>
              <w:right w:val="single" w:sz="4" w:space="0" w:color="auto"/>
            </w:tcBorders>
            <w:hideMark/>
          </w:tcPr>
          <w:p w14:paraId="5C5325E1" w14:textId="77777777" w:rsidR="009C538E" w:rsidRDefault="009C538E">
            <w:pPr>
              <w:pStyle w:val="Tableformat"/>
              <w:jc w:val="right"/>
              <w:rPr>
                <w:lang w:val="en-AU"/>
              </w:rPr>
            </w:pPr>
            <w:r>
              <w:t>12.5%</w:t>
            </w:r>
          </w:p>
        </w:tc>
        <w:tc>
          <w:tcPr>
            <w:tcW w:w="836" w:type="dxa"/>
            <w:tcBorders>
              <w:top w:val="nil"/>
              <w:left w:val="nil"/>
              <w:bottom w:val="single" w:sz="4" w:space="0" w:color="auto"/>
              <w:right w:val="single" w:sz="4" w:space="0" w:color="auto"/>
            </w:tcBorders>
            <w:hideMark/>
          </w:tcPr>
          <w:p w14:paraId="7CE11694" w14:textId="77777777" w:rsidR="009C538E" w:rsidRDefault="009C538E">
            <w:pPr>
              <w:pStyle w:val="Tableformat"/>
              <w:jc w:val="right"/>
              <w:rPr>
                <w:lang w:val="en-AU"/>
              </w:rPr>
            </w:pPr>
            <w:r>
              <w:t>8.3%</w:t>
            </w:r>
          </w:p>
        </w:tc>
        <w:tc>
          <w:tcPr>
            <w:tcW w:w="836" w:type="dxa"/>
            <w:tcBorders>
              <w:top w:val="nil"/>
              <w:left w:val="nil"/>
              <w:bottom w:val="single" w:sz="4" w:space="0" w:color="auto"/>
              <w:right w:val="single" w:sz="4" w:space="0" w:color="auto"/>
            </w:tcBorders>
            <w:hideMark/>
          </w:tcPr>
          <w:p w14:paraId="622C36E8" w14:textId="77777777" w:rsidR="009C538E" w:rsidRDefault="009C538E">
            <w:pPr>
              <w:pStyle w:val="Tableformat"/>
              <w:jc w:val="right"/>
              <w:rPr>
                <w:lang w:val="en-AU"/>
              </w:rPr>
            </w:pPr>
            <w:r>
              <w:t>6.2%</w:t>
            </w:r>
          </w:p>
        </w:tc>
        <w:tc>
          <w:tcPr>
            <w:tcW w:w="837" w:type="dxa"/>
            <w:tcBorders>
              <w:top w:val="nil"/>
              <w:left w:val="nil"/>
              <w:bottom w:val="single" w:sz="4" w:space="0" w:color="auto"/>
              <w:right w:val="single" w:sz="4" w:space="0" w:color="auto"/>
            </w:tcBorders>
            <w:hideMark/>
          </w:tcPr>
          <w:p w14:paraId="554347F5" w14:textId="77777777" w:rsidR="009C538E" w:rsidRDefault="009C538E">
            <w:pPr>
              <w:pStyle w:val="Tableformat"/>
              <w:jc w:val="right"/>
              <w:rPr>
                <w:lang w:val="en-AU"/>
              </w:rPr>
            </w:pPr>
            <w:r>
              <w:t>66.7%</w:t>
            </w:r>
          </w:p>
        </w:tc>
      </w:tr>
      <w:tr w:rsidR="009C538E" w14:paraId="6F0BB6ED" w14:textId="77777777" w:rsidTr="009C538E">
        <w:trPr>
          <w:trHeight w:val="291"/>
        </w:trPr>
        <w:tc>
          <w:tcPr>
            <w:tcW w:w="1009" w:type="dxa"/>
            <w:tcBorders>
              <w:top w:val="nil"/>
              <w:left w:val="single" w:sz="4" w:space="0" w:color="auto"/>
              <w:bottom w:val="single" w:sz="4" w:space="0" w:color="auto"/>
              <w:right w:val="single" w:sz="4" w:space="0" w:color="auto"/>
            </w:tcBorders>
            <w:hideMark/>
          </w:tcPr>
          <w:p w14:paraId="7097FEF0" w14:textId="3D64EC1F" w:rsidR="009C538E" w:rsidRDefault="009C538E">
            <w:pPr>
              <w:pStyle w:val="Tableformat"/>
              <w:rPr>
                <w:lang w:val="en-AU"/>
              </w:rPr>
            </w:pPr>
            <w:r>
              <w:rPr>
                <w:lang w:val="en-AU"/>
              </w:rPr>
              <w:t>Class 9</w:t>
            </w:r>
          </w:p>
        </w:tc>
        <w:tc>
          <w:tcPr>
            <w:tcW w:w="836" w:type="dxa"/>
            <w:tcBorders>
              <w:top w:val="nil"/>
              <w:left w:val="nil"/>
              <w:bottom w:val="single" w:sz="4" w:space="0" w:color="auto"/>
              <w:right w:val="single" w:sz="4" w:space="0" w:color="auto"/>
            </w:tcBorders>
            <w:hideMark/>
          </w:tcPr>
          <w:p w14:paraId="121C203F" w14:textId="77777777" w:rsidR="009C538E" w:rsidRDefault="009C538E">
            <w:pPr>
              <w:pStyle w:val="Tableformat"/>
              <w:jc w:val="right"/>
              <w:rPr>
                <w:lang w:val="en-AU"/>
              </w:rPr>
            </w:pPr>
            <w:r>
              <w:t>7.9%</w:t>
            </w:r>
          </w:p>
        </w:tc>
        <w:tc>
          <w:tcPr>
            <w:tcW w:w="836" w:type="dxa"/>
            <w:tcBorders>
              <w:top w:val="nil"/>
              <w:left w:val="nil"/>
              <w:bottom w:val="single" w:sz="4" w:space="0" w:color="auto"/>
              <w:right w:val="single" w:sz="4" w:space="0" w:color="auto"/>
            </w:tcBorders>
            <w:hideMark/>
          </w:tcPr>
          <w:p w14:paraId="5C0DC94E" w14:textId="77777777" w:rsidR="009C538E" w:rsidRDefault="009C538E">
            <w:pPr>
              <w:pStyle w:val="Tableformat"/>
              <w:jc w:val="right"/>
              <w:rPr>
                <w:lang w:val="en-AU"/>
              </w:rPr>
            </w:pPr>
            <w:r>
              <w:t>0.0%</w:t>
            </w:r>
          </w:p>
        </w:tc>
        <w:tc>
          <w:tcPr>
            <w:tcW w:w="836" w:type="dxa"/>
            <w:tcBorders>
              <w:top w:val="nil"/>
              <w:left w:val="nil"/>
              <w:bottom w:val="single" w:sz="4" w:space="0" w:color="auto"/>
              <w:right w:val="single" w:sz="4" w:space="0" w:color="auto"/>
            </w:tcBorders>
            <w:hideMark/>
          </w:tcPr>
          <w:p w14:paraId="17F0ACED" w14:textId="77777777" w:rsidR="009C538E" w:rsidRDefault="009C538E">
            <w:pPr>
              <w:pStyle w:val="Tableformat"/>
              <w:jc w:val="right"/>
              <w:rPr>
                <w:lang w:val="en-AU"/>
              </w:rPr>
            </w:pPr>
            <w:r>
              <w:t>3.1%</w:t>
            </w:r>
          </w:p>
        </w:tc>
        <w:tc>
          <w:tcPr>
            <w:tcW w:w="837" w:type="dxa"/>
            <w:tcBorders>
              <w:top w:val="nil"/>
              <w:left w:val="nil"/>
              <w:bottom w:val="single" w:sz="4" w:space="0" w:color="auto"/>
              <w:right w:val="single" w:sz="4" w:space="0" w:color="auto"/>
            </w:tcBorders>
            <w:hideMark/>
          </w:tcPr>
          <w:p w14:paraId="0726AFAE" w14:textId="77777777" w:rsidR="009C538E" w:rsidRDefault="009C538E">
            <w:pPr>
              <w:pStyle w:val="Tableformat"/>
              <w:jc w:val="right"/>
              <w:rPr>
                <w:lang w:val="en-AU"/>
              </w:rPr>
            </w:pPr>
            <w:r>
              <w:t>0.0%</w:t>
            </w:r>
          </w:p>
        </w:tc>
        <w:tc>
          <w:tcPr>
            <w:tcW w:w="836" w:type="dxa"/>
            <w:tcBorders>
              <w:top w:val="nil"/>
              <w:left w:val="nil"/>
              <w:bottom w:val="single" w:sz="4" w:space="0" w:color="auto"/>
              <w:right w:val="single" w:sz="4" w:space="0" w:color="auto"/>
            </w:tcBorders>
            <w:hideMark/>
          </w:tcPr>
          <w:p w14:paraId="722E66CC" w14:textId="77777777" w:rsidR="009C538E" w:rsidRDefault="009C538E">
            <w:pPr>
              <w:pStyle w:val="Tableformat"/>
              <w:jc w:val="right"/>
              <w:rPr>
                <w:lang w:val="en-AU"/>
              </w:rPr>
            </w:pPr>
            <w:r>
              <w:t>25.9%</w:t>
            </w:r>
          </w:p>
        </w:tc>
        <w:tc>
          <w:tcPr>
            <w:tcW w:w="836" w:type="dxa"/>
            <w:tcBorders>
              <w:top w:val="nil"/>
              <w:left w:val="nil"/>
              <w:bottom w:val="single" w:sz="4" w:space="0" w:color="auto"/>
              <w:right w:val="single" w:sz="4" w:space="0" w:color="auto"/>
            </w:tcBorders>
            <w:hideMark/>
          </w:tcPr>
          <w:p w14:paraId="792A8FF9" w14:textId="77777777" w:rsidR="009C538E" w:rsidRDefault="009C538E">
            <w:pPr>
              <w:pStyle w:val="Tableformat"/>
              <w:jc w:val="right"/>
              <w:rPr>
                <w:lang w:val="en-AU"/>
              </w:rPr>
            </w:pPr>
            <w:r>
              <w:t>16.7%</w:t>
            </w:r>
          </w:p>
        </w:tc>
        <w:tc>
          <w:tcPr>
            <w:tcW w:w="837" w:type="dxa"/>
            <w:tcBorders>
              <w:top w:val="nil"/>
              <w:left w:val="nil"/>
              <w:bottom w:val="single" w:sz="4" w:space="0" w:color="auto"/>
              <w:right w:val="single" w:sz="4" w:space="0" w:color="auto"/>
            </w:tcBorders>
            <w:hideMark/>
          </w:tcPr>
          <w:p w14:paraId="70E24B00" w14:textId="77777777" w:rsidR="009C538E" w:rsidRDefault="009C538E">
            <w:pPr>
              <w:pStyle w:val="Tableformat"/>
              <w:jc w:val="right"/>
              <w:rPr>
                <w:lang w:val="en-AU"/>
              </w:rPr>
            </w:pPr>
            <w:r>
              <w:t>0.0%</w:t>
            </w:r>
          </w:p>
        </w:tc>
        <w:tc>
          <w:tcPr>
            <w:tcW w:w="836" w:type="dxa"/>
            <w:tcBorders>
              <w:top w:val="nil"/>
              <w:left w:val="nil"/>
              <w:bottom w:val="single" w:sz="4" w:space="0" w:color="auto"/>
              <w:right w:val="single" w:sz="4" w:space="0" w:color="auto"/>
            </w:tcBorders>
            <w:hideMark/>
          </w:tcPr>
          <w:p w14:paraId="34642F78" w14:textId="77777777" w:rsidR="009C538E" w:rsidRDefault="009C538E">
            <w:pPr>
              <w:pStyle w:val="Tableformat"/>
              <w:jc w:val="right"/>
              <w:rPr>
                <w:lang w:val="en-AU"/>
              </w:rPr>
            </w:pPr>
            <w:r>
              <w:t>16.7%</w:t>
            </w:r>
          </w:p>
        </w:tc>
        <w:tc>
          <w:tcPr>
            <w:tcW w:w="836" w:type="dxa"/>
            <w:tcBorders>
              <w:top w:val="nil"/>
              <w:left w:val="nil"/>
              <w:bottom w:val="single" w:sz="4" w:space="0" w:color="auto"/>
              <w:right w:val="single" w:sz="4" w:space="0" w:color="auto"/>
            </w:tcBorders>
            <w:hideMark/>
          </w:tcPr>
          <w:p w14:paraId="027DDACD" w14:textId="77777777" w:rsidR="009C538E" w:rsidRDefault="009C538E">
            <w:pPr>
              <w:pStyle w:val="Tableformat"/>
              <w:jc w:val="right"/>
              <w:rPr>
                <w:lang w:val="en-AU"/>
              </w:rPr>
            </w:pPr>
            <w:r>
              <w:t>8.4%</w:t>
            </w:r>
          </w:p>
        </w:tc>
        <w:tc>
          <w:tcPr>
            <w:tcW w:w="837" w:type="dxa"/>
            <w:tcBorders>
              <w:top w:val="nil"/>
              <w:left w:val="nil"/>
              <w:bottom w:val="single" w:sz="4" w:space="0" w:color="auto"/>
              <w:right w:val="single" w:sz="4" w:space="0" w:color="auto"/>
            </w:tcBorders>
            <w:hideMark/>
          </w:tcPr>
          <w:p w14:paraId="313F9389" w14:textId="77777777" w:rsidR="009C538E" w:rsidRDefault="009C538E">
            <w:pPr>
              <w:pStyle w:val="Tableformat"/>
              <w:jc w:val="right"/>
              <w:rPr>
                <w:lang w:val="en-AU"/>
              </w:rPr>
            </w:pPr>
            <w:r>
              <w:t>74.0%</w:t>
            </w:r>
          </w:p>
        </w:tc>
      </w:tr>
      <w:tr w:rsidR="009C538E" w14:paraId="6A460E46" w14:textId="77777777" w:rsidTr="009C538E">
        <w:trPr>
          <w:trHeight w:val="291"/>
        </w:trPr>
        <w:tc>
          <w:tcPr>
            <w:tcW w:w="1009" w:type="dxa"/>
            <w:tcBorders>
              <w:top w:val="nil"/>
              <w:left w:val="single" w:sz="4" w:space="0" w:color="auto"/>
              <w:bottom w:val="single" w:sz="4" w:space="0" w:color="auto"/>
              <w:right w:val="single" w:sz="4" w:space="0" w:color="auto"/>
            </w:tcBorders>
            <w:hideMark/>
          </w:tcPr>
          <w:p w14:paraId="2F758FDE" w14:textId="513E22F5" w:rsidR="009C538E" w:rsidRDefault="009C538E">
            <w:pPr>
              <w:pStyle w:val="Tableformat"/>
              <w:rPr>
                <w:lang w:val="en-AU"/>
              </w:rPr>
            </w:pPr>
            <w:r>
              <w:rPr>
                <w:lang w:val="en-AU"/>
              </w:rPr>
              <w:t>Class 10</w:t>
            </w:r>
          </w:p>
        </w:tc>
        <w:tc>
          <w:tcPr>
            <w:tcW w:w="836" w:type="dxa"/>
            <w:tcBorders>
              <w:top w:val="nil"/>
              <w:left w:val="nil"/>
              <w:bottom w:val="single" w:sz="4" w:space="0" w:color="auto"/>
              <w:right w:val="single" w:sz="4" w:space="0" w:color="auto"/>
            </w:tcBorders>
            <w:hideMark/>
          </w:tcPr>
          <w:p w14:paraId="4C1D1588" w14:textId="77777777" w:rsidR="009C538E" w:rsidRDefault="009C538E">
            <w:pPr>
              <w:pStyle w:val="Tableformat"/>
              <w:jc w:val="right"/>
              <w:rPr>
                <w:lang w:val="en-AU"/>
              </w:rPr>
            </w:pPr>
            <w:r>
              <w:t>5.1%</w:t>
            </w:r>
          </w:p>
        </w:tc>
        <w:tc>
          <w:tcPr>
            <w:tcW w:w="836" w:type="dxa"/>
            <w:tcBorders>
              <w:top w:val="nil"/>
              <w:left w:val="nil"/>
              <w:bottom w:val="single" w:sz="4" w:space="0" w:color="auto"/>
              <w:right w:val="single" w:sz="4" w:space="0" w:color="auto"/>
            </w:tcBorders>
            <w:hideMark/>
          </w:tcPr>
          <w:p w14:paraId="12CFF31A" w14:textId="77777777" w:rsidR="009C538E" w:rsidRDefault="009C538E">
            <w:pPr>
              <w:pStyle w:val="Tableformat"/>
              <w:jc w:val="right"/>
              <w:rPr>
                <w:lang w:val="en-AU"/>
              </w:rPr>
            </w:pPr>
            <w:r>
              <w:t>0.0%</w:t>
            </w:r>
          </w:p>
        </w:tc>
        <w:tc>
          <w:tcPr>
            <w:tcW w:w="836" w:type="dxa"/>
            <w:tcBorders>
              <w:top w:val="nil"/>
              <w:left w:val="nil"/>
              <w:bottom w:val="single" w:sz="4" w:space="0" w:color="auto"/>
              <w:right w:val="single" w:sz="4" w:space="0" w:color="auto"/>
            </w:tcBorders>
            <w:hideMark/>
          </w:tcPr>
          <w:p w14:paraId="4EADE71D" w14:textId="77777777" w:rsidR="009C538E" w:rsidRDefault="009C538E">
            <w:pPr>
              <w:pStyle w:val="Tableformat"/>
              <w:jc w:val="right"/>
              <w:rPr>
                <w:lang w:val="en-AU"/>
              </w:rPr>
            </w:pPr>
            <w:r>
              <w:t>3.1%</w:t>
            </w:r>
          </w:p>
        </w:tc>
        <w:tc>
          <w:tcPr>
            <w:tcW w:w="837" w:type="dxa"/>
            <w:tcBorders>
              <w:top w:val="nil"/>
              <w:left w:val="nil"/>
              <w:bottom w:val="single" w:sz="4" w:space="0" w:color="auto"/>
              <w:right w:val="single" w:sz="4" w:space="0" w:color="auto"/>
            </w:tcBorders>
            <w:hideMark/>
          </w:tcPr>
          <w:p w14:paraId="008825FF" w14:textId="77777777" w:rsidR="009C538E" w:rsidRDefault="009C538E">
            <w:pPr>
              <w:pStyle w:val="Tableformat"/>
              <w:jc w:val="right"/>
              <w:rPr>
                <w:lang w:val="en-AU"/>
              </w:rPr>
            </w:pPr>
            <w:r>
              <w:t>0.0%</w:t>
            </w:r>
          </w:p>
        </w:tc>
        <w:tc>
          <w:tcPr>
            <w:tcW w:w="836" w:type="dxa"/>
            <w:tcBorders>
              <w:top w:val="nil"/>
              <w:left w:val="nil"/>
              <w:bottom w:val="single" w:sz="4" w:space="0" w:color="auto"/>
              <w:right w:val="single" w:sz="4" w:space="0" w:color="auto"/>
            </w:tcBorders>
            <w:hideMark/>
          </w:tcPr>
          <w:p w14:paraId="02264EAE" w14:textId="77777777" w:rsidR="009C538E" w:rsidRDefault="009C538E">
            <w:pPr>
              <w:pStyle w:val="Tableformat"/>
              <w:jc w:val="right"/>
              <w:rPr>
                <w:lang w:val="en-AU"/>
              </w:rPr>
            </w:pPr>
            <w:r>
              <w:t>11.1%</w:t>
            </w:r>
          </w:p>
        </w:tc>
        <w:tc>
          <w:tcPr>
            <w:tcW w:w="836" w:type="dxa"/>
            <w:tcBorders>
              <w:top w:val="nil"/>
              <w:left w:val="nil"/>
              <w:bottom w:val="single" w:sz="4" w:space="0" w:color="auto"/>
              <w:right w:val="single" w:sz="4" w:space="0" w:color="auto"/>
            </w:tcBorders>
            <w:hideMark/>
          </w:tcPr>
          <w:p w14:paraId="12A50EAE" w14:textId="77777777" w:rsidR="009C538E" w:rsidRDefault="009C538E">
            <w:pPr>
              <w:pStyle w:val="Tableformat"/>
              <w:jc w:val="right"/>
              <w:rPr>
                <w:lang w:val="en-AU"/>
              </w:rPr>
            </w:pPr>
            <w:r>
              <w:t>0.0%</w:t>
            </w:r>
          </w:p>
        </w:tc>
        <w:tc>
          <w:tcPr>
            <w:tcW w:w="837" w:type="dxa"/>
            <w:tcBorders>
              <w:top w:val="nil"/>
              <w:left w:val="nil"/>
              <w:bottom w:val="single" w:sz="4" w:space="0" w:color="auto"/>
              <w:right w:val="single" w:sz="4" w:space="0" w:color="auto"/>
            </w:tcBorders>
            <w:hideMark/>
          </w:tcPr>
          <w:p w14:paraId="6130E14A" w14:textId="77777777" w:rsidR="009C538E" w:rsidRDefault="009C538E">
            <w:pPr>
              <w:pStyle w:val="Tableformat"/>
              <w:jc w:val="right"/>
              <w:rPr>
                <w:lang w:val="en-AU"/>
              </w:rPr>
            </w:pPr>
            <w:r>
              <w:t>0.0%</w:t>
            </w:r>
          </w:p>
        </w:tc>
        <w:tc>
          <w:tcPr>
            <w:tcW w:w="836" w:type="dxa"/>
            <w:tcBorders>
              <w:top w:val="nil"/>
              <w:left w:val="nil"/>
              <w:bottom w:val="single" w:sz="4" w:space="0" w:color="auto"/>
              <w:right w:val="single" w:sz="4" w:space="0" w:color="auto"/>
            </w:tcBorders>
            <w:hideMark/>
          </w:tcPr>
          <w:p w14:paraId="2B3FCEA8" w14:textId="77777777" w:rsidR="009C538E" w:rsidRDefault="009C538E">
            <w:pPr>
              <w:pStyle w:val="Tableformat"/>
              <w:jc w:val="right"/>
              <w:rPr>
                <w:lang w:val="en-AU"/>
              </w:rPr>
            </w:pPr>
            <w:r>
              <w:t>0.0%</w:t>
            </w:r>
          </w:p>
        </w:tc>
        <w:tc>
          <w:tcPr>
            <w:tcW w:w="836" w:type="dxa"/>
            <w:tcBorders>
              <w:top w:val="nil"/>
              <w:left w:val="nil"/>
              <w:bottom w:val="single" w:sz="4" w:space="0" w:color="auto"/>
              <w:right w:val="single" w:sz="4" w:space="0" w:color="auto"/>
            </w:tcBorders>
            <w:hideMark/>
          </w:tcPr>
          <w:p w14:paraId="49E7BB14" w14:textId="77777777" w:rsidR="009C538E" w:rsidRDefault="009C538E">
            <w:pPr>
              <w:pStyle w:val="Tableformat"/>
              <w:jc w:val="right"/>
              <w:rPr>
                <w:lang w:val="en-AU"/>
              </w:rPr>
            </w:pPr>
            <w:r>
              <w:t>5.0%</w:t>
            </w:r>
          </w:p>
        </w:tc>
        <w:tc>
          <w:tcPr>
            <w:tcW w:w="837" w:type="dxa"/>
            <w:tcBorders>
              <w:top w:val="nil"/>
              <w:left w:val="nil"/>
              <w:bottom w:val="single" w:sz="4" w:space="0" w:color="auto"/>
              <w:right w:val="single" w:sz="4" w:space="0" w:color="auto"/>
            </w:tcBorders>
            <w:hideMark/>
          </w:tcPr>
          <w:p w14:paraId="5A00C302" w14:textId="77777777" w:rsidR="009C538E" w:rsidRDefault="009C538E">
            <w:pPr>
              <w:pStyle w:val="Tableformat"/>
              <w:jc w:val="right"/>
              <w:rPr>
                <w:lang w:val="en-AU"/>
              </w:rPr>
            </w:pPr>
            <w:r>
              <w:t>70.0%</w:t>
            </w:r>
          </w:p>
        </w:tc>
      </w:tr>
      <w:tr w:rsidR="009C538E" w14:paraId="5F7592E9" w14:textId="77777777" w:rsidTr="009C538E">
        <w:trPr>
          <w:trHeight w:val="291"/>
        </w:trPr>
        <w:tc>
          <w:tcPr>
            <w:tcW w:w="1009" w:type="dxa"/>
            <w:tcBorders>
              <w:top w:val="nil"/>
              <w:left w:val="single" w:sz="4" w:space="0" w:color="auto"/>
              <w:bottom w:val="single" w:sz="4" w:space="0" w:color="auto"/>
              <w:right w:val="single" w:sz="4" w:space="0" w:color="auto"/>
            </w:tcBorders>
            <w:hideMark/>
          </w:tcPr>
          <w:p w14:paraId="1C9E7883" w14:textId="5E1DD5E4" w:rsidR="009C538E" w:rsidRDefault="009C538E">
            <w:pPr>
              <w:pStyle w:val="Tableformat"/>
              <w:rPr>
                <w:lang w:val="en-AU"/>
              </w:rPr>
            </w:pPr>
            <w:r>
              <w:rPr>
                <w:lang w:val="en-AU"/>
              </w:rPr>
              <w:t>Class 11</w:t>
            </w:r>
          </w:p>
        </w:tc>
        <w:tc>
          <w:tcPr>
            <w:tcW w:w="836" w:type="dxa"/>
            <w:tcBorders>
              <w:top w:val="nil"/>
              <w:left w:val="nil"/>
              <w:bottom w:val="single" w:sz="4" w:space="0" w:color="auto"/>
              <w:right w:val="single" w:sz="4" w:space="0" w:color="auto"/>
            </w:tcBorders>
            <w:hideMark/>
          </w:tcPr>
          <w:p w14:paraId="0681EE58" w14:textId="77777777" w:rsidR="009C538E" w:rsidRDefault="009C538E">
            <w:pPr>
              <w:pStyle w:val="Tableformat"/>
              <w:jc w:val="right"/>
              <w:rPr>
                <w:lang w:val="en-AU"/>
              </w:rPr>
            </w:pPr>
            <w:r>
              <w:t>5.6%</w:t>
            </w:r>
          </w:p>
        </w:tc>
        <w:tc>
          <w:tcPr>
            <w:tcW w:w="836" w:type="dxa"/>
            <w:tcBorders>
              <w:top w:val="nil"/>
              <w:left w:val="nil"/>
              <w:bottom w:val="single" w:sz="4" w:space="0" w:color="auto"/>
              <w:right w:val="single" w:sz="4" w:space="0" w:color="auto"/>
            </w:tcBorders>
            <w:hideMark/>
          </w:tcPr>
          <w:p w14:paraId="41A154A6" w14:textId="77777777" w:rsidR="009C538E" w:rsidRDefault="009C538E">
            <w:pPr>
              <w:pStyle w:val="Tableformat"/>
              <w:jc w:val="right"/>
              <w:rPr>
                <w:lang w:val="en-AU"/>
              </w:rPr>
            </w:pPr>
            <w:r>
              <w:t>0.0%</w:t>
            </w:r>
          </w:p>
        </w:tc>
        <w:tc>
          <w:tcPr>
            <w:tcW w:w="836" w:type="dxa"/>
            <w:tcBorders>
              <w:top w:val="nil"/>
              <w:left w:val="nil"/>
              <w:bottom w:val="single" w:sz="4" w:space="0" w:color="auto"/>
              <w:right w:val="single" w:sz="4" w:space="0" w:color="auto"/>
            </w:tcBorders>
            <w:hideMark/>
          </w:tcPr>
          <w:p w14:paraId="6539445C" w14:textId="77777777" w:rsidR="009C538E" w:rsidRDefault="009C538E">
            <w:pPr>
              <w:pStyle w:val="Tableformat"/>
              <w:jc w:val="right"/>
              <w:rPr>
                <w:lang w:val="en-AU"/>
              </w:rPr>
            </w:pPr>
            <w:r>
              <w:t>0.0%</w:t>
            </w:r>
          </w:p>
        </w:tc>
        <w:tc>
          <w:tcPr>
            <w:tcW w:w="837" w:type="dxa"/>
            <w:tcBorders>
              <w:top w:val="nil"/>
              <w:left w:val="nil"/>
              <w:bottom w:val="single" w:sz="4" w:space="0" w:color="auto"/>
              <w:right w:val="single" w:sz="4" w:space="0" w:color="auto"/>
            </w:tcBorders>
            <w:hideMark/>
          </w:tcPr>
          <w:p w14:paraId="61007861" w14:textId="77777777" w:rsidR="009C538E" w:rsidRDefault="009C538E">
            <w:pPr>
              <w:pStyle w:val="Tableformat"/>
              <w:jc w:val="right"/>
              <w:rPr>
                <w:lang w:val="en-AU"/>
              </w:rPr>
            </w:pPr>
            <w:r>
              <w:t>16.7%</w:t>
            </w:r>
          </w:p>
        </w:tc>
        <w:tc>
          <w:tcPr>
            <w:tcW w:w="836" w:type="dxa"/>
            <w:tcBorders>
              <w:top w:val="nil"/>
              <w:left w:val="nil"/>
              <w:bottom w:val="single" w:sz="4" w:space="0" w:color="auto"/>
              <w:right w:val="single" w:sz="4" w:space="0" w:color="auto"/>
            </w:tcBorders>
            <w:hideMark/>
          </w:tcPr>
          <w:p w14:paraId="6A16FDD9" w14:textId="77777777" w:rsidR="009C538E" w:rsidRDefault="009C538E">
            <w:pPr>
              <w:pStyle w:val="Tableformat"/>
              <w:jc w:val="right"/>
              <w:rPr>
                <w:lang w:val="en-AU"/>
              </w:rPr>
            </w:pPr>
            <w:r>
              <w:t>11.1%</w:t>
            </w:r>
          </w:p>
        </w:tc>
        <w:tc>
          <w:tcPr>
            <w:tcW w:w="836" w:type="dxa"/>
            <w:tcBorders>
              <w:top w:val="nil"/>
              <w:left w:val="nil"/>
              <w:bottom w:val="single" w:sz="4" w:space="0" w:color="auto"/>
              <w:right w:val="single" w:sz="4" w:space="0" w:color="auto"/>
            </w:tcBorders>
            <w:hideMark/>
          </w:tcPr>
          <w:p w14:paraId="0F155B28" w14:textId="77777777" w:rsidR="009C538E" w:rsidRDefault="009C538E">
            <w:pPr>
              <w:pStyle w:val="Tableformat"/>
              <w:jc w:val="right"/>
              <w:rPr>
                <w:lang w:val="en-AU"/>
              </w:rPr>
            </w:pPr>
            <w:r>
              <w:t>16.7%</w:t>
            </w:r>
          </w:p>
        </w:tc>
        <w:tc>
          <w:tcPr>
            <w:tcW w:w="837" w:type="dxa"/>
            <w:tcBorders>
              <w:top w:val="nil"/>
              <w:left w:val="nil"/>
              <w:bottom w:val="single" w:sz="4" w:space="0" w:color="auto"/>
              <w:right w:val="single" w:sz="4" w:space="0" w:color="auto"/>
            </w:tcBorders>
            <w:hideMark/>
          </w:tcPr>
          <w:p w14:paraId="4156C188" w14:textId="77777777" w:rsidR="009C538E" w:rsidRDefault="009C538E">
            <w:pPr>
              <w:pStyle w:val="Tableformat"/>
              <w:jc w:val="right"/>
              <w:rPr>
                <w:lang w:val="en-AU"/>
              </w:rPr>
            </w:pPr>
            <w:r>
              <w:t>0.0%</w:t>
            </w:r>
          </w:p>
        </w:tc>
        <w:tc>
          <w:tcPr>
            <w:tcW w:w="836" w:type="dxa"/>
            <w:tcBorders>
              <w:top w:val="nil"/>
              <w:left w:val="nil"/>
              <w:bottom w:val="single" w:sz="4" w:space="0" w:color="auto"/>
              <w:right w:val="single" w:sz="4" w:space="0" w:color="auto"/>
            </w:tcBorders>
            <w:hideMark/>
          </w:tcPr>
          <w:p w14:paraId="384B5A7E" w14:textId="77777777" w:rsidR="009C538E" w:rsidRDefault="009C538E">
            <w:pPr>
              <w:pStyle w:val="Tableformat"/>
              <w:jc w:val="right"/>
              <w:rPr>
                <w:lang w:val="en-AU"/>
              </w:rPr>
            </w:pPr>
            <w:r>
              <w:t>8.3%</w:t>
            </w:r>
          </w:p>
        </w:tc>
        <w:tc>
          <w:tcPr>
            <w:tcW w:w="836" w:type="dxa"/>
            <w:tcBorders>
              <w:top w:val="nil"/>
              <w:left w:val="nil"/>
              <w:bottom w:val="single" w:sz="4" w:space="0" w:color="auto"/>
              <w:right w:val="single" w:sz="4" w:space="0" w:color="auto"/>
            </w:tcBorders>
            <w:hideMark/>
          </w:tcPr>
          <w:p w14:paraId="3DDB76AE" w14:textId="77777777" w:rsidR="009C538E" w:rsidRDefault="009C538E">
            <w:pPr>
              <w:pStyle w:val="Tableformat"/>
              <w:jc w:val="right"/>
              <w:rPr>
                <w:lang w:val="en-AU"/>
              </w:rPr>
            </w:pPr>
            <w:r>
              <w:t>5.7%</w:t>
            </w:r>
          </w:p>
        </w:tc>
        <w:tc>
          <w:tcPr>
            <w:tcW w:w="837" w:type="dxa"/>
            <w:tcBorders>
              <w:top w:val="nil"/>
              <w:left w:val="nil"/>
              <w:bottom w:val="single" w:sz="4" w:space="0" w:color="auto"/>
              <w:right w:val="single" w:sz="4" w:space="0" w:color="auto"/>
            </w:tcBorders>
            <w:hideMark/>
          </w:tcPr>
          <w:p w14:paraId="2764C20F" w14:textId="77777777" w:rsidR="009C538E" w:rsidRDefault="009C538E">
            <w:pPr>
              <w:pStyle w:val="Tableformat"/>
              <w:jc w:val="right"/>
              <w:rPr>
                <w:lang w:val="en-AU"/>
              </w:rPr>
            </w:pPr>
            <w:r>
              <w:t>77.6%</w:t>
            </w:r>
          </w:p>
        </w:tc>
      </w:tr>
      <w:tr w:rsidR="009C538E" w14:paraId="2DAA900B" w14:textId="77777777" w:rsidTr="009C538E">
        <w:trPr>
          <w:trHeight w:val="291"/>
        </w:trPr>
        <w:tc>
          <w:tcPr>
            <w:tcW w:w="1009" w:type="dxa"/>
            <w:tcBorders>
              <w:top w:val="nil"/>
              <w:left w:val="single" w:sz="4" w:space="0" w:color="auto"/>
              <w:bottom w:val="single" w:sz="4" w:space="0" w:color="auto"/>
              <w:right w:val="single" w:sz="4" w:space="0" w:color="auto"/>
            </w:tcBorders>
            <w:hideMark/>
          </w:tcPr>
          <w:p w14:paraId="3C91F034" w14:textId="4D187BF0" w:rsidR="009C538E" w:rsidRDefault="009C538E">
            <w:pPr>
              <w:pStyle w:val="Tableformat"/>
              <w:rPr>
                <w:lang w:val="en-AU"/>
              </w:rPr>
            </w:pPr>
            <w:r>
              <w:rPr>
                <w:lang w:val="en-AU"/>
              </w:rPr>
              <w:t>Class 12</w:t>
            </w:r>
          </w:p>
        </w:tc>
        <w:tc>
          <w:tcPr>
            <w:tcW w:w="836" w:type="dxa"/>
            <w:tcBorders>
              <w:top w:val="nil"/>
              <w:left w:val="nil"/>
              <w:bottom w:val="single" w:sz="4" w:space="0" w:color="auto"/>
              <w:right w:val="single" w:sz="4" w:space="0" w:color="auto"/>
            </w:tcBorders>
            <w:hideMark/>
          </w:tcPr>
          <w:p w14:paraId="45B8C286" w14:textId="77777777" w:rsidR="009C538E" w:rsidRDefault="009C538E">
            <w:pPr>
              <w:pStyle w:val="Tableformat"/>
              <w:jc w:val="right"/>
              <w:rPr>
                <w:lang w:val="en-AU"/>
              </w:rPr>
            </w:pPr>
            <w:r>
              <w:t>5.3%</w:t>
            </w:r>
          </w:p>
        </w:tc>
        <w:tc>
          <w:tcPr>
            <w:tcW w:w="836" w:type="dxa"/>
            <w:tcBorders>
              <w:top w:val="nil"/>
              <w:left w:val="nil"/>
              <w:bottom w:val="single" w:sz="4" w:space="0" w:color="auto"/>
              <w:right w:val="single" w:sz="4" w:space="0" w:color="auto"/>
            </w:tcBorders>
            <w:hideMark/>
          </w:tcPr>
          <w:p w14:paraId="5C0B5B08" w14:textId="77777777" w:rsidR="009C538E" w:rsidRDefault="009C538E">
            <w:pPr>
              <w:pStyle w:val="Tableformat"/>
              <w:jc w:val="right"/>
              <w:rPr>
                <w:lang w:val="en-AU"/>
              </w:rPr>
            </w:pPr>
            <w:r>
              <w:t>33.3%</w:t>
            </w:r>
          </w:p>
        </w:tc>
        <w:tc>
          <w:tcPr>
            <w:tcW w:w="836" w:type="dxa"/>
            <w:tcBorders>
              <w:top w:val="nil"/>
              <w:left w:val="nil"/>
              <w:bottom w:val="single" w:sz="4" w:space="0" w:color="auto"/>
              <w:right w:val="single" w:sz="4" w:space="0" w:color="auto"/>
            </w:tcBorders>
            <w:hideMark/>
          </w:tcPr>
          <w:p w14:paraId="3AB01F44" w14:textId="77777777" w:rsidR="009C538E" w:rsidRDefault="009C538E">
            <w:pPr>
              <w:pStyle w:val="Tableformat"/>
              <w:jc w:val="right"/>
              <w:rPr>
                <w:lang w:val="en-AU"/>
              </w:rPr>
            </w:pPr>
            <w:r>
              <w:t>0.0%</w:t>
            </w:r>
          </w:p>
        </w:tc>
        <w:tc>
          <w:tcPr>
            <w:tcW w:w="837" w:type="dxa"/>
            <w:tcBorders>
              <w:top w:val="nil"/>
              <w:left w:val="nil"/>
              <w:bottom w:val="single" w:sz="4" w:space="0" w:color="auto"/>
              <w:right w:val="single" w:sz="4" w:space="0" w:color="auto"/>
            </w:tcBorders>
            <w:hideMark/>
          </w:tcPr>
          <w:p w14:paraId="11AC59FC" w14:textId="77777777" w:rsidR="009C538E" w:rsidRDefault="009C538E">
            <w:pPr>
              <w:pStyle w:val="Tableformat"/>
              <w:jc w:val="right"/>
              <w:rPr>
                <w:lang w:val="en-AU"/>
              </w:rPr>
            </w:pPr>
            <w:r>
              <w:t>16.7%</w:t>
            </w:r>
          </w:p>
        </w:tc>
        <w:tc>
          <w:tcPr>
            <w:tcW w:w="836" w:type="dxa"/>
            <w:tcBorders>
              <w:top w:val="nil"/>
              <w:left w:val="nil"/>
              <w:bottom w:val="single" w:sz="4" w:space="0" w:color="auto"/>
              <w:right w:val="single" w:sz="4" w:space="0" w:color="auto"/>
            </w:tcBorders>
            <w:hideMark/>
          </w:tcPr>
          <w:p w14:paraId="1C04C9B4" w14:textId="77777777" w:rsidR="009C538E" w:rsidRDefault="009C538E">
            <w:pPr>
              <w:pStyle w:val="Tableformat"/>
              <w:jc w:val="right"/>
              <w:rPr>
                <w:lang w:val="en-AU"/>
              </w:rPr>
            </w:pPr>
            <w:r>
              <w:t>3.7%</w:t>
            </w:r>
          </w:p>
        </w:tc>
        <w:tc>
          <w:tcPr>
            <w:tcW w:w="836" w:type="dxa"/>
            <w:tcBorders>
              <w:top w:val="nil"/>
              <w:left w:val="nil"/>
              <w:bottom w:val="single" w:sz="4" w:space="0" w:color="auto"/>
              <w:right w:val="single" w:sz="4" w:space="0" w:color="auto"/>
            </w:tcBorders>
            <w:hideMark/>
          </w:tcPr>
          <w:p w14:paraId="7EBAB7DB" w14:textId="77777777" w:rsidR="009C538E" w:rsidRDefault="009C538E">
            <w:pPr>
              <w:pStyle w:val="Tableformat"/>
              <w:jc w:val="right"/>
              <w:rPr>
                <w:lang w:val="en-AU"/>
              </w:rPr>
            </w:pPr>
            <w:r>
              <w:t>0.0%</w:t>
            </w:r>
          </w:p>
        </w:tc>
        <w:tc>
          <w:tcPr>
            <w:tcW w:w="837" w:type="dxa"/>
            <w:tcBorders>
              <w:top w:val="nil"/>
              <w:left w:val="nil"/>
              <w:bottom w:val="single" w:sz="4" w:space="0" w:color="auto"/>
              <w:right w:val="single" w:sz="4" w:space="0" w:color="auto"/>
            </w:tcBorders>
            <w:hideMark/>
          </w:tcPr>
          <w:p w14:paraId="5C2C58F9" w14:textId="77777777" w:rsidR="009C538E" w:rsidRDefault="009C538E">
            <w:pPr>
              <w:pStyle w:val="Tableformat"/>
              <w:jc w:val="right"/>
              <w:rPr>
                <w:lang w:val="en-AU"/>
              </w:rPr>
            </w:pPr>
            <w:r>
              <w:t>0.0%</w:t>
            </w:r>
          </w:p>
        </w:tc>
        <w:tc>
          <w:tcPr>
            <w:tcW w:w="836" w:type="dxa"/>
            <w:tcBorders>
              <w:top w:val="nil"/>
              <w:left w:val="nil"/>
              <w:bottom w:val="single" w:sz="4" w:space="0" w:color="auto"/>
              <w:right w:val="single" w:sz="4" w:space="0" w:color="auto"/>
            </w:tcBorders>
            <w:hideMark/>
          </w:tcPr>
          <w:p w14:paraId="2C5E316F" w14:textId="77777777" w:rsidR="009C538E" w:rsidRDefault="009C538E">
            <w:pPr>
              <w:pStyle w:val="Tableformat"/>
              <w:jc w:val="right"/>
              <w:rPr>
                <w:lang w:val="en-AU"/>
              </w:rPr>
            </w:pPr>
            <w:r>
              <w:t>8.3%</w:t>
            </w:r>
          </w:p>
        </w:tc>
        <w:tc>
          <w:tcPr>
            <w:tcW w:w="836" w:type="dxa"/>
            <w:tcBorders>
              <w:top w:val="nil"/>
              <w:left w:val="nil"/>
              <w:bottom w:val="single" w:sz="4" w:space="0" w:color="auto"/>
              <w:right w:val="single" w:sz="4" w:space="0" w:color="auto"/>
            </w:tcBorders>
            <w:hideMark/>
          </w:tcPr>
          <w:p w14:paraId="349B3529" w14:textId="77777777" w:rsidR="009C538E" w:rsidRDefault="009C538E">
            <w:pPr>
              <w:pStyle w:val="Tableformat"/>
              <w:jc w:val="right"/>
              <w:rPr>
                <w:lang w:val="en-AU"/>
              </w:rPr>
            </w:pPr>
            <w:r>
              <w:t>5.0%</w:t>
            </w:r>
          </w:p>
        </w:tc>
        <w:tc>
          <w:tcPr>
            <w:tcW w:w="837" w:type="dxa"/>
            <w:tcBorders>
              <w:top w:val="nil"/>
              <w:left w:val="nil"/>
              <w:bottom w:val="single" w:sz="4" w:space="0" w:color="auto"/>
              <w:right w:val="single" w:sz="4" w:space="0" w:color="auto"/>
            </w:tcBorders>
            <w:hideMark/>
          </w:tcPr>
          <w:p w14:paraId="41532476" w14:textId="77777777" w:rsidR="009C538E" w:rsidRDefault="009C538E">
            <w:pPr>
              <w:pStyle w:val="Tableformat"/>
              <w:jc w:val="right"/>
              <w:rPr>
                <w:lang w:val="en-AU"/>
              </w:rPr>
            </w:pPr>
            <w:r>
              <w:t>73.5%</w:t>
            </w:r>
          </w:p>
        </w:tc>
      </w:tr>
      <w:tr w:rsidR="009C538E" w14:paraId="105EE5C5" w14:textId="77777777" w:rsidTr="009C538E">
        <w:trPr>
          <w:trHeight w:val="291"/>
        </w:trPr>
        <w:tc>
          <w:tcPr>
            <w:tcW w:w="1009" w:type="dxa"/>
            <w:tcBorders>
              <w:top w:val="nil"/>
              <w:left w:val="single" w:sz="4" w:space="0" w:color="auto"/>
              <w:bottom w:val="single" w:sz="4" w:space="0" w:color="auto"/>
              <w:right w:val="single" w:sz="4" w:space="0" w:color="auto"/>
            </w:tcBorders>
            <w:hideMark/>
          </w:tcPr>
          <w:p w14:paraId="0364D349" w14:textId="1C896AB0" w:rsidR="009C538E" w:rsidRDefault="009C538E">
            <w:pPr>
              <w:pStyle w:val="Tableformat"/>
              <w:rPr>
                <w:lang w:val="en-AU"/>
              </w:rPr>
            </w:pPr>
            <w:r>
              <w:rPr>
                <w:lang w:val="en-AU"/>
              </w:rPr>
              <w:t>Class 13</w:t>
            </w:r>
          </w:p>
        </w:tc>
        <w:tc>
          <w:tcPr>
            <w:tcW w:w="836" w:type="dxa"/>
            <w:tcBorders>
              <w:top w:val="nil"/>
              <w:left w:val="nil"/>
              <w:bottom w:val="single" w:sz="4" w:space="0" w:color="auto"/>
              <w:right w:val="single" w:sz="4" w:space="0" w:color="auto"/>
            </w:tcBorders>
            <w:hideMark/>
          </w:tcPr>
          <w:p w14:paraId="4E0A5077" w14:textId="77777777" w:rsidR="009C538E" w:rsidRDefault="009C538E">
            <w:pPr>
              <w:pStyle w:val="Tableformat"/>
              <w:jc w:val="right"/>
              <w:rPr>
                <w:lang w:val="en-AU"/>
              </w:rPr>
            </w:pPr>
            <w:r>
              <w:t>9.8%</w:t>
            </w:r>
          </w:p>
        </w:tc>
        <w:tc>
          <w:tcPr>
            <w:tcW w:w="836" w:type="dxa"/>
            <w:tcBorders>
              <w:top w:val="nil"/>
              <w:left w:val="nil"/>
              <w:bottom w:val="single" w:sz="4" w:space="0" w:color="auto"/>
              <w:right w:val="single" w:sz="4" w:space="0" w:color="auto"/>
            </w:tcBorders>
            <w:hideMark/>
          </w:tcPr>
          <w:p w14:paraId="7CBDC0DD" w14:textId="77777777" w:rsidR="009C538E" w:rsidRDefault="009C538E">
            <w:pPr>
              <w:pStyle w:val="Tableformat"/>
              <w:jc w:val="right"/>
              <w:rPr>
                <w:lang w:val="en-AU"/>
              </w:rPr>
            </w:pPr>
            <w:r>
              <w:t>0.0%</w:t>
            </w:r>
          </w:p>
        </w:tc>
        <w:tc>
          <w:tcPr>
            <w:tcW w:w="836" w:type="dxa"/>
            <w:tcBorders>
              <w:top w:val="nil"/>
              <w:left w:val="nil"/>
              <w:bottom w:val="single" w:sz="4" w:space="0" w:color="auto"/>
              <w:right w:val="single" w:sz="4" w:space="0" w:color="auto"/>
            </w:tcBorders>
            <w:hideMark/>
          </w:tcPr>
          <w:p w14:paraId="169CE41C" w14:textId="77777777" w:rsidR="009C538E" w:rsidRDefault="009C538E">
            <w:pPr>
              <w:pStyle w:val="Tableformat"/>
              <w:jc w:val="right"/>
              <w:rPr>
                <w:lang w:val="en-AU"/>
              </w:rPr>
            </w:pPr>
            <w:r>
              <w:t>3.1%</w:t>
            </w:r>
          </w:p>
        </w:tc>
        <w:tc>
          <w:tcPr>
            <w:tcW w:w="837" w:type="dxa"/>
            <w:tcBorders>
              <w:top w:val="nil"/>
              <w:left w:val="nil"/>
              <w:bottom w:val="single" w:sz="4" w:space="0" w:color="auto"/>
              <w:right w:val="single" w:sz="4" w:space="0" w:color="auto"/>
            </w:tcBorders>
            <w:hideMark/>
          </w:tcPr>
          <w:p w14:paraId="1BE7C963" w14:textId="77777777" w:rsidR="009C538E" w:rsidRDefault="009C538E">
            <w:pPr>
              <w:pStyle w:val="Tableformat"/>
              <w:jc w:val="right"/>
              <w:rPr>
                <w:lang w:val="en-AU"/>
              </w:rPr>
            </w:pPr>
            <w:r>
              <w:t>0.0%</w:t>
            </w:r>
          </w:p>
        </w:tc>
        <w:tc>
          <w:tcPr>
            <w:tcW w:w="836" w:type="dxa"/>
            <w:tcBorders>
              <w:top w:val="nil"/>
              <w:left w:val="nil"/>
              <w:bottom w:val="single" w:sz="4" w:space="0" w:color="auto"/>
              <w:right w:val="single" w:sz="4" w:space="0" w:color="auto"/>
            </w:tcBorders>
            <w:hideMark/>
          </w:tcPr>
          <w:p w14:paraId="26258BD2" w14:textId="77777777" w:rsidR="009C538E" w:rsidRDefault="009C538E">
            <w:pPr>
              <w:pStyle w:val="Tableformat"/>
              <w:jc w:val="right"/>
              <w:rPr>
                <w:lang w:val="en-AU"/>
              </w:rPr>
            </w:pPr>
            <w:r>
              <w:t>7.4%</w:t>
            </w:r>
          </w:p>
        </w:tc>
        <w:tc>
          <w:tcPr>
            <w:tcW w:w="836" w:type="dxa"/>
            <w:tcBorders>
              <w:top w:val="nil"/>
              <w:left w:val="nil"/>
              <w:bottom w:val="single" w:sz="4" w:space="0" w:color="auto"/>
              <w:right w:val="single" w:sz="4" w:space="0" w:color="auto"/>
            </w:tcBorders>
            <w:hideMark/>
          </w:tcPr>
          <w:p w14:paraId="0971BB41" w14:textId="77777777" w:rsidR="009C538E" w:rsidRDefault="009C538E">
            <w:pPr>
              <w:pStyle w:val="Tableformat"/>
              <w:jc w:val="right"/>
              <w:rPr>
                <w:lang w:val="en-AU"/>
              </w:rPr>
            </w:pPr>
            <w:r>
              <w:t>0.0%</w:t>
            </w:r>
          </w:p>
        </w:tc>
        <w:tc>
          <w:tcPr>
            <w:tcW w:w="837" w:type="dxa"/>
            <w:tcBorders>
              <w:top w:val="nil"/>
              <w:left w:val="nil"/>
              <w:bottom w:val="single" w:sz="4" w:space="0" w:color="auto"/>
              <w:right w:val="single" w:sz="4" w:space="0" w:color="auto"/>
            </w:tcBorders>
            <w:hideMark/>
          </w:tcPr>
          <w:p w14:paraId="6B29566C" w14:textId="77777777" w:rsidR="009C538E" w:rsidRDefault="009C538E">
            <w:pPr>
              <w:pStyle w:val="Tableformat"/>
              <w:jc w:val="right"/>
              <w:rPr>
                <w:lang w:val="en-AU"/>
              </w:rPr>
            </w:pPr>
            <w:r>
              <w:t>18.8%</w:t>
            </w:r>
          </w:p>
        </w:tc>
        <w:tc>
          <w:tcPr>
            <w:tcW w:w="836" w:type="dxa"/>
            <w:tcBorders>
              <w:top w:val="nil"/>
              <w:left w:val="nil"/>
              <w:bottom w:val="single" w:sz="4" w:space="0" w:color="auto"/>
              <w:right w:val="single" w:sz="4" w:space="0" w:color="auto"/>
            </w:tcBorders>
            <w:hideMark/>
          </w:tcPr>
          <w:p w14:paraId="2BE554B6" w14:textId="77777777" w:rsidR="009C538E" w:rsidRDefault="009C538E">
            <w:pPr>
              <w:pStyle w:val="Tableformat"/>
              <w:jc w:val="right"/>
              <w:rPr>
                <w:lang w:val="en-AU"/>
              </w:rPr>
            </w:pPr>
            <w:r>
              <w:t>25.0%</w:t>
            </w:r>
          </w:p>
        </w:tc>
        <w:tc>
          <w:tcPr>
            <w:tcW w:w="836" w:type="dxa"/>
            <w:tcBorders>
              <w:top w:val="nil"/>
              <w:left w:val="nil"/>
              <w:bottom w:val="single" w:sz="4" w:space="0" w:color="auto"/>
              <w:right w:val="single" w:sz="4" w:space="0" w:color="auto"/>
            </w:tcBorders>
            <w:hideMark/>
          </w:tcPr>
          <w:p w14:paraId="17EF9E1D" w14:textId="77777777" w:rsidR="009C538E" w:rsidRDefault="009C538E">
            <w:pPr>
              <w:pStyle w:val="Tableformat"/>
              <w:jc w:val="right"/>
              <w:rPr>
                <w:lang w:val="en-AU"/>
              </w:rPr>
            </w:pPr>
            <w:r>
              <w:t>9.7%</w:t>
            </w:r>
          </w:p>
        </w:tc>
        <w:tc>
          <w:tcPr>
            <w:tcW w:w="837" w:type="dxa"/>
            <w:tcBorders>
              <w:top w:val="nil"/>
              <w:left w:val="nil"/>
              <w:bottom w:val="single" w:sz="4" w:space="0" w:color="auto"/>
              <w:right w:val="single" w:sz="4" w:space="0" w:color="auto"/>
            </w:tcBorders>
            <w:hideMark/>
          </w:tcPr>
          <w:p w14:paraId="5E9189C3" w14:textId="77777777" w:rsidR="009C538E" w:rsidRDefault="009C538E">
            <w:pPr>
              <w:pStyle w:val="Tableformat"/>
              <w:jc w:val="right"/>
              <w:rPr>
                <w:lang w:val="en-AU"/>
              </w:rPr>
            </w:pPr>
            <w:r>
              <w:t>68.4%</w:t>
            </w:r>
          </w:p>
        </w:tc>
      </w:tr>
      <w:tr w:rsidR="00106793" w14:paraId="3990C33C" w14:textId="77777777" w:rsidTr="009C538E">
        <w:trPr>
          <w:trHeight w:val="291"/>
        </w:trPr>
        <w:tc>
          <w:tcPr>
            <w:tcW w:w="1009" w:type="dxa"/>
            <w:tcBorders>
              <w:top w:val="nil"/>
              <w:left w:val="single" w:sz="4" w:space="0" w:color="auto"/>
              <w:bottom w:val="single" w:sz="4" w:space="0" w:color="auto"/>
              <w:right w:val="single" w:sz="4" w:space="0" w:color="auto"/>
            </w:tcBorders>
            <w:hideMark/>
          </w:tcPr>
          <w:p w14:paraId="23A16792" w14:textId="77777777" w:rsidR="00106793" w:rsidRDefault="00106793">
            <w:pPr>
              <w:pStyle w:val="Tableformat"/>
              <w:rPr>
                <w:b/>
                <w:lang w:val="en-AU"/>
              </w:rPr>
            </w:pPr>
            <w:r>
              <w:rPr>
                <w:b/>
                <w:lang w:val="en-AU"/>
              </w:rPr>
              <w:t>All</w:t>
            </w:r>
          </w:p>
        </w:tc>
        <w:tc>
          <w:tcPr>
            <w:tcW w:w="836" w:type="dxa"/>
            <w:tcBorders>
              <w:top w:val="nil"/>
              <w:left w:val="nil"/>
              <w:bottom w:val="single" w:sz="4" w:space="0" w:color="auto"/>
              <w:right w:val="single" w:sz="4" w:space="0" w:color="auto"/>
            </w:tcBorders>
            <w:hideMark/>
          </w:tcPr>
          <w:p w14:paraId="020F1DF1" w14:textId="77777777" w:rsidR="00106793" w:rsidRDefault="00106793">
            <w:pPr>
              <w:pStyle w:val="Tableformat"/>
              <w:jc w:val="right"/>
              <w:rPr>
                <w:b/>
                <w:lang w:val="en-AU"/>
              </w:rPr>
            </w:pPr>
            <w:r>
              <w:rPr>
                <w:b/>
              </w:rPr>
              <w:t>100.0%</w:t>
            </w:r>
          </w:p>
        </w:tc>
        <w:tc>
          <w:tcPr>
            <w:tcW w:w="836" w:type="dxa"/>
            <w:tcBorders>
              <w:top w:val="nil"/>
              <w:left w:val="nil"/>
              <w:bottom w:val="single" w:sz="4" w:space="0" w:color="auto"/>
              <w:right w:val="single" w:sz="4" w:space="0" w:color="auto"/>
            </w:tcBorders>
            <w:hideMark/>
          </w:tcPr>
          <w:p w14:paraId="18FC481F" w14:textId="77777777" w:rsidR="00106793" w:rsidRDefault="00106793">
            <w:pPr>
              <w:pStyle w:val="Tableformat"/>
              <w:jc w:val="right"/>
              <w:rPr>
                <w:b/>
                <w:lang w:val="en-AU"/>
              </w:rPr>
            </w:pPr>
            <w:r>
              <w:rPr>
                <w:b/>
              </w:rPr>
              <w:t>100.0%</w:t>
            </w:r>
          </w:p>
        </w:tc>
        <w:tc>
          <w:tcPr>
            <w:tcW w:w="836" w:type="dxa"/>
            <w:tcBorders>
              <w:top w:val="nil"/>
              <w:left w:val="nil"/>
              <w:bottom w:val="single" w:sz="4" w:space="0" w:color="auto"/>
              <w:right w:val="single" w:sz="4" w:space="0" w:color="auto"/>
            </w:tcBorders>
            <w:hideMark/>
          </w:tcPr>
          <w:p w14:paraId="21678F21" w14:textId="77777777" w:rsidR="00106793" w:rsidRDefault="00106793">
            <w:pPr>
              <w:pStyle w:val="Tableformat"/>
              <w:jc w:val="right"/>
              <w:rPr>
                <w:b/>
                <w:lang w:val="en-AU"/>
              </w:rPr>
            </w:pPr>
            <w:r>
              <w:rPr>
                <w:b/>
              </w:rPr>
              <w:t>100.0%</w:t>
            </w:r>
          </w:p>
        </w:tc>
        <w:tc>
          <w:tcPr>
            <w:tcW w:w="837" w:type="dxa"/>
            <w:tcBorders>
              <w:top w:val="nil"/>
              <w:left w:val="nil"/>
              <w:bottom w:val="single" w:sz="4" w:space="0" w:color="auto"/>
              <w:right w:val="single" w:sz="4" w:space="0" w:color="auto"/>
            </w:tcBorders>
            <w:hideMark/>
          </w:tcPr>
          <w:p w14:paraId="1CEAA282" w14:textId="77777777" w:rsidR="00106793" w:rsidRDefault="00106793">
            <w:pPr>
              <w:pStyle w:val="Tableformat"/>
              <w:jc w:val="right"/>
              <w:rPr>
                <w:b/>
                <w:lang w:val="en-AU"/>
              </w:rPr>
            </w:pPr>
            <w:r>
              <w:rPr>
                <w:b/>
              </w:rPr>
              <w:t>100.0%</w:t>
            </w:r>
          </w:p>
        </w:tc>
        <w:tc>
          <w:tcPr>
            <w:tcW w:w="836" w:type="dxa"/>
            <w:tcBorders>
              <w:top w:val="nil"/>
              <w:left w:val="nil"/>
              <w:bottom w:val="single" w:sz="4" w:space="0" w:color="auto"/>
              <w:right w:val="single" w:sz="4" w:space="0" w:color="auto"/>
            </w:tcBorders>
            <w:hideMark/>
          </w:tcPr>
          <w:p w14:paraId="70690D92" w14:textId="77777777" w:rsidR="00106793" w:rsidRDefault="00106793">
            <w:pPr>
              <w:pStyle w:val="Tableformat"/>
              <w:jc w:val="right"/>
              <w:rPr>
                <w:b/>
                <w:lang w:val="en-AU"/>
              </w:rPr>
            </w:pPr>
            <w:r>
              <w:rPr>
                <w:b/>
              </w:rPr>
              <w:t>100.0%</w:t>
            </w:r>
          </w:p>
        </w:tc>
        <w:tc>
          <w:tcPr>
            <w:tcW w:w="836" w:type="dxa"/>
            <w:tcBorders>
              <w:top w:val="nil"/>
              <w:left w:val="nil"/>
              <w:bottom w:val="single" w:sz="4" w:space="0" w:color="auto"/>
              <w:right w:val="single" w:sz="4" w:space="0" w:color="auto"/>
            </w:tcBorders>
            <w:hideMark/>
          </w:tcPr>
          <w:p w14:paraId="093A8AA9" w14:textId="77777777" w:rsidR="00106793" w:rsidRDefault="00106793">
            <w:pPr>
              <w:pStyle w:val="Tableformat"/>
              <w:jc w:val="right"/>
              <w:rPr>
                <w:b/>
                <w:lang w:val="en-AU"/>
              </w:rPr>
            </w:pPr>
            <w:r>
              <w:rPr>
                <w:b/>
              </w:rPr>
              <w:t>100.0%</w:t>
            </w:r>
          </w:p>
        </w:tc>
        <w:tc>
          <w:tcPr>
            <w:tcW w:w="837" w:type="dxa"/>
            <w:tcBorders>
              <w:top w:val="nil"/>
              <w:left w:val="nil"/>
              <w:bottom w:val="single" w:sz="4" w:space="0" w:color="auto"/>
              <w:right w:val="single" w:sz="4" w:space="0" w:color="auto"/>
            </w:tcBorders>
            <w:hideMark/>
          </w:tcPr>
          <w:p w14:paraId="25E6292C" w14:textId="77777777" w:rsidR="00106793" w:rsidRDefault="00106793">
            <w:pPr>
              <w:pStyle w:val="Tableformat"/>
              <w:jc w:val="right"/>
              <w:rPr>
                <w:b/>
                <w:lang w:val="en-AU"/>
              </w:rPr>
            </w:pPr>
            <w:r>
              <w:rPr>
                <w:b/>
              </w:rPr>
              <w:t>100.0%</w:t>
            </w:r>
          </w:p>
        </w:tc>
        <w:tc>
          <w:tcPr>
            <w:tcW w:w="836" w:type="dxa"/>
            <w:tcBorders>
              <w:top w:val="nil"/>
              <w:left w:val="nil"/>
              <w:bottom w:val="single" w:sz="4" w:space="0" w:color="auto"/>
              <w:right w:val="single" w:sz="4" w:space="0" w:color="auto"/>
            </w:tcBorders>
            <w:hideMark/>
          </w:tcPr>
          <w:p w14:paraId="09C6442B" w14:textId="77777777" w:rsidR="00106793" w:rsidRDefault="00106793">
            <w:pPr>
              <w:pStyle w:val="Tableformat"/>
              <w:jc w:val="right"/>
              <w:rPr>
                <w:b/>
                <w:lang w:val="en-AU"/>
              </w:rPr>
            </w:pPr>
            <w:r>
              <w:rPr>
                <w:b/>
              </w:rPr>
              <w:t>100.0%</w:t>
            </w:r>
          </w:p>
        </w:tc>
        <w:tc>
          <w:tcPr>
            <w:tcW w:w="836" w:type="dxa"/>
            <w:tcBorders>
              <w:top w:val="nil"/>
              <w:left w:val="nil"/>
              <w:bottom w:val="single" w:sz="4" w:space="0" w:color="auto"/>
              <w:right w:val="single" w:sz="4" w:space="0" w:color="auto"/>
            </w:tcBorders>
            <w:hideMark/>
          </w:tcPr>
          <w:p w14:paraId="1631EE87" w14:textId="77777777" w:rsidR="00106793" w:rsidRDefault="00106793">
            <w:pPr>
              <w:pStyle w:val="Tableformat"/>
              <w:jc w:val="right"/>
              <w:rPr>
                <w:b/>
                <w:lang w:val="en-AU"/>
              </w:rPr>
            </w:pPr>
            <w:r>
              <w:rPr>
                <w:b/>
              </w:rPr>
              <w:t>100.0%</w:t>
            </w:r>
          </w:p>
        </w:tc>
        <w:tc>
          <w:tcPr>
            <w:tcW w:w="837" w:type="dxa"/>
            <w:tcBorders>
              <w:top w:val="nil"/>
              <w:left w:val="nil"/>
              <w:bottom w:val="single" w:sz="4" w:space="0" w:color="auto"/>
              <w:right w:val="single" w:sz="4" w:space="0" w:color="auto"/>
            </w:tcBorders>
            <w:hideMark/>
          </w:tcPr>
          <w:p w14:paraId="149880C5" w14:textId="77777777" w:rsidR="00106793" w:rsidRDefault="00106793">
            <w:pPr>
              <w:pStyle w:val="Tableformat"/>
              <w:jc w:val="right"/>
              <w:rPr>
                <w:b/>
                <w:lang w:val="en-AU"/>
              </w:rPr>
            </w:pPr>
            <w:r>
              <w:rPr>
                <w:b/>
              </w:rPr>
              <w:t>70.9%</w:t>
            </w:r>
          </w:p>
        </w:tc>
      </w:tr>
    </w:tbl>
    <w:p w14:paraId="019E9B15" w14:textId="7D4ED512" w:rsidR="00106793" w:rsidRDefault="00106793" w:rsidP="00106793">
      <w:pPr>
        <w:pStyle w:val="Caption"/>
      </w:pPr>
      <w:bookmarkStart w:id="82" w:name="_Ref532036169"/>
      <w:bookmarkStart w:id="83" w:name="_Ref535408595"/>
      <w:bookmarkStart w:id="84" w:name="_Toc532293863"/>
      <w:bookmarkStart w:id="85" w:name="_Toc532044384"/>
      <w:bookmarkStart w:id="86" w:name="_Toc2005283"/>
      <w:r>
        <w:t xml:space="preserve">Figure </w:t>
      </w:r>
      <w:r>
        <w:fldChar w:fldCharType="begin"/>
      </w:r>
      <w:r>
        <w:rPr>
          <w:noProof/>
        </w:rPr>
        <w:instrText xml:space="preserve"> SEQ Figure \* ARABIC </w:instrText>
      </w:r>
      <w:r>
        <w:fldChar w:fldCharType="separate"/>
      </w:r>
      <w:r w:rsidR="008928D6">
        <w:rPr>
          <w:noProof/>
        </w:rPr>
        <w:t>1</w:t>
      </w:r>
      <w:r>
        <w:fldChar w:fldCharType="end"/>
      </w:r>
      <w:bookmarkEnd w:id="82"/>
      <w:bookmarkEnd w:id="83"/>
      <w:r>
        <w:t xml:space="preserve"> </w:t>
      </w:r>
      <w:r w:rsidR="00EB4148">
        <w:tab/>
      </w:r>
      <w:r>
        <w:t>Mortality rates by class 4-6 months after initial AN-ACC assessment</w:t>
      </w:r>
      <w:bookmarkEnd w:id="84"/>
      <w:bookmarkEnd w:id="85"/>
      <w:bookmarkEnd w:id="86"/>
    </w:p>
    <w:p w14:paraId="54510FFE" w14:textId="04F532E1" w:rsidR="00047B8F" w:rsidRPr="00047B8F" w:rsidRDefault="00047B8F" w:rsidP="00047B8F">
      <w:r>
        <w:rPr>
          <w:noProof/>
        </w:rPr>
        <w:drawing>
          <wp:inline distT="0" distB="0" distL="0" distR="0" wp14:anchorId="4DAD89C0" wp14:editId="715F8E62">
            <wp:extent cx="5939790" cy="3101340"/>
            <wp:effectExtent l="0" t="0" r="3810" b="3810"/>
            <wp:docPr id="3" name="Picture 3" descr="Figure 1 is a hierarchical list of the classes, showing mortality rates (percentage) by class 4-6 months after initial assessment. Class 2 was 6 per cent; Class 3 was 4 per cent; Class 4 was 8 per cent, Class 5 was 11 per cent, Class 6 was 7 per cent, Class 8 was 15 per cent, Class 9 was 10 per cent, Class 10 was 20 per cent, Class 11 was 10 per cent, Class 11 was 10 per cent, Class 12 was 20 per cent and Class 13 was 22 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39790" cy="3101340"/>
                    </a:xfrm>
                    <a:prstGeom prst="rect">
                      <a:avLst/>
                    </a:prstGeom>
                  </pic:spPr>
                </pic:pic>
              </a:graphicData>
            </a:graphic>
          </wp:inline>
        </w:drawing>
      </w:r>
    </w:p>
    <w:p w14:paraId="3CB036A4" w14:textId="20A641FA" w:rsidR="00106793" w:rsidRDefault="00106793" w:rsidP="00106793"/>
    <w:p w14:paraId="42EC304A" w14:textId="475D182B" w:rsidR="008605B5" w:rsidRDefault="008605B5" w:rsidP="00047B8F">
      <w:pPr>
        <w:pStyle w:val="Normal-nospacing"/>
        <w:spacing w:before="0"/>
      </w:pPr>
      <w:r>
        <w:fldChar w:fldCharType="begin"/>
      </w:r>
      <w:r>
        <w:instrText xml:space="preserve"> REF _Ref535408595 \h  \* MERGEFORMAT </w:instrText>
      </w:r>
      <w:r>
        <w:fldChar w:fldCharType="separate"/>
      </w:r>
      <w:r w:rsidR="008928D6">
        <w:t xml:space="preserve">Figure </w:t>
      </w:r>
      <w:r w:rsidR="008928D6">
        <w:rPr>
          <w:noProof/>
        </w:rPr>
        <w:t>1</w:t>
      </w:r>
      <w:r>
        <w:fldChar w:fldCharType="end"/>
      </w:r>
      <w:r>
        <w:t xml:space="preserve"> shows the same mortality data but this time presented graphically. The independently mobile branch had the lowest mortality rate. Not surprisingly, residents who were not mobile, unable to undertake activities of daily living and at greatest risk of a pressure sore, had the </w:t>
      </w:r>
      <w:r w:rsidR="0054196C">
        <w:lastRenderedPageBreak/>
        <w:t xml:space="preserve">highest mortality rate. </w:t>
      </w:r>
      <w:r>
        <w:t>Their death rate was four times that of residents in the independently mobile branch.</w:t>
      </w:r>
    </w:p>
    <w:p w14:paraId="4F2D0C64" w14:textId="77777777" w:rsidR="00106793" w:rsidRDefault="00106793" w:rsidP="00B85702">
      <w:pPr>
        <w:pStyle w:val="Heading2"/>
        <w:numPr>
          <w:ilvl w:val="1"/>
          <w:numId w:val="12"/>
        </w:numPr>
        <w:ind w:left="578" w:hanging="578"/>
      </w:pPr>
      <w:bookmarkStart w:id="87" w:name="_Toc532293822"/>
      <w:bookmarkStart w:id="88" w:name="_Toc532044363"/>
      <w:bookmarkStart w:id="89" w:name="_Toc2005258"/>
      <w:r>
        <w:t>Class profile at assessment and reassessment</w:t>
      </w:r>
      <w:bookmarkEnd w:id="87"/>
      <w:bookmarkEnd w:id="88"/>
      <w:bookmarkEnd w:id="89"/>
    </w:p>
    <w:p w14:paraId="0E414354" w14:textId="46AF8C86" w:rsidR="00106793" w:rsidRDefault="00106793" w:rsidP="00636A61">
      <w:pPr>
        <w:pStyle w:val="Normal-nospacing"/>
      </w:pPr>
      <w:r>
        <w:fldChar w:fldCharType="begin"/>
      </w:r>
      <w:r>
        <w:instrText xml:space="preserve"> REF _Ref532037372 \h </w:instrText>
      </w:r>
      <w:r w:rsidR="00636A61">
        <w:instrText xml:space="preserve"> \* MERGEFORMAT </w:instrText>
      </w:r>
      <w:r>
        <w:fldChar w:fldCharType="separate"/>
      </w:r>
      <w:r w:rsidR="008928D6">
        <w:t xml:space="preserve">Figure </w:t>
      </w:r>
      <w:r w:rsidR="008928D6">
        <w:rPr>
          <w:noProof/>
        </w:rPr>
        <w:t>2</w:t>
      </w:r>
      <w:r>
        <w:fldChar w:fldCharType="end"/>
      </w:r>
      <w:r>
        <w:t xml:space="preserve"> shows the profile of each of the twelve classes (the palliative care class is excluded) at both the initial assessment and a</w:t>
      </w:r>
      <w:r w:rsidR="0054196C">
        <w:t>t the subsequent reassessment.</w:t>
      </w:r>
    </w:p>
    <w:p w14:paraId="1320689A" w14:textId="4FEFFD9E" w:rsidR="00106793" w:rsidRDefault="00106793" w:rsidP="00636A61">
      <w:pPr>
        <w:pStyle w:val="Normal-nospacing"/>
      </w:pPr>
      <w:r>
        <w:t xml:space="preserve">The ‘died’ percentage is deaths as a percentage of all residents in </w:t>
      </w:r>
      <w:r w:rsidR="0054196C">
        <w:t xml:space="preserve">the class. </w:t>
      </w:r>
      <w:r>
        <w:t xml:space="preserve">The percentage for both </w:t>
      </w:r>
      <w:r w:rsidR="00E227E1">
        <w:t xml:space="preserve">initial </w:t>
      </w:r>
      <w:r>
        <w:t>assessments and reassessments is based only on those residents who were as</w:t>
      </w:r>
      <w:r w:rsidR="0054196C">
        <w:t xml:space="preserve">sessed at the two time points. </w:t>
      </w:r>
      <w:r w:rsidR="00894F4E">
        <w:t xml:space="preserve">The data shows </w:t>
      </w:r>
      <w:r>
        <w:t>that residents have become more dependent in the intervening period and that the percentage assigned to classes with ‘co</w:t>
      </w:r>
      <w:r w:rsidR="002D5E68">
        <w:t>mp</w:t>
      </w:r>
      <w:r>
        <w:t xml:space="preserve">ounding factors’ </w:t>
      </w:r>
      <w:r w:rsidR="00BA594A">
        <w:t xml:space="preserve">(CF) </w:t>
      </w:r>
      <w:r>
        <w:t>has increased. In other words, residents overall became more dependent. This is what would be expected given the overall frailty of the residential aged care cohort.</w:t>
      </w:r>
    </w:p>
    <w:p w14:paraId="4F7E384D" w14:textId="692E2BCD" w:rsidR="00106793" w:rsidRDefault="00106793" w:rsidP="00636A61">
      <w:pPr>
        <w:pStyle w:val="Normal-nospacing"/>
      </w:pPr>
      <w:r>
        <w:t xml:space="preserve">The major changes that can be seen are proportional increases in Class 5 </w:t>
      </w:r>
      <w:r w:rsidR="00BA594A">
        <w:t xml:space="preserve">(Assisted mobility, high cognition, with CF) </w:t>
      </w:r>
      <w:r>
        <w:t xml:space="preserve">and Class 11 </w:t>
      </w:r>
      <w:r w:rsidR="00BA594A">
        <w:t xml:space="preserve">(Not mobile, lower function, lower pressure sore risk) </w:t>
      </w:r>
      <w:r>
        <w:t>and a proportional decrease in Class 9</w:t>
      </w:r>
      <w:r w:rsidR="00BA594A">
        <w:t xml:space="preserve"> (Not mobile, higher function, without CF) (see </w:t>
      </w:r>
      <w:r>
        <w:t>summari</w:t>
      </w:r>
      <w:r w:rsidR="00BA594A">
        <w:t>es</w:t>
      </w:r>
      <w:r>
        <w:t xml:space="preserve"> in </w:t>
      </w:r>
      <w:r>
        <w:fldChar w:fldCharType="begin"/>
      </w:r>
      <w:r>
        <w:instrText xml:space="preserve"> REF _Ref532036320 \h </w:instrText>
      </w:r>
      <w:r w:rsidR="00636A61">
        <w:instrText xml:space="preserve"> \* MERGEFORMAT </w:instrText>
      </w:r>
      <w:r>
        <w:fldChar w:fldCharType="separate"/>
      </w:r>
      <w:r w:rsidR="008928D6">
        <w:t xml:space="preserve">Table </w:t>
      </w:r>
      <w:r w:rsidR="008928D6">
        <w:rPr>
          <w:noProof/>
        </w:rPr>
        <w:t>1</w:t>
      </w:r>
      <w:r>
        <w:fldChar w:fldCharType="end"/>
      </w:r>
      <w:r>
        <w:t xml:space="preserve"> above</w:t>
      </w:r>
      <w:r w:rsidR="00BA594A">
        <w:t>)</w:t>
      </w:r>
      <w:r>
        <w:t>.</w:t>
      </w:r>
    </w:p>
    <w:p w14:paraId="76DAC1D0" w14:textId="5FD062E9" w:rsidR="00106793" w:rsidRDefault="00106793" w:rsidP="00636A61">
      <w:pPr>
        <w:pStyle w:val="Normal-nospacing"/>
      </w:pPr>
      <w:r>
        <w:t>In considering this profile, it should be noted that an explicit feature of the proposed new funding model is that residents are only reassigned to a new AN-ACC payment</w:t>
      </w:r>
      <w:r w:rsidR="0054196C">
        <w:t xml:space="preserve"> class if their needs increase.</w:t>
      </w:r>
      <w:r>
        <w:t xml:space="preserve"> This same approach has</w:t>
      </w:r>
      <w:r w:rsidR="0054196C">
        <w:t xml:space="preserve"> been adopted in this analysis.</w:t>
      </w:r>
    </w:p>
    <w:p w14:paraId="586C293E" w14:textId="255E790D" w:rsidR="00106793" w:rsidRDefault="00106793" w:rsidP="00636A61">
      <w:pPr>
        <w:pStyle w:val="Normal-nospacing"/>
      </w:pPr>
      <w:r>
        <w:t>If a resident becomes more independent</w:t>
      </w:r>
      <w:r w:rsidR="002D5E68">
        <w:t>ly mobile</w:t>
      </w:r>
      <w:r>
        <w:t>, they are not assigned to a lower paying class in the AN-ACC payment model. A resident is only reassessed</w:t>
      </w:r>
      <w:r w:rsidR="0054196C">
        <w:t xml:space="preserve"> if their care needs increase. </w:t>
      </w:r>
      <w:r>
        <w:t>This is deliberately designed to provide incentives for</w:t>
      </w:r>
      <w:r w:rsidR="0054196C">
        <w:t xml:space="preserve"> best practice models of care.</w:t>
      </w:r>
    </w:p>
    <w:p w14:paraId="48772469" w14:textId="77777777" w:rsidR="00106793" w:rsidRDefault="00106793" w:rsidP="00B405EF">
      <w:pPr>
        <w:pStyle w:val="Caption"/>
        <w:spacing w:after="120"/>
      </w:pPr>
      <w:bookmarkStart w:id="90" w:name="_Ref532037372"/>
      <w:bookmarkStart w:id="91" w:name="_Toc532293864"/>
      <w:bookmarkStart w:id="92" w:name="_Toc532044385"/>
      <w:bookmarkStart w:id="93" w:name="_Toc2005284"/>
      <w:r>
        <w:t xml:space="preserve">Figure </w:t>
      </w:r>
      <w:r>
        <w:fldChar w:fldCharType="begin"/>
      </w:r>
      <w:r>
        <w:rPr>
          <w:noProof/>
        </w:rPr>
        <w:instrText xml:space="preserve"> SEQ Figure \* ARABIC </w:instrText>
      </w:r>
      <w:r>
        <w:fldChar w:fldCharType="separate"/>
      </w:r>
      <w:r w:rsidR="008928D6">
        <w:rPr>
          <w:noProof/>
        </w:rPr>
        <w:t>2</w:t>
      </w:r>
      <w:r>
        <w:fldChar w:fldCharType="end"/>
      </w:r>
      <w:bookmarkEnd w:id="90"/>
      <w:r>
        <w:t xml:space="preserve"> </w:t>
      </w:r>
      <w:r>
        <w:tab/>
        <w:t>Class profile at assessment and reassessment</w:t>
      </w:r>
      <w:bookmarkEnd w:id="91"/>
      <w:bookmarkEnd w:id="92"/>
      <w:bookmarkEnd w:id="93"/>
    </w:p>
    <w:p w14:paraId="1DBCB7C6" w14:textId="2657BFDF" w:rsidR="00106793" w:rsidRDefault="00106793" w:rsidP="00106793">
      <w:r>
        <w:rPr>
          <w:noProof/>
        </w:rPr>
        <w:drawing>
          <wp:inline distT="0" distB="0" distL="0" distR="0" wp14:anchorId="6DBFB7A3" wp14:editId="398ED9EB">
            <wp:extent cx="5682343" cy="3711378"/>
            <wp:effectExtent l="0" t="0" r="0" b="3810"/>
            <wp:docPr id="12" name="Picture 12" descr="Figure 2 shows the profile of each of the twelve classes (the palliative care class is excluded) at both the initial assessment and at the subsequent reassessment. The percentage for both initial assessments and reassessments is based only on those residents who were assessed at the two time points. The data shows that residents have become more dependent in the intervening period and that the percentage assigned to classes with ‘compounding factors’ (CF) has increa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85852" cy="3713670"/>
                    </a:xfrm>
                    <a:prstGeom prst="rect">
                      <a:avLst/>
                    </a:prstGeom>
                    <a:noFill/>
                    <a:ln>
                      <a:noFill/>
                    </a:ln>
                  </pic:spPr>
                </pic:pic>
              </a:graphicData>
            </a:graphic>
          </wp:inline>
        </w:drawing>
      </w:r>
    </w:p>
    <w:p w14:paraId="71D7BD1A" w14:textId="77777777" w:rsidR="00106793" w:rsidRDefault="00106793" w:rsidP="00106793">
      <w:pPr>
        <w:rPr>
          <w:sz w:val="4"/>
          <w:szCs w:val="4"/>
        </w:rPr>
      </w:pPr>
    </w:p>
    <w:p w14:paraId="7A152B9D" w14:textId="77777777" w:rsidR="00106793" w:rsidRDefault="00106793" w:rsidP="00106793">
      <w:pPr>
        <w:pStyle w:val="Caption"/>
      </w:pPr>
      <w:bookmarkStart w:id="94" w:name="_Ref532038305"/>
      <w:bookmarkStart w:id="95" w:name="_Toc532293865"/>
      <w:bookmarkStart w:id="96" w:name="_Toc532044386"/>
      <w:bookmarkStart w:id="97" w:name="_Toc2005285"/>
      <w:r>
        <w:lastRenderedPageBreak/>
        <w:t xml:space="preserve">Figure </w:t>
      </w:r>
      <w:r>
        <w:fldChar w:fldCharType="begin"/>
      </w:r>
      <w:r>
        <w:rPr>
          <w:noProof/>
        </w:rPr>
        <w:instrText xml:space="preserve"> SEQ Figure \* ARABIC </w:instrText>
      </w:r>
      <w:r>
        <w:fldChar w:fldCharType="separate"/>
      </w:r>
      <w:r w:rsidR="008928D6">
        <w:rPr>
          <w:noProof/>
        </w:rPr>
        <w:t>3</w:t>
      </w:r>
      <w:r>
        <w:fldChar w:fldCharType="end"/>
      </w:r>
      <w:bookmarkEnd w:id="94"/>
      <w:r>
        <w:t xml:space="preserve"> </w:t>
      </w:r>
      <w:r>
        <w:tab/>
        <w:t>Assessment class profile for residents aged less than 85 years</w:t>
      </w:r>
      <w:bookmarkEnd w:id="95"/>
      <w:bookmarkEnd w:id="96"/>
      <w:bookmarkEnd w:id="97"/>
    </w:p>
    <w:p w14:paraId="193712E9" w14:textId="660BE75D" w:rsidR="00106793" w:rsidRDefault="00106793" w:rsidP="00106793">
      <w:r>
        <w:rPr>
          <w:noProof/>
        </w:rPr>
        <w:drawing>
          <wp:inline distT="0" distB="0" distL="0" distR="0" wp14:anchorId="6EF4C80C" wp14:editId="44D9E7B9">
            <wp:extent cx="5931535" cy="3874135"/>
            <wp:effectExtent l="0" t="0" r="0" b="0"/>
            <wp:docPr id="11" name="Picture 11" descr="Figure 3 shows the profile of each of the twelve classes (the palliative care class is excluded) at both the initial assessment and at the subsequent reassessment for those aged less than 85 years at the time of their first assessment. This group includes 28 people who were aged less than 6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1535" cy="3874135"/>
                    </a:xfrm>
                    <a:prstGeom prst="rect">
                      <a:avLst/>
                    </a:prstGeom>
                    <a:noFill/>
                    <a:ln>
                      <a:noFill/>
                    </a:ln>
                  </pic:spPr>
                </pic:pic>
              </a:graphicData>
            </a:graphic>
          </wp:inline>
        </w:drawing>
      </w:r>
    </w:p>
    <w:p w14:paraId="70DD2545" w14:textId="77777777" w:rsidR="00106793" w:rsidRDefault="00106793" w:rsidP="00106793">
      <w:pPr>
        <w:rPr>
          <w:sz w:val="4"/>
          <w:szCs w:val="4"/>
        </w:rPr>
      </w:pPr>
    </w:p>
    <w:p w14:paraId="6EEBC3D8" w14:textId="77777777" w:rsidR="00106793" w:rsidRDefault="00106793" w:rsidP="00106793">
      <w:pPr>
        <w:pStyle w:val="Caption"/>
      </w:pPr>
      <w:bookmarkStart w:id="98" w:name="_Ref532038481"/>
      <w:bookmarkStart w:id="99" w:name="_Toc532293866"/>
      <w:bookmarkStart w:id="100" w:name="_Toc532044387"/>
      <w:bookmarkStart w:id="101" w:name="_Toc2005286"/>
      <w:r>
        <w:t xml:space="preserve">Figure </w:t>
      </w:r>
      <w:r>
        <w:fldChar w:fldCharType="begin"/>
      </w:r>
      <w:r>
        <w:rPr>
          <w:noProof/>
        </w:rPr>
        <w:instrText xml:space="preserve"> SEQ Figure \* ARABIC </w:instrText>
      </w:r>
      <w:r>
        <w:fldChar w:fldCharType="separate"/>
      </w:r>
      <w:r w:rsidR="008928D6">
        <w:rPr>
          <w:noProof/>
        </w:rPr>
        <w:t>4</w:t>
      </w:r>
      <w:r>
        <w:fldChar w:fldCharType="end"/>
      </w:r>
      <w:bookmarkEnd w:id="98"/>
      <w:r>
        <w:t xml:space="preserve"> </w:t>
      </w:r>
      <w:r>
        <w:tab/>
        <w:t>Assessment class profile for residents aged 85 years or older</w:t>
      </w:r>
      <w:bookmarkEnd w:id="99"/>
      <w:bookmarkEnd w:id="100"/>
      <w:bookmarkEnd w:id="101"/>
    </w:p>
    <w:p w14:paraId="65C5385E" w14:textId="173C27D9" w:rsidR="00106793" w:rsidRDefault="00106793" w:rsidP="00106793">
      <w:r>
        <w:rPr>
          <w:noProof/>
        </w:rPr>
        <w:drawing>
          <wp:inline distT="0" distB="0" distL="0" distR="0" wp14:anchorId="3FAB5A7D" wp14:editId="201BC671">
            <wp:extent cx="5931535" cy="3874135"/>
            <wp:effectExtent l="0" t="0" r="0" b="0"/>
            <wp:docPr id="10" name="Picture 10" descr="Figure 4 shows the profile of each of the twelve classes (the palliative care class is excluded) at both the initial assessment and at the subsequent reassessment for those aged 85 or more at the time of their initial assessment. The major changes for this older cohort are the proportional increases in Class 5 and Class 11. Proportional reductions are more evenly distributed in this older aged group. In contrast, the younger cohort shown in Figure 4 had a more pronounced reduction in Clas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1535" cy="3874135"/>
                    </a:xfrm>
                    <a:prstGeom prst="rect">
                      <a:avLst/>
                    </a:prstGeom>
                    <a:noFill/>
                    <a:ln>
                      <a:noFill/>
                    </a:ln>
                  </pic:spPr>
                </pic:pic>
              </a:graphicData>
            </a:graphic>
          </wp:inline>
        </w:drawing>
      </w:r>
    </w:p>
    <w:p w14:paraId="5A105493" w14:textId="7F7EF805" w:rsidR="00106793" w:rsidRDefault="00106793" w:rsidP="00636A61">
      <w:pPr>
        <w:pStyle w:val="Normal-nospacing"/>
      </w:pPr>
      <w:r>
        <w:lastRenderedPageBreak/>
        <w:fldChar w:fldCharType="begin"/>
      </w:r>
      <w:r>
        <w:instrText xml:space="preserve"> REF _Ref532038305 \h </w:instrText>
      </w:r>
      <w:r w:rsidR="00636A61">
        <w:instrText xml:space="preserve"> \* MERGEFORMAT </w:instrText>
      </w:r>
      <w:r>
        <w:fldChar w:fldCharType="separate"/>
      </w:r>
      <w:r w:rsidR="008928D6">
        <w:t xml:space="preserve">Figure </w:t>
      </w:r>
      <w:r w:rsidR="008928D6">
        <w:rPr>
          <w:noProof/>
        </w:rPr>
        <w:t>3</w:t>
      </w:r>
      <w:r>
        <w:fldChar w:fldCharType="end"/>
      </w:r>
      <w:r>
        <w:t xml:space="preserve"> presents the same information but only for those aged less than 85 years at the time of their first assessment. This group includes 28 people who</w:t>
      </w:r>
      <w:r w:rsidR="00296028">
        <w:t xml:space="preserve"> were aged less than 65 years.</w:t>
      </w:r>
    </w:p>
    <w:p w14:paraId="16BB5927" w14:textId="3367B3F5" w:rsidR="00106793" w:rsidRDefault="00106793" w:rsidP="00636A61">
      <w:pPr>
        <w:pStyle w:val="Normal-nospacing"/>
      </w:pPr>
      <w:r>
        <w:fldChar w:fldCharType="begin"/>
      </w:r>
      <w:r>
        <w:instrText xml:space="preserve"> REF _Ref532038481 \h </w:instrText>
      </w:r>
      <w:r w:rsidR="00636A61">
        <w:instrText xml:space="preserve"> \* MERGEFORMAT </w:instrText>
      </w:r>
      <w:r>
        <w:fldChar w:fldCharType="separate"/>
      </w:r>
      <w:r w:rsidR="008928D6">
        <w:t xml:space="preserve">Figure </w:t>
      </w:r>
      <w:r w:rsidR="008928D6">
        <w:rPr>
          <w:noProof/>
        </w:rPr>
        <w:t>4</w:t>
      </w:r>
      <w:r>
        <w:fldChar w:fldCharType="end"/>
      </w:r>
      <w:r>
        <w:t xml:space="preserve"> shows this same information for those aged 85 or more at the tim</w:t>
      </w:r>
      <w:r w:rsidR="009C360B">
        <w:t xml:space="preserve">e of their initial assessment. </w:t>
      </w:r>
      <w:r>
        <w:t>The major changes for this older cohort are the proportional increases in Class 5 and Class 11. Proportional reductions are more evenly distrib</w:t>
      </w:r>
      <w:r w:rsidR="009C360B">
        <w:t xml:space="preserve">uted in this older aged group. </w:t>
      </w:r>
      <w:r>
        <w:t xml:space="preserve">In contrast, the younger cohort shown in </w:t>
      </w:r>
      <w:r>
        <w:fldChar w:fldCharType="begin"/>
      </w:r>
      <w:r>
        <w:instrText xml:space="preserve"> REF _Ref532038305 \h </w:instrText>
      </w:r>
      <w:r w:rsidR="00636A61">
        <w:instrText xml:space="preserve"> \* MERGEFORMAT </w:instrText>
      </w:r>
      <w:r>
        <w:fldChar w:fldCharType="separate"/>
      </w:r>
      <w:r w:rsidR="008928D6">
        <w:t xml:space="preserve">Figure </w:t>
      </w:r>
      <w:r w:rsidR="008928D6">
        <w:rPr>
          <w:noProof/>
        </w:rPr>
        <w:t>3</w:t>
      </w:r>
      <w:r>
        <w:fldChar w:fldCharType="end"/>
      </w:r>
      <w:r>
        <w:t xml:space="preserve"> had a more pronounced reduction in Class 9.</w:t>
      </w:r>
    </w:p>
    <w:p w14:paraId="2C57ED9C" w14:textId="52E211A2" w:rsidR="00106793" w:rsidRDefault="00106793" w:rsidP="00B85702">
      <w:pPr>
        <w:pStyle w:val="Heading2"/>
        <w:numPr>
          <w:ilvl w:val="1"/>
          <w:numId w:val="12"/>
        </w:numPr>
        <w:ind w:left="578" w:hanging="578"/>
      </w:pPr>
      <w:bookmarkStart w:id="102" w:name="_Toc532293823"/>
      <w:bookmarkStart w:id="103" w:name="_Toc532044364"/>
      <w:bookmarkStart w:id="104" w:name="_Toc2005259"/>
      <w:r>
        <w:t xml:space="preserve">Summary of changes by AN-ACC payment class between </w:t>
      </w:r>
      <w:r w:rsidR="002D5E68">
        <w:t xml:space="preserve">initial </w:t>
      </w:r>
      <w:r>
        <w:t>assessment and reassessment</w:t>
      </w:r>
      <w:bookmarkEnd w:id="102"/>
      <w:bookmarkEnd w:id="103"/>
      <w:bookmarkEnd w:id="104"/>
    </w:p>
    <w:p w14:paraId="4443353D" w14:textId="6B4C5462" w:rsidR="00106793" w:rsidRDefault="00106793" w:rsidP="0095799D">
      <w:pPr>
        <w:pStyle w:val="Normal-nospacing"/>
      </w:pPr>
      <w:r>
        <w:fldChar w:fldCharType="begin"/>
      </w:r>
      <w:r>
        <w:instrText xml:space="preserve"> REF _Ref532040689 \h </w:instrText>
      </w:r>
      <w:r w:rsidR="0095799D">
        <w:instrText xml:space="preserve"> \* MERGEFORMAT </w:instrText>
      </w:r>
      <w:r>
        <w:fldChar w:fldCharType="separate"/>
      </w:r>
      <w:r w:rsidR="008928D6">
        <w:t xml:space="preserve">Figure </w:t>
      </w:r>
      <w:r w:rsidR="008928D6">
        <w:rPr>
          <w:noProof/>
        </w:rPr>
        <w:t>5</w:t>
      </w:r>
      <w:r>
        <w:fldChar w:fldCharType="end"/>
      </w:r>
      <w:r>
        <w:t xml:space="preserve"> summarises the changes by AN-ACC payment class between the initial assessment and the reassessment some 4-6 months later. Across the whole cohort, 12% died, 64% would stay in the same payment class and 23% would be assigned to a higher payment class. Excluding those who died, 74% would stay in the same AN-ACC class and 26% would be assigned to a higher paying</w:t>
      </w:r>
      <w:r w:rsidR="009C360B">
        <w:t xml:space="preserve"> class.</w:t>
      </w:r>
    </w:p>
    <w:p w14:paraId="615E4E82" w14:textId="77777777" w:rsidR="00106793" w:rsidRDefault="00106793" w:rsidP="00106793">
      <w:pPr>
        <w:pStyle w:val="Caption"/>
        <w:ind w:left="1440" w:hanging="1440"/>
      </w:pPr>
      <w:bookmarkStart w:id="105" w:name="_Ref532040689"/>
      <w:bookmarkStart w:id="106" w:name="_Toc532293867"/>
      <w:bookmarkStart w:id="107" w:name="_Toc532044388"/>
      <w:bookmarkStart w:id="108" w:name="_Toc2005287"/>
      <w:r>
        <w:t xml:space="preserve">Figure </w:t>
      </w:r>
      <w:r>
        <w:fldChar w:fldCharType="begin"/>
      </w:r>
      <w:r>
        <w:rPr>
          <w:noProof/>
        </w:rPr>
        <w:instrText xml:space="preserve"> SEQ Figure \* ARABIC </w:instrText>
      </w:r>
      <w:r>
        <w:fldChar w:fldCharType="separate"/>
      </w:r>
      <w:r w:rsidR="008928D6">
        <w:rPr>
          <w:noProof/>
        </w:rPr>
        <w:t>5</w:t>
      </w:r>
      <w:r>
        <w:fldChar w:fldCharType="end"/>
      </w:r>
      <w:bookmarkEnd w:id="105"/>
      <w:r>
        <w:t xml:space="preserve"> </w:t>
      </w:r>
      <w:r>
        <w:tab/>
        <w:t>Summary of changes by AN-ACC payment class between assessment and reassessment</w:t>
      </w:r>
      <w:bookmarkEnd w:id="106"/>
      <w:bookmarkEnd w:id="107"/>
      <w:bookmarkEnd w:id="108"/>
    </w:p>
    <w:p w14:paraId="79F6B9E6" w14:textId="0071371B" w:rsidR="00106793" w:rsidRDefault="00106793" w:rsidP="00106793">
      <w:r>
        <w:rPr>
          <w:noProof/>
        </w:rPr>
        <w:drawing>
          <wp:inline distT="0" distB="0" distL="0" distR="0" wp14:anchorId="2BBB3711" wp14:editId="1A4F9689">
            <wp:extent cx="5931535" cy="3874135"/>
            <wp:effectExtent l="0" t="0" r="0" b="0"/>
            <wp:docPr id="2" name="Picture 2" descr="Figure 5 summarises the changes by AN-ACC payment class between the initial assessment and the reassessment some 4-6 months later. Across the whole cohort, 12% died, 64% would stay in the same payment class and 23% would be assigned to a higher payment class. Excluding those who died, 74% would stay in the same AN-ACC class and 26% would be assigned to a higher paying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1535" cy="3874135"/>
                    </a:xfrm>
                    <a:prstGeom prst="rect">
                      <a:avLst/>
                    </a:prstGeom>
                    <a:noFill/>
                    <a:ln>
                      <a:noFill/>
                    </a:ln>
                  </pic:spPr>
                </pic:pic>
              </a:graphicData>
            </a:graphic>
          </wp:inline>
        </w:drawing>
      </w:r>
    </w:p>
    <w:p w14:paraId="75F15092" w14:textId="2E0C1B6C" w:rsidR="00106793" w:rsidRDefault="00106793" w:rsidP="0095799D">
      <w:pPr>
        <w:pStyle w:val="Normal-nospacing"/>
      </w:pPr>
      <w:bookmarkStart w:id="109" w:name="_Ref532041887"/>
      <w:r>
        <w:t>However, the results vary considerably according to the re</w:t>
      </w:r>
      <w:r w:rsidR="009C360B">
        <w:t xml:space="preserve">sident’s initial AN-ACC class. </w:t>
      </w:r>
      <w:r>
        <w:t xml:space="preserve">This can be clearly seen in </w:t>
      </w:r>
      <w:r>
        <w:fldChar w:fldCharType="begin"/>
      </w:r>
      <w:r>
        <w:instrText xml:space="preserve"> REF _Ref532227573 \h </w:instrText>
      </w:r>
      <w:r w:rsidR="0095799D">
        <w:instrText xml:space="preserve"> \* MERGEFORMAT </w:instrText>
      </w:r>
      <w:r>
        <w:fldChar w:fldCharType="separate"/>
      </w:r>
      <w:r w:rsidR="008928D6">
        <w:t xml:space="preserve">Table </w:t>
      </w:r>
      <w:r w:rsidR="008928D6">
        <w:rPr>
          <w:noProof/>
        </w:rPr>
        <w:t>4</w:t>
      </w:r>
      <w:r>
        <w:fldChar w:fldCharType="end"/>
      </w:r>
      <w:r>
        <w:t xml:space="preserve">, where the classes have been sorted based on the percentage who would </w:t>
      </w:r>
      <w:r w:rsidR="009C360B">
        <w:t xml:space="preserve">move to a higher paying class. </w:t>
      </w:r>
      <w:r>
        <w:t>Those in the Class 4 have the highest rate of change, with 48% being assigned t</w:t>
      </w:r>
      <w:r w:rsidR="009C360B">
        <w:t xml:space="preserve">o a new class at reassessment. </w:t>
      </w:r>
      <w:r>
        <w:t>No one in the highest paying class (Class 13) is reassigned. This is simply because they are alread</w:t>
      </w:r>
      <w:r w:rsidR="009C360B">
        <w:t xml:space="preserve">y in the highest paying group. </w:t>
      </w:r>
      <w:r>
        <w:t>Setting them aside, the rate varies from 10.4% to 48.4%, a fivefold difference between the classes.</w:t>
      </w:r>
    </w:p>
    <w:p w14:paraId="45ACE314" w14:textId="77777777" w:rsidR="00106793" w:rsidRDefault="00106793" w:rsidP="00106793">
      <w:pPr>
        <w:pStyle w:val="Caption"/>
      </w:pPr>
      <w:bookmarkStart w:id="110" w:name="_Ref532227573"/>
      <w:bookmarkStart w:id="111" w:name="_Toc532293840"/>
      <w:bookmarkStart w:id="112" w:name="_Toc532044373"/>
      <w:bookmarkStart w:id="113" w:name="_Toc2005281"/>
      <w:r>
        <w:lastRenderedPageBreak/>
        <w:t xml:space="preserve">Table </w:t>
      </w:r>
      <w:r>
        <w:fldChar w:fldCharType="begin"/>
      </w:r>
      <w:r>
        <w:rPr>
          <w:noProof/>
        </w:rPr>
        <w:instrText xml:space="preserve"> SEQ Table \* ARABIC </w:instrText>
      </w:r>
      <w:r>
        <w:fldChar w:fldCharType="separate"/>
      </w:r>
      <w:r w:rsidR="008928D6">
        <w:rPr>
          <w:noProof/>
        </w:rPr>
        <w:t>4</w:t>
      </w:r>
      <w:r>
        <w:fldChar w:fldCharType="end"/>
      </w:r>
      <w:bookmarkEnd w:id="109"/>
      <w:bookmarkEnd w:id="110"/>
      <w:r>
        <w:t xml:space="preserve"> </w:t>
      </w:r>
      <w:r>
        <w:tab/>
        <w:t>Percentage moving to a higher paying class at reassessment</w:t>
      </w:r>
      <w:bookmarkEnd w:id="111"/>
      <w:bookmarkEnd w:id="112"/>
      <w:bookmarkEnd w:id="113"/>
    </w:p>
    <w:tbl>
      <w:tblPr>
        <w:tblW w:w="9396" w:type="dxa"/>
        <w:tblInd w:w="93" w:type="dxa"/>
        <w:tblLayout w:type="fixed"/>
        <w:tblLook w:val="04A0" w:firstRow="1" w:lastRow="0" w:firstColumn="1" w:lastColumn="0" w:noHBand="0" w:noVBand="1"/>
        <w:tblDescription w:val="Table 4 shows the percentage of residents moving to a higher paying class at reassessment. Those in Class 4 have the highest rate of change, with 48 per cent being assigned to a new class at reassessment. No one in the highest paying class (Class 13) is reassigned. This table is to be read left to right, top to bottom (class number, descriptor of class, percentage of residents staying in the same paying class, percentage of residents moved to higher paying class), noting the table is listed in order of residents staying in the same paying class (lowest to highest)."/>
      </w:tblPr>
      <w:tblGrid>
        <w:gridCol w:w="954"/>
        <w:gridCol w:w="5728"/>
        <w:gridCol w:w="1357"/>
        <w:gridCol w:w="1357"/>
      </w:tblGrid>
      <w:tr w:rsidR="00106793" w14:paraId="22458517" w14:textId="77777777" w:rsidTr="00106793">
        <w:trPr>
          <w:trHeight w:val="288"/>
          <w:tblHeader/>
        </w:trPr>
        <w:tc>
          <w:tcPr>
            <w:tcW w:w="954" w:type="dxa"/>
            <w:tcBorders>
              <w:top w:val="single" w:sz="4" w:space="0" w:color="auto"/>
              <w:left w:val="single" w:sz="4" w:space="0" w:color="auto"/>
              <w:bottom w:val="single" w:sz="4" w:space="0" w:color="auto"/>
              <w:right w:val="single" w:sz="4" w:space="0" w:color="auto"/>
            </w:tcBorders>
            <w:noWrap/>
            <w:hideMark/>
          </w:tcPr>
          <w:p w14:paraId="149061A4" w14:textId="77777777" w:rsidR="00106793" w:rsidRDefault="00106793">
            <w:pPr>
              <w:pStyle w:val="Tableformat"/>
              <w:rPr>
                <w:b/>
                <w:lang w:val="en-AU"/>
              </w:rPr>
            </w:pPr>
            <w:r>
              <w:rPr>
                <w:b/>
                <w:lang w:val="en-AU"/>
              </w:rPr>
              <w:t>Class</w:t>
            </w:r>
          </w:p>
        </w:tc>
        <w:tc>
          <w:tcPr>
            <w:tcW w:w="5724" w:type="dxa"/>
            <w:tcBorders>
              <w:top w:val="single" w:sz="4" w:space="0" w:color="auto"/>
              <w:left w:val="nil"/>
              <w:bottom w:val="single" w:sz="4" w:space="0" w:color="auto"/>
              <w:right w:val="single" w:sz="4" w:space="0" w:color="auto"/>
            </w:tcBorders>
            <w:noWrap/>
            <w:hideMark/>
          </w:tcPr>
          <w:p w14:paraId="01FE8F39" w14:textId="77777777" w:rsidR="00106793" w:rsidRDefault="00106793">
            <w:pPr>
              <w:pStyle w:val="Tableformat"/>
              <w:rPr>
                <w:b/>
                <w:lang w:val="en-AU"/>
              </w:rPr>
            </w:pPr>
            <w:r>
              <w:rPr>
                <w:b/>
                <w:lang w:val="en-AU"/>
              </w:rPr>
              <w:t>Descriptor</w:t>
            </w:r>
          </w:p>
        </w:tc>
        <w:tc>
          <w:tcPr>
            <w:tcW w:w="1356" w:type="dxa"/>
            <w:tcBorders>
              <w:top w:val="single" w:sz="4" w:space="0" w:color="auto"/>
              <w:left w:val="nil"/>
              <w:bottom w:val="single" w:sz="4" w:space="0" w:color="auto"/>
              <w:right w:val="single" w:sz="4" w:space="0" w:color="auto"/>
            </w:tcBorders>
            <w:noWrap/>
            <w:hideMark/>
          </w:tcPr>
          <w:p w14:paraId="1DC92B7E" w14:textId="77777777" w:rsidR="00106793" w:rsidRDefault="00106793">
            <w:pPr>
              <w:pStyle w:val="Tableformat"/>
              <w:jc w:val="right"/>
              <w:rPr>
                <w:b/>
                <w:lang w:val="en-AU"/>
              </w:rPr>
            </w:pPr>
            <w:r>
              <w:rPr>
                <w:b/>
                <w:lang w:val="en-AU"/>
              </w:rPr>
              <w:t>% same paying class</w:t>
            </w:r>
          </w:p>
        </w:tc>
        <w:tc>
          <w:tcPr>
            <w:tcW w:w="1356" w:type="dxa"/>
            <w:tcBorders>
              <w:top w:val="single" w:sz="4" w:space="0" w:color="auto"/>
              <w:left w:val="nil"/>
              <w:bottom w:val="single" w:sz="4" w:space="0" w:color="auto"/>
              <w:right w:val="single" w:sz="4" w:space="0" w:color="auto"/>
            </w:tcBorders>
            <w:noWrap/>
            <w:hideMark/>
          </w:tcPr>
          <w:p w14:paraId="49963394" w14:textId="77777777" w:rsidR="00106793" w:rsidRDefault="00106793">
            <w:pPr>
              <w:pStyle w:val="Tableformat"/>
              <w:jc w:val="right"/>
              <w:rPr>
                <w:b/>
                <w:lang w:val="en-AU"/>
              </w:rPr>
            </w:pPr>
            <w:r>
              <w:rPr>
                <w:b/>
                <w:lang w:val="en-AU"/>
              </w:rPr>
              <w:t>% to higher paying class</w:t>
            </w:r>
          </w:p>
        </w:tc>
      </w:tr>
      <w:tr w:rsidR="00106793" w14:paraId="0A199D63" w14:textId="77777777" w:rsidTr="00106793">
        <w:trPr>
          <w:trHeight w:val="288"/>
        </w:trPr>
        <w:tc>
          <w:tcPr>
            <w:tcW w:w="954" w:type="dxa"/>
            <w:tcBorders>
              <w:top w:val="nil"/>
              <w:left w:val="single" w:sz="4" w:space="0" w:color="auto"/>
              <w:bottom w:val="single" w:sz="4" w:space="0" w:color="auto"/>
              <w:right w:val="single" w:sz="4" w:space="0" w:color="auto"/>
            </w:tcBorders>
            <w:noWrap/>
            <w:hideMark/>
          </w:tcPr>
          <w:p w14:paraId="600F9267" w14:textId="5ECEB2DC" w:rsidR="00106793" w:rsidRDefault="00106793">
            <w:pPr>
              <w:pStyle w:val="Tableformat"/>
              <w:rPr>
                <w:lang w:val="en-AU"/>
              </w:rPr>
            </w:pPr>
            <w:r>
              <w:t>Class</w:t>
            </w:r>
            <w:r w:rsidR="009C538E">
              <w:t xml:space="preserve"> </w:t>
            </w:r>
            <w:r>
              <w:t>4</w:t>
            </w:r>
          </w:p>
        </w:tc>
        <w:tc>
          <w:tcPr>
            <w:tcW w:w="5724" w:type="dxa"/>
            <w:tcBorders>
              <w:top w:val="nil"/>
              <w:left w:val="nil"/>
              <w:bottom w:val="single" w:sz="4" w:space="0" w:color="auto"/>
              <w:right w:val="single" w:sz="4" w:space="0" w:color="auto"/>
            </w:tcBorders>
            <w:noWrap/>
            <w:hideMark/>
          </w:tcPr>
          <w:p w14:paraId="50706B75" w14:textId="77777777" w:rsidR="00106793" w:rsidRDefault="00106793">
            <w:pPr>
              <w:pStyle w:val="Tableformat"/>
              <w:rPr>
                <w:lang w:val="en-AU"/>
              </w:rPr>
            </w:pPr>
            <w:r>
              <w:t>Assisted mobility, high cognition, without CF</w:t>
            </w:r>
          </w:p>
        </w:tc>
        <w:tc>
          <w:tcPr>
            <w:tcW w:w="1356" w:type="dxa"/>
            <w:tcBorders>
              <w:top w:val="nil"/>
              <w:left w:val="nil"/>
              <w:bottom w:val="single" w:sz="4" w:space="0" w:color="auto"/>
              <w:right w:val="single" w:sz="4" w:space="0" w:color="auto"/>
            </w:tcBorders>
            <w:noWrap/>
            <w:hideMark/>
          </w:tcPr>
          <w:p w14:paraId="03D752E1" w14:textId="77777777" w:rsidR="00106793" w:rsidRDefault="00106793">
            <w:pPr>
              <w:pStyle w:val="Tableformat"/>
              <w:jc w:val="right"/>
              <w:rPr>
                <w:lang w:val="en-AU"/>
              </w:rPr>
            </w:pPr>
            <w:r>
              <w:t>51.6%</w:t>
            </w:r>
          </w:p>
        </w:tc>
        <w:tc>
          <w:tcPr>
            <w:tcW w:w="1356" w:type="dxa"/>
            <w:tcBorders>
              <w:top w:val="nil"/>
              <w:left w:val="nil"/>
              <w:bottom w:val="single" w:sz="4" w:space="0" w:color="auto"/>
              <w:right w:val="single" w:sz="4" w:space="0" w:color="auto"/>
            </w:tcBorders>
            <w:noWrap/>
            <w:hideMark/>
          </w:tcPr>
          <w:p w14:paraId="76934060" w14:textId="77777777" w:rsidR="00106793" w:rsidRDefault="00106793">
            <w:pPr>
              <w:pStyle w:val="Tableformat"/>
              <w:jc w:val="right"/>
              <w:rPr>
                <w:lang w:val="en-AU"/>
              </w:rPr>
            </w:pPr>
            <w:r>
              <w:t>48.4%</w:t>
            </w:r>
          </w:p>
        </w:tc>
      </w:tr>
      <w:tr w:rsidR="00106793" w14:paraId="7EB798FF" w14:textId="77777777" w:rsidTr="00106793">
        <w:trPr>
          <w:trHeight w:val="288"/>
        </w:trPr>
        <w:tc>
          <w:tcPr>
            <w:tcW w:w="954" w:type="dxa"/>
            <w:tcBorders>
              <w:top w:val="nil"/>
              <w:left w:val="single" w:sz="4" w:space="0" w:color="auto"/>
              <w:bottom w:val="single" w:sz="4" w:space="0" w:color="auto"/>
              <w:right w:val="single" w:sz="4" w:space="0" w:color="auto"/>
            </w:tcBorders>
            <w:noWrap/>
            <w:hideMark/>
          </w:tcPr>
          <w:p w14:paraId="13B791D8" w14:textId="3AB0825B" w:rsidR="00106793" w:rsidRDefault="00106793">
            <w:pPr>
              <w:pStyle w:val="Tableformat"/>
              <w:rPr>
                <w:lang w:val="en-AU"/>
              </w:rPr>
            </w:pPr>
            <w:r>
              <w:t>Class</w:t>
            </w:r>
            <w:r w:rsidR="009C538E">
              <w:t xml:space="preserve"> </w:t>
            </w:r>
            <w:r>
              <w:t>9</w:t>
            </w:r>
          </w:p>
        </w:tc>
        <w:tc>
          <w:tcPr>
            <w:tcW w:w="5724" w:type="dxa"/>
            <w:tcBorders>
              <w:top w:val="nil"/>
              <w:left w:val="nil"/>
              <w:bottom w:val="single" w:sz="4" w:space="0" w:color="auto"/>
              <w:right w:val="single" w:sz="4" w:space="0" w:color="auto"/>
            </w:tcBorders>
            <w:noWrap/>
            <w:hideMark/>
          </w:tcPr>
          <w:p w14:paraId="0462CBC3" w14:textId="77777777" w:rsidR="00106793" w:rsidRDefault="00106793">
            <w:pPr>
              <w:pStyle w:val="Tableformat"/>
              <w:rPr>
                <w:lang w:val="en-AU"/>
              </w:rPr>
            </w:pPr>
            <w:r>
              <w:t>Not mobile, higher function, without CF</w:t>
            </w:r>
          </w:p>
        </w:tc>
        <w:tc>
          <w:tcPr>
            <w:tcW w:w="1356" w:type="dxa"/>
            <w:tcBorders>
              <w:top w:val="nil"/>
              <w:left w:val="nil"/>
              <w:bottom w:val="single" w:sz="4" w:space="0" w:color="auto"/>
              <w:right w:val="single" w:sz="4" w:space="0" w:color="auto"/>
            </w:tcBorders>
            <w:noWrap/>
            <w:hideMark/>
          </w:tcPr>
          <w:p w14:paraId="5D2FA578" w14:textId="77777777" w:rsidR="00106793" w:rsidRDefault="00106793">
            <w:pPr>
              <w:pStyle w:val="Tableformat"/>
              <w:jc w:val="right"/>
              <w:rPr>
                <w:lang w:val="en-AU"/>
              </w:rPr>
            </w:pPr>
            <w:r>
              <w:t>55.4%</w:t>
            </w:r>
          </w:p>
        </w:tc>
        <w:tc>
          <w:tcPr>
            <w:tcW w:w="1356" w:type="dxa"/>
            <w:tcBorders>
              <w:top w:val="nil"/>
              <w:left w:val="nil"/>
              <w:bottom w:val="single" w:sz="4" w:space="0" w:color="auto"/>
              <w:right w:val="single" w:sz="4" w:space="0" w:color="auto"/>
            </w:tcBorders>
            <w:noWrap/>
            <w:hideMark/>
          </w:tcPr>
          <w:p w14:paraId="07EBDE30" w14:textId="77777777" w:rsidR="00106793" w:rsidRDefault="00106793">
            <w:pPr>
              <w:pStyle w:val="Tableformat"/>
              <w:jc w:val="right"/>
              <w:rPr>
                <w:lang w:val="en-AU"/>
              </w:rPr>
            </w:pPr>
            <w:r>
              <w:t>44.6%</w:t>
            </w:r>
          </w:p>
        </w:tc>
      </w:tr>
      <w:tr w:rsidR="00106793" w14:paraId="77708A0C" w14:textId="77777777" w:rsidTr="00106793">
        <w:trPr>
          <w:trHeight w:val="288"/>
        </w:trPr>
        <w:tc>
          <w:tcPr>
            <w:tcW w:w="954" w:type="dxa"/>
            <w:tcBorders>
              <w:top w:val="nil"/>
              <w:left w:val="single" w:sz="4" w:space="0" w:color="auto"/>
              <w:bottom w:val="single" w:sz="4" w:space="0" w:color="auto"/>
              <w:right w:val="single" w:sz="4" w:space="0" w:color="auto"/>
            </w:tcBorders>
            <w:noWrap/>
            <w:hideMark/>
          </w:tcPr>
          <w:p w14:paraId="64756C5D" w14:textId="2085AE22" w:rsidR="00106793" w:rsidRDefault="00106793">
            <w:pPr>
              <w:pStyle w:val="Tableformat"/>
              <w:rPr>
                <w:lang w:val="en-AU"/>
              </w:rPr>
            </w:pPr>
            <w:r>
              <w:t>Class</w:t>
            </w:r>
            <w:r w:rsidR="009C538E">
              <w:t xml:space="preserve"> </w:t>
            </w:r>
            <w:r>
              <w:t>2</w:t>
            </w:r>
          </w:p>
        </w:tc>
        <w:tc>
          <w:tcPr>
            <w:tcW w:w="5724" w:type="dxa"/>
            <w:tcBorders>
              <w:top w:val="nil"/>
              <w:left w:val="nil"/>
              <w:bottom w:val="single" w:sz="4" w:space="0" w:color="auto"/>
              <w:right w:val="single" w:sz="4" w:space="0" w:color="auto"/>
            </w:tcBorders>
            <w:noWrap/>
            <w:hideMark/>
          </w:tcPr>
          <w:p w14:paraId="07CB240C" w14:textId="77777777" w:rsidR="00106793" w:rsidRDefault="00106793">
            <w:pPr>
              <w:pStyle w:val="Tableformat"/>
              <w:rPr>
                <w:lang w:val="en-AU"/>
              </w:rPr>
            </w:pPr>
            <w:r>
              <w:t>Independent without CF</w:t>
            </w:r>
          </w:p>
        </w:tc>
        <w:tc>
          <w:tcPr>
            <w:tcW w:w="1356" w:type="dxa"/>
            <w:tcBorders>
              <w:top w:val="nil"/>
              <w:left w:val="nil"/>
              <w:bottom w:val="single" w:sz="4" w:space="0" w:color="auto"/>
              <w:right w:val="single" w:sz="4" w:space="0" w:color="auto"/>
            </w:tcBorders>
            <w:noWrap/>
            <w:hideMark/>
          </w:tcPr>
          <w:p w14:paraId="1732A84B" w14:textId="77777777" w:rsidR="00106793" w:rsidRDefault="00106793">
            <w:pPr>
              <w:pStyle w:val="Tableformat"/>
              <w:jc w:val="right"/>
              <w:rPr>
                <w:lang w:val="en-AU"/>
              </w:rPr>
            </w:pPr>
            <w:r>
              <w:t>53.8%</w:t>
            </w:r>
          </w:p>
        </w:tc>
        <w:tc>
          <w:tcPr>
            <w:tcW w:w="1356" w:type="dxa"/>
            <w:tcBorders>
              <w:top w:val="nil"/>
              <w:left w:val="nil"/>
              <w:bottom w:val="single" w:sz="4" w:space="0" w:color="auto"/>
              <w:right w:val="single" w:sz="4" w:space="0" w:color="auto"/>
            </w:tcBorders>
            <w:noWrap/>
            <w:hideMark/>
          </w:tcPr>
          <w:p w14:paraId="0D6F071D" w14:textId="53D1ACB3" w:rsidR="00106793" w:rsidRDefault="00106793" w:rsidP="0094503A">
            <w:pPr>
              <w:pStyle w:val="Tableformat"/>
              <w:jc w:val="right"/>
              <w:rPr>
                <w:lang w:val="en-AU"/>
              </w:rPr>
            </w:pPr>
            <w:r>
              <w:t>4</w:t>
            </w:r>
            <w:r w:rsidR="0094503A">
              <w:t>6</w:t>
            </w:r>
            <w:r>
              <w:t>.2%</w:t>
            </w:r>
          </w:p>
        </w:tc>
      </w:tr>
      <w:tr w:rsidR="00106793" w14:paraId="1CB9102D" w14:textId="77777777" w:rsidTr="00106793">
        <w:trPr>
          <w:trHeight w:val="288"/>
        </w:trPr>
        <w:tc>
          <w:tcPr>
            <w:tcW w:w="954" w:type="dxa"/>
            <w:tcBorders>
              <w:top w:val="nil"/>
              <w:left w:val="single" w:sz="4" w:space="0" w:color="auto"/>
              <w:bottom w:val="single" w:sz="4" w:space="0" w:color="auto"/>
              <w:right w:val="single" w:sz="4" w:space="0" w:color="auto"/>
            </w:tcBorders>
            <w:noWrap/>
            <w:hideMark/>
          </w:tcPr>
          <w:p w14:paraId="336CD623" w14:textId="4376165C" w:rsidR="00106793" w:rsidRDefault="00106793">
            <w:pPr>
              <w:pStyle w:val="Tableformat"/>
              <w:rPr>
                <w:lang w:val="en-AU"/>
              </w:rPr>
            </w:pPr>
            <w:r>
              <w:t>Class</w:t>
            </w:r>
            <w:r w:rsidR="009C538E">
              <w:t xml:space="preserve"> </w:t>
            </w:r>
            <w:r>
              <w:t>10</w:t>
            </w:r>
          </w:p>
        </w:tc>
        <w:tc>
          <w:tcPr>
            <w:tcW w:w="5724" w:type="dxa"/>
            <w:tcBorders>
              <w:top w:val="nil"/>
              <w:left w:val="nil"/>
              <w:bottom w:val="single" w:sz="4" w:space="0" w:color="auto"/>
              <w:right w:val="single" w:sz="4" w:space="0" w:color="auto"/>
            </w:tcBorders>
            <w:noWrap/>
            <w:hideMark/>
          </w:tcPr>
          <w:p w14:paraId="715FC638" w14:textId="77777777" w:rsidR="00106793" w:rsidRDefault="00106793">
            <w:pPr>
              <w:pStyle w:val="Tableformat"/>
              <w:rPr>
                <w:lang w:val="en-AU"/>
              </w:rPr>
            </w:pPr>
            <w:r>
              <w:t>Not mobile, higher function, with CF</w:t>
            </w:r>
          </w:p>
        </w:tc>
        <w:tc>
          <w:tcPr>
            <w:tcW w:w="1356" w:type="dxa"/>
            <w:tcBorders>
              <w:top w:val="nil"/>
              <w:left w:val="nil"/>
              <w:bottom w:val="single" w:sz="4" w:space="0" w:color="auto"/>
              <w:right w:val="single" w:sz="4" w:space="0" w:color="auto"/>
            </w:tcBorders>
            <w:noWrap/>
            <w:hideMark/>
          </w:tcPr>
          <w:p w14:paraId="02443374" w14:textId="77777777" w:rsidR="00106793" w:rsidRDefault="00106793">
            <w:pPr>
              <w:pStyle w:val="Tableformat"/>
              <w:jc w:val="right"/>
              <w:rPr>
                <w:lang w:val="en-AU"/>
              </w:rPr>
            </w:pPr>
            <w:r>
              <w:t>64.1%</w:t>
            </w:r>
          </w:p>
        </w:tc>
        <w:tc>
          <w:tcPr>
            <w:tcW w:w="1356" w:type="dxa"/>
            <w:tcBorders>
              <w:top w:val="nil"/>
              <w:left w:val="nil"/>
              <w:bottom w:val="single" w:sz="4" w:space="0" w:color="auto"/>
              <w:right w:val="single" w:sz="4" w:space="0" w:color="auto"/>
            </w:tcBorders>
            <w:noWrap/>
            <w:hideMark/>
          </w:tcPr>
          <w:p w14:paraId="0D76AC34" w14:textId="77777777" w:rsidR="00106793" w:rsidRDefault="00106793">
            <w:pPr>
              <w:pStyle w:val="Tableformat"/>
              <w:jc w:val="right"/>
              <w:rPr>
                <w:lang w:val="en-AU"/>
              </w:rPr>
            </w:pPr>
            <w:r>
              <w:t>35.9%</w:t>
            </w:r>
          </w:p>
        </w:tc>
      </w:tr>
      <w:tr w:rsidR="00106793" w14:paraId="18ECB283" w14:textId="77777777" w:rsidTr="00106793">
        <w:trPr>
          <w:trHeight w:val="288"/>
        </w:trPr>
        <w:tc>
          <w:tcPr>
            <w:tcW w:w="954" w:type="dxa"/>
            <w:tcBorders>
              <w:top w:val="nil"/>
              <w:left w:val="single" w:sz="4" w:space="0" w:color="auto"/>
              <w:bottom w:val="single" w:sz="4" w:space="0" w:color="auto"/>
              <w:right w:val="single" w:sz="4" w:space="0" w:color="auto"/>
            </w:tcBorders>
            <w:noWrap/>
            <w:hideMark/>
          </w:tcPr>
          <w:p w14:paraId="02AE4B32" w14:textId="24449041" w:rsidR="00106793" w:rsidRDefault="00106793">
            <w:pPr>
              <w:pStyle w:val="Tableformat"/>
              <w:rPr>
                <w:lang w:val="en-AU"/>
              </w:rPr>
            </w:pPr>
            <w:r>
              <w:t>Class</w:t>
            </w:r>
            <w:r w:rsidR="009C538E">
              <w:t xml:space="preserve"> </w:t>
            </w:r>
            <w:r>
              <w:t>3</w:t>
            </w:r>
          </w:p>
        </w:tc>
        <w:tc>
          <w:tcPr>
            <w:tcW w:w="5724" w:type="dxa"/>
            <w:tcBorders>
              <w:top w:val="nil"/>
              <w:left w:val="nil"/>
              <w:bottom w:val="single" w:sz="4" w:space="0" w:color="auto"/>
              <w:right w:val="single" w:sz="4" w:space="0" w:color="auto"/>
            </w:tcBorders>
            <w:noWrap/>
            <w:hideMark/>
          </w:tcPr>
          <w:p w14:paraId="73875D28" w14:textId="77777777" w:rsidR="00106793" w:rsidRDefault="00106793">
            <w:pPr>
              <w:pStyle w:val="Tableformat"/>
              <w:rPr>
                <w:lang w:val="en-AU"/>
              </w:rPr>
            </w:pPr>
            <w:r>
              <w:t>Independent with CF</w:t>
            </w:r>
          </w:p>
        </w:tc>
        <w:tc>
          <w:tcPr>
            <w:tcW w:w="1356" w:type="dxa"/>
            <w:tcBorders>
              <w:top w:val="nil"/>
              <w:left w:val="nil"/>
              <w:bottom w:val="single" w:sz="4" w:space="0" w:color="auto"/>
              <w:right w:val="single" w:sz="4" w:space="0" w:color="auto"/>
            </w:tcBorders>
            <w:noWrap/>
            <w:hideMark/>
          </w:tcPr>
          <w:p w14:paraId="2B0DB6E1" w14:textId="77777777" w:rsidR="00106793" w:rsidRDefault="00106793">
            <w:pPr>
              <w:pStyle w:val="Tableformat"/>
              <w:jc w:val="right"/>
              <w:rPr>
                <w:lang w:val="en-AU"/>
              </w:rPr>
            </w:pPr>
            <w:r>
              <w:t>73.8%</w:t>
            </w:r>
          </w:p>
        </w:tc>
        <w:tc>
          <w:tcPr>
            <w:tcW w:w="1356" w:type="dxa"/>
            <w:tcBorders>
              <w:top w:val="nil"/>
              <w:left w:val="nil"/>
              <w:bottom w:val="single" w:sz="4" w:space="0" w:color="auto"/>
              <w:right w:val="single" w:sz="4" w:space="0" w:color="auto"/>
            </w:tcBorders>
            <w:noWrap/>
            <w:hideMark/>
          </w:tcPr>
          <w:p w14:paraId="482D9CFF" w14:textId="77777777" w:rsidR="00106793" w:rsidRDefault="00106793">
            <w:pPr>
              <w:pStyle w:val="Tableformat"/>
              <w:jc w:val="right"/>
              <w:rPr>
                <w:lang w:val="en-AU"/>
              </w:rPr>
            </w:pPr>
            <w:r>
              <w:t>26.2%</w:t>
            </w:r>
          </w:p>
        </w:tc>
      </w:tr>
      <w:tr w:rsidR="00106793" w14:paraId="42BB4765" w14:textId="77777777" w:rsidTr="00106793">
        <w:trPr>
          <w:trHeight w:val="288"/>
        </w:trPr>
        <w:tc>
          <w:tcPr>
            <w:tcW w:w="954" w:type="dxa"/>
            <w:tcBorders>
              <w:top w:val="nil"/>
              <w:left w:val="single" w:sz="4" w:space="0" w:color="auto"/>
              <w:bottom w:val="single" w:sz="4" w:space="0" w:color="auto"/>
              <w:right w:val="single" w:sz="4" w:space="0" w:color="auto"/>
            </w:tcBorders>
            <w:noWrap/>
            <w:hideMark/>
          </w:tcPr>
          <w:p w14:paraId="4B891731" w14:textId="755ED65E" w:rsidR="00106793" w:rsidRDefault="00106793">
            <w:pPr>
              <w:pStyle w:val="Tableformat"/>
              <w:rPr>
                <w:lang w:val="en-AU"/>
              </w:rPr>
            </w:pPr>
            <w:r>
              <w:t>Class</w:t>
            </w:r>
            <w:r w:rsidR="009C538E">
              <w:t xml:space="preserve"> </w:t>
            </w:r>
            <w:r>
              <w:t>5</w:t>
            </w:r>
          </w:p>
        </w:tc>
        <w:tc>
          <w:tcPr>
            <w:tcW w:w="5724" w:type="dxa"/>
            <w:tcBorders>
              <w:top w:val="nil"/>
              <w:left w:val="nil"/>
              <w:bottom w:val="single" w:sz="4" w:space="0" w:color="auto"/>
              <w:right w:val="single" w:sz="4" w:space="0" w:color="auto"/>
            </w:tcBorders>
            <w:noWrap/>
            <w:hideMark/>
          </w:tcPr>
          <w:p w14:paraId="654B9734" w14:textId="77777777" w:rsidR="00106793" w:rsidRDefault="00106793">
            <w:pPr>
              <w:pStyle w:val="Tableformat"/>
              <w:rPr>
                <w:lang w:val="en-AU"/>
              </w:rPr>
            </w:pPr>
            <w:r>
              <w:t>Assisted mobility, high cognition, with CF</w:t>
            </w:r>
          </w:p>
        </w:tc>
        <w:tc>
          <w:tcPr>
            <w:tcW w:w="1356" w:type="dxa"/>
            <w:tcBorders>
              <w:top w:val="nil"/>
              <w:left w:val="nil"/>
              <w:bottom w:val="single" w:sz="4" w:space="0" w:color="auto"/>
              <w:right w:val="single" w:sz="4" w:space="0" w:color="auto"/>
            </w:tcBorders>
            <w:noWrap/>
            <w:hideMark/>
          </w:tcPr>
          <w:p w14:paraId="1FF48F04" w14:textId="77777777" w:rsidR="00106793" w:rsidRDefault="00106793">
            <w:pPr>
              <w:pStyle w:val="Tableformat"/>
              <w:jc w:val="right"/>
              <w:rPr>
                <w:lang w:val="en-AU"/>
              </w:rPr>
            </w:pPr>
            <w:r>
              <w:t>78.3%</w:t>
            </w:r>
          </w:p>
        </w:tc>
        <w:tc>
          <w:tcPr>
            <w:tcW w:w="1356" w:type="dxa"/>
            <w:tcBorders>
              <w:top w:val="nil"/>
              <w:left w:val="nil"/>
              <w:bottom w:val="single" w:sz="4" w:space="0" w:color="auto"/>
              <w:right w:val="single" w:sz="4" w:space="0" w:color="auto"/>
            </w:tcBorders>
            <w:noWrap/>
            <w:hideMark/>
          </w:tcPr>
          <w:p w14:paraId="041F603A" w14:textId="77777777" w:rsidR="00106793" w:rsidRDefault="00106793">
            <w:pPr>
              <w:pStyle w:val="Tableformat"/>
              <w:jc w:val="right"/>
              <w:rPr>
                <w:lang w:val="en-AU"/>
              </w:rPr>
            </w:pPr>
            <w:r>
              <w:t>21.7%</w:t>
            </w:r>
          </w:p>
        </w:tc>
      </w:tr>
      <w:tr w:rsidR="00106793" w14:paraId="0D672923" w14:textId="77777777" w:rsidTr="00106793">
        <w:trPr>
          <w:trHeight w:val="288"/>
        </w:trPr>
        <w:tc>
          <w:tcPr>
            <w:tcW w:w="954" w:type="dxa"/>
            <w:tcBorders>
              <w:top w:val="nil"/>
              <w:left w:val="single" w:sz="4" w:space="0" w:color="auto"/>
              <w:bottom w:val="single" w:sz="4" w:space="0" w:color="auto"/>
              <w:right w:val="single" w:sz="4" w:space="0" w:color="auto"/>
            </w:tcBorders>
            <w:noWrap/>
            <w:hideMark/>
          </w:tcPr>
          <w:p w14:paraId="25AEBB9E" w14:textId="5252BC4C" w:rsidR="00106793" w:rsidRDefault="00106793">
            <w:pPr>
              <w:pStyle w:val="Tableformat"/>
              <w:rPr>
                <w:lang w:val="en-AU"/>
              </w:rPr>
            </w:pPr>
            <w:r>
              <w:t>Class</w:t>
            </w:r>
            <w:r w:rsidR="009C538E">
              <w:t xml:space="preserve"> </w:t>
            </w:r>
            <w:r>
              <w:t>6</w:t>
            </w:r>
          </w:p>
        </w:tc>
        <w:tc>
          <w:tcPr>
            <w:tcW w:w="5724" w:type="dxa"/>
            <w:tcBorders>
              <w:top w:val="nil"/>
              <w:left w:val="nil"/>
              <w:bottom w:val="single" w:sz="4" w:space="0" w:color="auto"/>
              <w:right w:val="single" w:sz="4" w:space="0" w:color="auto"/>
            </w:tcBorders>
            <w:noWrap/>
            <w:hideMark/>
          </w:tcPr>
          <w:p w14:paraId="3B6072A4" w14:textId="77777777" w:rsidR="00106793" w:rsidRDefault="00106793">
            <w:pPr>
              <w:pStyle w:val="Tableformat"/>
              <w:rPr>
                <w:lang w:val="en-AU"/>
              </w:rPr>
            </w:pPr>
            <w:r>
              <w:t>Assisted mobility, medium cognition, without CF</w:t>
            </w:r>
          </w:p>
        </w:tc>
        <w:tc>
          <w:tcPr>
            <w:tcW w:w="1356" w:type="dxa"/>
            <w:tcBorders>
              <w:top w:val="nil"/>
              <w:left w:val="nil"/>
              <w:bottom w:val="single" w:sz="4" w:space="0" w:color="auto"/>
              <w:right w:val="single" w:sz="4" w:space="0" w:color="auto"/>
            </w:tcBorders>
            <w:noWrap/>
            <w:hideMark/>
          </w:tcPr>
          <w:p w14:paraId="7E1ADA09" w14:textId="77777777" w:rsidR="00106793" w:rsidRDefault="00106793">
            <w:pPr>
              <w:pStyle w:val="Tableformat"/>
              <w:jc w:val="right"/>
              <w:rPr>
                <w:lang w:val="en-AU"/>
              </w:rPr>
            </w:pPr>
            <w:r>
              <w:t>79.1%</w:t>
            </w:r>
          </w:p>
        </w:tc>
        <w:tc>
          <w:tcPr>
            <w:tcW w:w="1356" w:type="dxa"/>
            <w:tcBorders>
              <w:top w:val="nil"/>
              <w:left w:val="nil"/>
              <w:bottom w:val="single" w:sz="4" w:space="0" w:color="auto"/>
              <w:right w:val="single" w:sz="4" w:space="0" w:color="auto"/>
            </w:tcBorders>
            <w:noWrap/>
            <w:hideMark/>
          </w:tcPr>
          <w:p w14:paraId="672B9104" w14:textId="77777777" w:rsidR="00106793" w:rsidRDefault="00106793">
            <w:pPr>
              <w:pStyle w:val="Tableformat"/>
              <w:jc w:val="right"/>
              <w:rPr>
                <w:lang w:val="en-AU"/>
              </w:rPr>
            </w:pPr>
            <w:r>
              <w:t>20.9%</w:t>
            </w:r>
          </w:p>
        </w:tc>
      </w:tr>
      <w:tr w:rsidR="00106793" w14:paraId="5EA8C566" w14:textId="77777777" w:rsidTr="00106793">
        <w:trPr>
          <w:trHeight w:val="288"/>
        </w:trPr>
        <w:tc>
          <w:tcPr>
            <w:tcW w:w="954" w:type="dxa"/>
            <w:tcBorders>
              <w:top w:val="nil"/>
              <w:left w:val="single" w:sz="4" w:space="0" w:color="auto"/>
              <w:bottom w:val="single" w:sz="4" w:space="0" w:color="auto"/>
              <w:right w:val="single" w:sz="4" w:space="0" w:color="auto"/>
            </w:tcBorders>
            <w:noWrap/>
            <w:hideMark/>
          </w:tcPr>
          <w:p w14:paraId="49A1DFA8" w14:textId="4B0E9BE1" w:rsidR="00106793" w:rsidRDefault="00106793">
            <w:pPr>
              <w:pStyle w:val="Tableformat"/>
              <w:rPr>
                <w:lang w:val="en-AU"/>
              </w:rPr>
            </w:pPr>
            <w:r>
              <w:t>Class</w:t>
            </w:r>
            <w:r w:rsidR="009C538E">
              <w:t xml:space="preserve"> </w:t>
            </w:r>
            <w:r>
              <w:t>11</w:t>
            </w:r>
          </w:p>
        </w:tc>
        <w:tc>
          <w:tcPr>
            <w:tcW w:w="5724" w:type="dxa"/>
            <w:tcBorders>
              <w:top w:val="nil"/>
              <w:left w:val="nil"/>
              <w:bottom w:val="single" w:sz="4" w:space="0" w:color="auto"/>
              <w:right w:val="single" w:sz="4" w:space="0" w:color="auto"/>
            </w:tcBorders>
            <w:noWrap/>
            <w:hideMark/>
          </w:tcPr>
          <w:p w14:paraId="620E15DB" w14:textId="77777777" w:rsidR="00106793" w:rsidRDefault="00106793">
            <w:pPr>
              <w:pStyle w:val="Tableformat"/>
              <w:rPr>
                <w:lang w:val="en-AU"/>
              </w:rPr>
            </w:pPr>
            <w:r>
              <w:t>Not mobile, lower function, lower pressure sore risk</w:t>
            </w:r>
          </w:p>
        </w:tc>
        <w:tc>
          <w:tcPr>
            <w:tcW w:w="1356" w:type="dxa"/>
            <w:tcBorders>
              <w:top w:val="nil"/>
              <w:left w:val="nil"/>
              <w:bottom w:val="single" w:sz="4" w:space="0" w:color="auto"/>
              <w:right w:val="single" w:sz="4" w:space="0" w:color="auto"/>
            </w:tcBorders>
            <w:noWrap/>
            <w:hideMark/>
          </w:tcPr>
          <w:p w14:paraId="51696CFE" w14:textId="77777777" w:rsidR="00106793" w:rsidRDefault="00106793">
            <w:pPr>
              <w:pStyle w:val="Tableformat"/>
              <w:jc w:val="right"/>
              <w:rPr>
                <w:lang w:val="en-AU"/>
              </w:rPr>
            </w:pPr>
            <w:r>
              <w:t>81.8%</w:t>
            </w:r>
          </w:p>
        </w:tc>
        <w:tc>
          <w:tcPr>
            <w:tcW w:w="1356" w:type="dxa"/>
            <w:tcBorders>
              <w:top w:val="nil"/>
              <w:left w:val="nil"/>
              <w:bottom w:val="single" w:sz="4" w:space="0" w:color="auto"/>
              <w:right w:val="single" w:sz="4" w:space="0" w:color="auto"/>
            </w:tcBorders>
            <w:noWrap/>
            <w:hideMark/>
          </w:tcPr>
          <w:p w14:paraId="54871E78" w14:textId="77777777" w:rsidR="00106793" w:rsidRDefault="00106793">
            <w:pPr>
              <w:pStyle w:val="Tableformat"/>
              <w:jc w:val="right"/>
              <w:rPr>
                <w:lang w:val="en-AU"/>
              </w:rPr>
            </w:pPr>
            <w:r>
              <w:t>18.2%</w:t>
            </w:r>
          </w:p>
        </w:tc>
      </w:tr>
      <w:tr w:rsidR="00106793" w14:paraId="1AC9C153" w14:textId="77777777" w:rsidTr="00106793">
        <w:trPr>
          <w:trHeight w:val="288"/>
        </w:trPr>
        <w:tc>
          <w:tcPr>
            <w:tcW w:w="954" w:type="dxa"/>
            <w:tcBorders>
              <w:top w:val="nil"/>
              <w:left w:val="single" w:sz="4" w:space="0" w:color="auto"/>
              <w:bottom w:val="single" w:sz="4" w:space="0" w:color="auto"/>
              <w:right w:val="single" w:sz="4" w:space="0" w:color="auto"/>
            </w:tcBorders>
            <w:noWrap/>
            <w:hideMark/>
          </w:tcPr>
          <w:p w14:paraId="0BA9B1CD" w14:textId="0A7EF2A3" w:rsidR="00106793" w:rsidRDefault="00106793">
            <w:pPr>
              <w:pStyle w:val="Tableformat"/>
              <w:rPr>
                <w:lang w:val="en-AU"/>
              </w:rPr>
            </w:pPr>
            <w:r>
              <w:t>Class</w:t>
            </w:r>
            <w:r w:rsidR="009C538E">
              <w:t xml:space="preserve"> </w:t>
            </w:r>
            <w:r>
              <w:t>12</w:t>
            </w:r>
          </w:p>
        </w:tc>
        <w:tc>
          <w:tcPr>
            <w:tcW w:w="5724" w:type="dxa"/>
            <w:tcBorders>
              <w:top w:val="nil"/>
              <w:left w:val="nil"/>
              <w:bottom w:val="single" w:sz="4" w:space="0" w:color="auto"/>
              <w:right w:val="single" w:sz="4" w:space="0" w:color="auto"/>
            </w:tcBorders>
            <w:noWrap/>
            <w:hideMark/>
          </w:tcPr>
          <w:p w14:paraId="0816AD7D" w14:textId="77777777" w:rsidR="00106793" w:rsidRDefault="00106793">
            <w:pPr>
              <w:pStyle w:val="Tableformat"/>
              <w:rPr>
                <w:lang w:val="en-AU"/>
              </w:rPr>
            </w:pPr>
            <w:r>
              <w:t>Not mobile, lower function, higher pressure sore risk, with CF</w:t>
            </w:r>
          </w:p>
        </w:tc>
        <w:tc>
          <w:tcPr>
            <w:tcW w:w="1356" w:type="dxa"/>
            <w:tcBorders>
              <w:top w:val="nil"/>
              <w:left w:val="nil"/>
              <w:bottom w:val="single" w:sz="4" w:space="0" w:color="auto"/>
              <w:right w:val="single" w:sz="4" w:space="0" w:color="auto"/>
            </w:tcBorders>
            <w:noWrap/>
            <w:hideMark/>
          </w:tcPr>
          <w:p w14:paraId="690A47BC" w14:textId="77777777" w:rsidR="00106793" w:rsidRDefault="00106793">
            <w:pPr>
              <w:pStyle w:val="Tableformat"/>
              <w:jc w:val="right"/>
              <w:rPr>
                <w:lang w:val="en-AU"/>
              </w:rPr>
            </w:pPr>
            <w:r>
              <w:t>82.1%</w:t>
            </w:r>
          </w:p>
        </w:tc>
        <w:tc>
          <w:tcPr>
            <w:tcW w:w="1356" w:type="dxa"/>
            <w:tcBorders>
              <w:top w:val="nil"/>
              <w:left w:val="nil"/>
              <w:bottom w:val="single" w:sz="4" w:space="0" w:color="auto"/>
              <w:right w:val="single" w:sz="4" w:space="0" w:color="auto"/>
            </w:tcBorders>
            <w:noWrap/>
            <w:hideMark/>
          </w:tcPr>
          <w:p w14:paraId="4A6EE165" w14:textId="77777777" w:rsidR="00106793" w:rsidRDefault="00106793">
            <w:pPr>
              <w:pStyle w:val="Tableformat"/>
              <w:jc w:val="right"/>
              <w:rPr>
                <w:lang w:val="en-AU"/>
              </w:rPr>
            </w:pPr>
            <w:r>
              <w:t>17.9%</w:t>
            </w:r>
          </w:p>
        </w:tc>
      </w:tr>
      <w:tr w:rsidR="00106793" w14:paraId="5A57C62E" w14:textId="77777777" w:rsidTr="00106793">
        <w:trPr>
          <w:trHeight w:val="288"/>
        </w:trPr>
        <w:tc>
          <w:tcPr>
            <w:tcW w:w="954" w:type="dxa"/>
            <w:tcBorders>
              <w:top w:val="nil"/>
              <w:left w:val="single" w:sz="4" w:space="0" w:color="auto"/>
              <w:bottom w:val="single" w:sz="4" w:space="0" w:color="auto"/>
              <w:right w:val="single" w:sz="4" w:space="0" w:color="auto"/>
            </w:tcBorders>
            <w:noWrap/>
            <w:hideMark/>
          </w:tcPr>
          <w:p w14:paraId="490A5AA1" w14:textId="432F2045" w:rsidR="00106793" w:rsidRDefault="00106793">
            <w:pPr>
              <w:pStyle w:val="Tableformat"/>
              <w:rPr>
                <w:lang w:val="en-AU"/>
              </w:rPr>
            </w:pPr>
            <w:r>
              <w:t>Class</w:t>
            </w:r>
            <w:r w:rsidR="009C538E">
              <w:t xml:space="preserve"> </w:t>
            </w:r>
            <w:r>
              <w:t>7</w:t>
            </w:r>
          </w:p>
        </w:tc>
        <w:tc>
          <w:tcPr>
            <w:tcW w:w="5724" w:type="dxa"/>
            <w:tcBorders>
              <w:top w:val="nil"/>
              <w:left w:val="nil"/>
              <w:bottom w:val="single" w:sz="4" w:space="0" w:color="auto"/>
              <w:right w:val="single" w:sz="4" w:space="0" w:color="auto"/>
            </w:tcBorders>
            <w:noWrap/>
            <w:hideMark/>
          </w:tcPr>
          <w:p w14:paraId="2D43A549" w14:textId="77777777" w:rsidR="00106793" w:rsidRDefault="00106793">
            <w:pPr>
              <w:pStyle w:val="Tableformat"/>
              <w:rPr>
                <w:lang w:val="en-AU"/>
              </w:rPr>
            </w:pPr>
            <w:r>
              <w:t>Assisted mobility, medium cognition, with CF</w:t>
            </w:r>
          </w:p>
        </w:tc>
        <w:tc>
          <w:tcPr>
            <w:tcW w:w="1356" w:type="dxa"/>
            <w:tcBorders>
              <w:top w:val="nil"/>
              <w:left w:val="nil"/>
              <w:bottom w:val="single" w:sz="4" w:space="0" w:color="auto"/>
              <w:right w:val="single" w:sz="4" w:space="0" w:color="auto"/>
            </w:tcBorders>
            <w:noWrap/>
            <w:hideMark/>
          </w:tcPr>
          <w:p w14:paraId="1728B059" w14:textId="77777777" w:rsidR="00106793" w:rsidRDefault="00106793">
            <w:pPr>
              <w:pStyle w:val="Tableformat"/>
              <w:jc w:val="right"/>
              <w:rPr>
                <w:lang w:val="en-AU"/>
              </w:rPr>
            </w:pPr>
            <w:r>
              <w:t>87.1%</w:t>
            </w:r>
          </w:p>
        </w:tc>
        <w:tc>
          <w:tcPr>
            <w:tcW w:w="1356" w:type="dxa"/>
            <w:tcBorders>
              <w:top w:val="nil"/>
              <w:left w:val="nil"/>
              <w:bottom w:val="single" w:sz="4" w:space="0" w:color="auto"/>
              <w:right w:val="single" w:sz="4" w:space="0" w:color="auto"/>
            </w:tcBorders>
            <w:noWrap/>
            <w:hideMark/>
          </w:tcPr>
          <w:p w14:paraId="0F01FD1C" w14:textId="77777777" w:rsidR="00106793" w:rsidRDefault="00106793">
            <w:pPr>
              <w:pStyle w:val="Tableformat"/>
              <w:jc w:val="right"/>
              <w:rPr>
                <w:lang w:val="en-AU"/>
              </w:rPr>
            </w:pPr>
            <w:r>
              <w:t>12.9%</w:t>
            </w:r>
          </w:p>
        </w:tc>
      </w:tr>
      <w:tr w:rsidR="00106793" w14:paraId="2218A442" w14:textId="77777777" w:rsidTr="00106793">
        <w:trPr>
          <w:trHeight w:val="288"/>
        </w:trPr>
        <w:tc>
          <w:tcPr>
            <w:tcW w:w="954" w:type="dxa"/>
            <w:tcBorders>
              <w:top w:val="nil"/>
              <w:left w:val="single" w:sz="4" w:space="0" w:color="auto"/>
              <w:bottom w:val="single" w:sz="4" w:space="0" w:color="auto"/>
              <w:right w:val="single" w:sz="4" w:space="0" w:color="auto"/>
            </w:tcBorders>
            <w:noWrap/>
            <w:hideMark/>
          </w:tcPr>
          <w:p w14:paraId="745AB696" w14:textId="01F5D4BB" w:rsidR="00106793" w:rsidRDefault="00106793">
            <w:pPr>
              <w:pStyle w:val="Tableformat"/>
              <w:rPr>
                <w:lang w:val="en-AU"/>
              </w:rPr>
            </w:pPr>
            <w:r>
              <w:t>Class</w:t>
            </w:r>
            <w:r w:rsidR="009C538E">
              <w:t xml:space="preserve"> </w:t>
            </w:r>
            <w:r>
              <w:t>8</w:t>
            </w:r>
          </w:p>
        </w:tc>
        <w:tc>
          <w:tcPr>
            <w:tcW w:w="5724" w:type="dxa"/>
            <w:tcBorders>
              <w:top w:val="nil"/>
              <w:left w:val="nil"/>
              <w:bottom w:val="single" w:sz="4" w:space="0" w:color="auto"/>
              <w:right w:val="single" w:sz="4" w:space="0" w:color="auto"/>
            </w:tcBorders>
            <w:noWrap/>
            <w:hideMark/>
          </w:tcPr>
          <w:p w14:paraId="571B9D90" w14:textId="77777777" w:rsidR="00106793" w:rsidRDefault="00106793">
            <w:pPr>
              <w:pStyle w:val="Tableformat"/>
              <w:rPr>
                <w:lang w:val="en-AU"/>
              </w:rPr>
            </w:pPr>
            <w:r>
              <w:t>Assisted mobility, low cognition</w:t>
            </w:r>
          </w:p>
        </w:tc>
        <w:tc>
          <w:tcPr>
            <w:tcW w:w="1356" w:type="dxa"/>
            <w:tcBorders>
              <w:top w:val="nil"/>
              <w:left w:val="nil"/>
              <w:bottom w:val="single" w:sz="4" w:space="0" w:color="auto"/>
              <w:right w:val="single" w:sz="4" w:space="0" w:color="auto"/>
            </w:tcBorders>
            <w:noWrap/>
            <w:hideMark/>
          </w:tcPr>
          <w:p w14:paraId="59788DEE" w14:textId="77777777" w:rsidR="00106793" w:rsidRDefault="00106793">
            <w:pPr>
              <w:pStyle w:val="Tableformat"/>
              <w:jc w:val="right"/>
              <w:rPr>
                <w:lang w:val="en-AU"/>
              </w:rPr>
            </w:pPr>
            <w:r>
              <w:t>89.6%</w:t>
            </w:r>
          </w:p>
        </w:tc>
        <w:tc>
          <w:tcPr>
            <w:tcW w:w="1356" w:type="dxa"/>
            <w:tcBorders>
              <w:top w:val="nil"/>
              <w:left w:val="nil"/>
              <w:bottom w:val="single" w:sz="4" w:space="0" w:color="auto"/>
              <w:right w:val="single" w:sz="4" w:space="0" w:color="auto"/>
            </w:tcBorders>
            <w:noWrap/>
            <w:hideMark/>
          </w:tcPr>
          <w:p w14:paraId="00E9BD87" w14:textId="77777777" w:rsidR="00106793" w:rsidRDefault="00106793">
            <w:pPr>
              <w:pStyle w:val="Tableformat"/>
              <w:jc w:val="right"/>
              <w:rPr>
                <w:lang w:val="en-AU"/>
              </w:rPr>
            </w:pPr>
            <w:r>
              <w:t>10.4%</w:t>
            </w:r>
          </w:p>
        </w:tc>
      </w:tr>
      <w:tr w:rsidR="00106793" w14:paraId="0CF66C5B" w14:textId="77777777" w:rsidTr="00106793">
        <w:trPr>
          <w:trHeight w:val="288"/>
        </w:trPr>
        <w:tc>
          <w:tcPr>
            <w:tcW w:w="954" w:type="dxa"/>
            <w:tcBorders>
              <w:top w:val="nil"/>
              <w:left w:val="single" w:sz="4" w:space="0" w:color="auto"/>
              <w:bottom w:val="single" w:sz="4" w:space="0" w:color="auto"/>
              <w:right w:val="single" w:sz="4" w:space="0" w:color="auto"/>
            </w:tcBorders>
            <w:noWrap/>
            <w:hideMark/>
          </w:tcPr>
          <w:p w14:paraId="26624502" w14:textId="4EEEBF5B" w:rsidR="00106793" w:rsidRDefault="00106793">
            <w:pPr>
              <w:pStyle w:val="Tableformat"/>
              <w:rPr>
                <w:lang w:val="en-AU"/>
              </w:rPr>
            </w:pPr>
            <w:r>
              <w:t>Class</w:t>
            </w:r>
            <w:r w:rsidR="009C538E">
              <w:t xml:space="preserve"> </w:t>
            </w:r>
            <w:r>
              <w:t>13</w:t>
            </w:r>
          </w:p>
        </w:tc>
        <w:tc>
          <w:tcPr>
            <w:tcW w:w="5724" w:type="dxa"/>
            <w:tcBorders>
              <w:top w:val="nil"/>
              <w:left w:val="nil"/>
              <w:bottom w:val="single" w:sz="4" w:space="0" w:color="auto"/>
              <w:right w:val="single" w:sz="4" w:space="0" w:color="auto"/>
            </w:tcBorders>
            <w:noWrap/>
            <w:hideMark/>
          </w:tcPr>
          <w:p w14:paraId="22FE1237" w14:textId="77777777" w:rsidR="00106793" w:rsidRDefault="00106793">
            <w:pPr>
              <w:pStyle w:val="Tableformat"/>
              <w:rPr>
                <w:lang w:val="en-AU"/>
              </w:rPr>
            </w:pPr>
            <w:r>
              <w:t>Not mobile, lower function, higher pressure sore risk, without CF</w:t>
            </w:r>
          </w:p>
        </w:tc>
        <w:tc>
          <w:tcPr>
            <w:tcW w:w="1356" w:type="dxa"/>
            <w:tcBorders>
              <w:top w:val="nil"/>
              <w:left w:val="nil"/>
              <w:bottom w:val="single" w:sz="4" w:space="0" w:color="auto"/>
              <w:right w:val="single" w:sz="4" w:space="0" w:color="auto"/>
            </w:tcBorders>
            <w:noWrap/>
            <w:hideMark/>
          </w:tcPr>
          <w:p w14:paraId="080D97D2" w14:textId="77777777" w:rsidR="00106793" w:rsidRDefault="00106793">
            <w:pPr>
              <w:pStyle w:val="Tableformat"/>
              <w:jc w:val="right"/>
              <w:rPr>
                <w:lang w:val="en-AU"/>
              </w:rPr>
            </w:pPr>
            <w:r>
              <w:t>100.0%</w:t>
            </w:r>
          </w:p>
        </w:tc>
        <w:tc>
          <w:tcPr>
            <w:tcW w:w="1356" w:type="dxa"/>
            <w:tcBorders>
              <w:top w:val="nil"/>
              <w:left w:val="nil"/>
              <w:bottom w:val="single" w:sz="4" w:space="0" w:color="auto"/>
              <w:right w:val="single" w:sz="4" w:space="0" w:color="auto"/>
            </w:tcBorders>
            <w:noWrap/>
            <w:hideMark/>
          </w:tcPr>
          <w:p w14:paraId="0C86083B" w14:textId="77777777" w:rsidR="00106793" w:rsidRDefault="00106793">
            <w:pPr>
              <w:pStyle w:val="Tableformat"/>
              <w:jc w:val="right"/>
              <w:rPr>
                <w:lang w:val="en-AU"/>
              </w:rPr>
            </w:pPr>
            <w:r>
              <w:t>0.0%</w:t>
            </w:r>
          </w:p>
        </w:tc>
      </w:tr>
    </w:tbl>
    <w:p w14:paraId="34DDFDC0" w14:textId="39AFC670" w:rsidR="00E86F40" w:rsidRDefault="00E86F40" w:rsidP="00635F18">
      <w:pPr>
        <w:pStyle w:val="Heading2"/>
      </w:pPr>
      <w:bookmarkStart w:id="114" w:name="_Toc2005260"/>
      <w:r>
        <w:t>Implications for reassessment protocols</w:t>
      </w:r>
      <w:bookmarkEnd w:id="114"/>
    </w:p>
    <w:p w14:paraId="0B42BCD5" w14:textId="3ED37977" w:rsidR="00D2314E" w:rsidRDefault="00D2314E" w:rsidP="0095799D">
      <w:pPr>
        <w:pStyle w:val="Normal-nospacing"/>
      </w:pPr>
      <w:r>
        <w:t>The results of the reassessment study suggest that many residents undergo significant change in only a matter of months. In total, 12% of residents died during the period and a further 12% underwent a significant event. Just under a quarter (23%) of residents were assigned to a higher paying class at the second assessment than they were aft</w:t>
      </w:r>
      <w:r w:rsidR="009C360B">
        <w:t>er their initial assessment.</w:t>
      </w:r>
    </w:p>
    <w:p w14:paraId="136313F2" w14:textId="63C3CA6D" w:rsidR="00E86F40" w:rsidRPr="000B42C6" w:rsidRDefault="00D2314E" w:rsidP="0095799D">
      <w:pPr>
        <w:pStyle w:val="Normal-nospacing"/>
      </w:pPr>
      <w:r>
        <w:t>These results have important implications for the reassessment protocols</w:t>
      </w:r>
      <w:r w:rsidR="001E5EBB">
        <w:t>.</w:t>
      </w:r>
      <w:r>
        <w:t xml:space="preserve"> </w:t>
      </w:r>
      <w:r w:rsidR="00E86F40" w:rsidRPr="000B42C6">
        <w:t>The core of the AN-ACC funding model is that a resident is assessed at entry to residential aged care with capacity for the resident to be reassessed (and potentially assigned to a higher paying class) if their needs change significantly. At the same time, the model should not create incentives for frequent unnecessary reassessments. This is easier to achieve with the new funding model as the individualised payment represents, on averag</w:t>
      </w:r>
      <w:r w:rsidR="009C360B">
        <w:t>e, only half the daily payment.</w:t>
      </w:r>
    </w:p>
    <w:p w14:paraId="01D093EC" w14:textId="54DD75F4" w:rsidR="002A7B0A" w:rsidRDefault="00E86F40" w:rsidP="0095799D">
      <w:pPr>
        <w:pStyle w:val="Normal-nospacing"/>
      </w:pPr>
      <w:r w:rsidRPr="000B42C6">
        <w:t xml:space="preserve">The threshold </w:t>
      </w:r>
      <w:r w:rsidR="00E309AF">
        <w:t xml:space="preserve">point for reassessment would be when </w:t>
      </w:r>
      <w:r w:rsidRPr="000B42C6">
        <w:t xml:space="preserve">the home anticipates that the person’s individualised payment would increase by more than 20% </w:t>
      </w:r>
      <w:r w:rsidR="00C9571E">
        <w:t xml:space="preserve">above the national average </w:t>
      </w:r>
      <w:r w:rsidRPr="000B42C6">
        <w:t>per day i.e., a total payment increase of 10% on average.</w:t>
      </w:r>
      <w:r w:rsidR="00E309AF">
        <w:t xml:space="preserve"> </w:t>
      </w:r>
      <w:r w:rsidRPr="000B42C6">
        <w:t>The D</w:t>
      </w:r>
      <w:r w:rsidR="00C633F1">
        <w:t>epartment</w:t>
      </w:r>
      <w:r w:rsidR="003712C2">
        <w:t xml:space="preserve"> </w:t>
      </w:r>
      <w:r w:rsidRPr="000B42C6">
        <w:t>may introduce reassessment charges for any home that routinely triggers unnecessary reassessments.</w:t>
      </w:r>
    </w:p>
    <w:p w14:paraId="0ADAF640" w14:textId="6CFD1821" w:rsidR="004644B7" w:rsidRDefault="004644B7" w:rsidP="004644B7">
      <w:r>
        <w:t>Significant event data was analysed to determine whether any event could be considered a trigger for reassessment. Of the six significant events that we</w:t>
      </w:r>
      <w:r w:rsidR="005439CA">
        <w:t>re collected, ‘significant fall</w:t>
      </w:r>
      <w:r>
        <w:t>’ and ‘acute illnesses of &gt; 6 days’ occurred with sufficient frequently to warrant statistical analysis. ‘Hospital admissions of &gt;1 day with anaesthetic’ and ‘hospital admissions of &gt;4 days without anaesthetic’ each had small sample populations, and wer</w:t>
      </w:r>
      <w:r w:rsidR="005439CA">
        <w:t>e grouped into ‘significant hospitalisation</w:t>
      </w:r>
      <w:r>
        <w:t>’</w:t>
      </w:r>
      <w:r w:rsidR="007424D0">
        <w:t xml:space="preserve"> to allow for further analysis.</w:t>
      </w:r>
      <w:r>
        <w:t xml:space="preserve"> The remaining significant events were not analysed due to insufficient data.</w:t>
      </w:r>
    </w:p>
    <w:p w14:paraId="78569E48" w14:textId="203D06D3" w:rsidR="004644B7" w:rsidRDefault="004644B7" w:rsidP="001A6BE9">
      <w:pPr>
        <w:spacing w:before="120"/>
      </w:pPr>
      <w:r>
        <w:t xml:space="preserve">A z-test was performed to determine whether residents were more likely to be assigned to a higher paying class on the second assessment after having had a significant event. </w:t>
      </w:r>
      <w:r w:rsidR="004D027F">
        <w:t xml:space="preserve">The results in </w:t>
      </w:r>
      <w:r w:rsidR="004D027F">
        <w:lastRenderedPageBreak/>
        <w:fldChar w:fldCharType="begin"/>
      </w:r>
      <w:r w:rsidR="004D027F">
        <w:instrText xml:space="preserve"> REF _Ref336620 \h </w:instrText>
      </w:r>
      <w:r w:rsidR="004D027F">
        <w:fldChar w:fldCharType="separate"/>
      </w:r>
      <w:r w:rsidR="008928D6">
        <w:t xml:space="preserve">Table </w:t>
      </w:r>
      <w:r w:rsidR="008928D6">
        <w:rPr>
          <w:noProof/>
        </w:rPr>
        <w:t>5</w:t>
      </w:r>
      <w:r w:rsidR="004D027F">
        <w:fldChar w:fldCharType="end"/>
      </w:r>
      <w:r w:rsidR="004D027F">
        <w:t xml:space="preserve"> show that residents who had a ‘significant hospitalisation’ were more likely to move into a higher paying class than those who did not (p=0.00, α=0.05).</w:t>
      </w:r>
    </w:p>
    <w:p w14:paraId="6AE24EC5" w14:textId="7F45E5C1" w:rsidR="004644B7" w:rsidRDefault="004644B7" w:rsidP="004644B7">
      <w:pPr>
        <w:pStyle w:val="Caption"/>
      </w:pPr>
      <w:bookmarkStart w:id="115" w:name="_Ref336620"/>
      <w:bookmarkStart w:id="116" w:name="_Ref336610"/>
      <w:bookmarkStart w:id="117" w:name="_Toc2005282"/>
      <w:r>
        <w:t xml:space="preserve">Table </w:t>
      </w:r>
      <w:r w:rsidR="00D452AA">
        <w:rPr>
          <w:noProof/>
        </w:rPr>
        <w:fldChar w:fldCharType="begin"/>
      </w:r>
      <w:r w:rsidR="00D452AA">
        <w:rPr>
          <w:noProof/>
        </w:rPr>
        <w:instrText xml:space="preserve"> SEQ Table \* ARABIC </w:instrText>
      </w:r>
      <w:r w:rsidR="00D452AA">
        <w:rPr>
          <w:noProof/>
        </w:rPr>
        <w:fldChar w:fldCharType="separate"/>
      </w:r>
      <w:r w:rsidR="008928D6">
        <w:rPr>
          <w:noProof/>
        </w:rPr>
        <w:t>5</w:t>
      </w:r>
      <w:r w:rsidR="00D452AA">
        <w:rPr>
          <w:noProof/>
        </w:rPr>
        <w:fldChar w:fldCharType="end"/>
      </w:r>
      <w:bookmarkEnd w:id="115"/>
      <w:r>
        <w:t xml:space="preserve"> </w:t>
      </w:r>
      <w:r>
        <w:tab/>
        <w:t>Analysis of significant events</w:t>
      </w:r>
      <w:bookmarkEnd w:id="116"/>
      <w:r>
        <w:t xml:space="preserve"> as triggers for reassessment</w:t>
      </w:r>
      <w:bookmarkEnd w:id="117"/>
    </w:p>
    <w:tbl>
      <w:tblPr>
        <w:tblStyle w:val="TableGrid"/>
        <w:tblW w:w="5000" w:type="pct"/>
        <w:tblLook w:val="04A0" w:firstRow="1" w:lastRow="0" w:firstColumn="1" w:lastColumn="0" w:noHBand="0" w:noVBand="1"/>
        <w:tblDescription w:val="Table 5 lists figures (percentage and numbers) of three significant events that were analysed (significant falls, acute illness lasting 7 days or more and significant hospitalisation). This table is to be read left to right, top to bottom (significant event, percentage of residents with a significant event with higher paying class, percentage of residents without a significant event with higher paying class, number of residents with a significant event, number of residents without a significant event and the ‘p’ value)."/>
      </w:tblPr>
      <w:tblGrid>
        <w:gridCol w:w="2520"/>
        <w:gridCol w:w="1410"/>
        <w:gridCol w:w="1411"/>
        <w:gridCol w:w="1411"/>
        <w:gridCol w:w="1411"/>
        <w:gridCol w:w="1407"/>
      </w:tblGrid>
      <w:tr w:rsidR="005439CA" w:rsidRPr="005439CA" w14:paraId="5BF16C03" w14:textId="77777777" w:rsidTr="001A6BE9">
        <w:trPr>
          <w:tblHeader/>
        </w:trPr>
        <w:tc>
          <w:tcPr>
            <w:tcW w:w="1317" w:type="pct"/>
          </w:tcPr>
          <w:p w14:paraId="4F84189B" w14:textId="23EE52E3" w:rsidR="005439CA" w:rsidRPr="005439CA" w:rsidRDefault="005439CA" w:rsidP="004644B7">
            <w:pPr>
              <w:rPr>
                <w:b/>
                <w:sz w:val="20"/>
                <w:szCs w:val="20"/>
              </w:rPr>
            </w:pPr>
            <w:r w:rsidRPr="005439CA">
              <w:rPr>
                <w:b/>
                <w:sz w:val="20"/>
                <w:szCs w:val="20"/>
              </w:rPr>
              <w:t>Significant event</w:t>
            </w:r>
          </w:p>
        </w:tc>
        <w:tc>
          <w:tcPr>
            <w:tcW w:w="737" w:type="pct"/>
          </w:tcPr>
          <w:p w14:paraId="19B0DF1B" w14:textId="4DC00D99" w:rsidR="005439CA" w:rsidRPr="005439CA" w:rsidRDefault="005439CA" w:rsidP="005439CA">
            <w:pPr>
              <w:rPr>
                <w:b/>
                <w:sz w:val="20"/>
                <w:szCs w:val="20"/>
              </w:rPr>
            </w:pPr>
            <w:r w:rsidRPr="005439CA">
              <w:rPr>
                <w:b/>
                <w:sz w:val="20"/>
                <w:szCs w:val="20"/>
              </w:rPr>
              <w:t>% with a significant event with higher paying class</w:t>
            </w:r>
          </w:p>
        </w:tc>
        <w:tc>
          <w:tcPr>
            <w:tcW w:w="737" w:type="pct"/>
          </w:tcPr>
          <w:p w14:paraId="316BDEC2" w14:textId="4B62227D" w:rsidR="005439CA" w:rsidRPr="005439CA" w:rsidRDefault="005439CA" w:rsidP="005439CA">
            <w:pPr>
              <w:rPr>
                <w:b/>
                <w:sz w:val="20"/>
                <w:szCs w:val="20"/>
              </w:rPr>
            </w:pPr>
            <w:r w:rsidRPr="005439CA">
              <w:rPr>
                <w:b/>
                <w:sz w:val="20"/>
                <w:szCs w:val="20"/>
              </w:rPr>
              <w:t>% without a significant event with higher paying class</w:t>
            </w:r>
          </w:p>
        </w:tc>
        <w:tc>
          <w:tcPr>
            <w:tcW w:w="737" w:type="pct"/>
          </w:tcPr>
          <w:p w14:paraId="124D8B0D" w14:textId="24FFB101" w:rsidR="005439CA" w:rsidRPr="005439CA" w:rsidRDefault="005439CA" w:rsidP="004644B7">
            <w:pPr>
              <w:rPr>
                <w:b/>
                <w:sz w:val="20"/>
                <w:szCs w:val="20"/>
              </w:rPr>
            </w:pPr>
            <w:r w:rsidRPr="005439CA">
              <w:rPr>
                <w:b/>
                <w:sz w:val="20"/>
                <w:szCs w:val="20"/>
              </w:rPr>
              <w:t># with a significant event</w:t>
            </w:r>
          </w:p>
        </w:tc>
        <w:tc>
          <w:tcPr>
            <w:tcW w:w="737" w:type="pct"/>
          </w:tcPr>
          <w:p w14:paraId="43DC2BA4" w14:textId="3B59D6CD" w:rsidR="005439CA" w:rsidRPr="005439CA" w:rsidRDefault="005439CA" w:rsidP="004644B7">
            <w:pPr>
              <w:rPr>
                <w:b/>
                <w:sz w:val="20"/>
                <w:szCs w:val="20"/>
              </w:rPr>
            </w:pPr>
            <w:r w:rsidRPr="005439CA">
              <w:rPr>
                <w:b/>
                <w:sz w:val="20"/>
                <w:szCs w:val="20"/>
              </w:rPr>
              <w:t># without a significant event</w:t>
            </w:r>
          </w:p>
        </w:tc>
        <w:tc>
          <w:tcPr>
            <w:tcW w:w="737" w:type="pct"/>
          </w:tcPr>
          <w:p w14:paraId="70831C13" w14:textId="7CF48281" w:rsidR="005439CA" w:rsidRPr="005439CA" w:rsidRDefault="005439CA" w:rsidP="004644B7">
            <w:pPr>
              <w:rPr>
                <w:b/>
                <w:sz w:val="20"/>
                <w:szCs w:val="20"/>
              </w:rPr>
            </w:pPr>
            <w:r w:rsidRPr="005439CA">
              <w:rPr>
                <w:b/>
                <w:sz w:val="20"/>
                <w:szCs w:val="20"/>
              </w:rPr>
              <w:t>p-value</w:t>
            </w:r>
          </w:p>
        </w:tc>
      </w:tr>
      <w:tr w:rsidR="005439CA" w:rsidRPr="005439CA" w14:paraId="5E6C6F85" w14:textId="77777777" w:rsidTr="005439CA">
        <w:tc>
          <w:tcPr>
            <w:tcW w:w="1317" w:type="pct"/>
          </w:tcPr>
          <w:p w14:paraId="0139568C" w14:textId="00FF2234" w:rsidR="005439CA" w:rsidRPr="005439CA" w:rsidRDefault="005439CA" w:rsidP="004644B7">
            <w:pPr>
              <w:rPr>
                <w:sz w:val="20"/>
                <w:szCs w:val="20"/>
              </w:rPr>
            </w:pPr>
            <w:r w:rsidRPr="005439CA">
              <w:rPr>
                <w:sz w:val="20"/>
                <w:szCs w:val="20"/>
              </w:rPr>
              <w:t>Significant Fall</w:t>
            </w:r>
          </w:p>
        </w:tc>
        <w:tc>
          <w:tcPr>
            <w:tcW w:w="737" w:type="pct"/>
          </w:tcPr>
          <w:p w14:paraId="0FB9DA0E" w14:textId="24A9F2D6" w:rsidR="005439CA" w:rsidRPr="005439CA" w:rsidRDefault="005439CA" w:rsidP="004644B7">
            <w:pPr>
              <w:rPr>
                <w:sz w:val="20"/>
                <w:szCs w:val="20"/>
              </w:rPr>
            </w:pPr>
            <w:r w:rsidRPr="005439CA">
              <w:rPr>
                <w:sz w:val="20"/>
                <w:szCs w:val="20"/>
              </w:rPr>
              <w:t>37.5%</w:t>
            </w:r>
          </w:p>
        </w:tc>
        <w:tc>
          <w:tcPr>
            <w:tcW w:w="737" w:type="pct"/>
          </w:tcPr>
          <w:p w14:paraId="67EF1078" w14:textId="26D5CEB1" w:rsidR="005439CA" w:rsidRPr="005439CA" w:rsidRDefault="005439CA" w:rsidP="004644B7">
            <w:pPr>
              <w:rPr>
                <w:sz w:val="20"/>
                <w:szCs w:val="20"/>
              </w:rPr>
            </w:pPr>
            <w:r w:rsidRPr="005439CA">
              <w:rPr>
                <w:sz w:val="20"/>
                <w:szCs w:val="20"/>
              </w:rPr>
              <w:t>26.0%</w:t>
            </w:r>
          </w:p>
        </w:tc>
        <w:tc>
          <w:tcPr>
            <w:tcW w:w="737" w:type="pct"/>
          </w:tcPr>
          <w:p w14:paraId="5957B893" w14:textId="736712B2" w:rsidR="005439CA" w:rsidRPr="005439CA" w:rsidRDefault="005439CA" w:rsidP="004644B7">
            <w:pPr>
              <w:rPr>
                <w:sz w:val="20"/>
                <w:szCs w:val="20"/>
              </w:rPr>
            </w:pPr>
            <w:r w:rsidRPr="005439CA">
              <w:rPr>
                <w:sz w:val="20"/>
                <w:szCs w:val="20"/>
              </w:rPr>
              <w:t>32</w:t>
            </w:r>
          </w:p>
        </w:tc>
        <w:tc>
          <w:tcPr>
            <w:tcW w:w="737" w:type="pct"/>
          </w:tcPr>
          <w:p w14:paraId="1550D3FE" w14:textId="544531EC" w:rsidR="005439CA" w:rsidRPr="005439CA" w:rsidRDefault="005439CA" w:rsidP="004644B7">
            <w:pPr>
              <w:rPr>
                <w:sz w:val="20"/>
                <w:szCs w:val="20"/>
              </w:rPr>
            </w:pPr>
            <w:r w:rsidRPr="005439CA">
              <w:rPr>
                <w:sz w:val="20"/>
                <w:szCs w:val="20"/>
              </w:rPr>
              <w:t>743</w:t>
            </w:r>
          </w:p>
        </w:tc>
        <w:tc>
          <w:tcPr>
            <w:tcW w:w="737" w:type="pct"/>
          </w:tcPr>
          <w:p w14:paraId="58E18306" w14:textId="7D98FCED" w:rsidR="005439CA" w:rsidRPr="005439CA" w:rsidRDefault="005439CA" w:rsidP="004644B7">
            <w:pPr>
              <w:rPr>
                <w:sz w:val="20"/>
                <w:szCs w:val="20"/>
              </w:rPr>
            </w:pPr>
            <w:r w:rsidRPr="005439CA">
              <w:rPr>
                <w:sz w:val="20"/>
                <w:szCs w:val="20"/>
              </w:rPr>
              <w:t>0.07</w:t>
            </w:r>
          </w:p>
        </w:tc>
      </w:tr>
      <w:tr w:rsidR="005439CA" w:rsidRPr="005439CA" w14:paraId="1257C95F" w14:textId="77777777" w:rsidTr="005439CA">
        <w:tc>
          <w:tcPr>
            <w:tcW w:w="1317" w:type="pct"/>
          </w:tcPr>
          <w:p w14:paraId="2D6D461F" w14:textId="4CD50EEA" w:rsidR="005439CA" w:rsidRPr="005439CA" w:rsidRDefault="005439CA" w:rsidP="004644B7">
            <w:pPr>
              <w:rPr>
                <w:sz w:val="20"/>
                <w:szCs w:val="20"/>
              </w:rPr>
            </w:pPr>
            <w:r w:rsidRPr="005439CA">
              <w:rPr>
                <w:sz w:val="20"/>
                <w:szCs w:val="20"/>
              </w:rPr>
              <w:t>Acute illness &gt;6 days</w:t>
            </w:r>
          </w:p>
        </w:tc>
        <w:tc>
          <w:tcPr>
            <w:tcW w:w="737" w:type="pct"/>
          </w:tcPr>
          <w:p w14:paraId="5427CDA1" w14:textId="712C1A43" w:rsidR="005439CA" w:rsidRPr="005439CA" w:rsidRDefault="005439CA" w:rsidP="004644B7">
            <w:pPr>
              <w:rPr>
                <w:sz w:val="20"/>
                <w:szCs w:val="20"/>
              </w:rPr>
            </w:pPr>
            <w:r w:rsidRPr="005439CA">
              <w:rPr>
                <w:sz w:val="20"/>
                <w:szCs w:val="20"/>
              </w:rPr>
              <w:t>37.0%</w:t>
            </w:r>
          </w:p>
        </w:tc>
        <w:tc>
          <w:tcPr>
            <w:tcW w:w="737" w:type="pct"/>
          </w:tcPr>
          <w:p w14:paraId="16088670" w14:textId="43F87A72" w:rsidR="005439CA" w:rsidRPr="005439CA" w:rsidRDefault="005439CA" w:rsidP="004644B7">
            <w:pPr>
              <w:rPr>
                <w:sz w:val="20"/>
                <w:szCs w:val="20"/>
              </w:rPr>
            </w:pPr>
            <w:r w:rsidRPr="005439CA">
              <w:rPr>
                <w:sz w:val="20"/>
                <w:szCs w:val="20"/>
              </w:rPr>
              <w:t>26.1%</w:t>
            </w:r>
          </w:p>
        </w:tc>
        <w:tc>
          <w:tcPr>
            <w:tcW w:w="737" w:type="pct"/>
          </w:tcPr>
          <w:p w14:paraId="601A2E35" w14:textId="2E7E35DE" w:rsidR="005439CA" w:rsidRPr="005439CA" w:rsidRDefault="005439CA" w:rsidP="004644B7">
            <w:pPr>
              <w:rPr>
                <w:sz w:val="20"/>
                <w:szCs w:val="20"/>
              </w:rPr>
            </w:pPr>
            <w:r w:rsidRPr="005439CA">
              <w:rPr>
                <w:sz w:val="20"/>
                <w:szCs w:val="20"/>
              </w:rPr>
              <w:t>27</w:t>
            </w:r>
          </w:p>
        </w:tc>
        <w:tc>
          <w:tcPr>
            <w:tcW w:w="737" w:type="pct"/>
          </w:tcPr>
          <w:p w14:paraId="676B97F2" w14:textId="3AE53FF1" w:rsidR="005439CA" w:rsidRPr="005439CA" w:rsidRDefault="005439CA" w:rsidP="004644B7">
            <w:pPr>
              <w:rPr>
                <w:sz w:val="20"/>
                <w:szCs w:val="20"/>
              </w:rPr>
            </w:pPr>
            <w:r w:rsidRPr="005439CA">
              <w:rPr>
                <w:sz w:val="20"/>
                <w:szCs w:val="20"/>
              </w:rPr>
              <w:t>748</w:t>
            </w:r>
          </w:p>
        </w:tc>
        <w:tc>
          <w:tcPr>
            <w:tcW w:w="737" w:type="pct"/>
          </w:tcPr>
          <w:p w14:paraId="25B0FFF3" w14:textId="07D2E688" w:rsidR="005439CA" w:rsidRPr="005439CA" w:rsidRDefault="005439CA" w:rsidP="004644B7">
            <w:pPr>
              <w:rPr>
                <w:sz w:val="20"/>
                <w:szCs w:val="20"/>
              </w:rPr>
            </w:pPr>
            <w:r w:rsidRPr="005439CA">
              <w:rPr>
                <w:sz w:val="20"/>
                <w:szCs w:val="20"/>
              </w:rPr>
              <w:t>0.22</w:t>
            </w:r>
          </w:p>
        </w:tc>
      </w:tr>
      <w:tr w:rsidR="005439CA" w:rsidRPr="005439CA" w14:paraId="0B8CFE89" w14:textId="77777777" w:rsidTr="005439CA">
        <w:tc>
          <w:tcPr>
            <w:tcW w:w="1317" w:type="pct"/>
          </w:tcPr>
          <w:p w14:paraId="57C99CEF" w14:textId="572A8E1F" w:rsidR="005439CA" w:rsidRPr="005439CA" w:rsidRDefault="005439CA" w:rsidP="004644B7">
            <w:pPr>
              <w:rPr>
                <w:sz w:val="20"/>
                <w:szCs w:val="20"/>
              </w:rPr>
            </w:pPr>
            <w:r w:rsidRPr="005439CA">
              <w:rPr>
                <w:sz w:val="20"/>
                <w:szCs w:val="20"/>
              </w:rPr>
              <w:t>Significant Hospitalisation</w:t>
            </w:r>
          </w:p>
        </w:tc>
        <w:tc>
          <w:tcPr>
            <w:tcW w:w="737" w:type="pct"/>
          </w:tcPr>
          <w:p w14:paraId="6C96619A" w14:textId="009240CF" w:rsidR="005439CA" w:rsidRPr="005439CA" w:rsidRDefault="005439CA" w:rsidP="004644B7">
            <w:pPr>
              <w:rPr>
                <w:sz w:val="20"/>
                <w:szCs w:val="20"/>
              </w:rPr>
            </w:pPr>
            <w:r w:rsidRPr="005439CA">
              <w:rPr>
                <w:sz w:val="20"/>
                <w:szCs w:val="20"/>
              </w:rPr>
              <w:t>48.1%</w:t>
            </w:r>
          </w:p>
        </w:tc>
        <w:tc>
          <w:tcPr>
            <w:tcW w:w="737" w:type="pct"/>
          </w:tcPr>
          <w:p w14:paraId="602B368C" w14:textId="05CCE7E5" w:rsidR="005439CA" w:rsidRPr="005439CA" w:rsidRDefault="005439CA" w:rsidP="004644B7">
            <w:pPr>
              <w:rPr>
                <w:sz w:val="20"/>
                <w:szCs w:val="20"/>
              </w:rPr>
            </w:pPr>
            <w:r w:rsidRPr="005439CA">
              <w:rPr>
                <w:sz w:val="20"/>
                <w:szCs w:val="20"/>
              </w:rPr>
              <w:t>25.7%</w:t>
            </w:r>
          </w:p>
        </w:tc>
        <w:tc>
          <w:tcPr>
            <w:tcW w:w="737" w:type="pct"/>
          </w:tcPr>
          <w:p w14:paraId="74D87E62" w14:textId="20E8F37E" w:rsidR="005439CA" w:rsidRPr="005439CA" w:rsidRDefault="005439CA" w:rsidP="004644B7">
            <w:pPr>
              <w:rPr>
                <w:sz w:val="20"/>
                <w:szCs w:val="20"/>
              </w:rPr>
            </w:pPr>
            <w:r w:rsidRPr="005439CA">
              <w:rPr>
                <w:sz w:val="20"/>
                <w:szCs w:val="20"/>
              </w:rPr>
              <w:t>27</w:t>
            </w:r>
          </w:p>
        </w:tc>
        <w:tc>
          <w:tcPr>
            <w:tcW w:w="737" w:type="pct"/>
          </w:tcPr>
          <w:p w14:paraId="30757A87" w14:textId="23D1E9B2" w:rsidR="005439CA" w:rsidRPr="005439CA" w:rsidRDefault="005439CA" w:rsidP="004644B7">
            <w:pPr>
              <w:rPr>
                <w:sz w:val="20"/>
                <w:szCs w:val="20"/>
              </w:rPr>
            </w:pPr>
            <w:r w:rsidRPr="005439CA">
              <w:rPr>
                <w:sz w:val="20"/>
                <w:szCs w:val="20"/>
              </w:rPr>
              <w:t>748</w:t>
            </w:r>
          </w:p>
        </w:tc>
        <w:tc>
          <w:tcPr>
            <w:tcW w:w="737" w:type="pct"/>
          </w:tcPr>
          <w:p w14:paraId="25EA4983" w14:textId="46FF1FB4" w:rsidR="005439CA" w:rsidRPr="005439CA" w:rsidRDefault="005439CA" w:rsidP="004644B7">
            <w:pPr>
              <w:rPr>
                <w:sz w:val="20"/>
                <w:szCs w:val="20"/>
              </w:rPr>
            </w:pPr>
            <w:r w:rsidRPr="005439CA">
              <w:rPr>
                <w:sz w:val="20"/>
                <w:szCs w:val="20"/>
              </w:rPr>
              <w:t>0.00</w:t>
            </w:r>
          </w:p>
        </w:tc>
      </w:tr>
    </w:tbl>
    <w:p w14:paraId="5B00E80E" w14:textId="2CEE9AEA" w:rsidR="00E86F40" w:rsidRPr="000B42C6" w:rsidRDefault="00E309AF" w:rsidP="001A6BE9">
      <w:pPr>
        <w:pStyle w:val="Normal-nospacing"/>
        <w:spacing w:before="240"/>
      </w:pPr>
      <w:r w:rsidRPr="000B42C6">
        <w:t xml:space="preserve">Based on the reassessment study, </w:t>
      </w:r>
      <w:r>
        <w:t>t</w:t>
      </w:r>
      <w:r w:rsidRPr="000B42C6">
        <w:t>hree grounds for reassessment</w:t>
      </w:r>
      <w:r>
        <w:t xml:space="preserve"> have been identified</w:t>
      </w:r>
      <w:r w:rsidRPr="000B42C6">
        <w:t>.</w:t>
      </w:r>
    </w:p>
    <w:p w14:paraId="4CD34351" w14:textId="25BAFE2E" w:rsidR="00E86F40" w:rsidRPr="00E90708" w:rsidRDefault="007424D0" w:rsidP="00113330">
      <w:pPr>
        <w:pStyle w:val="Heading4"/>
      </w:pPr>
      <w:r>
        <w:t>Significant hospitalisation</w:t>
      </w:r>
    </w:p>
    <w:p w14:paraId="5FCA5949" w14:textId="2A8951FD" w:rsidR="00E86F40" w:rsidRPr="000B42C6" w:rsidRDefault="00E86F40" w:rsidP="0095799D">
      <w:pPr>
        <w:pStyle w:val="Normal-nospacing"/>
      </w:pPr>
      <w:r w:rsidRPr="000B42C6">
        <w:t xml:space="preserve">A home may request a reassessment if the resident has been hospitalised for five days or more or, in the event of a patient who has a general anaesthetic, two days or more. </w:t>
      </w:r>
      <w:r w:rsidR="00636A61">
        <w:t>O</w:t>
      </w:r>
      <w:r w:rsidRPr="000B42C6">
        <w:t>ther significant events captured in the national reassessment study did not significantly result in a change of class.</w:t>
      </w:r>
    </w:p>
    <w:p w14:paraId="70D01DB5" w14:textId="77777777" w:rsidR="00E86F40" w:rsidRPr="00E90708" w:rsidRDefault="00E86F40" w:rsidP="00113330">
      <w:pPr>
        <w:pStyle w:val="Heading4"/>
      </w:pPr>
      <w:r w:rsidRPr="00E90708">
        <w:t>Significant change in mobility</w:t>
      </w:r>
    </w:p>
    <w:p w14:paraId="7B10A0F0" w14:textId="77777777" w:rsidR="00E86F40" w:rsidRPr="000B42C6" w:rsidRDefault="00E86F40" w:rsidP="0095799D">
      <w:pPr>
        <w:pStyle w:val="Normal-nospacing"/>
      </w:pPr>
      <w:r w:rsidRPr="000B42C6">
        <w:t>A home may request a reassessment if the resident’s mobility capacity has changed such that they move between the three mobility branches in the AN-ACC (i.e., from independent/assisted to assisted/non-mobile as measured by the DEMMI).</w:t>
      </w:r>
    </w:p>
    <w:p w14:paraId="47FAFE83" w14:textId="77777777" w:rsidR="00E86F40" w:rsidRPr="00E90708" w:rsidRDefault="00E86F40" w:rsidP="00113330">
      <w:pPr>
        <w:pStyle w:val="Heading4"/>
      </w:pPr>
      <w:r w:rsidRPr="00E90708">
        <w:t>A standard time period for reassessment</w:t>
      </w:r>
    </w:p>
    <w:p w14:paraId="0302D404" w14:textId="39511584" w:rsidR="00E86F40" w:rsidRPr="000B42C6" w:rsidRDefault="00E86F40" w:rsidP="0095799D">
      <w:pPr>
        <w:pStyle w:val="Normal-nospacing"/>
      </w:pPr>
      <w:r w:rsidRPr="000B42C6">
        <w:t>A home may request a reassessment after a specified period for any resident who is becoming progressively more frail and/or whose h</w:t>
      </w:r>
      <w:r w:rsidR="007424D0">
        <w:t xml:space="preserve">ealth status is deteriorating. </w:t>
      </w:r>
      <w:r w:rsidRPr="000B42C6">
        <w:t>Th</w:t>
      </w:r>
      <w:r w:rsidR="00607C04">
        <w:t>e standard time should be twelve months for C</w:t>
      </w:r>
      <w:r w:rsidRPr="000B42C6">
        <w:t xml:space="preserve">lasses 2 to 8 </w:t>
      </w:r>
      <w:r w:rsidR="00607C04">
        <w:t xml:space="preserve">(those classes with lower mortality rate) </w:t>
      </w:r>
      <w:r w:rsidRPr="000B42C6">
        <w:t xml:space="preserve">and six months for </w:t>
      </w:r>
      <w:r w:rsidR="00607C04">
        <w:t>C</w:t>
      </w:r>
      <w:r w:rsidRPr="000B42C6">
        <w:t>lasses 9 to 1</w:t>
      </w:r>
      <w:r w:rsidR="00607C04">
        <w:t>2 (</w:t>
      </w:r>
      <w:r w:rsidR="00607C04" w:rsidRPr="00607C04">
        <w:t xml:space="preserve">classes for people who are not mobile and </w:t>
      </w:r>
      <w:r w:rsidR="008D4D0D">
        <w:t xml:space="preserve">are </w:t>
      </w:r>
      <w:r w:rsidR="00607C04" w:rsidRPr="00607C04">
        <w:t>expected to deteriorate at a higher rate)</w:t>
      </w:r>
      <w:r w:rsidRPr="000B42C6">
        <w:t>.</w:t>
      </w:r>
    </w:p>
    <w:p w14:paraId="2C5AED48" w14:textId="77777777" w:rsidR="00FA082A" w:rsidRDefault="00FA082A">
      <w:pPr>
        <w:rPr>
          <w:rFonts w:ascii="Calibri" w:eastAsiaTheme="majorEastAsia" w:hAnsi="Calibri" w:cstheme="majorBidi"/>
          <w:b/>
          <w:bCs/>
          <w:sz w:val="28"/>
          <w:szCs w:val="28"/>
        </w:rPr>
      </w:pPr>
      <w:bookmarkStart w:id="118" w:name="_Toc468967310"/>
      <w:bookmarkStart w:id="119" w:name="_Ref468108265"/>
      <w:bookmarkEnd w:id="44"/>
      <w:r>
        <w:br w:type="page"/>
      </w:r>
    </w:p>
    <w:p w14:paraId="3A870D3B" w14:textId="6B8B1C2E" w:rsidR="007E474E" w:rsidRDefault="007E474E" w:rsidP="00026FD1">
      <w:pPr>
        <w:pStyle w:val="Heading1"/>
      </w:pPr>
      <w:bookmarkStart w:id="120" w:name="_Toc2005261"/>
      <w:r>
        <w:lastRenderedPageBreak/>
        <w:t xml:space="preserve">Discussion </w:t>
      </w:r>
      <w:r w:rsidR="00FA082A">
        <w:t>and r</w:t>
      </w:r>
      <w:r w:rsidR="00F327AF">
        <w:t>ecommendations</w:t>
      </w:r>
      <w:bookmarkEnd w:id="120"/>
    </w:p>
    <w:p w14:paraId="29171883" w14:textId="39F4B35D" w:rsidR="00EE19F7" w:rsidRDefault="00EE19F7" w:rsidP="0095799D">
      <w:pPr>
        <w:pStyle w:val="Normal-nospacing"/>
      </w:pPr>
      <w:r>
        <w:t xml:space="preserve">This report details the development, testing and implementation of the new external assessment model </w:t>
      </w:r>
      <w:r w:rsidR="00A63CA4">
        <w:t xml:space="preserve">of the </w:t>
      </w:r>
      <w:r>
        <w:t xml:space="preserve">AN-ACC system. The results </w:t>
      </w:r>
      <w:r w:rsidR="00636A61">
        <w:t xml:space="preserve">demonstrate </w:t>
      </w:r>
      <w:r>
        <w:t>that the model is feasible for use within residential aged care</w:t>
      </w:r>
      <w:r w:rsidR="00941424">
        <w:t xml:space="preserve">. It </w:t>
      </w:r>
      <w:r>
        <w:t>aligns with contemporary policy directions</w:t>
      </w:r>
      <w:r w:rsidR="00941424">
        <w:t>,</w:t>
      </w:r>
      <w:r>
        <w:t xml:space="preserve"> provide</w:t>
      </w:r>
      <w:r w:rsidR="00941424">
        <w:t>s</w:t>
      </w:r>
      <w:r>
        <w:t xml:space="preserve"> a platform for ongoing quality improvement and </w:t>
      </w:r>
      <w:r w:rsidR="00941424">
        <w:t xml:space="preserve">is an essential platform for </w:t>
      </w:r>
      <w:r>
        <w:t>building the evidence base for best practice residential aged care. Some important lessons have derived from this process as well as opportunities for future developmen</w:t>
      </w:r>
      <w:r w:rsidR="007424D0">
        <w:t>ts. These are discussed below.</w:t>
      </w:r>
    </w:p>
    <w:p w14:paraId="724E602D" w14:textId="769875B2" w:rsidR="00EE19F7" w:rsidRDefault="00BA594A" w:rsidP="00EE19F7">
      <w:pPr>
        <w:pStyle w:val="Heading2"/>
      </w:pPr>
      <w:bookmarkStart w:id="121" w:name="_Toc2005262"/>
      <w:r>
        <w:t>Adoption of the AN-ACC A</w:t>
      </w:r>
      <w:r w:rsidR="00EE19F7">
        <w:t xml:space="preserve">ssessment </w:t>
      </w:r>
      <w:r>
        <w:t>M</w:t>
      </w:r>
      <w:r w:rsidR="00EE19F7">
        <w:t>odel</w:t>
      </w:r>
      <w:bookmarkEnd w:id="121"/>
    </w:p>
    <w:p w14:paraId="210A224B" w14:textId="02A78E28" w:rsidR="0095799D" w:rsidRDefault="00EE19F7" w:rsidP="0095799D">
      <w:pPr>
        <w:pStyle w:val="Normal-nospacing"/>
      </w:pPr>
      <w:r w:rsidRPr="00426B30">
        <w:t xml:space="preserve">The </w:t>
      </w:r>
      <w:r>
        <w:t>outcomes of the studies discussed in this report confir</w:t>
      </w:r>
      <w:r w:rsidR="00E90708">
        <w:t>m the appropriateness and feasi</w:t>
      </w:r>
      <w:r>
        <w:t>bi</w:t>
      </w:r>
      <w:r w:rsidR="00E90708">
        <w:t>li</w:t>
      </w:r>
      <w:r>
        <w:t xml:space="preserve">ty of the AN-ACC assessment model. Feedback from those involved indicates the </w:t>
      </w:r>
      <w:r w:rsidRPr="00426B30">
        <w:t>data collection burden associated with AN-ACC is modest and could be implemented routinely across the sector. There w</w:t>
      </w:r>
      <w:r w:rsidR="0095799D">
        <w:t>ill</w:t>
      </w:r>
      <w:r w:rsidRPr="00426B30">
        <w:t>, in fact be a significant reduction in the overall data collection burden associated with AN-ACC relative to the requirements of the current funding instrument.</w:t>
      </w:r>
    </w:p>
    <w:p w14:paraId="43CC9050" w14:textId="085A794C" w:rsidR="00EE19F7" w:rsidRDefault="00EE19F7" w:rsidP="0095799D">
      <w:pPr>
        <w:pStyle w:val="Normal-nospacing"/>
      </w:pPr>
      <w:r>
        <w:t>N</w:t>
      </w:r>
      <w:r w:rsidRPr="00426B30">
        <w:t xml:space="preserve">ot all items in the AN-ACC </w:t>
      </w:r>
      <w:r>
        <w:t xml:space="preserve">assessment </w:t>
      </w:r>
      <w:r w:rsidRPr="00426B30">
        <w:t>are used in the assignment of residents to a class</w:t>
      </w:r>
      <w:r>
        <w:t xml:space="preserve"> in AN-ACC Version 1</w:t>
      </w:r>
      <w:r w:rsidR="000C700E">
        <w:t>.0</w:t>
      </w:r>
      <w:r w:rsidRPr="00426B30">
        <w:t>.</w:t>
      </w:r>
      <w:r w:rsidR="007424D0">
        <w:t xml:space="preserve"> </w:t>
      </w:r>
      <w:r w:rsidRPr="00426B30">
        <w:t xml:space="preserve">However, we recommend that implementation of </w:t>
      </w:r>
      <w:r>
        <w:t xml:space="preserve">the new </w:t>
      </w:r>
      <w:r w:rsidRPr="00426B30">
        <w:t xml:space="preserve">AN-ACC </w:t>
      </w:r>
      <w:r>
        <w:t xml:space="preserve">assessment system </w:t>
      </w:r>
      <w:r w:rsidRPr="00426B30">
        <w:t xml:space="preserve">includes routine collection of all items in the assessment tool. </w:t>
      </w:r>
      <w:r>
        <w:t>T</w:t>
      </w:r>
      <w:r w:rsidRPr="00426B30">
        <w:t xml:space="preserve">his will provide an important source of information for modifications to be made in future versions of the classification. Further, it will provide an invaluable source of information </w:t>
      </w:r>
      <w:r>
        <w:t>and provides the basis of a national minimum data set for the</w:t>
      </w:r>
      <w:r w:rsidRPr="00426B30">
        <w:t xml:space="preserve"> sector more broadly</w:t>
      </w:r>
      <w:r>
        <w:t>.</w:t>
      </w:r>
    </w:p>
    <w:p w14:paraId="0BB78A51" w14:textId="6B8D7C8B" w:rsidR="00F327AF" w:rsidRPr="00F327AF" w:rsidRDefault="007424D0" w:rsidP="0095799D">
      <w:pPr>
        <w:pStyle w:val="Heading4"/>
      </w:pPr>
      <w:r>
        <w:t>Recommendations:</w:t>
      </w:r>
    </w:p>
    <w:p w14:paraId="64050FB2" w14:textId="7F2FAAAF" w:rsidR="00F327AF" w:rsidRDefault="00F327AF" w:rsidP="00F327AF">
      <w:pPr>
        <w:pStyle w:val="Bullet"/>
      </w:pPr>
      <w:r>
        <w:t>That the Australian National Aged Care Classification (AN-ACC) Version 1</w:t>
      </w:r>
      <w:r w:rsidR="000C700E">
        <w:t>.0 Assessment T</w:t>
      </w:r>
      <w:r>
        <w:t>ool be adopted as the national standard funding assessment for residential aged care.</w:t>
      </w:r>
    </w:p>
    <w:p w14:paraId="4F9EAB2B" w14:textId="053BFB6B" w:rsidR="00F327AF" w:rsidRDefault="00F327AF" w:rsidP="00F327AF">
      <w:pPr>
        <w:pStyle w:val="Bullet"/>
      </w:pPr>
      <w:r>
        <w:t xml:space="preserve">That all new residents be assessed by an independent assessor using the </w:t>
      </w:r>
      <w:r w:rsidR="00B6398C">
        <w:t>AN-ACC Assessment Tool</w:t>
      </w:r>
      <w:r>
        <w:t xml:space="preserve"> within four weeks of entering residential aged care.</w:t>
      </w:r>
    </w:p>
    <w:p w14:paraId="19C9318B" w14:textId="60EDD19B" w:rsidR="00EE19F7" w:rsidRPr="00F23FCC" w:rsidRDefault="00F327AF" w:rsidP="00F327AF">
      <w:pPr>
        <w:pStyle w:val="Bullet"/>
      </w:pPr>
      <w:r>
        <w:t xml:space="preserve">That residents requiring reassessment be assessed by an independent assessor using the </w:t>
      </w:r>
      <w:r w:rsidR="00B6398C">
        <w:t>AN-ACC Assessment Tool</w:t>
      </w:r>
      <w:r>
        <w:t>.</w:t>
      </w:r>
    </w:p>
    <w:p w14:paraId="39A482D0" w14:textId="1B19D07B" w:rsidR="00EE19F7" w:rsidRDefault="003D6C71" w:rsidP="00EE19F7">
      <w:pPr>
        <w:pStyle w:val="Heading2"/>
      </w:pPr>
      <w:bookmarkStart w:id="122" w:name="_Toc2005263"/>
      <w:r>
        <w:t>Reassessment</w:t>
      </w:r>
      <w:r w:rsidR="00EE19F7" w:rsidRPr="000D6C99">
        <w:t xml:space="preserve"> protocol</w:t>
      </w:r>
      <w:bookmarkEnd w:id="122"/>
    </w:p>
    <w:p w14:paraId="773B379B" w14:textId="055A0AB6" w:rsidR="00EE19F7" w:rsidRPr="000B42C6" w:rsidRDefault="00EE19F7" w:rsidP="00EE19F7">
      <w:pPr>
        <w:pStyle w:val="Normal-nospacing"/>
      </w:pPr>
      <w:r w:rsidRPr="000B42C6">
        <w:t>The core of the AN-ACC funding model is that a resident is assessed at entry to residential aged care with capacity for the resident to be reassessed (and potentially assigned to a higher paying class) if th</w:t>
      </w:r>
      <w:r w:rsidR="00296028">
        <w:t>eir needs change significantly.</w:t>
      </w:r>
    </w:p>
    <w:p w14:paraId="35D1318A" w14:textId="48EB318B" w:rsidR="00EE19F7" w:rsidRDefault="00EE19F7" w:rsidP="00EE19F7">
      <w:pPr>
        <w:pStyle w:val="Normal-nospacing"/>
      </w:pPr>
      <w:r w:rsidRPr="000B42C6">
        <w:t xml:space="preserve">At the same time, the model should not create incentives for frequent unnecessary reassessments. </w:t>
      </w:r>
      <w:r>
        <w:t xml:space="preserve">Indeed, the model includes an </w:t>
      </w:r>
      <w:r w:rsidRPr="000B42C6">
        <w:t xml:space="preserve">incentive for high quality services with a focus on restorative care and </w:t>
      </w:r>
      <w:r w:rsidR="00C0164F">
        <w:t>reablement</w:t>
      </w:r>
      <w:r>
        <w:t>.</w:t>
      </w:r>
    </w:p>
    <w:p w14:paraId="507021F9" w14:textId="1BAE25A5" w:rsidR="00F327AF" w:rsidRPr="00F327AF" w:rsidRDefault="007424D0" w:rsidP="007217C7">
      <w:pPr>
        <w:pStyle w:val="Heading4"/>
      </w:pPr>
      <w:r>
        <w:t>Recommendations:</w:t>
      </w:r>
    </w:p>
    <w:p w14:paraId="5D9F81E8" w14:textId="0E697902" w:rsidR="00F327AF" w:rsidRDefault="00F327AF" w:rsidP="00F327AF">
      <w:pPr>
        <w:pStyle w:val="Bullet"/>
      </w:pPr>
      <w:r>
        <w:t xml:space="preserve">That the new AN-ACC funding model allow for reassessment based on significantly increased needs as indicated by (1) a significant hospitalisation (2) a significant change in mobility and/or (3) a standard time period, </w:t>
      </w:r>
      <w:r w:rsidR="005A217C">
        <w:t xml:space="preserve">twelve months for Classes 2 to 8 (those classes </w:t>
      </w:r>
      <w:r w:rsidR="005A217C">
        <w:lastRenderedPageBreak/>
        <w:t xml:space="preserve">with lower mortality rate) </w:t>
      </w:r>
      <w:r w:rsidR="005A217C" w:rsidRPr="000B42C6">
        <w:t xml:space="preserve">and six months for </w:t>
      </w:r>
      <w:r w:rsidR="005A217C">
        <w:t>C</w:t>
      </w:r>
      <w:r w:rsidR="005A217C" w:rsidRPr="000B42C6">
        <w:t>lasses 9 to 1</w:t>
      </w:r>
      <w:r w:rsidR="005A217C">
        <w:t>2 (</w:t>
      </w:r>
      <w:r w:rsidR="005A217C" w:rsidRPr="00607C04">
        <w:t xml:space="preserve">classes for people who are not mobile and </w:t>
      </w:r>
      <w:r w:rsidR="008D4D0D">
        <w:t xml:space="preserve">are </w:t>
      </w:r>
      <w:r w:rsidR="005A217C" w:rsidRPr="00607C04">
        <w:t>expected to deteriorate at a higher rate)</w:t>
      </w:r>
      <w:r w:rsidR="007424D0">
        <w:t>.</w:t>
      </w:r>
    </w:p>
    <w:p w14:paraId="135902C3" w14:textId="77777777" w:rsidR="00F327AF" w:rsidRDefault="00F327AF" w:rsidP="00F327AF">
      <w:pPr>
        <w:pStyle w:val="Bullet"/>
      </w:pPr>
      <w:r>
        <w:t>That the Commonwealth consider the introduction of reassessment charges for any home that routinely triggers unnecessary reassessments.</w:t>
      </w:r>
    </w:p>
    <w:p w14:paraId="39A8AA57" w14:textId="1665125C" w:rsidR="00F327AF" w:rsidRPr="000B42C6" w:rsidRDefault="00F327AF" w:rsidP="00F327AF">
      <w:pPr>
        <w:pStyle w:val="Bullet"/>
      </w:pPr>
      <w:r>
        <w:t>There be no requirement for reassessment in the AN-ACC funding model.</w:t>
      </w:r>
    </w:p>
    <w:p w14:paraId="084F6186" w14:textId="77777777" w:rsidR="00EE19F7" w:rsidRPr="00EE19F7" w:rsidRDefault="00EE19F7" w:rsidP="00EE19F7">
      <w:pPr>
        <w:pStyle w:val="Heading2"/>
      </w:pPr>
      <w:bookmarkStart w:id="123" w:name="_Toc2005264"/>
      <w:r w:rsidRPr="00EE19F7">
        <w:t>Clinical assessments for care planning</w:t>
      </w:r>
      <w:bookmarkEnd w:id="123"/>
    </w:p>
    <w:p w14:paraId="685CF678" w14:textId="162EFED2" w:rsidR="00EE19F7" w:rsidRPr="000B42C6" w:rsidRDefault="00EE19F7" w:rsidP="00EE19F7">
      <w:pPr>
        <w:pStyle w:val="Normal-nospacing"/>
      </w:pPr>
      <w:r>
        <w:t xml:space="preserve">The AN-ACC is premised on a separation of </w:t>
      </w:r>
      <w:r w:rsidRPr="000B42C6">
        <w:t>assessment for funding from assessment for care planning. Assessment for funding</w:t>
      </w:r>
      <w:r>
        <w:t xml:space="preserve"> moves to an external assessor, and a</w:t>
      </w:r>
      <w:r w:rsidRPr="000B42C6">
        <w:t>ssessment related to care planning is the responsibility of the r</w:t>
      </w:r>
      <w:r w:rsidR="007424D0">
        <w:t>esidential aged care facility.</w:t>
      </w:r>
    </w:p>
    <w:p w14:paraId="51683A8D" w14:textId="217EF593" w:rsidR="00EE19F7" w:rsidRPr="000B42C6" w:rsidRDefault="00EE19F7" w:rsidP="00EE19F7">
      <w:pPr>
        <w:pStyle w:val="Normal-nospacing"/>
      </w:pPr>
      <w:r w:rsidRPr="000B42C6">
        <w:t>In order to drive systematic improvements in care planning, residential aged care facilities need to be equipped with care planning tools.</w:t>
      </w:r>
      <w:r>
        <w:t xml:space="preserve"> </w:t>
      </w:r>
      <w:r w:rsidRPr="000B42C6">
        <w:t xml:space="preserve">These should be used for assessments by suitably trained nursing and allied health clinicians. </w:t>
      </w:r>
      <w:r w:rsidR="0021040D">
        <w:t>The development of a</w:t>
      </w:r>
      <w:r w:rsidRPr="000B42C6">
        <w:t xml:space="preserve"> nationally standardised care planning a</w:t>
      </w:r>
      <w:r w:rsidR="007424D0">
        <w:t>ssessment toolkit is proposed.</w:t>
      </w:r>
    </w:p>
    <w:p w14:paraId="269B0EB6" w14:textId="1701290C" w:rsidR="00EE19F7" w:rsidRDefault="00EE19F7" w:rsidP="00EE19F7">
      <w:pPr>
        <w:pStyle w:val="Normal-nospacing"/>
      </w:pPr>
      <w:r w:rsidRPr="000B42C6">
        <w:t>This assessment tool should be used by homes to guide the identification of resident needs and to guide individualised care planning. In addition to capturing functional and clinical needs, it should also capture strengths, personal preferences and opportunities to work with residents to increase their independence.</w:t>
      </w:r>
    </w:p>
    <w:p w14:paraId="5CFF5841" w14:textId="2B21A156" w:rsidR="00F327AF" w:rsidRPr="00F327AF" w:rsidRDefault="007424D0" w:rsidP="007217C7">
      <w:pPr>
        <w:pStyle w:val="Heading4"/>
      </w:pPr>
      <w:r>
        <w:t>Recommendations:</w:t>
      </w:r>
    </w:p>
    <w:p w14:paraId="6BBF389F" w14:textId="543B1716" w:rsidR="00F327AF" w:rsidRDefault="00F327AF" w:rsidP="00F327AF">
      <w:pPr>
        <w:pStyle w:val="Bullet"/>
      </w:pPr>
      <w:r>
        <w:t>That a best practice needs identification and care planning assessment tool be developed for use by residential aged care facilities.</w:t>
      </w:r>
    </w:p>
    <w:p w14:paraId="42FDEAE1" w14:textId="00233D7B" w:rsidR="00EE19F7" w:rsidRDefault="00F327AF" w:rsidP="00EE19F7">
      <w:pPr>
        <w:pStyle w:val="Bullet"/>
      </w:pPr>
      <w:r>
        <w:t>That, as a condition of subsidy, each resident undergo a care planning assessment at least annually and that the outcomes of this assessment be discussed with residents and carers and be used as the basis of an annual care plan</w:t>
      </w:r>
      <w:r w:rsidR="008C6D0A">
        <w:t>.</w:t>
      </w:r>
    </w:p>
    <w:p w14:paraId="22288CC3" w14:textId="77777777" w:rsidR="00EE19F7" w:rsidRPr="00E40861" w:rsidRDefault="00EE19F7" w:rsidP="00EE19F7">
      <w:pPr>
        <w:pStyle w:val="Heading2"/>
      </w:pPr>
      <w:bookmarkStart w:id="124" w:name="_Toc2005265"/>
      <w:r w:rsidRPr="00E40861">
        <w:t>Assessor workforce</w:t>
      </w:r>
      <w:bookmarkEnd w:id="124"/>
    </w:p>
    <w:p w14:paraId="19D0BA67" w14:textId="39CC4DA7" w:rsidR="007217C7" w:rsidRDefault="00EE19F7" w:rsidP="007217C7">
      <w:pPr>
        <w:pStyle w:val="Normal-nospacing"/>
      </w:pPr>
      <w:r w:rsidRPr="009C7DD9">
        <w:t xml:space="preserve">The AN-ACC model requires the development of a workforce of </w:t>
      </w:r>
      <w:r w:rsidR="007217C7">
        <w:t xml:space="preserve">credentialed </w:t>
      </w:r>
      <w:r w:rsidRPr="009C7DD9">
        <w:t>assessors who are external to the aged care home</w:t>
      </w:r>
      <w:r>
        <w:t>. It is likely that additional focus of effort will be required to recruit and support assessors for specific population groups such as those from cultural</w:t>
      </w:r>
      <w:r w:rsidR="003F2D51">
        <w:t>ly</w:t>
      </w:r>
      <w:r>
        <w:t xml:space="preserve"> and </w:t>
      </w:r>
      <w:r w:rsidR="00941424">
        <w:t>l</w:t>
      </w:r>
      <w:r>
        <w:t xml:space="preserve">inguistically </w:t>
      </w:r>
      <w:r w:rsidR="00941424">
        <w:t>d</w:t>
      </w:r>
      <w:r>
        <w:t>iverse (CALD) backgrounds, Aboriginal and Torres Strait Islander communities etc. T</w:t>
      </w:r>
      <w:r w:rsidRPr="00F27E03">
        <w:t xml:space="preserve">here are </w:t>
      </w:r>
      <w:r w:rsidR="007217C7">
        <w:t xml:space="preserve">also </w:t>
      </w:r>
      <w:r w:rsidRPr="00F27E03">
        <w:t>likely to be shortages of external asses</w:t>
      </w:r>
      <w:r w:rsidR="007424D0">
        <w:t>sors in rural and remote areas.</w:t>
      </w:r>
    </w:p>
    <w:p w14:paraId="7B9575AC" w14:textId="4ED1B6BD" w:rsidR="00EE19F7" w:rsidRDefault="00EE19F7" w:rsidP="007217C7">
      <w:pPr>
        <w:pStyle w:val="Normal-nospacing"/>
      </w:pPr>
      <w:r w:rsidRPr="00F27E03">
        <w:t xml:space="preserve">One option may be that </w:t>
      </w:r>
      <w:r w:rsidR="00100B4F">
        <w:t xml:space="preserve">residential aged care facility </w:t>
      </w:r>
      <w:r w:rsidRPr="00F27E03">
        <w:t>clinical staff may be accredited as independent assessors for other organisations. It is also possible that the use of tele-health may assist in these assessments. These options will need to be explored during the detailed design phase.</w:t>
      </w:r>
    </w:p>
    <w:p w14:paraId="63E982E8" w14:textId="0359E471" w:rsidR="00F327AF" w:rsidRPr="00F327AF" w:rsidRDefault="00F327AF" w:rsidP="007217C7">
      <w:pPr>
        <w:pStyle w:val="Heading4"/>
      </w:pPr>
      <w:r w:rsidRPr="00F327AF">
        <w:t>Recommenda</w:t>
      </w:r>
      <w:r w:rsidR="007424D0">
        <w:t>tions:</w:t>
      </w:r>
    </w:p>
    <w:p w14:paraId="50CFDB80" w14:textId="39D084A7" w:rsidR="00F327AF" w:rsidRDefault="00F327AF" w:rsidP="00F327AF">
      <w:pPr>
        <w:pStyle w:val="Bullet"/>
      </w:pPr>
      <w:r>
        <w:t>That, in the context of broader reform proposed for aged care assessment, the Commonwealth adopt a national networked external assessment model for the AN-ACC funding assessment.</w:t>
      </w:r>
    </w:p>
    <w:p w14:paraId="15DF2713" w14:textId="6EC4C286" w:rsidR="00F327AF" w:rsidRPr="000B42C6" w:rsidRDefault="00F327AF" w:rsidP="00F327AF">
      <w:pPr>
        <w:pStyle w:val="Bullet"/>
      </w:pPr>
      <w:r>
        <w:lastRenderedPageBreak/>
        <w:t xml:space="preserve">Irrespective of the broader organisational aspects, external assessment be undertaken by credentialed registered nurses, occupational therapists and physiotherapists who have experience in aged care, </w:t>
      </w:r>
      <w:r w:rsidR="008421D5">
        <w:t xml:space="preserve">have </w:t>
      </w:r>
      <w:r>
        <w:t>complete</w:t>
      </w:r>
      <w:r w:rsidR="008421D5">
        <w:t>d</w:t>
      </w:r>
      <w:r>
        <w:t xml:space="preserve"> approved AN-ACC assessment training and comply with continuing professional development requirements.</w:t>
      </w:r>
    </w:p>
    <w:p w14:paraId="7E07B4B5" w14:textId="77777777" w:rsidR="00941424" w:rsidRDefault="00941424" w:rsidP="00941424">
      <w:pPr>
        <w:pStyle w:val="Heading2"/>
      </w:pPr>
      <w:bookmarkStart w:id="125" w:name="_Toc2005266"/>
      <w:r>
        <w:t>Sector engagement</w:t>
      </w:r>
      <w:bookmarkEnd w:id="125"/>
    </w:p>
    <w:p w14:paraId="08AC8742" w14:textId="489E0103" w:rsidR="00941424" w:rsidRDefault="00941424" w:rsidP="00941424">
      <w:pPr>
        <w:pStyle w:val="Normal-nospacing"/>
      </w:pPr>
      <w:r w:rsidRPr="009C7DD9">
        <w:t>This funding model represents a significant change for the r</w:t>
      </w:r>
      <w:r>
        <w:t xml:space="preserve">esidential aged care sector. </w:t>
      </w:r>
      <w:r w:rsidRPr="009C7DD9">
        <w:t>The government and the sector need to enter into a partnership to implement the new model, recognising that this is in the interests of residents, providers</w:t>
      </w:r>
      <w:r w:rsidR="007424D0">
        <w:t xml:space="preserve"> and government.</w:t>
      </w:r>
    </w:p>
    <w:p w14:paraId="5DCD9A0F" w14:textId="47919632" w:rsidR="00941424" w:rsidRDefault="00941424" w:rsidP="00941424">
      <w:pPr>
        <w:pStyle w:val="Normal-nospacing"/>
      </w:pPr>
      <w:r w:rsidRPr="000B42C6">
        <w:t>This includes access to expertise on how to use the data to better measure the needs and changing needs of residents, the measurement of resident outcomes and adverse events and the use of the data to predict future demand for residentia</w:t>
      </w:r>
      <w:r w:rsidR="007424D0">
        <w:t>l aged care.</w:t>
      </w:r>
    </w:p>
    <w:p w14:paraId="339C1C4C" w14:textId="77777777" w:rsidR="00941424" w:rsidRPr="00F327AF" w:rsidRDefault="00941424" w:rsidP="007217C7">
      <w:pPr>
        <w:pStyle w:val="Heading4"/>
      </w:pPr>
      <w:r w:rsidRPr="00F327AF">
        <w:t>Recommendation</w:t>
      </w:r>
      <w:r>
        <w:t>:</w:t>
      </w:r>
    </w:p>
    <w:p w14:paraId="06F66A34" w14:textId="77777777" w:rsidR="00941424" w:rsidRDefault="00941424" w:rsidP="00941424">
      <w:pPr>
        <w:pStyle w:val="Normal-nospacing"/>
      </w:pPr>
      <w:r w:rsidRPr="00F327AF">
        <w:t>That the Commonwealth work with peak bodies to develop and implement a change management strategy.</w:t>
      </w:r>
    </w:p>
    <w:p w14:paraId="25EAF1EA" w14:textId="67B4F877" w:rsidR="00896F90" w:rsidRDefault="00896F90" w:rsidP="00896F90">
      <w:pPr>
        <w:pStyle w:val="Heading2"/>
      </w:pPr>
      <w:bookmarkStart w:id="126" w:name="_Toc2005267"/>
      <w:r>
        <w:t>Measuring and benchmarking resident outcomes</w:t>
      </w:r>
      <w:bookmarkEnd w:id="126"/>
    </w:p>
    <w:p w14:paraId="19535C90" w14:textId="61732B07" w:rsidR="007217C7" w:rsidRDefault="00F327AF" w:rsidP="007217C7">
      <w:pPr>
        <w:pStyle w:val="Normal-nospacing"/>
      </w:pPr>
      <w:r>
        <w:t>The</w:t>
      </w:r>
      <w:r w:rsidR="00634F17">
        <w:t xml:space="preserve"> results presented in this report also suggest the potential of the AN-ACC to provide a meaningful system for measuring and benchmarking resident outcomes. Mortality rates and rates of outcome measures such as falls vary significantly by AN-ACC class. Reporting resident outcome measures by AN-ACC class allows for resident outcomes to be routinely evaluated taking into account the mix</w:t>
      </w:r>
      <w:r w:rsidR="007424D0">
        <w:t xml:space="preserve"> of residents in each facility.</w:t>
      </w:r>
    </w:p>
    <w:p w14:paraId="67C2859A" w14:textId="2E12CD6A" w:rsidR="00634F17" w:rsidRPr="00F327AF" w:rsidRDefault="00634F17" w:rsidP="007217C7">
      <w:pPr>
        <w:pStyle w:val="Normal-nospacing"/>
      </w:pPr>
      <w:r>
        <w:t>If this were implemented in routine practice, it would allow (for the first time) consumers, providers and government to make meaningful judgements about the quality and outcomes of residential aged care and to fairly compare the quality of care provided at different facilities.</w:t>
      </w:r>
    </w:p>
    <w:p w14:paraId="09AA8A70" w14:textId="7C19384E" w:rsidR="00F327AF" w:rsidRPr="00F327AF" w:rsidRDefault="00F327AF" w:rsidP="007217C7">
      <w:pPr>
        <w:pStyle w:val="Heading4"/>
      </w:pPr>
      <w:r w:rsidRPr="00F327AF">
        <w:t>Recommen</w:t>
      </w:r>
      <w:r>
        <w:t>dation</w:t>
      </w:r>
      <w:r w:rsidR="001A6BE9">
        <w:t>:</w:t>
      </w:r>
    </w:p>
    <w:p w14:paraId="60C40FE5" w14:textId="548DA170" w:rsidR="00F327AF" w:rsidRPr="00F327AF" w:rsidRDefault="00F327AF" w:rsidP="00F327AF">
      <w:pPr>
        <w:rPr>
          <w:rFonts w:eastAsiaTheme="minorHAnsi" w:cstheme="minorBidi"/>
          <w:lang w:eastAsia="en-US"/>
        </w:rPr>
      </w:pPr>
      <w:r w:rsidRPr="00F327AF">
        <w:rPr>
          <w:rFonts w:eastAsiaTheme="minorHAnsi" w:cstheme="minorBidi"/>
          <w:lang w:eastAsia="en-US"/>
        </w:rPr>
        <w:t>That Government commit to an ongoing aged care research and development agenda that builds on the work of the RUCS and that includes assessment, classification, costing and outcome studies.</w:t>
      </w:r>
    </w:p>
    <w:p w14:paraId="0D9503FD" w14:textId="77777777" w:rsidR="00F327AF" w:rsidRPr="000B42C6" w:rsidRDefault="00F327AF" w:rsidP="009021E5">
      <w:pPr>
        <w:pStyle w:val="Normal-nospacing"/>
      </w:pPr>
    </w:p>
    <w:p w14:paraId="4A2FBB6B" w14:textId="13C93557" w:rsidR="00BD6A8B" w:rsidRPr="004C19EC" w:rsidRDefault="00BD6A8B" w:rsidP="009021E5">
      <w:r w:rsidRPr="004C19EC">
        <w:br w:type="page"/>
      </w:r>
    </w:p>
    <w:p w14:paraId="3C5C504C" w14:textId="77777777" w:rsidR="000E22B5" w:rsidRPr="000E22B5" w:rsidRDefault="000E22B5" w:rsidP="000E22B5">
      <w:pPr>
        <w:pStyle w:val="Normal-nospacing"/>
        <w:rPr>
          <w:sz w:val="4"/>
          <w:szCs w:val="4"/>
        </w:rPr>
      </w:pPr>
      <w:bookmarkStart w:id="127" w:name="_Findings_of_national"/>
      <w:bookmarkStart w:id="128" w:name="_Toc473044053"/>
      <w:bookmarkStart w:id="129" w:name="_Toc473102125"/>
      <w:bookmarkStart w:id="130" w:name="_Toc473621445"/>
      <w:bookmarkStart w:id="131" w:name="_Toc473621522"/>
      <w:bookmarkStart w:id="132" w:name="_Toc473645600"/>
      <w:bookmarkStart w:id="133" w:name="_Toc473645988"/>
      <w:bookmarkStart w:id="134" w:name="_Toc473646180"/>
      <w:bookmarkStart w:id="135" w:name="_Toc473646562"/>
      <w:bookmarkStart w:id="136" w:name="_Toc473708215"/>
      <w:bookmarkStart w:id="137" w:name="_Toc473708262"/>
      <w:bookmarkStart w:id="138" w:name="_Toc473726083"/>
      <w:bookmarkStart w:id="139" w:name="_Toc473726195"/>
      <w:bookmarkStart w:id="140" w:name="_Toc473726300"/>
      <w:bookmarkStart w:id="141" w:name="_Toc515031491"/>
      <w:bookmarkStart w:id="142" w:name="_Toc515031541"/>
      <w:bookmarkStart w:id="143" w:name="_Toc473044060"/>
      <w:bookmarkStart w:id="144" w:name="_Toc473102132"/>
      <w:bookmarkStart w:id="145" w:name="_Toc473621453"/>
      <w:bookmarkStart w:id="146" w:name="_Toc473621529"/>
      <w:bookmarkStart w:id="147" w:name="_Toc473645607"/>
      <w:bookmarkStart w:id="148" w:name="_Toc473645995"/>
      <w:bookmarkStart w:id="149" w:name="_Toc473646187"/>
      <w:bookmarkStart w:id="150" w:name="_Toc473646569"/>
      <w:bookmarkStart w:id="151" w:name="_Toc473708222"/>
      <w:bookmarkStart w:id="152" w:name="_Toc473708269"/>
      <w:bookmarkStart w:id="153" w:name="_Toc473726090"/>
      <w:bookmarkStart w:id="154" w:name="_Toc473726202"/>
      <w:bookmarkStart w:id="155" w:name="_Toc473726307"/>
      <w:bookmarkStart w:id="156" w:name="_Ref531278935"/>
      <w:bookmarkEnd w:id="118"/>
      <w:bookmarkEnd w:id="119"/>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1C94E64E" w14:textId="0D28D1CD" w:rsidR="000E22B5" w:rsidRDefault="003071F0" w:rsidP="00026FD1">
      <w:pPr>
        <w:pStyle w:val="Heading1"/>
        <w:numPr>
          <w:ilvl w:val="0"/>
          <w:numId w:val="0"/>
        </w:numPr>
      </w:pPr>
      <w:bookmarkStart w:id="157" w:name="_Ref534360349"/>
      <w:bookmarkStart w:id="158" w:name="_Ref534380994"/>
      <w:bookmarkStart w:id="159" w:name="_Toc2005268"/>
      <w:r>
        <w:t xml:space="preserve">Appendix </w:t>
      </w:r>
      <w:r w:rsidR="00E61DE9">
        <w:t>1</w:t>
      </w:r>
      <w:bookmarkEnd w:id="156"/>
      <w:bookmarkEnd w:id="157"/>
      <w:bookmarkEnd w:id="158"/>
      <w:bookmarkEnd w:id="159"/>
    </w:p>
    <w:p w14:paraId="095B85BE" w14:textId="3896CB66" w:rsidR="003071F0" w:rsidRDefault="003F2D51" w:rsidP="000E22B5">
      <w:pPr>
        <w:pStyle w:val="Heading2"/>
        <w:numPr>
          <w:ilvl w:val="0"/>
          <w:numId w:val="0"/>
        </w:numPr>
      </w:pPr>
      <w:bookmarkStart w:id="160" w:name="_Toc2005269"/>
      <w:r>
        <w:t>Overview of the Resource Utilisation and Classification Study (</w:t>
      </w:r>
      <w:r w:rsidR="003071F0">
        <w:t>RUCS</w:t>
      </w:r>
      <w:r>
        <w:t>)</w:t>
      </w:r>
      <w:bookmarkEnd w:id="160"/>
    </w:p>
    <w:p w14:paraId="6BB69A8C" w14:textId="0FE2238E" w:rsidR="00EE6769" w:rsidRPr="00946A28" w:rsidRDefault="00EE6769" w:rsidP="00EE6769">
      <w:pPr>
        <w:pStyle w:val="Normal-nospacing"/>
      </w:pPr>
      <w:r w:rsidRPr="00946A28">
        <w:t>Th</w:t>
      </w:r>
      <w:r>
        <w:t xml:space="preserve">e </w:t>
      </w:r>
      <w:r w:rsidRPr="00946A28">
        <w:t>Resource Utilisation and Classification Study</w:t>
      </w:r>
      <w:r>
        <w:t xml:space="preserve"> (RUCS) is an important national study commissioned by the Department to inform the development of future funding models for residential aged care in Australia. The overall aim of the RUCS was to:</w:t>
      </w:r>
    </w:p>
    <w:p w14:paraId="5753E08C" w14:textId="58CE0707" w:rsidR="00EE6769" w:rsidRPr="00946A28" w:rsidRDefault="00EE6769" w:rsidP="00EE6769">
      <w:pPr>
        <w:pStyle w:val="Bullets"/>
        <w:ind w:left="357" w:hanging="357"/>
        <w:rPr>
          <w:rFonts w:cstheme="minorHAnsi"/>
        </w:rPr>
      </w:pPr>
      <w:r w:rsidRPr="00946A28">
        <w:rPr>
          <w:rFonts w:cstheme="minorHAnsi"/>
        </w:rPr>
        <w:t>Identify the clinical and need characteristics of aged care residents that influence the cost of care (cost drivers)</w:t>
      </w:r>
      <w:r w:rsidR="008C6D0A">
        <w:rPr>
          <w:rFonts w:cstheme="minorHAnsi"/>
        </w:rPr>
        <w:t>.</w:t>
      </w:r>
    </w:p>
    <w:p w14:paraId="47DA4615" w14:textId="75A85154" w:rsidR="00EE6769" w:rsidRPr="00946A28" w:rsidRDefault="00EE6769" w:rsidP="00EE6769">
      <w:pPr>
        <w:pStyle w:val="Bullets"/>
        <w:ind w:left="357" w:hanging="357"/>
        <w:rPr>
          <w:rFonts w:cstheme="minorHAnsi"/>
        </w:rPr>
      </w:pPr>
      <w:r w:rsidRPr="00946A28">
        <w:rPr>
          <w:rFonts w:cstheme="minorHAnsi"/>
        </w:rPr>
        <w:t>Identify the proportion of care costs that are shared across residents (shared costs) and the proportion that are related to individual needs (individual costs)</w:t>
      </w:r>
      <w:r w:rsidR="008C6D0A">
        <w:rPr>
          <w:rFonts w:cstheme="minorHAnsi"/>
        </w:rPr>
        <w:t>.</w:t>
      </w:r>
    </w:p>
    <w:p w14:paraId="1BBF6AB3" w14:textId="679EF6E9" w:rsidR="00EE6769" w:rsidRPr="00946A28" w:rsidRDefault="00EE6769" w:rsidP="00EE6769">
      <w:pPr>
        <w:pStyle w:val="Bullets"/>
        <w:ind w:left="357" w:hanging="357"/>
        <w:rPr>
          <w:rFonts w:cstheme="minorHAnsi"/>
        </w:rPr>
      </w:pPr>
      <w:r w:rsidRPr="00946A28">
        <w:rPr>
          <w:rFonts w:cstheme="minorHAnsi"/>
        </w:rPr>
        <w:t>Develop a casemix classification based on identified cost drivers that can underpin a funding model that recognises both shared and individual costs</w:t>
      </w:r>
      <w:r w:rsidR="008C6D0A">
        <w:rPr>
          <w:rFonts w:cstheme="minorHAnsi"/>
        </w:rPr>
        <w:t>.</w:t>
      </w:r>
    </w:p>
    <w:p w14:paraId="196D0B0E" w14:textId="067C9200" w:rsidR="00EE6769" w:rsidRPr="00946A28" w:rsidRDefault="00EE6769" w:rsidP="00EE6769">
      <w:pPr>
        <w:pStyle w:val="Bullets"/>
        <w:ind w:left="357" w:hanging="357"/>
        <w:rPr>
          <w:rFonts w:cstheme="minorHAnsi"/>
        </w:rPr>
      </w:pPr>
      <w:r w:rsidRPr="00946A28">
        <w:rPr>
          <w:rFonts w:cstheme="minorHAnsi"/>
        </w:rPr>
        <w:t>Develop a new funding assessment that efficiently allows for each resident to be assigned to a payment class based on their needs</w:t>
      </w:r>
      <w:r w:rsidR="008C6D0A">
        <w:rPr>
          <w:rFonts w:cstheme="minorHAnsi"/>
        </w:rPr>
        <w:t>.</w:t>
      </w:r>
    </w:p>
    <w:p w14:paraId="074DCA24" w14:textId="77777777" w:rsidR="00EE6769" w:rsidRDefault="00EE6769" w:rsidP="00EE6769">
      <w:pPr>
        <w:pStyle w:val="Bullets"/>
        <w:ind w:left="357" w:hanging="357"/>
        <w:rPr>
          <w:rFonts w:cstheme="minorHAnsi"/>
        </w:rPr>
      </w:pPr>
      <w:r w:rsidRPr="00946A28">
        <w:rPr>
          <w:rFonts w:cstheme="minorHAnsi"/>
        </w:rPr>
        <w:t>Test the feasibility of implementing the recommended classification and funding model across the Australian residential aged care sector.</w:t>
      </w:r>
    </w:p>
    <w:p w14:paraId="4E508771" w14:textId="77777777" w:rsidR="00EE6769" w:rsidRPr="00946A28" w:rsidRDefault="00EE6769" w:rsidP="00EE6769">
      <w:pPr>
        <w:pStyle w:val="Normal-nospacing"/>
      </w:pPr>
      <w:r w:rsidRPr="00946A28">
        <w:t>In considering the results and recommendations included in this report, it is necessary to distinguish between three key ideas:</w:t>
      </w:r>
    </w:p>
    <w:p w14:paraId="0268D505" w14:textId="639751D7" w:rsidR="00EE6769" w:rsidRPr="008F3273" w:rsidRDefault="007424D0" w:rsidP="008F3273">
      <w:pPr>
        <w:pStyle w:val="Heading4"/>
        <w:ind w:firstLine="720"/>
        <w:rPr>
          <w:rFonts w:asciiTheme="minorHAnsi" w:hAnsiTheme="minorHAnsi" w:cstheme="minorHAnsi"/>
        </w:rPr>
      </w:pPr>
      <w:r w:rsidRPr="008F3273">
        <w:rPr>
          <w:rFonts w:asciiTheme="minorHAnsi" w:hAnsiTheme="minorHAnsi" w:cstheme="minorHAnsi"/>
        </w:rPr>
        <w:t>Cost</w:t>
      </w:r>
    </w:p>
    <w:p w14:paraId="0AC0C190" w14:textId="3396B1D9" w:rsidR="00EE6769" w:rsidRPr="00946A28" w:rsidRDefault="00EE6769" w:rsidP="00EE6769">
      <w:pPr>
        <w:pStyle w:val="Normal-nospacing"/>
      </w:pPr>
      <w:r w:rsidRPr="00946A28">
        <w:t>The cost of care for people living in residential aged care is in scope for RUCS.  Capital accommodation and ‘hotel’ services are out of scope, as is respite care for non-permanent residents.</w:t>
      </w:r>
    </w:p>
    <w:p w14:paraId="1FCE7341" w14:textId="77777777" w:rsidR="00EE6769" w:rsidRPr="00946A28" w:rsidRDefault="00EE6769" w:rsidP="00EE6769">
      <w:pPr>
        <w:pStyle w:val="Heading4"/>
        <w:ind w:firstLine="720"/>
        <w:rPr>
          <w:rFonts w:asciiTheme="minorHAnsi" w:hAnsiTheme="minorHAnsi" w:cstheme="minorHAnsi"/>
        </w:rPr>
      </w:pPr>
      <w:r w:rsidRPr="00946A28">
        <w:rPr>
          <w:rFonts w:asciiTheme="minorHAnsi" w:hAnsiTheme="minorHAnsi" w:cstheme="minorHAnsi"/>
        </w:rPr>
        <w:t>Funding (payment) model and policy</w:t>
      </w:r>
    </w:p>
    <w:p w14:paraId="4E284916" w14:textId="77777777" w:rsidR="00EE6769" w:rsidRPr="00946A28" w:rsidRDefault="00EE6769" w:rsidP="00EE6769">
      <w:pPr>
        <w:pStyle w:val="Normal-nospacing"/>
      </w:pPr>
      <w:r w:rsidRPr="00946A28">
        <w:t>Funding and payment issues are in scope. The role of the RUCS research team is to develop the funding model and provide policy advice on its potential implementation.</w:t>
      </w:r>
    </w:p>
    <w:p w14:paraId="7A88C2B1" w14:textId="77777777" w:rsidR="00EE6769" w:rsidRPr="00946A28" w:rsidRDefault="00EE6769" w:rsidP="00EE6769">
      <w:pPr>
        <w:pStyle w:val="Heading4"/>
        <w:ind w:firstLine="720"/>
        <w:rPr>
          <w:rFonts w:asciiTheme="minorHAnsi" w:hAnsiTheme="minorHAnsi" w:cstheme="minorHAnsi"/>
        </w:rPr>
      </w:pPr>
      <w:r w:rsidRPr="00946A28">
        <w:rPr>
          <w:rFonts w:asciiTheme="minorHAnsi" w:hAnsiTheme="minorHAnsi" w:cstheme="minorHAnsi"/>
        </w:rPr>
        <w:t>Price</w:t>
      </w:r>
    </w:p>
    <w:p w14:paraId="6BA205E5" w14:textId="6FA67093" w:rsidR="00EE6769" w:rsidRDefault="00EE6769" w:rsidP="00EE6769">
      <w:pPr>
        <w:pStyle w:val="Normal-nospacing"/>
      </w:pPr>
      <w:r w:rsidRPr="00946A28">
        <w:t>Price is out of scope for RUCS as price is ultimately a decision for payers (both government and consumers). But the RUCS has generated significant evidence that can aid decision-making about pricing.</w:t>
      </w:r>
    </w:p>
    <w:p w14:paraId="4F8027AD" w14:textId="77777777" w:rsidR="00EE6769" w:rsidRPr="00533CF6" w:rsidRDefault="00EE6769" w:rsidP="00EE6769">
      <w:pPr>
        <w:pStyle w:val="Normal-nospacing"/>
        <w:rPr>
          <w:rFonts w:ascii="Calibri" w:eastAsiaTheme="majorEastAsia" w:hAnsi="Calibri" w:cstheme="majorBidi"/>
          <w:b/>
          <w:bCs/>
          <w:sz w:val="28"/>
          <w:szCs w:val="28"/>
          <w:lang w:eastAsia="en-AU" w:bidi="ar-SA"/>
        </w:rPr>
      </w:pPr>
      <w:r>
        <w:rPr>
          <w:rFonts w:ascii="Calibri" w:eastAsiaTheme="majorEastAsia" w:hAnsi="Calibri" w:cstheme="majorBidi"/>
          <w:b/>
          <w:bCs/>
          <w:sz w:val="28"/>
          <w:szCs w:val="28"/>
          <w:lang w:eastAsia="en-AU" w:bidi="ar-SA"/>
        </w:rPr>
        <w:t>T</w:t>
      </w:r>
      <w:r w:rsidRPr="00533CF6">
        <w:rPr>
          <w:rFonts w:ascii="Calibri" w:eastAsiaTheme="majorEastAsia" w:hAnsi="Calibri" w:cstheme="majorBidi"/>
          <w:b/>
          <w:bCs/>
          <w:sz w:val="28"/>
          <w:szCs w:val="28"/>
          <w:lang w:eastAsia="en-AU" w:bidi="ar-SA"/>
        </w:rPr>
        <w:t xml:space="preserve">he four </w:t>
      </w:r>
      <w:r>
        <w:rPr>
          <w:rFonts w:ascii="Calibri" w:eastAsiaTheme="majorEastAsia" w:hAnsi="Calibri" w:cstheme="majorBidi"/>
          <w:b/>
          <w:bCs/>
          <w:sz w:val="28"/>
          <w:szCs w:val="28"/>
          <w:lang w:eastAsia="en-AU" w:bidi="ar-SA"/>
        </w:rPr>
        <w:t xml:space="preserve">RUCS </w:t>
      </w:r>
      <w:r w:rsidRPr="00533CF6">
        <w:rPr>
          <w:rFonts w:ascii="Calibri" w:eastAsiaTheme="majorEastAsia" w:hAnsi="Calibri" w:cstheme="majorBidi"/>
          <w:b/>
          <w:bCs/>
          <w:sz w:val="28"/>
          <w:szCs w:val="28"/>
          <w:lang w:eastAsia="en-AU" w:bidi="ar-SA"/>
        </w:rPr>
        <w:t>studies</w:t>
      </w:r>
    </w:p>
    <w:p w14:paraId="027F0313" w14:textId="6E75696D" w:rsidR="00EE6769" w:rsidRPr="00946A28" w:rsidRDefault="00EE6769" w:rsidP="00EE6769">
      <w:pPr>
        <w:pStyle w:val="Normal-nospacing"/>
      </w:pPr>
      <w:r>
        <w:t xml:space="preserve">The </w:t>
      </w:r>
      <w:r w:rsidRPr="00946A28">
        <w:t>RUCS comprised four separate but closely related studies. Each study included separate data collection and analysis elements that have been synthesised to produce a classification and associated funding model that is suitable for implementation across the Australia</w:t>
      </w:r>
      <w:r w:rsidR="007424D0">
        <w:t>n residential aged care sector.</w:t>
      </w:r>
    </w:p>
    <w:p w14:paraId="5DA5A09B" w14:textId="77777777" w:rsidR="00EE6769" w:rsidRPr="007217C7" w:rsidRDefault="00EE6769" w:rsidP="007217C7">
      <w:pPr>
        <w:pStyle w:val="Heading4"/>
      </w:pPr>
      <w:r w:rsidRPr="007217C7">
        <w:lastRenderedPageBreak/>
        <w:t xml:space="preserve">Study One – Service utilisation and classification development study </w:t>
      </w:r>
    </w:p>
    <w:p w14:paraId="360F36B3" w14:textId="505E8AD1" w:rsidR="00EE6769" w:rsidRPr="00946A28" w:rsidRDefault="00EE6769" w:rsidP="00EE6769">
      <w:pPr>
        <w:pStyle w:val="Normal-nospacing"/>
      </w:pPr>
      <w:r w:rsidRPr="00946A28">
        <w:t xml:space="preserve">Study One involved a prospective and comprehensive collection of resident assessment, service utilisation and financial data which were analysed to develop a casemix classification. Study </w:t>
      </w:r>
      <w:r w:rsidR="00F174D4">
        <w:t>O</w:t>
      </w:r>
      <w:r w:rsidRPr="00946A28">
        <w:t>ne involved 30 facilities clustered in three geographic regions in Queensland</w:t>
      </w:r>
      <w:r w:rsidR="007424D0">
        <w:t>, New South Wales and Victoria.</w:t>
      </w:r>
    </w:p>
    <w:p w14:paraId="00B23A16" w14:textId="77777777" w:rsidR="00EE6769" w:rsidRPr="00946A28" w:rsidRDefault="00EE6769" w:rsidP="00EE6769">
      <w:pPr>
        <w:pStyle w:val="Normal-nospacing"/>
      </w:pPr>
      <w:r w:rsidRPr="00946A28">
        <w:t>Study One was completed between October 2017 and October 2018.</w:t>
      </w:r>
    </w:p>
    <w:p w14:paraId="506B154A" w14:textId="77777777" w:rsidR="00EE6769" w:rsidRPr="00946A28" w:rsidRDefault="00EE6769" w:rsidP="00EE6769">
      <w:pPr>
        <w:pStyle w:val="Heading4"/>
        <w:rPr>
          <w:rFonts w:asciiTheme="minorHAnsi" w:hAnsiTheme="minorHAnsi" w:cstheme="minorHAnsi"/>
        </w:rPr>
      </w:pPr>
      <w:r w:rsidRPr="00946A28">
        <w:rPr>
          <w:rFonts w:asciiTheme="minorHAnsi" w:hAnsiTheme="minorHAnsi" w:cstheme="minorHAnsi"/>
        </w:rPr>
        <w:t>Study Two – Fixed and variable cost analysis study</w:t>
      </w:r>
    </w:p>
    <w:p w14:paraId="371C93AC" w14:textId="77777777" w:rsidR="00EE6769" w:rsidRPr="00946A28" w:rsidRDefault="00EE6769" w:rsidP="00EE6769">
      <w:pPr>
        <w:pStyle w:val="Normal-nospacing"/>
      </w:pPr>
      <w:r w:rsidRPr="00946A28">
        <w:t>Study Two involved a larger nationally representative sample of 110 facilities. The purpose of this study was to understand differences in cost drivers between different types of facilities (including facility size and location) as well as differences that may result from seasonal effects. This analysis informed the design of the funding model. Study Two examined facility, rather than resident, level costs.</w:t>
      </w:r>
    </w:p>
    <w:p w14:paraId="5E59FFFB" w14:textId="77777777" w:rsidR="00EE6769" w:rsidRPr="00946A28" w:rsidRDefault="00EE6769" w:rsidP="00EE6769">
      <w:pPr>
        <w:pStyle w:val="Normal-nospacing"/>
      </w:pPr>
      <w:r w:rsidRPr="00946A28">
        <w:t>Study Two was completed between November 2017 and October 2018.</w:t>
      </w:r>
    </w:p>
    <w:p w14:paraId="3DBE1980" w14:textId="77777777" w:rsidR="00EE6769" w:rsidRPr="00946A28" w:rsidRDefault="00EE6769" w:rsidP="00EE6769">
      <w:pPr>
        <w:pStyle w:val="Heading4"/>
        <w:rPr>
          <w:rFonts w:asciiTheme="minorHAnsi" w:hAnsiTheme="minorHAnsi" w:cstheme="minorHAnsi"/>
        </w:rPr>
      </w:pPr>
      <w:r w:rsidRPr="00946A28">
        <w:rPr>
          <w:rFonts w:asciiTheme="minorHAnsi" w:hAnsiTheme="minorHAnsi" w:cstheme="minorHAnsi"/>
        </w:rPr>
        <w:t>Study Three – Casemix profiling study</w:t>
      </w:r>
    </w:p>
    <w:p w14:paraId="40E50AC2" w14:textId="6BDF38A4" w:rsidR="00EE6769" w:rsidRPr="00946A28" w:rsidRDefault="00EE6769" w:rsidP="00EE6769">
      <w:pPr>
        <w:pStyle w:val="Normal-nospacing"/>
      </w:pPr>
      <w:r w:rsidRPr="00946A28">
        <w:t>Study Three involved the collection of variables included in the classification from an additional nationally representative sample of 69 facilities. In combination with the data from Study One, the primary purpose of Study Three was to develop a national casemix profile of resid</w:t>
      </w:r>
      <w:r w:rsidR="007424D0">
        <w:t>ents in aged care in Australia.</w:t>
      </w:r>
    </w:p>
    <w:p w14:paraId="2DDA845A" w14:textId="77777777" w:rsidR="00EE6769" w:rsidRPr="00946A28" w:rsidRDefault="00EE6769" w:rsidP="00EE6769">
      <w:pPr>
        <w:pStyle w:val="Normal-nospacing"/>
      </w:pPr>
      <w:r w:rsidRPr="00946A28">
        <w:t>Study Three was completed between September 2018 and December 2018.</w:t>
      </w:r>
    </w:p>
    <w:p w14:paraId="33143C4D" w14:textId="77777777" w:rsidR="00EE6769" w:rsidRPr="00946A28" w:rsidRDefault="00EE6769" w:rsidP="00EE6769">
      <w:pPr>
        <w:pStyle w:val="Heading4"/>
        <w:rPr>
          <w:rFonts w:asciiTheme="minorHAnsi" w:hAnsiTheme="minorHAnsi" w:cstheme="minorHAnsi"/>
        </w:rPr>
      </w:pPr>
      <w:r w:rsidRPr="00946A28">
        <w:rPr>
          <w:rFonts w:asciiTheme="minorHAnsi" w:hAnsiTheme="minorHAnsi" w:cstheme="minorHAnsi"/>
        </w:rPr>
        <w:t>Study Four – Reassessment study</w:t>
      </w:r>
    </w:p>
    <w:p w14:paraId="2A5A1404" w14:textId="6D264587" w:rsidR="00EE6769" w:rsidRPr="00946A28" w:rsidRDefault="00EE6769" w:rsidP="00EE6769">
      <w:pPr>
        <w:spacing w:before="120" w:after="120"/>
        <w:rPr>
          <w:rFonts w:cstheme="minorHAnsi"/>
        </w:rPr>
      </w:pPr>
      <w:r w:rsidRPr="00946A28">
        <w:rPr>
          <w:rFonts w:cstheme="minorHAnsi"/>
        </w:rPr>
        <w:t xml:space="preserve">Study Four was added to the RUCS work program in mid-2018 in recognition of value that could be added by collecting additional information about the rate and extent of change in residents’ care needs over time. Study Four involved conducting re-assessments of approximately half of the residents assessed as part of Study One four to six months </w:t>
      </w:r>
      <w:r w:rsidR="007424D0">
        <w:rPr>
          <w:rFonts w:cstheme="minorHAnsi"/>
        </w:rPr>
        <w:t>after their initial assessment.</w:t>
      </w:r>
    </w:p>
    <w:p w14:paraId="5E775179" w14:textId="77777777" w:rsidR="007C40C7" w:rsidRDefault="00EE6769" w:rsidP="00EE6769">
      <w:pPr>
        <w:spacing w:before="120" w:after="120"/>
        <w:rPr>
          <w:rFonts w:cstheme="minorHAnsi"/>
        </w:rPr>
      </w:pPr>
      <w:r w:rsidRPr="00946A28">
        <w:rPr>
          <w:rFonts w:cstheme="minorHAnsi"/>
        </w:rPr>
        <w:t>Study Four was completed between August 2018 and December 2018.</w:t>
      </w:r>
    </w:p>
    <w:p w14:paraId="40AB85F6" w14:textId="77777777" w:rsidR="007C40C7" w:rsidRPr="007C40C7" w:rsidRDefault="007C40C7" w:rsidP="007C40C7">
      <w:pPr>
        <w:pStyle w:val="Normal-nospacing"/>
        <w:rPr>
          <w:b/>
          <w:sz w:val="28"/>
          <w:szCs w:val="28"/>
        </w:rPr>
      </w:pPr>
      <w:bookmarkStart w:id="161" w:name="_Toc533150125"/>
      <w:bookmarkStart w:id="162" w:name="_Toc535335037"/>
      <w:bookmarkStart w:id="163" w:name="_Toc535398170"/>
      <w:r w:rsidRPr="007C40C7">
        <w:rPr>
          <w:b/>
          <w:sz w:val="28"/>
          <w:szCs w:val="28"/>
        </w:rPr>
        <w:t>The RUCS reports</w:t>
      </w:r>
      <w:bookmarkEnd w:id="161"/>
      <w:bookmarkEnd w:id="162"/>
      <w:bookmarkEnd w:id="163"/>
    </w:p>
    <w:p w14:paraId="0F3F0E21" w14:textId="77777777" w:rsidR="007C40C7" w:rsidRPr="000B42C6" w:rsidRDefault="007C40C7" w:rsidP="007C40C7">
      <w:r w:rsidRPr="000B42C6">
        <w:t>Given the complexity of RUCS, it has been written up in a series of reports as follows:</w:t>
      </w:r>
    </w:p>
    <w:p w14:paraId="010DC0B7" w14:textId="5A9E58DE" w:rsidR="007C40C7" w:rsidRPr="000B42C6" w:rsidRDefault="007C40C7" w:rsidP="007C40C7">
      <w:pPr>
        <w:pStyle w:val="Bullet"/>
      </w:pPr>
      <w:bookmarkStart w:id="164" w:name="_Toc533150126"/>
      <w:r w:rsidRPr="00792FA6">
        <w:rPr>
          <w:b/>
        </w:rPr>
        <w:t xml:space="preserve">Report </w:t>
      </w:r>
      <w:r w:rsidR="008C6D0A">
        <w:rPr>
          <w:b/>
        </w:rPr>
        <w:t>1</w:t>
      </w:r>
      <w:r w:rsidRPr="00792FA6">
        <w:rPr>
          <w:b/>
        </w:rPr>
        <w:t>: The Australian National Aged Care Classification (AN-ACC)</w:t>
      </w:r>
      <w:bookmarkEnd w:id="164"/>
    </w:p>
    <w:p w14:paraId="07A6CCDA" w14:textId="225EE87A" w:rsidR="007C40C7" w:rsidRPr="000B42C6" w:rsidRDefault="007C40C7" w:rsidP="007C40C7">
      <w:pPr>
        <w:pStyle w:val="Bullet"/>
        <w:numPr>
          <w:ilvl w:val="0"/>
          <w:numId w:val="0"/>
        </w:numPr>
        <w:ind w:left="357"/>
      </w:pPr>
      <w:r w:rsidRPr="000B42C6">
        <w:t xml:space="preserve">Report </w:t>
      </w:r>
      <w:r w:rsidR="008C6D0A">
        <w:t>1</w:t>
      </w:r>
      <w:r w:rsidRPr="000B42C6">
        <w:t xml:space="preserve"> covers the design and conduct of the study undertaken to develop the Australian National Aged Care Classification (AN-ACC) Version 1</w:t>
      </w:r>
      <w:r w:rsidR="008C6D0A">
        <w:t>.0 (Study One)</w:t>
      </w:r>
      <w:r w:rsidRPr="000B42C6">
        <w:t xml:space="preserve">. It covers the design and use of the AN-ACC </w:t>
      </w:r>
      <w:r w:rsidR="008C6D0A">
        <w:t>a</w:t>
      </w:r>
      <w:r w:rsidRPr="000B42C6">
        <w:t>ssessment tool and the resource utilisation study undertaken to develop AN-ACC Version 1</w:t>
      </w:r>
      <w:r w:rsidR="008C6D0A">
        <w:t>.0</w:t>
      </w:r>
      <w:r w:rsidRPr="000B42C6">
        <w:t>, including the preparation and analysis of the data collection. It discusses the results, the classification development process and key outcomes including the statistical an</w:t>
      </w:r>
      <w:r w:rsidR="007424D0">
        <w:t>alysis and clinical validation.</w:t>
      </w:r>
    </w:p>
    <w:p w14:paraId="250D8CA8" w14:textId="54D4CCBB" w:rsidR="007C40C7" w:rsidRPr="00792FA6" w:rsidRDefault="007C40C7" w:rsidP="007C40C7">
      <w:pPr>
        <w:pStyle w:val="Bullet"/>
        <w:rPr>
          <w:b/>
        </w:rPr>
      </w:pPr>
      <w:bookmarkStart w:id="165" w:name="_Toc533150127"/>
      <w:r w:rsidRPr="00792FA6">
        <w:rPr>
          <w:b/>
        </w:rPr>
        <w:t xml:space="preserve">Report </w:t>
      </w:r>
      <w:r w:rsidR="008C6D0A">
        <w:rPr>
          <w:b/>
        </w:rPr>
        <w:t>2</w:t>
      </w:r>
      <w:r w:rsidRPr="00792FA6">
        <w:rPr>
          <w:b/>
        </w:rPr>
        <w:t>: The AN-ACC assessment model</w:t>
      </w:r>
      <w:bookmarkEnd w:id="165"/>
    </w:p>
    <w:p w14:paraId="13D9D69F" w14:textId="7973EBD3" w:rsidR="007C40C7" w:rsidRPr="000B42C6" w:rsidRDefault="007C40C7" w:rsidP="007C40C7">
      <w:pPr>
        <w:pStyle w:val="Bullet"/>
        <w:numPr>
          <w:ilvl w:val="0"/>
          <w:numId w:val="0"/>
        </w:numPr>
        <w:ind w:left="357"/>
      </w:pPr>
      <w:r w:rsidRPr="000B42C6">
        <w:t xml:space="preserve">Report </w:t>
      </w:r>
      <w:r w:rsidR="008C6D0A">
        <w:t>2</w:t>
      </w:r>
      <w:r w:rsidRPr="000B42C6">
        <w:t xml:space="preserve"> presents detailed findings relating to the external assessment tool and assessment process</w:t>
      </w:r>
      <w:r w:rsidR="008D4D0D">
        <w:t xml:space="preserve"> (</w:t>
      </w:r>
      <w:r w:rsidR="008C6D0A">
        <w:t>informed by Stud</w:t>
      </w:r>
      <w:r w:rsidR="00885172">
        <w:t>ies</w:t>
      </w:r>
      <w:r w:rsidR="008C6D0A">
        <w:t xml:space="preserve"> One</w:t>
      </w:r>
      <w:r w:rsidR="00885172">
        <w:t>, Three</w:t>
      </w:r>
      <w:r w:rsidR="008C6D0A">
        <w:t xml:space="preserve"> and Four</w:t>
      </w:r>
      <w:r w:rsidR="008D4D0D">
        <w:t>)</w:t>
      </w:r>
      <w:r w:rsidR="007424D0">
        <w:t>.</w:t>
      </w:r>
      <w:r w:rsidRPr="000B42C6">
        <w:t xml:space="preserve"> This includes the development of the assessment tool using expert clinical panels and a summary of feedback from assessors </w:t>
      </w:r>
      <w:r w:rsidRPr="000B42C6">
        <w:lastRenderedPageBreak/>
        <w:t>regarding the use of the tool and the suitability of individual instruments. The skills and competencies required for the assessment workforce and other implications for implementation of the external assessment model are considered as well as triggers and protocols for reassessment.</w:t>
      </w:r>
    </w:p>
    <w:p w14:paraId="270B5BD5" w14:textId="45BE7558" w:rsidR="007C40C7" w:rsidRPr="00792FA6" w:rsidRDefault="007C40C7" w:rsidP="007C40C7">
      <w:pPr>
        <w:pStyle w:val="Bullet"/>
        <w:rPr>
          <w:b/>
        </w:rPr>
      </w:pPr>
      <w:bookmarkStart w:id="166" w:name="_Toc533150128"/>
      <w:r w:rsidRPr="00792FA6">
        <w:rPr>
          <w:b/>
        </w:rPr>
        <w:t xml:space="preserve">Report </w:t>
      </w:r>
      <w:r w:rsidR="008C6D0A">
        <w:rPr>
          <w:b/>
        </w:rPr>
        <w:t>3</w:t>
      </w:r>
      <w:r w:rsidRPr="00792FA6">
        <w:rPr>
          <w:b/>
        </w:rPr>
        <w:t>: Structural and individual costs of residential aged care services in Australia</w:t>
      </w:r>
      <w:bookmarkEnd w:id="166"/>
    </w:p>
    <w:p w14:paraId="79CEAFD6" w14:textId="784FB67C" w:rsidR="007C40C7" w:rsidRPr="000B42C6" w:rsidRDefault="007C40C7" w:rsidP="007C40C7">
      <w:pPr>
        <w:pStyle w:val="Bullet"/>
        <w:numPr>
          <w:ilvl w:val="0"/>
          <w:numId w:val="0"/>
        </w:numPr>
        <w:ind w:left="357"/>
      </w:pPr>
      <w:r w:rsidRPr="000B42C6">
        <w:t xml:space="preserve">Report </w:t>
      </w:r>
      <w:r w:rsidR="008C6D0A">
        <w:t>3</w:t>
      </w:r>
      <w:r w:rsidRPr="000B42C6">
        <w:t xml:space="preserve"> presents the analysis and findings of Study Two which identified the proportions of total care costs that are fixed (including shared care) and variable (relating to individualised resident care). The analysis focused on the differences in fixed costs between different types of facilities, characterised by ownership, size, remoteness and service specialisation.  It includes an analysis of the drivers of fixed care costs.</w:t>
      </w:r>
    </w:p>
    <w:p w14:paraId="093CA8CF" w14:textId="23390A83" w:rsidR="007C40C7" w:rsidRPr="00792FA6" w:rsidRDefault="007C40C7" w:rsidP="007C40C7">
      <w:pPr>
        <w:pStyle w:val="Bullet"/>
        <w:rPr>
          <w:b/>
        </w:rPr>
      </w:pPr>
      <w:bookmarkStart w:id="167" w:name="_Toc533150129"/>
      <w:r w:rsidRPr="00792FA6">
        <w:rPr>
          <w:b/>
        </w:rPr>
        <w:t xml:space="preserve">Report </w:t>
      </w:r>
      <w:r w:rsidR="008C6D0A">
        <w:rPr>
          <w:b/>
        </w:rPr>
        <w:t>4</w:t>
      </w:r>
      <w:r w:rsidRPr="00792FA6">
        <w:rPr>
          <w:b/>
        </w:rPr>
        <w:t>: Modelling the impact of the AN-ACC in Australia</w:t>
      </w:r>
      <w:bookmarkEnd w:id="167"/>
    </w:p>
    <w:p w14:paraId="7724B2E3" w14:textId="618CA111" w:rsidR="007C40C7" w:rsidRPr="000B42C6" w:rsidRDefault="007C40C7" w:rsidP="007C40C7">
      <w:pPr>
        <w:pStyle w:val="Bullet"/>
        <w:numPr>
          <w:ilvl w:val="0"/>
          <w:numId w:val="0"/>
        </w:numPr>
        <w:ind w:left="357"/>
      </w:pPr>
      <w:r w:rsidRPr="000B42C6">
        <w:t xml:space="preserve">Report </w:t>
      </w:r>
      <w:r w:rsidR="008C6D0A">
        <w:t>4</w:t>
      </w:r>
      <w:r w:rsidRPr="000B42C6">
        <w:t xml:space="preserve"> presents an analysis of modelling the introduction of the AN-ACC across Australia. This is based on the findings of Study Three. The sampling and assessment data collection process and the casemix of residents in aged care across Australia are described. The focus of this report is on modelling the introduction of the AN-ACC to replace the ACFI.</w:t>
      </w:r>
    </w:p>
    <w:p w14:paraId="55EF9650" w14:textId="32E93C84" w:rsidR="007C40C7" w:rsidRPr="00792FA6" w:rsidRDefault="007C40C7" w:rsidP="007C40C7">
      <w:pPr>
        <w:pStyle w:val="Bullet"/>
        <w:rPr>
          <w:b/>
        </w:rPr>
      </w:pPr>
      <w:bookmarkStart w:id="168" w:name="_Toc533150130"/>
      <w:r w:rsidRPr="00792FA6">
        <w:rPr>
          <w:b/>
        </w:rPr>
        <w:t xml:space="preserve">Report </w:t>
      </w:r>
      <w:r w:rsidR="008C6D0A">
        <w:rPr>
          <w:b/>
        </w:rPr>
        <w:t>5</w:t>
      </w:r>
      <w:r w:rsidRPr="00792FA6">
        <w:rPr>
          <w:b/>
        </w:rPr>
        <w:t>: AN-ACC: A funding model for the residential aged care sector</w:t>
      </w:r>
      <w:bookmarkEnd w:id="168"/>
    </w:p>
    <w:p w14:paraId="636671D2" w14:textId="11630AE8" w:rsidR="007C40C7" w:rsidRPr="000B42C6" w:rsidRDefault="007C40C7" w:rsidP="007C40C7">
      <w:pPr>
        <w:pStyle w:val="Bullet"/>
        <w:numPr>
          <w:ilvl w:val="0"/>
          <w:numId w:val="0"/>
        </w:numPr>
        <w:ind w:left="357"/>
      </w:pPr>
      <w:r w:rsidRPr="000B42C6">
        <w:t xml:space="preserve">Report </w:t>
      </w:r>
      <w:r w:rsidR="008C6D0A">
        <w:t>5</w:t>
      </w:r>
      <w:r w:rsidRPr="000B42C6">
        <w:t xml:space="preserve"> presents the design of a new fund</w:t>
      </w:r>
      <w:r w:rsidR="007424D0">
        <w:t xml:space="preserve">ing model based on the AN-ACC. </w:t>
      </w:r>
      <w:r w:rsidRPr="000B42C6">
        <w:t xml:space="preserve">It includes a consideration of other payment issues such as existing payment supplements, a discussion of incentives in funding model design and key issues </w:t>
      </w:r>
      <w:r w:rsidR="007424D0">
        <w:t>in implementing the new model.</w:t>
      </w:r>
    </w:p>
    <w:p w14:paraId="6C2981AB" w14:textId="4E7EA2D1" w:rsidR="007C40C7" w:rsidRPr="00792FA6" w:rsidRDefault="007C40C7" w:rsidP="007C40C7">
      <w:pPr>
        <w:pStyle w:val="Bullet"/>
        <w:rPr>
          <w:b/>
        </w:rPr>
      </w:pPr>
      <w:bookmarkStart w:id="169" w:name="_Toc533150131"/>
      <w:r w:rsidRPr="00792FA6">
        <w:rPr>
          <w:b/>
        </w:rPr>
        <w:t xml:space="preserve">Report </w:t>
      </w:r>
      <w:r w:rsidR="008C6D0A">
        <w:rPr>
          <w:b/>
        </w:rPr>
        <w:t>6</w:t>
      </w:r>
      <w:r w:rsidRPr="00792FA6">
        <w:rPr>
          <w:b/>
        </w:rPr>
        <w:t>: AN-ACC: A national classification and funding model for residential aged care: synthesis and consolidated recommendations</w:t>
      </w:r>
      <w:bookmarkEnd w:id="169"/>
    </w:p>
    <w:p w14:paraId="0F606B0B" w14:textId="77777777" w:rsidR="007C40C7" w:rsidRPr="000B42C6" w:rsidRDefault="007C40C7" w:rsidP="007C40C7">
      <w:pPr>
        <w:pStyle w:val="Bullet"/>
        <w:numPr>
          <w:ilvl w:val="0"/>
          <w:numId w:val="0"/>
        </w:numPr>
        <w:ind w:left="357"/>
      </w:pPr>
      <w:r w:rsidRPr="000B42C6">
        <w:t>This report syntheses and consolidates the findings presented in other reports and provides a consolidated set of recommendations.</w:t>
      </w:r>
    </w:p>
    <w:p w14:paraId="00F74A75" w14:textId="066DF891" w:rsidR="007C40C7" w:rsidRPr="00792FA6" w:rsidRDefault="007C40C7" w:rsidP="007C40C7">
      <w:pPr>
        <w:pStyle w:val="Bullet"/>
        <w:rPr>
          <w:b/>
        </w:rPr>
      </w:pPr>
      <w:bookmarkStart w:id="170" w:name="_Toc533150132"/>
      <w:r w:rsidRPr="00792FA6">
        <w:rPr>
          <w:b/>
        </w:rPr>
        <w:t xml:space="preserve">Report </w:t>
      </w:r>
      <w:r w:rsidR="008C6D0A">
        <w:rPr>
          <w:b/>
        </w:rPr>
        <w:t>7</w:t>
      </w:r>
      <w:r w:rsidRPr="00792FA6">
        <w:rPr>
          <w:b/>
        </w:rPr>
        <w:t>: AN-ACC Technical appendices</w:t>
      </w:r>
      <w:bookmarkEnd w:id="170"/>
    </w:p>
    <w:p w14:paraId="29F02C98" w14:textId="77777777" w:rsidR="007C40C7" w:rsidRPr="000B42C6" w:rsidRDefault="007C40C7" w:rsidP="007C40C7">
      <w:pPr>
        <w:pStyle w:val="Bullet"/>
        <w:numPr>
          <w:ilvl w:val="0"/>
          <w:numId w:val="0"/>
        </w:numPr>
        <w:ind w:left="357"/>
      </w:pPr>
      <w:r w:rsidRPr="000B42C6">
        <w:t>This report is a series of technical appendices that contain detailed data for reference purposes.</w:t>
      </w:r>
    </w:p>
    <w:p w14:paraId="05DDDF64" w14:textId="77777777" w:rsidR="007C40C7" w:rsidRDefault="007C40C7">
      <w:r>
        <w:br w:type="page"/>
      </w:r>
    </w:p>
    <w:p w14:paraId="44070EAB" w14:textId="6E1C41EB" w:rsidR="000E22B5" w:rsidRDefault="00FD7159" w:rsidP="00026FD1">
      <w:pPr>
        <w:pStyle w:val="Heading1"/>
        <w:numPr>
          <w:ilvl w:val="0"/>
          <w:numId w:val="0"/>
        </w:numPr>
      </w:pPr>
      <w:bookmarkStart w:id="171" w:name="_Ref534367688"/>
      <w:bookmarkStart w:id="172" w:name="_Ref534367703"/>
      <w:bookmarkStart w:id="173" w:name="_Ref534367728"/>
      <w:bookmarkStart w:id="174" w:name="_Toc2005270"/>
      <w:r>
        <w:lastRenderedPageBreak/>
        <w:t xml:space="preserve">Appendix </w:t>
      </w:r>
      <w:r w:rsidR="00BD6A8B">
        <w:t>2</w:t>
      </w:r>
      <w:bookmarkStart w:id="175" w:name="_Toc531356976"/>
      <w:bookmarkEnd w:id="171"/>
      <w:bookmarkEnd w:id="172"/>
      <w:bookmarkEnd w:id="173"/>
      <w:bookmarkEnd w:id="174"/>
    </w:p>
    <w:p w14:paraId="192574CB" w14:textId="5DCA9F2B" w:rsidR="003D574B" w:rsidRDefault="003D574B" w:rsidP="000E22B5">
      <w:pPr>
        <w:pStyle w:val="Heading2"/>
        <w:numPr>
          <w:ilvl w:val="0"/>
          <w:numId w:val="0"/>
        </w:numPr>
      </w:pPr>
      <w:bookmarkStart w:id="176" w:name="_Toc2005271"/>
      <w:r w:rsidRPr="00E83BCA">
        <w:t xml:space="preserve">RUCS </w:t>
      </w:r>
      <w:r>
        <w:t>c</w:t>
      </w:r>
      <w:r w:rsidRPr="00E83BCA">
        <w:t xml:space="preserve">linical </w:t>
      </w:r>
      <w:r>
        <w:t>a</w:t>
      </w:r>
      <w:r w:rsidRPr="00E83BCA">
        <w:t xml:space="preserve">dvisory </w:t>
      </w:r>
      <w:r>
        <w:t>p</w:t>
      </w:r>
      <w:r w:rsidRPr="00E83BCA">
        <w:t xml:space="preserve">anels </w:t>
      </w:r>
      <w:r>
        <w:t>m</w:t>
      </w:r>
      <w:r w:rsidRPr="00E83BCA">
        <w:t>embership</w:t>
      </w:r>
      <w:bookmarkEnd w:id="175"/>
      <w:bookmarkEnd w:id="176"/>
    </w:p>
    <w:p w14:paraId="4CFE5A99" w14:textId="11BB9DB9" w:rsidR="003D574B" w:rsidRDefault="003D574B" w:rsidP="003D574B">
      <w:pPr>
        <w:spacing w:after="120"/>
        <w:rPr>
          <w:b/>
        </w:rPr>
      </w:pPr>
      <w:r w:rsidRPr="00A9029A">
        <w:rPr>
          <w:b/>
        </w:rPr>
        <w:t xml:space="preserve">Function, </w:t>
      </w:r>
      <w:r>
        <w:rPr>
          <w:b/>
        </w:rPr>
        <w:t>c</w:t>
      </w:r>
      <w:r w:rsidRPr="00A9029A">
        <w:rPr>
          <w:b/>
        </w:rPr>
        <w:t xml:space="preserve">ognition and </w:t>
      </w:r>
      <w:r>
        <w:rPr>
          <w:b/>
        </w:rPr>
        <w:t>b</w:t>
      </w:r>
      <w:r w:rsidRPr="00A9029A">
        <w:rPr>
          <w:b/>
        </w:rPr>
        <w:t xml:space="preserve">ehaviour </w:t>
      </w:r>
      <w:r>
        <w:rPr>
          <w:b/>
        </w:rPr>
        <w:t>p</w:t>
      </w:r>
      <w:r w:rsidRPr="00A9029A">
        <w:rPr>
          <w:b/>
        </w:rPr>
        <w:t>anel</w:t>
      </w:r>
      <w:r>
        <w:rPr>
          <w:b/>
        </w:rPr>
        <w:t xml:space="preserve"> members</w:t>
      </w:r>
    </w:p>
    <w:tbl>
      <w:tblPr>
        <w:tblStyle w:val="TableGrid"/>
        <w:tblW w:w="0" w:type="auto"/>
        <w:tblLook w:val="04A0" w:firstRow="1" w:lastRow="0" w:firstColumn="1" w:lastColumn="0" w:noHBand="0" w:noVBand="1"/>
        <w:tblDescription w:val="This table lists the members of Function, cognition and behaviour panel and is to be read left to right, top to bottom (name of panel member and their position/organisation)."/>
      </w:tblPr>
      <w:tblGrid>
        <w:gridCol w:w="4785"/>
        <w:gridCol w:w="4785"/>
      </w:tblGrid>
      <w:tr w:rsidR="003F718A" w:rsidRPr="003A4667" w14:paraId="334248AD" w14:textId="77777777" w:rsidTr="00D12BD0">
        <w:trPr>
          <w:tblHeader/>
        </w:trPr>
        <w:tc>
          <w:tcPr>
            <w:tcW w:w="4785" w:type="dxa"/>
          </w:tcPr>
          <w:p w14:paraId="2717FD09" w14:textId="77777777" w:rsidR="003F718A" w:rsidRPr="003A4667" w:rsidRDefault="003F718A" w:rsidP="00D12BD0">
            <w:pPr>
              <w:spacing w:before="40" w:after="40"/>
              <w:rPr>
                <w:b/>
                <w:sz w:val="22"/>
                <w:szCs w:val="22"/>
              </w:rPr>
            </w:pPr>
            <w:r w:rsidRPr="003A4667">
              <w:rPr>
                <w:b/>
                <w:sz w:val="22"/>
                <w:szCs w:val="22"/>
              </w:rPr>
              <w:t>Name</w:t>
            </w:r>
          </w:p>
        </w:tc>
        <w:tc>
          <w:tcPr>
            <w:tcW w:w="4785" w:type="dxa"/>
          </w:tcPr>
          <w:p w14:paraId="5E530DB9" w14:textId="77777777" w:rsidR="003F718A" w:rsidRPr="003A4667" w:rsidRDefault="003F718A" w:rsidP="00D12BD0">
            <w:pPr>
              <w:spacing w:before="40" w:after="40"/>
              <w:rPr>
                <w:b/>
                <w:sz w:val="22"/>
                <w:szCs w:val="22"/>
              </w:rPr>
            </w:pPr>
            <w:r>
              <w:rPr>
                <w:b/>
                <w:sz w:val="22"/>
                <w:szCs w:val="22"/>
              </w:rPr>
              <w:t>Position</w:t>
            </w:r>
            <w:r w:rsidRPr="003A4667">
              <w:rPr>
                <w:b/>
                <w:sz w:val="22"/>
                <w:szCs w:val="22"/>
              </w:rPr>
              <w:t>/Organisation</w:t>
            </w:r>
          </w:p>
        </w:tc>
      </w:tr>
      <w:tr w:rsidR="003F718A" w:rsidRPr="003A4667" w14:paraId="4B5BFEB6" w14:textId="77777777" w:rsidTr="00D12BD0">
        <w:tc>
          <w:tcPr>
            <w:tcW w:w="4785" w:type="dxa"/>
          </w:tcPr>
          <w:p w14:paraId="10EADFDB" w14:textId="77777777" w:rsidR="003F718A" w:rsidRPr="003A4667" w:rsidRDefault="003F718A" w:rsidP="00D12BD0">
            <w:pPr>
              <w:spacing w:before="40" w:after="40"/>
              <w:rPr>
                <w:sz w:val="22"/>
                <w:szCs w:val="22"/>
              </w:rPr>
            </w:pPr>
            <w:r w:rsidRPr="003A4667">
              <w:rPr>
                <w:sz w:val="22"/>
                <w:szCs w:val="22"/>
              </w:rPr>
              <w:t>Professor Chris Poulos</w:t>
            </w:r>
          </w:p>
        </w:tc>
        <w:tc>
          <w:tcPr>
            <w:tcW w:w="4785" w:type="dxa"/>
          </w:tcPr>
          <w:p w14:paraId="1D9A8138" w14:textId="77777777" w:rsidR="003F718A" w:rsidRPr="003A4667" w:rsidRDefault="003F718A" w:rsidP="00D12BD0">
            <w:pPr>
              <w:spacing w:before="40" w:after="40"/>
              <w:rPr>
                <w:sz w:val="22"/>
                <w:szCs w:val="22"/>
              </w:rPr>
            </w:pPr>
            <w:r>
              <w:rPr>
                <w:sz w:val="22"/>
                <w:szCs w:val="22"/>
              </w:rPr>
              <w:t>HammondC</w:t>
            </w:r>
            <w:r w:rsidRPr="003A4667">
              <w:rPr>
                <w:sz w:val="22"/>
                <w:szCs w:val="22"/>
              </w:rPr>
              <w:t>are</w:t>
            </w:r>
          </w:p>
        </w:tc>
      </w:tr>
      <w:tr w:rsidR="003F718A" w:rsidRPr="003A4667" w14:paraId="7AAC6E77" w14:textId="77777777" w:rsidTr="00D12BD0">
        <w:tc>
          <w:tcPr>
            <w:tcW w:w="4785" w:type="dxa"/>
          </w:tcPr>
          <w:p w14:paraId="23475CE4" w14:textId="77777777" w:rsidR="003F718A" w:rsidRPr="003A4667" w:rsidRDefault="003F718A" w:rsidP="00D12BD0">
            <w:pPr>
              <w:spacing w:before="40" w:after="40"/>
              <w:rPr>
                <w:b/>
                <w:sz w:val="22"/>
                <w:szCs w:val="22"/>
              </w:rPr>
            </w:pPr>
            <w:r w:rsidRPr="003A4667">
              <w:rPr>
                <w:sz w:val="22"/>
                <w:szCs w:val="22"/>
              </w:rPr>
              <w:t>Dr Rod McKay</w:t>
            </w:r>
          </w:p>
        </w:tc>
        <w:tc>
          <w:tcPr>
            <w:tcW w:w="4785" w:type="dxa"/>
          </w:tcPr>
          <w:p w14:paraId="03C36954" w14:textId="77777777" w:rsidR="003F718A" w:rsidRPr="003A4667" w:rsidRDefault="003F718A" w:rsidP="00D12BD0">
            <w:pPr>
              <w:spacing w:before="40" w:after="40"/>
              <w:rPr>
                <w:b/>
                <w:sz w:val="22"/>
                <w:szCs w:val="22"/>
              </w:rPr>
            </w:pPr>
            <w:r w:rsidRPr="003A4667">
              <w:rPr>
                <w:sz w:val="22"/>
                <w:szCs w:val="22"/>
              </w:rPr>
              <w:t>Director Psychiatry and Mental Health Programs, NSW Health</w:t>
            </w:r>
          </w:p>
        </w:tc>
      </w:tr>
      <w:tr w:rsidR="003F718A" w:rsidRPr="003A4667" w14:paraId="3E888503" w14:textId="77777777" w:rsidTr="00D12BD0">
        <w:tc>
          <w:tcPr>
            <w:tcW w:w="4785" w:type="dxa"/>
          </w:tcPr>
          <w:p w14:paraId="4416B8DA" w14:textId="77777777" w:rsidR="003F718A" w:rsidRPr="003A4667" w:rsidRDefault="003F718A" w:rsidP="00D12BD0">
            <w:pPr>
              <w:spacing w:before="40" w:after="40"/>
              <w:rPr>
                <w:b/>
                <w:sz w:val="22"/>
                <w:szCs w:val="22"/>
              </w:rPr>
            </w:pPr>
            <w:r w:rsidRPr="003A4667">
              <w:rPr>
                <w:sz w:val="22"/>
                <w:szCs w:val="22"/>
              </w:rPr>
              <w:t>Professor Maria Crotty</w:t>
            </w:r>
          </w:p>
        </w:tc>
        <w:tc>
          <w:tcPr>
            <w:tcW w:w="4785" w:type="dxa"/>
          </w:tcPr>
          <w:p w14:paraId="36BE5325" w14:textId="77777777" w:rsidR="003F718A" w:rsidRPr="003A4667" w:rsidRDefault="003F718A" w:rsidP="00D12BD0">
            <w:pPr>
              <w:spacing w:before="40" w:after="40"/>
              <w:rPr>
                <w:b/>
                <w:sz w:val="22"/>
                <w:szCs w:val="22"/>
              </w:rPr>
            </w:pPr>
            <w:r w:rsidRPr="003A4667">
              <w:rPr>
                <w:sz w:val="22"/>
                <w:szCs w:val="22"/>
              </w:rPr>
              <w:t>Professor of Rehabilitation and Aged Care</w:t>
            </w:r>
          </w:p>
        </w:tc>
      </w:tr>
      <w:tr w:rsidR="003F718A" w:rsidRPr="003A4667" w14:paraId="7BDDD556" w14:textId="77777777" w:rsidTr="00D12BD0">
        <w:tc>
          <w:tcPr>
            <w:tcW w:w="4785" w:type="dxa"/>
          </w:tcPr>
          <w:p w14:paraId="1663A460" w14:textId="77777777" w:rsidR="003F718A" w:rsidRPr="003A4667" w:rsidRDefault="003F718A" w:rsidP="00D12BD0">
            <w:pPr>
              <w:spacing w:before="40" w:after="40"/>
              <w:rPr>
                <w:b/>
                <w:sz w:val="22"/>
                <w:szCs w:val="22"/>
              </w:rPr>
            </w:pPr>
            <w:r w:rsidRPr="003A4667">
              <w:rPr>
                <w:sz w:val="22"/>
                <w:szCs w:val="22"/>
              </w:rPr>
              <w:t>Professor Sue Kurrle</w:t>
            </w:r>
          </w:p>
        </w:tc>
        <w:tc>
          <w:tcPr>
            <w:tcW w:w="4785" w:type="dxa"/>
          </w:tcPr>
          <w:p w14:paraId="07A5BA04" w14:textId="77777777" w:rsidR="003F718A" w:rsidRPr="003A4667" w:rsidRDefault="003F718A" w:rsidP="00D12BD0">
            <w:pPr>
              <w:spacing w:before="40" w:after="40"/>
              <w:rPr>
                <w:b/>
                <w:sz w:val="22"/>
                <w:szCs w:val="22"/>
              </w:rPr>
            </w:pPr>
            <w:r w:rsidRPr="003A4667">
              <w:rPr>
                <w:sz w:val="22"/>
                <w:szCs w:val="22"/>
              </w:rPr>
              <w:t>Curran Professor in Health Care of Older People, University of Sydney</w:t>
            </w:r>
          </w:p>
        </w:tc>
      </w:tr>
      <w:tr w:rsidR="003F718A" w:rsidRPr="003A4667" w14:paraId="57B42C09" w14:textId="77777777" w:rsidTr="00D12BD0">
        <w:tc>
          <w:tcPr>
            <w:tcW w:w="4785" w:type="dxa"/>
          </w:tcPr>
          <w:p w14:paraId="084E32B1" w14:textId="77777777" w:rsidR="003F718A" w:rsidRPr="003A4667" w:rsidRDefault="003F718A" w:rsidP="00D12BD0">
            <w:pPr>
              <w:spacing w:before="40" w:after="40"/>
              <w:rPr>
                <w:b/>
                <w:sz w:val="22"/>
                <w:szCs w:val="22"/>
              </w:rPr>
            </w:pPr>
            <w:r w:rsidRPr="003A4667">
              <w:rPr>
                <w:sz w:val="22"/>
                <w:szCs w:val="22"/>
              </w:rPr>
              <w:t>Tim Dixon</w:t>
            </w:r>
          </w:p>
        </w:tc>
        <w:tc>
          <w:tcPr>
            <w:tcW w:w="4785" w:type="dxa"/>
          </w:tcPr>
          <w:p w14:paraId="3AFB59E3" w14:textId="77777777" w:rsidR="003F718A" w:rsidRPr="003A4667" w:rsidRDefault="003F718A" w:rsidP="00D12BD0">
            <w:pPr>
              <w:spacing w:before="40" w:after="40"/>
              <w:rPr>
                <w:sz w:val="22"/>
                <w:szCs w:val="22"/>
              </w:rPr>
            </w:pPr>
            <w:r w:rsidRPr="003A4667">
              <w:rPr>
                <w:sz w:val="22"/>
                <w:szCs w:val="22"/>
              </w:rPr>
              <w:t>Policy Manager, HammondCare</w:t>
            </w:r>
          </w:p>
        </w:tc>
      </w:tr>
      <w:tr w:rsidR="003F718A" w:rsidRPr="003A4667" w14:paraId="0626C876" w14:textId="77777777" w:rsidTr="00D12BD0">
        <w:tc>
          <w:tcPr>
            <w:tcW w:w="4785" w:type="dxa"/>
          </w:tcPr>
          <w:p w14:paraId="360A358E" w14:textId="77777777" w:rsidR="003F718A" w:rsidRPr="003A4667" w:rsidRDefault="003F718A" w:rsidP="00D12BD0">
            <w:pPr>
              <w:spacing w:before="40" w:after="40"/>
              <w:rPr>
                <w:b/>
                <w:sz w:val="22"/>
                <w:szCs w:val="22"/>
              </w:rPr>
            </w:pPr>
            <w:r w:rsidRPr="003A4667">
              <w:rPr>
                <w:sz w:val="22"/>
                <w:szCs w:val="22"/>
              </w:rPr>
              <w:t>Rebecca Forbes</w:t>
            </w:r>
          </w:p>
        </w:tc>
        <w:tc>
          <w:tcPr>
            <w:tcW w:w="4785" w:type="dxa"/>
          </w:tcPr>
          <w:p w14:paraId="40B54BB9" w14:textId="77777777" w:rsidR="003F718A" w:rsidRPr="003A4667" w:rsidRDefault="003F718A" w:rsidP="00D12BD0">
            <w:pPr>
              <w:spacing w:before="40" w:after="40"/>
              <w:rPr>
                <w:b/>
                <w:sz w:val="22"/>
                <w:szCs w:val="22"/>
              </w:rPr>
            </w:pPr>
            <w:r w:rsidRPr="003A4667">
              <w:rPr>
                <w:sz w:val="22"/>
                <w:szCs w:val="22"/>
              </w:rPr>
              <w:t>Projects Coordinator, Policy and Planning Office, HammondCare</w:t>
            </w:r>
          </w:p>
        </w:tc>
      </w:tr>
      <w:tr w:rsidR="003F718A" w:rsidRPr="003A4667" w14:paraId="52C49BE1" w14:textId="77777777" w:rsidTr="00D12BD0">
        <w:tc>
          <w:tcPr>
            <w:tcW w:w="4785" w:type="dxa"/>
          </w:tcPr>
          <w:p w14:paraId="18E4F896" w14:textId="77777777" w:rsidR="003F718A" w:rsidRPr="003A4667" w:rsidRDefault="003F718A" w:rsidP="00D12BD0">
            <w:pPr>
              <w:spacing w:before="40" w:after="40"/>
              <w:rPr>
                <w:b/>
                <w:sz w:val="22"/>
                <w:szCs w:val="22"/>
              </w:rPr>
            </w:pPr>
            <w:r w:rsidRPr="003A4667">
              <w:rPr>
                <w:sz w:val="22"/>
                <w:szCs w:val="22"/>
              </w:rPr>
              <w:t>Dr Catriona Lorang</w:t>
            </w:r>
          </w:p>
        </w:tc>
        <w:tc>
          <w:tcPr>
            <w:tcW w:w="4785" w:type="dxa"/>
          </w:tcPr>
          <w:p w14:paraId="2321624B" w14:textId="77777777" w:rsidR="003F718A" w:rsidRPr="003A4667" w:rsidRDefault="003F718A" w:rsidP="00D12BD0">
            <w:pPr>
              <w:spacing w:before="40" w:after="40"/>
              <w:rPr>
                <w:b/>
                <w:sz w:val="22"/>
                <w:szCs w:val="22"/>
              </w:rPr>
            </w:pPr>
            <w:r w:rsidRPr="003A4667">
              <w:rPr>
                <w:sz w:val="22"/>
                <w:szCs w:val="22"/>
              </w:rPr>
              <w:t>Psychologist, The Dementia Care, HammondCare</w:t>
            </w:r>
          </w:p>
        </w:tc>
      </w:tr>
      <w:tr w:rsidR="003F718A" w:rsidRPr="003A4667" w14:paraId="762337A5" w14:textId="77777777" w:rsidTr="00D12BD0">
        <w:tc>
          <w:tcPr>
            <w:tcW w:w="4785" w:type="dxa"/>
          </w:tcPr>
          <w:p w14:paraId="5B9CEF43" w14:textId="77777777" w:rsidR="003F718A" w:rsidRPr="003A4667" w:rsidRDefault="003F718A" w:rsidP="00D12BD0">
            <w:pPr>
              <w:spacing w:before="40" w:after="40"/>
              <w:rPr>
                <w:b/>
                <w:sz w:val="22"/>
                <w:szCs w:val="22"/>
              </w:rPr>
            </w:pPr>
            <w:r w:rsidRPr="003A4667">
              <w:rPr>
                <w:sz w:val="22"/>
                <w:szCs w:val="22"/>
              </w:rPr>
              <w:t>Dr Bruce Walmsley</w:t>
            </w:r>
          </w:p>
        </w:tc>
        <w:tc>
          <w:tcPr>
            <w:tcW w:w="4785" w:type="dxa"/>
          </w:tcPr>
          <w:p w14:paraId="2E93C617" w14:textId="77777777" w:rsidR="003F718A" w:rsidRPr="003A4667" w:rsidRDefault="003F718A" w:rsidP="00D12BD0">
            <w:pPr>
              <w:spacing w:before="40" w:after="40"/>
              <w:rPr>
                <w:b/>
                <w:sz w:val="22"/>
                <w:szCs w:val="22"/>
              </w:rPr>
            </w:pPr>
            <w:r w:rsidRPr="003A4667">
              <w:rPr>
                <w:sz w:val="22"/>
                <w:szCs w:val="22"/>
              </w:rPr>
              <w:t>Psychologist, HammondCare</w:t>
            </w:r>
          </w:p>
        </w:tc>
      </w:tr>
      <w:tr w:rsidR="003F718A" w:rsidRPr="003A4667" w14:paraId="0967C7B0" w14:textId="77777777" w:rsidTr="00D12BD0">
        <w:tc>
          <w:tcPr>
            <w:tcW w:w="4785" w:type="dxa"/>
          </w:tcPr>
          <w:p w14:paraId="401AA63C" w14:textId="77777777" w:rsidR="003F718A" w:rsidRPr="003A4667" w:rsidRDefault="003F718A" w:rsidP="00D12BD0">
            <w:pPr>
              <w:spacing w:before="40" w:after="40"/>
              <w:rPr>
                <w:b/>
                <w:sz w:val="22"/>
                <w:szCs w:val="22"/>
              </w:rPr>
            </w:pPr>
            <w:r w:rsidRPr="003A4667">
              <w:rPr>
                <w:sz w:val="22"/>
                <w:szCs w:val="22"/>
              </w:rPr>
              <w:t>Dr Lyn Phillipson</w:t>
            </w:r>
          </w:p>
        </w:tc>
        <w:tc>
          <w:tcPr>
            <w:tcW w:w="4785" w:type="dxa"/>
          </w:tcPr>
          <w:p w14:paraId="596817D9" w14:textId="77777777" w:rsidR="003F718A" w:rsidRPr="003A4667" w:rsidRDefault="003F718A" w:rsidP="00D12BD0">
            <w:pPr>
              <w:spacing w:before="40" w:after="40"/>
              <w:rPr>
                <w:b/>
                <w:sz w:val="22"/>
                <w:szCs w:val="22"/>
              </w:rPr>
            </w:pPr>
            <w:r w:rsidRPr="003A4667">
              <w:rPr>
                <w:sz w:val="22"/>
                <w:szCs w:val="22"/>
              </w:rPr>
              <w:t>NHMRC Dementia Fellow, Australian Health Services Research Institute</w:t>
            </w:r>
          </w:p>
        </w:tc>
      </w:tr>
      <w:tr w:rsidR="003F718A" w:rsidRPr="003A4667" w14:paraId="0FC4D1E1" w14:textId="77777777" w:rsidTr="00D12BD0">
        <w:tc>
          <w:tcPr>
            <w:tcW w:w="4785" w:type="dxa"/>
          </w:tcPr>
          <w:p w14:paraId="6D6454F8" w14:textId="77777777" w:rsidR="003F718A" w:rsidRPr="003A4667" w:rsidRDefault="003F718A" w:rsidP="00D12BD0">
            <w:pPr>
              <w:spacing w:before="40" w:after="40"/>
              <w:rPr>
                <w:b/>
                <w:sz w:val="22"/>
                <w:szCs w:val="22"/>
              </w:rPr>
            </w:pPr>
            <w:r w:rsidRPr="003A4667">
              <w:rPr>
                <w:sz w:val="22"/>
                <w:szCs w:val="22"/>
              </w:rPr>
              <w:t>Anita Westera</w:t>
            </w:r>
          </w:p>
        </w:tc>
        <w:tc>
          <w:tcPr>
            <w:tcW w:w="4785" w:type="dxa"/>
          </w:tcPr>
          <w:p w14:paraId="3D1CAA7A" w14:textId="77777777" w:rsidR="003F718A" w:rsidRPr="003A4667" w:rsidRDefault="003F718A" w:rsidP="00D12BD0">
            <w:pPr>
              <w:spacing w:before="40" w:after="40"/>
              <w:rPr>
                <w:b/>
                <w:sz w:val="22"/>
                <w:szCs w:val="22"/>
              </w:rPr>
            </w:pPr>
            <w:r w:rsidRPr="003A4667">
              <w:rPr>
                <w:sz w:val="22"/>
                <w:szCs w:val="22"/>
              </w:rPr>
              <w:t>Research Fellow, Australian Health Services Research Institute</w:t>
            </w:r>
          </w:p>
        </w:tc>
      </w:tr>
      <w:tr w:rsidR="003F718A" w:rsidRPr="003A4667" w14:paraId="4C5446ED" w14:textId="77777777" w:rsidTr="00D12BD0">
        <w:tc>
          <w:tcPr>
            <w:tcW w:w="4785" w:type="dxa"/>
          </w:tcPr>
          <w:p w14:paraId="0CB46A20" w14:textId="77777777" w:rsidR="003F718A" w:rsidRPr="003A4667" w:rsidRDefault="003F718A" w:rsidP="00D12BD0">
            <w:pPr>
              <w:spacing w:before="40" w:after="40"/>
              <w:rPr>
                <w:b/>
                <w:sz w:val="22"/>
                <w:szCs w:val="22"/>
              </w:rPr>
            </w:pPr>
            <w:r w:rsidRPr="003A4667">
              <w:rPr>
                <w:sz w:val="22"/>
                <w:szCs w:val="22"/>
              </w:rPr>
              <w:t>Jacqui Capell</w:t>
            </w:r>
          </w:p>
        </w:tc>
        <w:tc>
          <w:tcPr>
            <w:tcW w:w="4785" w:type="dxa"/>
          </w:tcPr>
          <w:p w14:paraId="005808BF" w14:textId="77777777" w:rsidR="003F718A" w:rsidRPr="003A4667" w:rsidRDefault="003F718A" w:rsidP="00D12BD0">
            <w:pPr>
              <w:spacing w:before="40" w:after="40"/>
              <w:rPr>
                <w:b/>
                <w:sz w:val="22"/>
                <w:szCs w:val="22"/>
              </w:rPr>
            </w:pPr>
            <w:r w:rsidRPr="003A4667">
              <w:rPr>
                <w:sz w:val="22"/>
                <w:szCs w:val="22"/>
              </w:rPr>
              <w:t>Research Fellow, Australasian Rehabilitation Outcomes Centre</w:t>
            </w:r>
          </w:p>
        </w:tc>
      </w:tr>
      <w:tr w:rsidR="003F718A" w:rsidRPr="003A4667" w14:paraId="171C61BC" w14:textId="77777777" w:rsidTr="00D12BD0">
        <w:tc>
          <w:tcPr>
            <w:tcW w:w="4785" w:type="dxa"/>
          </w:tcPr>
          <w:p w14:paraId="5831CD23" w14:textId="77777777" w:rsidR="003F718A" w:rsidRPr="003A4667" w:rsidRDefault="003F718A" w:rsidP="00D12BD0">
            <w:pPr>
              <w:spacing w:before="40" w:after="40"/>
              <w:rPr>
                <w:b/>
                <w:sz w:val="22"/>
                <w:szCs w:val="22"/>
              </w:rPr>
            </w:pPr>
            <w:r w:rsidRPr="003A4667">
              <w:rPr>
                <w:sz w:val="22"/>
                <w:szCs w:val="22"/>
              </w:rPr>
              <w:t>Diane Whiting</w:t>
            </w:r>
          </w:p>
        </w:tc>
        <w:tc>
          <w:tcPr>
            <w:tcW w:w="4785" w:type="dxa"/>
          </w:tcPr>
          <w:p w14:paraId="0997942E" w14:textId="77777777" w:rsidR="003F718A" w:rsidRPr="003A4667" w:rsidRDefault="003F718A" w:rsidP="00D12BD0">
            <w:pPr>
              <w:spacing w:before="40" w:after="40"/>
              <w:rPr>
                <w:b/>
                <w:sz w:val="22"/>
                <w:szCs w:val="22"/>
              </w:rPr>
            </w:pPr>
            <w:r w:rsidRPr="003A4667">
              <w:rPr>
                <w:sz w:val="22"/>
                <w:szCs w:val="22"/>
              </w:rPr>
              <w:t>Research Fellow, Australasian Rehabilitation Outcomes Centre</w:t>
            </w:r>
          </w:p>
        </w:tc>
      </w:tr>
    </w:tbl>
    <w:p w14:paraId="521B1155" w14:textId="3CA10084" w:rsidR="003D574B" w:rsidRDefault="003D574B" w:rsidP="003F718A">
      <w:pPr>
        <w:spacing w:before="240" w:after="120"/>
        <w:rPr>
          <w:b/>
        </w:rPr>
      </w:pPr>
      <w:r>
        <w:rPr>
          <w:b/>
        </w:rPr>
        <w:t>End-of-life panel members</w:t>
      </w:r>
    </w:p>
    <w:tbl>
      <w:tblPr>
        <w:tblStyle w:val="TableGrid"/>
        <w:tblW w:w="0" w:type="auto"/>
        <w:tblLook w:val="04A0" w:firstRow="1" w:lastRow="0" w:firstColumn="1" w:lastColumn="0" w:noHBand="0" w:noVBand="1"/>
        <w:tblDescription w:val="This table lists End-of-life panel members and is to be read left to right, top to bottom (name of panel member and their position/organisation)."/>
      </w:tblPr>
      <w:tblGrid>
        <w:gridCol w:w="4785"/>
        <w:gridCol w:w="4785"/>
      </w:tblGrid>
      <w:tr w:rsidR="003F718A" w:rsidRPr="003A4667" w14:paraId="6DCDF7E5" w14:textId="77777777" w:rsidTr="00D12BD0">
        <w:trPr>
          <w:tblHeader/>
        </w:trPr>
        <w:tc>
          <w:tcPr>
            <w:tcW w:w="4785" w:type="dxa"/>
          </w:tcPr>
          <w:p w14:paraId="221AAA67" w14:textId="77777777" w:rsidR="003F718A" w:rsidRPr="003A4667" w:rsidRDefault="003F718A" w:rsidP="00D12BD0">
            <w:pPr>
              <w:spacing w:before="40" w:after="40"/>
              <w:rPr>
                <w:b/>
                <w:sz w:val="22"/>
                <w:szCs w:val="22"/>
              </w:rPr>
            </w:pPr>
            <w:r w:rsidRPr="003A4667">
              <w:rPr>
                <w:b/>
                <w:sz w:val="22"/>
                <w:szCs w:val="22"/>
              </w:rPr>
              <w:t>Name</w:t>
            </w:r>
          </w:p>
        </w:tc>
        <w:tc>
          <w:tcPr>
            <w:tcW w:w="4785" w:type="dxa"/>
          </w:tcPr>
          <w:p w14:paraId="7407E44B" w14:textId="77777777" w:rsidR="003F718A" w:rsidRPr="003A4667" w:rsidRDefault="003F718A" w:rsidP="00D12BD0">
            <w:pPr>
              <w:spacing w:before="40" w:after="40"/>
              <w:rPr>
                <w:b/>
                <w:sz w:val="22"/>
                <w:szCs w:val="22"/>
              </w:rPr>
            </w:pPr>
            <w:r>
              <w:rPr>
                <w:b/>
                <w:sz w:val="22"/>
                <w:szCs w:val="22"/>
              </w:rPr>
              <w:t>Position</w:t>
            </w:r>
            <w:r w:rsidRPr="003A4667">
              <w:rPr>
                <w:b/>
                <w:sz w:val="22"/>
                <w:szCs w:val="22"/>
              </w:rPr>
              <w:t>/Organisation</w:t>
            </w:r>
          </w:p>
        </w:tc>
      </w:tr>
      <w:tr w:rsidR="003F718A" w:rsidRPr="003A4667" w14:paraId="3687495B" w14:textId="77777777" w:rsidTr="00D12BD0">
        <w:tc>
          <w:tcPr>
            <w:tcW w:w="4785" w:type="dxa"/>
          </w:tcPr>
          <w:p w14:paraId="11AC06B4" w14:textId="77777777" w:rsidR="003F718A" w:rsidRPr="003A4667" w:rsidRDefault="003F718A" w:rsidP="00D12BD0">
            <w:pPr>
              <w:spacing w:before="40" w:after="40"/>
              <w:rPr>
                <w:b/>
                <w:sz w:val="22"/>
                <w:szCs w:val="22"/>
              </w:rPr>
            </w:pPr>
            <w:r w:rsidRPr="003A4667">
              <w:rPr>
                <w:sz w:val="22"/>
                <w:szCs w:val="22"/>
              </w:rPr>
              <w:t>Annie Dullow</w:t>
            </w:r>
          </w:p>
        </w:tc>
        <w:tc>
          <w:tcPr>
            <w:tcW w:w="4785" w:type="dxa"/>
          </w:tcPr>
          <w:p w14:paraId="0F89DA45" w14:textId="77777777" w:rsidR="003F718A" w:rsidRPr="003A4667" w:rsidRDefault="003F718A" w:rsidP="00D12BD0">
            <w:pPr>
              <w:spacing w:before="40" w:after="40"/>
              <w:rPr>
                <w:b/>
                <w:sz w:val="22"/>
                <w:szCs w:val="22"/>
              </w:rPr>
            </w:pPr>
            <w:r w:rsidRPr="003A4667">
              <w:rPr>
                <w:sz w:val="22"/>
                <w:szCs w:val="22"/>
              </w:rPr>
              <w:t>Director, Palliative Care Section, Department of Health</w:t>
            </w:r>
          </w:p>
        </w:tc>
      </w:tr>
      <w:tr w:rsidR="003F718A" w:rsidRPr="003A4667" w14:paraId="2CA894FD" w14:textId="77777777" w:rsidTr="00D12BD0">
        <w:tc>
          <w:tcPr>
            <w:tcW w:w="4785" w:type="dxa"/>
          </w:tcPr>
          <w:p w14:paraId="7F15FC0D" w14:textId="77777777" w:rsidR="003F718A" w:rsidRPr="003A4667" w:rsidRDefault="003F718A" w:rsidP="00D12BD0">
            <w:pPr>
              <w:spacing w:before="40" w:after="40"/>
              <w:rPr>
                <w:b/>
                <w:sz w:val="22"/>
                <w:szCs w:val="22"/>
              </w:rPr>
            </w:pPr>
            <w:r w:rsidRPr="003A4667">
              <w:rPr>
                <w:sz w:val="22"/>
                <w:szCs w:val="22"/>
              </w:rPr>
              <w:t>Deborah Stidwell</w:t>
            </w:r>
          </w:p>
        </w:tc>
        <w:tc>
          <w:tcPr>
            <w:tcW w:w="4785" w:type="dxa"/>
          </w:tcPr>
          <w:p w14:paraId="09737051" w14:textId="77777777" w:rsidR="003F718A" w:rsidRPr="003A4667" w:rsidRDefault="003F718A" w:rsidP="00D12BD0">
            <w:pPr>
              <w:spacing w:before="40" w:after="40"/>
              <w:rPr>
                <w:b/>
                <w:sz w:val="22"/>
                <w:szCs w:val="22"/>
              </w:rPr>
            </w:pPr>
            <w:r w:rsidRPr="003A4667">
              <w:rPr>
                <w:sz w:val="22"/>
                <w:szCs w:val="22"/>
              </w:rPr>
              <w:t>Chief Operations Officer, Brooke Street Medical Centre, Woodend Victoria. EoL CRE</w:t>
            </w:r>
          </w:p>
        </w:tc>
      </w:tr>
      <w:tr w:rsidR="003F718A" w:rsidRPr="003A4667" w14:paraId="4F4C3C3B" w14:textId="77777777" w:rsidTr="00D12BD0">
        <w:tc>
          <w:tcPr>
            <w:tcW w:w="4785" w:type="dxa"/>
          </w:tcPr>
          <w:p w14:paraId="5A688546" w14:textId="77777777" w:rsidR="003F718A" w:rsidRPr="003A4667" w:rsidRDefault="003F718A" w:rsidP="00D12BD0">
            <w:pPr>
              <w:spacing w:before="40" w:after="40"/>
              <w:rPr>
                <w:b/>
                <w:sz w:val="22"/>
                <w:szCs w:val="22"/>
              </w:rPr>
            </w:pPr>
            <w:r w:rsidRPr="003A4667">
              <w:rPr>
                <w:sz w:val="22"/>
                <w:szCs w:val="22"/>
              </w:rPr>
              <w:t xml:space="preserve">Jacqui Culver </w:t>
            </w:r>
          </w:p>
        </w:tc>
        <w:tc>
          <w:tcPr>
            <w:tcW w:w="4785" w:type="dxa"/>
          </w:tcPr>
          <w:p w14:paraId="76CDC6B0" w14:textId="77777777" w:rsidR="003F718A" w:rsidRPr="003A4667" w:rsidRDefault="003F718A" w:rsidP="00D12BD0">
            <w:pPr>
              <w:spacing w:before="40" w:after="40"/>
              <w:rPr>
                <w:b/>
                <w:sz w:val="22"/>
                <w:szCs w:val="22"/>
              </w:rPr>
            </w:pPr>
            <w:r w:rsidRPr="003A4667">
              <w:rPr>
                <w:sz w:val="22"/>
                <w:szCs w:val="22"/>
              </w:rPr>
              <w:t>Palliative Care Nurse Practitioner, experience across Res Care &amp; Home Care Derrick</w:t>
            </w:r>
          </w:p>
        </w:tc>
      </w:tr>
      <w:tr w:rsidR="003F718A" w:rsidRPr="003A4667" w14:paraId="032401D9" w14:textId="77777777" w:rsidTr="00D12BD0">
        <w:tc>
          <w:tcPr>
            <w:tcW w:w="4785" w:type="dxa"/>
          </w:tcPr>
          <w:p w14:paraId="3AAF8BA9" w14:textId="77777777" w:rsidR="003F718A" w:rsidRPr="003A4667" w:rsidRDefault="003F718A" w:rsidP="00D12BD0">
            <w:pPr>
              <w:spacing w:before="40" w:after="40"/>
              <w:rPr>
                <w:b/>
                <w:sz w:val="22"/>
                <w:szCs w:val="22"/>
              </w:rPr>
            </w:pPr>
            <w:r w:rsidRPr="003A4667">
              <w:rPr>
                <w:sz w:val="22"/>
                <w:szCs w:val="22"/>
              </w:rPr>
              <w:t>Tanya McIver</w:t>
            </w:r>
          </w:p>
        </w:tc>
        <w:tc>
          <w:tcPr>
            <w:tcW w:w="4785" w:type="dxa"/>
          </w:tcPr>
          <w:p w14:paraId="7B8D9F45" w14:textId="77777777" w:rsidR="003F718A" w:rsidRPr="003A4667" w:rsidRDefault="003F718A" w:rsidP="00D12BD0">
            <w:pPr>
              <w:spacing w:before="40" w:after="40"/>
              <w:rPr>
                <w:b/>
                <w:sz w:val="22"/>
                <w:szCs w:val="22"/>
              </w:rPr>
            </w:pPr>
            <w:r w:rsidRPr="003A4667">
              <w:rPr>
                <w:sz w:val="22"/>
                <w:szCs w:val="22"/>
              </w:rPr>
              <w:t>Clinical Manager Anglicare SA</w:t>
            </w:r>
          </w:p>
        </w:tc>
      </w:tr>
      <w:tr w:rsidR="003F718A" w:rsidRPr="003A4667" w14:paraId="385F05BE" w14:textId="77777777" w:rsidTr="00D12BD0">
        <w:tc>
          <w:tcPr>
            <w:tcW w:w="4785" w:type="dxa"/>
          </w:tcPr>
          <w:p w14:paraId="176784FA" w14:textId="77777777" w:rsidR="003F718A" w:rsidRPr="003A4667" w:rsidRDefault="003F718A" w:rsidP="00D12BD0">
            <w:pPr>
              <w:spacing w:before="40" w:after="40"/>
              <w:rPr>
                <w:b/>
                <w:sz w:val="22"/>
                <w:szCs w:val="22"/>
              </w:rPr>
            </w:pPr>
            <w:r w:rsidRPr="003A4667">
              <w:rPr>
                <w:sz w:val="22"/>
                <w:szCs w:val="22"/>
              </w:rPr>
              <w:t>Professor Claire Johnson</w:t>
            </w:r>
          </w:p>
        </w:tc>
        <w:tc>
          <w:tcPr>
            <w:tcW w:w="4785" w:type="dxa"/>
          </w:tcPr>
          <w:p w14:paraId="79652590" w14:textId="77777777" w:rsidR="003F718A" w:rsidRPr="003A4667" w:rsidRDefault="003F718A" w:rsidP="00D12BD0">
            <w:pPr>
              <w:spacing w:before="40" w:after="40"/>
              <w:rPr>
                <w:b/>
                <w:sz w:val="22"/>
                <w:szCs w:val="22"/>
              </w:rPr>
            </w:pPr>
            <w:r w:rsidRPr="003A4667">
              <w:rPr>
                <w:sz w:val="22"/>
                <w:szCs w:val="22"/>
              </w:rPr>
              <w:t>Vivian Bullwinkel Chair of Palliative Care Nursing at Monash University</w:t>
            </w:r>
          </w:p>
        </w:tc>
      </w:tr>
      <w:tr w:rsidR="003F718A" w:rsidRPr="003A4667" w14:paraId="4E953B91" w14:textId="77777777" w:rsidTr="00D12BD0">
        <w:tc>
          <w:tcPr>
            <w:tcW w:w="4785" w:type="dxa"/>
          </w:tcPr>
          <w:p w14:paraId="306C0A63" w14:textId="77777777" w:rsidR="003F718A" w:rsidRPr="003A4667" w:rsidRDefault="003F718A" w:rsidP="00D12BD0">
            <w:pPr>
              <w:spacing w:before="40" w:after="40"/>
              <w:rPr>
                <w:b/>
                <w:sz w:val="22"/>
                <w:szCs w:val="22"/>
              </w:rPr>
            </w:pPr>
            <w:r w:rsidRPr="003A4667">
              <w:rPr>
                <w:sz w:val="22"/>
                <w:szCs w:val="22"/>
              </w:rPr>
              <w:t>Dr Peta McVey</w:t>
            </w:r>
          </w:p>
        </w:tc>
        <w:tc>
          <w:tcPr>
            <w:tcW w:w="4785" w:type="dxa"/>
          </w:tcPr>
          <w:p w14:paraId="3BD752EE" w14:textId="77777777" w:rsidR="003F718A" w:rsidRPr="003A4667" w:rsidRDefault="003F718A" w:rsidP="00D12BD0">
            <w:pPr>
              <w:spacing w:before="40" w:after="40"/>
              <w:rPr>
                <w:b/>
                <w:sz w:val="22"/>
                <w:szCs w:val="22"/>
              </w:rPr>
            </w:pPr>
            <w:r w:rsidRPr="003A4667">
              <w:rPr>
                <w:sz w:val="22"/>
                <w:szCs w:val="22"/>
              </w:rPr>
              <w:t>Senior Lecturer, Sydney Nursing School, University of Sydney</w:t>
            </w:r>
          </w:p>
        </w:tc>
      </w:tr>
      <w:tr w:rsidR="003F718A" w:rsidRPr="003A4667" w14:paraId="71349869" w14:textId="77777777" w:rsidTr="00D12BD0">
        <w:tc>
          <w:tcPr>
            <w:tcW w:w="4785" w:type="dxa"/>
          </w:tcPr>
          <w:p w14:paraId="4E1B11FA" w14:textId="77777777" w:rsidR="003F718A" w:rsidRPr="003A4667" w:rsidRDefault="003F718A" w:rsidP="00D12BD0">
            <w:pPr>
              <w:spacing w:before="40" w:after="40"/>
              <w:rPr>
                <w:b/>
                <w:sz w:val="22"/>
                <w:szCs w:val="22"/>
              </w:rPr>
            </w:pPr>
            <w:r w:rsidRPr="003A4667">
              <w:rPr>
                <w:sz w:val="22"/>
                <w:szCs w:val="22"/>
              </w:rPr>
              <w:t>Dr Pippa Blackburn</w:t>
            </w:r>
          </w:p>
        </w:tc>
        <w:tc>
          <w:tcPr>
            <w:tcW w:w="4785" w:type="dxa"/>
          </w:tcPr>
          <w:p w14:paraId="7F8D77A9" w14:textId="77777777" w:rsidR="003F718A" w:rsidRPr="003A4667" w:rsidRDefault="003F718A" w:rsidP="00D12BD0">
            <w:pPr>
              <w:spacing w:before="40" w:after="40"/>
              <w:rPr>
                <w:b/>
                <w:sz w:val="22"/>
                <w:szCs w:val="22"/>
              </w:rPr>
            </w:pPr>
            <w:r w:rsidRPr="003A4667">
              <w:rPr>
                <w:sz w:val="22"/>
                <w:szCs w:val="22"/>
              </w:rPr>
              <w:t>Facilitator, Palliative Care Outcomes Collaboration</w:t>
            </w:r>
          </w:p>
        </w:tc>
      </w:tr>
      <w:tr w:rsidR="003F718A" w:rsidRPr="003A4667" w14:paraId="5C534ACD" w14:textId="77777777" w:rsidTr="00D12BD0">
        <w:tc>
          <w:tcPr>
            <w:tcW w:w="4785" w:type="dxa"/>
          </w:tcPr>
          <w:p w14:paraId="09C7E477" w14:textId="77777777" w:rsidR="003F718A" w:rsidRPr="003A4667" w:rsidRDefault="003F718A" w:rsidP="00D12BD0">
            <w:pPr>
              <w:spacing w:before="40" w:after="40"/>
              <w:rPr>
                <w:sz w:val="22"/>
                <w:szCs w:val="22"/>
              </w:rPr>
            </w:pPr>
            <w:r w:rsidRPr="003A4667">
              <w:rPr>
                <w:sz w:val="22"/>
                <w:szCs w:val="22"/>
              </w:rPr>
              <w:t>Jane Healey</w:t>
            </w:r>
          </w:p>
        </w:tc>
        <w:tc>
          <w:tcPr>
            <w:tcW w:w="4785" w:type="dxa"/>
          </w:tcPr>
          <w:p w14:paraId="5494677F" w14:textId="77777777" w:rsidR="003F718A" w:rsidRPr="003A4667" w:rsidRDefault="003F718A" w:rsidP="00D12BD0">
            <w:pPr>
              <w:spacing w:before="40" w:after="40"/>
              <w:rPr>
                <w:sz w:val="22"/>
                <w:szCs w:val="22"/>
              </w:rPr>
            </w:pPr>
            <w:r w:rsidRPr="003A4667">
              <w:rPr>
                <w:sz w:val="22"/>
                <w:szCs w:val="22"/>
              </w:rPr>
              <w:t>Facilitator, Palliative Care Outcomes Collaboration</w:t>
            </w:r>
          </w:p>
        </w:tc>
      </w:tr>
    </w:tbl>
    <w:p w14:paraId="16BB6B3D" w14:textId="58368505" w:rsidR="003D574B" w:rsidRDefault="003D574B" w:rsidP="003F718A">
      <w:pPr>
        <w:spacing w:before="240" w:after="120"/>
        <w:rPr>
          <w:b/>
        </w:rPr>
      </w:pPr>
      <w:r>
        <w:rPr>
          <w:b/>
        </w:rPr>
        <w:lastRenderedPageBreak/>
        <w:t>Wound care panel members</w:t>
      </w:r>
    </w:p>
    <w:tbl>
      <w:tblPr>
        <w:tblStyle w:val="TableGrid"/>
        <w:tblW w:w="0" w:type="auto"/>
        <w:tblLook w:val="04A0" w:firstRow="1" w:lastRow="0" w:firstColumn="1" w:lastColumn="0" w:noHBand="0" w:noVBand="1"/>
        <w:tblDescription w:val="This table lists Wound care panel members and is to be read left to right, top to bottom (name of panel member and their position/organisation)."/>
      </w:tblPr>
      <w:tblGrid>
        <w:gridCol w:w="4785"/>
        <w:gridCol w:w="4785"/>
      </w:tblGrid>
      <w:tr w:rsidR="003F718A" w:rsidRPr="003A4667" w14:paraId="39B7033C" w14:textId="77777777" w:rsidTr="00D12BD0">
        <w:trPr>
          <w:tblHeader/>
        </w:trPr>
        <w:tc>
          <w:tcPr>
            <w:tcW w:w="4785" w:type="dxa"/>
          </w:tcPr>
          <w:p w14:paraId="72D3DB82" w14:textId="77777777" w:rsidR="003F718A" w:rsidRPr="003A4667" w:rsidRDefault="003F718A" w:rsidP="00D12BD0">
            <w:pPr>
              <w:spacing w:before="40" w:after="40"/>
              <w:rPr>
                <w:b/>
                <w:sz w:val="22"/>
                <w:szCs w:val="22"/>
              </w:rPr>
            </w:pPr>
            <w:r w:rsidRPr="003A4667">
              <w:rPr>
                <w:b/>
                <w:sz w:val="22"/>
                <w:szCs w:val="22"/>
              </w:rPr>
              <w:t>Name</w:t>
            </w:r>
          </w:p>
        </w:tc>
        <w:tc>
          <w:tcPr>
            <w:tcW w:w="4785" w:type="dxa"/>
          </w:tcPr>
          <w:p w14:paraId="4498EC88" w14:textId="77777777" w:rsidR="003F718A" w:rsidRPr="003A4667" w:rsidRDefault="003F718A" w:rsidP="00D12BD0">
            <w:pPr>
              <w:spacing w:before="40" w:after="40"/>
              <w:rPr>
                <w:b/>
                <w:sz w:val="22"/>
                <w:szCs w:val="22"/>
              </w:rPr>
            </w:pPr>
            <w:r>
              <w:rPr>
                <w:b/>
                <w:sz w:val="22"/>
                <w:szCs w:val="22"/>
              </w:rPr>
              <w:t>Position</w:t>
            </w:r>
            <w:r w:rsidRPr="003A4667">
              <w:rPr>
                <w:b/>
                <w:sz w:val="22"/>
                <w:szCs w:val="22"/>
              </w:rPr>
              <w:t>/Organisation</w:t>
            </w:r>
          </w:p>
        </w:tc>
      </w:tr>
      <w:tr w:rsidR="003F718A" w:rsidRPr="003A4667" w14:paraId="34886846" w14:textId="77777777" w:rsidTr="00D12BD0">
        <w:tc>
          <w:tcPr>
            <w:tcW w:w="4785" w:type="dxa"/>
          </w:tcPr>
          <w:p w14:paraId="3D03E8DE" w14:textId="77777777" w:rsidR="003F718A" w:rsidRPr="003A4667" w:rsidRDefault="003F718A" w:rsidP="00D12BD0">
            <w:pPr>
              <w:spacing w:before="40" w:after="40"/>
              <w:rPr>
                <w:b/>
                <w:sz w:val="22"/>
                <w:szCs w:val="22"/>
              </w:rPr>
            </w:pPr>
            <w:r w:rsidRPr="003A4667">
              <w:rPr>
                <w:sz w:val="22"/>
                <w:szCs w:val="22"/>
              </w:rPr>
              <w:t>Professor Helen Edwards</w:t>
            </w:r>
          </w:p>
        </w:tc>
        <w:tc>
          <w:tcPr>
            <w:tcW w:w="4785" w:type="dxa"/>
          </w:tcPr>
          <w:p w14:paraId="5A095ED8" w14:textId="77777777" w:rsidR="003F718A" w:rsidRPr="003A4667" w:rsidRDefault="003F718A" w:rsidP="00D12BD0">
            <w:pPr>
              <w:spacing w:before="40" w:after="40"/>
              <w:rPr>
                <w:b/>
                <w:sz w:val="22"/>
                <w:szCs w:val="22"/>
              </w:rPr>
            </w:pPr>
            <w:r w:rsidRPr="003A4667">
              <w:rPr>
                <w:sz w:val="22"/>
                <w:szCs w:val="22"/>
              </w:rPr>
              <w:t>Assistant Dean (International and Engagement), Faculty of Health, Queensland University of Technology</w:t>
            </w:r>
          </w:p>
        </w:tc>
      </w:tr>
      <w:tr w:rsidR="003F718A" w:rsidRPr="003A4667" w14:paraId="0C477644" w14:textId="77777777" w:rsidTr="00D12BD0">
        <w:tc>
          <w:tcPr>
            <w:tcW w:w="4785" w:type="dxa"/>
          </w:tcPr>
          <w:p w14:paraId="70151D2B" w14:textId="77777777" w:rsidR="003F718A" w:rsidRPr="003A4667" w:rsidRDefault="003F718A" w:rsidP="00D12BD0">
            <w:pPr>
              <w:spacing w:before="40" w:after="40"/>
              <w:rPr>
                <w:b/>
                <w:sz w:val="22"/>
                <w:szCs w:val="22"/>
              </w:rPr>
            </w:pPr>
            <w:r w:rsidRPr="003A4667">
              <w:rPr>
                <w:sz w:val="22"/>
                <w:szCs w:val="22"/>
              </w:rPr>
              <w:t>Professor Keryln Carville</w:t>
            </w:r>
          </w:p>
        </w:tc>
        <w:tc>
          <w:tcPr>
            <w:tcW w:w="4785" w:type="dxa"/>
          </w:tcPr>
          <w:p w14:paraId="750CEF5B" w14:textId="77777777" w:rsidR="003F718A" w:rsidRPr="003A4667" w:rsidRDefault="003F718A" w:rsidP="00D12BD0">
            <w:pPr>
              <w:spacing w:before="40" w:after="40"/>
              <w:rPr>
                <w:b/>
                <w:sz w:val="22"/>
                <w:szCs w:val="22"/>
              </w:rPr>
            </w:pPr>
            <w:r w:rsidRPr="003A4667">
              <w:rPr>
                <w:sz w:val="22"/>
                <w:szCs w:val="22"/>
              </w:rPr>
              <w:t>Professor Primary Health Care and Community Nursing Silver Chain Group</w:t>
            </w:r>
          </w:p>
        </w:tc>
      </w:tr>
      <w:tr w:rsidR="003F718A" w:rsidRPr="003A4667" w14:paraId="73764CCC" w14:textId="77777777" w:rsidTr="00D12BD0">
        <w:tc>
          <w:tcPr>
            <w:tcW w:w="4785" w:type="dxa"/>
          </w:tcPr>
          <w:p w14:paraId="2C90BA17" w14:textId="77777777" w:rsidR="003F718A" w:rsidRPr="003A4667" w:rsidRDefault="003F718A" w:rsidP="00D12BD0">
            <w:pPr>
              <w:spacing w:before="40" w:after="40"/>
              <w:rPr>
                <w:b/>
                <w:sz w:val="22"/>
                <w:szCs w:val="22"/>
              </w:rPr>
            </w:pPr>
            <w:r w:rsidRPr="003A4667">
              <w:rPr>
                <w:sz w:val="22"/>
                <w:szCs w:val="22"/>
              </w:rPr>
              <w:t>Prosper Sithole</w:t>
            </w:r>
          </w:p>
        </w:tc>
        <w:tc>
          <w:tcPr>
            <w:tcW w:w="4785" w:type="dxa"/>
          </w:tcPr>
          <w:p w14:paraId="473FBE5A" w14:textId="77777777" w:rsidR="003F718A" w:rsidRPr="003A4667" w:rsidRDefault="003F718A" w:rsidP="00D12BD0">
            <w:pPr>
              <w:spacing w:before="40" w:after="40"/>
              <w:rPr>
                <w:b/>
                <w:sz w:val="22"/>
                <w:szCs w:val="22"/>
              </w:rPr>
            </w:pPr>
            <w:r w:rsidRPr="003A4667">
              <w:rPr>
                <w:sz w:val="22"/>
                <w:szCs w:val="22"/>
              </w:rPr>
              <w:t>Nurse Practitioner, BUPA Aged Care, Bendigo</w:t>
            </w:r>
          </w:p>
        </w:tc>
      </w:tr>
      <w:tr w:rsidR="003F718A" w:rsidRPr="003A4667" w14:paraId="0C1947B3" w14:textId="77777777" w:rsidTr="00D12BD0">
        <w:tc>
          <w:tcPr>
            <w:tcW w:w="4785" w:type="dxa"/>
          </w:tcPr>
          <w:p w14:paraId="1C6D209A" w14:textId="77777777" w:rsidR="003F718A" w:rsidRPr="003A4667" w:rsidRDefault="003F718A" w:rsidP="00D12BD0">
            <w:pPr>
              <w:spacing w:before="40" w:after="40"/>
              <w:rPr>
                <w:b/>
                <w:sz w:val="22"/>
                <w:szCs w:val="22"/>
              </w:rPr>
            </w:pPr>
            <w:r w:rsidRPr="003A4667">
              <w:rPr>
                <w:sz w:val="22"/>
                <w:szCs w:val="22"/>
              </w:rPr>
              <w:t>Jessica Traeger</w:t>
            </w:r>
          </w:p>
        </w:tc>
        <w:tc>
          <w:tcPr>
            <w:tcW w:w="4785" w:type="dxa"/>
          </w:tcPr>
          <w:p w14:paraId="21887C67" w14:textId="77777777" w:rsidR="003F718A" w:rsidRPr="003A4667" w:rsidRDefault="003F718A" w:rsidP="00D12BD0">
            <w:pPr>
              <w:spacing w:before="40" w:after="40"/>
              <w:rPr>
                <w:b/>
                <w:sz w:val="22"/>
                <w:szCs w:val="22"/>
              </w:rPr>
            </w:pPr>
            <w:r w:rsidRPr="003A4667">
              <w:rPr>
                <w:sz w:val="22"/>
                <w:szCs w:val="22"/>
              </w:rPr>
              <w:t>Clinical Manager, Eldercare SA</w:t>
            </w:r>
          </w:p>
        </w:tc>
      </w:tr>
    </w:tbl>
    <w:p w14:paraId="2532A650" w14:textId="58A4EEE1" w:rsidR="003D574B" w:rsidRDefault="003D574B" w:rsidP="003F718A">
      <w:pPr>
        <w:spacing w:before="240" w:after="120"/>
        <w:rPr>
          <w:b/>
        </w:rPr>
      </w:pPr>
      <w:r>
        <w:rPr>
          <w:b/>
        </w:rPr>
        <w:t>Technical nursing panel members</w:t>
      </w:r>
    </w:p>
    <w:tbl>
      <w:tblPr>
        <w:tblStyle w:val="TableGrid"/>
        <w:tblW w:w="0" w:type="auto"/>
        <w:tblLook w:val="04A0" w:firstRow="1" w:lastRow="0" w:firstColumn="1" w:lastColumn="0" w:noHBand="0" w:noVBand="1"/>
        <w:tblDescription w:val="This table lists Technical nursing panel members and is to be read left to right, top to bottom (name of panel member and their position/organisation)."/>
      </w:tblPr>
      <w:tblGrid>
        <w:gridCol w:w="4785"/>
        <w:gridCol w:w="4785"/>
      </w:tblGrid>
      <w:tr w:rsidR="003F718A" w:rsidRPr="003A4667" w14:paraId="48C7F178" w14:textId="77777777" w:rsidTr="00D12BD0">
        <w:trPr>
          <w:tblHeader/>
        </w:trPr>
        <w:tc>
          <w:tcPr>
            <w:tcW w:w="4785" w:type="dxa"/>
          </w:tcPr>
          <w:p w14:paraId="21288A87" w14:textId="77777777" w:rsidR="003F718A" w:rsidRPr="003A4667" w:rsidRDefault="003F718A" w:rsidP="00D12BD0">
            <w:pPr>
              <w:spacing w:before="40" w:after="40"/>
              <w:rPr>
                <w:b/>
                <w:sz w:val="22"/>
                <w:szCs w:val="22"/>
              </w:rPr>
            </w:pPr>
            <w:r w:rsidRPr="003A4667">
              <w:rPr>
                <w:b/>
                <w:sz w:val="22"/>
                <w:szCs w:val="22"/>
              </w:rPr>
              <w:t>Name</w:t>
            </w:r>
          </w:p>
        </w:tc>
        <w:tc>
          <w:tcPr>
            <w:tcW w:w="4785" w:type="dxa"/>
          </w:tcPr>
          <w:p w14:paraId="2B572234" w14:textId="77777777" w:rsidR="003F718A" w:rsidRPr="003A4667" w:rsidRDefault="003F718A" w:rsidP="00D12BD0">
            <w:pPr>
              <w:spacing w:before="40" w:after="40"/>
              <w:rPr>
                <w:b/>
                <w:sz w:val="22"/>
                <w:szCs w:val="22"/>
              </w:rPr>
            </w:pPr>
            <w:r>
              <w:rPr>
                <w:b/>
                <w:sz w:val="22"/>
                <w:szCs w:val="22"/>
              </w:rPr>
              <w:t>Position</w:t>
            </w:r>
            <w:r w:rsidRPr="003A4667">
              <w:rPr>
                <w:b/>
                <w:sz w:val="22"/>
                <w:szCs w:val="22"/>
              </w:rPr>
              <w:t>/Organisation</w:t>
            </w:r>
          </w:p>
        </w:tc>
      </w:tr>
      <w:tr w:rsidR="003F718A" w:rsidRPr="003A4667" w14:paraId="7174D95C" w14:textId="77777777" w:rsidTr="00D12BD0">
        <w:tc>
          <w:tcPr>
            <w:tcW w:w="4785" w:type="dxa"/>
          </w:tcPr>
          <w:p w14:paraId="3987547F" w14:textId="77777777" w:rsidR="003F718A" w:rsidRPr="003A4667" w:rsidRDefault="003F718A" w:rsidP="00D12BD0">
            <w:pPr>
              <w:spacing w:before="40" w:after="40"/>
              <w:rPr>
                <w:b/>
                <w:sz w:val="22"/>
                <w:szCs w:val="22"/>
              </w:rPr>
            </w:pPr>
            <w:r w:rsidRPr="003A4667">
              <w:rPr>
                <w:sz w:val="22"/>
                <w:szCs w:val="22"/>
              </w:rPr>
              <w:t>Jessica Traeger</w:t>
            </w:r>
          </w:p>
        </w:tc>
        <w:tc>
          <w:tcPr>
            <w:tcW w:w="4785" w:type="dxa"/>
          </w:tcPr>
          <w:p w14:paraId="17C1660E" w14:textId="77777777" w:rsidR="003F718A" w:rsidRPr="003A4667" w:rsidRDefault="003F718A" w:rsidP="00D12BD0">
            <w:pPr>
              <w:spacing w:before="40" w:after="40"/>
              <w:rPr>
                <w:b/>
                <w:sz w:val="22"/>
                <w:szCs w:val="22"/>
              </w:rPr>
            </w:pPr>
            <w:r w:rsidRPr="003A4667">
              <w:rPr>
                <w:sz w:val="22"/>
                <w:szCs w:val="22"/>
              </w:rPr>
              <w:t>Clinical Manager, Eldercare SA</w:t>
            </w:r>
          </w:p>
        </w:tc>
      </w:tr>
      <w:tr w:rsidR="003F718A" w:rsidRPr="003A4667" w14:paraId="0826BCEA" w14:textId="77777777" w:rsidTr="00D12BD0">
        <w:tc>
          <w:tcPr>
            <w:tcW w:w="4785" w:type="dxa"/>
          </w:tcPr>
          <w:p w14:paraId="2AC39A0E" w14:textId="77777777" w:rsidR="003F718A" w:rsidRPr="003A4667" w:rsidRDefault="003F718A" w:rsidP="00D12BD0">
            <w:pPr>
              <w:spacing w:before="40" w:after="40"/>
              <w:rPr>
                <w:b/>
                <w:sz w:val="22"/>
                <w:szCs w:val="22"/>
              </w:rPr>
            </w:pPr>
            <w:r w:rsidRPr="003A4667">
              <w:rPr>
                <w:sz w:val="22"/>
                <w:szCs w:val="22"/>
              </w:rPr>
              <w:t>Leonie Robson</w:t>
            </w:r>
          </w:p>
        </w:tc>
        <w:tc>
          <w:tcPr>
            <w:tcW w:w="4785" w:type="dxa"/>
          </w:tcPr>
          <w:p w14:paraId="2CF9D9D6" w14:textId="77777777" w:rsidR="003F718A" w:rsidRPr="003A4667" w:rsidRDefault="003F718A" w:rsidP="00D12BD0">
            <w:pPr>
              <w:spacing w:before="40" w:after="40"/>
              <w:rPr>
                <w:b/>
                <w:sz w:val="22"/>
                <w:szCs w:val="22"/>
              </w:rPr>
            </w:pPr>
            <w:r w:rsidRPr="003A4667">
              <w:rPr>
                <w:sz w:val="22"/>
                <w:szCs w:val="22"/>
              </w:rPr>
              <w:t>Senior Manager Clinical Services, Resthaven, Adelaide</w:t>
            </w:r>
          </w:p>
        </w:tc>
      </w:tr>
      <w:tr w:rsidR="003F718A" w:rsidRPr="003A4667" w14:paraId="5A970C93" w14:textId="77777777" w:rsidTr="00D12BD0">
        <w:tc>
          <w:tcPr>
            <w:tcW w:w="4785" w:type="dxa"/>
          </w:tcPr>
          <w:p w14:paraId="512A0C23" w14:textId="77777777" w:rsidR="003F718A" w:rsidRPr="003A4667" w:rsidRDefault="003F718A" w:rsidP="00D12BD0">
            <w:pPr>
              <w:spacing w:before="40" w:after="40"/>
              <w:rPr>
                <w:b/>
                <w:sz w:val="22"/>
                <w:szCs w:val="22"/>
              </w:rPr>
            </w:pPr>
            <w:r w:rsidRPr="003A4667">
              <w:rPr>
                <w:sz w:val="22"/>
                <w:szCs w:val="22"/>
              </w:rPr>
              <w:t>Leah Franklin</w:t>
            </w:r>
          </w:p>
        </w:tc>
        <w:tc>
          <w:tcPr>
            <w:tcW w:w="4785" w:type="dxa"/>
          </w:tcPr>
          <w:p w14:paraId="55207E38" w14:textId="77777777" w:rsidR="003F718A" w:rsidRPr="003A4667" w:rsidRDefault="003F718A" w:rsidP="00D12BD0">
            <w:pPr>
              <w:spacing w:before="40" w:after="40"/>
              <w:rPr>
                <w:b/>
                <w:sz w:val="22"/>
                <w:szCs w:val="22"/>
              </w:rPr>
            </w:pPr>
            <w:r w:rsidRPr="003A4667">
              <w:rPr>
                <w:sz w:val="22"/>
                <w:szCs w:val="22"/>
              </w:rPr>
              <w:t>Group ACFI Manager at McKenzie Aged Care Group Pty Ltd</w:t>
            </w:r>
          </w:p>
        </w:tc>
      </w:tr>
      <w:tr w:rsidR="003F718A" w:rsidRPr="003A4667" w14:paraId="2E851F4E" w14:textId="77777777" w:rsidTr="00D12BD0">
        <w:tc>
          <w:tcPr>
            <w:tcW w:w="4785" w:type="dxa"/>
          </w:tcPr>
          <w:p w14:paraId="6FCA4242" w14:textId="77777777" w:rsidR="003F718A" w:rsidRPr="003A4667" w:rsidRDefault="003F718A" w:rsidP="00D12BD0">
            <w:pPr>
              <w:spacing w:before="40" w:after="40"/>
              <w:rPr>
                <w:b/>
                <w:sz w:val="22"/>
                <w:szCs w:val="22"/>
              </w:rPr>
            </w:pPr>
            <w:r w:rsidRPr="003A4667">
              <w:rPr>
                <w:sz w:val="22"/>
                <w:szCs w:val="22"/>
                <w:lang w:val="pt-PT"/>
              </w:rPr>
              <w:t>Amanda Caruana</w:t>
            </w:r>
          </w:p>
        </w:tc>
        <w:tc>
          <w:tcPr>
            <w:tcW w:w="4785" w:type="dxa"/>
          </w:tcPr>
          <w:p w14:paraId="3D5CDC88" w14:textId="77777777" w:rsidR="003F718A" w:rsidRPr="003A4667" w:rsidRDefault="003F718A" w:rsidP="00D12BD0">
            <w:pPr>
              <w:spacing w:before="40" w:after="40"/>
              <w:rPr>
                <w:b/>
                <w:sz w:val="22"/>
                <w:szCs w:val="22"/>
              </w:rPr>
            </w:pPr>
            <w:r w:rsidRPr="003A4667">
              <w:rPr>
                <w:sz w:val="22"/>
                <w:szCs w:val="22"/>
                <w:lang w:val="pt-PT"/>
              </w:rPr>
              <w:t>BUPA Aged Care, Bendigo</w:t>
            </w:r>
          </w:p>
        </w:tc>
      </w:tr>
      <w:tr w:rsidR="003F718A" w:rsidRPr="003A4667" w14:paraId="34C40257" w14:textId="77777777" w:rsidTr="00D12BD0">
        <w:tc>
          <w:tcPr>
            <w:tcW w:w="4785" w:type="dxa"/>
          </w:tcPr>
          <w:p w14:paraId="440EBB44" w14:textId="77777777" w:rsidR="003F718A" w:rsidRPr="003A4667" w:rsidRDefault="003F718A" w:rsidP="00D12BD0">
            <w:pPr>
              <w:spacing w:before="40" w:after="40"/>
              <w:rPr>
                <w:b/>
                <w:sz w:val="22"/>
                <w:szCs w:val="22"/>
              </w:rPr>
            </w:pPr>
            <w:r w:rsidRPr="003A4667">
              <w:rPr>
                <w:sz w:val="22"/>
                <w:szCs w:val="22"/>
              </w:rPr>
              <w:t>Julie Heany</w:t>
            </w:r>
          </w:p>
        </w:tc>
        <w:tc>
          <w:tcPr>
            <w:tcW w:w="4785" w:type="dxa"/>
          </w:tcPr>
          <w:p w14:paraId="043307EF" w14:textId="77777777" w:rsidR="003F718A" w:rsidRPr="003A4667" w:rsidRDefault="003F718A" w:rsidP="00D12BD0">
            <w:pPr>
              <w:spacing w:before="40" w:after="40"/>
              <w:rPr>
                <w:b/>
                <w:sz w:val="22"/>
                <w:szCs w:val="22"/>
              </w:rPr>
            </w:pPr>
            <w:r w:rsidRPr="003A4667">
              <w:rPr>
                <w:sz w:val="22"/>
                <w:szCs w:val="22"/>
              </w:rPr>
              <w:t>Manager Nazareth Calvary Aged Care Facility - Belmont</w:t>
            </w:r>
          </w:p>
        </w:tc>
      </w:tr>
      <w:tr w:rsidR="003F718A" w:rsidRPr="003A4667" w14:paraId="07DA7D07" w14:textId="77777777" w:rsidTr="00D12BD0">
        <w:tc>
          <w:tcPr>
            <w:tcW w:w="4785" w:type="dxa"/>
          </w:tcPr>
          <w:p w14:paraId="5E9A8504" w14:textId="77777777" w:rsidR="003F718A" w:rsidRPr="003A4667" w:rsidRDefault="003F718A" w:rsidP="00D12BD0">
            <w:pPr>
              <w:spacing w:before="40" w:after="40"/>
              <w:rPr>
                <w:b/>
                <w:sz w:val="22"/>
                <w:szCs w:val="22"/>
              </w:rPr>
            </w:pPr>
            <w:r w:rsidRPr="003A4667">
              <w:rPr>
                <w:sz w:val="22"/>
                <w:szCs w:val="22"/>
              </w:rPr>
              <w:t>Debra Thoms</w:t>
            </w:r>
          </w:p>
        </w:tc>
        <w:tc>
          <w:tcPr>
            <w:tcW w:w="4785" w:type="dxa"/>
          </w:tcPr>
          <w:p w14:paraId="68EDDA3E" w14:textId="77777777" w:rsidR="003F718A" w:rsidRPr="003A4667" w:rsidRDefault="003F718A" w:rsidP="00D12BD0">
            <w:pPr>
              <w:spacing w:before="40" w:after="40"/>
              <w:rPr>
                <w:b/>
                <w:sz w:val="22"/>
                <w:szCs w:val="22"/>
              </w:rPr>
            </w:pPr>
            <w:r w:rsidRPr="003A4667">
              <w:rPr>
                <w:sz w:val="22"/>
                <w:szCs w:val="22"/>
              </w:rPr>
              <w:t>Chief Nursing and Midwifery Officer Department of Health</w:t>
            </w:r>
          </w:p>
        </w:tc>
      </w:tr>
      <w:tr w:rsidR="003F718A" w:rsidRPr="003A4667" w14:paraId="41623C0B" w14:textId="77777777" w:rsidTr="00D12BD0">
        <w:tc>
          <w:tcPr>
            <w:tcW w:w="4785" w:type="dxa"/>
          </w:tcPr>
          <w:p w14:paraId="63FB3CB9" w14:textId="77777777" w:rsidR="003F718A" w:rsidRPr="003A4667" w:rsidRDefault="003F718A" w:rsidP="00D12BD0">
            <w:pPr>
              <w:spacing w:before="40" w:after="40"/>
              <w:rPr>
                <w:b/>
                <w:sz w:val="22"/>
                <w:szCs w:val="22"/>
              </w:rPr>
            </w:pPr>
            <w:r w:rsidRPr="003A4667">
              <w:rPr>
                <w:sz w:val="22"/>
                <w:szCs w:val="22"/>
              </w:rPr>
              <w:t>Karen Hales</w:t>
            </w:r>
          </w:p>
        </w:tc>
        <w:tc>
          <w:tcPr>
            <w:tcW w:w="4785" w:type="dxa"/>
          </w:tcPr>
          <w:p w14:paraId="3855747A" w14:textId="77777777" w:rsidR="003F718A" w:rsidRPr="003A4667" w:rsidRDefault="003F718A" w:rsidP="00D12BD0">
            <w:pPr>
              <w:spacing w:before="40" w:after="40"/>
              <w:rPr>
                <w:b/>
                <w:sz w:val="22"/>
                <w:szCs w:val="22"/>
              </w:rPr>
            </w:pPr>
            <w:r w:rsidRPr="003A4667">
              <w:rPr>
                <w:sz w:val="22"/>
                <w:szCs w:val="22"/>
              </w:rPr>
              <w:t>Professional Officer and BPSO Clinical Lead at Australian Nursing and Midwifery Federation (SA Branch)</w:t>
            </w:r>
          </w:p>
        </w:tc>
      </w:tr>
      <w:tr w:rsidR="003F718A" w:rsidRPr="003A4667" w14:paraId="6675572D" w14:textId="77777777" w:rsidTr="00D12BD0">
        <w:tc>
          <w:tcPr>
            <w:tcW w:w="4785" w:type="dxa"/>
          </w:tcPr>
          <w:p w14:paraId="70A65606" w14:textId="77777777" w:rsidR="003F718A" w:rsidRPr="003A4667" w:rsidRDefault="003F718A" w:rsidP="00D12BD0">
            <w:pPr>
              <w:spacing w:before="40" w:after="40"/>
              <w:rPr>
                <w:b/>
                <w:sz w:val="22"/>
                <w:szCs w:val="22"/>
              </w:rPr>
            </w:pPr>
            <w:r w:rsidRPr="003A4667">
              <w:rPr>
                <w:sz w:val="22"/>
                <w:szCs w:val="22"/>
              </w:rPr>
              <w:t>Jenny Hurley</w:t>
            </w:r>
          </w:p>
        </w:tc>
        <w:tc>
          <w:tcPr>
            <w:tcW w:w="4785" w:type="dxa"/>
          </w:tcPr>
          <w:p w14:paraId="383F10D4" w14:textId="77777777" w:rsidR="003F718A" w:rsidRPr="003A4667" w:rsidRDefault="003F718A" w:rsidP="00D12BD0">
            <w:pPr>
              <w:spacing w:before="40" w:after="40"/>
              <w:rPr>
                <w:b/>
                <w:sz w:val="22"/>
                <w:szCs w:val="22"/>
              </w:rPr>
            </w:pPr>
            <w:r w:rsidRPr="003A4667">
              <w:rPr>
                <w:sz w:val="22"/>
                <w:szCs w:val="22"/>
              </w:rPr>
              <w:t xml:space="preserve">Nursing Director, Operating Room Service at Royal Adelaide </w:t>
            </w:r>
            <w:r>
              <w:rPr>
                <w:sz w:val="22"/>
                <w:szCs w:val="22"/>
              </w:rPr>
              <w:t>Hospital</w:t>
            </w:r>
          </w:p>
        </w:tc>
      </w:tr>
      <w:tr w:rsidR="003F718A" w:rsidRPr="003A4667" w14:paraId="25617DCE" w14:textId="77777777" w:rsidTr="00D12BD0">
        <w:tc>
          <w:tcPr>
            <w:tcW w:w="4785" w:type="dxa"/>
          </w:tcPr>
          <w:p w14:paraId="3E9E4219" w14:textId="77777777" w:rsidR="003F718A" w:rsidRPr="003A4667" w:rsidRDefault="003F718A" w:rsidP="00D12BD0">
            <w:pPr>
              <w:spacing w:before="40" w:after="40"/>
              <w:rPr>
                <w:b/>
                <w:sz w:val="22"/>
                <w:szCs w:val="22"/>
              </w:rPr>
            </w:pPr>
            <w:r w:rsidRPr="003A4667">
              <w:rPr>
                <w:sz w:val="22"/>
                <w:szCs w:val="22"/>
              </w:rPr>
              <w:t>Peter Samsa</w:t>
            </w:r>
          </w:p>
        </w:tc>
        <w:tc>
          <w:tcPr>
            <w:tcW w:w="4785" w:type="dxa"/>
          </w:tcPr>
          <w:p w14:paraId="585A905F" w14:textId="77777777" w:rsidR="003F718A" w:rsidRPr="003A4667" w:rsidRDefault="003F718A" w:rsidP="00D12BD0">
            <w:pPr>
              <w:spacing w:before="40" w:after="40"/>
              <w:rPr>
                <w:b/>
                <w:sz w:val="22"/>
                <w:szCs w:val="22"/>
              </w:rPr>
            </w:pPr>
            <w:r w:rsidRPr="003A4667">
              <w:rPr>
                <w:sz w:val="22"/>
                <w:szCs w:val="22"/>
              </w:rPr>
              <w:t>Research Fellow, Australian Health Services Research Institute</w:t>
            </w:r>
          </w:p>
        </w:tc>
      </w:tr>
      <w:tr w:rsidR="003F718A" w:rsidRPr="003A4667" w14:paraId="45869AD3" w14:textId="77777777" w:rsidTr="00D12BD0">
        <w:tc>
          <w:tcPr>
            <w:tcW w:w="4785" w:type="dxa"/>
          </w:tcPr>
          <w:p w14:paraId="282413E4" w14:textId="77777777" w:rsidR="003F718A" w:rsidRPr="003A4667" w:rsidRDefault="003F718A" w:rsidP="00D12BD0">
            <w:pPr>
              <w:spacing w:before="40" w:after="40"/>
              <w:rPr>
                <w:b/>
                <w:sz w:val="22"/>
                <w:szCs w:val="22"/>
              </w:rPr>
            </w:pPr>
            <w:r w:rsidRPr="003A4667">
              <w:rPr>
                <w:sz w:val="22"/>
                <w:szCs w:val="22"/>
              </w:rPr>
              <w:t>Cathy Duncan</w:t>
            </w:r>
          </w:p>
        </w:tc>
        <w:tc>
          <w:tcPr>
            <w:tcW w:w="4785" w:type="dxa"/>
          </w:tcPr>
          <w:p w14:paraId="0B1BD352" w14:textId="77777777" w:rsidR="003F718A" w:rsidRPr="003A4667" w:rsidRDefault="003F718A" w:rsidP="00D12BD0">
            <w:pPr>
              <w:spacing w:before="40" w:after="40"/>
              <w:rPr>
                <w:b/>
                <w:sz w:val="22"/>
                <w:szCs w:val="22"/>
              </w:rPr>
            </w:pPr>
            <w:r w:rsidRPr="003A4667">
              <w:rPr>
                <w:sz w:val="22"/>
                <w:szCs w:val="22"/>
              </w:rPr>
              <w:t>Research Fellow, Australian Health Services Research Institute</w:t>
            </w:r>
          </w:p>
        </w:tc>
      </w:tr>
      <w:tr w:rsidR="003F718A" w:rsidRPr="003A4667" w14:paraId="56A01761" w14:textId="77777777" w:rsidTr="00D12BD0">
        <w:tc>
          <w:tcPr>
            <w:tcW w:w="4785" w:type="dxa"/>
          </w:tcPr>
          <w:p w14:paraId="57EE66AB" w14:textId="77777777" w:rsidR="003F718A" w:rsidRPr="003A4667" w:rsidRDefault="003F718A" w:rsidP="00D12BD0">
            <w:pPr>
              <w:spacing w:before="40" w:after="40"/>
              <w:rPr>
                <w:b/>
                <w:sz w:val="22"/>
                <w:szCs w:val="22"/>
              </w:rPr>
            </w:pPr>
            <w:r w:rsidRPr="003A4667">
              <w:rPr>
                <w:sz w:val="22"/>
                <w:szCs w:val="22"/>
              </w:rPr>
              <w:t>Anita Westera</w:t>
            </w:r>
          </w:p>
        </w:tc>
        <w:tc>
          <w:tcPr>
            <w:tcW w:w="4785" w:type="dxa"/>
          </w:tcPr>
          <w:p w14:paraId="6FE59C0A" w14:textId="77777777" w:rsidR="003F718A" w:rsidRPr="003A4667" w:rsidRDefault="003F718A" w:rsidP="00D12BD0">
            <w:pPr>
              <w:spacing w:before="40" w:after="40"/>
              <w:rPr>
                <w:b/>
                <w:sz w:val="22"/>
                <w:szCs w:val="22"/>
              </w:rPr>
            </w:pPr>
            <w:r w:rsidRPr="003A4667">
              <w:rPr>
                <w:sz w:val="22"/>
                <w:szCs w:val="22"/>
              </w:rPr>
              <w:t>Research Fellow, Australian Health Services Research Institute</w:t>
            </w:r>
          </w:p>
        </w:tc>
      </w:tr>
    </w:tbl>
    <w:p w14:paraId="12AE6CE2" w14:textId="77777777" w:rsidR="003D574B" w:rsidRDefault="003D574B" w:rsidP="003D574B">
      <w:pPr>
        <w:rPr>
          <w:rFonts w:ascii="Calibri" w:eastAsiaTheme="majorEastAsia" w:hAnsi="Calibri" w:cstheme="majorBidi"/>
          <w:b/>
          <w:bCs/>
          <w:sz w:val="28"/>
          <w:szCs w:val="28"/>
        </w:rPr>
      </w:pPr>
      <w:bookmarkStart w:id="177" w:name="_Appendix_3:_Extract"/>
      <w:bookmarkEnd w:id="177"/>
      <w:r>
        <w:br w:type="page"/>
      </w:r>
    </w:p>
    <w:p w14:paraId="64DC6C1B" w14:textId="77777777" w:rsidR="000E22B5" w:rsidRPr="000E22B5" w:rsidRDefault="000E22B5" w:rsidP="000E22B5">
      <w:pPr>
        <w:pStyle w:val="Normal-nospacing"/>
        <w:rPr>
          <w:sz w:val="4"/>
          <w:szCs w:val="4"/>
        </w:rPr>
      </w:pPr>
      <w:bookmarkStart w:id="178" w:name="_Ref533167989"/>
      <w:bookmarkStart w:id="179" w:name="_Ref533168007"/>
      <w:bookmarkStart w:id="180" w:name="_Ref533168014"/>
    </w:p>
    <w:p w14:paraId="772C39FF" w14:textId="70BC426B" w:rsidR="000E22B5" w:rsidRDefault="003D574B" w:rsidP="00026FD1">
      <w:pPr>
        <w:pStyle w:val="Heading1"/>
        <w:numPr>
          <w:ilvl w:val="0"/>
          <w:numId w:val="0"/>
        </w:numPr>
      </w:pPr>
      <w:bookmarkStart w:id="181" w:name="_Ref534362073"/>
      <w:bookmarkStart w:id="182" w:name="_Toc2005272"/>
      <w:r>
        <w:t>Appendix 3</w:t>
      </w:r>
      <w:bookmarkEnd w:id="181"/>
      <w:bookmarkEnd w:id="182"/>
    </w:p>
    <w:p w14:paraId="5A46977E" w14:textId="6BC90176" w:rsidR="003D574B" w:rsidRPr="003D574B" w:rsidRDefault="003D574B" w:rsidP="000E22B5">
      <w:pPr>
        <w:pStyle w:val="Heading2"/>
        <w:numPr>
          <w:ilvl w:val="0"/>
          <w:numId w:val="0"/>
        </w:numPr>
      </w:pPr>
      <w:bookmarkStart w:id="183" w:name="_Toc2005273"/>
      <w:r>
        <w:t xml:space="preserve">Summary </w:t>
      </w:r>
      <w:r w:rsidR="00E90708">
        <w:t>of clinical</w:t>
      </w:r>
      <w:r>
        <w:t xml:space="preserve"> panel recommendations</w:t>
      </w:r>
      <w:bookmarkEnd w:id="178"/>
      <w:bookmarkEnd w:id="179"/>
      <w:bookmarkEnd w:id="180"/>
      <w:bookmarkEnd w:id="183"/>
    </w:p>
    <w:tbl>
      <w:tblPr>
        <w:tblStyle w:val="TableGrid"/>
        <w:tblW w:w="0" w:type="auto"/>
        <w:tblLook w:val="04A0" w:firstRow="1" w:lastRow="0" w:firstColumn="1" w:lastColumn="0" w:noHBand="0" w:noVBand="1"/>
        <w:tblDescription w:val="This table presents a summary of the recommendations of each of the four clinical panels: Function Cognition and Behaviour Specialist Advisory Panel, End of Life Specialist Advisory Panel, Wound Care Specialist Advisory Panel, Nursing Specialist Advisory Panel. This table is to be read left to right, top to bottom (name of panel followed by outcomes)."/>
      </w:tblPr>
      <w:tblGrid>
        <w:gridCol w:w="2122"/>
        <w:gridCol w:w="6894"/>
      </w:tblGrid>
      <w:tr w:rsidR="003D574B" w:rsidRPr="00DB1B82" w14:paraId="78C59284" w14:textId="77777777" w:rsidTr="003D574B">
        <w:trPr>
          <w:tblHeader/>
        </w:trPr>
        <w:tc>
          <w:tcPr>
            <w:tcW w:w="2122" w:type="dxa"/>
            <w:tcBorders>
              <w:top w:val="single" w:sz="4" w:space="0" w:color="auto"/>
              <w:left w:val="single" w:sz="4" w:space="0" w:color="auto"/>
              <w:bottom w:val="single" w:sz="4" w:space="0" w:color="auto"/>
              <w:right w:val="single" w:sz="4" w:space="0" w:color="auto"/>
            </w:tcBorders>
            <w:hideMark/>
          </w:tcPr>
          <w:p w14:paraId="6FC69373" w14:textId="77777777" w:rsidR="003D574B" w:rsidRPr="00DB1B82" w:rsidRDefault="003D574B" w:rsidP="003D574B">
            <w:pPr>
              <w:rPr>
                <w:b/>
                <w:sz w:val="22"/>
                <w:szCs w:val="22"/>
              </w:rPr>
            </w:pPr>
            <w:r w:rsidRPr="00DB1B82">
              <w:rPr>
                <w:b/>
                <w:sz w:val="22"/>
                <w:szCs w:val="22"/>
              </w:rPr>
              <w:t>Panel</w:t>
            </w:r>
          </w:p>
        </w:tc>
        <w:tc>
          <w:tcPr>
            <w:tcW w:w="6894" w:type="dxa"/>
            <w:tcBorders>
              <w:top w:val="single" w:sz="4" w:space="0" w:color="auto"/>
              <w:left w:val="single" w:sz="4" w:space="0" w:color="auto"/>
              <w:bottom w:val="single" w:sz="4" w:space="0" w:color="auto"/>
              <w:right w:val="single" w:sz="4" w:space="0" w:color="auto"/>
            </w:tcBorders>
            <w:hideMark/>
          </w:tcPr>
          <w:p w14:paraId="30138AEE" w14:textId="77777777" w:rsidR="003D574B" w:rsidRPr="00DB1B82" w:rsidRDefault="003D574B" w:rsidP="003D574B">
            <w:pPr>
              <w:rPr>
                <w:b/>
                <w:sz w:val="22"/>
                <w:szCs w:val="22"/>
              </w:rPr>
            </w:pPr>
            <w:r w:rsidRPr="00DB1B82">
              <w:rPr>
                <w:b/>
                <w:sz w:val="22"/>
                <w:szCs w:val="22"/>
              </w:rPr>
              <w:t>Outcomes</w:t>
            </w:r>
          </w:p>
        </w:tc>
      </w:tr>
      <w:tr w:rsidR="003D574B" w:rsidRPr="00DB1B82" w14:paraId="6B3926FB" w14:textId="77777777" w:rsidTr="003D574B">
        <w:tc>
          <w:tcPr>
            <w:tcW w:w="2122" w:type="dxa"/>
            <w:tcBorders>
              <w:top w:val="single" w:sz="4" w:space="0" w:color="auto"/>
              <w:left w:val="single" w:sz="4" w:space="0" w:color="auto"/>
              <w:bottom w:val="single" w:sz="4" w:space="0" w:color="auto"/>
              <w:right w:val="single" w:sz="4" w:space="0" w:color="auto"/>
            </w:tcBorders>
            <w:hideMark/>
          </w:tcPr>
          <w:p w14:paraId="4E92CBC9" w14:textId="77777777" w:rsidR="003D574B" w:rsidRPr="00DB1B82" w:rsidRDefault="003D574B" w:rsidP="003D574B">
            <w:pPr>
              <w:rPr>
                <w:sz w:val="22"/>
                <w:szCs w:val="22"/>
              </w:rPr>
            </w:pPr>
            <w:r w:rsidRPr="00DB1B82">
              <w:rPr>
                <w:sz w:val="22"/>
                <w:szCs w:val="22"/>
              </w:rPr>
              <w:t>Function, cognition and behaviour specialist advisory panel</w:t>
            </w:r>
          </w:p>
        </w:tc>
        <w:tc>
          <w:tcPr>
            <w:tcW w:w="6894" w:type="dxa"/>
            <w:tcBorders>
              <w:top w:val="single" w:sz="4" w:space="0" w:color="auto"/>
              <w:left w:val="single" w:sz="4" w:space="0" w:color="auto"/>
              <w:bottom w:val="single" w:sz="4" w:space="0" w:color="auto"/>
              <w:right w:val="single" w:sz="4" w:space="0" w:color="auto"/>
            </w:tcBorders>
            <w:hideMark/>
          </w:tcPr>
          <w:p w14:paraId="70A0C558" w14:textId="77777777" w:rsidR="003D574B" w:rsidRPr="00DB1B82" w:rsidRDefault="003D574B" w:rsidP="00B85702">
            <w:pPr>
              <w:numPr>
                <w:ilvl w:val="0"/>
                <w:numId w:val="9"/>
              </w:numPr>
              <w:ind w:left="258" w:hanging="258"/>
              <w:rPr>
                <w:sz w:val="22"/>
                <w:szCs w:val="22"/>
              </w:rPr>
            </w:pPr>
            <w:r w:rsidRPr="00DB1B82">
              <w:rPr>
                <w:sz w:val="22"/>
                <w:szCs w:val="22"/>
              </w:rPr>
              <w:t>Domains and assessment tools:</w:t>
            </w:r>
          </w:p>
          <w:p w14:paraId="62BFAD50" w14:textId="77777777" w:rsidR="003D574B" w:rsidRPr="00DB1B82" w:rsidRDefault="003D574B" w:rsidP="00B85702">
            <w:pPr>
              <w:numPr>
                <w:ilvl w:val="1"/>
                <w:numId w:val="9"/>
              </w:numPr>
              <w:ind w:left="542" w:hanging="284"/>
              <w:rPr>
                <w:sz w:val="22"/>
                <w:szCs w:val="22"/>
              </w:rPr>
            </w:pPr>
            <w:r w:rsidRPr="00DB1B82">
              <w:rPr>
                <w:sz w:val="22"/>
                <w:szCs w:val="22"/>
              </w:rPr>
              <w:t>Function – FIM Motor (Modified), DEMMI, RUG-ADL</w:t>
            </w:r>
          </w:p>
          <w:p w14:paraId="6E68C913" w14:textId="77777777" w:rsidR="003D574B" w:rsidRPr="00DB1B82" w:rsidRDefault="003D574B" w:rsidP="00B85702">
            <w:pPr>
              <w:numPr>
                <w:ilvl w:val="1"/>
                <w:numId w:val="9"/>
              </w:numPr>
              <w:ind w:left="542" w:hanging="284"/>
              <w:rPr>
                <w:sz w:val="22"/>
                <w:szCs w:val="22"/>
              </w:rPr>
            </w:pPr>
            <w:r w:rsidRPr="00DB1B82">
              <w:rPr>
                <w:sz w:val="22"/>
                <w:szCs w:val="22"/>
              </w:rPr>
              <w:t>Cognition/Communication – FIM Cognition</w:t>
            </w:r>
          </w:p>
          <w:p w14:paraId="44F6D723" w14:textId="77777777" w:rsidR="003D574B" w:rsidRPr="00DB1B82" w:rsidRDefault="003D574B" w:rsidP="00B85702">
            <w:pPr>
              <w:numPr>
                <w:ilvl w:val="1"/>
                <w:numId w:val="9"/>
              </w:numPr>
              <w:ind w:left="542" w:hanging="284"/>
              <w:rPr>
                <w:sz w:val="22"/>
                <w:szCs w:val="22"/>
              </w:rPr>
            </w:pPr>
            <w:r w:rsidRPr="00DB1B82">
              <w:rPr>
                <w:sz w:val="22"/>
                <w:szCs w:val="22"/>
              </w:rPr>
              <w:t>Behaviour, Harm, Anxiety, Distress – NPI-NH</w:t>
            </w:r>
          </w:p>
          <w:p w14:paraId="4CA82FA8" w14:textId="70755B5F" w:rsidR="003D574B" w:rsidRPr="00DB1B82" w:rsidRDefault="003D574B" w:rsidP="00B85702">
            <w:pPr>
              <w:numPr>
                <w:ilvl w:val="1"/>
                <w:numId w:val="9"/>
              </w:numPr>
              <w:ind w:left="542" w:hanging="284"/>
              <w:rPr>
                <w:sz w:val="22"/>
                <w:szCs w:val="22"/>
              </w:rPr>
            </w:pPr>
            <w:r w:rsidRPr="00DB1B82">
              <w:rPr>
                <w:sz w:val="22"/>
                <w:szCs w:val="22"/>
              </w:rPr>
              <w:t>Frailty – Rockwood, History of falls, Weight loss</w:t>
            </w:r>
          </w:p>
        </w:tc>
      </w:tr>
      <w:tr w:rsidR="003D574B" w:rsidRPr="00DB1B82" w14:paraId="6981D2AF" w14:textId="77777777" w:rsidTr="003D574B">
        <w:tc>
          <w:tcPr>
            <w:tcW w:w="2122" w:type="dxa"/>
            <w:tcBorders>
              <w:top w:val="single" w:sz="4" w:space="0" w:color="auto"/>
              <w:left w:val="single" w:sz="4" w:space="0" w:color="auto"/>
              <w:bottom w:val="single" w:sz="4" w:space="0" w:color="auto"/>
              <w:right w:val="single" w:sz="4" w:space="0" w:color="auto"/>
            </w:tcBorders>
            <w:hideMark/>
          </w:tcPr>
          <w:p w14:paraId="0A995B0E" w14:textId="77777777" w:rsidR="003D574B" w:rsidRPr="00DB1B82" w:rsidRDefault="003D574B" w:rsidP="003D574B">
            <w:pPr>
              <w:rPr>
                <w:sz w:val="22"/>
                <w:szCs w:val="22"/>
              </w:rPr>
            </w:pPr>
            <w:r w:rsidRPr="00DB1B82">
              <w:rPr>
                <w:sz w:val="22"/>
                <w:szCs w:val="22"/>
              </w:rPr>
              <w:t>End of life specialist advisory panel</w:t>
            </w:r>
          </w:p>
        </w:tc>
        <w:tc>
          <w:tcPr>
            <w:tcW w:w="6894" w:type="dxa"/>
            <w:tcBorders>
              <w:top w:val="single" w:sz="4" w:space="0" w:color="auto"/>
              <w:left w:val="single" w:sz="4" w:space="0" w:color="auto"/>
              <w:bottom w:val="single" w:sz="4" w:space="0" w:color="auto"/>
              <w:right w:val="single" w:sz="4" w:space="0" w:color="auto"/>
            </w:tcBorders>
            <w:hideMark/>
          </w:tcPr>
          <w:p w14:paraId="3846E2E8" w14:textId="77777777" w:rsidR="003D574B" w:rsidRPr="00DB1B82" w:rsidRDefault="003D574B" w:rsidP="00B85702">
            <w:pPr>
              <w:numPr>
                <w:ilvl w:val="0"/>
                <w:numId w:val="9"/>
              </w:numPr>
              <w:ind w:left="258" w:hanging="258"/>
              <w:rPr>
                <w:sz w:val="22"/>
                <w:szCs w:val="22"/>
              </w:rPr>
            </w:pPr>
            <w:r w:rsidRPr="00DB1B82">
              <w:rPr>
                <w:sz w:val="22"/>
                <w:szCs w:val="22"/>
              </w:rPr>
              <w:t>Language – “palliative care”</w:t>
            </w:r>
          </w:p>
          <w:p w14:paraId="127BA850" w14:textId="64EC9CFE" w:rsidR="003D574B" w:rsidRPr="00DB1B82" w:rsidRDefault="003D574B" w:rsidP="00B85702">
            <w:pPr>
              <w:numPr>
                <w:ilvl w:val="0"/>
                <w:numId w:val="9"/>
              </w:numPr>
              <w:ind w:left="258" w:hanging="258"/>
              <w:rPr>
                <w:sz w:val="22"/>
                <w:szCs w:val="22"/>
              </w:rPr>
            </w:pPr>
            <w:r w:rsidRPr="00DB1B82">
              <w:rPr>
                <w:sz w:val="22"/>
                <w:szCs w:val="22"/>
              </w:rPr>
              <w:t>Collect Australia-m</w:t>
            </w:r>
            <w:r w:rsidR="003712C2">
              <w:rPr>
                <w:sz w:val="22"/>
                <w:szCs w:val="22"/>
              </w:rPr>
              <w:t>odified Karnofsky Performance Status</w:t>
            </w:r>
            <w:r w:rsidRPr="00DB1B82">
              <w:rPr>
                <w:sz w:val="22"/>
                <w:szCs w:val="22"/>
              </w:rPr>
              <w:t xml:space="preserve"> (AKPS) on everyone</w:t>
            </w:r>
          </w:p>
          <w:p w14:paraId="2CF4CA39" w14:textId="77777777" w:rsidR="003D574B" w:rsidRPr="00DB1B82" w:rsidRDefault="003D574B" w:rsidP="00B85702">
            <w:pPr>
              <w:numPr>
                <w:ilvl w:val="0"/>
                <w:numId w:val="9"/>
              </w:numPr>
              <w:ind w:left="258" w:hanging="258"/>
              <w:rPr>
                <w:sz w:val="22"/>
                <w:szCs w:val="22"/>
              </w:rPr>
            </w:pPr>
            <w:r w:rsidRPr="00DB1B82">
              <w:rPr>
                <w:sz w:val="22"/>
                <w:szCs w:val="22"/>
              </w:rPr>
              <w:t>Admit for residential palliative care:</w:t>
            </w:r>
          </w:p>
          <w:p w14:paraId="45FEB949" w14:textId="77777777" w:rsidR="003D574B" w:rsidRPr="00DB1B82" w:rsidRDefault="003D574B" w:rsidP="00B85702">
            <w:pPr>
              <w:numPr>
                <w:ilvl w:val="1"/>
                <w:numId w:val="9"/>
              </w:numPr>
              <w:ind w:left="542" w:hanging="284"/>
              <w:rPr>
                <w:sz w:val="22"/>
                <w:szCs w:val="22"/>
              </w:rPr>
            </w:pPr>
            <w:r w:rsidRPr="00DB1B82">
              <w:rPr>
                <w:sz w:val="22"/>
                <w:szCs w:val="22"/>
              </w:rPr>
              <w:t>Prognosis &lt;3 months</w:t>
            </w:r>
          </w:p>
          <w:p w14:paraId="5816F16C" w14:textId="69B24E8B" w:rsidR="003D574B" w:rsidRPr="00DB1B82" w:rsidRDefault="003D574B" w:rsidP="00B85702">
            <w:pPr>
              <w:numPr>
                <w:ilvl w:val="1"/>
                <w:numId w:val="9"/>
              </w:numPr>
              <w:ind w:left="542" w:hanging="284"/>
              <w:rPr>
                <w:sz w:val="22"/>
                <w:szCs w:val="22"/>
              </w:rPr>
            </w:pPr>
            <w:r w:rsidRPr="00DB1B82">
              <w:rPr>
                <w:sz w:val="22"/>
                <w:szCs w:val="22"/>
              </w:rPr>
              <w:t>Existing palliative care plan (primar</w:t>
            </w:r>
            <w:r w:rsidR="00BC67F3">
              <w:rPr>
                <w:sz w:val="22"/>
                <w:szCs w:val="22"/>
              </w:rPr>
              <w:t>y care or palliative care team)</w:t>
            </w:r>
          </w:p>
          <w:p w14:paraId="03389627" w14:textId="30F9E22B" w:rsidR="003D574B" w:rsidRPr="00DB1B82" w:rsidRDefault="003D574B" w:rsidP="00B85702">
            <w:pPr>
              <w:numPr>
                <w:ilvl w:val="1"/>
                <w:numId w:val="9"/>
              </w:numPr>
              <w:ind w:left="542" w:hanging="284"/>
              <w:rPr>
                <w:sz w:val="22"/>
                <w:szCs w:val="22"/>
              </w:rPr>
            </w:pPr>
            <w:r w:rsidRPr="00DB1B82">
              <w:rPr>
                <w:sz w:val="22"/>
                <w:szCs w:val="22"/>
              </w:rPr>
              <w:t>Collect AKPS, RUG-AD</w:t>
            </w:r>
            <w:r w:rsidR="00BD6315">
              <w:rPr>
                <w:sz w:val="22"/>
                <w:szCs w:val="22"/>
              </w:rPr>
              <w:t>L</w:t>
            </w:r>
            <w:r w:rsidRPr="00DB1B82">
              <w:rPr>
                <w:sz w:val="22"/>
                <w:szCs w:val="22"/>
              </w:rPr>
              <w:t>, Phase, Malignancy (yes/no)</w:t>
            </w:r>
          </w:p>
          <w:p w14:paraId="2CE50872" w14:textId="77777777" w:rsidR="003D574B" w:rsidRPr="00DB1B82" w:rsidRDefault="003D574B" w:rsidP="00B85702">
            <w:pPr>
              <w:numPr>
                <w:ilvl w:val="0"/>
                <w:numId w:val="9"/>
              </w:numPr>
              <w:ind w:left="258" w:hanging="258"/>
              <w:rPr>
                <w:sz w:val="22"/>
                <w:szCs w:val="22"/>
              </w:rPr>
            </w:pPr>
            <w:r w:rsidRPr="00DB1B82">
              <w:rPr>
                <w:sz w:val="22"/>
                <w:szCs w:val="22"/>
              </w:rPr>
              <w:t>Residents who become palliative while in residential care are re-assessed as per any other change in care requirements</w:t>
            </w:r>
          </w:p>
        </w:tc>
      </w:tr>
      <w:tr w:rsidR="003D574B" w:rsidRPr="00DB1B82" w14:paraId="17DB5074" w14:textId="77777777" w:rsidTr="003D574B">
        <w:tc>
          <w:tcPr>
            <w:tcW w:w="2122" w:type="dxa"/>
            <w:tcBorders>
              <w:top w:val="single" w:sz="4" w:space="0" w:color="auto"/>
              <w:left w:val="single" w:sz="4" w:space="0" w:color="auto"/>
              <w:bottom w:val="single" w:sz="4" w:space="0" w:color="auto"/>
              <w:right w:val="single" w:sz="4" w:space="0" w:color="auto"/>
            </w:tcBorders>
            <w:hideMark/>
          </w:tcPr>
          <w:p w14:paraId="347C692E" w14:textId="77777777" w:rsidR="003D574B" w:rsidRPr="00DB1B82" w:rsidRDefault="003D574B" w:rsidP="003D574B">
            <w:pPr>
              <w:rPr>
                <w:sz w:val="22"/>
                <w:szCs w:val="22"/>
              </w:rPr>
            </w:pPr>
            <w:r w:rsidRPr="00DB1B82">
              <w:rPr>
                <w:sz w:val="22"/>
                <w:szCs w:val="22"/>
              </w:rPr>
              <w:t>Wound care specialist advisory panel</w:t>
            </w:r>
          </w:p>
        </w:tc>
        <w:tc>
          <w:tcPr>
            <w:tcW w:w="6894" w:type="dxa"/>
            <w:tcBorders>
              <w:top w:val="single" w:sz="4" w:space="0" w:color="auto"/>
              <w:left w:val="single" w:sz="4" w:space="0" w:color="auto"/>
              <w:bottom w:val="single" w:sz="4" w:space="0" w:color="auto"/>
              <w:right w:val="single" w:sz="4" w:space="0" w:color="auto"/>
            </w:tcBorders>
            <w:hideMark/>
          </w:tcPr>
          <w:p w14:paraId="23DBC8E1" w14:textId="77777777" w:rsidR="003D574B" w:rsidRPr="00DB1B82" w:rsidRDefault="003D574B" w:rsidP="00B85702">
            <w:pPr>
              <w:numPr>
                <w:ilvl w:val="0"/>
                <w:numId w:val="9"/>
              </w:numPr>
              <w:ind w:left="258" w:hanging="258"/>
              <w:rPr>
                <w:sz w:val="22"/>
                <w:szCs w:val="22"/>
              </w:rPr>
            </w:pPr>
            <w:r w:rsidRPr="00DB1B82">
              <w:rPr>
                <w:sz w:val="22"/>
                <w:szCs w:val="22"/>
              </w:rPr>
              <w:t>Residents with high risk for wounds have similar care needs to those with wounds</w:t>
            </w:r>
          </w:p>
          <w:p w14:paraId="41B617EF" w14:textId="77777777" w:rsidR="003D574B" w:rsidRPr="00DB1B82" w:rsidRDefault="003D574B" w:rsidP="00B85702">
            <w:pPr>
              <w:numPr>
                <w:ilvl w:val="0"/>
                <w:numId w:val="9"/>
              </w:numPr>
              <w:ind w:left="258" w:hanging="258"/>
              <w:rPr>
                <w:sz w:val="22"/>
                <w:szCs w:val="22"/>
              </w:rPr>
            </w:pPr>
            <w:r w:rsidRPr="00DB1B82">
              <w:rPr>
                <w:sz w:val="22"/>
                <w:szCs w:val="22"/>
              </w:rPr>
              <w:t>Wounds to be considered as a compounding factor</w:t>
            </w:r>
          </w:p>
          <w:p w14:paraId="01C10E82" w14:textId="77777777" w:rsidR="003D574B" w:rsidRPr="00DB1B82" w:rsidRDefault="003D574B" w:rsidP="00B85702">
            <w:pPr>
              <w:numPr>
                <w:ilvl w:val="0"/>
                <w:numId w:val="9"/>
              </w:numPr>
              <w:ind w:left="258" w:hanging="258"/>
              <w:rPr>
                <w:sz w:val="22"/>
                <w:szCs w:val="22"/>
              </w:rPr>
            </w:pPr>
            <w:r>
              <w:rPr>
                <w:sz w:val="22"/>
                <w:szCs w:val="22"/>
              </w:rPr>
              <w:t>All assessed usi</w:t>
            </w:r>
            <w:r w:rsidRPr="00DB1B82">
              <w:rPr>
                <w:sz w:val="22"/>
                <w:szCs w:val="22"/>
              </w:rPr>
              <w:t xml:space="preserve">ng the </w:t>
            </w:r>
            <w:r>
              <w:rPr>
                <w:sz w:val="22"/>
                <w:szCs w:val="22"/>
              </w:rPr>
              <w:t xml:space="preserve">6 item </w:t>
            </w:r>
            <w:r w:rsidRPr="00DB1B82">
              <w:rPr>
                <w:sz w:val="22"/>
                <w:szCs w:val="22"/>
              </w:rPr>
              <w:t>Braden Scale for Predicting Pressure Sore Risk:</w:t>
            </w:r>
            <w:r>
              <w:rPr>
                <w:sz w:val="22"/>
                <w:szCs w:val="22"/>
              </w:rPr>
              <w:t xml:space="preserve"> </w:t>
            </w:r>
            <w:r w:rsidRPr="00DB1B82">
              <w:rPr>
                <w:sz w:val="22"/>
                <w:szCs w:val="22"/>
              </w:rPr>
              <w:t>sensory perception, moisture, activity, mobility, nutrition and friction/shear</w:t>
            </w:r>
          </w:p>
          <w:p w14:paraId="66564D2B" w14:textId="2C7DD5A5" w:rsidR="003D574B" w:rsidRPr="00DB1B82" w:rsidRDefault="003D574B" w:rsidP="00B85702">
            <w:pPr>
              <w:numPr>
                <w:ilvl w:val="0"/>
                <w:numId w:val="9"/>
              </w:numPr>
              <w:ind w:left="258" w:hanging="258"/>
              <w:rPr>
                <w:sz w:val="22"/>
                <w:szCs w:val="22"/>
              </w:rPr>
            </w:pPr>
            <w:r w:rsidRPr="00DB1B82">
              <w:rPr>
                <w:sz w:val="22"/>
                <w:szCs w:val="22"/>
              </w:rPr>
              <w:t>No reassessme</w:t>
            </w:r>
            <w:r w:rsidR="00BC67F3">
              <w:rPr>
                <w:sz w:val="22"/>
                <w:szCs w:val="22"/>
              </w:rPr>
              <w:t>nt protocol for wounds required</w:t>
            </w:r>
          </w:p>
        </w:tc>
      </w:tr>
      <w:tr w:rsidR="003D574B" w:rsidRPr="00DB1B82" w14:paraId="11D4F83B" w14:textId="77777777" w:rsidTr="003D574B">
        <w:tc>
          <w:tcPr>
            <w:tcW w:w="2122" w:type="dxa"/>
            <w:tcBorders>
              <w:top w:val="single" w:sz="4" w:space="0" w:color="auto"/>
              <w:left w:val="single" w:sz="4" w:space="0" w:color="auto"/>
              <w:bottom w:val="single" w:sz="4" w:space="0" w:color="auto"/>
              <w:right w:val="single" w:sz="4" w:space="0" w:color="auto"/>
            </w:tcBorders>
            <w:hideMark/>
          </w:tcPr>
          <w:p w14:paraId="53AA36D9" w14:textId="77777777" w:rsidR="003D574B" w:rsidRPr="00DB1B82" w:rsidRDefault="003D574B" w:rsidP="003D574B">
            <w:pPr>
              <w:rPr>
                <w:sz w:val="22"/>
                <w:szCs w:val="22"/>
              </w:rPr>
            </w:pPr>
            <w:r w:rsidRPr="00DB1B82">
              <w:rPr>
                <w:sz w:val="22"/>
                <w:szCs w:val="22"/>
              </w:rPr>
              <w:t>Nursing specialist advisory panel</w:t>
            </w:r>
          </w:p>
        </w:tc>
        <w:tc>
          <w:tcPr>
            <w:tcW w:w="6894" w:type="dxa"/>
            <w:tcBorders>
              <w:top w:val="single" w:sz="4" w:space="0" w:color="auto"/>
              <w:left w:val="single" w:sz="4" w:space="0" w:color="auto"/>
              <w:bottom w:val="single" w:sz="4" w:space="0" w:color="auto"/>
              <w:right w:val="single" w:sz="4" w:space="0" w:color="auto"/>
            </w:tcBorders>
            <w:hideMark/>
          </w:tcPr>
          <w:p w14:paraId="44071253" w14:textId="77777777" w:rsidR="003D574B" w:rsidRPr="00DB1B82" w:rsidRDefault="003D574B" w:rsidP="00B85702">
            <w:pPr>
              <w:numPr>
                <w:ilvl w:val="0"/>
                <w:numId w:val="9"/>
              </w:numPr>
              <w:ind w:left="258" w:hanging="258"/>
              <w:rPr>
                <w:sz w:val="22"/>
                <w:szCs w:val="22"/>
              </w:rPr>
            </w:pPr>
            <w:r w:rsidRPr="00DB1B82">
              <w:rPr>
                <w:sz w:val="22"/>
                <w:szCs w:val="22"/>
              </w:rPr>
              <w:t>Technical nursing care requirements:</w:t>
            </w:r>
          </w:p>
          <w:p w14:paraId="5E56DEC8" w14:textId="77777777" w:rsidR="003D574B" w:rsidRPr="00DB1B82" w:rsidRDefault="003D574B" w:rsidP="00B85702">
            <w:pPr>
              <w:numPr>
                <w:ilvl w:val="1"/>
                <w:numId w:val="9"/>
              </w:numPr>
              <w:ind w:left="542" w:hanging="284"/>
              <w:rPr>
                <w:sz w:val="22"/>
                <w:szCs w:val="22"/>
              </w:rPr>
            </w:pPr>
            <w:r w:rsidRPr="00DB1B82">
              <w:rPr>
                <w:sz w:val="22"/>
                <w:szCs w:val="22"/>
              </w:rPr>
              <w:t>Oxygen</w:t>
            </w:r>
          </w:p>
          <w:p w14:paraId="45AD7653" w14:textId="77777777" w:rsidR="003D574B" w:rsidRPr="00DB1B82" w:rsidRDefault="003D574B" w:rsidP="00B85702">
            <w:pPr>
              <w:numPr>
                <w:ilvl w:val="1"/>
                <w:numId w:val="9"/>
              </w:numPr>
              <w:ind w:left="542" w:hanging="284"/>
              <w:rPr>
                <w:sz w:val="22"/>
                <w:szCs w:val="22"/>
              </w:rPr>
            </w:pPr>
            <w:r w:rsidRPr="00DB1B82">
              <w:rPr>
                <w:sz w:val="22"/>
                <w:szCs w:val="22"/>
              </w:rPr>
              <w:t>Enteral feeding</w:t>
            </w:r>
          </w:p>
          <w:p w14:paraId="2AA11590" w14:textId="77777777" w:rsidR="003D574B" w:rsidRPr="00DB1B82" w:rsidRDefault="003D574B" w:rsidP="00B85702">
            <w:pPr>
              <w:numPr>
                <w:ilvl w:val="1"/>
                <w:numId w:val="9"/>
              </w:numPr>
              <w:ind w:left="542" w:hanging="284"/>
              <w:rPr>
                <w:sz w:val="22"/>
                <w:szCs w:val="22"/>
              </w:rPr>
            </w:pPr>
            <w:r w:rsidRPr="00DB1B82">
              <w:rPr>
                <w:sz w:val="22"/>
                <w:szCs w:val="22"/>
              </w:rPr>
              <w:t>Tracheostomy care</w:t>
            </w:r>
          </w:p>
          <w:p w14:paraId="00C4ECC3" w14:textId="77777777" w:rsidR="003D574B" w:rsidRPr="00DB1B82" w:rsidRDefault="003D574B" w:rsidP="00B85702">
            <w:pPr>
              <w:numPr>
                <w:ilvl w:val="1"/>
                <w:numId w:val="9"/>
              </w:numPr>
              <w:ind w:left="542" w:hanging="284"/>
              <w:rPr>
                <w:sz w:val="22"/>
                <w:szCs w:val="22"/>
              </w:rPr>
            </w:pPr>
            <w:r w:rsidRPr="00DB1B82">
              <w:rPr>
                <w:sz w:val="22"/>
                <w:szCs w:val="22"/>
              </w:rPr>
              <w:t>Catheter care</w:t>
            </w:r>
          </w:p>
          <w:p w14:paraId="1DBBB834" w14:textId="77777777" w:rsidR="003D574B" w:rsidRPr="00DB1B82" w:rsidRDefault="003D574B" w:rsidP="00B85702">
            <w:pPr>
              <w:numPr>
                <w:ilvl w:val="1"/>
                <w:numId w:val="9"/>
              </w:numPr>
              <w:ind w:left="542" w:hanging="284"/>
              <w:rPr>
                <w:sz w:val="22"/>
                <w:szCs w:val="22"/>
              </w:rPr>
            </w:pPr>
            <w:r w:rsidRPr="00DB1B82">
              <w:rPr>
                <w:sz w:val="22"/>
                <w:szCs w:val="22"/>
              </w:rPr>
              <w:t>Stoma care</w:t>
            </w:r>
          </w:p>
          <w:p w14:paraId="459661AF" w14:textId="77777777" w:rsidR="003D574B" w:rsidRPr="00DB1B82" w:rsidRDefault="003D574B" w:rsidP="00B85702">
            <w:pPr>
              <w:numPr>
                <w:ilvl w:val="1"/>
                <w:numId w:val="9"/>
              </w:numPr>
              <w:ind w:left="542" w:hanging="284"/>
              <w:rPr>
                <w:sz w:val="22"/>
                <w:szCs w:val="22"/>
              </w:rPr>
            </w:pPr>
            <w:r w:rsidRPr="00DB1B82">
              <w:rPr>
                <w:sz w:val="22"/>
                <w:szCs w:val="22"/>
              </w:rPr>
              <w:t>Peritoneal dialysis</w:t>
            </w:r>
          </w:p>
          <w:p w14:paraId="352E3DCB" w14:textId="77777777" w:rsidR="003D574B" w:rsidRPr="00DB1B82" w:rsidRDefault="003D574B" w:rsidP="00B85702">
            <w:pPr>
              <w:numPr>
                <w:ilvl w:val="1"/>
                <w:numId w:val="9"/>
              </w:numPr>
              <w:ind w:left="542" w:hanging="284"/>
              <w:rPr>
                <w:sz w:val="22"/>
                <w:szCs w:val="22"/>
              </w:rPr>
            </w:pPr>
            <w:r w:rsidRPr="00DB1B82">
              <w:rPr>
                <w:sz w:val="22"/>
                <w:szCs w:val="22"/>
              </w:rPr>
              <w:t>Daily injections</w:t>
            </w:r>
          </w:p>
          <w:p w14:paraId="4A05745B" w14:textId="77777777" w:rsidR="003D574B" w:rsidRPr="00DB1B82" w:rsidRDefault="003D574B" w:rsidP="00B85702">
            <w:pPr>
              <w:numPr>
                <w:ilvl w:val="1"/>
                <w:numId w:val="9"/>
              </w:numPr>
              <w:ind w:left="542" w:hanging="284"/>
              <w:rPr>
                <w:sz w:val="22"/>
                <w:szCs w:val="22"/>
              </w:rPr>
            </w:pPr>
            <w:r w:rsidRPr="00DB1B82">
              <w:rPr>
                <w:sz w:val="22"/>
                <w:szCs w:val="22"/>
              </w:rPr>
              <w:t>Complex wound management</w:t>
            </w:r>
          </w:p>
          <w:p w14:paraId="4E4D9835" w14:textId="77777777" w:rsidR="003D574B" w:rsidRPr="00DB1B82" w:rsidRDefault="003D574B" w:rsidP="00B85702">
            <w:pPr>
              <w:numPr>
                <w:ilvl w:val="1"/>
                <w:numId w:val="9"/>
              </w:numPr>
              <w:ind w:left="542" w:hanging="284"/>
              <w:rPr>
                <w:sz w:val="22"/>
                <w:szCs w:val="22"/>
              </w:rPr>
            </w:pPr>
            <w:r w:rsidRPr="00DB1B82">
              <w:rPr>
                <w:sz w:val="22"/>
                <w:szCs w:val="22"/>
              </w:rPr>
              <w:t>Bariatric care</w:t>
            </w:r>
          </w:p>
        </w:tc>
      </w:tr>
    </w:tbl>
    <w:p w14:paraId="78F130F0" w14:textId="77777777" w:rsidR="003D574B" w:rsidRDefault="003D574B">
      <w:r>
        <w:br w:type="page"/>
      </w:r>
    </w:p>
    <w:p w14:paraId="38FC4B3A" w14:textId="77777777" w:rsidR="000E22B5" w:rsidRPr="000E22B5" w:rsidRDefault="000E22B5" w:rsidP="000E22B5">
      <w:pPr>
        <w:pStyle w:val="Normal-nospacing"/>
        <w:rPr>
          <w:sz w:val="4"/>
          <w:szCs w:val="4"/>
        </w:rPr>
      </w:pPr>
      <w:bookmarkStart w:id="184" w:name="_Ref532036187"/>
      <w:bookmarkStart w:id="185" w:name="_Toc532044372"/>
    </w:p>
    <w:p w14:paraId="41DECC4F" w14:textId="1F4A581D" w:rsidR="000E22B5" w:rsidRDefault="003D4A1A" w:rsidP="00026FD1">
      <w:pPr>
        <w:pStyle w:val="Heading1"/>
        <w:numPr>
          <w:ilvl w:val="0"/>
          <w:numId w:val="0"/>
        </w:numPr>
      </w:pPr>
      <w:bookmarkStart w:id="186" w:name="_Ref534378366"/>
      <w:bookmarkStart w:id="187" w:name="_Toc2005274"/>
      <w:r>
        <w:t xml:space="preserve">Appendix </w:t>
      </w:r>
      <w:r w:rsidR="00113330">
        <w:t>4</w:t>
      </w:r>
      <w:bookmarkEnd w:id="186"/>
      <w:bookmarkEnd w:id="187"/>
    </w:p>
    <w:p w14:paraId="3600E23E" w14:textId="11666E74" w:rsidR="00CD13CD" w:rsidRPr="002B03E2" w:rsidRDefault="00CD13CD" w:rsidP="000E22B5">
      <w:pPr>
        <w:pStyle w:val="Heading2"/>
        <w:numPr>
          <w:ilvl w:val="0"/>
          <w:numId w:val="0"/>
        </w:numPr>
      </w:pPr>
      <w:bookmarkStart w:id="188" w:name="_Toc2005275"/>
      <w:bookmarkEnd w:id="184"/>
      <w:bookmarkEnd w:id="185"/>
      <w:r w:rsidRPr="002B03E2">
        <w:t xml:space="preserve">Assessor </w:t>
      </w:r>
      <w:r w:rsidR="00AD2F5D">
        <w:t>s</w:t>
      </w:r>
      <w:r w:rsidRPr="002B03E2">
        <w:t>election criteria</w:t>
      </w:r>
      <w:bookmarkEnd w:id="188"/>
    </w:p>
    <w:tbl>
      <w:tblPr>
        <w:tblStyle w:val="TableGrid"/>
        <w:tblW w:w="8642" w:type="dxa"/>
        <w:tblLook w:val="04A0" w:firstRow="1" w:lastRow="0" w:firstColumn="1" w:lastColumn="0" w:noHBand="0" w:noVBand="1"/>
        <w:tblDescription w:val="This table specifies the assessor selection criteria of qualifications, registration, experience and expertise. This table is to be read left to right, top to bottom (category followed by selection criteria of that category)."/>
      </w:tblPr>
      <w:tblGrid>
        <w:gridCol w:w="2001"/>
        <w:gridCol w:w="6641"/>
      </w:tblGrid>
      <w:tr w:rsidR="00BC67F3" w:rsidRPr="001B4FAB" w14:paraId="11E3B2C7" w14:textId="77777777" w:rsidTr="00680C70">
        <w:trPr>
          <w:trHeight w:val="265"/>
          <w:tblHeader/>
        </w:trPr>
        <w:tc>
          <w:tcPr>
            <w:tcW w:w="2001" w:type="dxa"/>
            <w:shd w:val="clear" w:color="auto" w:fill="auto"/>
          </w:tcPr>
          <w:p w14:paraId="7623B8B5" w14:textId="14A9A6B5" w:rsidR="00BC67F3" w:rsidRPr="001B4FAB" w:rsidRDefault="00BC67F3" w:rsidP="00323461">
            <w:pPr>
              <w:jc w:val="center"/>
              <w:rPr>
                <w:b/>
              </w:rPr>
            </w:pPr>
            <w:r>
              <w:rPr>
                <w:b/>
              </w:rPr>
              <w:t>Category</w:t>
            </w:r>
          </w:p>
        </w:tc>
        <w:tc>
          <w:tcPr>
            <w:tcW w:w="6641" w:type="dxa"/>
            <w:shd w:val="clear" w:color="auto" w:fill="auto"/>
          </w:tcPr>
          <w:p w14:paraId="642C486F" w14:textId="42E75C7B" w:rsidR="00BC67F3" w:rsidRPr="001B4FAB" w:rsidRDefault="00BC67F3" w:rsidP="00323461">
            <w:pPr>
              <w:jc w:val="center"/>
              <w:rPr>
                <w:b/>
              </w:rPr>
            </w:pPr>
            <w:r w:rsidRPr="001B4FAB">
              <w:rPr>
                <w:b/>
              </w:rPr>
              <w:t>Selection criteria</w:t>
            </w:r>
          </w:p>
        </w:tc>
      </w:tr>
      <w:tr w:rsidR="00CD13CD" w14:paraId="519F57F6" w14:textId="77777777" w:rsidTr="00323461">
        <w:trPr>
          <w:trHeight w:val="438"/>
        </w:trPr>
        <w:tc>
          <w:tcPr>
            <w:tcW w:w="2001" w:type="dxa"/>
          </w:tcPr>
          <w:p w14:paraId="674E37B6" w14:textId="77777777" w:rsidR="00CD13CD" w:rsidRDefault="00CD13CD" w:rsidP="00635F18">
            <w:pPr>
              <w:spacing w:before="120" w:after="120"/>
            </w:pPr>
            <w:r>
              <w:t>Qualifications</w:t>
            </w:r>
          </w:p>
        </w:tc>
        <w:tc>
          <w:tcPr>
            <w:tcW w:w="6641" w:type="dxa"/>
          </w:tcPr>
          <w:p w14:paraId="3EBC1C88" w14:textId="77777777" w:rsidR="00CD13CD" w:rsidRDefault="00CD13CD" w:rsidP="00635F18">
            <w:pPr>
              <w:spacing w:before="120" w:after="120"/>
            </w:pPr>
            <w:r w:rsidRPr="001B4FAB">
              <w:t>Tertiary qualifications as registered nurse, physiotherapist or occupational therapist</w:t>
            </w:r>
          </w:p>
        </w:tc>
      </w:tr>
      <w:tr w:rsidR="00CD13CD" w14:paraId="63108E77" w14:textId="77777777" w:rsidTr="00323461">
        <w:trPr>
          <w:trHeight w:val="430"/>
        </w:trPr>
        <w:tc>
          <w:tcPr>
            <w:tcW w:w="2001" w:type="dxa"/>
          </w:tcPr>
          <w:p w14:paraId="68FE47F0" w14:textId="77777777" w:rsidR="00CD13CD" w:rsidRDefault="00CD13CD" w:rsidP="00635F18">
            <w:pPr>
              <w:spacing w:before="120" w:after="120"/>
            </w:pPr>
            <w:r w:rsidRPr="001B4FAB">
              <w:t>Registration</w:t>
            </w:r>
          </w:p>
        </w:tc>
        <w:tc>
          <w:tcPr>
            <w:tcW w:w="6641" w:type="dxa"/>
          </w:tcPr>
          <w:p w14:paraId="7E1ABEA4" w14:textId="751773EC" w:rsidR="00CD13CD" w:rsidRDefault="00CD13CD" w:rsidP="00635F18">
            <w:pPr>
              <w:spacing w:before="120" w:after="120"/>
            </w:pPr>
            <w:r w:rsidRPr="001B4FAB">
              <w:t>Current unrestricted registration with the Australian Health Practitioners Regulation Agency</w:t>
            </w:r>
            <w:r w:rsidR="00BC67F3">
              <w:t xml:space="preserve"> (AHPRA)</w:t>
            </w:r>
          </w:p>
        </w:tc>
      </w:tr>
      <w:tr w:rsidR="00BC67F3" w14:paraId="22E24A56" w14:textId="77777777" w:rsidTr="00D12BD0">
        <w:trPr>
          <w:trHeight w:val="4420"/>
        </w:trPr>
        <w:tc>
          <w:tcPr>
            <w:tcW w:w="2001" w:type="dxa"/>
          </w:tcPr>
          <w:p w14:paraId="0D3652DC" w14:textId="1683F6BE" w:rsidR="00BC67F3" w:rsidRDefault="00BC67F3" w:rsidP="00635F18">
            <w:pPr>
              <w:spacing w:before="120" w:after="120"/>
            </w:pPr>
            <w:r>
              <w:t>Experience and expertise</w:t>
            </w:r>
          </w:p>
        </w:tc>
        <w:tc>
          <w:tcPr>
            <w:tcW w:w="6641" w:type="dxa"/>
          </w:tcPr>
          <w:p w14:paraId="0BB9F807" w14:textId="77777777" w:rsidR="00BC67F3" w:rsidRPr="007F5942" w:rsidRDefault="00BC67F3" w:rsidP="00F11392">
            <w:pPr>
              <w:pStyle w:val="ListParagraph"/>
              <w:numPr>
                <w:ilvl w:val="0"/>
                <w:numId w:val="16"/>
              </w:numPr>
              <w:spacing w:before="120" w:after="120"/>
            </w:pPr>
            <w:r w:rsidRPr="007F5942">
              <w:t>Demonstrated experience of working in aged care in Australia including people with dementia</w:t>
            </w:r>
          </w:p>
          <w:p w14:paraId="786CDEAF" w14:textId="77777777" w:rsidR="00BC67F3" w:rsidRPr="007F5942" w:rsidRDefault="00BC67F3" w:rsidP="00F11392">
            <w:pPr>
              <w:pStyle w:val="ListParagraph"/>
              <w:numPr>
                <w:ilvl w:val="0"/>
                <w:numId w:val="16"/>
              </w:numPr>
              <w:spacing w:before="120" w:after="120"/>
            </w:pPr>
            <w:r w:rsidRPr="007F5942">
              <w:t>Five years clinical experience in aged care (or related health care)</w:t>
            </w:r>
          </w:p>
          <w:p w14:paraId="03A7DDFB" w14:textId="77777777" w:rsidR="00BC67F3" w:rsidRPr="007F5942" w:rsidRDefault="00BC67F3" w:rsidP="00F11392">
            <w:pPr>
              <w:pStyle w:val="ListParagraph"/>
              <w:numPr>
                <w:ilvl w:val="0"/>
                <w:numId w:val="16"/>
              </w:numPr>
              <w:spacing w:before="120" w:after="120"/>
            </w:pPr>
            <w:r>
              <w:t>Demonstrated experience c</w:t>
            </w:r>
            <w:r w:rsidRPr="007F5942">
              <w:t>onducting cli</w:t>
            </w:r>
            <w:r>
              <w:t>nical</w:t>
            </w:r>
            <w:r w:rsidRPr="007F5942">
              <w:t xml:space="preserve"> assessments using a range of assessment tools</w:t>
            </w:r>
          </w:p>
          <w:p w14:paraId="59FBAA24" w14:textId="77777777" w:rsidR="00BC67F3" w:rsidRPr="007F5942" w:rsidRDefault="00BC67F3" w:rsidP="00F11392">
            <w:pPr>
              <w:pStyle w:val="ListParagraph"/>
              <w:numPr>
                <w:ilvl w:val="0"/>
                <w:numId w:val="16"/>
              </w:numPr>
              <w:spacing w:before="120" w:after="120"/>
            </w:pPr>
            <w:r w:rsidRPr="007F5942">
              <w:t>Ability to follow direction, work independently and as part of a team</w:t>
            </w:r>
          </w:p>
          <w:p w14:paraId="26BB1D9E" w14:textId="77777777" w:rsidR="00BC67F3" w:rsidRPr="007F5942" w:rsidRDefault="00BC67F3" w:rsidP="00F11392">
            <w:pPr>
              <w:pStyle w:val="ListParagraph"/>
              <w:numPr>
                <w:ilvl w:val="0"/>
                <w:numId w:val="16"/>
              </w:numPr>
              <w:spacing w:before="120" w:after="120"/>
            </w:pPr>
            <w:r w:rsidRPr="007F5942">
              <w:t>Effective organisational and administrative skills</w:t>
            </w:r>
          </w:p>
          <w:p w14:paraId="6B792DE3" w14:textId="736BF782" w:rsidR="00BC67F3" w:rsidRPr="007F5942" w:rsidRDefault="00BC67F3" w:rsidP="00F11392">
            <w:pPr>
              <w:pStyle w:val="ListParagraph"/>
              <w:numPr>
                <w:ilvl w:val="0"/>
                <w:numId w:val="16"/>
              </w:numPr>
              <w:spacing w:before="120" w:after="120"/>
            </w:pPr>
            <w:r w:rsidRPr="00923384">
              <w:t>Excellent communication skills, with a variety of stakeholders including</w:t>
            </w:r>
            <w:r>
              <w:t xml:space="preserve"> consumers</w:t>
            </w:r>
            <w:r w:rsidRPr="00923384">
              <w:t>, families and managers</w:t>
            </w:r>
          </w:p>
        </w:tc>
      </w:tr>
    </w:tbl>
    <w:p w14:paraId="745F7791" w14:textId="4F0BF383" w:rsidR="000E22B5" w:rsidRDefault="00113330" w:rsidP="00680C70">
      <w:pPr>
        <w:pStyle w:val="Heading1"/>
        <w:numPr>
          <w:ilvl w:val="0"/>
          <w:numId w:val="0"/>
        </w:numPr>
      </w:pPr>
      <w:bookmarkStart w:id="189" w:name="_Ref534363400"/>
      <w:bookmarkStart w:id="190" w:name="_Ref535237735"/>
      <w:bookmarkStart w:id="191" w:name="_Ref535237739"/>
      <w:bookmarkStart w:id="192" w:name="_Toc2005276"/>
      <w:r>
        <w:t xml:space="preserve">Appendix </w:t>
      </w:r>
      <w:bookmarkEnd w:id="189"/>
      <w:r w:rsidR="00750D65">
        <w:t>5</w:t>
      </w:r>
      <w:bookmarkEnd w:id="190"/>
      <w:bookmarkEnd w:id="191"/>
      <w:bookmarkEnd w:id="192"/>
    </w:p>
    <w:p w14:paraId="0713E980" w14:textId="0D7ADF97" w:rsidR="00113330" w:rsidRDefault="00113330" w:rsidP="00680C70">
      <w:pPr>
        <w:pStyle w:val="Heading2"/>
        <w:numPr>
          <w:ilvl w:val="0"/>
          <w:numId w:val="0"/>
        </w:numPr>
      </w:pPr>
      <w:bookmarkStart w:id="193" w:name="_Toc2005277"/>
      <w:r>
        <w:t>AN-ACC Assessment Tool</w:t>
      </w:r>
      <w:bookmarkEnd w:id="193"/>
    </w:p>
    <w:sectPr w:rsidR="00113330" w:rsidSect="00C615EB">
      <w:footerReference w:type="default" r:id="rId25"/>
      <w:pgSz w:w="11906" w:h="16838"/>
      <w:pgMar w:top="1134" w:right="1134" w:bottom="102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69382" w14:textId="77777777" w:rsidR="005C79F0" w:rsidRDefault="005C79F0" w:rsidP="00625E8D">
      <w:r>
        <w:separator/>
      </w:r>
    </w:p>
    <w:p w14:paraId="0EF5A032" w14:textId="77777777" w:rsidR="005C79F0" w:rsidRDefault="005C79F0"/>
    <w:p w14:paraId="000F59F6" w14:textId="77777777" w:rsidR="005C79F0" w:rsidRDefault="005C79F0"/>
  </w:endnote>
  <w:endnote w:type="continuationSeparator" w:id="0">
    <w:p w14:paraId="1F05A482" w14:textId="77777777" w:rsidR="005C79F0" w:rsidRDefault="005C79F0" w:rsidP="00625E8D">
      <w:r>
        <w:continuationSeparator/>
      </w:r>
    </w:p>
    <w:p w14:paraId="3684C7F3" w14:textId="77777777" w:rsidR="005C79F0" w:rsidRDefault="005C79F0"/>
    <w:p w14:paraId="1EF77C03" w14:textId="77777777" w:rsidR="005C79F0" w:rsidRDefault="005C7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306"/>
      <w:gridCol w:w="957"/>
      <w:gridCol w:w="4307"/>
    </w:tblGrid>
    <w:tr w:rsidR="005C79F0" w14:paraId="1E723CAE" w14:textId="77777777">
      <w:trPr>
        <w:trHeight w:val="151"/>
      </w:trPr>
      <w:tc>
        <w:tcPr>
          <w:tcW w:w="2250" w:type="pct"/>
          <w:tcBorders>
            <w:bottom w:val="single" w:sz="4" w:space="0" w:color="EE9750" w:themeColor="accent1"/>
          </w:tcBorders>
        </w:tcPr>
        <w:p w14:paraId="535EA791" w14:textId="77777777" w:rsidR="005C79F0" w:rsidRDefault="005C79F0">
          <w:pPr>
            <w:pStyle w:val="Header"/>
            <w:rPr>
              <w:rFonts w:asciiTheme="majorHAnsi" w:eastAsiaTheme="majorEastAsia" w:hAnsiTheme="majorHAnsi" w:cstheme="majorBidi"/>
              <w:b/>
              <w:bCs/>
            </w:rPr>
          </w:pPr>
        </w:p>
      </w:tc>
      <w:tc>
        <w:tcPr>
          <w:tcW w:w="500" w:type="pct"/>
          <w:vMerge w:val="restart"/>
          <w:noWrap/>
          <w:vAlign w:val="center"/>
        </w:tcPr>
        <w:p w14:paraId="714F577D" w14:textId="398E1BD5" w:rsidR="005C79F0" w:rsidRDefault="005C79F0" w:rsidP="007A06FE">
          <w:pPr>
            <w:pStyle w:val="NoSpacing"/>
            <w:jc w:val="center"/>
            <w:rPr>
              <w:rFonts w:asciiTheme="majorHAnsi" w:eastAsiaTheme="majorEastAsia" w:hAnsiTheme="majorHAnsi" w:cstheme="majorBidi"/>
            </w:rPr>
          </w:pPr>
        </w:p>
      </w:tc>
      <w:tc>
        <w:tcPr>
          <w:tcW w:w="2250" w:type="pct"/>
          <w:tcBorders>
            <w:bottom w:val="single" w:sz="4" w:space="0" w:color="EE9750" w:themeColor="accent1"/>
          </w:tcBorders>
        </w:tcPr>
        <w:p w14:paraId="0BDC533F" w14:textId="77777777" w:rsidR="005C79F0" w:rsidRDefault="005C79F0">
          <w:pPr>
            <w:pStyle w:val="Header"/>
            <w:rPr>
              <w:rFonts w:asciiTheme="majorHAnsi" w:eastAsiaTheme="majorEastAsia" w:hAnsiTheme="majorHAnsi" w:cstheme="majorBidi"/>
              <w:b/>
              <w:bCs/>
            </w:rPr>
          </w:pPr>
        </w:p>
      </w:tc>
    </w:tr>
    <w:tr w:rsidR="005C79F0" w14:paraId="36F15C4D" w14:textId="77777777">
      <w:trPr>
        <w:trHeight w:val="150"/>
      </w:trPr>
      <w:tc>
        <w:tcPr>
          <w:tcW w:w="2250" w:type="pct"/>
          <w:tcBorders>
            <w:top w:val="single" w:sz="4" w:space="0" w:color="EE9750" w:themeColor="accent1"/>
          </w:tcBorders>
        </w:tcPr>
        <w:p w14:paraId="1F8E99CF" w14:textId="77777777" w:rsidR="005C79F0" w:rsidRDefault="005C79F0">
          <w:pPr>
            <w:pStyle w:val="Header"/>
            <w:rPr>
              <w:rFonts w:asciiTheme="majorHAnsi" w:eastAsiaTheme="majorEastAsia" w:hAnsiTheme="majorHAnsi" w:cstheme="majorBidi"/>
              <w:b/>
              <w:bCs/>
            </w:rPr>
          </w:pPr>
        </w:p>
      </w:tc>
      <w:tc>
        <w:tcPr>
          <w:tcW w:w="500" w:type="pct"/>
          <w:vMerge/>
        </w:tcPr>
        <w:p w14:paraId="3CAF4F53" w14:textId="77777777" w:rsidR="005C79F0" w:rsidRDefault="005C79F0">
          <w:pPr>
            <w:pStyle w:val="Header"/>
            <w:jc w:val="center"/>
            <w:rPr>
              <w:rFonts w:asciiTheme="majorHAnsi" w:eastAsiaTheme="majorEastAsia" w:hAnsiTheme="majorHAnsi" w:cstheme="majorBidi"/>
              <w:b/>
              <w:bCs/>
            </w:rPr>
          </w:pPr>
        </w:p>
      </w:tc>
      <w:tc>
        <w:tcPr>
          <w:tcW w:w="2250" w:type="pct"/>
          <w:tcBorders>
            <w:top w:val="single" w:sz="4" w:space="0" w:color="EE9750" w:themeColor="accent1"/>
          </w:tcBorders>
        </w:tcPr>
        <w:p w14:paraId="2C82F4AD" w14:textId="77777777" w:rsidR="005C79F0" w:rsidRDefault="005C79F0">
          <w:pPr>
            <w:pStyle w:val="Header"/>
            <w:rPr>
              <w:rFonts w:asciiTheme="majorHAnsi" w:eastAsiaTheme="majorEastAsia" w:hAnsiTheme="majorHAnsi" w:cstheme="majorBidi"/>
              <w:b/>
              <w:bCs/>
            </w:rPr>
          </w:pPr>
        </w:p>
      </w:tc>
    </w:tr>
  </w:tbl>
  <w:p w14:paraId="646ECC70" w14:textId="77777777" w:rsidR="005C79F0" w:rsidRDefault="005C7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450227"/>
      <w:docPartObj>
        <w:docPartGallery w:val="Page Numbers (Bottom of Page)"/>
        <w:docPartUnique/>
      </w:docPartObj>
    </w:sdtPr>
    <w:sdtEndPr>
      <w:rPr>
        <w:i w:val="0"/>
        <w:noProof/>
        <w:sz w:val="22"/>
        <w:szCs w:val="22"/>
      </w:rPr>
    </w:sdtEndPr>
    <w:sdtContent>
      <w:p w14:paraId="4F69E3CC" w14:textId="77777777" w:rsidR="005C79F0" w:rsidRDefault="005C79F0" w:rsidP="008910BC">
        <w:pPr>
          <w:pStyle w:val="Footer"/>
        </w:pPr>
        <w:r w:rsidRPr="00A14171">
          <w:rPr>
            <w:sz w:val="20"/>
            <w:szCs w:val="20"/>
          </w:rPr>
          <w:t>Development of prioritised patient experience indicators:</w:t>
        </w:r>
        <w:r>
          <w:rPr>
            <w:sz w:val="20"/>
            <w:szCs w:val="20"/>
          </w:rPr>
          <w:t xml:space="preserve"> </w:t>
        </w:r>
        <w:r w:rsidRPr="00A14171">
          <w:rPr>
            <w:sz w:val="20"/>
            <w:szCs w:val="20"/>
          </w:rPr>
          <w:t>Project plan</w:t>
        </w:r>
      </w:p>
      <w:p w14:paraId="2C54FB3A" w14:textId="77777777" w:rsidR="005C79F0" w:rsidRPr="008910BC" w:rsidRDefault="005C79F0">
        <w:pPr>
          <w:pStyle w:val="Footer"/>
          <w:jc w:val="right"/>
          <w:rPr>
            <w:i w:val="0"/>
            <w:sz w:val="22"/>
            <w:szCs w:val="22"/>
          </w:rPr>
        </w:pPr>
        <w:r w:rsidRPr="008910BC">
          <w:rPr>
            <w:i w:val="0"/>
            <w:sz w:val="22"/>
            <w:szCs w:val="22"/>
          </w:rPr>
          <w:fldChar w:fldCharType="begin"/>
        </w:r>
        <w:r w:rsidRPr="008910BC">
          <w:rPr>
            <w:i w:val="0"/>
            <w:sz w:val="22"/>
            <w:szCs w:val="22"/>
          </w:rPr>
          <w:instrText xml:space="preserve"> PAGE   \* MERGEFORMAT </w:instrText>
        </w:r>
        <w:r w:rsidRPr="008910BC">
          <w:rPr>
            <w:i w:val="0"/>
            <w:sz w:val="22"/>
            <w:szCs w:val="22"/>
          </w:rPr>
          <w:fldChar w:fldCharType="separate"/>
        </w:r>
        <w:r>
          <w:rPr>
            <w:i w:val="0"/>
            <w:noProof/>
            <w:sz w:val="22"/>
            <w:szCs w:val="22"/>
          </w:rPr>
          <w:t>1</w:t>
        </w:r>
        <w:r w:rsidRPr="008910BC">
          <w:rPr>
            <w:i w:val="0"/>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84B1E" w14:textId="099845F9" w:rsidR="005C79F0" w:rsidRDefault="005C79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EE9A5" w14:textId="77777777" w:rsidR="005C79F0" w:rsidRPr="001C1772" w:rsidRDefault="005C79F0" w:rsidP="00CF10EB">
    <w:pPr>
      <w:pStyle w:val="Footer"/>
      <w:pBdr>
        <w:top w:val="single" w:sz="4" w:space="1" w:color="auto"/>
      </w:pBdr>
      <w:tabs>
        <w:tab w:val="right" w:pos="9356"/>
      </w:tabs>
      <w:rPr>
        <w:sz w:val="20"/>
        <w:szCs w:val="20"/>
      </w:rPr>
    </w:pPr>
    <w:r w:rsidRPr="001C1772">
      <w:rPr>
        <w:sz w:val="22"/>
        <w:szCs w:val="20"/>
      </w:rPr>
      <w:t>Report 2: The AN-ACC assessment model</w:t>
    </w:r>
    <w:r w:rsidRPr="001C1772">
      <w:rPr>
        <w:sz w:val="20"/>
        <w:szCs w:val="20"/>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04254" w14:textId="77777777" w:rsidR="005C79F0" w:rsidRPr="001C1772" w:rsidRDefault="005C79F0" w:rsidP="00FE0D75">
    <w:pPr>
      <w:pStyle w:val="Footer"/>
      <w:pBdr>
        <w:top w:val="single" w:sz="4" w:space="1" w:color="0398D7"/>
      </w:pBdr>
      <w:rPr>
        <w:sz w:val="4"/>
        <w:szCs w:val="4"/>
      </w:rPr>
    </w:pPr>
  </w:p>
  <w:p w14:paraId="042D54DB" w14:textId="77777777" w:rsidR="005C79F0" w:rsidRPr="001C1772" w:rsidRDefault="005C79F0" w:rsidP="00094D88">
    <w:pPr>
      <w:pStyle w:val="Footer"/>
      <w:tabs>
        <w:tab w:val="right" w:pos="9356"/>
      </w:tabs>
      <w:rPr>
        <w:sz w:val="20"/>
        <w:szCs w:val="20"/>
      </w:rPr>
    </w:pPr>
  </w:p>
  <w:p w14:paraId="5A1CFBD8" w14:textId="77777777" w:rsidR="005C79F0" w:rsidRPr="001C1772" w:rsidRDefault="005C79F0" w:rsidP="00A14171">
    <w:pPr>
      <w:pStyle w:val="Footer"/>
      <w:tabs>
        <w:tab w:val="right" w:pos="9356"/>
      </w:tabs>
      <w:rPr>
        <w:sz w:val="20"/>
        <w:szCs w:val="20"/>
      </w:rPr>
    </w:pPr>
    <w:r w:rsidRPr="001C1772">
      <w:rPr>
        <w:sz w:val="20"/>
        <w:szCs w:val="20"/>
      </w:rPr>
      <w:t>Alternative aged care assessment, classification system and funding models: Interim Report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A7D30" w14:textId="77777777" w:rsidR="005C79F0" w:rsidRPr="001C1772" w:rsidRDefault="005C79F0" w:rsidP="00B82010">
    <w:pPr>
      <w:pStyle w:val="Footer"/>
      <w:rPr>
        <w:sz w:val="18"/>
      </w:rPr>
    </w:pPr>
  </w:p>
  <w:p w14:paraId="34537451" w14:textId="77777777" w:rsidR="00CF10EB" w:rsidRDefault="005C79F0" w:rsidP="00CF10EB">
    <w:pPr>
      <w:pStyle w:val="Footer"/>
      <w:pBdr>
        <w:top w:val="single" w:sz="4" w:space="1" w:color="auto"/>
      </w:pBdr>
      <w:tabs>
        <w:tab w:val="right" w:pos="9356"/>
      </w:tabs>
      <w:rPr>
        <w:sz w:val="22"/>
        <w:szCs w:val="22"/>
      </w:rPr>
    </w:pPr>
    <w:r w:rsidRPr="006C35A5">
      <w:rPr>
        <w:sz w:val="22"/>
        <w:szCs w:val="22"/>
      </w:rPr>
      <w:t>Report 2</w:t>
    </w:r>
    <w:r w:rsidR="00CF10EB">
      <w:rPr>
        <w:sz w:val="22"/>
        <w:szCs w:val="22"/>
      </w:rPr>
      <w:t>: The AN-ACC assessment model</w:t>
    </w:r>
  </w:p>
  <w:p w14:paraId="43AFEECE" w14:textId="7BAF076A" w:rsidR="005C79F0" w:rsidRPr="006C35A5" w:rsidRDefault="005C79F0" w:rsidP="00CF10EB">
    <w:pPr>
      <w:pStyle w:val="Footer"/>
      <w:pBdr>
        <w:top w:val="single" w:sz="4" w:space="1" w:color="auto"/>
      </w:pBdr>
      <w:tabs>
        <w:tab w:val="right" w:pos="9356"/>
      </w:tabs>
      <w:jc w:val="right"/>
      <w:rPr>
        <w:sz w:val="22"/>
        <w:szCs w:val="22"/>
      </w:rPr>
    </w:pPr>
    <w:r w:rsidRPr="006C35A5">
      <w:rPr>
        <w:sz w:val="22"/>
        <w:szCs w:val="22"/>
      </w:rPr>
      <w:t xml:space="preserve">Page </w:t>
    </w:r>
    <w:r w:rsidRPr="006C35A5">
      <w:rPr>
        <w:sz w:val="22"/>
        <w:szCs w:val="22"/>
      </w:rPr>
      <w:fldChar w:fldCharType="begin"/>
    </w:r>
    <w:r w:rsidRPr="006C35A5">
      <w:rPr>
        <w:sz w:val="22"/>
        <w:szCs w:val="22"/>
      </w:rPr>
      <w:instrText xml:space="preserve"> PAGE   \* MERGEFORMAT </w:instrText>
    </w:r>
    <w:r w:rsidRPr="006C35A5">
      <w:rPr>
        <w:sz w:val="22"/>
        <w:szCs w:val="22"/>
      </w:rPr>
      <w:fldChar w:fldCharType="separate"/>
    </w:r>
    <w:r w:rsidR="002E53D0">
      <w:rPr>
        <w:noProof/>
        <w:sz w:val="22"/>
        <w:szCs w:val="22"/>
      </w:rPr>
      <w:t>v</w:t>
    </w:r>
    <w:r w:rsidRPr="006C35A5">
      <w:rPr>
        <w:noProof/>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98D78" w14:textId="77777777" w:rsidR="005C79F0" w:rsidRPr="00EC06D8" w:rsidRDefault="005C79F0" w:rsidP="00C615EB">
    <w:pPr>
      <w:pStyle w:val="Footer"/>
      <w:rPr>
        <w:sz w:val="22"/>
        <w:szCs w:val="22"/>
      </w:rPr>
    </w:pPr>
  </w:p>
  <w:p w14:paraId="4E576243" w14:textId="77777777" w:rsidR="00CF10EB" w:rsidRDefault="005C79F0" w:rsidP="00CF10EB">
    <w:pPr>
      <w:pStyle w:val="Footer"/>
      <w:pBdr>
        <w:top w:val="single" w:sz="4" w:space="1" w:color="auto"/>
      </w:pBdr>
      <w:tabs>
        <w:tab w:val="right" w:pos="9356"/>
      </w:tabs>
      <w:rPr>
        <w:sz w:val="22"/>
        <w:szCs w:val="22"/>
      </w:rPr>
    </w:pPr>
    <w:r w:rsidRPr="006C35A5">
      <w:rPr>
        <w:sz w:val="22"/>
        <w:szCs w:val="22"/>
      </w:rPr>
      <w:t xml:space="preserve">Report </w:t>
    </w:r>
    <w:r w:rsidR="00CF10EB">
      <w:rPr>
        <w:sz w:val="22"/>
        <w:szCs w:val="22"/>
      </w:rPr>
      <w:t>2: The AN-ACC assessment model</w:t>
    </w:r>
  </w:p>
  <w:p w14:paraId="41579D42" w14:textId="6667E364" w:rsidR="005C79F0" w:rsidRPr="006C35A5" w:rsidRDefault="005C79F0" w:rsidP="00CF10EB">
    <w:pPr>
      <w:pStyle w:val="Footer"/>
      <w:pBdr>
        <w:top w:val="single" w:sz="4" w:space="1" w:color="auto"/>
      </w:pBdr>
      <w:tabs>
        <w:tab w:val="right" w:pos="9356"/>
      </w:tabs>
      <w:jc w:val="right"/>
      <w:rPr>
        <w:sz w:val="22"/>
        <w:szCs w:val="22"/>
      </w:rPr>
    </w:pPr>
    <w:r w:rsidRPr="006C35A5">
      <w:rPr>
        <w:sz w:val="22"/>
        <w:szCs w:val="22"/>
      </w:rPr>
      <w:t xml:space="preserve">Page </w:t>
    </w:r>
    <w:r w:rsidRPr="006C35A5">
      <w:rPr>
        <w:sz w:val="22"/>
        <w:szCs w:val="22"/>
      </w:rPr>
      <w:fldChar w:fldCharType="begin"/>
    </w:r>
    <w:r w:rsidRPr="006C35A5">
      <w:rPr>
        <w:sz w:val="22"/>
        <w:szCs w:val="22"/>
      </w:rPr>
      <w:instrText xml:space="preserve"> PAGE   \* MERGEFORMAT </w:instrText>
    </w:r>
    <w:r w:rsidRPr="006C35A5">
      <w:rPr>
        <w:sz w:val="22"/>
        <w:szCs w:val="22"/>
      </w:rPr>
      <w:fldChar w:fldCharType="separate"/>
    </w:r>
    <w:r w:rsidR="002E53D0">
      <w:rPr>
        <w:noProof/>
        <w:sz w:val="22"/>
        <w:szCs w:val="22"/>
      </w:rPr>
      <w:t>6</w:t>
    </w:r>
    <w:r w:rsidRPr="006C35A5">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D24C1" w14:textId="77777777" w:rsidR="005C79F0" w:rsidRDefault="005C79F0" w:rsidP="00625E8D">
      <w:r>
        <w:separator/>
      </w:r>
    </w:p>
    <w:p w14:paraId="5E67A713" w14:textId="77777777" w:rsidR="005C79F0" w:rsidRDefault="005C79F0"/>
    <w:p w14:paraId="49816F20" w14:textId="77777777" w:rsidR="005C79F0" w:rsidRDefault="005C79F0"/>
  </w:footnote>
  <w:footnote w:type="continuationSeparator" w:id="0">
    <w:p w14:paraId="252E63B0" w14:textId="77777777" w:rsidR="005C79F0" w:rsidRDefault="005C79F0" w:rsidP="00625E8D">
      <w:r>
        <w:continuationSeparator/>
      </w:r>
    </w:p>
    <w:p w14:paraId="7FB32F59" w14:textId="77777777" w:rsidR="005C79F0" w:rsidRDefault="005C79F0"/>
    <w:p w14:paraId="182C766D" w14:textId="77777777" w:rsidR="005C79F0" w:rsidRDefault="005C79F0"/>
  </w:footnote>
  <w:footnote w:id="1">
    <w:p w14:paraId="28F9F5C6" w14:textId="0B5A629D" w:rsidR="005C79F0" w:rsidRDefault="005C79F0" w:rsidP="00F95E29">
      <w:r>
        <w:rPr>
          <w:rStyle w:val="FootnoteReference"/>
        </w:rPr>
        <w:footnoteRef/>
      </w:r>
      <w:r w:rsidRPr="00356D1E">
        <w:rPr>
          <w:lang w:val="pt-PT"/>
        </w:rPr>
        <w:t xml:space="preserve"> </w:t>
      </w:r>
      <w:r w:rsidRPr="00181384">
        <w:rPr>
          <w:rFonts w:cstheme="minorHAnsi"/>
          <w:sz w:val="16"/>
          <w:szCs w:val="16"/>
          <w:lang w:val="pt-PT"/>
        </w:rPr>
        <w:t xml:space="preserve">McNamee J, Poulos C, Seraji H et al. </w:t>
      </w:r>
      <w:r w:rsidRPr="00B7655A">
        <w:rPr>
          <w:rFonts w:cstheme="minorHAnsi"/>
          <w:sz w:val="16"/>
          <w:szCs w:val="16"/>
        </w:rPr>
        <w:t xml:space="preserve">(2017) </w:t>
      </w:r>
      <w:r w:rsidRPr="00B7655A">
        <w:rPr>
          <w:rFonts w:cstheme="minorHAnsi"/>
          <w:i/>
          <w:sz w:val="16"/>
          <w:szCs w:val="16"/>
        </w:rPr>
        <w:t xml:space="preserve">Alternative Aged Care Assessment, Classification System and Funding Models Final Report. </w:t>
      </w:r>
      <w:r w:rsidRPr="00B7655A">
        <w:rPr>
          <w:rFonts w:cstheme="minorHAnsi"/>
          <w:sz w:val="16"/>
          <w:szCs w:val="16"/>
        </w:rPr>
        <w:t>Centre for Health Service Development, Australian Health Services Research Institute, University of Wollongong.</w:t>
      </w:r>
    </w:p>
  </w:footnote>
  <w:footnote w:id="2">
    <w:p w14:paraId="15EABB2E" w14:textId="784C7378" w:rsidR="005C79F0" w:rsidRDefault="005C79F0" w:rsidP="00054208">
      <w:pPr>
        <w:pStyle w:val="FootnoteText"/>
      </w:pPr>
      <w:r>
        <w:rPr>
          <w:rStyle w:val="FootnoteReference"/>
        </w:rPr>
        <w:footnoteRef/>
      </w:r>
      <w:r>
        <w:t xml:space="preserve"> Department of Health (2018) Streamlined Consumer Assessment for Aged Care. Discussion Paper, December 2018</w:t>
      </w:r>
    </w:p>
  </w:footnote>
  <w:footnote w:id="3">
    <w:p w14:paraId="0CB34DC1" w14:textId="77777777" w:rsidR="005C79F0" w:rsidRDefault="005C79F0" w:rsidP="008629E9">
      <w:pPr>
        <w:pStyle w:val="FootnoteText"/>
      </w:pPr>
      <w:r>
        <w:rPr>
          <w:rStyle w:val="FootnoteReference"/>
        </w:rPr>
        <w:footnoteRef/>
      </w:r>
      <w:r w:rsidRPr="00C9571E">
        <w:rPr>
          <w:lang w:val="pt-PT"/>
        </w:rPr>
        <w:t xml:space="preserve"> McNamee J, Poulos C, Seraji H et al. </w:t>
      </w:r>
      <w:r w:rsidRPr="00E276E9">
        <w:t>(2017) Alternative Aged Care Assessment, Classification System and Funding Models Final Report. Centre for Health Service Development, Australian Health Services Research Institute, University of Wollongong.</w:t>
      </w:r>
    </w:p>
  </w:footnote>
  <w:footnote w:id="4">
    <w:p w14:paraId="62CC276B" w14:textId="77777777" w:rsidR="005C79F0" w:rsidRDefault="005C79F0" w:rsidP="00DE5743">
      <w:pPr>
        <w:pStyle w:val="FootnoteText"/>
      </w:pPr>
      <w:r>
        <w:rPr>
          <w:rStyle w:val="FootnoteReference"/>
        </w:rPr>
        <w:footnoteRef/>
      </w:r>
      <w:r>
        <w:t xml:space="preserve"> ibid</w:t>
      </w:r>
    </w:p>
  </w:footnote>
  <w:footnote w:id="5">
    <w:p w14:paraId="4F35505C" w14:textId="428D96A1" w:rsidR="005C79F0" w:rsidRDefault="005C79F0">
      <w:pPr>
        <w:pStyle w:val="FootnoteText"/>
      </w:pPr>
      <w:r>
        <w:rPr>
          <w:rStyle w:val="FootnoteReference"/>
        </w:rPr>
        <w:footnoteRef/>
      </w:r>
      <w:r>
        <w:t>Now incorporated in the Aged Care Quality and Safety Commission</w:t>
      </w:r>
    </w:p>
  </w:footnote>
  <w:footnote w:id="6">
    <w:p w14:paraId="2CBE92C7" w14:textId="0DE50EA3" w:rsidR="005C79F0" w:rsidRDefault="005C79F0">
      <w:pPr>
        <w:pStyle w:val="FootnoteText"/>
      </w:pPr>
      <w:r>
        <w:rPr>
          <w:rStyle w:val="FootnoteReference"/>
        </w:rPr>
        <w:footnoteRef/>
      </w:r>
      <w:r>
        <w:t xml:space="preserve"> Of the 961 in the sample, 114 died and 72 were missing either a complete assessment, a complete reassessment or a record of significant events.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B974F" w14:textId="5D47EE5D" w:rsidR="005C79F0" w:rsidRDefault="005C79F0">
    <w:pPr>
      <w:pStyle w:val="Header"/>
    </w:pPr>
    <w:r>
      <w:tab/>
    </w:r>
    <w:r>
      <w:tab/>
    </w:r>
  </w:p>
  <w:p w14:paraId="6D88937A" w14:textId="77777777" w:rsidR="005C79F0" w:rsidRDefault="005C7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2CBE7" w14:textId="5D5EAC06" w:rsidR="005C79F0" w:rsidRDefault="005C79F0" w:rsidP="00702E92">
    <w:pPr>
      <w:pStyle w:val="Header"/>
      <w:jc w:val="right"/>
    </w:pPr>
  </w:p>
  <w:p w14:paraId="0DF555C8" w14:textId="77777777" w:rsidR="005C79F0" w:rsidRPr="00702E92" w:rsidRDefault="005C79F0" w:rsidP="00702E92">
    <w:pPr>
      <w:pStyle w:val="Header"/>
      <w:pBdr>
        <w:bottom w:val="single" w:sz="4" w:space="1" w:color="0398D7"/>
      </w:pBdr>
      <w:tabs>
        <w:tab w:val="clear" w:pos="9026"/>
        <w:tab w:val="left" w:pos="300"/>
        <w:tab w:val="right" w:pos="9356"/>
      </w:tabs>
      <w:rPr>
        <w:sz w:val="4"/>
        <w:szCs w:val="4"/>
      </w:rPr>
    </w:pPr>
    <w:r w:rsidRPr="009D7507">
      <w:rPr>
        <w:sz w:val="4"/>
        <w:szCs w:val="4"/>
      </w:rPr>
      <w:tab/>
    </w:r>
    <w:r w:rsidRPr="009D7507">
      <w:rPr>
        <w:sz w:val="4"/>
        <w:szCs w:val="4"/>
      </w:rPr>
      <w:tab/>
    </w:r>
    <w:r w:rsidRPr="009D7507">
      <w:rPr>
        <w:sz w:val="4"/>
        <w:szCs w:val="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747FD" w14:textId="341F5FC6" w:rsidR="005C79F0" w:rsidRPr="00DC756B" w:rsidRDefault="005C79F0" w:rsidP="00DC75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3293D" w14:textId="77777777" w:rsidR="005C79F0" w:rsidRDefault="005C79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EFA3" w14:textId="77777777" w:rsidR="005C79F0" w:rsidRDefault="005C79F0" w:rsidP="003A31AC">
    <w:pPr>
      <w:pStyle w:val="Footer"/>
      <w:jc w:val="right"/>
    </w:pPr>
    <w:r w:rsidRPr="00684B6F">
      <w:rPr>
        <w:noProof/>
        <w:sz w:val="24"/>
      </w:rPr>
      <w:drawing>
        <wp:inline distT="0" distB="0" distL="0" distR="0" wp14:anchorId="62389C33" wp14:editId="737D88D2">
          <wp:extent cx="800100" cy="374650"/>
          <wp:effectExtent l="0" t="0" r="0" b="6350"/>
          <wp:docPr id="9" name="Picture 8" descr="Ahsri_Logo_Short" title="AHS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hsri_Logo_Sh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74650"/>
                  </a:xfrm>
                  <a:prstGeom prst="rect">
                    <a:avLst/>
                  </a:prstGeom>
                  <a:noFill/>
                  <a:ln>
                    <a:noFill/>
                  </a:ln>
                </pic:spPr>
              </pic:pic>
            </a:graphicData>
          </a:graphic>
        </wp:inline>
      </w:drawing>
    </w:r>
  </w:p>
  <w:p w14:paraId="134C632B" w14:textId="77777777" w:rsidR="005C79F0" w:rsidRPr="00CF10EB" w:rsidRDefault="005C79F0" w:rsidP="00CF10EB">
    <w:pPr>
      <w:pStyle w:val="Footer"/>
      <w:pBdr>
        <w:top w:val="single" w:sz="4" w:space="1" w:color="auto"/>
      </w:pBdr>
      <w:jc w:val="right"/>
      <w:rPr>
        <w:sz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2C2DD" w14:textId="77777777" w:rsidR="005C79F0" w:rsidRPr="001C1772" w:rsidRDefault="005C7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C456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653CBC"/>
    <w:multiLevelType w:val="hybridMultilevel"/>
    <w:tmpl w:val="F0A0E02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974C43"/>
    <w:multiLevelType w:val="hybridMultilevel"/>
    <w:tmpl w:val="CA162750"/>
    <w:lvl w:ilvl="0" w:tplc="616AB72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E6418"/>
    <w:multiLevelType w:val="multilevel"/>
    <w:tmpl w:val="123493D2"/>
    <w:lvl w:ilvl="0">
      <w:start w:val="1"/>
      <w:numFmt w:val="decimal"/>
      <w:pStyle w:val="Heading1A"/>
      <w:lvlText w:val="C%1"/>
      <w:lvlJc w:val="left"/>
      <w:pPr>
        <w:tabs>
          <w:tab w:val="num" w:pos="924"/>
        </w:tabs>
        <w:ind w:left="924" w:hanging="924"/>
      </w:pPr>
    </w:lvl>
    <w:lvl w:ilvl="1">
      <w:start w:val="1"/>
      <w:numFmt w:val="decimal"/>
      <w:pStyle w:val="PFNumLevel2"/>
      <w:lvlText w:val="B%1.%2"/>
      <w:lvlJc w:val="left"/>
      <w:pPr>
        <w:tabs>
          <w:tab w:val="num" w:pos="924"/>
        </w:tabs>
        <w:ind w:left="924" w:hanging="924"/>
      </w:pPr>
    </w:lvl>
    <w:lvl w:ilvl="2">
      <w:start w:val="1"/>
      <w:numFmt w:val="decimal"/>
      <w:pStyle w:val="PFNumLevel3"/>
      <w:lvlText w:val="%1.%2.%3"/>
      <w:lvlJc w:val="left"/>
      <w:pPr>
        <w:tabs>
          <w:tab w:val="num" w:pos="1848"/>
        </w:tabs>
        <w:ind w:left="1848" w:hanging="924"/>
      </w:pPr>
    </w:lvl>
    <w:lvl w:ilvl="3">
      <w:start w:val="1"/>
      <w:numFmt w:val="lowerLetter"/>
      <w:pStyle w:val="PFNumLevel4"/>
      <w:lvlText w:val="(%4)"/>
      <w:lvlJc w:val="left"/>
      <w:pPr>
        <w:tabs>
          <w:tab w:val="num" w:pos="2773"/>
        </w:tabs>
        <w:ind w:left="2773" w:hanging="925"/>
      </w:pPr>
    </w:lvl>
    <w:lvl w:ilvl="4">
      <w:start w:val="1"/>
      <w:numFmt w:val="lowerLetter"/>
      <w:pStyle w:val="PFNumLevel5"/>
      <w:lvlText w:val="(%5)"/>
      <w:lvlJc w:val="left"/>
      <w:pPr>
        <w:tabs>
          <w:tab w:val="num" w:pos="1848"/>
        </w:tabs>
        <w:ind w:left="1848" w:hanging="924"/>
      </w:pPr>
    </w:lvl>
    <w:lvl w:ilvl="5">
      <w:start w:val="1"/>
      <w:numFmt w:val="lowerRoman"/>
      <w:lvlRestart w:val="4"/>
      <w:pStyle w:val="PFNumLevel6"/>
      <w:lvlText w:val="(%6)"/>
      <w:lvlJc w:val="left"/>
      <w:pPr>
        <w:tabs>
          <w:tab w:val="num" w:pos="3697"/>
        </w:tabs>
        <w:ind w:left="3697" w:hanging="924"/>
      </w:pPr>
    </w:lvl>
    <w:lvl w:ilvl="6">
      <w:start w:val="1"/>
      <w:numFmt w:val="none"/>
      <w:suff w:val="nothing"/>
      <w:lvlText w:val=""/>
      <w:lvlJc w:val="left"/>
      <w:pPr>
        <w:ind w:left="0" w:firstLine="0"/>
      </w:pPr>
    </w:lvl>
    <w:lvl w:ilvl="7">
      <w:start w:val="1"/>
      <w:numFmt w:val="none"/>
      <w:suff w:val="nothing"/>
      <w:lvlText w:val=""/>
      <w:lvlJc w:val="left"/>
      <w:pPr>
        <w:ind w:left="-32767" w:firstLine="32767"/>
      </w:pPr>
    </w:lvl>
    <w:lvl w:ilvl="8">
      <w:start w:val="1"/>
      <w:numFmt w:val="none"/>
      <w:suff w:val="nothing"/>
      <w:lvlText w:val=""/>
      <w:lvlJc w:val="left"/>
      <w:pPr>
        <w:ind w:left="0" w:firstLine="0"/>
      </w:pPr>
    </w:lvl>
  </w:abstractNum>
  <w:abstractNum w:abstractNumId="4" w15:restartNumberingAfterBreak="0">
    <w:nsid w:val="0C7A5B7A"/>
    <w:multiLevelType w:val="multilevel"/>
    <w:tmpl w:val="2A7A021C"/>
    <w:lvl w:ilvl="0">
      <w:start w:val="1"/>
      <w:numFmt w:val="decimal"/>
      <w:lvlText w:val="%1"/>
      <w:lvlJc w:val="left"/>
      <w:pPr>
        <w:ind w:left="432" w:hanging="432"/>
      </w:pPr>
      <w:rPr>
        <w:rFonts w:hint="default"/>
      </w:rPr>
    </w:lvl>
    <w:lvl w:ilvl="1">
      <w:start w:val="1"/>
      <w:numFmt w:val="decimal"/>
      <w:lvlText w:val="%1.%2"/>
      <w:lvlJc w:val="left"/>
      <w:pPr>
        <w:ind w:left="3837" w:hanging="576"/>
      </w:pPr>
      <w:rPr>
        <w:rFonts w:hint="default"/>
      </w:rPr>
    </w:lvl>
    <w:lvl w:ilvl="2">
      <w:start w:val="1"/>
      <w:numFmt w:val="decimal"/>
      <w:lvlText w:val="%1.%2.%3"/>
      <w:lvlJc w:val="left"/>
      <w:pPr>
        <w:ind w:left="-131" w:hanging="720"/>
      </w:pPr>
      <w:rPr>
        <w:rFonts w:hint="default"/>
      </w:rPr>
    </w:lvl>
    <w:lvl w:ilvl="3">
      <w:start w:val="1"/>
      <w:numFmt w:val="decimal"/>
      <w:lvlText w:val="%1.%2.%3.%4"/>
      <w:lvlJc w:val="left"/>
      <w:pPr>
        <w:ind w:left="13" w:hanging="864"/>
      </w:pPr>
      <w:rPr>
        <w:rFonts w:hint="default"/>
      </w:rPr>
    </w:lvl>
    <w:lvl w:ilvl="4">
      <w:start w:val="1"/>
      <w:numFmt w:val="decimal"/>
      <w:lvlText w:val="%1.%2.%3.%4.%5"/>
      <w:lvlJc w:val="left"/>
      <w:pPr>
        <w:ind w:left="157" w:hanging="1008"/>
      </w:pPr>
      <w:rPr>
        <w:rFonts w:hint="default"/>
      </w:rPr>
    </w:lvl>
    <w:lvl w:ilvl="5">
      <w:start w:val="1"/>
      <w:numFmt w:val="decimal"/>
      <w:lvlText w:val="%1.%2.%3.%4.%5.%6"/>
      <w:lvlJc w:val="left"/>
      <w:pPr>
        <w:ind w:left="301" w:hanging="1152"/>
      </w:pPr>
      <w:rPr>
        <w:rFonts w:hint="default"/>
      </w:rPr>
    </w:lvl>
    <w:lvl w:ilvl="6">
      <w:start w:val="1"/>
      <w:numFmt w:val="decimal"/>
      <w:lvlText w:val="%1.%2.%3.%4.%5.%6.%7"/>
      <w:lvlJc w:val="left"/>
      <w:pPr>
        <w:ind w:left="445" w:hanging="1296"/>
      </w:pPr>
      <w:rPr>
        <w:rFonts w:hint="default"/>
      </w:rPr>
    </w:lvl>
    <w:lvl w:ilvl="7">
      <w:start w:val="1"/>
      <w:numFmt w:val="decimal"/>
      <w:lvlText w:val="%1.%2.%3.%4.%5.%6.%7.%8"/>
      <w:lvlJc w:val="left"/>
      <w:pPr>
        <w:ind w:left="589" w:hanging="1440"/>
      </w:pPr>
      <w:rPr>
        <w:rFonts w:hint="default"/>
      </w:rPr>
    </w:lvl>
    <w:lvl w:ilvl="8">
      <w:start w:val="1"/>
      <w:numFmt w:val="decimal"/>
      <w:lvlText w:val="%1.%2.%3.%4.%5.%6.%7.%8.%9"/>
      <w:lvlJc w:val="left"/>
      <w:pPr>
        <w:ind w:left="733" w:hanging="1584"/>
      </w:pPr>
      <w:rPr>
        <w:rFonts w:hint="default"/>
      </w:rPr>
    </w:lvl>
  </w:abstractNum>
  <w:abstractNum w:abstractNumId="5" w15:restartNumberingAfterBreak="0">
    <w:nsid w:val="0F722FFF"/>
    <w:multiLevelType w:val="hybridMultilevel"/>
    <w:tmpl w:val="95DA4022"/>
    <w:lvl w:ilvl="0" w:tplc="74C047BC">
      <w:start w:val="1"/>
      <w:numFmt w:val="bullet"/>
      <w:lvlText w:val=""/>
      <w:lvlJc w:val="left"/>
      <w:pPr>
        <w:ind w:left="360" w:hanging="360"/>
      </w:pPr>
      <w:rPr>
        <w:rFonts w:ascii="Wingdings" w:hAnsi="Wingdings" w:hint="default"/>
      </w:rPr>
    </w:lvl>
    <w:lvl w:ilvl="1" w:tplc="616AB72A">
      <w:start w:val="1"/>
      <w:numFmt w:val="bullet"/>
      <w:lvlText w:val="-"/>
      <w:lvlJc w:val="left"/>
      <w:pPr>
        <w:ind w:left="1080" w:hanging="360"/>
      </w:pPr>
      <w:rPr>
        <w:rFonts w:ascii="Courier New" w:hAnsi="Courier New" w:hint="default"/>
      </w:rPr>
    </w:lvl>
    <w:lvl w:ilvl="2" w:tplc="0C09000F">
      <w:start w:val="1"/>
      <w:numFmt w:val="decimal"/>
      <w:lvlText w:val="%3."/>
      <w:lvlJc w:val="left"/>
      <w:pPr>
        <w:ind w:left="1800" w:hanging="360"/>
      </w:pPr>
      <w:rPr>
        <w:rFonts w:hint="default"/>
      </w:rPr>
    </w:lvl>
    <w:lvl w:ilvl="3" w:tplc="867A88E4">
      <w:numFmt w:val="bullet"/>
      <w:lvlText w:val=""/>
      <w:lvlJc w:val="left"/>
      <w:pPr>
        <w:ind w:left="2520" w:hanging="360"/>
      </w:pPr>
      <w:rPr>
        <w:rFonts w:ascii="Symbol" w:eastAsia="Times New Roman" w:hAnsi="Symbol" w:cs="Times New Roman"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A67341"/>
    <w:multiLevelType w:val="singleLevel"/>
    <w:tmpl w:val="1854A824"/>
    <w:lvl w:ilvl="0">
      <w:start w:val="1"/>
      <w:numFmt w:val="bullet"/>
      <w:pStyle w:val="1AutoList1"/>
      <w:lvlText w:val=""/>
      <w:lvlJc w:val="left"/>
      <w:pPr>
        <w:tabs>
          <w:tab w:val="num" w:pos="360"/>
        </w:tabs>
        <w:ind w:left="360" w:hanging="360"/>
      </w:pPr>
      <w:rPr>
        <w:rFonts w:ascii="Wingdings" w:hAnsi="Wingdings" w:hint="default"/>
      </w:rPr>
    </w:lvl>
  </w:abstractNum>
  <w:abstractNum w:abstractNumId="7" w15:restartNumberingAfterBreak="0">
    <w:nsid w:val="21FA387C"/>
    <w:multiLevelType w:val="hybridMultilevel"/>
    <w:tmpl w:val="A1DC0544"/>
    <w:lvl w:ilvl="0" w:tplc="74C047BC">
      <w:start w:val="1"/>
      <w:numFmt w:val="bullet"/>
      <w:pStyle w:val="Bullets"/>
      <w:lvlText w:val=""/>
      <w:lvlJc w:val="left"/>
      <w:pPr>
        <w:ind w:left="360" w:hanging="360"/>
      </w:pPr>
      <w:rPr>
        <w:rFonts w:ascii="Wingdings" w:hAnsi="Wingdings" w:hint="default"/>
      </w:rPr>
    </w:lvl>
    <w:lvl w:ilvl="1" w:tplc="0C09000F">
      <w:start w:val="1"/>
      <w:numFmt w:val="decimal"/>
      <w:lvlText w:val="%2."/>
      <w:lvlJc w:val="left"/>
      <w:pPr>
        <w:ind w:left="1080" w:hanging="360"/>
      </w:pPr>
      <w:rPr>
        <w:rFonts w:hint="default"/>
      </w:rPr>
    </w:lvl>
    <w:lvl w:ilvl="2" w:tplc="0C09000F">
      <w:start w:val="1"/>
      <w:numFmt w:val="decimal"/>
      <w:lvlText w:val="%3."/>
      <w:lvlJc w:val="left"/>
      <w:pPr>
        <w:ind w:left="1800" w:hanging="360"/>
      </w:pPr>
      <w:rPr>
        <w:rFonts w:hint="default"/>
      </w:rPr>
    </w:lvl>
    <w:lvl w:ilvl="3" w:tplc="867A88E4">
      <w:numFmt w:val="bullet"/>
      <w:lvlText w:val=""/>
      <w:lvlJc w:val="left"/>
      <w:pPr>
        <w:ind w:left="2520" w:hanging="360"/>
      </w:pPr>
      <w:rPr>
        <w:rFonts w:ascii="Symbol" w:eastAsia="Times New Roman" w:hAnsi="Symbol" w:cs="Times New Roman"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261331"/>
    <w:multiLevelType w:val="multilevel"/>
    <w:tmpl w:val="8E968AA0"/>
    <w:lvl w:ilvl="0">
      <w:start w:val="1"/>
      <w:numFmt w:val="decimal"/>
      <w:pStyle w:val="Heading1"/>
      <w:lvlText w:val="%1."/>
      <w:lvlJc w:val="left"/>
      <w:pPr>
        <w:ind w:left="43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275" w:hanging="576"/>
      </w:pPr>
    </w:lvl>
    <w:lvl w:ilvl="2">
      <w:start w:val="1"/>
      <w:numFmt w:val="decimal"/>
      <w:pStyle w:val="Heading3"/>
      <w:lvlText w:val="%1.%2.%3"/>
      <w:lvlJc w:val="left"/>
      <w:pPr>
        <w:ind w:left="-131" w:hanging="720"/>
      </w:pPr>
    </w:lvl>
    <w:lvl w:ilvl="3">
      <w:start w:val="1"/>
      <w:numFmt w:val="decimal"/>
      <w:lvlText w:val="%1.%2.%3.%4"/>
      <w:lvlJc w:val="left"/>
      <w:pPr>
        <w:ind w:left="13" w:hanging="864"/>
      </w:pPr>
    </w:lvl>
    <w:lvl w:ilvl="4">
      <w:start w:val="1"/>
      <w:numFmt w:val="decimal"/>
      <w:pStyle w:val="Heading5"/>
      <w:lvlText w:val="%1.%2.%3.%4.%5"/>
      <w:lvlJc w:val="left"/>
      <w:pPr>
        <w:ind w:left="157" w:hanging="1008"/>
      </w:pPr>
    </w:lvl>
    <w:lvl w:ilvl="5">
      <w:start w:val="1"/>
      <w:numFmt w:val="decimal"/>
      <w:pStyle w:val="Heading6"/>
      <w:lvlText w:val="%1.%2.%3.%4.%5.%6"/>
      <w:lvlJc w:val="left"/>
      <w:pPr>
        <w:ind w:left="301" w:hanging="1152"/>
      </w:pPr>
    </w:lvl>
    <w:lvl w:ilvl="6">
      <w:start w:val="1"/>
      <w:numFmt w:val="decimal"/>
      <w:pStyle w:val="Heading7"/>
      <w:lvlText w:val="%1.%2.%3.%4.%5.%6.%7"/>
      <w:lvlJc w:val="left"/>
      <w:pPr>
        <w:ind w:left="445" w:hanging="1296"/>
      </w:pPr>
    </w:lvl>
    <w:lvl w:ilvl="7">
      <w:start w:val="1"/>
      <w:numFmt w:val="decimal"/>
      <w:pStyle w:val="Heading8"/>
      <w:lvlText w:val="%1.%2.%3.%4.%5.%6.%7.%8"/>
      <w:lvlJc w:val="left"/>
      <w:pPr>
        <w:ind w:left="589" w:hanging="1440"/>
      </w:pPr>
    </w:lvl>
    <w:lvl w:ilvl="8">
      <w:start w:val="1"/>
      <w:numFmt w:val="decimal"/>
      <w:pStyle w:val="Heading9"/>
      <w:lvlText w:val="%1.%2.%3.%4.%5.%6.%7.%8.%9"/>
      <w:lvlJc w:val="left"/>
      <w:pPr>
        <w:ind w:left="733" w:hanging="1584"/>
      </w:pPr>
    </w:lvl>
  </w:abstractNum>
  <w:abstractNum w:abstractNumId="9" w15:restartNumberingAfterBreak="0">
    <w:nsid w:val="448C7AAA"/>
    <w:multiLevelType w:val="hybridMultilevel"/>
    <w:tmpl w:val="4FD03DD2"/>
    <w:lvl w:ilvl="0" w:tplc="E75C7966">
      <w:start w:val="1"/>
      <w:numFmt w:val="bullet"/>
      <w:lvlText w:val="-"/>
      <w:lvlJc w:val="left"/>
      <w:pPr>
        <w:ind w:left="720" w:hanging="360"/>
      </w:pPr>
      <w:rPr>
        <w:rFonts w:ascii="Courier New" w:hAnsi="Courier Ne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0B7445"/>
    <w:multiLevelType w:val="hybridMultilevel"/>
    <w:tmpl w:val="AE824EAA"/>
    <w:lvl w:ilvl="0" w:tplc="E9A27344">
      <w:start w:val="1"/>
      <w:numFmt w:val="decimal"/>
      <w:lvlText w:val="Report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E5A0AEE"/>
    <w:multiLevelType w:val="hybridMultilevel"/>
    <w:tmpl w:val="7FE84820"/>
    <w:lvl w:ilvl="0" w:tplc="0C090005">
      <w:start w:val="1"/>
      <w:numFmt w:val="bullet"/>
      <w:lvlText w:val=""/>
      <w:lvlJc w:val="left"/>
      <w:pPr>
        <w:tabs>
          <w:tab w:val="num" w:pos="720"/>
        </w:tabs>
        <w:ind w:left="720" w:hanging="360"/>
      </w:pPr>
      <w:rPr>
        <w:rFonts w:ascii="Wingdings" w:hAnsi="Wingdings" w:hint="default"/>
      </w:rPr>
    </w:lvl>
    <w:lvl w:ilvl="1" w:tplc="428E95BC">
      <w:start w:val="749"/>
      <w:numFmt w:val="bullet"/>
      <w:lvlText w:val="–"/>
      <w:lvlJc w:val="left"/>
      <w:pPr>
        <w:tabs>
          <w:tab w:val="num" w:pos="1440"/>
        </w:tabs>
        <w:ind w:left="1440" w:hanging="360"/>
      </w:pPr>
      <w:rPr>
        <w:rFonts w:ascii="Times New Roman" w:hAnsi="Times New Roman" w:cs="Times New Roman" w:hint="default"/>
      </w:rPr>
    </w:lvl>
    <w:lvl w:ilvl="2" w:tplc="F8683E3A">
      <w:start w:val="1"/>
      <w:numFmt w:val="bullet"/>
      <w:lvlText w:val="u"/>
      <w:lvlJc w:val="left"/>
      <w:pPr>
        <w:tabs>
          <w:tab w:val="num" w:pos="2160"/>
        </w:tabs>
        <w:ind w:left="2160" w:hanging="360"/>
      </w:pPr>
      <w:rPr>
        <w:rFonts w:ascii="Monotype Sorts" w:hAnsi="Monotype Sorts" w:hint="default"/>
      </w:rPr>
    </w:lvl>
    <w:lvl w:ilvl="3" w:tplc="AE462BC6">
      <w:start w:val="1"/>
      <w:numFmt w:val="bullet"/>
      <w:lvlText w:val="u"/>
      <w:lvlJc w:val="left"/>
      <w:pPr>
        <w:tabs>
          <w:tab w:val="num" w:pos="2880"/>
        </w:tabs>
        <w:ind w:left="2880" w:hanging="360"/>
      </w:pPr>
      <w:rPr>
        <w:rFonts w:ascii="Monotype Sorts" w:hAnsi="Monotype Sorts" w:hint="default"/>
      </w:rPr>
    </w:lvl>
    <w:lvl w:ilvl="4" w:tplc="B32C5354">
      <w:start w:val="1"/>
      <w:numFmt w:val="bullet"/>
      <w:lvlText w:val="u"/>
      <w:lvlJc w:val="left"/>
      <w:pPr>
        <w:tabs>
          <w:tab w:val="num" w:pos="3600"/>
        </w:tabs>
        <w:ind w:left="3600" w:hanging="360"/>
      </w:pPr>
      <w:rPr>
        <w:rFonts w:ascii="Monotype Sorts" w:hAnsi="Monotype Sorts" w:hint="default"/>
      </w:rPr>
    </w:lvl>
    <w:lvl w:ilvl="5" w:tplc="0D525002">
      <w:start w:val="1"/>
      <w:numFmt w:val="bullet"/>
      <w:lvlText w:val="u"/>
      <w:lvlJc w:val="left"/>
      <w:pPr>
        <w:tabs>
          <w:tab w:val="num" w:pos="4320"/>
        </w:tabs>
        <w:ind w:left="4320" w:hanging="360"/>
      </w:pPr>
      <w:rPr>
        <w:rFonts w:ascii="Monotype Sorts" w:hAnsi="Monotype Sorts" w:hint="default"/>
      </w:rPr>
    </w:lvl>
    <w:lvl w:ilvl="6" w:tplc="AB3CB062">
      <w:start w:val="1"/>
      <w:numFmt w:val="bullet"/>
      <w:lvlText w:val="u"/>
      <w:lvlJc w:val="left"/>
      <w:pPr>
        <w:tabs>
          <w:tab w:val="num" w:pos="5040"/>
        </w:tabs>
        <w:ind w:left="5040" w:hanging="360"/>
      </w:pPr>
      <w:rPr>
        <w:rFonts w:ascii="Monotype Sorts" w:hAnsi="Monotype Sorts" w:hint="default"/>
      </w:rPr>
    </w:lvl>
    <w:lvl w:ilvl="7" w:tplc="22742BE2">
      <w:start w:val="1"/>
      <w:numFmt w:val="bullet"/>
      <w:lvlText w:val="u"/>
      <w:lvlJc w:val="left"/>
      <w:pPr>
        <w:tabs>
          <w:tab w:val="num" w:pos="5760"/>
        </w:tabs>
        <w:ind w:left="5760" w:hanging="360"/>
      </w:pPr>
      <w:rPr>
        <w:rFonts w:ascii="Monotype Sorts" w:hAnsi="Monotype Sorts" w:hint="default"/>
      </w:rPr>
    </w:lvl>
    <w:lvl w:ilvl="8" w:tplc="D0FAAA34">
      <w:start w:val="1"/>
      <w:numFmt w:val="bullet"/>
      <w:lvlText w:val="u"/>
      <w:lvlJc w:val="left"/>
      <w:pPr>
        <w:tabs>
          <w:tab w:val="num" w:pos="6480"/>
        </w:tabs>
        <w:ind w:left="6480" w:hanging="360"/>
      </w:pPr>
      <w:rPr>
        <w:rFonts w:ascii="Monotype Sorts" w:hAnsi="Monotype Sorts" w:hint="default"/>
      </w:rPr>
    </w:lvl>
  </w:abstractNum>
  <w:abstractNum w:abstractNumId="12" w15:restartNumberingAfterBreak="0">
    <w:nsid w:val="54767A61"/>
    <w:multiLevelType w:val="hybridMultilevel"/>
    <w:tmpl w:val="DDB4DF2C"/>
    <w:lvl w:ilvl="0" w:tplc="45565E6E">
      <w:start w:val="1"/>
      <w:numFmt w:val="decimal"/>
      <w:pStyle w:val="Recommendations"/>
      <w:lvlText w:val="Recommendation %1"/>
      <w:lvlJc w:val="left"/>
      <w:pPr>
        <w:ind w:left="1636" w:hanging="360"/>
      </w:pPr>
      <w:rPr>
        <w:rFonts w:hint="default"/>
        <w:b/>
        <w:i w:val="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D0B0F0B"/>
    <w:multiLevelType w:val="singleLevel"/>
    <w:tmpl w:val="32D6C89A"/>
    <w:lvl w:ilvl="0">
      <w:start w:val="1"/>
      <w:numFmt w:val="bullet"/>
      <w:pStyle w:val="1BulletList"/>
      <w:lvlText w:val=""/>
      <w:lvlJc w:val="left"/>
      <w:pPr>
        <w:tabs>
          <w:tab w:val="num" w:pos="360"/>
        </w:tabs>
        <w:ind w:left="360" w:hanging="360"/>
      </w:pPr>
      <w:rPr>
        <w:rFonts w:ascii="Wingdings" w:hAnsi="Wingdings" w:hint="default"/>
      </w:r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8"/>
  </w:num>
  <w:num w:numId="6">
    <w:abstractNumId w:val="0"/>
  </w:num>
  <w:num w:numId="7">
    <w:abstractNumId w:val="10"/>
  </w:num>
  <w:num w:numId="8">
    <w:abstractNumId w:val="7"/>
    <w:lvlOverride w:ilvl="0"/>
    <w:lvlOverride w:ilvl="1">
      <w:startOverride w:val="1"/>
    </w:lvlOverride>
    <w:lvlOverride w:ilvl="2">
      <w:startOverride w:val="1"/>
    </w:lvlOverride>
    <w:lvlOverride w:ilvl="3"/>
    <w:lvlOverride w:ilvl="4"/>
    <w:lvlOverride w:ilvl="5"/>
    <w:lvlOverride w:ilvl="6"/>
    <w:lvlOverride w:ilvl="7"/>
    <w:lvlOverride w:ilvl="8"/>
  </w:num>
  <w:num w:numId="9">
    <w:abstractNumId w:val="11"/>
  </w:num>
  <w:num w:numId="10">
    <w:abstractNumId w:val="12"/>
  </w:num>
  <w:num w:numId="11">
    <w:abstractNumId w:val="4"/>
  </w:num>
  <w:num w:numId="12">
    <w:abstractNumId w:val="8"/>
  </w:num>
  <w:num w:numId="13">
    <w:abstractNumId w:val="5"/>
  </w:num>
  <w:num w:numId="14">
    <w:abstractNumId w:val="2"/>
  </w:num>
  <w:num w:numId="15">
    <w:abstractNumId w:val="1"/>
  </w:num>
  <w:num w:numId="16">
    <w:abstractNumId w:val="9"/>
  </w:num>
  <w:num w:numId="17">
    <w:abstractNumId w:val="8"/>
  </w:num>
  <w:num w:numId="1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57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9prasewy50eeeeexpapftfmr0drvfdaxttt&quot;&gt;Aged Care Funding 26_oct&lt;record-ids&gt;&lt;item&gt;2332&lt;/item&gt;&lt;item&gt;6557&lt;/item&gt;&lt;item&gt;6566&lt;/item&gt;&lt;item&gt;6579&lt;/item&gt;&lt;item&gt;6581&lt;/item&gt;&lt;item&gt;6582&lt;/item&gt;&lt;item&gt;6628&lt;/item&gt;&lt;item&gt;6634&lt;/item&gt;&lt;item&gt;6636&lt;/item&gt;&lt;item&gt;6638&lt;/item&gt;&lt;item&gt;6639&lt;/item&gt;&lt;item&gt;6640&lt;/item&gt;&lt;item&gt;6641&lt;/item&gt;&lt;item&gt;6642&lt;/item&gt;&lt;item&gt;6646&lt;/item&gt;&lt;item&gt;6669&lt;/item&gt;&lt;item&gt;6670&lt;/item&gt;&lt;item&gt;6671&lt;/item&gt;&lt;item&gt;6672&lt;/item&gt;&lt;item&gt;6673&lt;/item&gt;&lt;item&gt;6674&lt;/item&gt;&lt;item&gt;6675&lt;/item&gt;&lt;item&gt;6676&lt;/item&gt;&lt;item&gt;6677&lt;/item&gt;&lt;item&gt;6678&lt;/item&gt;&lt;item&gt;6679&lt;/item&gt;&lt;item&gt;6680&lt;/item&gt;&lt;item&gt;6681&lt;/item&gt;&lt;item&gt;6682&lt;/item&gt;&lt;item&gt;6683&lt;/item&gt;&lt;item&gt;6684&lt;/item&gt;&lt;item&gt;6685&lt;/item&gt;&lt;item&gt;6686&lt;/item&gt;&lt;item&gt;6687&lt;/item&gt;&lt;item&gt;6688&lt;/item&gt;&lt;item&gt;6689&lt;/item&gt;&lt;item&gt;6690&lt;/item&gt;&lt;item&gt;6691&lt;/item&gt;&lt;item&gt;6694&lt;/item&gt;&lt;item&gt;6695&lt;/item&gt;&lt;item&gt;6702&lt;/item&gt;&lt;item&gt;6704&lt;/item&gt;&lt;item&gt;6706&lt;/item&gt;&lt;item&gt;6707&lt;/item&gt;&lt;item&gt;6709&lt;/item&gt;&lt;item&gt;6710&lt;/item&gt;&lt;item&gt;6711&lt;/item&gt;&lt;item&gt;6712&lt;/item&gt;&lt;item&gt;6713&lt;/item&gt;&lt;item&gt;6714&lt;/item&gt;&lt;item&gt;6715&lt;/item&gt;&lt;item&gt;6726&lt;/item&gt;&lt;item&gt;6728&lt;/item&gt;&lt;item&gt;6731&lt;/item&gt;&lt;item&gt;6732&lt;/item&gt;&lt;/record-ids&gt;&lt;/item&gt;&lt;/Libraries&gt;"/>
  </w:docVars>
  <w:rsids>
    <w:rsidRoot w:val="000B46BA"/>
    <w:rsid w:val="000000CE"/>
    <w:rsid w:val="00001408"/>
    <w:rsid w:val="00001AE8"/>
    <w:rsid w:val="000101DF"/>
    <w:rsid w:val="000122CB"/>
    <w:rsid w:val="00013300"/>
    <w:rsid w:val="000138E3"/>
    <w:rsid w:val="0001447E"/>
    <w:rsid w:val="00014BAB"/>
    <w:rsid w:val="000150EC"/>
    <w:rsid w:val="00015190"/>
    <w:rsid w:val="0001566D"/>
    <w:rsid w:val="00016584"/>
    <w:rsid w:val="000165FB"/>
    <w:rsid w:val="00017B68"/>
    <w:rsid w:val="0002034A"/>
    <w:rsid w:val="00021A08"/>
    <w:rsid w:val="000222BC"/>
    <w:rsid w:val="000226AB"/>
    <w:rsid w:val="00023035"/>
    <w:rsid w:val="00023E7B"/>
    <w:rsid w:val="00023FDA"/>
    <w:rsid w:val="0002445A"/>
    <w:rsid w:val="00024AA3"/>
    <w:rsid w:val="000251DD"/>
    <w:rsid w:val="0002520E"/>
    <w:rsid w:val="00026652"/>
    <w:rsid w:val="00026E58"/>
    <w:rsid w:val="00026FD1"/>
    <w:rsid w:val="00027C97"/>
    <w:rsid w:val="0003077E"/>
    <w:rsid w:val="000307E5"/>
    <w:rsid w:val="000315E3"/>
    <w:rsid w:val="00031CF3"/>
    <w:rsid w:val="000329DE"/>
    <w:rsid w:val="00033371"/>
    <w:rsid w:val="00033583"/>
    <w:rsid w:val="000335CF"/>
    <w:rsid w:val="00034ADD"/>
    <w:rsid w:val="000354F6"/>
    <w:rsid w:val="0003701C"/>
    <w:rsid w:val="00041952"/>
    <w:rsid w:val="000421E7"/>
    <w:rsid w:val="000423E6"/>
    <w:rsid w:val="0004375C"/>
    <w:rsid w:val="00046BF9"/>
    <w:rsid w:val="00046EBD"/>
    <w:rsid w:val="000473C5"/>
    <w:rsid w:val="00047563"/>
    <w:rsid w:val="000475A1"/>
    <w:rsid w:val="00047A38"/>
    <w:rsid w:val="00047B8F"/>
    <w:rsid w:val="00050264"/>
    <w:rsid w:val="0005136D"/>
    <w:rsid w:val="000514D5"/>
    <w:rsid w:val="00051905"/>
    <w:rsid w:val="0005266D"/>
    <w:rsid w:val="00054208"/>
    <w:rsid w:val="000559FD"/>
    <w:rsid w:val="00055F86"/>
    <w:rsid w:val="00056D20"/>
    <w:rsid w:val="00057D3E"/>
    <w:rsid w:val="000613DF"/>
    <w:rsid w:val="00062314"/>
    <w:rsid w:val="0006627D"/>
    <w:rsid w:val="00066423"/>
    <w:rsid w:val="000678B9"/>
    <w:rsid w:val="00067DB5"/>
    <w:rsid w:val="00070608"/>
    <w:rsid w:val="00071362"/>
    <w:rsid w:val="00071EDA"/>
    <w:rsid w:val="00072C94"/>
    <w:rsid w:val="00072EF3"/>
    <w:rsid w:val="0007305F"/>
    <w:rsid w:val="00074536"/>
    <w:rsid w:val="000747A5"/>
    <w:rsid w:val="000750D0"/>
    <w:rsid w:val="000765A6"/>
    <w:rsid w:val="00076C02"/>
    <w:rsid w:val="00080370"/>
    <w:rsid w:val="000809BA"/>
    <w:rsid w:val="00080D96"/>
    <w:rsid w:val="00082258"/>
    <w:rsid w:val="0008396E"/>
    <w:rsid w:val="00084CA9"/>
    <w:rsid w:val="00085394"/>
    <w:rsid w:val="00087483"/>
    <w:rsid w:val="000902E3"/>
    <w:rsid w:val="0009043A"/>
    <w:rsid w:val="00091549"/>
    <w:rsid w:val="000917B2"/>
    <w:rsid w:val="000932F1"/>
    <w:rsid w:val="00094D73"/>
    <w:rsid w:val="00094D88"/>
    <w:rsid w:val="00094F66"/>
    <w:rsid w:val="00097B5A"/>
    <w:rsid w:val="000A065D"/>
    <w:rsid w:val="000A11C9"/>
    <w:rsid w:val="000A1CD3"/>
    <w:rsid w:val="000A22F1"/>
    <w:rsid w:val="000A51B7"/>
    <w:rsid w:val="000A5424"/>
    <w:rsid w:val="000A6240"/>
    <w:rsid w:val="000A73EB"/>
    <w:rsid w:val="000B0394"/>
    <w:rsid w:val="000B0A40"/>
    <w:rsid w:val="000B0BA3"/>
    <w:rsid w:val="000B1E7D"/>
    <w:rsid w:val="000B30E4"/>
    <w:rsid w:val="000B33FD"/>
    <w:rsid w:val="000B3D2E"/>
    <w:rsid w:val="000B42D2"/>
    <w:rsid w:val="000B46BA"/>
    <w:rsid w:val="000B55ED"/>
    <w:rsid w:val="000B72CA"/>
    <w:rsid w:val="000B7B3F"/>
    <w:rsid w:val="000B7F4E"/>
    <w:rsid w:val="000C10AA"/>
    <w:rsid w:val="000C14FE"/>
    <w:rsid w:val="000C2F0D"/>
    <w:rsid w:val="000C34A0"/>
    <w:rsid w:val="000C3553"/>
    <w:rsid w:val="000C46D3"/>
    <w:rsid w:val="000C4885"/>
    <w:rsid w:val="000C5600"/>
    <w:rsid w:val="000C6692"/>
    <w:rsid w:val="000C6931"/>
    <w:rsid w:val="000C700E"/>
    <w:rsid w:val="000C7C68"/>
    <w:rsid w:val="000C7F2F"/>
    <w:rsid w:val="000D043D"/>
    <w:rsid w:val="000D0894"/>
    <w:rsid w:val="000D1A67"/>
    <w:rsid w:val="000D1E20"/>
    <w:rsid w:val="000D533F"/>
    <w:rsid w:val="000D56A8"/>
    <w:rsid w:val="000D5BAA"/>
    <w:rsid w:val="000D70BB"/>
    <w:rsid w:val="000E0595"/>
    <w:rsid w:val="000E0D12"/>
    <w:rsid w:val="000E0EE9"/>
    <w:rsid w:val="000E19C7"/>
    <w:rsid w:val="000E22B5"/>
    <w:rsid w:val="000E2DFC"/>
    <w:rsid w:val="000E3203"/>
    <w:rsid w:val="000E5062"/>
    <w:rsid w:val="000E5857"/>
    <w:rsid w:val="000E7149"/>
    <w:rsid w:val="000E7F2E"/>
    <w:rsid w:val="000F1BD8"/>
    <w:rsid w:val="000F2AD8"/>
    <w:rsid w:val="000F2D73"/>
    <w:rsid w:val="000F37C0"/>
    <w:rsid w:val="000F38C1"/>
    <w:rsid w:val="000F5653"/>
    <w:rsid w:val="000F58F1"/>
    <w:rsid w:val="000F5D77"/>
    <w:rsid w:val="000F602D"/>
    <w:rsid w:val="000F6A20"/>
    <w:rsid w:val="000F70ED"/>
    <w:rsid w:val="000F7740"/>
    <w:rsid w:val="000F7A91"/>
    <w:rsid w:val="000F7F94"/>
    <w:rsid w:val="00100685"/>
    <w:rsid w:val="0010097A"/>
    <w:rsid w:val="00100A40"/>
    <w:rsid w:val="00100B4F"/>
    <w:rsid w:val="001035AF"/>
    <w:rsid w:val="001064BF"/>
    <w:rsid w:val="00106793"/>
    <w:rsid w:val="00106EF7"/>
    <w:rsid w:val="0010766B"/>
    <w:rsid w:val="00107C8C"/>
    <w:rsid w:val="00110EE7"/>
    <w:rsid w:val="00111E70"/>
    <w:rsid w:val="001125E5"/>
    <w:rsid w:val="00113330"/>
    <w:rsid w:val="00113A92"/>
    <w:rsid w:val="00113E82"/>
    <w:rsid w:val="00114983"/>
    <w:rsid w:val="001154BE"/>
    <w:rsid w:val="00117325"/>
    <w:rsid w:val="0012078B"/>
    <w:rsid w:val="00121A37"/>
    <w:rsid w:val="0012319C"/>
    <w:rsid w:val="00123ACD"/>
    <w:rsid w:val="00123BFB"/>
    <w:rsid w:val="00123C7D"/>
    <w:rsid w:val="00124039"/>
    <w:rsid w:val="00124B18"/>
    <w:rsid w:val="00125790"/>
    <w:rsid w:val="00126520"/>
    <w:rsid w:val="00126D1B"/>
    <w:rsid w:val="001276D1"/>
    <w:rsid w:val="00130D28"/>
    <w:rsid w:val="00131998"/>
    <w:rsid w:val="00132ABB"/>
    <w:rsid w:val="00133015"/>
    <w:rsid w:val="00133EF0"/>
    <w:rsid w:val="00134B1E"/>
    <w:rsid w:val="001354DC"/>
    <w:rsid w:val="001355D8"/>
    <w:rsid w:val="00136D35"/>
    <w:rsid w:val="00137428"/>
    <w:rsid w:val="001377C7"/>
    <w:rsid w:val="001406E9"/>
    <w:rsid w:val="00141A7B"/>
    <w:rsid w:val="00141D56"/>
    <w:rsid w:val="001427CB"/>
    <w:rsid w:val="001433DC"/>
    <w:rsid w:val="0014439A"/>
    <w:rsid w:val="001444F7"/>
    <w:rsid w:val="00145CEA"/>
    <w:rsid w:val="00147130"/>
    <w:rsid w:val="00147410"/>
    <w:rsid w:val="00147AD1"/>
    <w:rsid w:val="0015199F"/>
    <w:rsid w:val="00152DFA"/>
    <w:rsid w:val="0015497E"/>
    <w:rsid w:val="00154EDA"/>
    <w:rsid w:val="00156801"/>
    <w:rsid w:val="0015750F"/>
    <w:rsid w:val="00161095"/>
    <w:rsid w:val="001639A5"/>
    <w:rsid w:val="00163FB4"/>
    <w:rsid w:val="001666C8"/>
    <w:rsid w:val="00171862"/>
    <w:rsid w:val="00172CBA"/>
    <w:rsid w:val="00173AF2"/>
    <w:rsid w:val="00173CE7"/>
    <w:rsid w:val="00174464"/>
    <w:rsid w:val="00175215"/>
    <w:rsid w:val="00176153"/>
    <w:rsid w:val="001808C7"/>
    <w:rsid w:val="00180F4E"/>
    <w:rsid w:val="00181A83"/>
    <w:rsid w:val="00181B7D"/>
    <w:rsid w:val="00181F97"/>
    <w:rsid w:val="001825D1"/>
    <w:rsid w:val="0018369B"/>
    <w:rsid w:val="00184460"/>
    <w:rsid w:val="00184D2E"/>
    <w:rsid w:val="001853AD"/>
    <w:rsid w:val="001858E8"/>
    <w:rsid w:val="00185F46"/>
    <w:rsid w:val="001860A6"/>
    <w:rsid w:val="001861BA"/>
    <w:rsid w:val="00186289"/>
    <w:rsid w:val="00186993"/>
    <w:rsid w:val="00187632"/>
    <w:rsid w:val="00190048"/>
    <w:rsid w:val="00192088"/>
    <w:rsid w:val="00192AEF"/>
    <w:rsid w:val="001938DC"/>
    <w:rsid w:val="0019529E"/>
    <w:rsid w:val="001957D3"/>
    <w:rsid w:val="00195858"/>
    <w:rsid w:val="001A0005"/>
    <w:rsid w:val="001A0502"/>
    <w:rsid w:val="001A4DCA"/>
    <w:rsid w:val="001A4E10"/>
    <w:rsid w:val="001A55D8"/>
    <w:rsid w:val="001A57DC"/>
    <w:rsid w:val="001A6040"/>
    <w:rsid w:val="001A6BE9"/>
    <w:rsid w:val="001A7873"/>
    <w:rsid w:val="001B2608"/>
    <w:rsid w:val="001B4227"/>
    <w:rsid w:val="001B542C"/>
    <w:rsid w:val="001B57ED"/>
    <w:rsid w:val="001B5F8F"/>
    <w:rsid w:val="001B7725"/>
    <w:rsid w:val="001B7F9A"/>
    <w:rsid w:val="001C1772"/>
    <w:rsid w:val="001C20AD"/>
    <w:rsid w:val="001C319C"/>
    <w:rsid w:val="001C33E4"/>
    <w:rsid w:val="001C3BBE"/>
    <w:rsid w:val="001C4420"/>
    <w:rsid w:val="001C4722"/>
    <w:rsid w:val="001C68D5"/>
    <w:rsid w:val="001C7088"/>
    <w:rsid w:val="001D2B62"/>
    <w:rsid w:val="001D3270"/>
    <w:rsid w:val="001D45BA"/>
    <w:rsid w:val="001D4A3A"/>
    <w:rsid w:val="001D6BDA"/>
    <w:rsid w:val="001D79FF"/>
    <w:rsid w:val="001D7D6B"/>
    <w:rsid w:val="001E0BF9"/>
    <w:rsid w:val="001E117F"/>
    <w:rsid w:val="001E1B68"/>
    <w:rsid w:val="001E2122"/>
    <w:rsid w:val="001E3432"/>
    <w:rsid w:val="001E3DB2"/>
    <w:rsid w:val="001E5E80"/>
    <w:rsid w:val="001E5EBB"/>
    <w:rsid w:val="001E6833"/>
    <w:rsid w:val="001E71A7"/>
    <w:rsid w:val="001F01D8"/>
    <w:rsid w:val="001F122D"/>
    <w:rsid w:val="001F152E"/>
    <w:rsid w:val="001F2343"/>
    <w:rsid w:val="001F3D5A"/>
    <w:rsid w:val="001F3F83"/>
    <w:rsid w:val="001F4A60"/>
    <w:rsid w:val="001F579A"/>
    <w:rsid w:val="001F6870"/>
    <w:rsid w:val="001F6C4D"/>
    <w:rsid w:val="0020027C"/>
    <w:rsid w:val="00200922"/>
    <w:rsid w:val="00201488"/>
    <w:rsid w:val="002024F1"/>
    <w:rsid w:val="00204C1F"/>
    <w:rsid w:val="00205161"/>
    <w:rsid w:val="002054B9"/>
    <w:rsid w:val="002055AA"/>
    <w:rsid w:val="00205E11"/>
    <w:rsid w:val="002061CF"/>
    <w:rsid w:val="0020624F"/>
    <w:rsid w:val="00206D90"/>
    <w:rsid w:val="0020777E"/>
    <w:rsid w:val="0021040D"/>
    <w:rsid w:val="002129B6"/>
    <w:rsid w:val="002137AC"/>
    <w:rsid w:val="0022007B"/>
    <w:rsid w:val="00220432"/>
    <w:rsid w:val="00221E4E"/>
    <w:rsid w:val="002231CE"/>
    <w:rsid w:val="00224D05"/>
    <w:rsid w:val="00225378"/>
    <w:rsid w:val="00226FBB"/>
    <w:rsid w:val="002309D2"/>
    <w:rsid w:val="00232085"/>
    <w:rsid w:val="00232DA7"/>
    <w:rsid w:val="00233FFA"/>
    <w:rsid w:val="002345E0"/>
    <w:rsid w:val="0023517C"/>
    <w:rsid w:val="002358C1"/>
    <w:rsid w:val="002364E9"/>
    <w:rsid w:val="00237238"/>
    <w:rsid w:val="00242933"/>
    <w:rsid w:val="00242CA4"/>
    <w:rsid w:val="00245117"/>
    <w:rsid w:val="00246807"/>
    <w:rsid w:val="0024709B"/>
    <w:rsid w:val="0025026F"/>
    <w:rsid w:val="00250952"/>
    <w:rsid w:val="00251305"/>
    <w:rsid w:val="002516CD"/>
    <w:rsid w:val="00251B3F"/>
    <w:rsid w:val="00253A5A"/>
    <w:rsid w:val="00254BDD"/>
    <w:rsid w:val="00255D6E"/>
    <w:rsid w:val="00257045"/>
    <w:rsid w:val="00257BA9"/>
    <w:rsid w:val="00261475"/>
    <w:rsid w:val="00261E9F"/>
    <w:rsid w:val="002623ED"/>
    <w:rsid w:val="00263226"/>
    <w:rsid w:val="002640E7"/>
    <w:rsid w:val="0026451F"/>
    <w:rsid w:val="002650DC"/>
    <w:rsid w:val="00265121"/>
    <w:rsid w:val="00265B58"/>
    <w:rsid w:val="00266DE1"/>
    <w:rsid w:val="00267323"/>
    <w:rsid w:val="00267554"/>
    <w:rsid w:val="002708F2"/>
    <w:rsid w:val="002710C7"/>
    <w:rsid w:val="002711A1"/>
    <w:rsid w:val="00272BB1"/>
    <w:rsid w:val="00273D51"/>
    <w:rsid w:val="002740F2"/>
    <w:rsid w:val="00282B33"/>
    <w:rsid w:val="00282E75"/>
    <w:rsid w:val="002830D6"/>
    <w:rsid w:val="00283172"/>
    <w:rsid w:val="002872CA"/>
    <w:rsid w:val="00287A56"/>
    <w:rsid w:val="00293CBD"/>
    <w:rsid w:val="00296028"/>
    <w:rsid w:val="002A1E80"/>
    <w:rsid w:val="002A1F45"/>
    <w:rsid w:val="002A214E"/>
    <w:rsid w:val="002A2498"/>
    <w:rsid w:val="002A36F6"/>
    <w:rsid w:val="002A593D"/>
    <w:rsid w:val="002A6A43"/>
    <w:rsid w:val="002A7699"/>
    <w:rsid w:val="002A7924"/>
    <w:rsid w:val="002A7B0A"/>
    <w:rsid w:val="002B03E2"/>
    <w:rsid w:val="002B267E"/>
    <w:rsid w:val="002B2ED5"/>
    <w:rsid w:val="002B3B65"/>
    <w:rsid w:val="002B3D05"/>
    <w:rsid w:val="002B7202"/>
    <w:rsid w:val="002C14FC"/>
    <w:rsid w:val="002C18E7"/>
    <w:rsid w:val="002C1FFD"/>
    <w:rsid w:val="002C2F52"/>
    <w:rsid w:val="002C3128"/>
    <w:rsid w:val="002C3468"/>
    <w:rsid w:val="002C3791"/>
    <w:rsid w:val="002C3E03"/>
    <w:rsid w:val="002C5103"/>
    <w:rsid w:val="002C6388"/>
    <w:rsid w:val="002C68D2"/>
    <w:rsid w:val="002C7E63"/>
    <w:rsid w:val="002D0BDA"/>
    <w:rsid w:val="002D1E31"/>
    <w:rsid w:val="002D2A82"/>
    <w:rsid w:val="002D35A5"/>
    <w:rsid w:val="002D518E"/>
    <w:rsid w:val="002D5E68"/>
    <w:rsid w:val="002D72EE"/>
    <w:rsid w:val="002E0A03"/>
    <w:rsid w:val="002E22EF"/>
    <w:rsid w:val="002E2B51"/>
    <w:rsid w:val="002E53D0"/>
    <w:rsid w:val="002E6A77"/>
    <w:rsid w:val="002F0001"/>
    <w:rsid w:val="002F035F"/>
    <w:rsid w:val="002F240C"/>
    <w:rsid w:val="002F2F33"/>
    <w:rsid w:val="002F42BA"/>
    <w:rsid w:val="002F4F8F"/>
    <w:rsid w:val="002F6AFD"/>
    <w:rsid w:val="00300D03"/>
    <w:rsid w:val="00300F41"/>
    <w:rsid w:val="00301D6F"/>
    <w:rsid w:val="00303D15"/>
    <w:rsid w:val="00303E9B"/>
    <w:rsid w:val="0030463E"/>
    <w:rsid w:val="00304AA8"/>
    <w:rsid w:val="0030506D"/>
    <w:rsid w:val="00305DFB"/>
    <w:rsid w:val="003064DB"/>
    <w:rsid w:val="003066AA"/>
    <w:rsid w:val="003071F0"/>
    <w:rsid w:val="003104D1"/>
    <w:rsid w:val="00310A7E"/>
    <w:rsid w:val="00311A94"/>
    <w:rsid w:val="0031226D"/>
    <w:rsid w:val="0031273F"/>
    <w:rsid w:val="00314475"/>
    <w:rsid w:val="00314EEB"/>
    <w:rsid w:val="003152F5"/>
    <w:rsid w:val="00315E16"/>
    <w:rsid w:val="00316EDB"/>
    <w:rsid w:val="0031702B"/>
    <w:rsid w:val="00317077"/>
    <w:rsid w:val="003171DC"/>
    <w:rsid w:val="003206DE"/>
    <w:rsid w:val="00321273"/>
    <w:rsid w:val="00321290"/>
    <w:rsid w:val="003213EF"/>
    <w:rsid w:val="003216F0"/>
    <w:rsid w:val="003233D2"/>
    <w:rsid w:val="00323461"/>
    <w:rsid w:val="00326813"/>
    <w:rsid w:val="00326FAA"/>
    <w:rsid w:val="00327296"/>
    <w:rsid w:val="0033047C"/>
    <w:rsid w:val="0033174F"/>
    <w:rsid w:val="00331E8B"/>
    <w:rsid w:val="0033263C"/>
    <w:rsid w:val="00334864"/>
    <w:rsid w:val="00334F70"/>
    <w:rsid w:val="00337AF4"/>
    <w:rsid w:val="00337BE6"/>
    <w:rsid w:val="00337E34"/>
    <w:rsid w:val="00340357"/>
    <w:rsid w:val="003423BB"/>
    <w:rsid w:val="00343A31"/>
    <w:rsid w:val="0034418A"/>
    <w:rsid w:val="00344F0D"/>
    <w:rsid w:val="00345CBB"/>
    <w:rsid w:val="003478B4"/>
    <w:rsid w:val="00347C2F"/>
    <w:rsid w:val="0035068A"/>
    <w:rsid w:val="00351B0F"/>
    <w:rsid w:val="003530F3"/>
    <w:rsid w:val="00353473"/>
    <w:rsid w:val="00354F49"/>
    <w:rsid w:val="00356D1E"/>
    <w:rsid w:val="003578BB"/>
    <w:rsid w:val="00361827"/>
    <w:rsid w:val="003631AA"/>
    <w:rsid w:val="00363673"/>
    <w:rsid w:val="00363B63"/>
    <w:rsid w:val="00365345"/>
    <w:rsid w:val="00367118"/>
    <w:rsid w:val="00367EAF"/>
    <w:rsid w:val="003712C2"/>
    <w:rsid w:val="0037216C"/>
    <w:rsid w:val="0037355A"/>
    <w:rsid w:val="00373CD9"/>
    <w:rsid w:val="00375E7F"/>
    <w:rsid w:val="003768F7"/>
    <w:rsid w:val="00376F6A"/>
    <w:rsid w:val="003775EA"/>
    <w:rsid w:val="003778E3"/>
    <w:rsid w:val="003802C2"/>
    <w:rsid w:val="0038046C"/>
    <w:rsid w:val="00380553"/>
    <w:rsid w:val="00380562"/>
    <w:rsid w:val="0038056A"/>
    <w:rsid w:val="0038205D"/>
    <w:rsid w:val="003822BD"/>
    <w:rsid w:val="00383D30"/>
    <w:rsid w:val="003921CD"/>
    <w:rsid w:val="00393704"/>
    <w:rsid w:val="00393C49"/>
    <w:rsid w:val="00393F6B"/>
    <w:rsid w:val="00395785"/>
    <w:rsid w:val="00395A13"/>
    <w:rsid w:val="00395DC0"/>
    <w:rsid w:val="00396F7A"/>
    <w:rsid w:val="00397992"/>
    <w:rsid w:val="00397B82"/>
    <w:rsid w:val="003A050D"/>
    <w:rsid w:val="003A0772"/>
    <w:rsid w:val="003A098E"/>
    <w:rsid w:val="003A0C6F"/>
    <w:rsid w:val="003A0F24"/>
    <w:rsid w:val="003A31AC"/>
    <w:rsid w:val="003A5373"/>
    <w:rsid w:val="003A7BF5"/>
    <w:rsid w:val="003B073A"/>
    <w:rsid w:val="003B13E3"/>
    <w:rsid w:val="003B177B"/>
    <w:rsid w:val="003B3907"/>
    <w:rsid w:val="003B3CA3"/>
    <w:rsid w:val="003B480C"/>
    <w:rsid w:val="003B4B43"/>
    <w:rsid w:val="003B4E0C"/>
    <w:rsid w:val="003B62FE"/>
    <w:rsid w:val="003B6A0C"/>
    <w:rsid w:val="003B6D19"/>
    <w:rsid w:val="003B70C6"/>
    <w:rsid w:val="003B745B"/>
    <w:rsid w:val="003B76E0"/>
    <w:rsid w:val="003B77BF"/>
    <w:rsid w:val="003B7AAC"/>
    <w:rsid w:val="003B7ACB"/>
    <w:rsid w:val="003B7F84"/>
    <w:rsid w:val="003C0D05"/>
    <w:rsid w:val="003C1A43"/>
    <w:rsid w:val="003C1F9B"/>
    <w:rsid w:val="003C5FE6"/>
    <w:rsid w:val="003C63E0"/>
    <w:rsid w:val="003C7485"/>
    <w:rsid w:val="003D0A48"/>
    <w:rsid w:val="003D0D34"/>
    <w:rsid w:val="003D2310"/>
    <w:rsid w:val="003D2687"/>
    <w:rsid w:val="003D26DD"/>
    <w:rsid w:val="003D2D53"/>
    <w:rsid w:val="003D2E19"/>
    <w:rsid w:val="003D38F1"/>
    <w:rsid w:val="003D4A1A"/>
    <w:rsid w:val="003D574B"/>
    <w:rsid w:val="003D6C71"/>
    <w:rsid w:val="003E054E"/>
    <w:rsid w:val="003E0D33"/>
    <w:rsid w:val="003E3A41"/>
    <w:rsid w:val="003E5092"/>
    <w:rsid w:val="003E5145"/>
    <w:rsid w:val="003E54AC"/>
    <w:rsid w:val="003E63A6"/>
    <w:rsid w:val="003E67ED"/>
    <w:rsid w:val="003E77C1"/>
    <w:rsid w:val="003F00D8"/>
    <w:rsid w:val="003F2D51"/>
    <w:rsid w:val="003F64F0"/>
    <w:rsid w:val="003F718A"/>
    <w:rsid w:val="003F7CF3"/>
    <w:rsid w:val="00401BB4"/>
    <w:rsid w:val="00401BD8"/>
    <w:rsid w:val="004027B6"/>
    <w:rsid w:val="00403CFF"/>
    <w:rsid w:val="004040D4"/>
    <w:rsid w:val="004041E8"/>
    <w:rsid w:val="00405ADF"/>
    <w:rsid w:val="004067B9"/>
    <w:rsid w:val="00406D04"/>
    <w:rsid w:val="00410276"/>
    <w:rsid w:val="00411702"/>
    <w:rsid w:val="004134C3"/>
    <w:rsid w:val="00414341"/>
    <w:rsid w:val="00414770"/>
    <w:rsid w:val="00415F71"/>
    <w:rsid w:val="004161B4"/>
    <w:rsid w:val="004173C0"/>
    <w:rsid w:val="00420D3A"/>
    <w:rsid w:val="004210F2"/>
    <w:rsid w:val="004215B9"/>
    <w:rsid w:val="0042164D"/>
    <w:rsid w:val="00421EA0"/>
    <w:rsid w:val="00422122"/>
    <w:rsid w:val="00423493"/>
    <w:rsid w:val="004237AF"/>
    <w:rsid w:val="00423DD1"/>
    <w:rsid w:val="00424692"/>
    <w:rsid w:val="00426B30"/>
    <w:rsid w:val="00426BE6"/>
    <w:rsid w:val="00430BD0"/>
    <w:rsid w:val="004319AC"/>
    <w:rsid w:val="00431A9F"/>
    <w:rsid w:val="0043296F"/>
    <w:rsid w:val="00432CD6"/>
    <w:rsid w:val="00433D5D"/>
    <w:rsid w:val="004368EE"/>
    <w:rsid w:val="00436DC0"/>
    <w:rsid w:val="00436E01"/>
    <w:rsid w:val="00437A70"/>
    <w:rsid w:val="00440F79"/>
    <w:rsid w:val="00442271"/>
    <w:rsid w:val="00442B55"/>
    <w:rsid w:val="00444EAA"/>
    <w:rsid w:val="004522F7"/>
    <w:rsid w:val="00453C7B"/>
    <w:rsid w:val="00454223"/>
    <w:rsid w:val="00456560"/>
    <w:rsid w:val="0045686C"/>
    <w:rsid w:val="00457B76"/>
    <w:rsid w:val="004602B8"/>
    <w:rsid w:val="00460B7A"/>
    <w:rsid w:val="004621BC"/>
    <w:rsid w:val="00463A50"/>
    <w:rsid w:val="004644B7"/>
    <w:rsid w:val="00464532"/>
    <w:rsid w:val="00466287"/>
    <w:rsid w:val="00466DD4"/>
    <w:rsid w:val="0046706F"/>
    <w:rsid w:val="004717D2"/>
    <w:rsid w:val="00473200"/>
    <w:rsid w:val="004735FA"/>
    <w:rsid w:val="00473CBA"/>
    <w:rsid w:val="00474831"/>
    <w:rsid w:val="00474BD9"/>
    <w:rsid w:val="00474EAC"/>
    <w:rsid w:val="00475350"/>
    <w:rsid w:val="0047553F"/>
    <w:rsid w:val="004766C1"/>
    <w:rsid w:val="00477F64"/>
    <w:rsid w:val="004805BE"/>
    <w:rsid w:val="00480978"/>
    <w:rsid w:val="00480B59"/>
    <w:rsid w:val="00481797"/>
    <w:rsid w:val="00482401"/>
    <w:rsid w:val="004826CC"/>
    <w:rsid w:val="00482957"/>
    <w:rsid w:val="00482F12"/>
    <w:rsid w:val="00483208"/>
    <w:rsid w:val="0048449A"/>
    <w:rsid w:val="004846CF"/>
    <w:rsid w:val="00484892"/>
    <w:rsid w:val="004853F7"/>
    <w:rsid w:val="00485509"/>
    <w:rsid w:val="00490A9F"/>
    <w:rsid w:val="004921DA"/>
    <w:rsid w:val="00495AD7"/>
    <w:rsid w:val="00496A88"/>
    <w:rsid w:val="00496AAF"/>
    <w:rsid w:val="00496D79"/>
    <w:rsid w:val="004A1D49"/>
    <w:rsid w:val="004A26AB"/>
    <w:rsid w:val="004A4C50"/>
    <w:rsid w:val="004A5FC9"/>
    <w:rsid w:val="004B030F"/>
    <w:rsid w:val="004B08CE"/>
    <w:rsid w:val="004B0C03"/>
    <w:rsid w:val="004B185F"/>
    <w:rsid w:val="004B1AE4"/>
    <w:rsid w:val="004B258F"/>
    <w:rsid w:val="004B29B1"/>
    <w:rsid w:val="004B4D5B"/>
    <w:rsid w:val="004B4E8F"/>
    <w:rsid w:val="004B67E4"/>
    <w:rsid w:val="004B6BCD"/>
    <w:rsid w:val="004B70A6"/>
    <w:rsid w:val="004B76C0"/>
    <w:rsid w:val="004B78AE"/>
    <w:rsid w:val="004B7E26"/>
    <w:rsid w:val="004C0545"/>
    <w:rsid w:val="004C081C"/>
    <w:rsid w:val="004C19EC"/>
    <w:rsid w:val="004C21EC"/>
    <w:rsid w:val="004C40D0"/>
    <w:rsid w:val="004C64AF"/>
    <w:rsid w:val="004C6591"/>
    <w:rsid w:val="004C6944"/>
    <w:rsid w:val="004C6F2F"/>
    <w:rsid w:val="004D027F"/>
    <w:rsid w:val="004D053E"/>
    <w:rsid w:val="004D192F"/>
    <w:rsid w:val="004D22AF"/>
    <w:rsid w:val="004D2CBE"/>
    <w:rsid w:val="004D3D08"/>
    <w:rsid w:val="004D56CE"/>
    <w:rsid w:val="004D5F10"/>
    <w:rsid w:val="004D62A0"/>
    <w:rsid w:val="004D6C29"/>
    <w:rsid w:val="004D7B63"/>
    <w:rsid w:val="004E04A3"/>
    <w:rsid w:val="004E06E4"/>
    <w:rsid w:val="004E1196"/>
    <w:rsid w:val="004E36B1"/>
    <w:rsid w:val="004E3CCF"/>
    <w:rsid w:val="004E6AE5"/>
    <w:rsid w:val="004E7192"/>
    <w:rsid w:val="004E7745"/>
    <w:rsid w:val="004F00D5"/>
    <w:rsid w:val="004F019A"/>
    <w:rsid w:val="004F06E0"/>
    <w:rsid w:val="004F1FFA"/>
    <w:rsid w:val="004F2BE2"/>
    <w:rsid w:val="004F3796"/>
    <w:rsid w:val="004F3B17"/>
    <w:rsid w:val="004F3B7C"/>
    <w:rsid w:val="004F3E04"/>
    <w:rsid w:val="004F4065"/>
    <w:rsid w:val="004F6791"/>
    <w:rsid w:val="004F6900"/>
    <w:rsid w:val="004F7857"/>
    <w:rsid w:val="004F7AFC"/>
    <w:rsid w:val="00500412"/>
    <w:rsid w:val="005024C5"/>
    <w:rsid w:val="00502543"/>
    <w:rsid w:val="00510C86"/>
    <w:rsid w:val="00511482"/>
    <w:rsid w:val="005123C3"/>
    <w:rsid w:val="00513954"/>
    <w:rsid w:val="00513C33"/>
    <w:rsid w:val="00513E14"/>
    <w:rsid w:val="00514AE0"/>
    <w:rsid w:val="00514E45"/>
    <w:rsid w:val="005157D1"/>
    <w:rsid w:val="005158D4"/>
    <w:rsid w:val="00515B43"/>
    <w:rsid w:val="00515EB4"/>
    <w:rsid w:val="0051622D"/>
    <w:rsid w:val="00517735"/>
    <w:rsid w:val="00522134"/>
    <w:rsid w:val="00523E3B"/>
    <w:rsid w:val="005252CA"/>
    <w:rsid w:val="00525C76"/>
    <w:rsid w:val="005260D6"/>
    <w:rsid w:val="00526870"/>
    <w:rsid w:val="00527271"/>
    <w:rsid w:val="00530191"/>
    <w:rsid w:val="00531976"/>
    <w:rsid w:val="005319DC"/>
    <w:rsid w:val="00531D65"/>
    <w:rsid w:val="0053206C"/>
    <w:rsid w:val="00534C15"/>
    <w:rsid w:val="0053537A"/>
    <w:rsid w:val="005362FE"/>
    <w:rsid w:val="00540567"/>
    <w:rsid w:val="00540600"/>
    <w:rsid w:val="00540964"/>
    <w:rsid w:val="00541397"/>
    <w:rsid w:val="0054196C"/>
    <w:rsid w:val="005425B3"/>
    <w:rsid w:val="0054266A"/>
    <w:rsid w:val="005426D7"/>
    <w:rsid w:val="00542FD7"/>
    <w:rsid w:val="005439CA"/>
    <w:rsid w:val="00544501"/>
    <w:rsid w:val="0054605B"/>
    <w:rsid w:val="00546604"/>
    <w:rsid w:val="00546CD3"/>
    <w:rsid w:val="00547B17"/>
    <w:rsid w:val="005505B8"/>
    <w:rsid w:val="00551077"/>
    <w:rsid w:val="005510A3"/>
    <w:rsid w:val="005518C5"/>
    <w:rsid w:val="00552B64"/>
    <w:rsid w:val="0055312E"/>
    <w:rsid w:val="00553B6A"/>
    <w:rsid w:val="005542E9"/>
    <w:rsid w:val="00556770"/>
    <w:rsid w:val="00556B4F"/>
    <w:rsid w:val="005571E3"/>
    <w:rsid w:val="00561FC6"/>
    <w:rsid w:val="005623FA"/>
    <w:rsid w:val="00562743"/>
    <w:rsid w:val="00562AE8"/>
    <w:rsid w:val="00562EE2"/>
    <w:rsid w:val="005643CB"/>
    <w:rsid w:val="00564621"/>
    <w:rsid w:val="00566574"/>
    <w:rsid w:val="00567327"/>
    <w:rsid w:val="005679DF"/>
    <w:rsid w:val="00570754"/>
    <w:rsid w:val="00570ABE"/>
    <w:rsid w:val="00570C33"/>
    <w:rsid w:val="00570D1C"/>
    <w:rsid w:val="00573127"/>
    <w:rsid w:val="005752F4"/>
    <w:rsid w:val="00575822"/>
    <w:rsid w:val="00575E6E"/>
    <w:rsid w:val="0057673C"/>
    <w:rsid w:val="0058326C"/>
    <w:rsid w:val="00584CB0"/>
    <w:rsid w:val="0058576A"/>
    <w:rsid w:val="00586741"/>
    <w:rsid w:val="00590C67"/>
    <w:rsid w:val="0059398C"/>
    <w:rsid w:val="00593B5C"/>
    <w:rsid w:val="0059443F"/>
    <w:rsid w:val="005955C2"/>
    <w:rsid w:val="00595A82"/>
    <w:rsid w:val="00595E43"/>
    <w:rsid w:val="00595FEF"/>
    <w:rsid w:val="0059600A"/>
    <w:rsid w:val="005962C5"/>
    <w:rsid w:val="005968B3"/>
    <w:rsid w:val="00596EC9"/>
    <w:rsid w:val="00597658"/>
    <w:rsid w:val="00597C5A"/>
    <w:rsid w:val="005A1E50"/>
    <w:rsid w:val="005A217C"/>
    <w:rsid w:val="005A2566"/>
    <w:rsid w:val="005A3B24"/>
    <w:rsid w:val="005A4593"/>
    <w:rsid w:val="005A4EA2"/>
    <w:rsid w:val="005A5360"/>
    <w:rsid w:val="005A5AF9"/>
    <w:rsid w:val="005A5CCF"/>
    <w:rsid w:val="005A5DFD"/>
    <w:rsid w:val="005A5F70"/>
    <w:rsid w:val="005A6233"/>
    <w:rsid w:val="005B10E5"/>
    <w:rsid w:val="005B2297"/>
    <w:rsid w:val="005B6ECF"/>
    <w:rsid w:val="005C0168"/>
    <w:rsid w:val="005C4156"/>
    <w:rsid w:val="005C52C3"/>
    <w:rsid w:val="005C5A35"/>
    <w:rsid w:val="005C6244"/>
    <w:rsid w:val="005C7475"/>
    <w:rsid w:val="005C79F0"/>
    <w:rsid w:val="005C7A09"/>
    <w:rsid w:val="005D1337"/>
    <w:rsid w:val="005D14AA"/>
    <w:rsid w:val="005D1A4A"/>
    <w:rsid w:val="005D6099"/>
    <w:rsid w:val="005D6A41"/>
    <w:rsid w:val="005D78C6"/>
    <w:rsid w:val="005E045F"/>
    <w:rsid w:val="005E21A7"/>
    <w:rsid w:val="005E25FD"/>
    <w:rsid w:val="005E3CBA"/>
    <w:rsid w:val="005E483E"/>
    <w:rsid w:val="005E58C5"/>
    <w:rsid w:val="005E671D"/>
    <w:rsid w:val="005E67AC"/>
    <w:rsid w:val="005E7028"/>
    <w:rsid w:val="005F2908"/>
    <w:rsid w:val="005F2CFD"/>
    <w:rsid w:val="005F3630"/>
    <w:rsid w:val="005F5476"/>
    <w:rsid w:val="005F5654"/>
    <w:rsid w:val="005F5DA5"/>
    <w:rsid w:val="005F66EB"/>
    <w:rsid w:val="005F6C2E"/>
    <w:rsid w:val="005F6C64"/>
    <w:rsid w:val="005F6D10"/>
    <w:rsid w:val="005F6D19"/>
    <w:rsid w:val="00600B03"/>
    <w:rsid w:val="0060188E"/>
    <w:rsid w:val="00601BE1"/>
    <w:rsid w:val="00602B6F"/>
    <w:rsid w:val="006041C4"/>
    <w:rsid w:val="006052FD"/>
    <w:rsid w:val="0060532F"/>
    <w:rsid w:val="006067A1"/>
    <w:rsid w:val="00607BA1"/>
    <w:rsid w:val="00607C04"/>
    <w:rsid w:val="0061019E"/>
    <w:rsid w:val="00610B39"/>
    <w:rsid w:val="00610E2F"/>
    <w:rsid w:val="00611282"/>
    <w:rsid w:val="00613816"/>
    <w:rsid w:val="006149B7"/>
    <w:rsid w:val="00614B98"/>
    <w:rsid w:val="00615022"/>
    <w:rsid w:val="006159BD"/>
    <w:rsid w:val="00616814"/>
    <w:rsid w:val="00616854"/>
    <w:rsid w:val="00616E37"/>
    <w:rsid w:val="006172AE"/>
    <w:rsid w:val="0062209F"/>
    <w:rsid w:val="0062309D"/>
    <w:rsid w:val="00623288"/>
    <w:rsid w:val="00624F6C"/>
    <w:rsid w:val="00625E8D"/>
    <w:rsid w:val="006264E6"/>
    <w:rsid w:val="0062693A"/>
    <w:rsid w:val="00626963"/>
    <w:rsid w:val="00627BDC"/>
    <w:rsid w:val="00627C7F"/>
    <w:rsid w:val="00627F8C"/>
    <w:rsid w:val="00630B25"/>
    <w:rsid w:val="00630BFD"/>
    <w:rsid w:val="00634F17"/>
    <w:rsid w:val="0063576A"/>
    <w:rsid w:val="00635F18"/>
    <w:rsid w:val="0063641C"/>
    <w:rsid w:val="00636A61"/>
    <w:rsid w:val="00637412"/>
    <w:rsid w:val="00637975"/>
    <w:rsid w:val="00640517"/>
    <w:rsid w:val="006407B4"/>
    <w:rsid w:val="0064487A"/>
    <w:rsid w:val="0064570C"/>
    <w:rsid w:val="0064697E"/>
    <w:rsid w:val="006472D2"/>
    <w:rsid w:val="0065096D"/>
    <w:rsid w:val="006521E7"/>
    <w:rsid w:val="00654AFB"/>
    <w:rsid w:val="00655EC2"/>
    <w:rsid w:val="006577CD"/>
    <w:rsid w:val="00657AC7"/>
    <w:rsid w:val="00660023"/>
    <w:rsid w:val="006613D0"/>
    <w:rsid w:val="00661681"/>
    <w:rsid w:val="0066183F"/>
    <w:rsid w:val="00663669"/>
    <w:rsid w:val="00664209"/>
    <w:rsid w:val="006671A9"/>
    <w:rsid w:val="00670A39"/>
    <w:rsid w:val="0067223A"/>
    <w:rsid w:val="0067224F"/>
    <w:rsid w:val="00675484"/>
    <w:rsid w:val="006759AA"/>
    <w:rsid w:val="00676739"/>
    <w:rsid w:val="006775B9"/>
    <w:rsid w:val="00680C70"/>
    <w:rsid w:val="00680F91"/>
    <w:rsid w:val="00681491"/>
    <w:rsid w:val="00682513"/>
    <w:rsid w:val="00682906"/>
    <w:rsid w:val="00683927"/>
    <w:rsid w:val="00684F6D"/>
    <w:rsid w:val="0068529F"/>
    <w:rsid w:val="00685D66"/>
    <w:rsid w:val="0068643D"/>
    <w:rsid w:val="006869AD"/>
    <w:rsid w:val="0068749E"/>
    <w:rsid w:val="00690A36"/>
    <w:rsid w:val="0069147F"/>
    <w:rsid w:val="00691923"/>
    <w:rsid w:val="00692B43"/>
    <w:rsid w:val="0069363C"/>
    <w:rsid w:val="00693B27"/>
    <w:rsid w:val="00693C5E"/>
    <w:rsid w:val="006941CF"/>
    <w:rsid w:val="0069535C"/>
    <w:rsid w:val="00696172"/>
    <w:rsid w:val="006A0A6C"/>
    <w:rsid w:val="006A0D26"/>
    <w:rsid w:val="006A15A7"/>
    <w:rsid w:val="006A56E3"/>
    <w:rsid w:val="006A7B67"/>
    <w:rsid w:val="006B1620"/>
    <w:rsid w:val="006B22F7"/>
    <w:rsid w:val="006B2A7D"/>
    <w:rsid w:val="006B2B1E"/>
    <w:rsid w:val="006B59E0"/>
    <w:rsid w:val="006B5F13"/>
    <w:rsid w:val="006B686F"/>
    <w:rsid w:val="006B796B"/>
    <w:rsid w:val="006C0447"/>
    <w:rsid w:val="006C0E7E"/>
    <w:rsid w:val="006C142B"/>
    <w:rsid w:val="006C1B5A"/>
    <w:rsid w:val="006C35A5"/>
    <w:rsid w:val="006C4B27"/>
    <w:rsid w:val="006C6198"/>
    <w:rsid w:val="006C64C5"/>
    <w:rsid w:val="006C69C8"/>
    <w:rsid w:val="006C6A2C"/>
    <w:rsid w:val="006C7828"/>
    <w:rsid w:val="006C7ABC"/>
    <w:rsid w:val="006C7B6C"/>
    <w:rsid w:val="006D046C"/>
    <w:rsid w:val="006D0602"/>
    <w:rsid w:val="006D1B52"/>
    <w:rsid w:val="006D2E2B"/>
    <w:rsid w:val="006D51D1"/>
    <w:rsid w:val="006D5EBE"/>
    <w:rsid w:val="006E11D9"/>
    <w:rsid w:val="006E1632"/>
    <w:rsid w:val="006E2736"/>
    <w:rsid w:val="006E2858"/>
    <w:rsid w:val="006E29E9"/>
    <w:rsid w:val="006E2FE0"/>
    <w:rsid w:val="006E40BC"/>
    <w:rsid w:val="006E4482"/>
    <w:rsid w:val="006E72DB"/>
    <w:rsid w:val="006F0D1E"/>
    <w:rsid w:val="006F13EC"/>
    <w:rsid w:val="006F16A1"/>
    <w:rsid w:val="006F191B"/>
    <w:rsid w:val="006F3199"/>
    <w:rsid w:val="006F3F9A"/>
    <w:rsid w:val="006F46FF"/>
    <w:rsid w:val="006F591C"/>
    <w:rsid w:val="006F716D"/>
    <w:rsid w:val="00700B51"/>
    <w:rsid w:val="00702E92"/>
    <w:rsid w:val="00703754"/>
    <w:rsid w:val="00703CAA"/>
    <w:rsid w:val="00704F59"/>
    <w:rsid w:val="007058A3"/>
    <w:rsid w:val="00706743"/>
    <w:rsid w:val="00706BE6"/>
    <w:rsid w:val="007070D3"/>
    <w:rsid w:val="00707FDF"/>
    <w:rsid w:val="0071010C"/>
    <w:rsid w:val="0071023C"/>
    <w:rsid w:val="00710DF3"/>
    <w:rsid w:val="00710F04"/>
    <w:rsid w:val="007123FA"/>
    <w:rsid w:val="00712A92"/>
    <w:rsid w:val="0071365D"/>
    <w:rsid w:val="007138D3"/>
    <w:rsid w:val="00714886"/>
    <w:rsid w:val="00715BAC"/>
    <w:rsid w:val="00716568"/>
    <w:rsid w:val="00716ADF"/>
    <w:rsid w:val="00717F33"/>
    <w:rsid w:val="00720327"/>
    <w:rsid w:val="00720641"/>
    <w:rsid w:val="00720E95"/>
    <w:rsid w:val="00720FEB"/>
    <w:rsid w:val="007215DB"/>
    <w:rsid w:val="007217C7"/>
    <w:rsid w:val="007221BE"/>
    <w:rsid w:val="00722840"/>
    <w:rsid w:val="00724CAE"/>
    <w:rsid w:val="00725436"/>
    <w:rsid w:val="007266A8"/>
    <w:rsid w:val="007266CB"/>
    <w:rsid w:val="00726D8A"/>
    <w:rsid w:val="00727393"/>
    <w:rsid w:val="00731947"/>
    <w:rsid w:val="00731EDD"/>
    <w:rsid w:val="0073253E"/>
    <w:rsid w:val="00732C84"/>
    <w:rsid w:val="0073356A"/>
    <w:rsid w:val="007338AC"/>
    <w:rsid w:val="0073530F"/>
    <w:rsid w:val="00735822"/>
    <w:rsid w:val="00735936"/>
    <w:rsid w:val="00736579"/>
    <w:rsid w:val="00736BC0"/>
    <w:rsid w:val="007370E6"/>
    <w:rsid w:val="007404C9"/>
    <w:rsid w:val="00740BA7"/>
    <w:rsid w:val="00741A87"/>
    <w:rsid w:val="00741EF1"/>
    <w:rsid w:val="007424D0"/>
    <w:rsid w:val="00744778"/>
    <w:rsid w:val="007453F7"/>
    <w:rsid w:val="007454A2"/>
    <w:rsid w:val="00745EDA"/>
    <w:rsid w:val="007478EA"/>
    <w:rsid w:val="00747AC9"/>
    <w:rsid w:val="00750D65"/>
    <w:rsid w:val="00752FC1"/>
    <w:rsid w:val="00754EA2"/>
    <w:rsid w:val="00756705"/>
    <w:rsid w:val="007572FF"/>
    <w:rsid w:val="007573E9"/>
    <w:rsid w:val="0075747E"/>
    <w:rsid w:val="00757C33"/>
    <w:rsid w:val="007611CE"/>
    <w:rsid w:val="00761C05"/>
    <w:rsid w:val="00762915"/>
    <w:rsid w:val="007634F4"/>
    <w:rsid w:val="00763EFC"/>
    <w:rsid w:val="007647A2"/>
    <w:rsid w:val="00764EF1"/>
    <w:rsid w:val="007662C2"/>
    <w:rsid w:val="007666B2"/>
    <w:rsid w:val="00766BD9"/>
    <w:rsid w:val="00766E9C"/>
    <w:rsid w:val="00767526"/>
    <w:rsid w:val="007701C8"/>
    <w:rsid w:val="0077122C"/>
    <w:rsid w:val="00771488"/>
    <w:rsid w:val="00771C67"/>
    <w:rsid w:val="00771DBB"/>
    <w:rsid w:val="0077210D"/>
    <w:rsid w:val="0077276D"/>
    <w:rsid w:val="00772DF3"/>
    <w:rsid w:val="00774713"/>
    <w:rsid w:val="007750F1"/>
    <w:rsid w:val="007761E7"/>
    <w:rsid w:val="0077676F"/>
    <w:rsid w:val="00776880"/>
    <w:rsid w:val="00780AE2"/>
    <w:rsid w:val="00781215"/>
    <w:rsid w:val="00781FF3"/>
    <w:rsid w:val="00783366"/>
    <w:rsid w:val="007835E7"/>
    <w:rsid w:val="00785A1B"/>
    <w:rsid w:val="007864F5"/>
    <w:rsid w:val="00790287"/>
    <w:rsid w:val="00790D50"/>
    <w:rsid w:val="00791AFF"/>
    <w:rsid w:val="00791FF4"/>
    <w:rsid w:val="007924DC"/>
    <w:rsid w:val="00792C75"/>
    <w:rsid w:val="00793AC0"/>
    <w:rsid w:val="00793D33"/>
    <w:rsid w:val="0079653C"/>
    <w:rsid w:val="00797698"/>
    <w:rsid w:val="007978F1"/>
    <w:rsid w:val="007A06FE"/>
    <w:rsid w:val="007A44A5"/>
    <w:rsid w:val="007A5D71"/>
    <w:rsid w:val="007A69DD"/>
    <w:rsid w:val="007A6D03"/>
    <w:rsid w:val="007A701D"/>
    <w:rsid w:val="007B2B77"/>
    <w:rsid w:val="007B4D02"/>
    <w:rsid w:val="007B6425"/>
    <w:rsid w:val="007B6820"/>
    <w:rsid w:val="007B77CC"/>
    <w:rsid w:val="007C0755"/>
    <w:rsid w:val="007C0B66"/>
    <w:rsid w:val="007C1D43"/>
    <w:rsid w:val="007C1D63"/>
    <w:rsid w:val="007C3979"/>
    <w:rsid w:val="007C40C7"/>
    <w:rsid w:val="007C4EB2"/>
    <w:rsid w:val="007C55A9"/>
    <w:rsid w:val="007C561E"/>
    <w:rsid w:val="007D0946"/>
    <w:rsid w:val="007D3BDC"/>
    <w:rsid w:val="007D4095"/>
    <w:rsid w:val="007D577B"/>
    <w:rsid w:val="007D5E7B"/>
    <w:rsid w:val="007D747C"/>
    <w:rsid w:val="007E0129"/>
    <w:rsid w:val="007E05EE"/>
    <w:rsid w:val="007E0A9E"/>
    <w:rsid w:val="007E237D"/>
    <w:rsid w:val="007E2BFB"/>
    <w:rsid w:val="007E474E"/>
    <w:rsid w:val="007E4C01"/>
    <w:rsid w:val="007E5ABE"/>
    <w:rsid w:val="007F10C8"/>
    <w:rsid w:val="007F2158"/>
    <w:rsid w:val="007F21DE"/>
    <w:rsid w:val="007F302C"/>
    <w:rsid w:val="007F3655"/>
    <w:rsid w:val="007F510F"/>
    <w:rsid w:val="007F56EF"/>
    <w:rsid w:val="007F5F94"/>
    <w:rsid w:val="007F7D02"/>
    <w:rsid w:val="00800AAC"/>
    <w:rsid w:val="008036EB"/>
    <w:rsid w:val="00803782"/>
    <w:rsid w:val="00803917"/>
    <w:rsid w:val="00804C5E"/>
    <w:rsid w:val="008051E3"/>
    <w:rsid w:val="00806036"/>
    <w:rsid w:val="008064DE"/>
    <w:rsid w:val="00806F26"/>
    <w:rsid w:val="00807170"/>
    <w:rsid w:val="008075D5"/>
    <w:rsid w:val="00807D94"/>
    <w:rsid w:val="00810C50"/>
    <w:rsid w:val="00814CC9"/>
    <w:rsid w:val="008158E7"/>
    <w:rsid w:val="00815E38"/>
    <w:rsid w:val="008176AA"/>
    <w:rsid w:val="00817C00"/>
    <w:rsid w:val="00822352"/>
    <w:rsid w:val="00822A65"/>
    <w:rsid w:val="00822ED1"/>
    <w:rsid w:val="008230D1"/>
    <w:rsid w:val="00824AD4"/>
    <w:rsid w:val="00825A40"/>
    <w:rsid w:val="008267F9"/>
    <w:rsid w:val="008269F0"/>
    <w:rsid w:val="00830EA1"/>
    <w:rsid w:val="008332B1"/>
    <w:rsid w:val="0083447C"/>
    <w:rsid w:val="0083502C"/>
    <w:rsid w:val="00836296"/>
    <w:rsid w:val="00836687"/>
    <w:rsid w:val="008366C7"/>
    <w:rsid w:val="008369BD"/>
    <w:rsid w:val="00837D01"/>
    <w:rsid w:val="008400EB"/>
    <w:rsid w:val="008406DD"/>
    <w:rsid w:val="00840E24"/>
    <w:rsid w:val="00841BBD"/>
    <w:rsid w:val="008421D5"/>
    <w:rsid w:val="00842525"/>
    <w:rsid w:val="00842C8E"/>
    <w:rsid w:val="00843186"/>
    <w:rsid w:val="00845A38"/>
    <w:rsid w:val="008460A2"/>
    <w:rsid w:val="00851BCB"/>
    <w:rsid w:val="008540AD"/>
    <w:rsid w:val="0085511A"/>
    <w:rsid w:val="008551E3"/>
    <w:rsid w:val="0085656C"/>
    <w:rsid w:val="008579F8"/>
    <w:rsid w:val="00857B0F"/>
    <w:rsid w:val="00857C71"/>
    <w:rsid w:val="008605B5"/>
    <w:rsid w:val="00861A30"/>
    <w:rsid w:val="008629E9"/>
    <w:rsid w:val="00863B21"/>
    <w:rsid w:val="00863F1A"/>
    <w:rsid w:val="00867BAB"/>
    <w:rsid w:val="008702E3"/>
    <w:rsid w:val="0087209F"/>
    <w:rsid w:val="00873C44"/>
    <w:rsid w:val="00874632"/>
    <w:rsid w:val="008748FB"/>
    <w:rsid w:val="00874B3C"/>
    <w:rsid w:val="00875714"/>
    <w:rsid w:val="00875C4E"/>
    <w:rsid w:val="00875F09"/>
    <w:rsid w:val="0087639D"/>
    <w:rsid w:val="00880496"/>
    <w:rsid w:val="0088089D"/>
    <w:rsid w:val="008828CF"/>
    <w:rsid w:val="00882B99"/>
    <w:rsid w:val="00884729"/>
    <w:rsid w:val="00885172"/>
    <w:rsid w:val="00885514"/>
    <w:rsid w:val="00885785"/>
    <w:rsid w:val="008860AC"/>
    <w:rsid w:val="0088748A"/>
    <w:rsid w:val="008909A4"/>
    <w:rsid w:val="0089100F"/>
    <w:rsid w:val="008910BC"/>
    <w:rsid w:val="00891B1A"/>
    <w:rsid w:val="008928D6"/>
    <w:rsid w:val="00892ADC"/>
    <w:rsid w:val="00892F6A"/>
    <w:rsid w:val="00894F4E"/>
    <w:rsid w:val="00895BB8"/>
    <w:rsid w:val="00896F90"/>
    <w:rsid w:val="008A080F"/>
    <w:rsid w:val="008A1070"/>
    <w:rsid w:val="008A147F"/>
    <w:rsid w:val="008A28A7"/>
    <w:rsid w:val="008A34C9"/>
    <w:rsid w:val="008A4BB3"/>
    <w:rsid w:val="008A5283"/>
    <w:rsid w:val="008A5DFF"/>
    <w:rsid w:val="008A6D30"/>
    <w:rsid w:val="008A6E0A"/>
    <w:rsid w:val="008A73C3"/>
    <w:rsid w:val="008A78A3"/>
    <w:rsid w:val="008A78D4"/>
    <w:rsid w:val="008B055D"/>
    <w:rsid w:val="008B0848"/>
    <w:rsid w:val="008B125E"/>
    <w:rsid w:val="008B1F7C"/>
    <w:rsid w:val="008B37B9"/>
    <w:rsid w:val="008B56DB"/>
    <w:rsid w:val="008B6910"/>
    <w:rsid w:val="008B6F92"/>
    <w:rsid w:val="008B7279"/>
    <w:rsid w:val="008B75FD"/>
    <w:rsid w:val="008C103E"/>
    <w:rsid w:val="008C20DC"/>
    <w:rsid w:val="008C32E7"/>
    <w:rsid w:val="008C49A8"/>
    <w:rsid w:val="008C4EAE"/>
    <w:rsid w:val="008C5363"/>
    <w:rsid w:val="008C5712"/>
    <w:rsid w:val="008C5E65"/>
    <w:rsid w:val="008C6D0A"/>
    <w:rsid w:val="008C7224"/>
    <w:rsid w:val="008C7A14"/>
    <w:rsid w:val="008D054D"/>
    <w:rsid w:val="008D066D"/>
    <w:rsid w:val="008D2AB6"/>
    <w:rsid w:val="008D338D"/>
    <w:rsid w:val="008D4D0D"/>
    <w:rsid w:val="008D4F50"/>
    <w:rsid w:val="008D6AE2"/>
    <w:rsid w:val="008D734C"/>
    <w:rsid w:val="008E0EB6"/>
    <w:rsid w:val="008E2A16"/>
    <w:rsid w:val="008E2D47"/>
    <w:rsid w:val="008E2EE3"/>
    <w:rsid w:val="008E36C2"/>
    <w:rsid w:val="008E43D8"/>
    <w:rsid w:val="008E4B89"/>
    <w:rsid w:val="008E4C99"/>
    <w:rsid w:val="008E51AB"/>
    <w:rsid w:val="008E655E"/>
    <w:rsid w:val="008E6FA7"/>
    <w:rsid w:val="008F0892"/>
    <w:rsid w:val="008F1026"/>
    <w:rsid w:val="008F1308"/>
    <w:rsid w:val="008F1DEB"/>
    <w:rsid w:val="008F3273"/>
    <w:rsid w:val="008F4610"/>
    <w:rsid w:val="008F4B88"/>
    <w:rsid w:val="008F526D"/>
    <w:rsid w:val="008F535D"/>
    <w:rsid w:val="008F54DC"/>
    <w:rsid w:val="008F5A85"/>
    <w:rsid w:val="008F6712"/>
    <w:rsid w:val="008F6A52"/>
    <w:rsid w:val="008F79ED"/>
    <w:rsid w:val="009005CB"/>
    <w:rsid w:val="009021E5"/>
    <w:rsid w:val="0090294C"/>
    <w:rsid w:val="0090347B"/>
    <w:rsid w:val="00905811"/>
    <w:rsid w:val="00906AE6"/>
    <w:rsid w:val="00910843"/>
    <w:rsid w:val="009108F7"/>
    <w:rsid w:val="00910CD4"/>
    <w:rsid w:val="00912B31"/>
    <w:rsid w:val="00912FED"/>
    <w:rsid w:val="00913466"/>
    <w:rsid w:val="00915A93"/>
    <w:rsid w:val="00915ADB"/>
    <w:rsid w:val="00916996"/>
    <w:rsid w:val="00917E27"/>
    <w:rsid w:val="00920044"/>
    <w:rsid w:val="00920C35"/>
    <w:rsid w:val="00920F2C"/>
    <w:rsid w:val="009226FE"/>
    <w:rsid w:val="00922A4C"/>
    <w:rsid w:val="009232BB"/>
    <w:rsid w:val="009263F1"/>
    <w:rsid w:val="009272B9"/>
    <w:rsid w:val="00927A42"/>
    <w:rsid w:val="00930FBD"/>
    <w:rsid w:val="00931F40"/>
    <w:rsid w:val="00932412"/>
    <w:rsid w:val="009326C4"/>
    <w:rsid w:val="009326EC"/>
    <w:rsid w:val="00932FB8"/>
    <w:rsid w:val="00933677"/>
    <w:rsid w:val="00933A58"/>
    <w:rsid w:val="00934861"/>
    <w:rsid w:val="0093547C"/>
    <w:rsid w:val="00936DC3"/>
    <w:rsid w:val="0093708A"/>
    <w:rsid w:val="009371F9"/>
    <w:rsid w:val="00937E63"/>
    <w:rsid w:val="00940464"/>
    <w:rsid w:val="009412B5"/>
    <w:rsid w:val="009413E2"/>
    <w:rsid w:val="00941424"/>
    <w:rsid w:val="009418FB"/>
    <w:rsid w:val="00942480"/>
    <w:rsid w:val="00944D3B"/>
    <w:rsid w:val="0094503A"/>
    <w:rsid w:val="00945318"/>
    <w:rsid w:val="00946577"/>
    <w:rsid w:val="0094677F"/>
    <w:rsid w:val="009467B4"/>
    <w:rsid w:val="00950D8E"/>
    <w:rsid w:val="00951986"/>
    <w:rsid w:val="009533A7"/>
    <w:rsid w:val="00953754"/>
    <w:rsid w:val="0095631B"/>
    <w:rsid w:val="009575BC"/>
    <w:rsid w:val="0095799D"/>
    <w:rsid w:val="00957D44"/>
    <w:rsid w:val="00957DB8"/>
    <w:rsid w:val="00960920"/>
    <w:rsid w:val="00960FB1"/>
    <w:rsid w:val="009610C8"/>
    <w:rsid w:val="0096184E"/>
    <w:rsid w:val="00961A0D"/>
    <w:rsid w:val="00961A37"/>
    <w:rsid w:val="00962AE2"/>
    <w:rsid w:val="00963913"/>
    <w:rsid w:val="00963A46"/>
    <w:rsid w:val="0096436F"/>
    <w:rsid w:val="00964922"/>
    <w:rsid w:val="00964DBF"/>
    <w:rsid w:val="00965074"/>
    <w:rsid w:val="009652AD"/>
    <w:rsid w:val="00965CEC"/>
    <w:rsid w:val="0096794C"/>
    <w:rsid w:val="00967E5B"/>
    <w:rsid w:val="00970541"/>
    <w:rsid w:val="00970F88"/>
    <w:rsid w:val="009741E7"/>
    <w:rsid w:val="009745C1"/>
    <w:rsid w:val="009760E2"/>
    <w:rsid w:val="009824C4"/>
    <w:rsid w:val="00984EDE"/>
    <w:rsid w:val="009861C0"/>
    <w:rsid w:val="00986AE5"/>
    <w:rsid w:val="00987126"/>
    <w:rsid w:val="00987FF7"/>
    <w:rsid w:val="0099239E"/>
    <w:rsid w:val="00993316"/>
    <w:rsid w:val="00994C46"/>
    <w:rsid w:val="009953A8"/>
    <w:rsid w:val="00995581"/>
    <w:rsid w:val="00996454"/>
    <w:rsid w:val="00996EF2"/>
    <w:rsid w:val="00997039"/>
    <w:rsid w:val="009A00AC"/>
    <w:rsid w:val="009A14CA"/>
    <w:rsid w:val="009A1804"/>
    <w:rsid w:val="009A2055"/>
    <w:rsid w:val="009A20E8"/>
    <w:rsid w:val="009A280A"/>
    <w:rsid w:val="009A6071"/>
    <w:rsid w:val="009A624E"/>
    <w:rsid w:val="009A67A9"/>
    <w:rsid w:val="009A70A5"/>
    <w:rsid w:val="009B1406"/>
    <w:rsid w:val="009B177A"/>
    <w:rsid w:val="009B2254"/>
    <w:rsid w:val="009B587B"/>
    <w:rsid w:val="009B5A85"/>
    <w:rsid w:val="009B6152"/>
    <w:rsid w:val="009B69AA"/>
    <w:rsid w:val="009B6FCF"/>
    <w:rsid w:val="009B7411"/>
    <w:rsid w:val="009B7705"/>
    <w:rsid w:val="009C14E3"/>
    <w:rsid w:val="009C155F"/>
    <w:rsid w:val="009C3510"/>
    <w:rsid w:val="009C360B"/>
    <w:rsid w:val="009C3A0D"/>
    <w:rsid w:val="009C4EB6"/>
    <w:rsid w:val="009C4F73"/>
    <w:rsid w:val="009C538E"/>
    <w:rsid w:val="009C5BF8"/>
    <w:rsid w:val="009C5EFA"/>
    <w:rsid w:val="009C7311"/>
    <w:rsid w:val="009C734D"/>
    <w:rsid w:val="009D169C"/>
    <w:rsid w:val="009D2CE2"/>
    <w:rsid w:val="009D335F"/>
    <w:rsid w:val="009D476B"/>
    <w:rsid w:val="009D4D3C"/>
    <w:rsid w:val="009D601B"/>
    <w:rsid w:val="009D6FBC"/>
    <w:rsid w:val="009D7507"/>
    <w:rsid w:val="009E0057"/>
    <w:rsid w:val="009E0AC6"/>
    <w:rsid w:val="009E5348"/>
    <w:rsid w:val="009E5AD0"/>
    <w:rsid w:val="009E5B08"/>
    <w:rsid w:val="009F0A7E"/>
    <w:rsid w:val="009F282F"/>
    <w:rsid w:val="009F3CAD"/>
    <w:rsid w:val="009F5DBB"/>
    <w:rsid w:val="009F5E13"/>
    <w:rsid w:val="009F614E"/>
    <w:rsid w:val="009F66F0"/>
    <w:rsid w:val="009F763A"/>
    <w:rsid w:val="009F7CEC"/>
    <w:rsid w:val="00A00DA5"/>
    <w:rsid w:val="00A010D2"/>
    <w:rsid w:val="00A01EF4"/>
    <w:rsid w:val="00A0216A"/>
    <w:rsid w:val="00A0262A"/>
    <w:rsid w:val="00A02997"/>
    <w:rsid w:val="00A02DAC"/>
    <w:rsid w:val="00A03E04"/>
    <w:rsid w:val="00A045F4"/>
    <w:rsid w:val="00A04CE9"/>
    <w:rsid w:val="00A05EEB"/>
    <w:rsid w:val="00A072F4"/>
    <w:rsid w:val="00A11257"/>
    <w:rsid w:val="00A114B0"/>
    <w:rsid w:val="00A11E6B"/>
    <w:rsid w:val="00A11F52"/>
    <w:rsid w:val="00A1315C"/>
    <w:rsid w:val="00A1413C"/>
    <w:rsid w:val="00A14171"/>
    <w:rsid w:val="00A14491"/>
    <w:rsid w:val="00A17A39"/>
    <w:rsid w:val="00A17FEA"/>
    <w:rsid w:val="00A208DA"/>
    <w:rsid w:val="00A2291F"/>
    <w:rsid w:val="00A22E1A"/>
    <w:rsid w:val="00A23320"/>
    <w:rsid w:val="00A23C39"/>
    <w:rsid w:val="00A25BBE"/>
    <w:rsid w:val="00A26479"/>
    <w:rsid w:val="00A26861"/>
    <w:rsid w:val="00A301D6"/>
    <w:rsid w:val="00A30EFA"/>
    <w:rsid w:val="00A33505"/>
    <w:rsid w:val="00A3382C"/>
    <w:rsid w:val="00A34113"/>
    <w:rsid w:val="00A3417C"/>
    <w:rsid w:val="00A34DCE"/>
    <w:rsid w:val="00A355C1"/>
    <w:rsid w:val="00A35A0A"/>
    <w:rsid w:val="00A3647F"/>
    <w:rsid w:val="00A36745"/>
    <w:rsid w:val="00A37F06"/>
    <w:rsid w:val="00A40A34"/>
    <w:rsid w:val="00A4153E"/>
    <w:rsid w:val="00A42799"/>
    <w:rsid w:val="00A428F9"/>
    <w:rsid w:val="00A42D72"/>
    <w:rsid w:val="00A464A2"/>
    <w:rsid w:val="00A507A0"/>
    <w:rsid w:val="00A50ABF"/>
    <w:rsid w:val="00A51125"/>
    <w:rsid w:val="00A53025"/>
    <w:rsid w:val="00A53851"/>
    <w:rsid w:val="00A56C2E"/>
    <w:rsid w:val="00A5795B"/>
    <w:rsid w:val="00A57DEC"/>
    <w:rsid w:val="00A60026"/>
    <w:rsid w:val="00A613F3"/>
    <w:rsid w:val="00A63CA4"/>
    <w:rsid w:val="00A63D11"/>
    <w:rsid w:val="00A64588"/>
    <w:rsid w:val="00A648CA"/>
    <w:rsid w:val="00A64AE3"/>
    <w:rsid w:val="00A65EC4"/>
    <w:rsid w:val="00A67A2D"/>
    <w:rsid w:val="00A707B6"/>
    <w:rsid w:val="00A716F7"/>
    <w:rsid w:val="00A745EF"/>
    <w:rsid w:val="00A75519"/>
    <w:rsid w:val="00A75682"/>
    <w:rsid w:val="00A76352"/>
    <w:rsid w:val="00A7707D"/>
    <w:rsid w:val="00A80556"/>
    <w:rsid w:val="00A80A95"/>
    <w:rsid w:val="00A82AEC"/>
    <w:rsid w:val="00A84C4F"/>
    <w:rsid w:val="00A85522"/>
    <w:rsid w:val="00A872BA"/>
    <w:rsid w:val="00A87A4B"/>
    <w:rsid w:val="00A90674"/>
    <w:rsid w:val="00A90F5D"/>
    <w:rsid w:val="00A91295"/>
    <w:rsid w:val="00A91E6E"/>
    <w:rsid w:val="00A932A6"/>
    <w:rsid w:val="00A93A92"/>
    <w:rsid w:val="00A95663"/>
    <w:rsid w:val="00A9581B"/>
    <w:rsid w:val="00A96B0A"/>
    <w:rsid w:val="00A97D94"/>
    <w:rsid w:val="00AA2254"/>
    <w:rsid w:val="00AA2355"/>
    <w:rsid w:val="00AA43F5"/>
    <w:rsid w:val="00AA4C23"/>
    <w:rsid w:val="00AA54A5"/>
    <w:rsid w:val="00AA7A12"/>
    <w:rsid w:val="00AB0A02"/>
    <w:rsid w:val="00AB1163"/>
    <w:rsid w:val="00AB12CC"/>
    <w:rsid w:val="00AB3D79"/>
    <w:rsid w:val="00AB4F53"/>
    <w:rsid w:val="00AB55F8"/>
    <w:rsid w:val="00AB60AF"/>
    <w:rsid w:val="00AB739A"/>
    <w:rsid w:val="00AC2246"/>
    <w:rsid w:val="00AC22A1"/>
    <w:rsid w:val="00AC242B"/>
    <w:rsid w:val="00AC38C1"/>
    <w:rsid w:val="00AC3B4C"/>
    <w:rsid w:val="00AC4535"/>
    <w:rsid w:val="00AC4E45"/>
    <w:rsid w:val="00AC5073"/>
    <w:rsid w:val="00AC5A5B"/>
    <w:rsid w:val="00AC5F71"/>
    <w:rsid w:val="00AC637C"/>
    <w:rsid w:val="00AC6819"/>
    <w:rsid w:val="00AC6934"/>
    <w:rsid w:val="00AC76A2"/>
    <w:rsid w:val="00AD1500"/>
    <w:rsid w:val="00AD2062"/>
    <w:rsid w:val="00AD2F5D"/>
    <w:rsid w:val="00AD4760"/>
    <w:rsid w:val="00AD4BFB"/>
    <w:rsid w:val="00AD536C"/>
    <w:rsid w:val="00AD54D8"/>
    <w:rsid w:val="00AD6536"/>
    <w:rsid w:val="00AD7424"/>
    <w:rsid w:val="00AE0A6D"/>
    <w:rsid w:val="00AE22BC"/>
    <w:rsid w:val="00AE233D"/>
    <w:rsid w:val="00AE2AAB"/>
    <w:rsid w:val="00AE2B10"/>
    <w:rsid w:val="00AE2E11"/>
    <w:rsid w:val="00AE35A0"/>
    <w:rsid w:val="00AE55C9"/>
    <w:rsid w:val="00AE5A4F"/>
    <w:rsid w:val="00AE6F10"/>
    <w:rsid w:val="00AF01A0"/>
    <w:rsid w:val="00AF0249"/>
    <w:rsid w:val="00AF03D2"/>
    <w:rsid w:val="00AF19CF"/>
    <w:rsid w:val="00AF206C"/>
    <w:rsid w:val="00AF3210"/>
    <w:rsid w:val="00AF3467"/>
    <w:rsid w:val="00AF3C35"/>
    <w:rsid w:val="00B00DBD"/>
    <w:rsid w:val="00B01A10"/>
    <w:rsid w:val="00B03ED8"/>
    <w:rsid w:val="00B03F14"/>
    <w:rsid w:val="00B04C76"/>
    <w:rsid w:val="00B05951"/>
    <w:rsid w:val="00B060BF"/>
    <w:rsid w:val="00B102D8"/>
    <w:rsid w:val="00B11671"/>
    <w:rsid w:val="00B13292"/>
    <w:rsid w:val="00B134E7"/>
    <w:rsid w:val="00B13C9A"/>
    <w:rsid w:val="00B14462"/>
    <w:rsid w:val="00B15472"/>
    <w:rsid w:val="00B16036"/>
    <w:rsid w:val="00B16558"/>
    <w:rsid w:val="00B16FA9"/>
    <w:rsid w:val="00B21ACF"/>
    <w:rsid w:val="00B21FB6"/>
    <w:rsid w:val="00B241AD"/>
    <w:rsid w:val="00B24CA6"/>
    <w:rsid w:val="00B24E95"/>
    <w:rsid w:val="00B253BF"/>
    <w:rsid w:val="00B2586F"/>
    <w:rsid w:val="00B25C32"/>
    <w:rsid w:val="00B25C78"/>
    <w:rsid w:val="00B271BE"/>
    <w:rsid w:val="00B27D7E"/>
    <w:rsid w:val="00B30213"/>
    <w:rsid w:val="00B30615"/>
    <w:rsid w:val="00B3092A"/>
    <w:rsid w:val="00B320BF"/>
    <w:rsid w:val="00B3452D"/>
    <w:rsid w:val="00B35189"/>
    <w:rsid w:val="00B3565C"/>
    <w:rsid w:val="00B3578B"/>
    <w:rsid w:val="00B35EE8"/>
    <w:rsid w:val="00B36809"/>
    <w:rsid w:val="00B36820"/>
    <w:rsid w:val="00B36E86"/>
    <w:rsid w:val="00B3735A"/>
    <w:rsid w:val="00B37962"/>
    <w:rsid w:val="00B405EF"/>
    <w:rsid w:val="00B41F63"/>
    <w:rsid w:val="00B41F8E"/>
    <w:rsid w:val="00B4263F"/>
    <w:rsid w:val="00B42818"/>
    <w:rsid w:val="00B42E3A"/>
    <w:rsid w:val="00B432EE"/>
    <w:rsid w:val="00B43CCC"/>
    <w:rsid w:val="00B43F5C"/>
    <w:rsid w:val="00B44352"/>
    <w:rsid w:val="00B46726"/>
    <w:rsid w:val="00B47D22"/>
    <w:rsid w:val="00B510FE"/>
    <w:rsid w:val="00B5128B"/>
    <w:rsid w:val="00B52074"/>
    <w:rsid w:val="00B5445D"/>
    <w:rsid w:val="00B559D5"/>
    <w:rsid w:val="00B561AA"/>
    <w:rsid w:val="00B56AC2"/>
    <w:rsid w:val="00B5793C"/>
    <w:rsid w:val="00B60663"/>
    <w:rsid w:val="00B613D5"/>
    <w:rsid w:val="00B616E1"/>
    <w:rsid w:val="00B62100"/>
    <w:rsid w:val="00B6359D"/>
    <w:rsid w:val="00B635F1"/>
    <w:rsid w:val="00B6398C"/>
    <w:rsid w:val="00B64B96"/>
    <w:rsid w:val="00B64CF3"/>
    <w:rsid w:val="00B65A8F"/>
    <w:rsid w:val="00B65E56"/>
    <w:rsid w:val="00B6704C"/>
    <w:rsid w:val="00B6769F"/>
    <w:rsid w:val="00B679FC"/>
    <w:rsid w:val="00B67D82"/>
    <w:rsid w:val="00B71481"/>
    <w:rsid w:val="00B71523"/>
    <w:rsid w:val="00B71766"/>
    <w:rsid w:val="00B74073"/>
    <w:rsid w:val="00B75467"/>
    <w:rsid w:val="00B756C7"/>
    <w:rsid w:val="00B759E7"/>
    <w:rsid w:val="00B7652F"/>
    <w:rsid w:val="00B7674F"/>
    <w:rsid w:val="00B7692B"/>
    <w:rsid w:val="00B77839"/>
    <w:rsid w:val="00B82010"/>
    <w:rsid w:val="00B83625"/>
    <w:rsid w:val="00B83DAD"/>
    <w:rsid w:val="00B85702"/>
    <w:rsid w:val="00B858CF"/>
    <w:rsid w:val="00B85DEE"/>
    <w:rsid w:val="00B876BD"/>
    <w:rsid w:val="00B876FD"/>
    <w:rsid w:val="00B87848"/>
    <w:rsid w:val="00B90084"/>
    <w:rsid w:val="00B90694"/>
    <w:rsid w:val="00B90826"/>
    <w:rsid w:val="00B90DAF"/>
    <w:rsid w:val="00B917B8"/>
    <w:rsid w:val="00B92547"/>
    <w:rsid w:val="00B92AA7"/>
    <w:rsid w:val="00B92B4D"/>
    <w:rsid w:val="00B93769"/>
    <w:rsid w:val="00B93D0C"/>
    <w:rsid w:val="00B962DA"/>
    <w:rsid w:val="00B963FE"/>
    <w:rsid w:val="00B967AD"/>
    <w:rsid w:val="00B96B25"/>
    <w:rsid w:val="00B97ACA"/>
    <w:rsid w:val="00BA0342"/>
    <w:rsid w:val="00BA2367"/>
    <w:rsid w:val="00BA254C"/>
    <w:rsid w:val="00BA4470"/>
    <w:rsid w:val="00BA4597"/>
    <w:rsid w:val="00BA49E9"/>
    <w:rsid w:val="00BA594A"/>
    <w:rsid w:val="00BA61AF"/>
    <w:rsid w:val="00BB051B"/>
    <w:rsid w:val="00BB07CD"/>
    <w:rsid w:val="00BB0D39"/>
    <w:rsid w:val="00BB0EB7"/>
    <w:rsid w:val="00BB2F71"/>
    <w:rsid w:val="00BB360B"/>
    <w:rsid w:val="00BB3625"/>
    <w:rsid w:val="00BB66F1"/>
    <w:rsid w:val="00BB730D"/>
    <w:rsid w:val="00BC1715"/>
    <w:rsid w:val="00BC22CA"/>
    <w:rsid w:val="00BC3B72"/>
    <w:rsid w:val="00BC4513"/>
    <w:rsid w:val="00BC45A9"/>
    <w:rsid w:val="00BC4D55"/>
    <w:rsid w:val="00BC67F3"/>
    <w:rsid w:val="00BC732D"/>
    <w:rsid w:val="00BC740E"/>
    <w:rsid w:val="00BC7D23"/>
    <w:rsid w:val="00BD0743"/>
    <w:rsid w:val="00BD0F4A"/>
    <w:rsid w:val="00BD22C8"/>
    <w:rsid w:val="00BD2858"/>
    <w:rsid w:val="00BD2C50"/>
    <w:rsid w:val="00BD3401"/>
    <w:rsid w:val="00BD4E29"/>
    <w:rsid w:val="00BD5A10"/>
    <w:rsid w:val="00BD6315"/>
    <w:rsid w:val="00BD661E"/>
    <w:rsid w:val="00BD6A8B"/>
    <w:rsid w:val="00BD72DF"/>
    <w:rsid w:val="00BD74B3"/>
    <w:rsid w:val="00BE09C2"/>
    <w:rsid w:val="00BE22D2"/>
    <w:rsid w:val="00BE3CE1"/>
    <w:rsid w:val="00BE4512"/>
    <w:rsid w:val="00BE48AF"/>
    <w:rsid w:val="00BE5595"/>
    <w:rsid w:val="00BE5B29"/>
    <w:rsid w:val="00BE6480"/>
    <w:rsid w:val="00BE6D10"/>
    <w:rsid w:val="00BE6D21"/>
    <w:rsid w:val="00BE7757"/>
    <w:rsid w:val="00BF0B12"/>
    <w:rsid w:val="00BF0CFF"/>
    <w:rsid w:val="00BF2B98"/>
    <w:rsid w:val="00BF2D52"/>
    <w:rsid w:val="00BF4BB4"/>
    <w:rsid w:val="00BF5594"/>
    <w:rsid w:val="00BF5727"/>
    <w:rsid w:val="00BF5BB8"/>
    <w:rsid w:val="00BF6495"/>
    <w:rsid w:val="00BF7AAB"/>
    <w:rsid w:val="00C013A2"/>
    <w:rsid w:val="00C0164F"/>
    <w:rsid w:val="00C02AD2"/>
    <w:rsid w:val="00C02D71"/>
    <w:rsid w:val="00C0346D"/>
    <w:rsid w:val="00C044ED"/>
    <w:rsid w:val="00C0483C"/>
    <w:rsid w:val="00C052AC"/>
    <w:rsid w:val="00C06E8C"/>
    <w:rsid w:val="00C12D4D"/>
    <w:rsid w:val="00C130D0"/>
    <w:rsid w:val="00C136C1"/>
    <w:rsid w:val="00C13B1A"/>
    <w:rsid w:val="00C13BBD"/>
    <w:rsid w:val="00C1421A"/>
    <w:rsid w:val="00C15EA0"/>
    <w:rsid w:val="00C16782"/>
    <w:rsid w:val="00C176E4"/>
    <w:rsid w:val="00C17F25"/>
    <w:rsid w:val="00C21F29"/>
    <w:rsid w:val="00C2214A"/>
    <w:rsid w:val="00C2276C"/>
    <w:rsid w:val="00C23666"/>
    <w:rsid w:val="00C251A6"/>
    <w:rsid w:val="00C25358"/>
    <w:rsid w:val="00C2547C"/>
    <w:rsid w:val="00C263ED"/>
    <w:rsid w:val="00C265AC"/>
    <w:rsid w:val="00C2702D"/>
    <w:rsid w:val="00C272DA"/>
    <w:rsid w:val="00C27A1D"/>
    <w:rsid w:val="00C27CFB"/>
    <w:rsid w:val="00C30882"/>
    <w:rsid w:val="00C32B9D"/>
    <w:rsid w:val="00C32BB7"/>
    <w:rsid w:val="00C32BCF"/>
    <w:rsid w:val="00C33C4A"/>
    <w:rsid w:val="00C34381"/>
    <w:rsid w:val="00C3442A"/>
    <w:rsid w:val="00C37030"/>
    <w:rsid w:val="00C37E20"/>
    <w:rsid w:val="00C37F5E"/>
    <w:rsid w:val="00C40828"/>
    <w:rsid w:val="00C4329D"/>
    <w:rsid w:val="00C43363"/>
    <w:rsid w:val="00C43930"/>
    <w:rsid w:val="00C4567D"/>
    <w:rsid w:val="00C458DF"/>
    <w:rsid w:val="00C45A85"/>
    <w:rsid w:val="00C464C5"/>
    <w:rsid w:val="00C4692C"/>
    <w:rsid w:val="00C500A8"/>
    <w:rsid w:val="00C50CAD"/>
    <w:rsid w:val="00C51004"/>
    <w:rsid w:val="00C52DB9"/>
    <w:rsid w:val="00C53E6F"/>
    <w:rsid w:val="00C55193"/>
    <w:rsid w:val="00C561F6"/>
    <w:rsid w:val="00C5652E"/>
    <w:rsid w:val="00C60828"/>
    <w:rsid w:val="00C6143E"/>
    <w:rsid w:val="00C615EB"/>
    <w:rsid w:val="00C62254"/>
    <w:rsid w:val="00C633F1"/>
    <w:rsid w:val="00C64947"/>
    <w:rsid w:val="00C66125"/>
    <w:rsid w:val="00C668E0"/>
    <w:rsid w:val="00C66D7D"/>
    <w:rsid w:val="00C66F25"/>
    <w:rsid w:val="00C70AD5"/>
    <w:rsid w:val="00C71252"/>
    <w:rsid w:val="00C715D2"/>
    <w:rsid w:val="00C716E0"/>
    <w:rsid w:val="00C71738"/>
    <w:rsid w:val="00C71EBB"/>
    <w:rsid w:val="00C73998"/>
    <w:rsid w:val="00C7505D"/>
    <w:rsid w:val="00C7515B"/>
    <w:rsid w:val="00C778AA"/>
    <w:rsid w:val="00C80178"/>
    <w:rsid w:val="00C816C1"/>
    <w:rsid w:val="00C81A94"/>
    <w:rsid w:val="00C82401"/>
    <w:rsid w:val="00C831C3"/>
    <w:rsid w:val="00C87053"/>
    <w:rsid w:val="00C904DA"/>
    <w:rsid w:val="00C90904"/>
    <w:rsid w:val="00C9104C"/>
    <w:rsid w:val="00C94034"/>
    <w:rsid w:val="00C943CF"/>
    <w:rsid w:val="00C94FB9"/>
    <w:rsid w:val="00C9571E"/>
    <w:rsid w:val="00C96B5A"/>
    <w:rsid w:val="00C96DE7"/>
    <w:rsid w:val="00CA017A"/>
    <w:rsid w:val="00CA023F"/>
    <w:rsid w:val="00CA0BF0"/>
    <w:rsid w:val="00CA1906"/>
    <w:rsid w:val="00CA3380"/>
    <w:rsid w:val="00CA3803"/>
    <w:rsid w:val="00CA3EAB"/>
    <w:rsid w:val="00CA576A"/>
    <w:rsid w:val="00CA69A8"/>
    <w:rsid w:val="00CA6C4D"/>
    <w:rsid w:val="00CB1CC3"/>
    <w:rsid w:val="00CB22A1"/>
    <w:rsid w:val="00CB394C"/>
    <w:rsid w:val="00CB40D8"/>
    <w:rsid w:val="00CB54C1"/>
    <w:rsid w:val="00CB56BC"/>
    <w:rsid w:val="00CB5EE2"/>
    <w:rsid w:val="00CB69E3"/>
    <w:rsid w:val="00CC0B1B"/>
    <w:rsid w:val="00CC0D5E"/>
    <w:rsid w:val="00CC12DE"/>
    <w:rsid w:val="00CC17CD"/>
    <w:rsid w:val="00CC191D"/>
    <w:rsid w:val="00CC24A7"/>
    <w:rsid w:val="00CC5DCC"/>
    <w:rsid w:val="00CC693F"/>
    <w:rsid w:val="00CD0A8D"/>
    <w:rsid w:val="00CD13CD"/>
    <w:rsid w:val="00CD24B4"/>
    <w:rsid w:val="00CD338B"/>
    <w:rsid w:val="00CD3EB0"/>
    <w:rsid w:val="00CD40E7"/>
    <w:rsid w:val="00CD419A"/>
    <w:rsid w:val="00CD4FD6"/>
    <w:rsid w:val="00CD51E1"/>
    <w:rsid w:val="00CD600F"/>
    <w:rsid w:val="00CD673A"/>
    <w:rsid w:val="00CD6B9D"/>
    <w:rsid w:val="00CD6E75"/>
    <w:rsid w:val="00CE0E10"/>
    <w:rsid w:val="00CE247F"/>
    <w:rsid w:val="00CE4B16"/>
    <w:rsid w:val="00CE56FD"/>
    <w:rsid w:val="00CE5B1E"/>
    <w:rsid w:val="00CE7626"/>
    <w:rsid w:val="00CF0410"/>
    <w:rsid w:val="00CF0912"/>
    <w:rsid w:val="00CF10EB"/>
    <w:rsid w:val="00CF116C"/>
    <w:rsid w:val="00CF14C7"/>
    <w:rsid w:val="00CF348C"/>
    <w:rsid w:val="00CF4053"/>
    <w:rsid w:val="00CF5055"/>
    <w:rsid w:val="00CF5387"/>
    <w:rsid w:val="00CF5524"/>
    <w:rsid w:val="00CF6A88"/>
    <w:rsid w:val="00CF709D"/>
    <w:rsid w:val="00D01D7B"/>
    <w:rsid w:val="00D02136"/>
    <w:rsid w:val="00D028B2"/>
    <w:rsid w:val="00D03CF7"/>
    <w:rsid w:val="00D0478A"/>
    <w:rsid w:val="00D058C4"/>
    <w:rsid w:val="00D06F09"/>
    <w:rsid w:val="00D06F16"/>
    <w:rsid w:val="00D10BB2"/>
    <w:rsid w:val="00D11422"/>
    <w:rsid w:val="00D12B8B"/>
    <w:rsid w:val="00D12BD0"/>
    <w:rsid w:val="00D12EBA"/>
    <w:rsid w:val="00D13CEC"/>
    <w:rsid w:val="00D1446F"/>
    <w:rsid w:val="00D1488E"/>
    <w:rsid w:val="00D157D7"/>
    <w:rsid w:val="00D15DAA"/>
    <w:rsid w:val="00D16166"/>
    <w:rsid w:val="00D162A6"/>
    <w:rsid w:val="00D20DA7"/>
    <w:rsid w:val="00D20E13"/>
    <w:rsid w:val="00D221D9"/>
    <w:rsid w:val="00D223B7"/>
    <w:rsid w:val="00D2314E"/>
    <w:rsid w:val="00D23DC0"/>
    <w:rsid w:val="00D2427F"/>
    <w:rsid w:val="00D25651"/>
    <w:rsid w:val="00D30C41"/>
    <w:rsid w:val="00D31F2C"/>
    <w:rsid w:val="00D3223F"/>
    <w:rsid w:val="00D34214"/>
    <w:rsid w:val="00D351ED"/>
    <w:rsid w:val="00D3673B"/>
    <w:rsid w:val="00D3717F"/>
    <w:rsid w:val="00D37CDC"/>
    <w:rsid w:val="00D40BD6"/>
    <w:rsid w:val="00D418D7"/>
    <w:rsid w:val="00D41C5C"/>
    <w:rsid w:val="00D4258A"/>
    <w:rsid w:val="00D43627"/>
    <w:rsid w:val="00D438F0"/>
    <w:rsid w:val="00D44FD8"/>
    <w:rsid w:val="00D452AA"/>
    <w:rsid w:val="00D45D3A"/>
    <w:rsid w:val="00D46083"/>
    <w:rsid w:val="00D469B6"/>
    <w:rsid w:val="00D47448"/>
    <w:rsid w:val="00D47BC2"/>
    <w:rsid w:val="00D5140B"/>
    <w:rsid w:val="00D51A93"/>
    <w:rsid w:val="00D51DBD"/>
    <w:rsid w:val="00D55387"/>
    <w:rsid w:val="00D55BDA"/>
    <w:rsid w:val="00D55FA8"/>
    <w:rsid w:val="00D57796"/>
    <w:rsid w:val="00D57A4B"/>
    <w:rsid w:val="00D62BF9"/>
    <w:rsid w:val="00D62E04"/>
    <w:rsid w:val="00D63B4E"/>
    <w:rsid w:val="00D64273"/>
    <w:rsid w:val="00D6562A"/>
    <w:rsid w:val="00D65DF7"/>
    <w:rsid w:val="00D6661F"/>
    <w:rsid w:val="00D66727"/>
    <w:rsid w:val="00D667C2"/>
    <w:rsid w:val="00D6689A"/>
    <w:rsid w:val="00D67D75"/>
    <w:rsid w:val="00D7063C"/>
    <w:rsid w:val="00D71588"/>
    <w:rsid w:val="00D719D9"/>
    <w:rsid w:val="00D727DE"/>
    <w:rsid w:val="00D739EB"/>
    <w:rsid w:val="00D73A5A"/>
    <w:rsid w:val="00D74F7D"/>
    <w:rsid w:val="00D7719D"/>
    <w:rsid w:val="00D779DB"/>
    <w:rsid w:val="00D77F5E"/>
    <w:rsid w:val="00D80A35"/>
    <w:rsid w:val="00D80A94"/>
    <w:rsid w:val="00D8175A"/>
    <w:rsid w:val="00D83A1C"/>
    <w:rsid w:val="00D8454C"/>
    <w:rsid w:val="00D85067"/>
    <w:rsid w:val="00D8648D"/>
    <w:rsid w:val="00D86E9A"/>
    <w:rsid w:val="00D909DC"/>
    <w:rsid w:val="00D94EC7"/>
    <w:rsid w:val="00D960AD"/>
    <w:rsid w:val="00D96930"/>
    <w:rsid w:val="00DA060F"/>
    <w:rsid w:val="00DA080D"/>
    <w:rsid w:val="00DA09BD"/>
    <w:rsid w:val="00DA4E02"/>
    <w:rsid w:val="00DA51FC"/>
    <w:rsid w:val="00DA59C8"/>
    <w:rsid w:val="00DA5AFD"/>
    <w:rsid w:val="00DA7133"/>
    <w:rsid w:val="00DA783C"/>
    <w:rsid w:val="00DB0224"/>
    <w:rsid w:val="00DB1B82"/>
    <w:rsid w:val="00DB3376"/>
    <w:rsid w:val="00DB343C"/>
    <w:rsid w:val="00DB46BF"/>
    <w:rsid w:val="00DB474F"/>
    <w:rsid w:val="00DB5460"/>
    <w:rsid w:val="00DB6E3A"/>
    <w:rsid w:val="00DB7BE1"/>
    <w:rsid w:val="00DB7F14"/>
    <w:rsid w:val="00DB7FC0"/>
    <w:rsid w:val="00DC087E"/>
    <w:rsid w:val="00DC1454"/>
    <w:rsid w:val="00DC2E81"/>
    <w:rsid w:val="00DC4CB1"/>
    <w:rsid w:val="00DC4D34"/>
    <w:rsid w:val="00DC5BDE"/>
    <w:rsid w:val="00DC71AB"/>
    <w:rsid w:val="00DC756B"/>
    <w:rsid w:val="00DC7A6F"/>
    <w:rsid w:val="00DD0551"/>
    <w:rsid w:val="00DD06C5"/>
    <w:rsid w:val="00DD0A43"/>
    <w:rsid w:val="00DD0E1C"/>
    <w:rsid w:val="00DD2730"/>
    <w:rsid w:val="00DD4008"/>
    <w:rsid w:val="00DD4CDA"/>
    <w:rsid w:val="00DD73E4"/>
    <w:rsid w:val="00DD7B4F"/>
    <w:rsid w:val="00DE1244"/>
    <w:rsid w:val="00DE1A9E"/>
    <w:rsid w:val="00DE476F"/>
    <w:rsid w:val="00DE5719"/>
    <w:rsid w:val="00DE5743"/>
    <w:rsid w:val="00DE57CA"/>
    <w:rsid w:val="00DE67F7"/>
    <w:rsid w:val="00DE68B2"/>
    <w:rsid w:val="00DE6A78"/>
    <w:rsid w:val="00DF0C63"/>
    <w:rsid w:val="00DF10CF"/>
    <w:rsid w:val="00DF149D"/>
    <w:rsid w:val="00DF2B15"/>
    <w:rsid w:val="00DF310E"/>
    <w:rsid w:val="00DF3612"/>
    <w:rsid w:val="00DF388D"/>
    <w:rsid w:val="00DF3978"/>
    <w:rsid w:val="00DF61FE"/>
    <w:rsid w:val="00DF7EE3"/>
    <w:rsid w:val="00E001EC"/>
    <w:rsid w:val="00E00AFF"/>
    <w:rsid w:val="00E010E3"/>
    <w:rsid w:val="00E016CA"/>
    <w:rsid w:val="00E01BD8"/>
    <w:rsid w:val="00E02094"/>
    <w:rsid w:val="00E02F8C"/>
    <w:rsid w:val="00E03DAB"/>
    <w:rsid w:val="00E074EC"/>
    <w:rsid w:val="00E1058B"/>
    <w:rsid w:val="00E107A7"/>
    <w:rsid w:val="00E10F6C"/>
    <w:rsid w:val="00E1106A"/>
    <w:rsid w:val="00E11C25"/>
    <w:rsid w:val="00E14A31"/>
    <w:rsid w:val="00E160FB"/>
    <w:rsid w:val="00E1671C"/>
    <w:rsid w:val="00E17534"/>
    <w:rsid w:val="00E17B8F"/>
    <w:rsid w:val="00E21012"/>
    <w:rsid w:val="00E214B1"/>
    <w:rsid w:val="00E21798"/>
    <w:rsid w:val="00E2198F"/>
    <w:rsid w:val="00E227E1"/>
    <w:rsid w:val="00E22EF5"/>
    <w:rsid w:val="00E22F53"/>
    <w:rsid w:val="00E234AC"/>
    <w:rsid w:val="00E23F29"/>
    <w:rsid w:val="00E24ABB"/>
    <w:rsid w:val="00E25182"/>
    <w:rsid w:val="00E2590F"/>
    <w:rsid w:val="00E26EC7"/>
    <w:rsid w:val="00E276E9"/>
    <w:rsid w:val="00E27A62"/>
    <w:rsid w:val="00E27E1C"/>
    <w:rsid w:val="00E27EE6"/>
    <w:rsid w:val="00E306D4"/>
    <w:rsid w:val="00E309AF"/>
    <w:rsid w:val="00E318C3"/>
    <w:rsid w:val="00E31A5E"/>
    <w:rsid w:val="00E32B93"/>
    <w:rsid w:val="00E32D82"/>
    <w:rsid w:val="00E33983"/>
    <w:rsid w:val="00E3536F"/>
    <w:rsid w:val="00E35971"/>
    <w:rsid w:val="00E359F1"/>
    <w:rsid w:val="00E37651"/>
    <w:rsid w:val="00E37AA2"/>
    <w:rsid w:val="00E37EC8"/>
    <w:rsid w:val="00E40F96"/>
    <w:rsid w:val="00E42ECC"/>
    <w:rsid w:val="00E430B5"/>
    <w:rsid w:val="00E432D7"/>
    <w:rsid w:val="00E43822"/>
    <w:rsid w:val="00E43C7E"/>
    <w:rsid w:val="00E44897"/>
    <w:rsid w:val="00E44FA6"/>
    <w:rsid w:val="00E47768"/>
    <w:rsid w:val="00E50D32"/>
    <w:rsid w:val="00E515DE"/>
    <w:rsid w:val="00E51F14"/>
    <w:rsid w:val="00E5292B"/>
    <w:rsid w:val="00E532DD"/>
    <w:rsid w:val="00E53617"/>
    <w:rsid w:val="00E539ED"/>
    <w:rsid w:val="00E53C79"/>
    <w:rsid w:val="00E56EC6"/>
    <w:rsid w:val="00E616BB"/>
    <w:rsid w:val="00E61DE9"/>
    <w:rsid w:val="00E62017"/>
    <w:rsid w:val="00E621BD"/>
    <w:rsid w:val="00E6450B"/>
    <w:rsid w:val="00E64971"/>
    <w:rsid w:val="00E64C35"/>
    <w:rsid w:val="00E6538B"/>
    <w:rsid w:val="00E65585"/>
    <w:rsid w:val="00E65804"/>
    <w:rsid w:val="00E65912"/>
    <w:rsid w:val="00E67C49"/>
    <w:rsid w:val="00E71949"/>
    <w:rsid w:val="00E76D6C"/>
    <w:rsid w:val="00E83D9A"/>
    <w:rsid w:val="00E8542B"/>
    <w:rsid w:val="00E86546"/>
    <w:rsid w:val="00E86B50"/>
    <w:rsid w:val="00E86F40"/>
    <w:rsid w:val="00E878D5"/>
    <w:rsid w:val="00E90529"/>
    <w:rsid w:val="00E90708"/>
    <w:rsid w:val="00E91231"/>
    <w:rsid w:val="00E9126C"/>
    <w:rsid w:val="00E91A75"/>
    <w:rsid w:val="00E91D60"/>
    <w:rsid w:val="00E923F9"/>
    <w:rsid w:val="00E93000"/>
    <w:rsid w:val="00E94439"/>
    <w:rsid w:val="00E944D9"/>
    <w:rsid w:val="00E94646"/>
    <w:rsid w:val="00E94E8F"/>
    <w:rsid w:val="00E95F83"/>
    <w:rsid w:val="00E9697F"/>
    <w:rsid w:val="00E96CB2"/>
    <w:rsid w:val="00E96E24"/>
    <w:rsid w:val="00E972C0"/>
    <w:rsid w:val="00EA09B6"/>
    <w:rsid w:val="00EA0FB5"/>
    <w:rsid w:val="00EA139E"/>
    <w:rsid w:val="00EA1AF7"/>
    <w:rsid w:val="00EA280B"/>
    <w:rsid w:val="00EA3224"/>
    <w:rsid w:val="00EA435B"/>
    <w:rsid w:val="00EA56AE"/>
    <w:rsid w:val="00EA5ECD"/>
    <w:rsid w:val="00EA6029"/>
    <w:rsid w:val="00EA6718"/>
    <w:rsid w:val="00EA6A9E"/>
    <w:rsid w:val="00EA6AB1"/>
    <w:rsid w:val="00EA7ADA"/>
    <w:rsid w:val="00EB0706"/>
    <w:rsid w:val="00EB15C3"/>
    <w:rsid w:val="00EB17A1"/>
    <w:rsid w:val="00EB4148"/>
    <w:rsid w:val="00EB5070"/>
    <w:rsid w:val="00EB5592"/>
    <w:rsid w:val="00EB5765"/>
    <w:rsid w:val="00EC422A"/>
    <w:rsid w:val="00EC5964"/>
    <w:rsid w:val="00EC5EC4"/>
    <w:rsid w:val="00EC60A0"/>
    <w:rsid w:val="00EC7C1D"/>
    <w:rsid w:val="00ED008C"/>
    <w:rsid w:val="00ED086B"/>
    <w:rsid w:val="00ED13BB"/>
    <w:rsid w:val="00ED2DF7"/>
    <w:rsid w:val="00ED3E40"/>
    <w:rsid w:val="00ED4442"/>
    <w:rsid w:val="00ED5AA8"/>
    <w:rsid w:val="00ED6DEC"/>
    <w:rsid w:val="00EE027E"/>
    <w:rsid w:val="00EE065F"/>
    <w:rsid w:val="00EE06FC"/>
    <w:rsid w:val="00EE0886"/>
    <w:rsid w:val="00EE13A2"/>
    <w:rsid w:val="00EE19F7"/>
    <w:rsid w:val="00EE2F2D"/>
    <w:rsid w:val="00EE3A26"/>
    <w:rsid w:val="00EE3E84"/>
    <w:rsid w:val="00EE404F"/>
    <w:rsid w:val="00EE45A3"/>
    <w:rsid w:val="00EE5134"/>
    <w:rsid w:val="00EE6769"/>
    <w:rsid w:val="00EE6D12"/>
    <w:rsid w:val="00EE7282"/>
    <w:rsid w:val="00EF0C36"/>
    <w:rsid w:val="00EF1BB5"/>
    <w:rsid w:val="00EF5E09"/>
    <w:rsid w:val="00EF63B3"/>
    <w:rsid w:val="00EF69B8"/>
    <w:rsid w:val="00EF6BA7"/>
    <w:rsid w:val="00F0193A"/>
    <w:rsid w:val="00F01DBC"/>
    <w:rsid w:val="00F01E1D"/>
    <w:rsid w:val="00F02AB5"/>
    <w:rsid w:val="00F02DFD"/>
    <w:rsid w:val="00F03FDB"/>
    <w:rsid w:val="00F04368"/>
    <w:rsid w:val="00F047D1"/>
    <w:rsid w:val="00F058C0"/>
    <w:rsid w:val="00F05A4C"/>
    <w:rsid w:val="00F05AF5"/>
    <w:rsid w:val="00F061DD"/>
    <w:rsid w:val="00F064B7"/>
    <w:rsid w:val="00F06F53"/>
    <w:rsid w:val="00F072F0"/>
    <w:rsid w:val="00F075BA"/>
    <w:rsid w:val="00F07AFE"/>
    <w:rsid w:val="00F07C19"/>
    <w:rsid w:val="00F11392"/>
    <w:rsid w:val="00F122AA"/>
    <w:rsid w:val="00F146CB"/>
    <w:rsid w:val="00F14FD2"/>
    <w:rsid w:val="00F15B9B"/>
    <w:rsid w:val="00F169E3"/>
    <w:rsid w:val="00F16A20"/>
    <w:rsid w:val="00F16B10"/>
    <w:rsid w:val="00F174D4"/>
    <w:rsid w:val="00F17F4F"/>
    <w:rsid w:val="00F20ECF"/>
    <w:rsid w:val="00F22AE9"/>
    <w:rsid w:val="00F22CFB"/>
    <w:rsid w:val="00F23EC7"/>
    <w:rsid w:val="00F24F10"/>
    <w:rsid w:val="00F252F1"/>
    <w:rsid w:val="00F260E2"/>
    <w:rsid w:val="00F2645C"/>
    <w:rsid w:val="00F277F1"/>
    <w:rsid w:val="00F27E03"/>
    <w:rsid w:val="00F3055A"/>
    <w:rsid w:val="00F31704"/>
    <w:rsid w:val="00F327AF"/>
    <w:rsid w:val="00F335B5"/>
    <w:rsid w:val="00F344C0"/>
    <w:rsid w:val="00F3513D"/>
    <w:rsid w:val="00F35F5A"/>
    <w:rsid w:val="00F36551"/>
    <w:rsid w:val="00F36687"/>
    <w:rsid w:val="00F37BB9"/>
    <w:rsid w:val="00F401D3"/>
    <w:rsid w:val="00F41A99"/>
    <w:rsid w:val="00F41EBD"/>
    <w:rsid w:val="00F4374D"/>
    <w:rsid w:val="00F43DB0"/>
    <w:rsid w:val="00F44AEB"/>
    <w:rsid w:val="00F500EE"/>
    <w:rsid w:val="00F50409"/>
    <w:rsid w:val="00F505EB"/>
    <w:rsid w:val="00F507A7"/>
    <w:rsid w:val="00F50D88"/>
    <w:rsid w:val="00F51910"/>
    <w:rsid w:val="00F52A25"/>
    <w:rsid w:val="00F53AF6"/>
    <w:rsid w:val="00F54E0C"/>
    <w:rsid w:val="00F55446"/>
    <w:rsid w:val="00F56230"/>
    <w:rsid w:val="00F56D24"/>
    <w:rsid w:val="00F62639"/>
    <w:rsid w:val="00F64036"/>
    <w:rsid w:val="00F6490B"/>
    <w:rsid w:val="00F64BF6"/>
    <w:rsid w:val="00F65ADC"/>
    <w:rsid w:val="00F71862"/>
    <w:rsid w:val="00F71C55"/>
    <w:rsid w:val="00F727B7"/>
    <w:rsid w:val="00F73247"/>
    <w:rsid w:val="00F746EF"/>
    <w:rsid w:val="00F751E7"/>
    <w:rsid w:val="00F75F61"/>
    <w:rsid w:val="00F814EF"/>
    <w:rsid w:val="00F83E48"/>
    <w:rsid w:val="00F84FCC"/>
    <w:rsid w:val="00F8508E"/>
    <w:rsid w:val="00F867F8"/>
    <w:rsid w:val="00F87A73"/>
    <w:rsid w:val="00F90876"/>
    <w:rsid w:val="00F9139C"/>
    <w:rsid w:val="00F9235F"/>
    <w:rsid w:val="00F93551"/>
    <w:rsid w:val="00F93A14"/>
    <w:rsid w:val="00F94533"/>
    <w:rsid w:val="00F94716"/>
    <w:rsid w:val="00F95C0A"/>
    <w:rsid w:val="00F95D4B"/>
    <w:rsid w:val="00F95E29"/>
    <w:rsid w:val="00F95E77"/>
    <w:rsid w:val="00F96161"/>
    <w:rsid w:val="00F968DB"/>
    <w:rsid w:val="00FA0519"/>
    <w:rsid w:val="00FA082A"/>
    <w:rsid w:val="00FA09D4"/>
    <w:rsid w:val="00FA0F73"/>
    <w:rsid w:val="00FA2746"/>
    <w:rsid w:val="00FA285C"/>
    <w:rsid w:val="00FA28A8"/>
    <w:rsid w:val="00FA4302"/>
    <w:rsid w:val="00FA4CAD"/>
    <w:rsid w:val="00FA7B2B"/>
    <w:rsid w:val="00FA7C5C"/>
    <w:rsid w:val="00FB03A0"/>
    <w:rsid w:val="00FB07FE"/>
    <w:rsid w:val="00FB0EFC"/>
    <w:rsid w:val="00FB16FC"/>
    <w:rsid w:val="00FB3CBF"/>
    <w:rsid w:val="00FB5B24"/>
    <w:rsid w:val="00FB6C38"/>
    <w:rsid w:val="00FB6E00"/>
    <w:rsid w:val="00FB7047"/>
    <w:rsid w:val="00FC1768"/>
    <w:rsid w:val="00FC1D59"/>
    <w:rsid w:val="00FC244E"/>
    <w:rsid w:val="00FC329E"/>
    <w:rsid w:val="00FC32C7"/>
    <w:rsid w:val="00FC36C2"/>
    <w:rsid w:val="00FC36EB"/>
    <w:rsid w:val="00FC375B"/>
    <w:rsid w:val="00FC4184"/>
    <w:rsid w:val="00FC513E"/>
    <w:rsid w:val="00FC5418"/>
    <w:rsid w:val="00FC5F18"/>
    <w:rsid w:val="00FC73C6"/>
    <w:rsid w:val="00FD01BF"/>
    <w:rsid w:val="00FD060F"/>
    <w:rsid w:val="00FD167F"/>
    <w:rsid w:val="00FD2684"/>
    <w:rsid w:val="00FD2AEB"/>
    <w:rsid w:val="00FD47E6"/>
    <w:rsid w:val="00FD5A9B"/>
    <w:rsid w:val="00FD70A6"/>
    <w:rsid w:val="00FD7159"/>
    <w:rsid w:val="00FD7E76"/>
    <w:rsid w:val="00FD7E85"/>
    <w:rsid w:val="00FE0D75"/>
    <w:rsid w:val="00FE0DCB"/>
    <w:rsid w:val="00FE1DEA"/>
    <w:rsid w:val="00FE32F6"/>
    <w:rsid w:val="00FE387A"/>
    <w:rsid w:val="00FE514C"/>
    <w:rsid w:val="00FE5846"/>
    <w:rsid w:val="00FE59D4"/>
    <w:rsid w:val="00FE5B31"/>
    <w:rsid w:val="00FE5D5A"/>
    <w:rsid w:val="00FE63AA"/>
    <w:rsid w:val="00FE7488"/>
    <w:rsid w:val="00FE78ED"/>
    <w:rsid w:val="00FF1DED"/>
    <w:rsid w:val="00FF357A"/>
    <w:rsid w:val="00FF4D55"/>
    <w:rsid w:val="00FF5310"/>
    <w:rsid w:val="00FF60F7"/>
    <w:rsid w:val="00FF64FF"/>
    <w:rsid w:val="00FF73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7377"/>
    <o:shapelayout v:ext="edit">
      <o:idmap v:ext="edit" data="1"/>
    </o:shapelayout>
  </w:shapeDefaults>
  <w:decimalSymbol w:val="."/>
  <w:listSeparator w:val=","/>
  <w14:docId w14:val="49FB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019E"/>
    <w:rPr>
      <w:rFonts w:asciiTheme="minorHAnsi" w:hAnsiTheme="minorHAnsi"/>
      <w:sz w:val="24"/>
      <w:szCs w:val="24"/>
    </w:rPr>
  </w:style>
  <w:style w:type="paragraph" w:styleId="Heading1">
    <w:name w:val="heading 1"/>
    <w:basedOn w:val="Normal"/>
    <w:next w:val="Normal"/>
    <w:link w:val="Heading1Char"/>
    <w:qFormat/>
    <w:rsid w:val="00026FD1"/>
    <w:pPr>
      <w:keepNext/>
      <w:keepLines/>
      <w:numPr>
        <w:numId w:val="12"/>
      </w:numPr>
      <w:spacing w:before="240" w:after="240"/>
      <w:outlineLvl w:val="0"/>
    </w:pPr>
    <w:rPr>
      <w:rFonts w:ascii="Calibri" w:eastAsiaTheme="majorEastAsia" w:hAnsi="Calibri" w:cstheme="majorBidi"/>
      <w:b/>
      <w:bCs/>
      <w:sz w:val="28"/>
      <w:szCs w:val="28"/>
    </w:rPr>
  </w:style>
  <w:style w:type="paragraph" w:styleId="Heading2">
    <w:name w:val="heading 2"/>
    <w:basedOn w:val="Normal"/>
    <w:next w:val="Normal"/>
    <w:link w:val="Heading2Char"/>
    <w:unhideWhenUsed/>
    <w:qFormat/>
    <w:rsid w:val="00680C70"/>
    <w:pPr>
      <w:keepNext/>
      <w:keepLines/>
      <w:numPr>
        <w:ilvl w:val="1"/>
        <w:numId w:val="5"/>
      </w:numPr>
      <w:spacing w:before="240" w:after="240"/>
      <w:ind w:left="578" w:hanging="578"/>
      <w:outlineLvl w:val="1"/>
    </w:pPr>
    <w:rPr>
      <w:rFonts w:ascii="Calibri" w:eastAsiaTheme="majorEastAsia" w:hAnsi="Calibri" w:cstheme="majorBidi"/>
      <w:b/>
      <w:bCs/>
      <w:sz w:val="26"/>
      <w:szCs w:val="26"/>
    </w:rPr>
  </w:style>
  <w:style w:type="paragraph" w:styleId="Heading3">
    <w:name w:val="heading 3"/>
    <w:basedOn w:val="Normal"/>
    <w:next w:val="Normal"/>
    <w:link w:val="Heading3Char"/>
    <w:unhideWhenUsed/>
    <w:qFormat/>
    <w:rsid w:val="00896F90"/>
    <w:pPr>
      <w:keepNext/>
      <w:keepLines/>
      <w:numPr>
        <w:ilvl w:val="2"/>
        <w:numId w:val="5"/>
      </w:numPr>
      <w:spacing w:before="200" w:after="120"/>
      <w:ind w:left="720"/>
      <w:outlineLvl w:val="2"/>
    </w:pPr>
    <w:rPr>
      <w:rFonts w:ascii="Calibri" w:eastAsiaTheme="majorEastAsia" w:hAnsi="Calibri" w:cstheme="majorBidi"/>
      <w:b/>
      <w:bCs/>
    </w:rPr>
  </w:style>
  <w:style w:type="paragraph" w:styleId="Heading4">
    <w:name w:val="heading 4"/>
    <w:basedOn w:val="Normal"/>
    <w:next w:val="Normal"/>
    <w:link w:val="Heading4Char"/>
    <w:unhideWhenUsed/>
    <w:qFormat/>
    <w:rsid w:val="00113330"/>
    <w:pPr>
      <w:keepNext/>
      <w:keepLines/>
      <w:spacing w:before="200" w:after="120"/>
      <w:outlineLvl w:val="3"/>
    </w:pPr>
    <w:rPr>
      <w:rFonts w:ascii="Calibri" w:eastAsiaTheme="majorEastAsia" w:hAnsi="Calibri" w:cstheme="majorBidi"/>
      <w:b/>
      <w:bCs/>
      <w:i/>
      <w:iCs/>
      <w:snapToGrid w:val="0"/>
    </w:rPr>
  </w:style>
  <w:style w:type="paragraph" w:styleId="Heading5">
    <w:name w:val="heading 5"/>
    <w:basedOn w:val="Normal"/>
    <w:next w:val="Normal"/>
    <w:link w:val="Heading5Char"/>
    <w:unhideWhenUsed/>
    <w:qFormat/>
    <w:rsid w:val="00875F09"/>
    <w:pPr>
      <w:keepNext/>
      <w:keepLines/>
      <w:numPr>
        <w:ilvl w:val="4"/>
        <w:numId w:val="5"/>
      </w:numPr>
      <w:spacing w:before="200"/>
      <w:outlineLvl w:val="4"/>
    </w:pPr>
    <w:rPr>
      <w:rFonts w:asciiTheme="majorHAnsi" w:eastAsiaTheme="majorEastAsia" w:hAnsiTheme="majorHAnsi" w:cstheme="majorBidi"/>
      <w:color w:val="90480E" w:themeColor="accent1" w:themeShade="7F"/>
    </w:rPr>
  </w:style>
  <w:style w:type="paragraph" w:styleId="Heading6">
    <w:name w:val="heading 6"/>
    <w:basedOn w:val="Normal"/>
    <w:next w:val="Normal"/>
    <w:link w:val="Heading6Char"/>
    <w:unhideWhenUsed/>
    <w:qFormat/>
    <w:rsid w:val="00875F09"/>
    <w:pPr>
      <w:keepNext/>
      <w:keepLines/>
      <w:numPr>
        <w:ilvl w:val="5"/>
        <w:numId w:val="5"/>
      </w:numPr>
      <w:spacing w:before="200"/>
      <w:outlineLvl w:val="5"/>
    </w:pPr>
    <w:rPr>
      <w:rFonts w:asciiTheme="majorHAnsi" w:eastAsiaTheme="majorEastAsia" w:hAnsiTheme="majorHAnsi" w:cstheme="majorBidi"/>
      <w:i/>
      <w:iCs/>
      <w:color w:val="90480E" w:themeColor="accent1" w:themeShade="7F"/>
    </w:rPr>
  </w:style>
  <w:style w:type="paragraph" w:styleId="Heading7">
    <w:name w:val="heading 7"/>
    <w:basedOn w:val="Normal"/>
    <w:next w:val="Normal"/>
    <w:link w:val="Heading7Char"/>
    <w:uiPriority w:val="99"/>
    <w:unhideWhenUsed/>
    <w:qFormat/>
    <w:rsid w:val="00875F09"/>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875F09"/>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qFormat/>
    <w:rsid w:val="00875F09"/>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6FD1"/>
    <w:rPr>
      <w:rFonts w:ascii="Calibri" w:eastAsiaTheme="majorEastAsia" w:hAnsi="Calibri" w:cstheme="majorBidi"/>
      <w:b/>
      <w:bCs/>
      <w:sz w:val="28"/>
      <w:szCs w:val="28"/>
    </w:rPr>
  </w:style>
  <w:style w:type="character" w:customStyle="1" w:styleId="Heading2Char">
    <w:name w:val="Heading 2 Char"/>
    <w:basedOn w:val="DefaultParagraphFont"/>
    <w:link w:val="Heading2"/>
    <w:rsid w:val="00680C70"/>
    <w:rPr>
      <w:rFonts w:ascii="Calibri" w:eastAsiaTheme="majorEastAsia" w:hAnsi="Calibri" w:cstheme="majorBidi"/>
      <w:b/>
      <w:bCs/>
      <w:sz w:val="26"/>
      <w:szCs w:val="26"/>
    </w:rPr>
  </w:style>
  <w:style w:type="character" w:customStyle="1" w:styleId="Heading3Char">
    <w:name w:val="Heading 3 Char"/>
    <w:basedOn w:val="DefaultParagraphFont"/>
    <w:link w:val="Heading3"/>
    <w:rsid w:val="00896F90"/>
    <w:rPr>
      <w:rFonts w:ascii="Calibri" w:eastAsiaTheme="majorEastAsia" w:hAnsi="Calibri" w:cstheme="majorBidi"/>
      <w:b/>
      <w:bCs/>
      <w:sz w:val="24"/>
      <w:szCs w:val="24"/>
    </w:rPr>
  </w:style>
  <w:style w:type="character" w:customStyle="1" w:styleId="Heading4Char">
    <w:name w:val="Heading 4 Char"/>
    <w:basedOn w:val="DefaultParagraphFont"/>
    <w:link w:val="Heading4"/>
    <w:rsid w:val="00113330"/>
    <w:rPr>
      <w:rFonts w:ascii="Calibri" w:eastAsiaTheme="majorEastAsia" w:hAnsi="Calibri" w:cstheme="majorBidi"/>
      <w:b/>
      <w:bCs/>
      <w:i/>
      <w:iCs/>
      <w:snapToGrid w:val="0"/>
      <w:sz w:val="24"/>
      <w:szCs w:val="24"/>
    </w:rPr>
  </w:style>
  <w:style w:type="character" w:customStyle="1" w:styleId="Heading5Char">
    <w:name w:val="Heading 5 Char"/>
    <w:basedOn w:val="DefaultParagraphFont"/>
    <w:link w:val="Heading5"/>
    <w:rsid w:val="00875F09"/>
    <w:rPr>
      <w:rFonts w:asciiTheme="majorHAnsi" w:eastAsiaTheme="majorEastAsia" w:hAnsiTheme="majorHAnsi" w:cstheme="majorBidi"/>
      <w:color w:val="90480E" w:themeColor="accent1" w:themeShade="7F"/>
      <w:sz w:val="24"/>
      <w:szCs w:val="24"/>
    </w:rPr>
  </w:style>
  <w:style w:type="character" w:customStyle="1" w:styleId="Heading6Char">
    <w:name w:val="Heading 6 Char"/>
    <w:basedOn w:val="DefaultParagraphFont"/>
    <w:link w:val="Heading6"/>
    <w:rsid w:val="00875F09"/>
    <w:rPr>
      <w:rFonts w:asciiTheme="majorHAnsi" w:eastAsiaTheme="majorEastAsia" w:hAnsiTheme="majorHAnsi" w:cstheme="majorBidi"/>
      <w:i/>
      <w:iCs/>
      <w:color w:val="90480E" w:themeColor="accent1" w:themeShade="7F"/>
      <w:sz w:val="24"/>
      <w:szCs w:val="24"/>
    </w:rPr>
  </w:style>
  <w:style w:type="character" w:customStyle="1" w:styleId="Heading7Char">
    <w:name w:val="Heading 7 Char"/>
    <w:basedOn w:val="DefaultParagraphFont"/>
    <w:link w:val="Heading7"/>
    <w:uiPriority w:val="99"/>
    <w:rsid w:val="00875F0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9"/>
    <w:semiHidden/>
    <w:rsid w:val="00875F0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9"/>
    <w:semiHidden/>
    <w:rsid w:val="00875F09"/>
    <w:rPr>
      <w:rFonts w:asciiTheme="majorHAnsi" w:eastAsiaTheme="majorEastAsia" w:hAnsiTheme="majorHAnsi" w:cstheme="majorBidi"/>
      <w:i/>
      <w:iCs/>
      <w:color w:val="404040" w:themeColor="text1" w:themeTint="BF"/>
    </w:rPr>
  </w:style>
  <w:style w:type="paragraph" w:styleId="TOCHeading">
    <w:name w:val="TOC Heading"/>
    <w:basedOn w:val="Heading1"/>
    <w:next w:val="Normal"/>
    <w:uiPriority w:val="39"/>
    <w:unhideWhenUsed/>
    <w:qFormat/>
    <w:rsid w:val="00892ADC"/>
    <w:pPr>
      <w:spacing w:line="276" w:lineRule="auto"/>
      <w:ind w:left="0" w:firstLine="0"/>
      <w:outlineLvl w:val="9"/>
    </w:pPr>
    <w:rPr>
      <w:lang w:val="en-US" w:eastAsia="ja-JP"/>
    </w:rPr>
  </w:style>
  <w:style w:type="paragraph" w:styleId="TOC1">
    <w:name w:val="toc 1"/>
    <w:basedOn w:val="Normal"/>
    <w:next w:val="Normal"/>
    <w:autoRedefine/>
    <w:uiPriority w:val="39"/>
    <w:rsid w:val="00FC4184"/>
    <w:pPr>
      <w:tabs>
        <w:tab w:val="left" w:pos="480"/>
        <w:tab w:val="right" w:leader="dot" w:pos="9344"/>
      </w:tabs>
      <w:spacing w:after="100"/>
    </w:pPr>
    <w:rPr>
      <w:b/>
      <w:noProof/>
      <w:sz w:val="22"/>
      <w:szCs w:val="22"/>
    </w:rPr>
  </w:style>
  <w:style w:type="paragraph" w:styleId="TOC2">
    <w:name w:val="toc 2"/>
    <w:basedOn w:val="Normal"/>
    <w:next w:val="Normal"/>
    <w:autoRedefine/>
    <w:uiPriority w:val="39"/>
    <w:rsid w:val="00C43363"/>
    <w:pPr>
      <w:tabs>
        <w:tab w:val="left" w:pos="960"/>
        <w:tab w:val="right" w:leader="dot" w:pos="9344"/>
      </w:tabs>
      <w:spacing w:after="100"/>
      <w:ind w:left="240"/>
    </w:pPr>
    <w:rPr>
      <w:noProof/>
      <w:sz w:val="20"/>
      <w:szCs w:val="20"/>
    </w:rPr>
  </w:style>
  <w:style w:type="paragraph" w:styleId="TOC3">
    <w:name w:val="toc 3"/>
    <w:basedOn w:val="Normal"/>
    <w:next w:val="Normal"/>
    <w:autoRedefine/>
    <w:uiPriority w:val="39"/>
    <w:rsid w:val="00892ADC"/>
    <w:pPr>
      <w:spacing w:after="100"/>
      <w:ind w:left="480"/>
    </w:pPr>
  </w:style>
  <w:style w:type="character" w:styleId="Hyperlink">
    <w:name w:val="Hyperlink"/>
    <w:basedOn w:val="DefaultParagraphFont"/>
    <w:uiPriority w:val="99"/>
    <w:unhideWhenUsed/>
    <w:rsid w:val="00892ADC"/>
    <w:rPr>
      <w:color w:val="2998E3" w:themeColor="hyperlink"/>
      <w:u w:val="single"/>
    </w:rPr>
  </w:style>
  <w:style w:type="paragraph" w:styleId="BalloonText">
    <w:name w:val="Balloon Text"/>
    <w:basedOn w:val="Normal"/>
    <w:link w:val="BalloonTextChar"/>
    <w:uiPriority w:val="99"/>
    <w:rsid w:val="00892ADC"/>
    <w:rPr>
      <w:rFonts w:ascii="Tahoma" w:hAnsi="Tahoma" w:cs="Tahoma"/>
      <w:sz w:val="16"/>
      <w:szCs w:val="16"/>
    </w:rPr>
  </w:style>
  <w:style w:type="character" w:customStyle="1" w:styleId="BalloonTextChar">
    <w:name w:val="Balloon Text Char"/>
    <w:basedOn w:val="DefaultParagraphFont"/>
    <w:link w:val="BalloonText"/>
    <w:uiPriority w:val="99"/>
    <w:rsid w:val="00892ADC"/>
    <w:rPr>
      <w:rFonts w:ascii="Tahoma" w:hAnsi="Tahoma" w:cs="Tahoma"/>
      <w:sz w:val="16"/>
      <w:szCs w:val="16"/>
    </w:rPr>
  </w:style>
  <w:style w:type="paragraph" w:styleId="Header">
    <w:name w:val="header"/>
    <w:basedOn w:val="Normal"/>
    <w:link w:val="HeaderChar"/>
    <w:uiPriority w:val="99"/>
    <w:rsid w:val="00625E8D"/>
    <w:pPr>
      <w:tabs>
        <w:tab w:val="center" w:pos="4513"/>
        <w:tab w:val="right" w:pos="9026"/>
      </w:tabs>
    </w:pPr>
  </w:style>
  <w:style w:type="character" w:customStyle="1" w:styleId="HeaderChar">
    <w:name w:val="Header Char"/>
    <w:basedOn w:val="DefaultParagraphFont"/>
    <w:link w:val="Header"/>
    <w:uiPriority w:val="99"/>
    <w:rsid w:val="00625E8D"/>
    <w:rPr>
      <w:sz w:val="24"/>
      <w:szCs w:val="24"/>
    </w:rPr>
  </w:style>
  <w:style w:type="paragraph" w:styleId="Footer">
    <w:name w:val="footer"/>
    <w:basedOn w:val="Normal"/>
    <w:link w:val="FooterChar"/>
    <w:uiPriority w:val="99"/>
    <w:rsid w:val="00253A5A"/>
    <w:pPr>
      <w:tabs>
        <w:tab w:val="center" w:pos="4513"/>
        <w:tab w:val="right" w:pos="9026"/>
      </w:tabs>
    </w:pPr>
    <w:rPr>
      <w:b/>
      <w:i/>
      <w:sz w:val="16"/>
    </w:rPr>
  </w:style>
  <w:style w:type="character" w:customStyle="1" w:styleId="FooterChar">
    <w:name w:val="Footer Char"/>
    <w:basedOn w:val="DefaultParagraphFont"/>
    <w:link w:val="Footer"/>
    <w:uiPriority w:val="99"/>
    <w:rsid w:val="00253A5A"/>
    <w:rPr>
      <w:rFonts w:asciiTheme="minorHAnsi" w:hAnsiTheme="minorHAnsi"/>
      <w:b/>
      <w:i/>
      <w:sz w:val="16"/>
      <w:szCs w:val="24"/>
    </w:rPr>
  </w:style>
  <w:style w:type="paragraph" w:styleId="NoSpacing">
    <w:name w:val="No Spacing"/>
    <w:link w:val="NoSpacingChar"/>
    <w:uiPriority w:val="1"/>
    <w:qFormat/>
    <w:rsid w:val="00625E8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625E8D"/>
    <w:rPr>
      <w:rFonts w:asciiTheme="minorHAnsi" w:eastAsiaTheme="minorEastAsia" w:hAnsiTheme="minorHAnsi" w:cstheme="minorBidi"/>
      <w:sz w:val="22"/>
      <w:szCs w:val="22"/>
      <w:lang w:val="en-US" w:eastAsia="ja-JP"/>
    </w:rPr>
  </w:style>
  <w:style w:type="paragraph" w:styleId="Title">
    <w:name w:val="Title"/>
    <w:basedOn w:val="Normal"/>
    <w:next w:val="Normal"/>
    <w:link w:val="TitleChar"/>
    <w:qFormat/>
    <w:rsid w:val="00A507A0"/>
    <w:pPr>
      <w:pBdr>
        <w:bottom w:val="single" w:sz="8" w:space="4" w:color="EE9750" w:themeColor="accent1"/>
      </w:pBdr>
      <w:spacing w:after="300"/>
      <w:contextualSpacing/>
    </w:pPr>
    <w:rPr>
      <w:rFonts w:ascii="Calibri" w:eastAsiaTheme="majorEastAsia" w:hAnsi="Calibri" w:cstheme="majorBidi"/>
      <w:b/>
      <w:color w:val="0398D7"/>
      <w:spacing w:val="5"/>
      <w:kern w:val="28"/>
      <w:sz w:val="52"/>
      <w:szCs w:val="52"/>
    </w:rPr>
  </w:style>
  <w:style w:type="character" w:customStyle="1" w:styleId="TitleChar">
    <w:name w:val="Title Char"/>
    <w:basedOn w:val="DefaultParagraphFont"/>
    <w:link w:val="Title"/>
    <w:rsid w:val="00A507A0"/>
    <w:rPr>
      <w:rFonts w:ascii="Calibri" w:eastAsiaTheme="majorEastAsia" w:hAnsi="Calibri" w:cstheme="majorBidi"/>
      <w:b/>
      <w:color w:val="0398D7"/>
      <w:spacing w:val="5"/>
      <w:kern w:val="28"/>
      <w:sz w:val="52"/>
      <w:szCs w:val="52"/>
    </w:rPr>
  </w:style>
  <w:style w:type="paragraph" w:customStyle="1" w:styleId="Bullets">
    <w:name w:val="Bullets"/>
    <w:basedOn w:val="Normal"/>
    <w:link w:val="BulletsChar"/>
    <w:qFormat/>
    <w:rsid w:val="00396F7A"/>
    <w:pPr>
      <w:numPr>
        <w:numId w:val="1"/>
      </w:numPr>
      <w:spacing w:before="120" w:after="120"/>
    </w:pPr>
  </w:style>
  <w:style w:type="character" w:customStyle="1" w:styleId="BulletsChar">
    <w:name w:val="Bullets Char"/>
    <w:basedOn w:val="DefaultParagraphFont"/>
    <w:link w:val="Bullets"/>
    <w:rsid w:val="00396F7A"/>
    <w:rPr>
      <w:rFonts w:asciiTheme="minorHAnsi" w:hAnsiTheme="minorHAnsi"/>
      <w:sz w:val="24"/>
      <w:szCs w:val="24"/>
    </w:rPr>
  </w:style>
  <w:style w:type="paragraph" w:styleId="Quote">
    <w:name w:val="Quote"/>
    <w:basedOn w:val="Normal"/>
    <w:next w:val="Normal"/>
    <w:link w:val="QuoteChar"/>
    <w:uiPriority w:val="29"/>
    <w:qFormat/>
    <w:rsid w:val="00051905"/>
    <w:pPr>
      <w:ind w:left="567" w:right="567"/>
    </w:pPr>
    <w:rPr>
      <w:iCs/>
      <w:color w:val="000000" w:themeColor="text1"/>
    </w:rPr>
  </w:style>
  <w:style w:type="character" w:customStyle="1" w:styleId="QuoteChar">
    <w:name w:val="Quote Char"/>
    <w:basedOn w:val="DefaultParagraphFont"/>
    <w:link w:val="Quote"/>
    <w:uiPriority w:val="29"/>
    <w:rsid w:val="00051905"/>
    <w:rPr>
      <w:rFonts w:asciiTheme="minorHAnsi" w:hAnsiTheme="minorHAnsi"/>
      <w:iCs/>
      <w:color w:val="000000" w:themeColor="text1"/>
      <w:sz w:val="24"/>
      <w:szCs w:val="24"/>
    </w:rPr>
  </w:style>
  <w:style w:type="paragraph" w:customStyle="1" w:styleId="Quotebyparticipants">
    <w:name w:val="Quote by participants"/>
    <w:basedOn w:val="Normal"/>
    <w:qFormat/>
    <w:rsid w:val="001F2343"/>
    <w:pPr>
      <w:spacing w:before="240" w:after="240"/>
      <w:ind w:left="567" w:right="567"/>
    </w:pPr>
    <w:rPr>
      <w:i/>
      <w:color w:val="0398D7"/>
    </w:rPr>
  </w:style>
  <w:style w:type="character" w:styleId="Emphasis">
    <w:name w:val="Emphasis"/>
    <w:basedOn w:val="DefaultParagraphFont"/>
    <w:rsid w:val="008A6E0A"/>
    <w:rPr>
      <w:i/>
      <w:iCs/>
    </w:rPr>
  </w:style>
  <w:style w:type="character" w:styleId="Strong">
    <w:name w:val="Strong"/>
    <w:basedOn w:val="DefaultParagraphFont"/>
    <w:rsid w:val="008A6E0A"/>
    <w:rPr>
      <w:b/>
      <w:bCs/>
    </w:rPr>
  </w:style>
  <w:style w:type="paragraph" w:styleId="Subtitle">
    <w:name w:val="Subtitle"/>
    <w:basedOn w:val="Normal"/>
    <w:next w:val="Normal"/>
    <w:link w:val="SubtitleChar"/>
    <w:rsid w:val="008A6E0A"/>
    <w:pPr>
      <w:numPr>
        <w:ilvl w:val="1"/>
      </w:numPr>
    </w:pPr>
    <w:rPr>
      <w:rFonts w:asciiTheme="majorHAnsi" w:eastAsiaTheme="majorEastAsia" w:hAnsiTheme="majorHAnsi" w:cstheme="majorBidi"/>
      <w:i/>
      <w:iCs/>
      <w:color w:val="EE9750" w:themeColor="accent1"/>
      <w:spacing w:val="15"/>
    </w:rPr>
  </w:style>
  <w:style w:type="character" w:customStyle="1" w:styleId="SubtitleChar">
    <w:name w:val="Subtitle Char"/>
    <w:basedOn w:val="DefaultParagraphFont"/>
    <w:link w:val="Subtitle"/>
    <w:rsid w:val="008A6E0A"/>
    <w:rPr>
      <w:rFonts w:asciiTheme="majorHAnsi" w:eastAsiaTheme="majorEastAsia" w:hAnsiTheme="majorHAnsi" w:cstheme="majorBidi"/>
      <w:i/>
      <w:iCs/>
      <w:color w:val="EE9750" w:themeColor="accent1"/>
      <w:spacing w:val="15"/>
      <w:sz w:val="24"/>
      <w:szCs w:val="24"/>
    </w:rPr>
  </w:style>
  <w:style w:type="character" w:styleId="SubtleEmphasis">
    <w:name w:val="Subtle Emphasis"/>
    <w:basedOn w:val="DefaultParagraphFont"/>
    <w:uiPriority w:val="19"/>
    <w:rsid w:val="008A6E0A"/>
    <w:rPr>
      <w:i/>
      <w:iCs/>
      <w:color w:val="808080" w:themeColor="text1" w:themeTint="7F"/>
    </w:rPr>
  </w:style>
  <w:style w:type="character" w:styleId="IntenseEmphasis">
    <w:name w:val="Intense Emphasis"/>
    <w:basedOn w:val="DefaultParagraphFont"/>
    <w:uiPriority w:val="21"/>
    <w:rsid w:val="008A6E0A"/>
    <w:rPr>
      <w:b/>
      <w:bCs/>
      <w:i/>
      <w:iCs/>
      <w:color w:val="EE9750" w:themeColor="accent1"/>
    </w:rPr>
  </w:style>
  <w:style w:type="paragraph" w:styleId="IntenseQuote">
    <w:name w:val="Intense Quote"/>
    <w:basedOn w:val="Normal"/>
    <w:next w:val="Normal"/>
    <w:link w:val="IntenseQuoteChar"/>
    <w:uiPriority w:val="30"/>
    <w:rsid w:val="008A6E0A"/>
    <w:pPr>
      <w:pBdr>
        <w:bottom w:val="single" w:sz="4" w:space="4" w:color="EE9750" w:themeColor="accent1"/>
      </w:pBdr>
      <w:spacing w:before="200" w:after="280"/>
      <w:ind w:left="936" w:right="936"/>
    </w:pPr>
    <w:rPr>
      <w:b/>
      <w:bCs/>
      <w:i/>
      <w:iCs/>
      <w:color w:val="EE9750" w:themeColor="accent1"/>
    </w:rPr>
  </w:style>
  <w:style w:type="character" w:customStyle="1" w:styleId="IntenseQuoteChar">
    <w:name w:val="Intense Quote Char"/>
    <w:basedOn w:val="DefaultParagraphFont"/>
    <w:link w:val="IntenseQuote"/>
    <w:uiPriority w:val="30"/>
    <w:rsid w:val="008A6E0A"/>
    <w:rPr>
      <w:rFonts w:asciiTheme="minorHAnsi" w:hAnsiTheme="minorHAnsi"/>
      <w:b/>
      <w:bCs/>
      <w:i/>
      <w:iCs/>
      <w:color w:val="EE9750" w:themeColor="accent1"/>
      <w:sz w:val="24"/>
      <w:szCs w:val="24"/>
    </w:rPr>
  </w:style>
  <w:style w:type="character" w:styleId="SubtleReference">
    <w:name w:val="Subtle Reference"/>
    <w:basedOn w:val="DefaultParagraphFont"/>
    <w:uiPriority w:val="31"/>
    <w:rsid w:val="008A6E0A"/>
    <w:rPr>
      <w:smallCaps/>
      <w:color w:val="BD582C" w:themeColor="accent2"/>
      <w:u w:val="single"/>
    </w:rPr>
  </w:style>
  <w:style w:type="character" w:styleId="IntenseReference">
    <w:name w:val="Intense Reference"/>
    <w:basedOn w:val="DefaultParagraphFont"/>
    <w:uiPriority w:val="32"/>
    <w:rsid w:val="008A6E0A"/>
    <w:rPr>
      <w:b/>
      <w:bCs/>
      <w:smallCaps/>
      <w:color w:val="BD582C" w:themeColor="accent2"/>
      <w:spacing w:val="5"/>
      <w:u w:val="single"/>
    </w:rPr>
  </w:style>
  <w:style w:type="character" w:styleId="BookTitle">
    <w:name w:val="Book Title"/>
    <w:basedOn w:val="DefaultParagraphFont"/>
    <w:uiPriority w:val="33"/>
    <w:rsid w:val="008A6E0A"/>
    <w:rPr>
      <w:b/>
      <w:bCs/>
      <w:smallCaps/>
      <w:spacing w:val="5"/>
    </w:rPr>
  </w:style>
  <w:style w:type="table" w:styleId="TableGrid">
    <w:name w:val="Table Grid"/>
    <w:basedOn w:val="TableNormal"/>
    <w:uiPriority w:val="39"/>
    <w:rsid w:val="002A6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unhideWhenUsed/>
    <w:qFormat/>
    <w:rsid w:val="00783366"/>
    <w:pPr>
      <w:spacing w:before="120" w:after="200"/>
    </w:pPr>
    <w:rPr>
      <w:b/>
      <w:bCs/>
      <w:szCs w:val="18"/>
    </w:rPr>
  </w:style>
  <w:style w:type="paragraph" w:styleId="FootnoteText">
    <w:name w:val="footnote text"/>
    <w:basedOn w:val="Normal"/>
    <w:link w:val="FootnoteTextChar"/>
    <w:rsid w:val="00950D8E"/>
    <w:rPr>
      <w:sz w:val="20"/>
      <w:szCs w:val="20"/>
    </w:rPr>
  </w:style>
  <w:style w:type="character" w:customStyle="1" w:styleId="FootnoteTextChar">
    <w:name w:val="Footnote Text Char"/>
    <w:basedOn w:val="DefaultParagraphFont"/>
    <w:link w:val="FootnoteText"/>
    <w:rsid w:val="00950D8E"/>
    <w:rPr>
      <w:rFonts w:asciiTheme="minorHAnsi" w:hAnsiTheme="minorHAnsi"/>
    </w:rPr>
  </w:style>
  <w:style w:type="character" w:styleId="FootnoteReference">
    <w:name w:val="footnote reference"/>
    <w:basedOn w:val="DefaultParagraphFont"/>
    <w:rsid w:val="00950D8E"/>
    <w:rPr>
      <w:vertAlign w:val="superscript"/>
    </w:rPr>
  </w:style>
  <w:style w:type="paragraph" w:styleId="TableofFigures">
    <w:name w:val="table of figures"/>
    <w:basedOn w:val="Normal"/>
    <w:next w:val="Normal"/>
    <w:uiPriority w:val="99"/>
    <w:rsid w:val="00B16036"/>
  </w:style>
  <w:style w:type="table" w:styleId="TableContemporary">
    <w:name w:val="Table Contemporary"/>
    <w:basedOn w:val="TableNormal"/>
    <w:rsid w:val="00031CF3"/>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customStyle="1" w:styleId="HeaderChar1">
    <w:name w:val="Header Char1"/>
    <w:uiPriority w:val="99"/>
    <w:semiHidden/>
    <w:rsid w:val="004A4C50"/>
    <w:rPr>
      <w:sz w:val="22"/>
      <w:szCs w:val="22"/>
      <w:lang w:eastAsia="en-US"/>
    </w:rPr>
  </w:style>
  <w:style w:type="character" w:customStyle="1" w:styleId="FooterChar1">
    <w:name w:val="Footer Char1"/>
    <w:uiPriority w:val="99"/>
    <w:rsid w:val="004A4C50"/>
    <w:rPr>
      <w:sz w:val="22"/>
      <w:szCs w:val="22"/>
      <w:lang w:eastAsia="en-US"/>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3A7BF5"/>
    <w:pPr>
      <w:ind w:left="720"/>
      <w:contextualSpacing/>
    </w:pPr>
  </w:style>
  <w:style w:type="character" w:customStyle="1" w:styleId="name">
    <w:name w:val="name"/>
    <w:basedOn w:val="DefaultParagraphFont"/>
    <w:rsid w:val="00523E3B"/>
  </w:style>
  <w:style w:type="character" w:customStyle="1" w:styleId="apple-converted-space">
    <w:name w:val="apple-converted-space"/>
    <w:basedOn w:val="DefaultParagraphFont"/>
    <w:rsid w:val="00523E3B"/>
  </w:style>
  <w:style w:type="paragraph" w:styleId="NormalWeb">
    <w:name w:val="Normal (Web)"/>
    <w:basedOn w:val="Normal"/>
    <w:uiPriority w:val="99"/>
    <w:unhideWhenUsed/>
    <w:rsid w:val="00523E3B"/>
    <w:pPr>
      <w:spacing w:before="100" w:beforeAutospacing="1" w:after="100" w:afterAutospacing="1"/>
    </w:pPr>
    <w:rPr>
      <w:rFonts w:ascii="Times New Roman" w:hAnsi="Times New Roman"/>
    </w:rPr>
  </w:style>
  <w:style w:type="paragraph" w:customStyle="1" w:styleId="Bullet">
    <w:name w:val="Bullet"/>
    <w:basedOn w:val="Bullets"/>
    <w:link w:val="BulletChar"/>
    <w:qFormat/>
    <w:rsid w:val="00822A65"/>
    <w:pPr>
      <w:tabs>
        <w:tab w:val="num" w:pos="360"/>
      </w:tabs>
      <w:autoSpaceDE w:val="0"/>
      <w:autoSpaceDN w:val="0"/>
      <w:ind w:left="357" w:hanging="357"/>
    </w:pPr>
    <w:rPr>
      <w:rFonts w:ascii="Calibri" w:hAnsi="Calibri" w:cs="Calibri"/>
    </w:rPr>
  </w:style>
  <w:style w:type="character" w:customStyle="1" w:styleId="BulletChar">
    <w:name w:val="Bullet Char"/>
    <w:basedOn w:val="BulletsChar"/>
    <w:link w:val="Bullet"/>
    <w:rsid w:val="00822A65"/>
    <w:rPr>
      <w:rFonts w:ascii="Calibri" w:hAnsi="Calibri" w:cs="Calibri"/>
      <w:sz w:val="24"/>
      <w:szCs w:val="24"/>
    </w:rPr>
  </w:style>
  <w:style w:type="character" w:styleId="CommentReference">
    <w:name w:val="annotation reference"/>
    <w:basedOn w:val="DefaultParagraphFont"/>
    <w:rsid w:val="00293CBD"/>
    <w:rPr>
      <w:sz w:val="16"/>
      <w:szCs w:val="16"/>
    </w:rPr>
  </w:style>
  <w:style w:type="paragraph" w:styleId="CommentText">
    <w:name w:val="annotation text"/>
    <w:basedOn w:val="Normal"/>
    <w:link w:val="CommentTextChar"/>
    <w:rsid w:val="00293CBD"/>
    <w:rPr>
      <w:sz w:val="20"/>
      <w:szCs w:val="20"/>
    </w:rPr>
  </w:style>
  <w:style w:type="character" w:customStyle="1" w:styleId="CommentTextChar">
    <w:name w:val="Comment Text Char"/>
    <w:basedOn w:val="DefaultParagraphFont"/>
    <w:link w:val="CommentText"/>
    <w:rsid w:val="00293CBD"/>
    <w:rPr>
      <w:rFonts w:asciiTheme="minorHAnsi" w:hAnsiTheme="minorHAnsi"/>
    </w:rPr>
  </w:style>
  <w:style w:type="paragraph" w:styleId="CommentSubject">
    <w:name w:val="annotation subject"/>
    <w:basedOn w:val="CommentText"/>
    <w:next w:val="CommentText"/>
    <w:link w:val="CommentSubjectChar"/>
    <w:rsid w:val="00293CBD"/>
    <w:rPr>
      <w:b/>
      <w:bCs/>
    </w:rPr>
  </w:style>
  <w:style w:type="character" w:customStyle="1" w:styleId="CommentSubjectChar">
    <w:name w:val="Comment Subject Char"/>
    <w:basedOn w:val="CommentTextChar"/>
    <w:link w:val="CommentSubject"/>
    <w:rsid w:val="00293CBD"/>
    <w:rPr>
      <w:rFonts w:asciiTheme="minorHAnsi" w:hAnsiTheme="minorHAnsi"/>
      <w:b/>
      <w:bCs/>
    </w:rPr>
  </w:style>
  <w:style w:type="paragraph" w:styleId="DocumentMap">
    <w:name w:val="Document Map"/>
    <w:basedOn w:val="Normal"/>
    <w:link w:val="DocumentMapChar"/>
    <w:rsid w:val="00145CEA"/>
    <w:rPr>
      <w:rFonts w:ascii="Lucida Grande" w:hAnsi="Lucida Grande"/>
    </w:rPr>
  </w:style>
  <w:style w:type="character" w:customStyle="1" w:styleId="DocumentMapChar">
    <w:name w:val="Document Map Char"/>
    <w:basedOn w:val="DefaultParagraphFont"/>
    <w:link w:val="DocumentMap"/>
    <w:rsid w:val="00145CEA"/>
    <w:rPr>
      <w:rFonts w:ascii="Lucida Grande" w:hAnsi="Lucida Grande"/>
      <w:sz w:val="24"/>
      <w:szCs w:val="24"/>
    </w:rPr>
  </w:style>
  <w:style w:type="character" w:styleId="FollowedHyperlink">
    <w:name w:val="FollowedHyperlink"/>
    <w:basedOn w:val="DefaultParagraphFont"/>
    <w:uiPriority w:val="99"/>
    <w:rsid w:val="00500412"/>
    <w:rPr>
      <w:color w:val="8C8C8C" w:themeColor="followedHyperlink"/>
      <w:u w:val="single"/>
    </w:rPr>
  </w:style>
  <w:style w:type="paragraph" w:customStyle="1" w:styleId="PFNumLevel2">
    <w:name w:val="PF (Num) Level 2"/>
    <w:basedOn w:val="Normal"/>
    <w:rsid w:val="00395A13"/>
    <w:pPr>
      <w:numPr>
        <w:ilvl w:val="1"/>
        <w:numId w:val="2"/>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lang w:eastAsia="en-US"/>
    </w:rPr>
  </w:style>
  <w:style w:type="paragraph" w:customStyle="1" w:styleId="PFNumLevel3">
    <w:name w:val="PF (Num) Level 3"/>
    <w:basedOn w:val="Normal"/>
    <w:rsid w:val="00395A13"/>
    <w:pPr>
      <w:numPr>
        <w:ilvl w:val="2"/>
        <w:numId w:val="2"/>
      </w:numPr>
      <w:tabs>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lang w:eastAsia="en-US"/>
    </w:rPr>
  </w:style>
  <w:style w:type="paragraph" w:customStyle="1" w:styleId="PFNumLevel4">
    <w:name w:val="PF (Num) Level 4"/>
    <w:basedOn w:val="Normal"/>
    <w:rsid w:val="00395A13"/>
    <w:pPr>
      <w:numPr>
        <w:ilvl w:val="3"/>
        <w:numId w:val="2"/>
      </w:numPr>
      <w:tabs>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lang w:eastAsia="en-US"/>
    </w:rPr>
  </w:style>
  <w:style w:type="paragraph" w:customStyle="1" w:styleId="PFNumLevel5">
    <w:name w:val="PF (Num) Level 5"/>
    <w:basedOn w:val="Normal"/>
    <w:rsid w:val="00395A13"/>
    <w:pPr>
      <w:numPr>
        <w:ilvl w:val="4"/>
        <w:numId w:val="2"/>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lang w:eastAsia="en-US"/>
    </w:rPr>
  </w:style>
  <w:style w:type="paragraph" w:customStyle="1" w:styleId="Heading1A">
    <w:name w:val="Heading 1A"/>
    <w:basedOn w:val="Heading1"/>
    <w:next w:val="Normal"/>
    <w:rsid w:val="00395A13"/>
    <w:pPr>
      <w:keepLines w:val="0"/>
      <w:numPr>
        <w:numId w:val="2"/>
      </w:numPr>
      <w:tabs>
        <w:tab w:val="left" w:pos="1848"/>
        <w:tab w:val="left" w:pos="2773"/>
        <w:tab w:val="left" w:pos="3697"/>
        <w:tab w:val="left" w:pos="4621"/>
        <w:tab w:val="left" w:pos="5545"/>
        <w:tab w:val="left" w:pos="6469"/>
        <w:tab w:val="left" w:pos="7394"/>
        <w:tab w:val="left" w:pos="8318"/>
        <w:tab w:val="right" w:pos="8930"/>
      </w:tabs>
      <w:spacing w:before="400" w:line="276" w:lineRule="auto"/>
    </w:pPr>
    <w:rPr>
      <w:rFonts w:ascii="Arial" w:eastAsia="Times New Roman" w:hAnsi="Arial" w:cs="Times New Roman"/>
      <w:bCs w:val="0"/>
      <w:color w:val="000000"/>
      <w:kern w:val="28"/>
      <w:lang w:eastAsia="en-US"/>
    </w:rPr>
  </w:style>
  <w:style w:type="paragraph" w:customStyle="1" w:styleId="PFNumLevel6">
    <w:name w:val="PF (Num) Level 6"/>
    <w:basedOn w:val="PFNumLevel4"/>
    <w:rsid w:val="00395A13"/>
    <w:pPr>
      <w:numPr>
        <w:ilvl w:val="5"/>
      </w:numPr>
    </w:pPr>
  </w:style>
  <w:style w:type="paragraph" w:customStyle="1" w:styleId="Table">
    <w:name w:val="Table"/>
    <w:basedOn w:val="Normal"/>
    <w:rsid w:val="00F62639"/>
    <w:pPr>
      <w:spacing w:before="60" w:after="60"/>
    </w:pPr>
    <w:rPr>
      <w:rFonts w:ascii="Arial" w:hAnsi="Arial"/>
      <w:snapToGrid w:val="0"/>
      <w:sz w:val="18"/>
      <w:szCs w:val="20"/>
    </w:rPr>
  </w:style>
  <w:style w:type="table" w:customStyle="1" w:styleId="AABlackTable1">
    <w:name w:val="AABlackTable1"/>
    <w:basedOn w:val="TableNormal"/>
    <w:uiPriority w:val="99"/>
    <w:rsid w:val="00F62639"/>
    <w:pPr>
      <w:spacing w:before="110" w:after="110" w:line="264" w:lineRule="auto"/>
    </w:pPr>
    <w:rPr>
      <w:rFonts w:ascii="Verdana" w:eastAsiaTheme="minorHAnsi" w:hAnsi="Verdana" w:cstheme="minorBidi"/>
      <w:sz w:val="18"/>
      <w:lang w:eastAsia="en-US"/>
    </w:rPr>
    <w:tblPr>
      <w:tblInd w:w="108" w:type="dxa"/>
      <w:tblBorders>
        <w:top w:val="single" w:sz="4" w:space="0" w:color="000000"/>
        <w:bottom w:val="single" w:sz="4" w:space="0" w:color="000000"/>
        <w:insideH w:val="single" w:sz="4" w:space="0" w:color="000000"/>
        <w:insideV w:val="single" w:sz="4" w:space="0" w:color="000000"/>
      </w:tblBorders>
    </w:tblPr>
    <w:tblStylePr w:type="firstRow">
      <w:rPr>
        <w:b/>
        <w:color w:val="FFFFFF" w:themeColor="background1"/>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000000" w:fill="000000"/>
      </w:tcPr>
    </w:tblStylePr>
    <w:tblStylePr w:type="fir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tblStylePr w:type="la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style>
  <w:style w:type="paragraph" w:styleId="TOC4">
    <w:name w:val="toc 4"/>
    <w:basedOn w:val="Normal"/>
    <w:next w:val="Normal"/>
    <w:autoRedefine/>
    <w:uiPriority w:val="39"/>
    <w:rsid w:val="000B0A40"/>
    <w:pPr>
      <w:ind w:left="720"/>
    </w:pPr>
  </w:style>
  <w:style w:type="paragraph" w:styleId="TOC5">
    <w:name w:val="toc 5"/>
    <w:basedOn w:val="Normal"/>
    <w:next w:val="Normal"/>
    <w:autoRedefine/>
    <w:uiPriority w:val="39"/>
    <w:rsid w:val="000B0A40"/>
    <w:pPr>
      <w:ind w:left="960"/>
    </w:pPr>
  </w:style>
  <w:style w:type="paragraph" w:styleId="TOC6">
    <w:name w:val="toc 6"/>
    <w:basedOn w:val="Normal"/>
    <w:next w:val="Normal"/>
    <w:autoRedefine/>
    <w:uiPriority w:val="39"/>
    <w:rsid w:val="000B0A40"/>
    <w:pPr>
      <w:ind w:left="1200"/>
    </w:pPr>
  </w:style>
  <w:style w:type="paragraph" w:styleId="TOC7">
    <w:name w:val="toc 7"/>
    <w:basedOn w:val="Normal"/>
    <w:next w:val="Normal"/>
    <w:autoRedefine/>
    <w:uiPriority w:val="39"/>
    <w:rsid w:val="000B0A40"/>
    <w:pPr>
      <w:ind w:left="1440"/>
    </w:pPr>
  </w:style>
  <w:style w:type="paragraph" w:styleId="TOC8">
    <w:name w:val="toc 8"/>
    <w:basedOn w:val="Normal"/>
    <w:next w:val="Normal"/>
    <w:autoRedefine/>
    <w:uiPriority w:val="39"/>
    <w:rsid w:val="000B0A40"/>
    <w:pPr>
      <w:ind w:left="1680"/>
    </w:pPr>
  </w:style>
  <w:style w:type="paragraph" w:styleId="TOC9">
    <w:name w:val="toc 9"/>
    <w:basedOn w:val="Normal"/>
    <w:next w:val="Normal"/>
    <w:autoRedefine/>
    <w:uiPriority w:val="39"/>
    <w:rsid w:val="000B0A40"/>
    <w:pPr>
      <w:ind w:left="1920"/>
    </w:pPr>
  </w:style>
  <w:style w:type="paragraph" w:customStyle="1" w:styleId="Default">
    <w:name w:val="Default"/>
    <w:rsid w:val="00034ADD"/>
    <w:pPr>
      <w:autoSpaceDE w:val="0"/>
      <w:autoSpaceDN w:val="0"/>
      <w:adjustRightInd w:val="0"/>
    </w:pPr>
    <w:rPr>
      <w:color w:val="000000"/>
      <w:sz w:val="24"/>
      <w:szCs w:val="24"/>
    </w:rPr>
  </w:style>
  <w:style w:type="paragraph" w:customStyle="1" w:styleId="1BulletList">
    <w:name w:val="1Bullet List"/>
    <w:rsid w:val="006A7B67"/>
    <w:pPr>
      <w:numPr>
        <w:numId w:val="3"/>
      </w:numPr>
      <w:tabs>
        <w:tab w:val="left" w:pos="720"/>
      </w:tabs>
    </w:pPr>
    <w:rPr>
      <w:rFonts w:ascii="Arial" w:hAnsi="Arial"/>
      <w:snapToGrid w:val="0"/>
      <w:sz w:val="24"/>
      <w:lang w:val="en-US" w:eastAsia="en-US"/>
    </w:rPr>
  </w:style>
  <w:style w:type="character" w:styleId="PageNumber">
    <w:name w:val="page number"/>
    <w:basedOn w:val="DefaultParagraphFont"/>
    <w:rsid w:val="006A7B67"/>
  </w:style>
  <w:style w:type="paragraph" w:customStyle="1" w:styleId="a">
    <w:name w:val="_"/>
    <w:basedOn w:val="Normal"/>
    <w:rsid w:val="006A7B67"/>
    <w:pPr>
      <w:widowControl w:val="0"/>
      <w:tabs>
        <w:tab w:val="left" w:pos="720"/>
      </w:tabs>
      <w:ind w:left="720" w:hanging="720"/>
    </w:pPr>
    <w:rPr>
      <w:rFonts w:ascii="Arial" w:hAnsi="Arial"/>
      <w:snapToGrid w:val="0"/>
      <w:sz w:val="20"/>
      <w:szCs w:val="20"/>
      <w:lang w:val="en-US" w:eastAsia="en-US"/>
    </w:rPr>
  </w:style>
  <w:style w:type="paragraph" w:styleId="BodyTextIndent">
    <w:name w:val="Body Text Indent"/>
    <w:basedOn w:val="Normal"/>
    <w:link w:val="BodyTextIndentChar"/>
    <w:rsid w:val="006A7B67"/>
    <w:pPr>
      <w:tabs>
        <w:tab w:val="left" w:pos="1440"/>
      </w:tabs>
      <w:suppressAutoHyphens/>
      <w:ind w:left="720"/>
    </w:pPr>
    <w:rPr>
      <w:rFonts w:ascii="Arial" w:hAnsi="Arial"/>
      <w:sz w:val="20"/>
      <w:szCs w:val="20"/>
      <w:lang w:eastAsia="en-US"/>
    </w:rPr>
  </w:style>
  <w:style w:type="character" w:customStyle="1" w:styleId="BodyTextIndentChar">
    <w:name w:val="Body Text Indent Char"/>
    <w:basedOn w:val="DefaultParagraphFont"/>
    <w:link w:val="BodyTextIndent"/>
    <w:rsid w:val="006A7B67"/>
    <w:rPr>
      <w:rFonts w:ascii="Arial" w:hAnsi="Arial"/>
      <w:lang w:eastAsia="en-US"/>
    </w:rPr>
  </w:style>
  <w:style w:type="paragraph" w:customStyle="1" w:styleId="1AutoList1">
    <w:name w:val="1AutoList1"/>
    <w:basedOn w:val="Normal"/>
    <w:rsid w:val="006A7B67"/>
    <w:pPr>
      <w:numPr>
        <w:numId w:val="4"/>
      </w:numPr>
    </w:pPr>
    <w:rPr>
      <w:rFonts w:ascii="Arial" w:hAnsi="Arial"/>
      <w:sz w:val="20"/>
      <w:szCs w:val="20"/>
      <w:lang w:eastAsia="en-US"/>
    </w:rPr>
  </w:style>
  <w:style w:type="paragraph" w:styleId="BodyTextIndent2">
    <w:name w:val="Body Text Indent 2"/>
    <w:basedOn w:val="Normal"/>
    <w:link w:val="BodyTextIndent2Char"/>
    <w:rsid w:val="006A7B67"/>
    <w:pPr>
      <w:ind w:left="720" w:hanging="360"/>
    </w:pPr>
    <w:rPr>
      <w:rFonts w:ascii="Arial" w:hAnsi="Arial"/>
      <w:sz w:val="20"/>
      <w:szCs w:val="20"/>
      <w:lang w:eastAsia="en-US"/>
    </w:rPr>
  </w:style>
  <w:style w:type="character" w:customStyle="1" w:styleId="BodyTextIndent2Char">
    <w:name w:val="Body Text Indent 2 Char"/>
    <w:basedOn w:val="DefaultParagraphFont"/>
    <w:link w:val="BodyTextIndent2"/>
    <w:rsid w:val="006A7B67"/>
    <w:rPr>
      <w:rFonts w:ascii="Arial" w:hAnsi="Arial"/>
      <w:lang w:eastAsia="en-US"/>
    </w:rPr>
  </w:style>
  <w:style w:type="paragraph" w:styleId="BodyText">
    <w:name w:val="Body Text"/>
    <w:basedOn w:val="Normal"/>
    <w:link w:val="BodyTextChar"/>
    <w:rsid w:val="006A7B67"/>
    <w:pPr>
      <w:suppressAutoHyphens/>
      <w:jc w:val="both"/>
    </w:pPr>
    <w:rPr>
      <w:rFonts w:ascii="Arial" w:hAnsi="Arial"/>
      <w:sz w:val="20"/>
      <w:szCs w:val="20"/>
      <w:lang w:eastAsia="en-US"/>
    </w:rPr>
  </w:style>
  <w:style w:type="character" w:customStyle="1" w:styleId="BodyTextChar">
    <w:name w:val="Body Text Char"/>
    <w:basedOn w:val="DefaultParagraphFont"/>
    <w:link w:val="BodyText"/>
    <w:rsid w:val="006A7B67"/>
    <w:rPr>
      <w:rFonts w:ascii="Arial" w:hAnsi="Arial"/>
      <w:lang w:eastAsia="en-US"/>
    </w:rPr>
  </w:style>
  <w:style w:type="paragraph" w:styleId="PlainText">
    <w:name w:val="Plain Text"/>
    <w:basedOn w:val="Normal"/>
    <w:link w:val="PlainTextChar"/>
    <w:rsid w:val="006A7B67"/>
    <w:rPr>
      <w:rFonts w:ascii="Courier New" w:hAnsi="Courier New"/>
      <w:sz w:val="20"/>
      <w:szCs w:val="20"/>
      <w:lang w:eastAsia="en-US"/>
    </w:rPr>
  </w:style>
  <w:style w:type="character" w:customStyle="1" w:styleId="PlainTextChar">
    <w:name w:val="Plain Text Char"/>
    <w:basedOn w:val="DefaultParagraphFont"/>
    <w:link w:val="PlainText"/>
    <w:rsid w:val="006A7B67"/>
    <w:rPr>
      <w:rFonts w:ascii="Courier New" w:hAnsi="Courier New"/>
      <w:lang w:eastAsia="en-US"/>
    </w:rPr>
  </w:style>
  <w:style w:type="paragraph" w:styleId="BodyText2">
    <w:name w:val="Body Text 2"/>
    <w:basedOn w:val="Normal"/>
    <w:link w:val="BodyText2Char"/>
    <w:rsid w:val="006A7B67"/>
    <w:rPr>
      <w:rFonts w:ascii="Arial" w:hAnsi="Arial"/>
      <w:sz w:val="16"/>
      <w:szCs w:val="20"/>
      <w:lang w:eastAsia="en-US"/>
    </w:rPr>
  </w:style>
  <w:style w:type="character" w:customStyle="1" w:styleId="BodyText2Char">
    <w:name w:val="Body Text 2 Char"/>
    <w:basedOn w:val="DefaultParagraphFont"/>
    <w:link w:val="BodyText2"/>
    <w:rsid w:val="006A7B67"/>
    <w:rPr>
      <w:rFonts w:ascii="Arial" w:hAnsi="Arial"/>
      <w:sz w:val="16"/>
      <w:lang w:eastAsia="en-US"/>
    </w:rPr>
  </w:style>
  <w:style w:type="paragraph" w:customStyle="1" w:styleId="table0">
    <w:name w:val="table"/>
    <w:basedOn w:val="Normal"/>
    <w:rsid w:val="006A7B67"/>
    <w:rPr>
      <w:rFonts w:ascii="Arial" w:hAnsi="Arial"/>
      <w:sz w:val="18"/>
      <w:szCs w:val="20"/>
      <w:lang w:eastAsia="en-US"/>
    </w:rPr>
  </w:style>
  <w:style w:type="paragraph" w:styleId="BodyText3">
    <w:name w:val="Body Text 3"/>
    <w:basedOn w:val="Normal"/>
    <w:link w:val="BodyText3Char"/>
    <w:rsid w:val="006A7B67"/>
    <w:pPr>
      <w:ind w:right="3982"/>
      <w:jc w:val="both"/>
    </w:pPr>
    <w:rPr>
      <w:rFonts w:ascii="Arial" w:hAnsi="Arial"/>
      <w:sz w:val="16"/>
      <w:szCs w:val="20"/>
      <w:lang w:val="en-US" w:eastAsia="en-US"/>
    </w:rPr>
  </w:style>
  <w:style w:type="character" w:customStyle="1" w:styleId="BodyText3Char">
    <w:name w:val="Body Text 3 Char"/>
    <w:basedOn w:val="DefaultParagraphFont"/>
    <w:link w:val="BodyText3"/>
    <w:rsid w:val="006A7B67"/>
    <w:rPr>
      <w:rFonts w:ascii="Arial" w:hAnsi="Arial"/>
      <w:sz w:val="16"/>
      <w:lang w:val="en-US" w:eastAsia="en-US"/>
    </w:rPr>
  </w:style>
  <w:style w:type="paragraph" w:styleId="BlockText">
    <w:name w:val="Block Text"/>
    <w:basedOn w:val="Normal"/>
    <w:rsid w:val="006A7B67"/>
    <w:pPr>
      <w:ind w:left="720" w:right="-25"/>
    </w:pPr>
    <w:rPr>
      <w:rFonts w:ascii="Arial" w:hAnsi="Arial"/>
      <w:i/>
      <w:sz w:val="22"/>
      <w:szCs w:val="20"/>
      <w:lang w:val="en-US" w:eastAsia="en-US"/>
    </w:rPr>
  </w:style>
  <w:style w:type="paragraph" w:customStyle="1" w:styleId="wfxRecipient">
    <w:name w:val="wfxRecipient"/>
    <w:basedOn w:val="Normal"/>
    <w:rsid w:val="006A7B67"/>
    <w:rPr>
      <w:rFonts w:ascii="Arial" w:hAnsi="Arial"/>
      <w:sz w:val="22"/>
      <w:szCs w:val="20"/>
      <w:lang w:eastAsia="en-US"/>
    </w:rPr>
  </w:style>
  <w:style w:type="table" w:styleId="TableClassic1">
    <w:name w:val="Table Classic 1"/>
    <w:basedOn w:val="TableNormal"/>
    <w:rsid w:val="00857C7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C456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761C05"/>
    <w:rPr>
      <w:rFonts w:ascii="Calibri" w:hAnsi="Calibri" w:cs="Calibri"/>
      <w:noProof/>
    </w:rPr>
  </w:style>
  <w:style w:type="character" w:customStyle="1" w:styleId="EndNoteBibliographyChar">
    <w:name w:val="EndNote Bibliography Char"/>
    <w:basedOn w:val="DefaultParagraphFont"/>
    <w:link w:val="EndNoteBibliography"/>
    <w:rsid w:val="00761C05"/>
    <w:rPr>
      <w:rFonts w:ascii="Calibri" w:hAnsi="Calibri" w:cs="Calibri"/>
      <w:noProof/>
      <w:sz w:val="24"/>
      <w:szCs w:val="24"/>
    </w:rPr>
  </w:style>
  <w:style w:type="table" w:customStyle="1" w:styleId="TableGrid2">
    <w:name w:val="Table Grid2"/>
    <w:basedOn w:val="TableNormal"/>
    <w:next w:val="TableGrid"/>
    <w:uiPriority w:val="59"/>
    <w:rsid w:val="00761C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61C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61C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0000CE"/>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000CE"/>
    <w:rPr>
      <w:rFonts w:ascii="Calibri" w:hAnsi="Calibri" w:cs="Calibri"/>
      <w:noProof/>
      <w:sz w:val="24"/>
      <w:szCs w:val="24"/>
    </w:rPr>
  </w:style>
  <w:style w:type="table" w:customStyle="1" w:styleId="TableGrid5">
    <w:name w:val="Table Grid5"/>
    <w:basedOn w:val="TableNormal"/>
    <w:next w:val="TableGrid"/>
    <w:uiPriority w:val="59"/>
    <w:rsid w:val="00B510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3917"/>
    <w:rPr>
      <w:rFonts w:asciiTheme="minorHAnsi" w:hAnsiTheme="minorHAnsi"/>
      <w:sz w:val="24"/>
      <w:szCs w:val="24"/>
    </w:rPr>
  </w:style>
  <w:style w:type="paragraph" w:styleId="ListBullet">
    <w:name w:val="List Bullet"/>
    <w:basedOn w:val="Normal"/>
    <w:rsid w:val="00FE78ED"/>
    <w:pPr>
      <w:numPr>
        <w:numId w:val="6"/>
      </w:numPr>
      <w:contextualSpacing/>
    </w:pPr>
  </w:style>
  <w:style w:type="table" w:customStyle="1" w:styleId="TableGrid51">
    <w:name w:val="Table Grid51"/>
    <w:basedOn w:val="TableNormal"/>
    <w:next w:val="TableGrid"/>
    <w:uiPriority w:val="59"/>
    <w:rsid w:val="00152D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new">
    <w:name w:val="Bullets - new"/>
    <w:basedOn w:val="Normal"/>
    <w:qFormat/>
    <w:rsid w:val="00401BD8"/>
    <w:pPr>
      <w:autoSpaceDE w:val="0"/>
      <w:autoSpaceDN w:val="0"/>
      <w:spacing w:before="120" w:after="120"/>
      <w:ind w:left="360" w:hanging="360"/>
    </w:pPr>
    <w:rPr>
      <w:rFonts w:eastAsia="Calibri"/>
      <w:szCs w:val="20"/>
      <w:lang w:eastAsia="en-US"/>
    </w:rPr>
  </w:style>
  <w:style w:type="paragraph" w:styleId="EndnoteText">
    <w:name w:val="endnote text"/>
    <w:basedOn w:val="Normal"/>
    <w:link w:val="EndnoteTextChar"/>
    <w:semiHidden/>
    <w:unhideWhenUsed/>
    <w:rsid w:val="0010766B"/>
    <w:rPr>
      <w:sz w:val="20"/>
      <w:szCs w:val="20"/>
    </w:rPr>
  </w:style>
  <w:style w:type="character" w:customStyle="1" w:styleId="EndnoteTextChar">
    <w:name w:val="Endnote Text Char"/>
    <w:basedOn w:val="DefaultParagraphFont"/>
    <w:link w:val="EndnoteText"/>
    <w:semiHidden/>
    <w:rsid w:val="0010766B"/>
    <w:rPr>
      <w:rFonts w:asciiTheme="minorHAnsi" w:hAnsiTheme="minorHAnsi"/>
    </w:rPr>
  </w:style>
  <w:style w:type="character" w:styleId="EndnoteReference">
    <w:name w:val="endnote reference"/>
    <w:basedOn w:val="DefaultParagraphFont"/>
    <w:semiHidden/>
    <w:unhideWhenUsed/>
    <w:rsid w:val="0010766B"/>
    <w:rPr>
      <w:vertAlign w:val="superscript"/>
    </w:rPr>
  </w:style>
  <w:style w:type="table" w:customStyle="1" w:styleId="TableGrid6">
    <w:name w:val="Table Grid6"/>
    <w:basedOn w:val="TableNormal"/>
    <w:next w:val="TableGrid"/>
    <w:uiPriority w:val="59"/>
    <w:rsid w:val="00FD71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 no spacing"/>
    <w:basedOn w:val="Normal"/>
    <w:qFormat/>
    <w:rsid w:val="000335CF"/>
    <w:pPr>
      <w:spacing w:before="120" w:after="120"/>
    </w:pPr>
    <w:rPr>
      <w:rFonts w:eastAsiaTheme="minorHAnsi" w:cstheme="minorHAnsi"/>
      <w:lang w:eastAsia="zh-CN" w:bidi="th-TH"/>
    </w:rPr>
  </w:style>
  <w:style w:type="character" w:customStyle="1" w:styleId="TableformatChar">
    <w:name w:val="Table format Char"/>
    <w:basedOn w:val="DefaultParagraphFont"/>
    <w:link w:val="Tableformat"/>
    <w:locked/>
    <w:rsid w:val="001A6040"/>
    <w:rPr>
      <w:rFonts w:asciiTheme="minorHAnsi" w:eastAsiaTheme="minorEastAsia" w:hAnsiTheme="minorHAnsi" w:cstheme="minorBidi"/>
      <w:lang w:val="en-US" w:eastAsia="ja-JP"/>
    </w:rPr>
  </w:style>
  <w:style w:type="paragraph" w:customStyle="1" w:styleId="Tableformat">
    <w:name w:val="Table format"/>
    <w:basedOn w:val="NoSpacing"/>
    <w:link w:val="TableformatChar"/>
    <w:qFormat/>
    <w:rsid w:val="001A6040"/>
    <w:pPr>
      <w:spacing w:before="40" w:after="40"/>
    </w:pPr>
    <w:rPr>
      <w:sz w:val="20"/>
      <w:szCs w:val="20"/>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locked/>
    <w:rsid w:val="00114983"/>
    <w:rPr>
      <w:rFonts w:asciiTheme="minorHAnsi" w:hAnsiTheme="minorHAnsi"/>
      <w:sz w:val="24"/>
      <w:szCs w:val="24"/>
    </w:rPr>
  </w:style>
  <w:style w:type="paragraph" w:customStyle="1" w:styleId="Recommendations">
    <w:name w:val="Recommendations"/>
    <w:basedOn w:val="Title"/>
    <w:next w:val="Normal"/>
    <w:link w:val="RecommendationsChar"/>
    <w:autoRedefine/>
    <w:qFormat/>
    <w:rsid w:val="009021E5"/>
    <w:pPr>
      <w:numPr>
        <w:numId w:val="10"/>
      </w:numPr>
      <w:pBdr>
        <w:top w:val="single" w:sz="4" w:space="1" w:color="auto"/>
        <w:left w:val="single" w:sz="4" w:space="4" w:color="auto"/>
        <w:bottom w:val="single" w:sz="4" w:space="1" w:color="auto"/>
        <w:right w:val="single" w:sz="4" w:space="4" w:color="auto"/>
      </w:pBdr>
      <w:spacing w:before="120"/>
      <w:ind w:left="357" w:hanging="357"/>
      <w:contextualSpacing w:val="0"/>
    </w:pPr>
    <w:rPr>
      <w:sz w:val="28"/>
      <w:szCs w:val="28"/>
    </w:rPr>
  </w:style>
  <w:style w:type="character" w:customStyle="1" w:styleId="RecommendationsChar">
    <w:name w:val="Recommendations Char"/>
    <w:basedOn w:val="TitleChar"/>
    <w:link w:val="Recommendations"/>
    <w:rsid w:val="009021E5"/>
    <w:rPr>
      <w:rFonts w:ascii="Calibri" w:eastAsiaTheme="majorEastAsia" w:hAnsi="Calibri" w:cstheme="majorBidi"/>
      <w:b/>
      <w:color w:val="0398D7"/>
      <w:spacing w:val="5"/>
      <w:kern w:val="28"/>
      <w:sz w:val="28"/>
      <w:szCs w:val="28"/>
    </w:rPr>
  </w:style>
  <w:style w:type="paragraph" w:customStyle="1" w:styleId="TableParagraph">
    <w:name w:val="Table Paragraph"/>
    <w:basedOn w:val="Normal"/>
    <w:uiPriority w:val="1"/>
    <w:qFormat/>
    <w:rsid w:val="0095631B"/>
    <w:pPr>
      <w:widowControl w:val="0"/>
    </w:pPr>
    <w:rPr>
      <w:rFonts w:eastAsiaTheme="minorHAnsi" w:cstheme="minorBidi"/>
      <w:sz w:val="22"/>
      <w:szCs w:val="22"/>
      <w:lang w:val="en-US" w:eastAsia="en-US"/>
    </w:rPr>
  </w:style>
  <w:style w:type="table" w:customStyle="1" w:styleId="TableGrid7">
    <w:name w:val="Table Grid7"/>
    <w:basedOn w:val="TableNormal"/>
    <w:next w:val="TableGrid"/>
    <w:rsid w:val="00E95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01106">
      <w:bodyDiv w:val="1"/>
      <w:marLeft w:val="0"/>
      <w:marRight w:val="0"/>
      <w:marTop w:val="0"/>
      <w:marBottom w:val="0"/>
      <w:divBdr>
        <w:top w:val="none" w:sz="0" w:space="0" w:color="auto"/>
        <w:left w:val="none" w:sz="0" w:space="0" w:color="auto"/>
        <w:bottom w:val="none" w:sz="0" w:space="0" w:color="auto"/>
        <w:right w:val="none" w:sz="0" w:space="0" w:color="auto"/>
      </w:divBdr>
    </w:div>
    <w:div w:id="170727292">
      <w:bodyDiv w:val="1"/>
      <w:marLeft w:val="0"/>
      <w:marRight w:val="0"/>
      <w:marTop w:val="0"/>
      <w:marBottom w:val="0"/>
      <w:divBdr>
        <w:top w:val="none" w:sz="0" w:space="0" w:color="auto"/>
        <w:left w:val="none" w:sz="0" w:space="0" w:color="auto"/>
        <w:bottom w:val="none" w:sz="0" w:space="0" w:color="auto"/>
        <w:right w:val="none" w:sz="0" w:space="0" w:color="auto"/>
      </w:divBdr>
    </w:div>
    <w:div w:id="223684792">
      <w:bodyDiv w:val="1"/>
      <w:marLeft w:val="0"/>
      <w:marRight w:val="0"/>
      <w:marTop w:val="0"/>
      <w:marBottom w:val="0"/>
      <w:divBdr>
        <w:top w:val="none" w:sz="0" w:space="0" w:color="auto"/>
        <w:left w:val="none" w:sz="0" w:space="0" w:color="auto"/>
        <w:bottom w:val="none" w:sz="0" w:space="0" w:color="auto"/>
        <w:right w:val="none" w:sz="0" w:space="0" w:color="auto"/>
      </w:divBdr>
    </w:div>
    <w:div w:id="235408464">
      <w:bodyDiv w:val="1"/>
      <w:marLeft w:val="0"/>
      <w:marRight w:val="0"/>
      <w:marTop w:val="0"/>
      <w:marBottom w:val="0"/>
      <w:divBdr>
        <w:top w:val="none" w:sz="0" w:space="0" w:color="auto"/>
        <w:left w:val="none" w:sz="0" w:space="0" w:color="auto"/>
        <w:bottom w:val="none" w:sz="0" w:space="0" w:color="auto"/>
        <w:right w:val="none" w:sz="0" w:space="0" w:color="auto"/>
      </w:divBdr>
    </w:div>
    <w:div w:id="345248534">
      <w:bodyDiv w:val="1"/>
      <w:marLeft w:val="0"/>
      <w:marRight w:val="0"/>
      <w:marTop w:val="0"/>
      <w:marBottom w:val="0"/>
      <w:divBdr>
        <w:top w:val="none" w:sz="0" w:space="0" w:color="auto"/>
        <w:left w:val="none" w:sz="0" w:space="0" w:color="auto"/>
        <w:bottom w:val="none" w:sz="0" w:space="0" w:color="auto"/>
        <w:right w:val="none" w:sz="0" w:space="0" w:color="auto"/>
      </w:divBdr>
    </w:div>
    <w:div w:id="394789990">
      <w:bodyDiv w:val="1"/>
      <w:marLeft w:val="0"/>
      <w:marRight w:val="0"/>
      <w:marTop w:val="0"/>
      <w:marBottom w:val="0"/>
      <w:divBdr>
        <w:top w:val="none" w:sz="0" w:space="0" w:color="auto"/>
        <w:left w:val="none" w:sz="0" w:space="0" w:color="auto"/>
        <w:bottom w:val="none" w:sz="0" w:space="0" w:color="auto"/>
        <w:right w:val="none" w:sz="0" w:space="0" w:color="auto"/>
      </w:divBdr>
    </w:div>
    <w:div w:id="552351832">
      <w:bodyDiv w:val="1"/>
      <w:marLeft w:val="0"/>
      <w:marRight w:val="0"/>
      <w:marTop w:val="0"/>
      <w:marBottom w:val="0"/>
      <w:divBdr>
        <w:top w:val="none" w:sz="0" w:space="0" w:color="auto"/>
        <w:left w:val="none" w:sz="0" w:space="0" w:color="auto"/>
        <w:bottom w:val="none" w:sz="0" w:space="0" w:color="auto"/>
        <w:right w:val="none" w:sz="0" w:space="0" w:color="auto"/>
      </w:divBdr>
    </w:div>
    <w:div w:id="663818328">
      <w:bodyDiv w:val="1"/>
      <w:marLeft w:val="0"/>
      <w:marRight w:val="0"/>
      <w:marTop w:val="0"/>
      <w:marBottom w:val="0"/>
      <w:divBdr>
        <w:top w:val="none" w:sz="0" w:space="0" w:color="auto"/>
        <w:left w:val="none" w:sz="0" w:space="0" w:color="auto"/>
        <w:bottom w:val="none" w:sz="0" w:space="0" w:color="auto"/>
        <w:right w:val="none" w:sz="0" w:space="0" w:color="auto"/>
      </w:divBdr>
    </w:div>
    <w:div w:id="806170361">
      <w:bodyDiv w:val="1"/>
      <w:marLeft w:val="0"/>
      <w:marRight w:val="0"/>
      <w:marTop w:val="0"/>
      <w:marBottom w:val="0"/>
      <w:divBdr>
        <w:top w:val="none" w:sz="0" w:space="0" w:color="auto"/>
        <w:left w:val="none" w:sz="0" w:space="0" w:color="auto"/>
        <w:bottom w:val="none" w:sz="0" w:space="0" w:color="auto"/>
        <w:right w:val="none" w:sz="0" w:space="0" w:color="auto"/>
      </w:divBdr>
      <w:divsChild>
        <w:div w:id="2061006361">
          <w:marLeft w:val="547"/>
          <w:marRight w:val="0"/>
          <w:marTop w:val="154"/>
          <w:marBottom w:val="0"/>
          <w:divBdr>
            <w:top w:val="none" w:sz="0" w:space="0" w:color="auto"/>
            <w:left w:val="none" w:sz="0" w:space="0" w:color="auto"/>
            <w:bottom w:val="none" w:sz="0" w:space="0" w:color="auto"/>
            <w:right w:val="none" w:sz="0" w:space="0" w:color="auto"/>
          </w:divBdr>
        </w:div>
        <w:div w:id="1167133788">
          <w:marLeft w:val="1166"/>
          <w:marRight w:val="0"/>
          <w:marTop w:val="134"/>
          <w:marBottom w:val="0"/>
          <w:divBdr>
            <w:top w:val="none" w:sz="0" w:space="0" w:color="auto"/>
            <w:left w:val="none" w:sz="0" w:space="0" w:color="auto"/>
            <w:bottom w:val="none" w:sz="0" w:space="0" w:color="auto"/>
            <w:right w:val="none" w:sz="0" w:space="0" w:color="auto"/>
          </w:divBdr>
        </w:div>
      </w:divsChild>
    </w:div>
    <w:div w:id="903024667">
      <w:bodyDiv w:val="1"/>
      <w:marLeft w:val="0"/>
      <w:marRight w:val="0"/>
      <w:marTop w:val="0"/>
      <w:marBottom w:val="0"/>
      <w:divBdr>
        <w:top w:val="none" w:sz="0" w:space="0" w:color="auto"/>
        <w:left w:val="none" w:sz="0" w:space="0" w:color="auto"/>
        <w:bottom w:val="none" w:sz="0" w:space="0" w:color="auto"/>
        <w:right w:val="none" w:sz="0" w:space="0" w:color="auto"/>
      </w:divBdr>
      <w:divsChild>
        <w:div w:id="2006324794">
          <w:marLeft w:val="45"/>
          <w:marRight w:val="45"/>
          <w:marTop w:val="0"/>
          <w:marBottom w:val="0"/>
          <w:divBdr>
            <w:top w:val="none" w:sz="0" w:space="0" w:color="auto"/>
            <w:left w:val="none" w:sz="0" w:space="0" w:color="auto"/>
            <w:bottom w:val="none" w:sz="0" w:space="0" w:color="auto"/>
            <w:right w:val="none" w:sz="0" w:space="0" w:color="auto"/>
          </w:divBdr>
          <w:divsChild>
            <w:div w:id="8017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7933">
      <w:bodyDiv w:val="1"/>
      <w:marLeft w:val="0"/>
      <w:marRight w:val="0"/>
      <w:marTop w:val="0"/>
      <w:marBottom w:val="0"/>
      <w:divBdr>
        <w:top w:val="none" w:sz="0" w:space="0" w:color="auto"/>
        <w:left w:val="none" w:sz="0" w:space="0" w:color="auto"/>
        <w:bottom w:val="none" w:sz="0" w:space="0" w:color="auto"/>
        <w:right w:val="none" w:sz="0" w:space="0" w:color="auto"/>
      </w:divBdr>
      <w:divsChild>
        <w:div w:id="955141070">
          <w:marLeft w:val="45"/>
          <w:marRight w:val="45"/>
          <w:marTop w:val="0"/>
          <w:marBottom w:val="0"/>
          <w:divBdr>
            <w:top w:val="none" w:sz="0" w:space="0" w:color="auto"/>
            <w:left w:val="none" w:sz="0" w:space="0" w:color="auto"/>
            <w:bottom w:val="none" w:sz="0" w:space="0" w:color="auto"/>
            <w:right w:val="none" w:sz="0" w:space="0" w:color="auto"/>
          </w:divBdr>
          <w:divsChild>
            <w:div w:id="2592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80788">
      <w:bodyDiv w:val="1"/>
      <w:marLeft w:val="0"/>
      <w:marRight w:val="0"/>
      <w:marTop w:val="0"/>
      <w:marBottom w:val="0"/>
      <w:divBdr>
        <w:top w:val="none" w:sz="0" w:space="0" w:color="auto"/>
        <w:left w:val="none" w:sz="0" w:space="0" w:color="auto"/>
        <w:bottom w:val="none" w:sz="0" w:space="0" w:color="auto"/>
        <w:right w:val="none" w:sz="0" w:space="0" w:color="auto"/>
      </w:divBdr>
    </w:div>
    <w:div w:id="1241140326">
      <w:bodyDiv w:val="1"/>
      <w:marLeft w:val="0"/>
      <w:marRight w:val="0"/>
      <w:marTop w:val="0"/>
      <w:marBottom w:val="0"/>
      <w:divBdr>
        <w:top w:val="none" w:sz="0" w:space="0" w:color="auto"/>
        <w:left w:val="none" w:sz="0" w:space="0" w:color="auto"/>
        <w:bottom w:val="none" w:sz="0" w:space="0" w:color="auto"/>
        <w:right w:val="none" w:sz="0" w:space="0" w:color="auto"/>
      </w:divBdr>
    </w:div>
    <w:div w:id="1276400923">
      <w:bodyDiv w:val="1"/>
      <w:marLeft w:val="0"/>
      <w:marRight w:val="0"/>
      <w:marTop w:val="0"/>
      <w:marBottom w:val="0"/>
      <w:divBdr>
        <w:top w:val="none" w:sz="0" w:space="0" w:color="auto"/>
        <w:left w:val="none" w:sz="0" w:space="0" w:color="auto"/>
        <w:bottom w:val="none" w:sz="0" w:space="0" w:color="auto"/>
        <w:right w:val="none" w:sz="0" w:space="0" w:color="auto"/>
      </w:divBdr>
    </w:div>
    <w:div w:id="1300500065">
      <w:bodyDiv w:val="1"/>
      <w:marLeft w:val="0"/>
      <w:marRight w:val="0"/>
      <w:marTop w:val="0"/>
      <w:marBottom w:val="0"/>
      <w:divBdr>
        <w:top w:val="none" w:sz="0" w:space="0" w:color="auto"/>
        <w:left w:val="none" w:sz="0" w:space="0" w:color="auto"/>
        <w:bottom w:val="none" w:sz="0" w:space="0" w:color="auto"/>
        <w:right w:val="none" w:sz="0" w:space="0" w:color="auto"/>
      </w:divBdr>
    </w:div>
    <w:div w:id="1310549661">
      <w:bodyDiv w:val="1"/>
      <w:marLeft w:val="0"/>
      <w:marRight w:val="0"/>
      <w:marTop w:val="0"/>
      <w:marBottom w:val="0"/>
      <w:divBdr>
        <w:top w:val="none" w:sz="0" w:space="0" w:color="auto"/>
        <w:left w:val="none" w:sz="0" w:space="0" w:color="auto"/>
        <w:bottom w:val="none" w:sz="0" w:space="0" w:color="auto"/>
        <w:right w:val="none" w:sz="0" w:space="0" w:color="auto"/>
      </w:divBdr>
    </w:div>
    <w:div w:id="1326470983">
      <w:bodyDiv w:val="1"/>
      <w:marLeft w:val="0"/>
      <w:marRight w:val="0"/>
      <w:marTop w:val="0"/>
      <w:marBottom w:val="0"/>
      <w:divBdr>
        <w:top w:val="none" w:sz="0" w:space="0" w:color="auto"/>
        <w:left w:val="none" w:sz="0" w:space="0" w:color="auto"/>
        <w:bottom w:val="none" w:sz="0" w:space="0" w:color="auto"/>
        <w:right w:val="none" w:sz="0" w:space="0" w:color="auto"/>
      </w:divBdr>
    </w:div>
    <w:div w:id="1349982777">
      <w:bodyDiv w:val="1"/>
      <w:marLeft w:val="0"/>
      <w:marRight w:val="0"/>
      <w:marTop w:val="0"/>
      <w:marBottom w:val="0"/>
      <w:divBdr>
        <w:top w:val="none" w:sz="0" w:space="0" w:color="auto"/>
        <w:left w:val="none" w:sz="0" w:space="0" w:color="auto"/>
        <w:bottom w:val="none" w:sz="0" w:space="0" w:color="auto"/>
        <w:right w:val="none" w:sz="0" w:space="0" w:color="auto"/>
      </w:divBdr>
    </w:div>
    <w:div w:id="1414275703">
      <w:bodyDiv w:val="1"/>
      <w:marLeft w:val="0"/>
      <w:marRight w:val="0"/>
      <w:marTop w:val="0"/>
      <w:marBottom w:val="0"/>
      <w:divBdr>
        <w:top w:val="none" w:sz="0" w:space="0" w:color="auto"/>
        <w:left w:val="none" w:sz="0" w:space="0" w:color="auto"/>
        <w:bottom w:val="none" w:sz="0" w:space="0" w:color="auto"/>
        <w:right w:val="none" w:sz="0" w:space="0" w:color="auto"/>
      </w:divBdr>
    </w:div>
    <w:div w:id="1420561988">
      <w:bodyDiv w:val="1"/>
      <w:marLeft w:val="0"/>
      <w:marRight w:val="0"/>
      <w:marTop w:val="0"/>
      <w:marBottom w:val="0"/>
      <w:divBdr>
        <w:top w:val="none" w:sz="0" w:space="0" w:color="auto"/>
        <w:left w:val="none" w:sz="0" w:space="0" w:color="auto"/>
        <w:bottom w:val="none" w:sz="0" w:space="0" w:color="auto"/>
        <w:right w:val="none" w:sz="0" w:space="0" w:color="auto"/>
      </w:divBdr>
    </w:div>
    <w:div w:id="1432386374">
      <w:bodyDiv w:val="1"/>
      <w:marLeft w:val="0"/>
      <w:marRight w:val="0"/>
      <w:marTop w:val="0"/>
      <w:marBottom w:val="0"/>
      <w:divBdr>
        <w:top w:val="none" w:sz="0" w:space="0" w:color="auto"/>
        <w:left w:val="none" w:sz="0" w:space="0" w:color="auto"/>
        <w:bottom w:val="none" w:sz="0" w:space="0" w:color="auto"/>
        <w:right w:val="none" w:sz="0" w:space="0" w:color="auto"/>
      </w:divBdr>
    </w:div>
    <w:div w:id="1453867773">
      <w:bodyDiv w:val="1"/>
      <w:marLeft w:val="0"/>
      <w:marRight w:val="0"/>
      <w:marTop w:val="0"/>
      <w:marBottom w:val="0"/>
      <w:divBdr>
        <w:top w:val="none" w:sz="0" w:space="0" w:color="auto"/>
        <w:left w:val="none" w:sz="0" w:space="0" w:color="auto"/>
        <w:bottom w:val="none" w:sz="0" w:space="0" w:color="auto"/>
        <w:right w:val="none" w:sz="0" w:space="0" w:color="auto"/>
      </w:divBdr>
    </w:div>
    <w:div w:id="1505632282">
      <w:bodyDiv w:val="1"/>
      <w:marLeft w:val="0"/>
      <w:marRight w:val="0"/>
      <w:marTop w:val="0"/>
      <w:marBottom w:val="0"/>
      <w:divBdr>
        <w:top w:val="none" w:sz="0" w:space="0" w:color="auto"/>
        <w:left w:val="none" w:sz="0" w:space="0" w:color="auto"/>
        <w:bottom w:val="none" w:sz="0" w:space="0" w:color="auto"/>
        <w:right w:val="none" w:sz="0" w:space="0" w:color="auto"/>
      </w:divBdr>
    </w:div>
    <w:div w:id="1614744229">
      <w:bodyDiv w:val="1"/>
      <w:marLeft w:val="0"/>
      <w:marRight w:val="0"/>
      <w:marTop w:val="0"/>
      <w:marBottom w:val="0"/>
      <w:divBdr>
        <w:top w:val="none" w:sz="0" w:space="0" w:color="auto"/>
        <w:left w:val="none" w:sz="0" w:space="0" w:color="auto"/>
        <w:bottom w:val="none" w:sz="0" w:space="0" w:color="auto"/>
        <w:right w:val="none" w:sz="0" w:space="0" w:color="auto"/>
      </w:divBdr>
    </w:div>
    <w:div w:id="1659110388">
      <w:bodyDiv w:val="1"/>
      <w:marLeft w:val="0"/>
      <w:marRight w:val="0"/>
      <w:marTop w:val="0"/>
      <w:marBottom w:val="0"/>
      <w:divBdr>
        <w:top w:val="none" w:sz="0" w:space="0" w:color="auto"/>
        <w:left w:val="none" w:sz="0" w:space="0" w:color="auto"/>
        <w:bottom w:val="none" w:sz="0" w:space="0" w:color="auto"/>
        <w:right w:val="none" w:sz="0" w:space="0" w:color="auto"/>
      </w:divBdr>
    </w:div>
    <w:div w:id="1713771302">
      <w:bodyDiv w:val="1"/>
      <w:marLeft w:val="0"/>
      <w:marRight w:val="0"/>
      <w:marTop w:val="0"/>
      <w:marBottom w:val="0"/>
      <w:divBdr>
        <w:top w:val="none" w:sz="0" w:space="0" w:color="auto"/>
        <w:left w:val="none" w:sz="0" w:space="0" w:color="auto"/>
        <w:bottom w:val="none" w:sz="0" w:space="0" w:color="auto"/>
        <w:right w:val="none" w:sz="0" w:space="0" w:color="auto"/>
      </w:divBdr>
    </w:div>
    <w:div w:id="1744569868">
      <w:bodyDiv w:val="1"/>
      <w:marLeft w:val="0"/>
      <w:marRight w:val="0"/>
      <w:marTop w:val="0"/>
      <w:marBottom w:val="0"/>
      <w:divBdr>
        <w:top w:val="none" w:sz="0" w:space="0" w:color="auto"/>
        <w:left w:val="none" w:sz="0" w:space="0" w:color="auto"/>
        <w:bottom w:val="none" w:sz="0" w:space="0" w:color="auto"/>
        <w:right w:val="none" w:sz="0" w:space="0" w:color="auto"/>
      </w:divBdr>
    </w:div>
    <w:div w:id="1842423752">
      <w:bodyDiv w:val="1"/>
      <w:marLeft w:val="0"/>
      <w:marRight w:val="0"/>
      <w:marTop w:val="0"/>
      <w:marBottom w:val="0"/>
      <w:divBdr>
        <w:top w:val="none" w:sz="0" w:space="0" w:color="auto"/>
        <w:left w:val="none" w:sz="0" w:space="0" w:color="auto"/>
        <w:bottom w:val="none" w:sz="0" w:space="0" w:color="auto"/>
        <w:right w:val="none" w:sz="0" w:space="0" w:color="auto"/>
      </w:divBdr>
    </w:div>
    <w:div w:id="1879590157">
      <w:bodyDiv w:val="1"/>
      <w:marLeft w:val="0"/>
      <w:marRight w:val="0"/>
      <w:marTop w:val="0"/>
      <w:marBottom w:val="0"/>
      <w:divBdr>
        <w:top w:val="none" w:sz="0" w:space="0" w:color="auto"/>
        <w:left w:val="none" w:sz="0" w:space="0" w:color="auto"/>
        <w:bottom w:val="none" w:sz="0" w:space="0" w:color="auto"/>
        <w:right w:val="none" w:sz="0" w:space="0" w:color="auto"/>
      </w:divBdr>
    </w:div>
    <w:div w:id="2057587288">
      <w:bodyDiv w:val="1"/>
      <w:marLeft w:val="0"/>
      <w:marRight w:val="0"/>
      <w:marTop w:val="0"/>
      <w:marBottom w:val="0"/>
      <w:divBdr>
        <w:top w:val="none" w:sz="0" w:space="0" w:color="auto"/>
        <w:left w:val="none" w:sz="0" w:space="0" w:color="auto"/>
        <w:bottom w:val="none" w:sz="0" w:space="0" w:color="auto"/>
        <w:right w:val="none" w:sz="0" w:space="0" w:color="auto"/>
      </w:divBdr>
    </w:div>
    <w:div w:id="2062436788">
      <w:bodyDiv w:val="1"/>
      <w:marLeft w:val="0"/>
      <w:marRight w:val="0"/>
      <w:marTop w:val="0"/>
      <w:marBottom w:val="0"/>
      <w:divBdr>
        <w:top w:val="none" w:sz="0" w:space="0" w:color="auto"/>
        <w:left w:val="none" w:sz="0" w:space="0" w:color="auto"/>
        <w:bottom w:val="none" w:sz="0" w:space="0" w:color="auto"/>
        <w:right w:val="none" w:sz="0" w:space="0" w:color="auto"/>
      </w:divBdr>
    </w:div>
    <w:div w:id="214716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6.png"/><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5.png"/><Relationship Id="rId27"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E9750"/>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12249</Words>
  <Characters>69821</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2019-03-12T03:24:00Z</dcterms:created>
  <dcterms:modified xsi:type="dcterms:W3CDTF">2019-03-12T03:44:00Z</dcterms:modified>
</cp:coreProperties>
</file>