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6CB3" w14:textId="77777777" w:rsidR="006C64C5" w:rsidRDefault="000E2E57" w:rsidP="00AB1B9B">
      <w:pPr>
        <w:spacing w:before="2040" w:after="240"/>
      </w:pPr>
      <w:r>
        <w:rPr>
          <w:noProof/>
        </w:rPr>
        <w:drawing>
          <wp:inline distT="0" distB="0" distL="0" distR="0" wp14:anchorId="0B8B8333" wp14:editId="0234E737">
            <wp:extent cx="3633275" cy="648000"/>
            <wp:effectExtent l="0" t="0" r="5715" b="0"/>
            <wp:docPr id="16" name="Picture 16" descr="Australian Health Services Research Institute (AHSRI) University of Wollongong logo" title="AHSRI and U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hsri-UowLonghandLandscapeColourPositive.png"/>
                    <pic:cNvPicPr/>
                  </pic:nvPicPr>
                  <pic:blipFill>
                    <a:blip r:embed="rId8">
                      <a:extLst>
                        <a:ext uri="{28A0092B-C50C-407E-A947-70E740481C1C}">
                          <a14:useLocalDpi xmlns:a14="http://schemas.microsoft.com/office/drawing/2010/main" val="0"/>
                        </a:ext>
                      </a:extLst>
                    </a:blip>
                    <a:stretch>
                      <a:fillRect/>
                    </a:stretch>
                  </pic:blipFill>
                  <pic:spPr>
                    <a:xfrm>
                      <a:off x="0" y="0"/>
                      <a:ext cx="3633275" cy="648000"/>
                    </a:xfrm>
                    <a:prstGeom prst="rect">
                      <a:avLst/>
                    </a:prstGeom>
                  </pic:spPr>
                </pic:pic>
              </a:graphicData>
            </a:graphic>
          </wp:inline>
        </w:drawing>
      </w:r>
    </w:p>
    <w:p w14:paraId="23D8BAA3" w14:textId="77777777" w:rsidR="00C44685" w:rsidRPr="00574C88" w:rsidRDefault="006E49DF" w:rsidP="00AB1B9B">
      <w:pPr>
        <w:pStyle w:val="Title"/>
        <w:pBdr>
          <w:bottom w:val="none" w:sz="0" w:space="0" w:color="auto"/>
        </w:pBdr>
        <w:spacing w:before="3000" w:after="2000"/>
      </w:pPr>
      <w:r w:rsidRPr="00574C88">
        <w:t>The Australian National Aged Care Classification (AN-ACC)</w:t>
      </w:r>
    </w:p>
    <w:p w14:paraId="4C7CCE1D" w14:textId="4105052F" w:rsidR="00C44685" w:rsidRPr="00AB1B9B" w:rsidRDefault="00574C88" w:rsidP="00AB1B9B">
      <w:pPr>
        <w:pStyle w:val="Title"/>
        <w:pBdr>
          <w:bottom w:val="none" w:sz="0" w:space="0" w:color="auto"/>
        </w:pBdr>
        <w:tabs>
          <w:tab w:val="left" w:pos="1418"/>
        </w:tabs>
        <w:spacing w:before="3960" w:after="2640"/>
        <w:contextualSpacing w:val="0"/>
        <w:rPr>
          <w:sz w:val="44"/>
          <w:szCs w:val="44"/>
        </w:rPr>
      </w:pPr>
      <w:r w:rsidRPr="00AB1B9B">
        <w:rPr>
          <w:sz w:val="44"/>
          <w:szCs w:val="44"/>
        </w:rPr>
        <w:t>T</w:t>
      </w:r>
      <w:r w:rsidR="00C44685" w:rsidRPr="00AB1B9B">
        <w:rPr>
          <w:sz w:val="44"/>
          <w:szCs w:val="44"/>
        </w:rPr>
        <w:t xml:space="preserve">he Resource </w:t>
      </w:r>
      <w:r w:rsidR="00DF58CA">
        <w:rPr>
          <w:sz w:val="44"/>
          <w:szCs w:val="44"/>
        </w:rPr>
        <w:t>U</w:t>
      </w:r>
      <w:r w:rsidR="00C44685" w:rsidRPr="00AB1B9B">
        <w:rPr>
          <w:sz w:val="44"/>
          <w:szCs w:val="44"/>
        </w:rPr>
        <w:t>tilisation and Classification Study</w:t>
      </w:r>
      <w:r w:rsidRPr="00AB1B9B">
        <w:rPr>
          <w:sz w:val="44"/>
          <w:szCs w:val="44"/>
        </w:rPr>
        <w:t>: Report 1</w:t>
      </w:r>
    </w:p>
    <w:p w14:paraId="6AFC12A3" w14:textId="77777777" w:rsidR="00510949" w:rsidRDefault="00F9228B" w:rsidP="00510949">
      <w:pPr>
        <w:rPr>
          <w:b/>
          <w:sz w:val="32"/>
          <w:szCs w:val="32"/>
        </w:rPr>
      </w:pPr>
      <w:r>
        <w:rPr>
          <w:b/>
          <w:sz w:val="32"/>
          <w:szCs w:val="32"/>
        </w:rPr>
        <w:t>February</w:t>
      </w:r>
      <w:r w:rsidR="0029178B">
        <w:rPr>
          <w:b/>
          <w:sz w:val="32"/>
          <w:szCs w:val="32"/>
        </w:rPr>
        <w:t xml:space="preserve"> 2019</w:t>
      </w:r>
    </w:p>
    <w:p w14:paraId="6363EAD4" w14:textId="77777777" w:rsidR="00CF4053" w:rsidRDefault="00CF4053" w:rsidP="00510949">
      <w:r>
        <w:br w:type="page"/>
      </w:r>
    </w:p>
    <w:p w14:paraId="0B34AB59" w14:textId="77777777" w:rsidR="00C44685" w:rsidRPr="00C7613C" w:rsidRDefault="00C44685" w:rsidP="00C44685">
      <w:pPr>
        <w:spacing w:after="600"/>
        <w:jc w:val="right"/>
        <w:rPr>
          <w:sz w:val="36"/>
          <w:szCs w:val="36"/>
        </w:rPr>
      </w:pPr>
      <w:r w:rsidRPr="00C7613C">
        <w:rPr>
          <w:sz w:val="36"/>
          <w:szCs w:val="36"/>
        </w:rPr>
        <w:lastRenderedPageBreak/>
        <w:t>Kathy Eagar</w:t>
      </w:r>
    </w:p>
    <w:p w14:paraId="7E9E311F" w14:textId="77777777" w:rsidR="007B4D02" w:rsidRPr="00C7613C" w:rsidRDefault="00CF4053" w:rsidP="00C44685">
      <w:pPr>
        <w:spacing w:after="600"/>
        <w:jc w:val="right"/>
        <w:rPr>
          <w:sz w:val="36"/>
          <w:szCs w:val="36"/>
        </w:rPr>
      </w:pPr>
      <w:r w:rsidRPr="00C7613C">
        <w:rPr>
          <w:sz w:val="36"/>
          <w:szCs w:val="36"/>
        </w:rPr>
        <w:t>Jenny McNamee</w:t>
      </w:r>
    </w:p>
    <w:p w14:paraId="15CF7085" w14:textId="77777777" w:rsidR="00CF4053" w:rsidRPr="00C7613C" w:rsidRDefault="00953754" w:rsidP="00C44685">
      <w:pPr>
        <w:spacing w:after="600"/>
        <w:jc w:val="right"/>
        <w:rPr>
          <w:sz w:val="36"/>
          <w:szCs w:val="36"/>
        </w:rPr>
      </w:pPr>
      <w:r w:rsidRPr="00C7613C">
        <w:rPr>
          <w:sz w:val="36"/>
          <w:szCs w:val="36"/>
        </w:rPr>
        <w:t>Rob Gordon</w:t>
      </w:r>
    </w:p>
    <w:p w14:paraId="521C5457" w14:textId="77777777" w:rsidR="003B4A65" w:rsidRPr="00C7613C" w:rsidRDefault="003B4A65" w:rsidP="003B4A65">
      <w:pPr>
        <w:spacing w:after="600"/>
        <w:jc w:val="right"/>
        <w:rPr>
          <w:sz w:val="36"/>
          <w:szCs w:val="36"/>
        </w:rPr>
      </w:pPr>
      <w:r w:rsidRPr="00C7613C">
        <w:rPr>
          <w:sz w:val="36"/>
          <w:szCs w:val="36"/>
        </w:rPr>
        <w:t>Milena Snoek</w:t>
      </w:r>
    </w:p>
    <w:p w14:paraId="23DC6606" w14:textId="77777777" w:rsidR="00892066" w:rsidRPr="00C7613C" w:rsidRDefault="00892066" w:rsidP="00892066">
      <w:pPr>
        <w:spacing w:after="600"/>
        <w:ind w:firstLine="720"/>
        <w:jc w:val="right"/>
        <w:rPr>
          <w:sz w:val="36"/>
          <w:szCs w:val="36"/>
        </w:rPr>
      </w:pPr>
      <w:r w:rsidRPr="00C7613C">
        <w:rPr>
          <w:sz w:val="36"/>
          <w:szCs w:val="36"/>
        </w:rPr>
        <w:t>Cathy Duncan</w:t>
      </w:r>
    </w:p>
    <w:p w14:paraId="5942B48B" w14:textId="77777777" w:rsidR="0083133E" w:rsidRPr="00C7613C" w:rsidRDefault="0083133E" w:rsidP="0083133E">
      <w:pPr>
        <w:spacing w:after="600"/>
        <w:jc w:val="right"/>
        <w:rPr>
          <w:sz w:val="36"/>
          <w:szCs w:val="36"/>
        </w:rPr>
      </w:pPr>
      <w:r w:rsidRPr="00C7613C">
        <w:rPr>
          <w:sz w:val="36"/>
          <w:szCs w:val="36"/>
        </w:rPr>
        <w:t>Peter Samsa</w:t>
      </w:r>
    </w:p>
    <w:p w14:paraId="6F151375" w14:textId="77777777" w:rsidR="00953754" w:rsidRPr="00C7613C" w:rsidRDefault="00953754" w:rsidP="00C44685">
      <w:pPr>
        <w:spacing w:after="600"/>
        <w:jc w:val="right"/>
        <w:rPr>
          <w:sz w:val="36"/>
          <w:szCs w:val="36"/>
        </w:rPr>
      </w:pPr>
      <w:r w:rsidRPr="00C7613C">
        <w:rPr>
          <w:sz w:val="36"/>
          <w:szCs w:val="36"/>
        </w:rPr>
        <w:t>Carol Loggie</w:t>
      </w:r>
    </w:p>
    <w:p w14:paraId="16985CFA" w14:textId="77777777" w:rsidR="0073164F" w:rsidRDefault="0073164F" w:rsidP="0073164F">
      <w:pPr>
        <w:rPr>
          <w:sz w:val="28"/>
          <w:szCs w:val="28"/>
        </w:rPr>
      </w:pPr>
    </w:p>
    <w:p w14:paraId="6E33A4D4" w14:textId="77777777" w:rsidR="00534F50" w:rsidRPr="0073164F" w:rsidRDefault="00534F50" w:rsidP="0073164F">
      <w:pPr>
        <w:rPr>
          <w:sz w:val="28"/>
          <w:szCs w:val="28"/>
        </w:rPr>
        <w:sectPr w:rsidR="00534F50" w:rsidRPr="0073164F" w:rsidSect="006E091C">
          <w:headerReference w:type="default" r:id="rId9"/>
          <w:footerReference w:type="default" r:id="rId10"/>
          <w:type w:val="continuous"/>
          <w:pgSz w:w="11906" w:h="16838"/>
          <w:pgMar w:top="1134" w:right="1134" w:bottom="1021" w:left="1418" w:header="709" w:footer="709" w:gutter="0"/>
          <w:pgNumType w:start="1"/>
          <w:cols w:space="708"/>
          <w:docGrid w:linePitch="360"/>
        </w:sectPr>
      </w:pPr>
    </w:p>
    <w:p w14:paraId="4E475A31" w14:textId="77777777" w:rsidR="00534F50" w:rsidRDefault="00A852AC" w:rsidP="00722403">
      <w:pPr>
        <w:spacing w:after="240"/>
      </w:pPr>
      <w:r>
        <w:lastRenderedPageBreak/>
        <w:t xml:space="preserve">This </w:t>
      </w:r>
      <w:r w:rsidR="00574C88" w:rsidRPr="00877115">
        <w:t xml:space="preserve">series of </w:t>
      </w:r>
      <w:r>
        <w:t xml:space="preserve">papers </w:t>
      </w:r>
      <w:r w:rsidR="00574C88">
        <w:t xml:space="preserve">report </w:t>
      </w:r>
      <w:r>
        <w:t xml:space="preserve">on different aspects of a major national study into needs, costs and classification of residential aged care called </w:t>
      </w:r>
      <w:r w:rsidR="0098109C">
        <w:t>t</w:t>
      </w:r>
      <w:r w:rsidR="00AE7A80">
        <w:t xml:space="preserve">he Resource Utilisation </w:t>
      </w:r>
      <w:r w:rsidR="00534F50">
        <w:t xml:space="preserve">and Classification </w:t>
      </w:r>
      <w:r w:rsidR="00AE7A80">
        <w:t>Study</w:t>
      </w:r>
      <w:r w:rsidR="00534F50">
        <w:t xml:space="preserve"> (RUCS)</w:t>
      </w:r>
      <w:r w:rsidR="00AE7A80">
        <w:t>.</w:t>
      </w:r>
      <w:r>
        <w:t xml:space="preserve"> The RUCS </w:t>
      </w:r>
      <w:r w:rsidR="00722403">
        <w:t>was undertaken during 2018.</w:t>
      </w:r>
    </w:p>
    <w:p w14:paraId="225BE956" w14:textId="77777777" w:rsidR="006B2BE4" w:rsidRDefault="00A852AC" w:rsidP="00722403">
      <w:pPr>
        <w:spacing w:after="240"/>
      </w:pPr>
      <w:r>
        <w:t>T</w:t>
      </w:r>
      <w:r w:rsidR="00574C88">
        <w:t xml:space="preserve">his report (Report </w:t>
      </w:r>
      <w:r w:rsidR="009651F9">
        <w:t>1</w:t>
      </w:r>
      <w:r w:rsidR="00574C88">
        <w:t>) presents the recommended classification known as the Australian National Aged Care Classification (AN-ACC).</w:t>
      </w:r>
    </w:p>
    <w:p w14:paraId="3B13526C" w14:textId="77777777" w:rsidR="006B2BE4" w:rsidRDefault="006B2BE4" w:rsidP="00722403">
      <w:pPr>
        <w:spacing w:after="320"/>
      </w:pPr>
      <w:r>
        <w:t xml:space="preserve">A summary of all the reports associated with RUCS is provided in </w:t>
      </w:r>
      <w:r w:rsidR="009A4502">
        <w:fldChar w:fldCharType="begin"/>
      </w:r>
      <w:r w:rsidR="009A4502">
        <w:instrText xml:space="preserve"> REF _Ref531355389 \h </w:instrText>
      </w:r>
      <w:r w:rsidR="009A4502">
        <w:fldChar w:fldCharType="separate"/>
      </w:r>
      <w:r w:rsidR="00EE18C8">
        <w:t xml:space="preserve">Appendix </w:t>
      </w:r>
      <w:r w:rsidR="00EE18C8">
        <w:rPr>
          <w:noProof/>
        </w:rPr>
        <w:t>1</w:t>
      </w:r>
      <w:r w:rsidR="009A4502">
        <w:fldChar w:fldCharType="end"/>
      </w:r>
      <w:r>
        <w:t>.</w:t>
      </w:r>
    </w:p>
    <w:p w14:paraId="6F4DCC54" w14:textId="77777777" w:rsidR="00574C88" w:rsidRPr="00506CC5" w:rsidRDefault="00574C88" w:rsidP="00722403">
      <w:pPr>
        <w:pStyle w:val="ListParagraph"/>
        <w:numPr>
          <w:ilvl w:val="0"/>
          <w:numId w:val="7"/>
        </w:numPr>
        <w:spacing w:after="120"/>
        <w:ind w:left="1418" w:hanging="1418"/>
        <w:contextualSpacing w:val="0"/>
        <w:rPr>
          <w:b/>
          <w:lang w:val="sv-SE"/>
        </w:rPr>
      </w:pPr>
      <w:r w:rsidRPr="00506CC5">
        <w:rPr>
          <w:b/>
          <w:lang w:val="sv-SE"/>
        </w:rPr>
        <w:t>The Australian National Ag</w:t>
      </w:r>
      <w:r w:rsidR="00534F50">
        <w:rPr>
          <w:b/>
          <w:lang w:val="sv-SE"/>
        </w:rPr>
        <w:t>ed Care Classification (AN-ACC)</w:t>
      </w:r>
      <w:r w:rsidR="002C475D">
        <w:rPr>
          <w:b/>
          <w:lang w:val="sv-SE"/>
        </w:rPr>
        <w:t xml:space="preserve"> </w:t>
      </w:r>
      <w:r w:rsidR="002C475D" w:rsidRPr="002C475D">
        <w:rPr>
          <w:lang w:val="sv-SE"/>
        </w:rPr>
        <w:t>(this report)</w:t>
      </w:r>
    </w:p>
    <w:p w14:paraId="16A49D37" w14:textId="77777777" w:rsidR="009651F9" w:rsidRDefault="00722403" w:rsidP="00722403">
      <w:pPr>
        <w:pStyle w:val="ListParagraph"/>
        <w:numPr>
          <w:ilvl w:val="0"/>
          <w:numId w:val="7"/>
        </w:numPr>
        <w:spacing w:after="120"/>
        <w:ind w:left="1418" w:hanging="1418"/>
        <w:contextualSpacing w:val="0"/>
        <w:rPr>
          <w:lang w:val="sv-SE"/>
        </w:rPr>
      </w:pPr>
      <w:r>
        <w:rPr>
          <w:lang w:val="sv-SE"/>
        </w:rPr>
        <w:t>The AN-ACC assessment model</w:t>
      </w:r>
    </w:p>
    <w:p w14:paraId="443013A2" w14:textId="77777777" w:rsidR="00574C88" w:rsidRPr="00EA19D2" w:rsidRDefault="00574C88" w:rsidP="00722403">
      <w:pPr>
        <w:pStyle w:val="ListParagraph"/>
        <w:numPr>
          <w:ilvl w:val="0"/>
          <w:numId w:val="7"/>
        </w:numPr>
        <w:spacing w:after="120"/>
        <w:ind w:left="1418" w:hanging="1418"/>
        <w:contextualSpacing w:val="0"/>
        <w:rPr>
          <w:lang w:val="sv-SE"/>
        </w:rPr>
      </w:pPr>
      <w:r w:rsidRPr="00EA19D2">
        <w:rPr>
          <w:lang w:val="sv-SE"/>
        </w:rPr>
        <w:t>Structural and individual costs of residential aged care services in Australia</w:t>
      </w:r>
    </w:p>
    <w:p w14:paraId="036E00BA" w14:textId="77777777" w:rsidR="00574C88" w:rsidRPr="00506CC5" w:rsidRDefault="00574C88" w:rsidP="00722403">
      <w:pPr>
        <w:pStyle w:val="ListParagraph"/>
        <w:numPr>
          <w:ilvl w:val="0"/>
          <w:numId w:val="7"/>
        </w:numPr>
        <w:spacing w:after="120"/>
        <w:ind w:left="1418" w:hanging="1418"/>
        <w:contextualSpacing w:val="0"/>
        <w:rPr>
          <w:lang w:val="sv-SE"/>
        </w:rPr>
      </w:pPr>
      <w:r w:rsidRPr="00506CC5">
        <w:rPr>
          <w:lang w:val="sv-SE"/>
        </w:rPr>
        <w:t>Modelling the im</w:t>
      </w:r>
      <w:r w:rsidR="00A128F0">
        <w:rPr>
          <w:lang w:val="sv-SE"/>
        </w:rPr>
        <w:t>pact of the AN-ACC in Australia</w:t>
      </w:r>
    </w:p>
    <w:p w14:paraId="2E1E8F00" w14:textId="77777777" w:rsidR="00574C88" w:rsidRPr="00F730E6" w:rsidRDefault="000B56B0" w:rsidP="00722403">
      <w:pPr>
        <w:pStyle w:val="ListParagraph"/>
        <w:numPr>
          <w:ilvl w:val="0"/>
          <w:numId w:val="7"/>
        </w:numPr>
        <w:spacing w:after="120"/>
        <w:ind w:left="1418" w:hanging="1418"/>
        <w:contextualSpacing w:val="0"/>
        <w:rPr>
          <w:lang w:val="sv-SE"/>
        </w:rPr>
      </w:pPr>
      <w:r w:rsidRPr="00534F50">
        <w:rPr>
          <w:lang w:val="sv-SE"/>
        </w:rPr>
        <w:t>AN-ACC: A funding</w:t>
      </w:r>
      <w:r>
        <w:rPr>
          <w:lang w:val="sv-SE"/>
        </w:rPr>
        <w:t xml:space="preserve"> model for the residential aged care sector</w:t>
      </w:r>
    </w:p>
    <w:p w14:paraId="6560CC03" w14:textId="77777777" w:rsidR="00574C88" w:rsidRDefault="00574C88" w:rsidP="00722403">
      <w:pPr>
        <w:pStyle w:val="ListParagraph"/>
        <w:numPr>
          <w:ilvl w:val="0"/>
          <w:numId w:val="7"/>
        </w:numPr>
        <w:spacing w:after="120"/>
        <w:ind w:left="1418" w:hanging="1418"/>
        <w:contextualSpacing w:val="0"/>
        <w:rPr>
          <w:lang w:val="sv-SE"/>
        </w:rPr>
      </w:pPr>
      <w:r w:rsidRPr="00F730E6">
        <w:rPr>
          <w:lang w:val="sv-SE"/>
        </w:rPr>
        <w:t xml:space="preserve">AN-ACC: A national classification and funding model for residential aged care: </w:t>
      </w:r>
      <w:r w:rsidR="00F16ECA">
        <w:rPr>
          <w:lang w:val="sv-SE"/>
        </w:rPr>
        <w:t>s</w:t>
      </w:r>
      <w:r w:rsidRPr="00F730E6">
        <w:rPr>
          <w:lang w:val="sv-SE"/>
        </w:rPr>
        <w:t>ynthesis and consolidated recommendations</w:t>
      </w:r>
    </w:p>
    <w:p w14:paraId="4D7F8733" w14:textId="77777777" w:rsidR="00574C88" w:rsidRDefault="00574C88" w:rsidP="00722403">
      <w:pPr>
        <w:pStyle w:val="ListParagraph"/>
        <w:numPr>
          <w:ilvl w:val="0"/>
          <w:numId w:val="7"/>
        </w:numPr>
        <w:spacing w:after="120"/>
        <w:ind w:left="1418" w:hanging="1418"/>
        <w:contextualSpacing w:val="0"/>
        <w:rPr>
          <w:lang w:val="sv-SE"/>
        </w:rPr>
      </w:pPr>
      <w:r w:rsidRPr="00F730E6">
        <w:rPr>
          <w:lang w:val="sv-SE"/>
        </w:rPr>
        <w:t>AN-ACC Technical appendices</w:t>
      </w:r>
    </w:p>
    <w:p w14:paraId="30728FE3" w14:textId="77777777" w:rsidR="00D111F7" w:rsidRDefault="00722403" w:rsidP="00722403">
      <w:pPr>
        <w:spacing w:before="3000" w:after="240"/>
        <w:rPr>
          <w:lang w:val="sv-SE"/>
        </w:rPr>
      </w:pPr>
      <w:r w:rsidRPr="00574C88">
        <w:rPr>
          <w:b/>
          <w:lang w:val="sv-SE"/>
        </w:rPr>
        <w:t>Sugges</w:t>
      </w:r>
      <w:r>
        <w:rPr>
          <w:b/>
          <w:lang w:val="sv-SE"/>
        </w:rPr>
        <w:t>t</w:t>
      </w:r>
      <w:r w:rsidRPr="00574C88">
        <w:rPr>
          <w:b/>
          <w:lang w:val="sv-SE"/>
        </w:rPr>
        <w:t>ed citation</w:t>
      </w:r>
    </w:p>
    <w:p w14:paraId="3606C192" w14:textId="77777777" w:rsidR="0073164F" w:rsidRPr="00534F50" w:rsidRDefault="00722403" w:rsidP="00534F50">
      <w:pPr>
        <w:rPr>
          <w:lang w:val="sv-SE"/>
        </w:rPr>
      </w:pPr>
      <w:r w:rsidRPr="00527574">
        <w:rPr>
          <w:lang w:val="sv-SE"/>
        </w:rPr>
        <w:t>Eagar K</w:t>
      </w:r>
      <w:r>
        <w:rPr>
          <w:lang w:val="sv-SE"/>
        </w:rPr>
        <w:t xml:space="preserve">, </w:t>
      </w:r>
      <w:r w:rsidRPr="00527574">
        <w:rPr>
          <w:lang w:val="sv-SE"/>
        </w:rPr>
        <w:t>McNamee J, Gordon R</w:t>
      </w:r>
      <w:r>
        <w:rPr>
          <w:lang w:val="sv-SE"/>
        </w:rPr>
        <w:t xml:space="preserve"> et al. (2019</w:t>
      </w:r>
      <w:r w:rsidRPr="00527574">
        <w:rPr>
          <w:lang w:val="sv-SE"/>
        </w:rPr>
        <w:t xml:space="preserve">) </w:t>
      </w:r>
      <w:r w:rsidRPr="00934384">
        <w:rPr>
          <w:i/>
          <w:lang w:val="sv-SE"/>
        </w:rPr>
        <w:t>The Australian National Aged Care Classification (AN-ACC). The Resource Utilisation and Classification Study: Report 1</w:t>
      </w:r>
      <w:r w:rsidRPr="00527574">
        <w:rPr>
          <w:lang w:val="sv-SE"/>
        </w:rPr>
        <w:t>. Australian Health Services Research Institute, University of Wollongong.</w:t>
      </w:r>
      <w:r>
        <w:rPr>
          <w:lang w:val="sv-SE"/>
        </w:rPr>
        <w:t xml:space="preserve"> ISBN: 978-1-74128-295-5.</w:t>
      </w:r>
    </w:p>
    <w:p w14:paraId="3C3CCA2B" w14:textId="77777777" w:rsidR="00975A35" w:rsidRDefault="00975A35" w:rsidP="00CF4053"/>
    <w:p w14:paraId="03249C15" w14:textId="77777777" w:rsidR="00B0513D" w:rsidRDefault="00B0513D" w:rsidP="00CF4053">
      <w:pPr>
        <w:sectPr w:rsidR="00B0513D" w:rsidSect="006E091C">
          <w:headerReference w:type="default" r:id="rId11"/>
          <w:footerReference w:type="default" r:id="rId12"/>
          <w:pgSz w:w="11906" w:h="16838"/>
          <w:pgMar w:top="1134" w:right="1134" w:bottom="1021" w:left="1418" w:header="709" w:footer="709" w:gutter="0"/>
          <w:pgNumType w:fmt="lowerRoman" w:start="2"/>
          <w:cols w:space="708"/>
          <w:docGrid w:linePitch="360"/>
        </w:sectPr>
      </w:pPr>
    </w:p>
    <w:bookmarkStart w:id="0" w:name="_Toc454355989" w:displacedByCustomXml="next"/>
    <w:bookmarkStart w:id="1" w:name="_Toc420928744" w:displacedByCustomXml="next"/>
    <w:bookmarkStart w:id="2" w:name="_Toc420921206" w:displacedByCustomXml="next"/>
    <w:bookmarkStart w:id="3" w:name="_Toc420884055" w:displacedByCustomXml="next"/>
    <w:bookmarkStart w:id="4" w:name="_Toc420883505" w:displacedByCustomXml="next"/>
    <w:bookmarkStart w:id="5" w:name="_Toc454984416" w:displacedByCustomXml="next"/>
    <w:bookmarkStart w:id="6" w:name="_Toc455046509" w:displacedByCustomXml="next"/>
    <w:sdt>
      <w:sdtPr>
        <w:rPr>
          <w:rFonts w:ascii="Times New Roman" w:hAnsi="Times New Roman"/>
          <w:b w:val="0"/>
          <w:bCs/>
          <w:noProof w:val="0"/>
          <w:sz w:val="24"/>
          <w:szCs w:val="24"/>
        </w:rPr>
        <w:id w:val="-1505884234"/>
        <w:docPartObj>
          <w:docPartGallery w:val="Table of Contents"/>
          <w:docPartUnique/>
        </w:docPartObj>
      </w:sdtPr>
      <w:sdtEndPr>
        <w:rPr>
          <w:rFonts w:asciiTheme="minorHAnsi" w:hAnsiTheme="minorHAnsi"/>
          <w:b/>
          <w:bCs w:val="0"/>
          <w:noProof/>
          <w:sz w:val="22"/>
          <w:szCs w:val="22"/>
        </w:rPr>
      </w:sdtEndPr>
      <w:sdtContent>
        <w:p w14:paraId="2E84778B" w14:textId="77777777" w:rsidR="00C06E8C" w:rsidRPr="00722403" w:rsidRDefault="00892ADC" w:rsidP="000E2DFC">
          <w:pPr>
            <w:pStyle w:val="TOC1"/>
            <w:rPr>
              <w:sz w:val="40"/>
              <w:szCs w:val="40"/>
            </w:rPr>
          </w:pPr>
          <w:r w:rsidRPr="00722403">
            <w:rPr>
              <w:sz w:val="40"/>
              <w:szCs w:val="40"/>
            </w:rPr>
            <w:t>Contents</w:t>
          </w:r>
          <w:bookmarkEnd w:id="6"/>
          <w:bookmarkEnd w:id="5"/>
          <w:bookmarkEnd w:id="4"/>
          <w:bookmarkEnd w:id="3"/>
          <w:bookmarkEnd w:id="2"/>
          <w:bookmarkEnd w:id="1"/>
          <w:bookmarkEnd w:id="0"/>
        </w:p>
        <w:p w14:paraId="2AEAE5E4" w14:textId="33401692" w:rsidR="0075599D" w:rsidRDefault="000B0A40">
          <w:pPr>
            <w:pStyle w:val="TOC1"/>
            <w:rPr>
              <w:rFonts w:eastAsiaTheme="minorEastAsia" w:cstheme="minorBidi"/>
              <w:b w:val="0"/>
            </w:rPr>
          </w:pPr>
          <w:r w:rsidRPr="007734A2">
            <w:rPr>
              <w:b w:val="0"/>
              <w:sz w:val="20"/>
              <w:szCs w:val="20"/>
            </w:rPr>
            <w:fldChar w:fldCharType="begin"/>
          </w:r>
          <w:r w:rsidRPr="007734A2">
            <w:rPr>
              <w:b w:val="0"/>
              <w:sz w:val="20"/>
              <w:szCs w:val="20"/>
            </w:rPr>
            <w:instrText xml:space="preserve"> TOC \o "1-2" </w:instrText>
          </w:r>
          <w:r w:rsidRPr="007734A2">
            <w:rPr>
              <w:b w:val="0"/>
              <w:sz w:val="20"/>
              <w:szCs w:val="20"/>
            </w:rPr>
            <w:fldChar w:fldCharType="separate"/>
          </w:r>
          <w:r w:rsidR="0075599D">
            <w:t>Acknowledgements</w:t>
          </w:r>
          <w:r w:rsidR="0075599D">
            <w:tab/>
          </w:r>
          <w:r w:rsidR="0075599D">
            <w:fldChar w:fldCharType="begin"/>
          </w:r>
          <w:r w:rsidR="0075599D">
            <w:instrText xml:space="preserve"> PAGEREF _Toc2070296 \h </w:instrText>
          </w:r>
          <w:r w:rsidR="0075599D">
            <w:fldChar w:fldCharType="separate"/>
          </w:r>
          <w:r w:rsidR="00E84B13">
            <w:t>i</w:t>
          </w:r>
          <w:r w:rsidR="0075599D">
            <w:fldChar w:fldCharType="end"/>
          </w:r>
        </w:p>
        <w:p w14:paraId="108236DF" w14:textId="119373FB" w:rsidR="0075599D" w:rsidRDefault="0075599D">
          <w:pPr>
            <w:pStyle w:val="TOC1"/>
            <w:rPr>
              <w:rFonts w:eastAsiaTheme="minorEastAsia" w:cstheme="minorBidi"/>
              <w:b w:val="0"/>
            </w:rPr>
          </w:pPr>
          <w:r>
            <w:t>Abbreviations</w:t>
          </w:r>
          <w:r>
            <w:tab/>
          </w:r>
          <w:r>
            <w:fldChar w:fldCharType="begin"/>
          </w:r>
          <w:r>
            <w:instrText xml:space="preserve"> PAGEREF _Toc2070297 \h </w:instrText>
          </w:r>
          <w:r>
            <w:fldChar w:fldCharType="separate"/>
          </w:r>
          <w:r w:rsidR="00E84B13">
            <w:t>ii</w:t>
          </w:r>
          <w:r>
            <w:fldChar w:fldCharType="end"/>
          </w:r>
        </w:p>
        <w:p w14:paraId="6E7FB0B9" w14:textId="69EB20B6" w:rsidR="0075599D" w:rsidRDefault="0075599D">
          <w:pPr>
            <w:pStyle w:val="TOC1"/>
            <w:rPr>
              <w:rFonts w:eastAsiaTheme="minorEastAsia" w:cstheme="minorBidi"/>
              <w:b w:val="0"/>
            </w:rPr>
          </w:pPr>
          <w:r>
            <w:t>Glossary of Terms</w:t>
          </w:r>
          <w:r>
            <w:tab/>
          </w:r>
          <w:r>
            <w:fldChar w:fldCharType="begin"/>
          </w:r>
          <w:r>
            <w:instrText xml:space="preserve"> PAGEREF _Toc2070298 \h </w:instrText>
          </w:r>
          <w:r>
            <w:fldChar w:fldCharType="separate"/>
          </w:r>
          <w:r w:rsidR="00E84B13">
            <w:t>iii</w:t>
          </w:r>
          <w:r>
            <w:fldChar w:fldCharType="end"/>
          </w:r>
        </w:p>
        <w:p w14:paraId="33AB8D63" w14:textId="10A028E4" w:rsidR="0075599D" w:rsidRDefault="0075599D">
          <w:pPr>
            <w:pStyle w:val="TOC1"/>
            <w:rPr>
              <w:rFonts w:eastAsiaTheme="minorEastAsia" w:cstheme="minorBidi"/>
              <w:b w:val="0"/>
            </w:rPr>
          </w:pPr>
          <w:r>
            <w:t>Key Messages</w:t>
          </w:r>
          <w:bookmarkStart w:id="7" w:name="_GoBack"/>
          <w:bookmarkEnd w:id="7"/>
          <w:r>
            <w:tab/>
          </w:r>
          <w:r>
            <w:fldChar w:fldCharType="begin"/>
          </w:r>
          <w:r>
            <w:instrText xml:space="preserve"> PAGEREF _Toc2070299 \h </w:instrText>
          </w:r>
          <w:r>
            <w:fldChar w:fldCharType="separate"/>
          </w:r>
          <w:r w:rsidR="00E84B13">
            <w:t>1</w:t>
          </w:r>
          <w:r>
            <w:fldChar w:fldCharType="end"/>
          </w:r>
        </w:p>
        <w:p w14:paraId="575BE342" w14:textId="13E489CE" w:rsidR="0075599D" w:rsidRDefault="0075599D">
          <w:pPr>
            <w:pStyle w:val="TOC1"/>
            <w:rPr>
              <w:rFonts w:eastAsiaTheme="minorEastAsia" w:cstheme="minorBidi"/>
              <w:b w:val="0"/>
            </w:rPr>
          </w:pPr>
          <w:r>
            <w:t>1</w:t>
          </w:r>
          <w:r>
            <w:rPr>
              <w:rFonts w:eastAsiaTheme="minorEastAsia" w:cstheme="minorBidi"/>
              <w:b w:val="0"/>
            </w:rPr>
            <w:tab/>
          </w:r>
          <w:r>
            <w:t>Introduction and background to RUCS</w:t>
          </w:r>
          <w:r>
            <w:tab/>
          </w:r>
          <w:r>
            <w:fldChar w:fldCharType="begin"/>
          </w:r>
          <w:r>
            <w:instrText xml:space="preserve"> PAGEREF _Toc2070300 \h </w:instrText>
          </w:r>
          <w:r>
            <w:fldChar w:fldCharType="separate"/>
          </w:r>
          <w:r w:rsidR="00E84B13">
            <w:t>2</w:t>
          </w:r>
          <w:r>
            <w:fldChar w:fldCharType="end"/>
          </w:r>
        </w:p>
        <w:p w14:paraId="7B2A4213" w14:textId="7F3BF498" w:rsidR="0075599D" w:rsidRDefault="0075599D">
          <w:pPr>
            <w:pStyle w:val="TOC2"/>
            <w:rPr>
              <w:rFonts w:eastAsiaTheme="minorEastAsia" w:cstheme="minorBidi"/>
              <w:sz w:val="22"/>
              <w:szCs w:val="22"/>
            </w:rPr>
          </w:pPr>
          <w:r>
            <w:t>1.1</w:t>
          </w:r>
          <w:r>
            <w:rPr>
              <w:rFonts w:eastAsiaTheme="minorEastAsia" w:cstheme="minorBidi"/>
              <w:sz w:val="22"/>
              <w:szCs w:val="22"/>
            </w:rPr>
            <w:tab/>
          </w:r>
          <w:r>
            <w:t>Aims and objectives</w:t>
          </w:r>
          <w:r>
            <w:tab/>
          </w:r>
          <w:r>
            <w:fldChar w:fldCharType="begin"/>
          </w:r>
          <w:r>
            <w:instrText xml:space="preserve"> PAGEREF _Toc2070301 \h </w:instrText>
          </w:r>
          <w:r>
            <w:fldChar w:fldCharType="separate"/>
          </w:r>
          <w:r w:rsidR="00E84B13">
            <w:t>2</w:t>
          </w:r>
          <w:r>
            <w:fldChar w:fldCharType="end"/>
          </w:r>
        </w:p>
        <w:p w14:paraId="1F35D0B6" w14:textId="7BEE1F34" w:rsidR="0075599D" w:rsidRDefault="0075599D">
          <w:pPr>
            <w:pStyle w:val="TOC2"/>
            <w:rPr>
              <w:rFonts w:eastAsiaTheme="minorEastAsia" w:cstheme="minorBidi"/>
              <w:sz w:val="22"/>
              <w:szCs w:val="22"/>
            </w:rPr>
          </w:pPr>
          <w:r>
            <w:t>1.2</w:t>
          </w:r>
          <w:r>
            <w:rPr>
              <w:rFonts w:eastAsiaTheme="minorEastAsia" w:cstheme="minorBidi"/>
              <w:sz w:val="22"/>
              <w:szCs w:val="22"/>
            </w:rPr>
            <w:tab/>
          </w:r>
          <w:r>
            <w:t>Background and context</w:t>
          </w:r>
          <w:r>
            <w:tab/>
          </w:r>
          <w:r>
            <w:fldChar w:fldCharType="begin"/>
          </w:r>
          <w:r>
            <w:instrText xml:space="preserve"> PAGEREF _Toc2070302 \h </w:instrText>
          </w:r>
          <w:r>
            <w:fldChar w:fldCharType="separate"/>
          </w:r>
          <w:r w:rsidR="00E84B13">
            <w:t>2</w:t>
          </w:r>
          <w:r>
            <w:fldChar w:fldCharType="end"/>
          </w:r>
        </w:p>
        <w:p w14:paraId="6E9488B1" w14:textId="40DEFFD1" w:rsidR="0075599D" w:rsidRDefault="0075599D">
          <w:pPr>
            <w:pStyle w:val="TOC2"/>
            <w:rPr>
              <w:rFonts w:eastAsiaTheme="minorEastAsia" w:cstheme="minorBidi"/>
              <w:sz w:val="22"/>
              <w:szCs w:val="22"/>
            </w:rPr>
          </w:pPr>
          <w:r>
            <w:t>1.3</w:t>
          </w:r>
          <w:r>
            <w:rPr>
              <w:rFonts w:eastAsiaTheme="minorEastAsia" w:cstheme="minorBidi"/>
              <w:sz w:val="22"/>
              <w:szCs w:val="22"/>
            </w:rPr>
            <w:tab/>
          </w:r>
          <w:r>
            <w:t>A brief overview</w:t>
          </w:r>
          <w:r>
            <w:tab/>
          </w:r>
          <w:r>
            <w:fldChar w:fldCharType="begin"/>
          </w:r>
          <w:r>
            <w:instrText xml:space="preserve"> PAGEREF _Toc2070303 \h </w:instrText>
          </w:r>
          <w:r>
            <w:fldChar w:fldCharType="separate"/>
          </w:r>
          <w:r w:rsidR="00E84B13">
            <w:t>4</w:t>
          </w:r>
          <w:r>
            <w:fldChar w:fldCharType="end"/>
          </w:r>
        </w:p>
        <w:p w14:paraId="534CDF71" w14:textId="5B7B00AA" w:rsidR="0075599D" w:rsidRDefault="0075599D">
          <w:pPr>
            <w:pStyle w:val="TOC2"/>
            <w:rPr>
              <w:rFonts w:eastAsiaTheme="minorEastAsia" w:cstheme="minorBidi"/>
              <w:sz w:val="22"/>
              <w:szCs w:val="22"/>
            </w:rPr>
          </w:pPr>
          <w:r>
            <w:t>1.4</w:t>
          </w:r>
          <w:r>
            <w:rPr>
              <w:rFonts w:eastAsiaTheme="minorEastAsia" w:cstheme="minorBidi"/>
              <w:sz w:val="22"/>
              <w:szCs w:val="22"/>
            </w:rPr>
            <w:tab/>
          </w:r>
          <w:r>
            <w:t>Ethical approval</w:t>
          </w:r>
          <w:r>
            <w:tab/>
          </w:r>
          <w:r>
            <w:fldChar w:fldCharType="begin"/>
          </w:r>
          <w:r>
            <w:instrText xml:space="preserve"> PAGEREF _Toc2070304 \h </w:instrText>
          </w:r>
          <w:r>
            <w:fldChar w:fldCharType="separate"/>
          </w:r>
          <w:r w:rsidR="00E84B13">
            <w:t>5</w:t>
          </w:r>
          <w:r>
            <w:fldChar w:fldCharType="end"/>
          </w:r>
        </w:p>
        <w:p w14:paraId="4724D6AE" w14:textId="4FBD6F29" w:rsidR="0075599D" w:rsidRDefault="0075599D">
          <w:pPr>
            <w:pStyle w:val="TOC1"/>
            <w:rPr>
              <w:rFonts w:eastAsiaTheme="minorEastAsia" w:cstheme="minorBidi"/>
              <w:b w:val="0"/>
            </w:rPr>
          </w:pPr>
          <w:r>
            <w:t>2</w:t>
          </w:r>
          <w:r>
            <w:rPr>
              <w:rFonts w:eastAsiaTheme="minorEastAsia" w:cstheme="minorBidi"/>
              <w:b w:val="0"/>
            </w:rPr>
            <w:tab/>
          </w:r>
          <w:r>
            <w:t>The RUCS Service Utilisation and Classification Development Study (Study One) – Study Design</w:t>
          </w:r>
          <w:r>
            <w:tab/>
          </w:r>
          <w:r>
            <w:fldChar w:fldCharType="begin"/>
          </w:r>
          <w:r>
            <w:instrText xml:space="preserve"> PAGEREF _Toc2070305 \h </w:instrText>
          </w:r>
          <w:r>
            <w:fldChar w:fldCharType="separate"/>
          </w:r>
          <w:r w:rsidR="00E84B13">
            <w:t>6</w:t>
          </w:r>
          <w:r>
            <w:fldChar w:fldCharType="end"/>
          </w:r>
        </w:p>
        <w:p w14:paraId="6B4CA8E0" w14:textId="0BBFDBF8" w:rsidR="0075599D" w:rsidRDefault="0075599D">
          <w:pPr>
            <w:pStyle w:val="TOC2"/>
            <w:rPr>
              <w:rFonts w:eastAsiaTheme="minorEastAsia" w:cstheme="minorBidi"/>
              <w:sz w:val="22"/>
              <w:szCs w:val="22"/>
            </w:rPr>
          </w:pPr>
          <w:r>
            <w:t>2.1</w:t>
          </w:r>
          <w:r>
            <w:rPr>
              <w:rFonts w:eastAsiaTheme="minorEastAsia" w:cstheme="minorBidi"/>
              <w:sz w:val="22"/>
              <w:szCs w:val="22"/>
            </w:rPr>
            <w:tab/>
          </w:r>
          <w:r>
            <w:t>Study One – Overview</w:t>
          </w:r>
          <w:r>
            <w:tab/>
          </w:r>
          <w:r>
            <w:fldChar w:fldCharType="begin"/>
          </w:r>
          <w:r>
            <w:instrText xml:space="preserve"> PAGEREF _Toc2070306 \h </w:instrText>
          </w:r>
          <w:r>
            <w:fldChar w:fldCharType="separate"/>
          </w:r>
          <w:r w:rsidR="00E84B13">
            <w:t>6</w:t>
          </w:r>
          <w:r>
            <w:fldChar w:fldCharType="end"/>
          </w:r>
        </w:p>
        <w:p w14:paraId="76F78724" w14:textId="29680BCB" w:rsidR="0075599D" w:rsidRDefault="0075599D">
          <w:pPr>
            <w:pStyle w:val="TOC2"/>
            <w:rPr>
              <w:rFonts w:eastAsiaTheme="minorEastAsia" w:cstheme="minorBidi"/>
              <w:sz w:val="22"/>
              <w:szCs w:val="22"/>
            </w:rPr>
          </w:pPr>
          <w:r>
            <w:t>2.2</w:t>
          </w:r>
          <w:r>
            <w:rPr>
              <w:rFonts w:eastAsiaTheme="minorEastAsia" w:cstheme="minorBidi"/>
              <w:sz w:val="22"/>
              <w:szCs w:val="22"/>
            </w:rPr>
            <w:tab/>
          </w:r>
          <w:r>
            <w:t>Sampling</w:t>
          </w:r>
          <w:r>
            <w:tab/>
          </w:r>
          <w:r>
            <w:fldChar w:fldCharType="begin"/>
          </w:r>
          <w:r>
            <w:instrText xml:space="preserve"> PAGEREF _Toc2070307 \h </w:instrText>
          </w:r>
          <w:r>
            <w:fldChar w:fldCharType="separate"/>
          </w:r>
          <w:r w:rsidR="00E84B13">
            <w:t>7</w:t>
          </w:r>
          <w:r>
            <w:fldChar w:fldCharType="end"/>
          </w:r>
        </w:p>
        <w:p w14:paraId="11087454" w14:textId="6DD20132" w:rsidR="0075599D" w:rsidRDefault="0075599D">
          <w:pPr>
            <w:pStyle w:val="TOC2"/>
            <w:rPr>
              <w:rFonts w:eastAsiaTheme="minorEastAsia" w:cstheme="minorBidi"/>
              <w:sz w:val="22"/>
              <w:szCs w:val="22"/>
            </w:rPr>
          </w:pPr>
          <w:r>
            <w:t>2.3</w:t>
          </w:r>
          <w:r>
            <w:rPr>
              <w:rFonts w:eastAsiaTheme="minorEastAsia" w:cstheme="minorBidi"/>
              <w:sz w:val="22"/>
              <w:szCs w:val="22"/>
            </w:rPr>
            <w:tab/>
          </w:r>
          <w:r>
            <w:t>Clinical data collection design</w:t>
          </w:r>
          <w:r>
            <w:tab/>
          </w:r>
          <w:r>
            <w:fldChar w:fldCharType="begin"/>
          </w:r>
          <w:r>
            <w:instrText xml:space="preserve"> PAGEREF _Toc2070308 \h </w:instrText>
          </w:r>
          <w:r>
            <w:fldChar w:fldCharType="separate"/>
          </w:r>
          <w:r w:rsidR="00E84B13">
            <w:t>8</w:t>
          </w:r>
          <w:r>
            <w:fldChar w:fldCharType="end"/>
          </w:r>
        </w:p>
        <w:p w14:paraId="0C6384EC" w14:textId="7F0040FB" w:rsidR="0075599D" w:rsidRDefault="0075599D">
          <w:pPr>
            <w:pStyle w:val="TOC2"/>
            <w:rPr>
              <w:rFonts w:eastAsiaTheme="minorEastAsia" w:cstheme="minorBidi"/>
              <w:sz w:val="22"/>
              <w:szCs w:val="22"/>
            </w:rPr>
          </w:pPr>
          <w:r>
            <w:t>2.4</w:t>
          </w:r>
          <w:r>
            <w:rPr>
              <w:rFonts w:eastAsiaTheme="minorEastAsia" w:cstheme="minorBidi"/>
              <w:sz w:val="22"/>
              <w:szCs w:val="22"/>
            </w:rPr>
            <w:tab/>
          </w:r>
          <w:r>
            <w:t>Service utilisation data collection design</w:t>
          </w:r>
          <w:r>
            <w:tab/>
          </w:r>
          <w:r>
            <w:fldChar w:fldCharType="begin"/>
          </w:r>
          <w:r>
            <w:instrText xml:space="preserve"> PAGEREF _Toc2070309 \h </w:instrText>
          </w:r>
          <w:r>
            <w:fldChar w:fldCharType="separate"/>
          </w:r>
          <w:r w:rsidR="00E84B13">
            <w:t>10</w:t>
          </w:r>
          <w:r>
            <w:fldChar w:fldCharType="end"/>
          </w:r>
        </w:p>
        <w:p w14:paraId="60EF135F" w14:textId="23A6EE83" w:rsidR="0075599D" w:rsidRDefault="0075599D">
          <w:pPr>
            <w:pStyle w:val="TOC2"/>
            <w:rPr>
              <w:rFonts w:eastAsiaTheme="minorEastAsia" w:cstheme="minorBidi"/>
              <w:sz w:val="22"/>
              <w:szCs w:val="22"/>
            </w:rPr>
          </w:pPr>
          <w:r>
            <w:t>2.5</w:t>
          </w:r>
          <w:r>
            <w:rPr>
              <w:rFonts w:eastAsiaTheme="minorEastAsia" w:cstheme="minorBidi"/>
              <w:sz w:val="22"/>
              <w:szCs w:val="22"/>
            </w:rPr>
            <w:tab/>
          </w:r>
          <w:r>
            <w:t>Financial data collection design</w:t>
          </w:r>
          <w:r>
            <w:tab/>
          </w:r>
          <w:r>
            <w:fldChar w:fldCharType="begin"/>
          </w:r>
          <w:r>
            <w:instrText xml:space="preserve"> PAGEREF _Toc2070310 \h </w:instrText>
          </w:r>
          <w:r>
            <w:fldChar w:fldCharType="separate"/>
          </w:r>
          <w:r w:rsidR="00E84B13">
            <w:t>10</w:t>
          </w:r>
          <w:r>
            <w:fldChar w:fldCharType="end"/>
          </w:r>
        </w:p>
        <w:p w14:paraId="4EC701D9" w14:textId="14D087B3" w:rsidR="0075599D" w:rsidRDefault="0075599D">
          <w:pPr>
            <w:pStyle w:val="TOC1"/>
            <w:rPr>
              <w:rFonts w:eastAsiaTheme="minorEastAsia" w:cstheme="minorBidi"/>
              <w:b w:val="0"/>
            </w:rPr>
          </w:pPr>
          <w:r>
            <w:t>3</w:t>
          </w:r>
          <w:r>
            <w:rPr>
              <w:rFonts w:eastAsiaTheme="minorEastAsia" w:cstheme="minorBidi"/>
              <w:b w:val="0"/>
            </w:rPr>
            <w:tab/>
          </w:r>
          <w:r>
            <w:t>Data collection</w:t>
          </w:r>
          <w:r>
            <w:tab/>
          </w:r>
          <w:r>
            <w:fldChar w:fldCharType="begin"/>
          </w:r>
          <w:r>
            <w:instrText xml:space="preserve"> PAGEREF _Toc2070311 \h </w:instrText>
          </w:r>
          <w:r>
            <w:fldChar w:fldCharType="separate"/>
          </w:r>
          <w:r w:rsidR="00E84B13">
            <w:t>12</w:t>
          </w:r>
          <w:r>
            <w:fldChar w:fldCharType="end"/>
          </w:r>
        </w:p>
        <w:p w14:paraId="439EAF9C" w14:textId="59D63E45" w:rsidR="0075599D" w:rsidRDefault="0075599D">
          <w:pPr>
            <w:pStyle w:val="TOC2"/>
            <w:rPr>
              <w:rFonts w:eastAsiaTheme="minorEastAsia" w:cstheme="minorBidi"/>
              <w:sz w:val="22"/>
              <w:szCs w:val="22"/>
            </w:rPr>
          </w:pPr>
          <w:r>
            <w:t>3.1</w:t>
          </w:r>
          <w:r>
            <w:rPr>
              <w:rFonts w:eastAsiaTheme="minorEastAsia" w:cstheme="minorBidi"/>
              <w:sz w:val="22"/>
              <w:szCs w:val="22"/>
            </w:rPr>
            <w:tab/>
          </w:r>
          <w:r>
            <w:t>RUCS Assessment Tool collection</w:t>
          </w:r>
          <w:r>
            <w:tab/>
          </w:r>
          <w:r>
            <w:fldChar w:fldCharType="begin"/>
          </w:r>
          <w:r>
            <w:instrText xml:space="preserve"> PAGEREF _Toc2070312 \h </w:instrText>
          </w:r>
          <w:r>
            <w:fldChar w:fldCharType="separate"/>
          </w:r>
          <w:r w:rsidR="00E84B13">
            <w:t>12</w:t>
          </w:r>
          <w:r>
            <w:fldChar w:fldCharType="end"/>
          </w:r>
        </w:p>
        <w:p w14:paraId="39C3BBFA" w14:textId="5A2BDA4A" w:rsidR="0075599D" w:rsidRDefault="0075599D">
          <w:pPr>
            <w:pStyle w:val="TOC2"/>
            <w:rPr>
              <w:rFonts w:eastAsiaTheme="minorEastAsia" w:cstheme="minorBidi"/>
              <w:sz w:val="22"/>
              <w:szCs w:val="22"/>
            </w:rPr>
          </w:pPr>
          <w:r>
            <w:t>3.2</w:t>
          </w:r>
          <w:r>
            <w:rPr>
              <w:rFonts w:eastAsiaTheme="minorEastAsia" w:cstheme="minorBidi"/>
              <w:sz w:val="22"/>
              <w:szCs w:val="22"/>
            </w:rPr>
            <w:tab/>
          </w:r>
          <w:r>
            <w:t>Service utilisation data collection</w:t>
          </w:r>
          <w:r>
            <w:tab/>
          </w:r>
          <w:r>
            <w:fldChar w:fldCharType="begin"/>
          </w:r>
          <w:r>
            <w:instrText xml:space="preserve"> PAGEREF _Toc2070313 \h </w:instrText>
          </w:r>
          <w:r>
            <w:fldChar w:fldCharType="separate"/>
          </w:r>
          <w:r w:rsidR="00E84B13">
            <w:t>12</w:t>
          </w:r>
          <w:r>
            <w:fldChar w:fldCharType="end"/>
          </w:r>
        </w:p>
        <w:p w14:paraId="250F4A87" w14:textId="544DB432" w:rsidR="0075599D" w:rsidRDefault="0075599D">
          <w:pPr>
            <w:pStyle w:val="TOC1"/>
            <w:rPr>
              <w:rFonts w:eastAsiaTheme="minorEastAsia" w:cstheme="minorBidi"/>
              <w:b w:val="0"/>
            </w:rPr>
          </w:pPr>
          <w:r>
            <w:t>4</w:t>
          </w:r>
          <w:r>
            <w:rPr>
              <w:rFonts w:eastAsiaTheme="minorEastAsia" w:cstheme="minorBidi"/>
              <w:b w:val="0"/>
            </w:rPr>
            <w:tab/>
          </w:r>
          <w:r>
            <w:t>Preparatory analysis</w:t>
          </w:r>
          <w:r>
            <w:tab/>
          </w:r>
          <w:r>
            <w:fldChar w:fldCharType="begin"/>
          </w:r>
          <w:r>
            <w:instrText xml:space="preserve"> PAGEREF _Toc2070314 \h </w:instrText>
          </w:r>
          <w:r>
            <w:fldChar w:fldCharType="separate"/>
          </w:r>
          <w:r w:rsidR="00E84B13">
            <w:t>14</w:t>
          </w:r>
          <w:r>
            <w:fldChar w:fldCharType="end"/>
          </w:r>
        </w:p>
        <w:p w14:paraId="56AAD550" w14:textId="5227DB5F" w:rsidR="0075599D" w:rsidRDefault="0075599D">
          <w:pPr>
            <w:pStyle w:val="TOC2"/>
            <w:rPr>
              <w:rFonts w:eastAsiaTheme="minorEastAsia" w:cstheme="minorBidi"/>
              <w:sz w:val="22"/>
              <w:szCs w:val="22"/>
            </w:rPr>
          </w:pPr>
          <w:r>
            <w:t>4.1</w:t>
          </w:r>
          <w:r>
            <w:rPr>
              <w:rFonts w:eastAsiaTheme="minorEastAsia" w:cstheme="minorBidi"/>
              <w:sz w:val="22"/>
              <w:szCs w:val="22"/>
            </w:rPr>
            <w:tab/>
          </w:r>
          <w:r>
            <w:t>Preparation of the clinical assessment data</w:t>
          </w:r>
          <w:r>
            <w:tab/>
          </w:r>
          <w:r>
            <w:fldChar w:fldCharType="begin"/>
          </w:r>
          <w:r>
            <w:instrText xml:space="preserve"> PAGEREF _Toc2070315 \h </w:instrText>
          </w:r>
          <w:r>
            <w:fldChar w:fldCharType="separate"/>
          </w:r>
          <w:r w:rsidR="00E84B13">
            <w:t>14</w:t>
          </w:r>
          <w:r>
            <w:fldChar w:fldCharType="end"/>
          </w:r>
        </w:p>
        <w:p w14:paraId="72C647B5" w14:textId="4AFBAD34" w:rsidR="0075599D" w:rsidRDefault="0075599D">
          <w:pPr>
            <w:pStyle w:val="TOC2"/>
            <w:rPr>
              <w:rFonts w:eastAsiaTheme="minorEastAsia" w:cstheme="minorBidi"/>
              <w:sz w:val="22"/>
              <w:szCs w:val="22"/>
            </w:rPr>
          </w:pPr>
          <w:r>
            <w:t>4.2</w:t>
          </w:r>
          <w:r>
            <w:rPr>
              <w:rFonts w:eastAsiaTheme="minorEastAsia" w:cstheme="minorBidi"/>
              <w:sz w:val="22"/>
              <w:szCs w:val="22"/>
            </w:rPr>
            <w:tab/>
          </w:r>
          <w:r>
            <w:t>Preparation of the service utilisation data</w:t>
          </w:r>
          <w:r>
            <w:tab/>
          </w:r>
          <w:r>
            <w:fldChar w:fldCharType="begin"/>
          </w:r>
          <w:r>
            <w:instrText xml:space="preserve"> PAGEREF _Toc2070316 \h </w:instrText>
          </w:r>
          <w:r>
            <w:fldChar w:fldCharType="separate"/>
          </w:r>
          <w:r w:rsidR="00E84B13">
            <w:t>15</w:t>
          </w:r>
          <w:r>
            <w:fldChar w:fldCharType="end"/>
          </w:r>
        </w:p>
        <w:p w14:paraId="3BB9EF4D" w14:textId="461A40A9" w:rsidR="0075599D" w:rsidRDefault="0075599D">
          <w:pPr>
            <w:pStyle w:val="TOC2"/>
            <w:rPr>
              <w:rFonts w:eastAsiaTheme="minorEastAsia" w:cstheme="minorBidi"/>
              <w:sz w:val="22"/>
              <w:szCs w:val="22"/>
            </w:rPr>
          </w:pPr>
          <w:r>
            <w:t>4.3</w:t>
          </w:r>
          <w:r>
            <w:rPr>
              <w:rFonts w:eastAsiaTheme="minorEastAsia" w:cstheme="minorBidi"/>
              <w:sz w:val="22"/>
              <w:szCs w:val="22"/>
            </w:rPr>
            <w:tab/>
          </w:r>
          <w:r>
            <w:t>Data linkage</w:t>
          </w:r>
          <w:r>
            <w:tab/>
          </w:r>
          <w:r>
            <w:fldChar w:fldCharType="begin"/>
          </w:r>
          <w:r>
            <w:instrText xml:space="preserve"> PAGEREF _Toc2070317 \h </w:instrText>
          </w:r>
          <w:r>
            <w:fldChar w:fldCharType="separate"/>
          </w:r>
          <w:r w:rsidR="00E84B13">
            <w:t>18</w:t>
          </w:r>
          <w:r>
            <w:fldChar w:fldCharType="end"/>
          </w:r>
        </w:p>
        <w:p w14:paraId="671E433F" w14:textId="511C2A56" w:rsidR="0075599D" w:rsidRDefault="0075599D">
          <w:pPr>
            <w:pStyle w:val="TOC1"/>
            <w:rPr>
              <w:rFonts w:eastAsiaTheme="minorEastAsia" w:cstheme="minorBidi"/>
              <w:b w:val="0"/>
            </w:rPr>
          </w:pPr>
          <w:r>
            <w:t>5</w:t>
          </w:r>
          <w:r>
            <w:rPr>
              <w:rFonts w:eastAsiaTheme="minorEastAsia" w:cstheme="minorBidi"/>
              <w:b w:val="0"/>
            </w:rPr>
            <w:tab/>
          </w:r>
          <w:r>
            <w:t>The Study One resident assessment dataset: Descriptive analysis</w:t>
          </w:r>
          <w:r>
            <w:tab/>
          </w:r>
          <w:r>
            <w:fldChar w:fldCharType="begin"/>
          </w:r>
          <w:r>
            <w:instrText xml:space="preserve"> PAGEREF _Toc2070318 \h </w:instrText>
          </w:r>
          <w:r>
            <w:fldChar w:fldCharType="separate"/>
          </w:r>
          <w:r w:rsidR="00E84B13">
            <w:t>19</w:t>
          </w:r>
          <w:r>
            <w:fldChar w:fldCharType="end"/>
          </w:r>
        </w:p>
        <w:p w14:paraId="0F06C5C5" w14:textId="155D1CE4" w:rsidR="0075599D" w:rsidRDefault="0075599D">
          <w:pPr>
            <w:pStyle w:val="TOC2"/>
            <w:rPr>
              <w:rFonts w:eastAsiaTheme="minorEastAsia" w:cstheme="minorBidi"/>
              <w:sz w:val="22"/>
              <w:szCs w:val="22"/>
            </w:rPr>
          </w:pPr>
          <w:r>
            <w:t>5.1</w:t>
          </w:r>
          <w:r>
            <w:rPr>
              <w:rFonts w:eastAsiaTheme="minorEastAsia" w:cstheme="minorBidi"/>
              <w:sz w:val="22"/>
              <w:szCs w:val="22"/>
            </w:rPr>
            <w:tab/>
          </w:r>
          <w:r>
            <w:t>Resource Utilisation Groups – Activities of Daily Living (RUG-ADL)</w:t>
          </w:r>
          <w:r>
            <w:tab/>
          </w:r>
          <w:r>
            <w:fldChar w:fldCharType="begin"/>
          </w:r>
          <w:r>
            <w:instrText xml:space="preserve"> PAGEREF _Toc2070319 \h </w:instrText>
          </w:r>
          <w:r>
            <w:fldChar w:fldCharType="separate"/>
          </w:r>
          <w:r w:rsidR="00E84B13">
            <w:t>19</w:t>
          </w:r>
          <w:r>
            <w:fldChar w:fldCharType="end"/>
          </w:r>
        </w:p>
        <w:p w14:paraId="11DDD00A" w14:textId="58A35AF4" w:rsidR="0075599D" w:rsidRDefault="0075599D">
          <w:pPr>
            <w:pStyle w:val="TOC2"/>
            <w:rPr>
              <w:rFonts w:eastAsiaTheme="minorEastAsia" w:cstheme="minorBidi"/>
              <w:sz w:val="22"/>
              <w:szCs w:val="22"/>
            </w:rPr>
          </w:pPr>
          <w:r>
            <w:t>5.2</w:t>
          </w:r>
          <w:r>
            <w:rPr>
              <w:rFonts w:eastAsiaTheme="minorEastAsia" w:cstheme="minorBidi"/>
              <w:sz w:val="22"/>
              <w:szCs w:val="22"/>
            </w:rPr>
            <w:tab/>
          </w:r>
          <w:r>
            <w:t>The Australia-modified Karnofsky Performance Status (AKPS)</w:t>
          </w:r>
          <w:r>
            <w:tab/>
          </w:r>
          <w:r>
            <w:fldChar w:fldCharType="begin"/>
          </w:r>
          <w:r>
            <w:instrText xml:space="preserve"> PAGEREF _Toc2070320 \h </w:instrText>
          </w:r>
          <w:r>
            <w:fldChar w:fldCharType="separate"/>
          </w:r>
          <w:r w:rsidR="00E84B13">
            <w:t>20</w:t>
          </w:r>
          <w:r>
            <w:fldChar w:fldCharType="end"/>
          </w:r>
        </w:p>
        <w:p w14:paraId="0582CF53" w14:textId="2C344D52" w:rsidR="0075599D" w:rsidRDefault="0075599D">
          <w:pPr>
            <w:pStyle w:val="TOC2"/>
            <w:rPr>
              <w:rFonts w:eastAsiaTheme="minorEastAsia" w:cstheme="minorBidi"/>
              <w:sz w:val="22"/>
              <w:szCs w:val="22"/>
            </w:rPr>
          </w:pPr>
          <w:r>
            <w:t>5.3</w:t>
          </w:r>
          <w:r>
            <w:rPr>
              <w:rFonts w:eastAsiaTheme="minorEastAsia" w:cstheme="minorBidi"/>
              <w:sz w:val="22"/>
              <w:szCs w:val="22"/>
            </w:rPr>
            <w:tab/>
          </w:r>
          <w:r>
            <w:t>Rockwood Clinical Frailty Scale</w:t>
          </w:r>
          <w:r>
            <w:tab/>
          </w:r>
          <w:r>
            <w:fldChar w:fldCharType="begin"/>
          </w:r>
          <w:r>
            <w:instrText xml:space="preserve"> PAGEREF _Toc2070321 \h </w:instrText>
          </w:r>
          <w:r>
            <w:fldChar w:fldCharType="separate"/>
          </w:r>
          <w:r w:rsidR="00E84B13">
            <w:t>20</w:t>
          </w:r>
          <w:r>
            <w:fldChar w:fldCharType="end"/>
          </w:r>
        </w:p>
        <w:p w14:paraId="065865C4" w14:textId="6ED312AA" w:rsidR="0075599D" w:rsidRDefault="0075599D">
          <w:pPr>
            <w:pStyle w:val="TOC2"/>
            <w:rPr>
              <w:rFonts w:eastAsiaTheme="minorEastAsia" w:cstheme="minorBidi"/>
              <w:sz w:val="22"/>
              <w:szCs w:val="22"/>
            </w:rPr>
          </w:pPr>
          <w:r>
            <w:t>5.4</w:t>
          </w:r>
          <w:r>
            <w:rPr>
              <w:rFonts w:eastAsiaTheme="minorEastAsia" w:cstheme="minorBidi"/>
              <w:sz w:val="22"/>
              <w:szCs w:val="22"/>
            </w:rPr>
            <w:tab/>
          </w:r>
          <w:r>
            <w:t>Braden Scale</w:t>
          </w:r>
          <w:r>
            <w:tab/>
          </w:r>
          <w:r>
            <w:fldChar w:fldCharType="begin"/>
          </w:r>
          <w:r>
            <w:instrText xml:space="preserve"> PAGEREF _Toc2070322 \h </w:instrText>
          </w:r>
          <w:r>
            <w:fldChar w:fldCharType="separate"/>
          </w:r>
          <w:r w:rsidR="00E84B13">
            <w:t>23</w:t>
          </w:r>
          <w:r>
            <w:fldChar w:fldCharType="end"/>
          </w:r>
        </w:p>
        <w:p w14:paraId="0844D60A" w14:textId="71DA607E" w:rsidR="0075599D" w:rsidRDefault="0075599D">
          <w:pPr>
            <w:pStyle w:val="TOC2"/>
            <w:rPr>
              <w:rFonts w:eastAsiaTheme="minorEastAsia" w:cstheme="minorBidi"/>
              <w:sz w:val="22"/>
              <w:szCs w:val="22"/>
            </w:rPr>
          </w:pPr>
          <w:r>
            <w:t>5.5</w:t>
          </w:r>
          <w:r>
            <w:rPr>
              <w:rFonts w:eastAsiaTheme="minorEastAsia" w:cstheme="minorBidi"/>
              <w:sz w:val="22"/>
              <w:szCs w:val="22"/>
            </w:rPr>
            <w:tab/>
          </w:r>
          <w:r>
            <w:t>The De Morton Mobility Index (DEMMI) - Modified</w:t>
          </w:r>
          <w:r>
            <w:tab/>
          </w:r>
          <w:r>
            <w:fldChar w:fldCharType="begin"/>
          </w:r>
          <w:r>
            <w:instrText xml:space="preserve"> PAGEREF _Toc2070323 \h </w:instrText>
          </w:r>
          <w:r>
            <w:fldChar w:fldCharType="separate"/>
          </w:r>
          <w:r w:rsidR="00E84B13">
            <w:t>26</w:t>
          </w:r>
          <w:r>
            <w:fldChar w:fldCharType="end"/>
          </w:r>
        </w:p>
        <w:p w14:paraId="53D3FC32" w14:textId="6EFE0014" w:rsidR="0075599D" w:rsidRDefault="0075599D">
          <w:pPr>
            <w:pStyle w:val="TOC2"/>
            <w:rPr>
              <w:rFonts w:eastAsiaTheme="minorEastAsia" w:cstheme="minorBidi"/>
              <w:sz w:val="22"/>
              <w:szCs w:val="22"/>
            </w:rPr>
          </w:pPr>
          <w:r>
            <w:t>5.6</w:t>
          </w:r>
          <w:r>
            <w:rPr>
              <w:rFonts w:eastAsiaTheme="minorEastAsia" w:cstheme="minorBidi"/>
              <w:sz w:val="22"/>
              <w:szCs w:val="22"/>
            </w:rPr>
            <w:tab/>
          </w:r>
          <w:r>
            <w:t>The Australian Modified Functional Independence Measure (AM-FIM)</w:t>
          </w:r>
          <w:r>
            <w:tab/>
          </w:r>
          <w:r>
            <w:fldChar w:fldCharType="begin"/>
          </w:r>
          <w:r>
            <w:instrText xml:space="preserve"> PAGEREF _Toc2070324 \h </w:instrText>
          </w:r>
          <w:r>
            <w:fldChar w:fldCharType="separate"/>
          </w:r>
          <w:r w:rsidR="00E84B13">
            <w:t>28</w:t>
          </w:r>
          <w:r>
            <w:fldChar w:fldCharType="end"/>
          </w:r>
        </w:p>
        <w:p w14:paraId="067EFDB5" w14:textId="79ACA221" w:rsidR="0075599D" w:rsidRDefault="0075599D">
          <w:pPr>
            <w:pStyle w:val="TOC2"/>
            <w:rPr>
              <w:rFonts w:eastAsiaTheme="minorEastAsia" w:cstheme="minorBidi"/>
              <w:sz w:val="22"/>
              <w:szCs w:val="22"/>
            </w:rPr>
          </w:pPr>
          <w:r>
            <w:t>5.7</w:t>
          </w:r>
          <w:r>
            <w:rPr>
              <w:rFonts w:eastAsiaTheme="minorEastAsia" w:cstheme="minorBidi"/>
              <w:sz w:val="22"/>
              <w:szCs w:val="22"/>
            </w:rPr>
            <w:tab/>
          </w:r>
          <w:r>
            <w:t>Neuropsychiatric Inventory – Nursing Home version (NPI-NH)</w:t>
          </w:r>
          <w:r>
            <w:tab/>
          </w:r>
          <w:r>
            <w:fldChar w:fldCharType="begin"/>
          </w:r>
          <w:r>
            <w:instrText xml:space="preserve"> PAGEREF _Toc2070325 \h </w:instrText>
          </w:r>
          <w:r>
            <w:fldChar w:fldCharType="separate"/>
          </w:r>
          <w:r w:rsidR="00E84B13">
            <w:t>29</w:t>
          </w:r>
          <w:r>
            <w:fldChar w:fldCharType="end"/>
          </w:r>
        </w:p>
        <w:p w14:paraId="50D7BFAD" w14:textId="750EE118" w:rsidR="0075599D" w:rsidRDefault="0075599D">
          <w:pPr>
            <w:pStyle w:val="TOC2"/>
            <w:rPr>
              <w:rFonts w:eastAsiaTheme="minorEastAsia" w:cstheme="minorBidi"/>
              <w:sz w:val="22"/>
              <w:szCs w:val="22"/>
            </w:rPr>
          </w:pPr>
          <w:r>
            <w:t>5.8</w:t>
          </w:r>
          <w:r>
            <w:rPr>
              <w:rFonts w:eastAsiaTheme="minorEastAsia" w:cstheme="minorBidi"/>
              <w:sz w:val="22"/>
              <w:szCs w:val="22"/>
            </w:rPr>
            <w:tab/>
          </w:r>
          <w:r>
            <w:t>Agreement between assessment tools</w:t>
          </w:r>
          <w:r>
            <w:tab/>
          </w:r>
          <w:r>
            <w:fldChar w:fldCharType="begin"/>
          </w:r>
          <w:r>
            <w:instrText xml:space="preserve"> PAGEREF _Toc2070326 \h </w:instrText>
          </w:r>
          <w:r>
            <w:fldChar w:fldCharType="separate"/>
          </w:r>
          <w:r w:rsidR="00E84B13">
            <w:t>31</w:t>
          </w:r>
          <w:r>
            <w:fldChar w:fldCharType="end"/>
          </w:r>
        </w:p>
        <w:p w14:paraId="7FE12F27" w14:textId="283D2B62" w:rsidR="0075599D" w:rsidRDefault="0075599D">
          <w:pPr>
            <w:pStyle w:val="TOC1"/>
            <w:rPr>
              <w:rFonts w:eastAsiaTheme="minorEastAsia" w:cstheme="minorBidi"/>
              <w:b w:val="0"/>
            </w:rPr>
          </w:pPr>
          <w:r>
            <w:t>6</w:t>
          </w:r>
          <w:r>
            <w:rPr>
              <w:rFonts w:eastAsiaTheme="minorEastAsia" w:cstheme="minorBidi"/>
              <w:b w:val="0"/>
            </w:rPr>
            <w:tab/>
          </w:r>
          <w:r>
            <w:t>Classification development</w:t>
          </w:r>
          <w:r>
            <w:tab/>
          </w:r>
          <w:r>
            <w:fldChar w:fldCharType="begin"/>
          </w:r>
          <w:r>
            <w:instrText xml:space="preserve"> PAGEREF _Toc2070327 \h </w:instrText>
          </w:r>
          <w:r>
            <w:fldChar w:fldCharType="separate"/>
          </w:r>
          <w:r w:rsidR="00E84B13">
            <w:t>33</w:t>
          </w:r>
          <w:r>
            <w:fldChar w:fldCharType="end"/>
          </w:r>
        </w:p>
        <w:p w14:paraId="7CDAED2A" w14:textId="5D6E88EC" w:rsidR="0075599D" w:rsidRDefault="0075599D">
          <w:pPr>
            <w:pStyle w:val="TOC2"/>
            <w:rPr>
              <w:rFonts w:eastAsiaTheme="minorEastAsia" w:cstheme="minorBidi"/>
              <w:sz w:val="22"/>
              <w:szCs w:val="22"/>
            </w:rPr>
          </w:pPr>
          <w:r w:rsidRPr="00586B72">
            <w:rPr>
              <w:rFonts w:eastAsiaTheme="minorHAnsi" w:cstheme="minorBidi"/>
              <w:lang w:eastAsia="en-US"/>
            </w:rPr>
            <w:t>6.1</w:t>
          </w:r>
          <w:r>
            <w:rPr>
              <w:rFonts w:eastAsiaTheme="minorEastAsia" w:cstheme="minorBidi"/>
              <w:sz w:val="22"/>
              <w:szCs w:val="22"/>
            </w:rPr>
            <w:tab/>
          </w:r>
          <w:r>
            <w:rPr>
              <w:lang w:eastAsia="en-US"/>
            </w:rPr>
            <w:t>Design principles</w:t>
          </w:r>
          <w:r>
            <w:tab/>
          </w:r>
          <w:r>
            <w:fldChar w:fldCharType="begin"/>
          </w:r>
          <w:r>
            <w:instrText xml:space="preserve"> PAGEREF _Toc2070328 \h </w:instrText>
          </w:r>
          <w:r>
            <w:fldChar w:fldCharType="separate"/>
          </w:r>
          <w:r w:rsidR="00E84B13">
            <w:t>33</w:t>
          </w:r>
          <w:r>
            <w:fldChar w:fldCharType="end"/>
          </w:r>
        </w:p>
        <w:p w14:paraId="75C96A27" w14:textId="163D4B52" w:rsidR="0075599D" w:rsidRDefault="0075599D">
          <w:pPr>
            <w:pStyle w:val="TOC2"/>
            <w:rPr>
              <w:rFonts w:eastAsiaTheme="minorEastAsia" w:cstheme="minorBidi"/>
              <w:sz w:val="22"/>
              <w:szCs w:val="22"/>
            </w:rPr>
          </w:pPr>
          <w:r>
            <w:t>6.2</w:t>
          </w:r>
          <w:r>
            <w:rPr>
              <w:rFonts w:eastAsiaTheme="minorEastAsia" w:cstheme="minorBidi"/>
              <w:sz w:val="22"/>
              <w:szCs w:val="22"/>
            </w:rPr>
            <w:tab/>
          </w:r>
          <w:r>
            <w:t>Classification development approach</w:t>
          </w:r>
          <w:r>
            <w:tab/>
          </w:r>
          <w:r>
            <w:fldChar w:fldCharType="begin"/>
          </w:r>
          <w:r>
            <w:instrText xml:space="preserve"> PAGEREF _Toc2070329 \h </w:instrText>
          </w:r>
          <w:r>
            <w:fldChar w:fldCharType="separate"/>
          </w:r>
          <w:r w:rsidR="00E84B13">
            <w:t>34</w:t>
          </w:r>
          <w:r>
            <w:fldChar w:fldCharType="end"/>
          </w:r>
        </w:p>
        <w:p w14:paraId="4AFA4AC9" w14:textId="570C2DC9" w:rsidR="0075599D" w:rsidRDefault="0075599D">
          <w:pPr>
            <w:pStyle w:val="TOC2"/>
            <w:rPr>
              <w:rFonts w:eastAsiaTheme="minorEastAsia" w:cstheme="minorBidi"/>
              <w:sz w:val="22"/>
              <w:szCs w:val="22"/>
            </w:rPr>
          </w:pPr>
          <w:r>
            <w:t>6.3</w:t>
          </w:r>
          <w:r>
            <w:rPr>
              <w:rFonts w:eastAsiaTheme="minorEastAsia" w:cstheme="minorBidi"/>
              <w:sz w:val="22"/>
              <w:szCs w:val="22"/>
            </w:rPr>
            <w:tab/>
          </w:r>
          <w:r>
            <w:t>Results – analysis of resource utilisation drivers</w:t>
          </w:r>
          <w:r>
            <w:tab/>
          </w:r>
          <w:r>
            <w:fldChar w:fldCharType="begin"/>
          </w:r>
          <w:r>
            <w:instrText xml:space="preserve"> PAGEREF _Toc2070330 \h </w:instrText>
          </w:r>
          <w:r>
            <w:fldChar w:fldCharType="separate"/>
          </w:r>
          <w:r w:rsidR="00E84B13">
            <w:t>35</w:t>
          </w:r>
          <w:r>
            <w:fldChar w:fldCharType="end"/>
          </w:r>
        </w:p>
        <w:p w14:paraId="7F13DB28" w14:textId="42E97C07" w:rsidR="0075599D" w:rsidRDefault="0075599D">
          <w:pPr>
            <w:pStyle w:val="TOC2"/>
            <w:rPr>
              <w:rFonts w:eastAsiaTheme="minorEastAsia" w:cstheme="minorBidi"/>
              <w:sz w:val="22"/>
              <w:szCs w:val="22"/>
            </w:rPr>
          </w:pPr>
          <w:r>
            <w:t>6.4</w:t>
          </w:r>
          <w:r>
            <w:rPr>
              <w:rFonts w:eastAsiaTheme="minorEastAsia" w:cstheme="minorBidi"/>
              <w:sz w:val="22"/>
              <w:szCs w:val="22"/>
            </w:rPr>
            <w:tab/>
          </w:r>
          <w:r>
            <w:t>Clinical panel recommendations</w:t>
          </w:r>
          <w:r>
            <w:tab/>
          </w:r>
          <w:r>
            <w:fldChar w:fldCharType="begin"/>
          </w:r>
          <w:r>
            <w:instrText xml:space="preserve"> PAGEREF _Toc2070331 \h </w:instrText>
          </w:r>
          <w:r>
            <w:fldChar w:fldCharType="separate"/>
          </w:r>
          <w:r w:rsidR="00E84B13">
            <w:t>36</w:t>
          </w:r>
          <w:r>
            <w:fldChar w:fldCharType="end"/>
          </w:r>
        </w:p>
        <w:p w14:paraId="37CB7B14" w14:textId="6A4A8C61" w:rsidR="0075599D" w:rsidRDefault="0075599D">
          <w:pPr>
            <w:pStyle w:val="TOC2"/>
            <w:rPr>
              <w:rFonts w:eastAsiaTheme="minorEastAsia" w:cstheme="minorBidi"/>
              <w:sz w:val="22"/>
              <w:szCs w:val="22"/>
            </w:rPr>
          </w:pPr>
          <w:r>
            <w:t>6.5</w:t>
          </w:r>
          <w:r>
            <w:rPr>
              <w:rFonts w:eastAsiaTheme="minorEastAsia" w:cstheme="minorBidi"/>
              <w:sz w:val="22"/>
              <w:szCs w:val="22"/>
            </w:rPr>
            <w:tab/>
          </w:r>
          <w:r>
            <w:t>Overview of the AN-ACC</w:t>
          </w:r>
          <w:r>
            <w:tab/>
          </w:r>
          <w:r>
            <w:fldChar w:fldCharType="begin"/>
          </w:r>
          <w:r>
            <w:instrText xml:space="preserve"> PAGEREF _Toc2070332 \h </w:instrText>
          </w:r>
          <w:r>
            <w:fldChar w:fldCharType="separate"/>
          </w:r>
          <w:r w:rsidR="00E84B13">
            <w:t>36</w:t>
          </w:r>
          <w:r>
            <w:fldChar w:fldCharType="end"/>
          </w:r>
        </w:p>
        <w:p w14:paraId="143D7753" w14:textId="7967539A" w:rsidR="0075599D" w:rsidRDefault="0075599D">
          <w:pPr>
            <w:pStyle w:val="TOC1"/>
            <w:rPr>
              <w:rFonts w:eastAsiaTheme="minorEastAsia" w:cstheme="minorBidi"/>
              <w:b w:val="0"/>
            </w:rPr>
          </w:pPr>
          <w:r>
            <w:lastRenderedPageBreak/>
            <w:t>7</w:t>
          </w:r>
          <w:r>
            <w:rPr>
              <w:rFonts w:eastAsiaTheme="minorEastAsia" w:cstheme="minorBidi"/>
              <w:b w:val="0"/>
            </w:rPr>
            <w:tab/>
          </w:r>
          <w:r>
            <w:t>Discussion</w:t>
          </w:r>
          <w:r>
            <w:tab/>
          </w:r>
          <w:r>
            <w:fldChar w:fldCharType="begin"/>
          </w:r>
          <w:r>
            <w:instrText xml:space="preserve"> PAGEREF _Toc2070333 \h </w:instrText>
          </w:r>
          <w:r>
            <w:fldChar w:fldCharType="separate"/>
          </w:r>
          <w:r w:rsidR="00E84B13">
            <w:t>41</w:t>
          </w:r>
          <w:r>
            <w:fldChar w:fldCharType="end"/>
          </w:r>
        </w:p>
        <w:p w14:paraId="15176274" w14:textId="5A5069C2" w:rsidR="0075599D" w:rsidRDefault="0075599D">
          <w:pPr>
            <w:pStyle w:val="TOC2"/>
            <w:rPr>
              <w:rFonts w:eastAsiaTheme="minorEastAsia" w:cstheme="minorBidi"/>
              <w:sz w:val="22"/>
              <w:szCs w:val="22"/>
            </w:rPr>
          </w:pPr>
          <w:r>
            <w:t>7.1</w:t>
          </w:r>
          <w:r>
            <w:rPr>
              <w:rFonts w:eastAsiaTheme="minorEastAsia" w:cstheme="minorBidi"/>
              <w:sz w:val="22"/>
              <w:szCs w:val="22"/>
            </w:rPr>
            <w:tab/>
          </w:r>
          <w:r>
            <w:t>Key findings</w:t>
          </w:r>
          <w:r>
            <w:tab/>
          </w:r>
          <w:r>
            <w:fldChar w:fldCharType="begin"/>
          </w:r>
          <w:r>
            <w:instrText xml:space="preserve"> PAGEREF _Toc2070334 \h </w:instrText>
          </w:r>
          <w:r>
            <w:fldChar w:fldCharType="separate"/>
          </w:r>
          <w:r w:rsidR="00E84B13">
            <w:t>41</w:t>
          </w:r>
          <w:r>
            <w:fldChar w:fldCharType="end"/>
          </w:r>
        </w:p>
        <w:p w14:paraId="3D28B191" w14:textId="4F3CCB05" w:rsidR="0075599D" w:rsidRDefault="0075599D">
          <w:pPr>
            <w:pStyle w:val="TOC2"/>
            <w:rPr>
              <w:rFonts w:eastAsiaTheme="minorEastAsia" w:cstheme="minorBidi"/>
              <w:sz w:val="22"/>
              <w:szCs w:val="22"/>
            </w:rPr>
          </w:pPr>
          <w:r>
            <w:t>7.2</w:t>
          </w:r>
          <w:r>
            <w:rPr>
              <w:rFonts w:eastAsiaTheme="minorEastAsia" w:cstheme="minorBidi"/>
              <w:sz w:val="22"/>
              <w:szCs w:val="22"/>
            </w:rPr>
            <w:tab/>
          </w:r>
          <w:r>
            <w:t>External resident assessments</w:t>
          </w:r>
          <w:r>
            <w:tab/>
          </w:r>
          <w:r>
            <w:fldChar w:fldCharType="begin"/>
          </w:r>
          <w:r>
            <w:instrText xml:space="preserve"> PAGEREF _Toc2070335 \h </w:instrText>
          </w:r>
          <w:r>
            <w:fldChar w:fldCharType="separate"/>
          </w:r>
          <w:r w:rsidR="00E84B13">
            <w:t>42</w:t>
          </w:r>
          <w:r>
            <w:fldChar w:fldCharType="end"/>
          </w:r>
        </w:p>
        <w:p w14:paraId="5D30CEB5" w14:textId="03B43C32" w:rsidR="0075599D" w:rsidRDefault="0075599D">
          <w:pPr>
            <w:pStyle w:val="TOC2"/>
            <w:rPr>
              <w:rFonts w:eastAsiaTheme="minorEastAsia" w:cstheme="minorBidi"/>
              <w:sz w:val="22"/>
              <w:szCs w:val="22"/>
            </w:rPr>
          </w:pPr>
          <w:r>
            <w:t>7.3</w:t>
          </w:r>
          <w:r>
            <w:rPr>
              <w:rFonts w:eastAsiaTheme="minorEastAsia" w:cstheme="minorBidi"/>
              <w:sz w:val="22"/>
              <w:szCs w:val="22"/>
            </w:rPr>
            <w:tab/>
          </w:r>
          <w:r>
            <w:t>Implications for routine data collection</w:t>
          </w:r>
          <w:r>
            <w:tab/>
          </w:r>
          <w:r>
            <w:fldChar w:fldCharType="begin"/>
          </w:r>
          <w:r>
            <w:instrText xml:space="preserve"> PAGEREF _Toc2070336 \h </w:instrText>
          </w:r>
          <w:r>
            <w:fldChar w:fldCharType="separate"/>
          </w:r>
          <w:r w:rsidR="00E84B13">
            <w:t>42</w:t>
          </w:r>
          <w:r>
            <w:fldChar w:fldCharType="end"/>
          </w:r>
        </w:p>
        <w:p w14:paraId="3476D716" w14:textId="2D5F7073" w:rsidR="0075599D" w:rsidRDefault="0075599D">
          <w:pPr>
            <w:pStyle w:val="TOC2"/>
            <w:rPr>
              <w:rFonts w:eastAsiaTheme="minorEastAsia" w:cstheme="minorBidi"/>
              <w:sz w:val="22"/>
              <w:szCs w:val="22"/>
            </w:rPr>
          </w:pPr>
          <w:r>
            <w:t>7.4</w:t>
          </w:r>
          <w:r>
            <w:rPr>
              <w:rFonts w:eastAsiaTheme="minorEastAsia" w:cstheme="minorBidi"/>
              <w:sz w:val="22"/>
              <w:szCs w:val="22"/>
            </w:rPr>
            <w:tab/>
          </w:r>
          <w:r>
            <w:t>Conclusion</w:t>
          </w:r>
          <w:r>
            <w:tab/>
          </w:r>
          <w:r>
            <w:fldChar w:fldCharType="begin"/>
          </w:r>
          <w:r>
            <w:instrText xml:space="preserve"> PAGEREF _Toc2070337 \h </w:instrText>
          </w:r>
          <w:r>
            <w:fldChar w:fldCharType="separate"/>
          </w:r>
          <w:r w:rsidR="00E84B13">
            <w:t>42</w:t>
          </w:r>
          <w:r>
            <w:fldChar w:fldCharType="end"/>
          </w:r>
        </w:p>
        <w:p w14:paraId="4E263EF5" w14:textId="10BDFC5C" w:rsidR="0075599D" w:rsidRDefault="0075599D">
          <w:pPr>
            <w:pStyle w:val="TOC1"/>
            <w:rPr>
              <w:rFonts w:eastAsiaTheme="minorEastAsia" w:cstheme="minorBidi"/>
              <w:b w:val="0"/>
            </w:rPr>
          </w:pPr>
          <w:r>
            <w:t>Appendix 1</w:t>
          </w:r>
          <w:r>
            <w:tab/>
          </w:r>
          <w:r>
            <w:fldChar w:fldCharType="begin"/>
          </w:r>
          <w:r>
            <w:instrText xml:space="preserve"> PAGEREF _Toc2070338 \h </w:instrText>
          </w:r>
          <w:r>
            <w:fldChar w:fldCharType="separate"/>
          </w:r>
          <w:r w:rsidR="00E84B13">
            <w:t>44</w:t>
          </w:r>
          <w:r>
            <w:fldChar w:fldCharType="end"/>
          </w:r>
        </w:p>
        <w:p w14:paraId="2C4A2049" w14:textId="4F89C46C" w:rsidR="0075599D" w:rsidRDefault="0075599D">
          <w:pPr>
            <w:pStyle w:val="TOC2"/>
            <w:rPr>
              <w:rFonts w:eastAsiaTheme="minorEastAsia" w:cstheme="minorBidi"/>
              <w:sz w:val="22"/>
              <w:szCs w:val="22"/>
            </w:rPr>
          </w:pPr>
          <w:r>
            <w:t>The RUCS reports</w:t>
          </w:r>
          <w:r>
            <w:tab/>
          </w:r>
          <w:r>
            <w:fldChar w:fldCharType="begin"/>
          </w:r>
          <w:r>
            <w:instrText xml:space="preserve"> PAGEREF _Toc2070339 \h </w:instrText>
          </w:r>
          <w:r>
            <w:fldChar w:fldCharType="separate"/>
          </w:r>
          <w:r w:rsidR="00E84B13">
            <w:t>44</w:t>
          </w:r>
          <w:r>
            <w:fldChar w:fldCharType="end"/>
          </w:r>
        </w:p>
        <w:p w14:paraId="32C55DD9" w14:textId="2AD91C2B" w:rsidR="0075599D" w:rsidRDefault="0075599D">
          <w:pPr>
            <w:pStyle w:val="TOC1"/>
            <w:rPr>
              <w:rFonts w:eastAsiaTheme="minorEastAsia" w:cstheme="minorBidi"/>
              <w:b w:val="0"/>
            </w:rPr>
          </w:pPr>
          <w:r>
            <w:t>Appendix 2</w:t>
          </w:r>
          <w:r>
            <w:tab/>
          </w:r>
          <w:r>
            <w:fldChar w:fldCharType="begin"/>
          </w:r>
          <w:r>
            <w:instrText xml:space="preserve"> PAGEREF _Toc2070340 \h </w:instrText>
          </w:r>
          <w:r>
            <w:fldChar w:fldCharType="separate"/>
          </w:r>
          <w:r w:rsidR="00E84B13">
            <w:t>46</w:t>
          </w:r>
          <w:r>
            <w:fldChar w:fldCharType="end"/>
          </w:r>
        </w:p>
        <w:p w14:paraId="58AE12B1" w14:textId="1DCAD98C" w:rsidR="0075599D" w:rsidRDefault="0075599D">
          <w:pPr>
            <w:pStyle w:val="TOC2"/>
            <w:rPr>
              <w:rFonts w:eastAsiaTheme="minorEastAsia" w:cstheme="minorBidi"/>
              <w:sz w:val="22"/>
              <w:szCs w:val="22"/>
            </w:rPr>
          </w:pPr>
          <w:r>
            <w:t>Study One participating facilities</w:t>
          </w:r>
          <w:r>
            <w:tab/>
          </w:r>
          <w:r>
            <w:fldChar w:fldCharType="begin"/>
          </w:r>
          <w:r>
            <w:instrText xml:space="preserve"> PAGEREF _Toc2070341 \h </w:instrText>
          </w:r>
          <w:r>
            <w:fldChar w:fldCharType="separate"/>
          </w:r>
          <w:r w:rsidR="00E84B13">
            <w:t>46</w:t>
          </w:r>
          <w:r>
            <w:fldChar w:fldCharType="end"/>
          </w:r>
        </w:p>
        <w:p w14:paraId="290FE75F" w14:textId="031F11DE" w:rsidR="0075599D" w:rsidRDefault="0075599D">
          <w:pPr>
            <w:pStyle w:val="TOC1"/>
            <w:rPr>
              <w:rFonts w:eastAsiaTheme="minorEastAsia" w:cstheme="minorBidi"/>
              <w:b w:val="0"/>
            </w:rPr>
          </w:pPr>
          <w:r>
            <w:t>Appendix 3</w:t>
          </w:r>
          <w:r>
            <w:tab/>
          </w:r>
          <w:r>
            <w:fldChar w:fldCharType="begin"/>
          </w:r>
          <w:r>
            <w:instrText xml:space="preserve"> PAGEREF _Toc2070342 \h </w:instrText>
          </w:r>
          <w:r>
            <w:fldChar w:fldCharType="separate"/>
          </w:r>
          <w:r w:rsidR="00E84B13">
            <w:t>47</w:t>
          </w:r>
          <w:r>
            <w:fldChar w:fldCharType="end"/>
          </w:r>
        </w:p>
        <w:p w14:paraId="622BDD89" w14:textId="5F1E92F4" w:rsidR="0075599D" w:rsidRDefault="0075599D">
          <w:pPr>
            <w:pStyle w:val="TOC2"/>
            <w:rPr>
              <w:rFonts w:eastAsiaTheme="minorEastAsia" w:cstheme="minorBidi"/>
              <w:sz w:val="22"/>
              <w:szCs w:val="22"/>
            </w:rPr>
          </w:pPr>
          <w:r>
            <w:t>Extract from RUCS service utilisation data guide</w:t>
          </w:r>
          <w:r>
            <w:tab/>
          </w:r>
          <w:r>
            <w:fldChar w:fldCharType="begin"/>
          </w:r>
          <w:r>
            <w:instrText xml:space="preserve"> PAGEREF _Toc2070343 \h </w:instrText>
          </w:r>
          <w:r>
            <w:fldChar w:fldCharType="separate"/>
          </w:r>
          <w:r w:rsidR="00E84B13">
            <w:t>47</w:t>
          </w:r>
          <w:r>
            <w:fldChar w:fldCharType="end"/>
          </w:r>
        </w:p>
        <w:p w14:paraId="47DEA92F" w14:textId="77777777" w:rsidR="00712E76" w:rsidRDefault="000B0A40" w:rsidP="00B82914">
          <w:pPr>
            <w:pStyle w:val="TOC1"/>
          </w:pPr>
          <w:r w:rsidRPr="007734A2">
            <w:rPr>
              <w:sz w:val="20"/>
              <w:szCs w:val="20"/>
            </w:rPr>
            <w:fldChar w:fldCharType="end"/>
          </w:r>
        </w:p>
      </w:sdtContent>
    </w:sdt>
    <w:p w14:paraId="440D56CD" w14:textId="77777777" w:rsidR="00CF61F8" w:rsidRPr="00722403" w:rsidRDefault="00CF61F8">
      <w:pPr>
        <w:rPr>
          <w:b/>
          <w:bCs/>
          <w:sz w:val="36"/>
          <w:szCs w:val="36"/>
        </w:rPr>
      </w:pPr>
      <w:r>
        <w:rPr>
          <w:color w:val="E02130" w:themeColor="accent1"/>
          <w:sz w:val="36"/>
          <w:szCs w:val="36"/>
        </w:rPr>
        <w:br w:type="page"/>
      </w:r>
    </w:p>
    <w:p w14:paraId="4EC7D16F" w14:textId="77777777" w:rsidR="00434FE1" w:rsidRDefault="00560CF4" w:rsidP="00B82914">
      <w:pPr>
        <w:pStyle w:val="Caption"/>
        <w:spacing w:before="240"/>
        <w:rPr>
          <w:noProof/>
        </w:rPr>
      </w:pPr>
      <w:r w:rsidRPr="00722403">
        <w:rPr>
          <w:sz w:val="36"/>
          <w:szCs w:val="36"/>
        </w:rPr>
        <w:lastRenderedPageBreak/>
        <w:t xml:space="preserve">List of </w:t>
      </w:r>
      <w:r w:rsidR="00655C02" w:rsidRPr="00722403">
        <w:rPr>
          <w:sz w:val="36"/>
          <w:szCs w:val="36"/>
        </w:rPr>
        <w:t>t</w:t>
      </w:r>
      <w:r w:rsidRPr="00722403">
        <w:rPr>
          <w:sz w:val="36"/>
          <w:szCs w:val="36"/>
        </w:rPr>
        <w:t>ables</w:t>
      </w:r>
      <w:r w:rsidR="000F654C">
        <w:rPr>
          <w:sz w:val="36"/>
          <w:szCs w:val="36"/>
        </w:rPr>
        <w:fldChar w:fldCharType="begin"/>
      </w:r>
      <w:r w:rsidR="000F654C">
        <w:rPr>
          <w:sz w:val="36"/>
          <w:szCs w:val="36"/>
        </w:rPr>
        <w:instrText xml:space="preserve"> TOC \h \z \c "Table" </w:instrText>
      </w:r>
      <w:r w:rsidR="000F654C">
        <w:rPr>
          <w:sz w:val="36"/>
          <w:szCs w:val="36"/>
        </w:rPr>
        <w:fldChar w:fldCharType="separate"/>
      </w:r>
    </w:p>
    <w:p w14:paraId="62BA7CCB" w14:textId="2281BF13" w:rsidR="00434FE1" w:rsidRDefault="00E84B13">
      <w:pPr>
        <w:pStyle w:val="TableofFigures"/>
        <w:tabs>
          <w:tab w:val="left" w:pos="1200"/>
          <w:tab w:val="right" w:leader="dot" w:pos="9344"/>
        </w:tabs>
        <w:rPr>
          <w:rFonts w:eastAsiaTheme="minorEastAsia" w:cstheme="minorBidi"/>
          <w:noProof/>
          <w:sz w:val="22"/>
          <w:szCs w:val="22"/>
        </w:rPr>
      </w:pPr>
      <w:hyperlink w:anchor="_Toc2065663" w:history="1">
        <w:r w:rsidR="00434FE1" w:rsidRPr="002629E2">
          <w:rPr>
            <w:rStyle w:val="Hyperlink"/>
            <w:rFonts w:eastAsiaTheme="majorEastAsia"/>
            <w:noProof/>
          </w:rPr>
          <w:t xml:space="preserve">Table 1 </w:t>
        </w:r>
        <w:r w:rsidR="00434FE1">
          <w:rPr>
            <w:rFonts w:eastAsiaTheme="minorEastAsia" w:cstheme="minorBidi"/>
            <w:noProof/>
            <w:sz w:val="22"/>
            <w:szCs w:val="22"/>
          </w:rPr>
          <w:tab/>
        </w:r>
        <w:r w:rsidR="00434FE1" w:rsidRPr="002629E2">
          <w:rPr>
            <w:rStyle w:val="Hyperlink"/>
            <w:rFonts w:eastAsiaTheme="majorEastAsia"/>
            <w:noProof/>
          </w:rPr>
          <w:t>Completion rate for clinical measures before and after data cleansing</w:t>
        </w:r>
        <w:r w:rsidR="00434FE1">
          <w:rPr>
            <w:noProof/>
            <w:webHidden/>
          </w:rPr>
          <w:tab/>
        </w:r>
        <w:r w:rsidR="00434FE1">
          <w:rPr>
            <w:noProof/>
            <w:webHidden/>
          </w:rPr>
          <w:fldChar w:fldCharType="begin"/>
        </w:r>
        <w:r w:rsidR="00434FE1">
          <w:rPr>
            <w:noProof/>
            <w:webHidden/>
          </w:rPr>
          <w:instrText xml:space="preserve"> PAGEREF _Toc2065663 \h </w:instrText>
        </w:r>
        <w:r w:rsidR="00434FE1">
          <w:rPr>
            <w:noProof/>
            <w:webHidden/>
          </w:rPr>
        </w:r>
        <w:r w:rsidR="00434FE1">
          <w:rPr>
            <w:noProof/>
            <w:webHidden/>
          </w:rPr>
          <w:fldChar w:fldCharType="separate"/>
        </w:r>
        <w:r w:rsidR="00992D00">
          <w:rPr>
            <w:noProof/>
            <w:webHidden/>
          </w:rPr>
          <w:t>14</w:t>
        </w:r>
        <w:r w:rsidR="00434FE1">
          <w:rPr>
            <w:noProof/>
            <w:webHidden/>
          </w:rPr>
          <w:fldChar w:fldCharType="end"/>
        </w:r>
      </w:hyperlink>
    </w:p>
    <w:p w14:paraId="2752600C" w14:textId="471529CE" w:rsidR="00434FE1" w:rsidRDefault="00E84B13">
      <w:pPr>
        <w:pStyle w:val="TableofFigures"/>
        <w:tabs>
          <w:tab w:val="left" w:pos="1200"/>
          <w:tab w:val="right" w:leader="dot" w:pos="9344"/>
        </w:tabs>
        <w:rPr>
          <w:rFonts w:eastAsiaTheme="minorEastAsia" w:cstheme="minorBidi"/>
          <w:noProof/>
          <w:sz w:val="22"/>
          <w:szCs w:val="22"/>
        </w:rPr>
      </w:pPr>
      <w:hyperlink w:anchor="_Toc2065664" w:history="1">
        <w:r w:rsidR="00434FE1" w:rsidRPr="002629E2">
          <w:rPr>
            <w:rStyle w:val="Hyperlink"/>
            <w:rFonts w:eastAsiaTheme="majorEastAsia"/>
            <w:noProof/>
          </w:rPr>
          <w:t xml:space="preserve">Table 2 </w:t>
        </w:r>
        <w:r w:rsidR="00434FE1">
          <w:rPr>
            <w:rFonts w:eastAsiaTheme="minorEastAsia" w:cstheme="minorBidi"/>
            <w:noProof/>
            <w:sz w:val="22"/>
            <w:szCs w:val="22"/>
          </w:rPr>
          <w:tab/>
        </w:r>
        <w:r w:rsidR="00434FE1" w:rsidRPr="002629E2">
          <w:rPr>
            <w:rStyle w:val="Hyperlink"/>
            <w:rFonts w:eastAsiaTheme="majorEastAsia"/>
            <w:noProof/>
          </w:rPr>
          <w:t>RUG-ADL scores</w:t>
        </w:r>
        <w:r w:rsidR="00434FE1">
          <w:rPr>
            <w:noProof/>
            <w:webHidden/>
          </w:rPr>
          <w:tab/>
        </w:r>
        <w:r w:rsidR="00434FE1">
          <w:rPr>
            <w:noProof/>
            <w:webHidden/>
          </w:rPr>
          <w:fldChar w:fldCharType="begin"/>
        </w:r>
        <w:r w:rsidR="00434FE1">
          <w:rPr>
            <w:noProof/>
            <w:webHidden/>
          </w:rPr>
          <w:instrText xml:space="preserve"> PAGEREF _Toc2065664 \h </w:instrText>
        </w:r>
        <w:r w:rsidR="00434FE1">
          <w:rPr>
            <w:noProof/>
            <w:webHidden/>
          </w:rPr>
        </w:r>
        <w:r w:rsidR="00434FE1">
          <w:rPr>
            <w:noProof/>
            <w:webHidden/>
          </w:rPr>
          <w:fldChar w:fldCharType="separate"/>
        </w:r>
        <w:r w:rsidR="00992D00">
          <w:rPr>
            <w:noProof/>
            <w:webHidden/>
          </w:rPr>
          <w:t>19</w:t>
        </w:r>
        <w:r w:rsidR="00434FE1">
          <w:rPr>
            <w:noProof/>
            <w:webHidden/>
          </w:rPr>
          <w:fldChar w:fldCharType="end"/>
        </w:r>
      </w:hyperlink>
    </w:p>
    <w:p w14:paraId="1E3B8035" w14:textId="1DF76D7D" w:rsidR="00434FE1" w:rsidRDefault="00E84B13">
      <w:pPr>
        <w:pStyle w:val="TableofFigures"/>
        <w:tabs>
          <w:tab w:val="left" w:pos="1200"/>
          <w:tab w:val="right" w:leader="dot" w:pos="9344"/>
        </w:tabs>
        <w:rPr>
          <w:rFonts w:eastAsiaTheme="minorEastAsia" w:cstheme="minorBidi"/>
          <w:noProof/>
          <w:sz w:val="22"/>
          <w:szCs w:val="22"/>
        </w:rPr>
      </w:pPr>
      <w:hyperlink w:anchor="_Toc2065665" w:history="1">
        <w:r w:rsidR="00434FE1" w:rsidRPr="002629E2">
          <w:rPr>
            <w:rStyle w:val="Hyperlink"/>
            <w:rFonts w:eastAsiaTheme="majorEastAsia"/>
            <w:noProof/>
          </w:rPr>
          <w:t xml:space="preserve">Table 3 </w:t>
        </w:r>
        <w:r w:rsidR="00434FE1">
          <w:rPr>
            <w:rFonts w:eastAsiaTheme="minorEastAsia" w:cstheme="minorBidi"/>
            <w:noProof/>
            <w:sz w:val="22"/>
            <w:szCs w:val="22"/>
          </w:rPr>
          <w:tab/>
        </w:r>
        <w:r w:rsidR="00434FE1" w:rsidRPr="002629E2">
          <w:rPr>
            <w:rStyle w:val="Hyperlink"/>
            <w:rFonts w:eastAsiaTheme="majorEastAsia"/>
            <w:noProof/>
          </w:rPr>
          <w:t>Distribution of AKPS scores</w:t>
        </w:r>
        <w:r w:rsidR="00434FE1">
          <w:rPr>
            <w:noProof/>
            <w:webHidden/>
          </w:rPr>
          <w:tab/>
        </w:r>
        <w:r w:rsidR="00434FE1">
          <w:rPr>
            <w:noProof/>
            <w:webHidden/>
          </w:rPr>
          <w:fldChar w:fldCharType="begin"/>
        </w:r>
        <w:r w:rsidR="00434FE1">
          <w:rPr>
            <w:noProof/>
            <w:webHidden/>
          </w:rPr>
          <w:instrText xml:space="preserve"> PAGEREF _Toc2065665 \h </w:instrText>
        </w:r>
        <w:r w:rsidR="00434FE1">
          <w:rPr>
            <w:noProof/>
            <w:webHidden/>
          </w:rPr>
        </w:r>
        <w:r w:rsidR="00434FE1">
          <w:rPr>
            <w:noProof/>
            <w:webHidden/>
          </w:rPr>
          <w:fldChar w:fldCharType="separate"/>
        </w:r>
        <w:r w:rsidR="00992D00">
          <w:rPr>
            <w:noProof/>
            <w:webHidden/>
          </w:rPr>
          <w:t>20</w:t>
        </w:r>
        <w:r w:rsidR="00434FE1">
          <w:rPr>
            <w:noProof/>
            <w:webHidden/>
          </w:rPr>
          <w:fldChar w:fldCharType="end"/>
        </w:r>
      </w:hyperlink>
    </w:p>
    <w:p w14:paraId="6BB22E8B" w14:textId="67EE2FDB" w:rsidR="00434FE1" w:rsidRDefault="00E84B13">
      <w:pPr>
        <w:pStyle w:val="TableofFigures"/>
        <w:tabs>
          <w:tab w:val="left" w:pos="1200"/>
          <w:tab w:val="right" w:leader="dot" w:pos="9344"/>
        </w:tabs>
        <w:rPr>
          <w:rFonts w:eastAsiaTheme="minorEastAsia" w:cstheme="minorBidi"/>
          <w:noProof/>
          <w:sz w:val="22"/>
          <w:szCs w:val="22"/>
        </w:rPr>
      </w:pPr>
      <w:hyperlink w:anchor="_Toc2065666" w:history="1">
        <w:r w:rsidR="00434FE1" w:rsidRPr="002629E2">
          <w:rPr>
            <w:rStyle w:val="Hyperlink"/>
            <w:rFonts w:eastAsiaTheme="majorEastAsia"/>
            <w:noProof/>
          </w:rPr>
          <w:t xml:space="preserve">Table 4 </w:t>
        </w:r>
        <w:r w:rsidR="00434FE1">
          <w:rPr>
            <w:rFonts w:eastAsiaTheme="minorEastAsia" w:cstheme="minorBidi"/>
            <w:noProof/>
            <w:sz w:val="22"/>
            <w:szCs w:val="22"/>
          </w:rPr>
          <w:tab/>
        </w:r>
        <w:r w:rsidR="00434FE1" w:rsidRPr="002629E2">
          <w:rPr>
            <w:rStyle w:val="Hyperlink"/>
            <w:rFonts w:eastAsiaTheme="majorEastAsia"/>
            <w:noProof/>
          </w:rPr>
          <w:t>Rockwood Clinical Frailty Scale</w:t>
        </w:r>
        <w:r w:rsidR="00434FE1">
          <w:rPr>
            <w:noProof/>
            <w:webHidden/>
          </w:rPr>
          <w:tab/>
        </w:r>
        <w:r w:rsidR="00434FE1">
          <w:rPr>
            <w:noProof/>
            <w:webHidden/>
          </w:rPr>
          <w:fldChar w:fldCharType="begin"/>
        </w:r>
        <w:r w:rsidR="00434FE1">
          <w:rPr>
            <w:noProof/>
            <w:webHidden/>
          </w:rPr>
          <w:instrText xml:space="preserve"> PAGEREF _Toc2065666 \h </w:instrText>
        </w:r>
        <w:r w:rsidR="00434FE1">
          <w:rPr>
            <w:noProof/>
            <w:webHidden/>
          </w:rPr>
        </w:r>
        <w:r w:rsidR="00434FE1">
          <w:rPr>
            <w:noProof/>
            <w:webHidden/>
          </w:rPr>
          <w:fldChar w:fldCharType="separate"/>
        </w:r>
        <w:r w:rsidR="00992D00">
          <w:rPr>
            <w:noProof/>
            <w:webHidden/>
          </w:rPr>
          <w:t>21</w:t>
        </w:r>
        <w:r w:rsidR="00434FE1">
          <w:rPr>
            <w:noProof/>
            <w:webHidden/>
          </w:rPr>
          <w:fldChar w:fldCharType="end"/>
        </w:r>
      </w:hyperlink>
    </w:p>
    <w:p w14:paraId="2DB07AAA" w14:textId="3A1481AB" w:rsidR="00434FE1" w:rsidRDefault="00E84B13">
      <w:pPr>
        <w:pStyle w:val="TableofFigures"/>
        <w:tabs>
          <w:tab w:val="left" w:pos="1200"/>
          <w:tab w:val="right" w:leader="dot" w:pos="9344"/>
        </w:tabs>
        <w:rPr>
          <w:rFonts w:eastAsiaTheme="minorEastAsia" w:cstheme="minorBidi"/>
          <w:noProof/>
          <w:sz w:val="22"/>
          <w:szCs w:val="22"/>
        </w:rPr>
      </w:pPr>
      <w:hyperlink w:anchor="_Toc2065667" w:history="1">
        <w:r w:rsidR="00434FE1" w:rsidRPr="002629E2">
          <w:rPr>
            <w:rStyle w:val="Hyperlink"/>
            <w:rFonts w:eastAsiaTheme="majorEastAsia"/>
            <w:noProof/>
          </w:rPr>
          <w:t xml:space="preserve">Table 5 </w:t>
        </w:r>
        <w:r w:rsidR="00434FE1">
          <w:rPr>
            <w:rFonts w:eastAsiaTheme="minorEastAsia" w:cstheme="minorBidi"/>
            <w:noProof/>
            <w:sz w:val="22"/>
            <w:szCs w:val="22"/>
          </w:rPr>
          <w:tab/>
        </w:r>
        <w:r w:rsidR="00434FE1" w:rsidRPr="002629E2">
          <w:rPr>
            <w:rStyle w:val="Hyperlink"/>
            <w:rFonts w:eastAsiaTheme="majorEastAsia"/>
            <w:noProof/>
          </w:rPr>
          <w:t>Rockwood score by weight loss variable</w:t>
        </w:r>
        <w:r w:rsidR="00434FE1">
          <w:rPr>
            <w:noProof/>
            <w:webHidden/>
          </w:rPr>
          <w:tab/>
        </w:r>
        <w:r w:rsidR="00434FE1">
          <w:rPr>
            <w:noProof/>
            <w:webHidden/>
          </w:rPr>
          <w:fldChar w:fldCharType="begin"/>
        </w:r>
        <w:r w:rsidR="00434FE1">
          <w:rPr>
            <w:noProof/>
            <w:webHidden/>
          </w:rPr>
          <w:instrText xml:space="preserve"> PAGEREF _Toc2065667 \h </w:instrText>
        </w:r>
        <w:r w:rsidR="00434FE1">
          <w:rPr>
            <w:noProof/>
            <w:webHidden/>
          </w:rPr>
        </w:r>
        <w:r w:rsidR="00434FE1">
          <w:rPr>
            <w:noProof/>
            <w:webHidden/>
          </w:rPr>
          <w:fldChar w:fldCharType="separate"/>
        </w:r>
        <w:r w:rsidR="00992D00">
          <w:rPr>
            <w:noProof/>
            <w:webHidden/>
          </w:rPr>
          <w:t>22</w:t>
        </w:r>
        <w:r w:rsidR="00434FE1">
          <w:rPr>
            <w:noProof/>
            <w:webHidden/>
          </w:rPr>
          <w:fldChar w:fldCharType="end"/>
        </w:r>
      </w:hyperlink>
    </w:p>
    <w:p w14:paraId="665EA273" w14:textId="173D587C" w:rsidR="00434FE1" w:rsidRDefault="00E84B13">
      <w:pPr>
        <w:pStyle w:val="TableofFigures"/>
        <w:tabs>
          <w:tab w:val="left" w:pos="1200"/>
          <w:tab w:val="right" w:leader="dot" w:pos="9344"/>
        </w:tabs>
        <w:rPr>
          <w:rFonts w:eastAsiaTheme="minorEastAsia" w:cstheme="minorBidi"/>
          <w:noProof/>
          <w:sz w:val="22"/>
          <w:szCs w:val="22"/>
        </w:rPr>
      </w:pPr>
      <w:hyperlink w:anchor="_Toc2065668" w:history="1">
        <w:r w:rsidR="00434FE1" w:rsidRPr="002629E2">
          <w:rPr>
            <w:rStyle w:val="Hyperlink"/>
            <w:rFonts w:eastAsiaTheme="majorEastAsia"/>
            <w:noProof/>
          </w:rPr>
          <w:t xml:space="preserve">Table 6 </w:t>
        </w:r>
        <w:r w:rsidR="00434FE1">
          <w:rPr>
            <w:rFonts w:eastAsiaTheme="minorEastAsia" w:cstheme="minorBidi"/>
            <w:noProof/>
            <w:sz w:val="22"/>
            <w:szCs w:val="22"/>
          </w:rPr>
          <w:tab/>
        </w:r>
        <w:r w:rsidR="00434FE1" w:rsidRPr="002629E2">
          <w:rPr>
            <w:rStyle w:val="Hyperlink"/>
            <w:rFonts w:eastAsiaTheme="majorEastAsia"/>
            <w:noProof/>
          </w:rPr>
          <w:t>Rockwood frailty score by time in care (residents with missing scores excluded)</w:t>
        </w:r>
        <w:r w:rsidR="00434FE1">
          <w:rPr>
            <w:noProof/>
            <w:webHidden/>
          </w:rPr>
          <w:tab/>
        </w:r>
        <w:r w:rsidR="00434FE1">
          <w:rPr>
            <w:noProof/>
            <w:webHidden/>
          </w:rPr>
          <w:fldChar w:fldCharType="begin"/>
        </w:r>
        <w:r w:rsidR="00434FE1">
          <w:rPr>
            <w:noProof/>
            <w:webHidden/>
          </w:rPr>
          <w:instrText xml:space="preserve"> PAGEREF _Toc2065668 \h </w:instrText>
        </w:r>
        <w:r w:rsidR="00434FE1">
          <w:rPr>
            <w:noProof/>
            <w:webHidden/>
          </w:rPr>
        </w:r>
        <w:r w:rsidR="00434FE1">
          <w:rPr>
            <w:noProof/>
            <w:webHidden/>
          </w:rPr>
          <w:fldChar w:fldCharType="separate"/>
        </w:r>
        <w:r w:rsidR="00992D00">
          <w:rPr>
            <w:noProof/>
            <w:webHidden/>
          </w:rPr>
          <w:t>22</w:t>
        </w:r>
        <w:r w:rsidR="00434FE1">
          <w:rPr>
            <w:noProof/>
            <w:webHidden/>
          </w:rPr>
          <w:fldChar w:fldCharType="end"/>
        </w:r>
      </w:hyperlink>
    </w:p>
    <w:p w14:paraId="578AF5AF" w14:textId="05E4DF64" w:rsidR="00434FE1" w:rsidRDefault="00E84B13">
      <w:pPr>
        <w:pStyle w:val="TableofFigures"/>
        <w:tabs>
          <w:tab w:val="left" w:pos="1200"/>
          <w:tab w:val="right" w:leader="dot" w:pos="9344"/>
        </w:tabs>
        <w:rPr>
          <w:rFonts w:eastAsiaTheme="minorEastAsia" w:cstheme="minorBidi"/>
          <w:noProof/>
          <w:sz w:val="22"/>
          <w:szCs w:val="22"/>
        </w:rPr>
      </w:pPr>
      <w:hyperlink w:anchor="_Toc2065669" w:history="1">
        <w:r w:rsidR="00434FE1" w:rsidRPr="002629E2">
          <w:rPr>
            <w:rStyle w:val="Hyperlink"/>
            <w:rFonts w:eastAsiaTheme="majorEastAsia"/>
            <w:noProof/>
          </w:rPr>
          <w:t xml:space="preserve">Table 7 </w:t>
        </w:r>
        <w:r w:rsidR="00434FE1">
          <w:rPr>
            <w:rFonts w:eastAsiaTheme="minorEastAsia" w:cstheme="minorBidi"/>
            <w:noProof/>
            <w:sz w:val="22"/>
            <w:szCs w:val="22"/>
          </w:rPr>
          <w:tab/>
        </w:r>
        <w:r w:rsidR="00434FE1" w:rsidRPr="002629E2">
          <w:rPr>
            <w:rStyle w:val="Hyperlink"/>
            <w:rFonts w:eastAsiaTheme="majorEastAsia"/>
            <w:noProof/>
          </w:rPr>
          <w:t>Rockwood by AKPS (residents with missing scores excluded)</w:t>
        </w:r>
        <w:r w:rsidR="00434FE1">
          <w:rPr>
            <w:noProof/>
            <w:webHidden/>
          </w:rPr>
          <w:tab/>
        </w:r>
        <w:r w:rsidR="00434FE1">
          <w:rPr>
            <w:noProof/>
            <w:webHidden/>
          </w:rPr>
          <w:fldChar w:fldCharType="begin"/>
        </w:r>
        <w:r w:rsidR="00434FE1">
          <w:rPr>
            <w:noProof/>
            <w:webHidden/>
          </w:rPr>
          <w:instrText xml:space="preserve"> PAGEREF _Toc2065669 \h </w:instrText>
        </w:r>
        <w:r w:rsidR="00434FE1">
          <w:rPr>
            <w:noProof/>
            <w:webHidden/>
          </w:rPr>
        </w:r>
        <w:r w:rsidR="00434FE1">
          <w:rPr>
            <w:noProof/>
            <w:webHidden/>
          </w:rPr>
          <w:fldChar w:fldCharType="separate"/>
        </w:r>
        <w:r w:rsidR="00992D00">
          <w:rPr>
            <w:noProof/>
            <w:webHidden/>
          </w:rPr>
          <w:t>23</w:t>
        </w:r>
        <w:r w:rsidR="00434FE1">
          <w:rPr>
            <w:noProof/>
            <w:webHidden/>
          </w:rPr>
          <w:fldChar w:fldCharType="end"/>
        </w:r>
      </w:hyperlink>
    </w:p>
    <w:p w14:paraId="09002799" w14:textId="7474CA0F" w:rsidR="00434FE1" w:rsidRDefault="00E84B13">
      <w:pPr>
        <w:pStyle w:val="TableofFigures"/>
        <w:tabs>
          <w:tab w:val="left" w:pos="1200"/>
          <w:tab w:val="right" w:leader="dot" w:pos="9344"/>
        </w:tabs>
        <w:rPr>
          <w:rFonts w:eastAsiaTheme="minorEastAsia" w:cstheme="minorBidi"/>
          <w:noProof/>
          <w:sz w:val="22"/>
          <w:szCs w:val="22"/>
        </w:rPr>
      </w:pPr>
      <w:hyperlink w:anchor="_Toc2065670" w:history="1">
        <w:r w:rsidR="00434FE1" w:rsidRPr="002629E2">
          <w:rPr>
            <w:rStyle w:val="Hyperlink"/>
            <w:rFonts w:eastAsiaTheme="majorEastAsia"/>
            <w:noProof/>
          </w:rPr>
          <w:t xml:space="preserve">Table 8 </w:t>
        </w:r>
        <w:r w:rsidR="00434FE1">
          <w:rPr>
            <w:rFonts w:eastAsiaTheme="minorEastAsia" w:cstheme="minorBidi"/>
            <w:noProof/>
            <w:sz w:val="22"/>
            <w:szCs w:val="22"/>
          </w:rPr>
          <w:tab/>
        </w:r>
        <w:r w:rsidR="00434FE1" w:rsidRPr="002629E2">
          <w:rPr>
            <w:rStyle w:val="Hyperlink"/>
            <w:rFonts w:eastAsiaTheme="majorEastAsia"/>
            <w:noProof/>
          </w:rPr>
          <w:t>Braden Scale total score</w:t>
        </w:r>
        <w:r w:rsidR="00434FE1">
          <w:rPr>
            <w:noProof/>
            <w:webHidden/>
          </w:rPr>
          <w:tab/>
        </w:r>
        <w:r w:rsidR="00434FE1">
          <w:rPr>
            <w:noProof/>
            <w:webHidden/>
          </w:rPr>
          <w:fldChar w:fldCharType="begin"/>
        </w:r>
        <w:r w:rsidR="00434FE1">
          <w:rPr>
            <w:noProof/>
            <w:webHidden/>
          </w:rPr>
          <w:instrText xml:space="preserve"> PAGEREF _Toc2065670 \h </w:instrText>
        </w:r>
        <w:r w:rsidR="00434FE1">
          <w:rPr>
            <w:noProof/>
            <w:webHidden/>
          </w:rPr>
        </w:r>
        <w:r w:rsidR="00434FE1">
          <w:rPr>
            <w:noProof/>
            <w:webHidden/>
          </w:rPr>
          <w:fldChar w:fldCharType="separate"/>
        </w:r>
        <w:r w:rsidR="00992D00">
          <w:rPr>
            <w:noProof/>
            <w:webHidden/>
          </w:rPr>
          <w:t>24</w:t>
        </w:r>
        <w:r w:rsidR="00434FE1">
          <w:rPr>
            <w:noProof/>
            <w:webHidden/>
          </w:rPr>
          <w:fldChar w:fldCharType="end"/>
        </w:r>
      </w:hyperlink>
    </w:p>
    <w:p w14:paraId="65FBD712" w14:textId="25BFE821" w:rsidR="00434FE1" w:rsidRDefault="00E84B13">
      <w:pPr>
        <w:pStyle w:val="TableofFigures"/>
        <w:tabs>
          <w:tab w:val="left" w:pos="1200"/>
          <w:tab w:val="right" w:leader="dot" w:pos="9344"/>
        </w:tabs>
        <w:rPr>
          <w:rFonts w:eastAsiaTheme="minorEastAsia" w:cstheme="minorBidi"/>
          <w:noProof/>
          <w:sz w:val="22"/>
          <w:szCs w:val="22"/>
        </w:rPr>
      </w:pPr>
      <w:hyperlink w:anchor="_Toc2065671" w:history="1">
        <w:r w:rsidR="00434FE1" w:rsidRPr="002629E2">
          <w:rPr>
            <w:rStyle w:val="Hyperlink"/>
            <w:rFonts w:eastAsiaTheme="majorEastAsia"/>
            <w:noProof/>
          </w:rPr>
          <w:t xml:space="preserve">Table 9 </w:t>
        </w:r>
        <w:r w:rsidR="00434FE1">
          <w:rPr>
            <w:rFonts w:eastAsiaTheme="minorEastAsia" w:cstheme="minorBidi"/>
            <w:noProof/>
            <w:sz w:val="22"/>
            <w:szCs w:val="22"/>
          </w:rPr>
          <w:tab/>
        </w:r>
        <w:r w:rsidR="00434FE1" w:rsidRPr="002629E2">
          <w:rPr>
            <w:rStyle w:val="Hyperlink"/>
            <w:rFonts w:eastAsiaTheme="majorEastAsia"/>
            <w:noProof/>
          </w:rPr>
          <w:t>Distribution on the Braden sensory perception item by basis of rating</w:t>
        </w:r>
        <w:r w:rsidR="00434FE1">
          <w:rPr>
            <w:noProof/>
            <w:webHidden/>
          </w:rPr>
          <w:tab/>
        </w:r>
        <w:r w:rsidR="00434FE1">
          <w:rPr>
            <w:noProof/>
            <w:webHidden/>
          </w:rPr>
          <w:fldChar w:fldCharType="begin"/>
        </w:r>
        <w:r w:rsidR="00434FE1">
          <w:rPr>
            <w:noProof/>
            <w:webHidden/>
          </w:rPr>
          <w:instrText xml:space="preserve"> PAGEREF _Toc2065671 \h </w:instrText>
        </w:r>
        <w:r w:rsidR="00434FE1">
          <w:rPr>
            <w:noProof/>
            <w:webHidden/>
          </w:rPr>
        </w:r>
        <w:r w:rsidR="00434FE1">
          <w:rPr>
            <w:noProof/>
            <w:webHidden/>
          </w:rPr>
          <w:fldChar w:fldCharType="separate"/>
        </w:r>
        <w:r w:rsidR="00992D00">
          <w:rPr>
            <w:noProof/>
            <w:webHidden/>
          </w:rPr>
          <w:t>26</w:t>
        </w:r>
        <w:r w:rsidR="00434FE1">
          <w:rPr>
            <w:noProof/>
            <w:webHidden/>
          </w:rPr>
          <w:fldChar w:fldCharType="end"/>
        </w:r>
      </w:hyperlink>
    </w:p>
    <w:p w14:paraId="0976BA1D" w14:textId="65C9C9F8" w:rsidR="00434FE1" w:rsidRDefault="00E84B13">
      <w:pPr>
        <w:pStyle w:val="TableofFigures"/>
        <w:tabs>
          <w:tab w:val="left" w:pos="1200"/>
          <w:tab w:val="right" w:leader="dot" w:pos="9344"/>
        </w:tabs>
        <w:rPr>
          <w:rFonts w:eastAsiaTheme="minorEastAsia" w:cstheme="minorBidi"/>
          <w:noProof/>
          <w:sz w:val="22"/>
          <w:szCs w:val="22"/>
        </w:rPr>
      </w:pPr>
      <w:hyperlink w:anchor="_Toc2065672" w:history="1">
        <w:r w:rsidR="00434FE1" w:rsidRPr="002629E2">
          <w:rPr>
            <w:rStyle w:val="Hyperlink"/>
            <w:rFonts w:eastAsiaTheme="majorEastAsia"/>
            <w:noProof/>
          </w:rPr>
          <w:t>Table 10</w:t>
        </w:r>
        <w:r w:rsidR="00434FE1">
          <w:rPr>
            <w:rFonts w:eastAsiaTheme="minorEastAsia" w:cstheme="minorBidi"/>
            <w:noProof/>
            <w:sz w:val="22"/>
            <w:szCs w:val="22"/>
          </w:rPr>
          <w:tab/>
        </w:r>
        <w:r w:rsidR="00434FE1" w:rsidRPr="002629E2">
          <w:rPr>
            <w:rStyle w:val="Hyperlink"/>
            <w:rFonts w:eastAsiaTheme="majorEastAsia"/>
            <w:noProof/>
          </w:rPr>
          <w:t>Distribution of score on the DEMMI</w:t>
        </w:r>
        <w:r w:rsidR="00434FE1">
          <w:rPr>
            <w:noProof/>
            <w:webHidden/>
          </w:rPr>
          <w:tab/>
        </w:r>
        <w:r w:rsidR="00434FE1">
          <w:rPr>
            <w:noProof/>
            <w:webHidden/>
          </w:rPr>
          <w:fldChar w:fldCharType="begin"/>
        </w:r>
        <w:r w:rsidR="00434FE1">
          <w:rPr>
            <w:noProof/>
            <w:webHidden/>
          </w:rPr>
          <w:instrText xml:space="preserve"> PAGEREF _Toc2065672 \h </w:instrText>
        </w:r>
        <w:r w:rsidR="00434FE1">
          <w:rPr>
            <w:noProof/>
            <w:webHidden/>
          </w:rPr>
        </w:r>
        <w:r w:rsidR="00434FE1">
          <w:rPr>
            <w:noProof/>
            <w:webHidden/>
          </w:rPr>
          <w:fldChar w:fldCharType="separate"/>
        </w:r>
        <w:r w:rsidR="00992D00">
          <w:rPr>
            <w:noProof/>
            <w:webHidden/>
          </w:rPr>
          <w:t>26</w:t>
        </w:r>
        <w:r w:rsidR="00434FE1">
          <w:rPr>
            <w:noProof/>
            <w:webHidden/>
          </w:rPr>
          <w:fldChar w:fldCharType="end"/>
        </w:r>
      </w:hyperlink>
    </w:p>
    <w:p w14:paraId="2ACEA595" w14:textId="3CE836A9" w:rsidR="00434FE1" w:rsidRDefault="00E84B13">
      <w:pPr>
        <w:pStyle w:val="TableofFigures"/>
        <w:tabs>
          <w:tab w:val="left" w:pos="1200"/>
          <w:tab w:val="right" w:leader="dot" w:pos="9344"/>
        </w:tabs>
        <w:rPr>
          <w:rFonts w:eastAsiaTheme="minorEastAsia" w:cstheme="minorBidi"/>
          <w:noProof/>
          <w:sz w:val="22"/>
          <w:szCs w:val="22"/>
        </w:rPr>
      </w:pPr>
      <w:hyperlink w:anchor="_Toc2065673" w:history="1">
        <w:r w:rsidR="00434FE1" w:rsidRPr="002629E2">
          <w:rPr>
            <w:rStyle w:val="Hyperlink"/>
            <w:rFonts w:eastAsiaTheme="majorEastAsia"/>
            <w:noProof/>
          </w:rPr>
          <w:t>Table 11</w:t>
        </w:r>
        <w:r w:rsidR="00434FE1">
          <w:rPr>
            <w:rFonts w:eastAsiaTheme="minorEastAsia" w:cstheme="minorBidi"/>
            <w:noProof/>
            <w:sz w:val="22"/>
            <w:szCs w:val="22"/>
          </w:rPr>
          <w:tab/>
        </w:r>
        <w:r w:rsidR="00434FE1" w:rsidRPr="002629E2">
          <w:rPr>
            <w:rStyle w:val="Hyperlink"/>
            <w:rFonts w:eastAsiaTheme="majorEastAsia"/>
            <w:noProof/>
          </w:rPr>
          <w:t>Bed mobility and pressure sore risk (missing values excluded)</w:t>
        </w:r>
        <w:r w:rsidR="00434FE1">
          <w:rPr>
            <w:noProof/>
            <w:webHidden/>
          </w:rPr>
          <w:tab/>
        </w:r>
        <w:r w:rsidR="00434FE1">
          <w:rPr>
            <w:noProof/>
            <w:webHidden/>
          </w:rPr>
          <w:fldChar w:fldCharType="begin"/>
        </w:r>
        <w:r w:rsidR="00434FE1">
          <w:rPr>
            <w:noProof/>
            <w:webHidden/>
          </w:rPr>
          <w:instrText xml:space="preserve"> PAGEREF _Toc2065673 \h </w:instrText>
        </w:r>
        <w:r w:rsidR="00434FE1">
          <w:rPr>
            <w:noProof/>
            <w:webHidden/>
          </w:rPr>
        </w:r>
        <w:r w:rsidR="00434FE1">
          <w:rPr>
            <w:noProof/>
            <w:webHidden/>
          </w:rPr>
          <w:fldChar w:fldCharType="separate"/>
        </w:r>
        <w:r w:rsidR="00992D00">
          <w:rPr>
            <w:noProof/>
            <w:webHidden/>
          </w:rPr>
          <w:t>28</w:t>
        </w:r>
        <w:r w:rsidR="00434FE1">
          <w:rPr>
            <w:noProof/>
            <w:webHidden/>
          </w:rPr>
          <w:fldChar w:fldCharType="end"/>
        </w:r>
      </w:hyperlink>
    </w:p>
    <w:p w14:paraId="54B2FDB3" w14:textId="1B78BD92" w:rsidR="00434FE1" w:rsidRDefault="00E84B13">
      <w:pPr>
        <w:pStyle w:val="TableofFigures"/>
        <w:tabs>
          <w:tab w:val="left" w:pos="1200"/>
          <w:tab w:val="right" w:leader="dot" w:pos="9344"/>
        </w:tabs>
        <w:rPr>
          <w:rFonts w:eastAsiaTheme="minorEastAsia" w:cstheme="minorBidi"/>
          <w:noProof/>
          <w:sz w:val="22"/>
          <w:szCs w:val="22"/>
        </w:rPr>
      </w:pPr>
      <w:hyperlink w:anchor="_Toc2065674" w:history="1">
        <w:r w:rsidR="00434FE1" w:rsidRPr="002629E2">
          <w:rPr>
            <w:rStyle w:val="Hyperlink"/>
            <w:rFonts w:eastAsiaTheme="majorEastAsia"/>
            <w:noProof/>
          </w:rPr>
          <w:t>Table 12</w:t>
        </w:r>
        <w:r w:rsidR="00434FE1">
          <w:rPr>
            <w:rFonts w:eastAsiaTheme="minorEastAsia" w:cstheme="minorBidi"/>
            <w:noProof/>
            <w:sz w:val="22"/>
            <w:szCs w:val="22"/>
          </w:rPr>
          <w:tab/>
        </w:r>
        <w:r w:rsidR="00434FE1" w:rsidRPr="002629E2">
          <w:rPr>
            <w:rStyle w:val="Hyperlink"/>
            <w:rFonts w:eastAsiaTheme="majorEastAsia"/>
            <w:noProof/>
          </w:rPr>
          <w:t>Summary statistics of AM-FIM subscales</w:t>
        </w:r>
        <w:r w:rsidR="00434FE1">
          <w:rPr>
            <w:noProof/>
            <w:webHidden/>
          </w:rPr>
          <w:tab/>
        </w:r>
        <w:r w:rsidR="00434FE1">
          <w:rPr>
            <w:noProof/>
            <w:webHidden/>
          </w:rPr>
          <w:fldChar w:fldCharType="begin"/>
        </w:r>
        <w:r w:rsidR="00434FE1">
          <w:rPr>
            <w:noProof/>
            <w:webHidden/>
          </w:rPr>
          <w:instrText xml:space="preserve"> PAGEREF _Toc2065674 \h </w:instrText>
        </w:r>
        <w:r w:rsidR="00434FE1">
          <w:rPr>
            <w:noProof/>
            <w:webHidden/>
          </w:rPr>
        </w:r>
        <w:r w:rsidR="00434FE1">
          <w:rPr>
            <w:noProof/>
            <w:webHidden/>
          </w:rPr>
          <w:fldChar w:fldCharType="separate"/>
        </w:r>
        <w:r w:rsidR="00992D00">
          <w:rPr>
            <w:noProof/>
            <w:webHidden/>
          </w:rPr>
          <w:t>28</w:t>
        </w:r>
        <w:r w:rsidR="00434FE1">
          <w:rPr>
            <w:noProof/>
            <w:webHidden/>
          </w:rPr>
          <w:fldChar w:fldCharType="end"/>
        </w:r>
      </w:hyperlink>
    </w:p>
    <w:p w14:paraId="71BB9B2F" w14:textId="1094055D" w:rsidR="00434FE1" w:rsidRDefault="00E84B13">
      <w:pPr>
        <w:pStyle w:val="TableofFigures"/>
        <w:tabs>
          <w:tab w:val="left" w:pos="1200"/>
          <w:tab w:val="right" w:leader="dot" w:pos="9344"/>
        </w:tabs>
        <w:rPr>
          <w:rFonts w:eastAsiaTheme="minorEastAsia" w:cstheme="minorBidi"/>
          <w:noProof/>
          <w:sz w:val="22"/>
          <w:szCs w:val="22"/>
        </w:rPr>
      </w:pPr>
      <w:hyperlink w:anchor="_Toc2065675" w:history="1">
        <w:r w:rsidR="00434FE1" w:rsidRPr="002629E2">
          <w:rPr>
            <w:rStyle w:val="Hyperlink"/>
            <w:rFonts w:eastAsiaTheme="majorEastAsia"/>
            <w:noProof/>
          </w:rPr>
          <w:t>Table 13</w:t>
        </w:r>
        <w:r w:rsidR="00434FE1">
          <w:rPr>
            <w:rFonts w:eastAsiaTheme="minorEastAsia" w:cstheme="minorBidi"/>
            <w:noProof/>
            <w:sz w:val="22"/>
            <w:szCs w:val="22"/>
          </w:rPr>
          <w:tab/>
        </w:r>
        <w:r w:rsidR="00434FE1" w:rsidRPr="002629E2">
          <w:rPr>
            <w:rStyle w:val="Hyperlink"/>
            <w:rFonts w:eastAsiaTheme="majorEastAsia"/>
            <w:noProof/>
          </w:rPr>
          <w:t>Number of items recorded as present on the NPI-NH</w:t>
        </w:r>
        <w:r w:rsidR="00434FE1">
          <w:rPr>
            <w:noProof/>
            <w:webHidden/>
          </w:rPr>
          <w:tab/>
        </w:r>
        <w:r w:rsidR="00434FE1">
          <w:rPr>
            <w:noProof/>
            <w:webHidden/>
          </w:rPr>
          <w:fldChar w:fldCharType="begin"/>
        </w:r>
        <w:r w:rsidR="00434FE1">
          <w:rPr>
            <w:noProof/>
            <w:webHidden/>
          </w:rPr>
          <w:instrText xml:space="preserve"> PAGEREF _Toc2065675 \h </w:instrText>
        </w:r>
        <w:r w:rsidR="00434FE1">
          <w:rPr>
            <w:noProof/>
            <w:webHidden/>
          </w:rPr>
        </w:r>
        <w:r w:rsidR="00434FE1">
          <w:rPr>
            <w:noProof/>
            <w:webHidden/>
          </w:rPr>
          <w:fldChar w:fldCharType="separate"/>
        </w:r>
        <w:r w:rsidR="00992D00">
          <w:rPr>
            <w:noProof/>
            <w:webHidden/>
          </w:rPr>
          <w:t>29</w:t>
        </w:r>
        <w:r w:rsidR="00434FE1">
          <w:rPr>
            <w:noProof/>
            <w:webHidden/>
          </w:rPr>
          <w:fldChar w:fldCharType="end"/>
        </w:r>
      </w:hyperlink>
    </w:p>
    <w:p w14:paraId="453D4E23" w14:textId="4E21C316" w:rsidR="00434FE1" w:rsidRDefault="00E84B13">
      <w:pPr>
        <w:pStyle w:val="TableofFigures"/>
        <w:tabs>
          <w:tab w:val="left" w:pos="1200"/>
          <w:tab w:val="right" w:leader="dot" w:pos="9344"/>
        </w:tabs>
        <w:rPr>
          <w:rFonts w:eastAsiaTheme="minorEastAsia" w:cstheme="minorBidi"/>
          <w:noProof/>
          <w:sz w:val="22"/>
          <w:szCs w:val="22"/>
        </w:rPr>
      </w:pPr>
      <w:hyperlink w:anchor="_Toc2065676" w:history="1">
        <w:r w:rsidR="00434FE1" w:rsidRPr="002629E2">
          <w:rPr>
            <w:rStyle w:val="Hyperlink"/>
            <w:rFonts w:eastAsiaTheme="majorEastAsia"/>
            <w:noProof/>
          </w:rPr>
          <w:t>Table 14</w:t>
        </w:r>
        <w:r w:rsidR="00434FE1">
          <w:rPr>
            <w:rFonts w:eastAsiaTheme="minorEastAsia" w:cstheme="minorBidi"/>
            <w:noProof/>
            <w:sz w:val="22"/>
            <w:szCs w:val="22"/>
          </w:rPr>
          <w:tab/>
        </w:r>
        <w:r w:rsidR="00434FE1" w:rsidRPr="002629E2">
          <w:rPr>
            <w:rStyle w:val="Hyperlink"/>
            <w:rFonts w:eastAsiaTheme="majorEastAsia"/>
            <w:noProof/>
          </w:rPr>
          <w:t>Number and percentage of residents with NPI-NH item present</w:t>
        </w:r>
        <w:r w:rsidR="00434FE1">
          <w:rPr>
            <w:noProof/>
            <w:webHidden/>
          </w:rPr>
          <w:tab/>
        </w:r>
        <w:r w:rsidR="00434FE1">
          <w:rPr>
            <w:noProof/>
            <w:webHidden/>
          </w:rPr>
          <w:fldChar w:fldCharType="begin"/>
        </w:r>
        <w:r w:rsidR="00434FE1">
          <w:rPr>
            <w:noProof/>
            <w:webHidden/>
          </w:rPr>
          <w:instrText xml:space="preserve"> PAGEREF _Toc2065676 \h </w:instrText>
        </w:r>
        <w:r w:rsidR="00434FE1">
          <w:rPr>
            <w:noProof/>
            <w:webHidden/>
          </w:rPr>
        </w:r>
        <w:r w:rsidR="00434FE1">
          <w:rPr>
            <w:noProof/>
            <w:webHidden/>
          </w:rPr>
          <w:fldChar w:fldCharType="separate"/>
        </w:r>
        <w:r w:rsidR="00992D00">
          <w:rPr>
            <w:noProof/>
            <w:webHidden/>
          </w:rPr>
          <w:t>30</w:t>
        </w:r>
        <w:r w:rsidR="00434FE1">
          <w:rPr>
            <w:noProof/>
            <w:webHidden/>
          </w:rPr>
          <w:fldChar w:fldCharType="end"/>
        </w:r>
      </w:hyperlink>
    </w:p>
    <w:p w14:paraId="5BEB7C7D" w14:textId="21DC96EE" w:rsidR="00434FE1" w:rsidRDefault="00E84B13">
      <w:pPr>
        <w:pStyle w:val="TableofFigures"/>
        <w:tabs>
          <w:tab w:val="left" w:pos="1200"/>
          <w:tab w:val="right" w:leader="dot" w:pos="9344"/>
        </w:tabs>
        <w:rPr>
          <w:rFonts w:eastAsiaTheme="minorEastAsia" w:cstheme="minorBidi"/>
          <w:noProof/>
          <w:sz w:val="22"/>
          <w:szCs w:val="22"/>
        </w:rPr>
      </w:pPr>
      <w:hyperlink w:anchor="_Toc2065677" w:history="1">
        <w:r w:rsidR="00434FE1" w:rsidRPr="002629E2">
          <w:rPr>
            <w:rStyle w:val="Hyperlink"/>
            <w:rFonts w:eastAsiaTheme="majorEastAsia"/>
            <w:noProof/>
          </w:rPr>
          <w:t>Table 15</w:t>
        </w:r>
        <w:r w:rsidR="00434FE1">
          <w:rPr>
            <w:rFonts w:eastAsiaTheme="minorEastAsia" w:cstheme="minorBidi"/>
            <w:noProof/>
            <w:sz w:val="22"/>
            <w:szCs w:val="22"/>
          </w:rPr>
          <w:tab/>
        </w:r>
        <w:r w:rsidR="00434FE1" w:rsidRPr="002629E2">
          <w:rPr>
            <w:rStyle w:val="Hyperlink"/>
            <w:rFonts w:eastAsiaTheme="majorEastAsia"/>
            <w:noProof/>
          </w:rPr>
          <w:t>Number of NPI-NH items present and moderately to extremely disruptive</w:t>
        </w:r>
        <w:r w:rsidR="00434FE1">
          <w:rPr>
            <w:noProof/>
            <w:webHidden/>
          </w:rPr>
          <w:tab/>
        </w:r>
        <w:r w:rsidR="00434FE1">
          <w:rPr>
            <w:noProof/>
            <w:webHidden/>
          </w:rPr>
          <w:fldChar w:fldCharType="begin"/>
        </w:r>
        <w:r w:rsidR="00434FE1">
          <w:rPr>
            <w:noProof/>
            <w:webHidden/>
          </w:rPr>
          <w:instrText xml:space="preserve"> PAGEREF _Toc2065677 \h </w:instrText>
        </w:r>
        <w:r w:rsidR="00434FE1">
          <w:rPr>
            <w:noProof/>
            <w:webHidden/>
          </w:rPr>
        </w:r>
        <w:r w:rsidR="00434FE1">
          <w:rPr>
            <w:noProof/>
            <w:webHidden/>
          </w:rPr>
          <w:fldChar w:fldCharType="separate"/>
        </w:r>
        <w:r w:rsidR="00992D00">
          <w:rPr>
            <w:noProof/>
            <w:webHidden/>
          </w:rPr>
          <w:t>31</w:t>
        </w:r>
        <w:r w:rsidR="00434FE1">
          <w:rPr>
            <w:noProof/>
            <w:webHidden/>
          </w:rPr>
          <w:fldChar w:fldCharType="end"/>
        </w:r>
      </w:hyperlink>
    </w:p>
    <w:p w14:paraId="7413B733" w14:textId="32D534D4" w:rsidR="00434FE1" w:rsidRDefault="00E84B13">
      <w:pPr>
        <w:pStyle w:val="TableofFigures"/>
        <w:tabs>
          <w:tab w:val="left" w:pos="1200"/>
          <w:tab w:val="right" w:leader="dot" w:pos="9344"/>
        </w:tabs>
        <w:rPr>
          <w:rFonts w:eastAsiaTheme="minorEastAsia" w:cstheme="minorBidi"/>
          <w:noProof/>
          <w:sz w:val="22"/>
          <w:szCs w:val="22"/>
        </w:rPr>
      </w:pPr>
      <w:hyperlink w:anchor="_Toc2065678" w:history="1">
        <w:r w:rsidR="00434FE1" w:rsidRPr="002629E2">
          <w:rPr>
            <w:rStyle w:val="Hyperlink"/>
            <w:rFonts w:eastAsiaTheme="majorEastAsia"/>
            <w:noProof/>
          </w:rPr>
          <w:t>Table 16</w:t>
        </w:r>
        <w:r w:rsidR="00434FE1">
          <w:rPr>
            <w:rFonts w:eastAsiaTheme="minorEastAsia" w:cstheme="minorBidi"/>
            <w:noProof/>
            <w:sz w:val="22"/>
            <w:szCs w:val="22"/>
          </w:rPr>
          <w:tab/>
        </w:r>
        <w:r w:rsidR="00434FE1" w:rsidRPr="002629E2">
          <w:rPr>
            <w:rStyle w:val="Hyperlink"/>
            <w:rFonts w:eastAsiaTheme="majorEastAsia"/>
            <w:noProof/>
          </w:rPr>
          <w:t>Examples of comparisons of scores</w:t>
        </w:r>
        <w:r w:rsidR="00434FE1">
          <w:rPr>
            <w:noProof/>
            <w:webHidden/>
          </w:rPr>
          <w:tab/>
        </w:r>
        <w:r w:rsidR="00434FE1">
          <w:rPr>
            <w:noProof/>
            <w:webHidden/>
          </w:rPr>
          <w:fldChar w:fldCharType="begin"/>
        </w:r>
        <w:r w:rsidR="00434FE1">
          <w:rPr>
            <w:noProof/>
            <w:webHidden/>
          </w:rPr>
          <w:instrText xml:space="preserve"> PAGEREF _Toc2065678 \h </w:instrText>
        </w:r>
        <w:r w:rsidR="00434FE1">
          <w:rPr>
            <w:noProof/>
            <w:webHidden/>
          </w:rPr>
        </w:r>
        <w:r w:rsidR="00434FE1">
          <w:rPr>
            <w:noProof/>
            <w:webHidden/>
          </w:rPr>
          <w:fldChar w:fldCharType="separate"/>
        </w:r>
        <w:r w:rsidR="00992D00">
          <w:rPr>
            <w:noProof/>
            <w:webHidden/>
          </w:rPr>
          <w:t>32</w:t>
        </w:r>
        <w:r w:rsidR="00434FE1">
          <w:rPr>
            <w:noProof/>
            <w:webHidden/>
          </w:rPr>
          <w:fldChar w:fldCharType="end"/>
        </w:r>
      </w:hyperlink>
    </w:p>
    <w:p w14:paraId="33682008" w14:textId="7BF2457D" w:rsidR="00434FE1" w:rsidRDefault="00E84B13">
      <w:pPr>
        <w:pStyle w:val="TableofFigures"/>
        <w:tabs>
          <w:tab w:val="left" w:pos="1200"/>
          <w:tab w:val="right" w:leader="dot" w:pos="9344"/>
        </w:tabs>
        <w:rPr>
          <w:rFonts w:eastAsiaTheme="minorEastAsia" w:cstheme="minorBidi"/>
          <w:noProof/>
          <w:sz w:val="22"/>
          <w:szCs w:val="22"/>
        </w:rPr>
      </w:pPr>
      <w:hyperlink w:anchor="_Toc2065679" w:history="1">
        <w:r w:rsidR="00434FE1" w:rsidRPr="002629E2">
          <w:rPr>
            <w:rStyle w:val="Hyperlink"/>
            <w:rFonts w:eastAsiaTheme="majorEastAsia"/>
            <w:noProof/>
          </w:rPr>
          <w:t>Table 17</w:t>
        </w:r>
        <w:r w:rsidR="00434FE1">
          <w:rPr>
            <w:rFonts w:eastAsiaTheme="minorEastAsia" w:cstheme="minorBidi"/>
            <w:noProof/>
            <w:sz w:val="22"/>
            <w:szCs w:val="22"/>
          </w:rPr>
          <w:tab/>
        </w:r>
        <w:r w:rsidR="00434FE1" w:rsidRPr="002629E2">
          <w:rPr>
            <w:rStyle w:val="Hyperlink"/>
            <w:rFonts w:eastAsiaTheme="majorEastAsia"/>
            <w:noProof/>
          </w:rPr>
          <w:t>RIV of independent variables</w:t>
        </w:r>
        <w:r w:rsidR="00434FE1">
          <w:rPr>
            <w:noProof/>
            <w:webHidden/>
          </w:rPr>
          <w:tab/>
        </w:r>
        <w:r w:rsidR="00434FE1">
          <w:rPr>
            <w:noProof/>
            <w:webHidden/>
          </w:rPr>
          <w:fldChar w:fldCharType="begin"/>
        </w:r>
        <w:r w:rsidR="00434FE1">
          <w:rPr>
            <w:noProof/>
            <w:webHidden/>
          </w:rPr>
          <w:instrText xml:space="preserve"> PAGEREF _Toc2065679 \h </w:instrText>
        </w:r>
        <w:r w:rsidR="00434FE1">
          <w:rPr>
            <w:noProof/>
            <w:webHidden/>
          </w:rPr>
        </w:r>
        <w:r w:rsidR="00434FE1">
          <w:rPr>
            <w:noProof/>
            <w:webHidden/>
          </w:rPr>
          <w:fldChar w:fldCharType="separate"/>
        </w:r>
        <w:r w:rsidR="00992D00">
          <w:rPr>
            <w:noProof/>
            <w:webHidden/>
          </w:rPr>
          <w:t>35</w:t>
        </w:r>
        <w:r w:rsidR="00434FE1">
          <w:rPr>
            <w:noProof/>
            <w:webHidden/>
          </w:rPr>
          <w:fldChar w:fldCharType="end"/>
        </w:r>
      </w:hyperlink>
    </w:p>
    <w:p w14:paraId="3CA19A2A" w14:textId="39542251" w:rsidR="00434FE1" w:rsidRDefault="00E84B13">
      <w:pPr>
        <w:pStyle w:val="TableofFigures"/>
        <w:tabs>
          <w:tab w:val="left" w:pos="1200"/>
          <w:tab w:val="right" w:leader="dot" w:pos="9344"/>
        </w:tabs>
        <w:rPr>
          <w:rFonts w:eastAsiaTheme="minorEastAsia" w:cstheme="minorBidi"/>
          <w:noProof/>
          <w:sz w:val="22"/>
          <w:szCs w:val="22"/>
        </w:rPr>
      </w:pPr>
      <w:hyperlink w:anchor="_Toc2065680" w:history="1">
        <w:r w:rsidR="00434FE1" w:rsidRPr="002629E2">
          <w:rPr>
            <w:rStyle w:val="Hyperlink"/>
            <w:rFonts w:eastAsiaTheme="majorEastAsia"/>
            <w:noProof/>
          </w:rPr>
          <w:t>Table 18</w:t>
        </w:r>
        <w:r w:rsidR="00434FE1">
          <w:rPr>
            <w:rFonts w:eastAsiaTheme="minorEastAsia" w:cstheme="minorBidi"/>
            <w:noProof/>
            <w:sz w:val="22"/>
            <w:szCs w:val="22"/>
          </w:rPr>
          <w:tab/>
        </w:r>
        <w:r w:rsidR="00434FE1" w:rsidRPr="002629E2">
          <w:rPr>
            <w:rStyle w:val="Hyperlink"/>
            <w:rFonts w:eastAsiaTheme="majorEastAsia"/>
            <w:noProof/>
          </w:rPr>
          <w:t>Individual general care activities</w:t>
        </w:r>
        <w:r w:rsidR="00434FE1">
          <w:rPr>
            <w:noProof/>
            <w:webHidden/>
          </w:rPr>
          <w:tab/>
        </w:r>
        <w:r w:rsidR="00434FE1">
          <w:rPr>
            <w:noProof/>
            <w:webHidden/>
          </w:rPr>
          <w:fldChar w:fldCharType="begin"/>
        </w:r>
        <w:r w:rsidR="00434FE1">
          <w:rPr>
            <w:noProof/>
            <w:webHidden/>
          </w:rPr>
          <w:instrText xml:space="preserve"> PAGEREF _Toc2065680 \h </w:instrText>
        </w:r>
        <w:r w:rsidR="00434FE1">
          <w:rPr>
            <w:noProof/>
            <w:webHidden/>
          </w:rPr>
        </w:r>
        <w:r w:rsidR="00434FE1">
          <w:rPr>
            <w:noProof/>
            <w:webHidden/>
          </w:rPr>
          <w:fldChar w:fldCharType="separate"/>
        </w:r>
        <w:r w:rsidR="00992D00">
          <w:rPr>
            <w:noProof/>
            <w:webHidden/>
          </w:rPr>
          <w:t>47</w:t>
        </w:r>
        <w:r w:rsidR="00434FE1">
          <w:rPr>
            <w:noProof/>
            <w:webHidden/>
          </w:rPr>
          <w:fldChar w:fldCharType="end"/>
        </w:r>
      </w:hyperlink>
    </w:p>
    <w:p w14:paraId="1EA40D22" w14:textId="30857ACC" w:rsidR="00434FE1" w:rsidRDefault="00E84B13">
      <w:pPr>
        <w:pStyle w:val="TableofFigures"/>
        <w:tabs>
          <w:tab w:val="left" w:pos="1200"/>
          <w:tab w:val="right" w:leader="dot" w:pos="9344"/>
        </w:tabs>
        <w:rPr>
          <w:rFonts w:eastAsiaTheme="minorEastAsia" w:cstheme="minorBidi"/>
          <w:noProof/>
          <w:sz w:val="22"/>
          <w:szCs w:val="22"/>
        </w:rPr>
      </w:pPr>
      <w:hyperlink w:anchor="_Toc2065681" w:history="1">
        <w:r w:rsidR="00434FE1" w:rsidRPr="002629E2">
          <w:rPr>
            <w:rStyle w:val="Hyperlink"/>
            <w:rFonts w:eastAsiaTheme="majorEastAsia"/>
            <w:noProof/>
          </w:rPr>
          <w:t>Table 19</w:t>
        </w:r>
        <w:r w:rsidR="00434FE1">
          <w:rPr>
            <w:rFonts w:eastAsiaTheme="minorEastAsia" w:cstheme="minorBidi"/>
            <w:noProof/>
            <w:sz w:val="22"/>
            <w:szCs w:val="22"/>
          </w:rPr>
          <w:tab/>
        </w:r>
        <w:r w:rsidR="00434FE1" w:rsidRPr="002629E2">
          <w:rPr>
            <w:rStyle w:val="Hyperlink"/>
            <w:rFonts w:eastAsiaTheme="majorEastAsia"/>
            <w:noProof/>
          </w:rPr>
          <w:t>Individual nursing care activities</w:t>
        </w:r>
        <w:r w:rsidR="00434FE1">
          <w:rPr>
            <w:noProof/>
            <w:webHidden/>
          </w:rPr>
          <w:tab/>
        </w:r>
        <w:r w:rsidR="00434FE1">
          <w:rPr>
            <w:noProof/>
            <w:webHidden/>
          </w:rPr>
          <w:fldChar w:fldCharType="begin"/>
        </w:r>
        <w:r w:rsidR="00434FE1">
          <w:rPr>
            <w:noProof/>
            <w:webHidden/>
          </w:rPr>
          <w:instrText xml:space="preserve"> PAGEREF _Toc2065681 \h </w:instrText>
        </w:r>
        <w:r w:rsidR="00434FE1">
          <w:rPr>
            <w:noProof/>
            <w:webHidden/>
          </w:rPr>
        </w:r>
        <w:r w:rsidR="00434FE1">
          <w:rPr>
            <w:noProof/>
            <w:webHidden/>
          </w:rPr>
          <w:fldChar w:fldCharType="separate"/>
        </w:r>
        <w:r w:rsidR="00992D00">
          <w:rPr>
            <w:noProof/>
            <w:webHidden/>
          </w:rPr>
          <w:t>49</w:t>
        </w:r>
        <w:r w:rsidR="00434FE1">
          <w:rPr>
            <w:noProof/>
            <w:webHidden/>
          </w:rPr>
          <w:fldChar w:fldCharType="end"/>
        </w:r>
      </w:hyperlink>
    </w:p>
    <w:p w14:paraId="16989CF5" w14:textId="5EF40644" w:rsidR="00434FE1" w:rsidRDefault="00E84B13">
      <w:pPr>
        <w:pStyle w:val="TableofFigures"/>
        <w:tabs>
          <w:tab w:val="left" w:pos="1200"/>
          <w:tab w:val="right" w:leader="dot" w:pos="9344"/>
        </w:tabs>
        <w:rPr>
          <w:rFonts w:eastAsiaTheme="minorEastAsia" w:cstheme="minorBidi"/>
          <w:noProof/>
          <w:sz w:val="22"/>
          <w:szCs w:val="22"/>
        </w:rPr>
      </w:pPr>
      <w:hyperlink w:anchor="_Toc2065682" w:history="1">
        <w:r w:rsidR="00434FE1" w:rsidRPr="002629E2">
          <w:rPr>
            <w:rStyle w:val="Hyperlink"/>
            <w:rFonts w:eastAsiaTheme="majorEastAsia"/>
            <w:noProof/>
          </w:rPr>
          <w:t>Table 20</w:t>
        </w:r>
        <w:r w:rsidR="00434FE1">
          <w:rPr>
            <w:rFonts w:eastAsiaTheme="minorEastAsia" w:cstheme="minorBidi"/>
            <w:noProof/>
            <w:sz w:val="22"/>
            <w:szCs w:val="22"/>
          </w:rPr>
          <w:tab/>
        </w:r>
        <w:r w:rsidR="00434FE1" w:rsidRPr="002629E2">
          <w:rPr>
            <w:rStyle w:val="Hyperlink"/>
            <w:rFonts w:eastAsiaTheme="majorEastAsia"/>
            <w:noProof/>
          </w:rPr>
          <w:t>Shared care activities</w:t>
        </w:r>
        <w:r w:rsidR="00434FE1">
          <w:rPr>
            <w:noProof/>
            <w:webHidden/>
          </w:rPr>
          <w:tab/>
        </w:r>
        <w:r w:rsidR="00434FE1">
          <w:rPr>
            <w:noProof/>
            <w:webHidden/>
          </w:rPr>
          <w:fldChar w:fldCharType="begin"/>
        </w:r>
        <w:r w:rsidR="00434FE1">
          <w:rPr>
            <w:noProof/>
            <w:webHidden/>
          </w:rPr>
          <w:instrText xml:space="preserve"> PAGEREF _Toc2065682 \h </w:instrText>
        </w:r>
        <w:r w:rsidR="00434FE1">
          <w:rPr>
            <w:noProof/>
            <w:webHidden/>
          </w:rPr>
        </w:r>
        <w:r w:rsidR="00434FE1">
          <w:rPr>
            <w:noProof/>
            <w:webHidden/>
          </w:rPr>
          <w:fldChar w:fldCharType="separate"/>
        </w:r>
        <w:r w:rsidR="00992D00">
          <w:rPr>
            <w:noProof/>
            <w:webHidden/>
          </w:rPr>
          <w:t>50</w:t>
        </w:r>
        <w:r w:rsidR="00434FE1">
          <w:rPr>
            <w:noProof/>
            <w:webHidden/>
          </w:rPr>
          <w:fldChar w:fldCharType="end"/>
        </w:r>
      </w:hyperlink>
    </w:p>
    <w:p w14:paraId="77CA210B" w14:textId="77777777" w:rsidR="00337E34" w:rsidRPr="00722403" w:rsidRDefault="000F654C" w:rsidP="00B82914">
      <w:pPr>
        <w:pStyle w:val="Caption"/>
        <w:spacing w:before="240"/>
        <w:rPr>
          <w:sz w:val="36"/>
          <w:szCs w:val="36"/>
        </w:rPr>
      </w:pPr>
      <w:r>
        <w:rPr>
          <w:sz w:val="36"/>
          <w:szCs w:val="36"/>
        </w:rPr>
        <w:fldChar w:fldCharType="end"/>
      </w:r>
      <w:r w:rsidR="00337E34" w:rsidRPr="00722403">
        <w:rPr>
          <w:sz w:val="36"/>
          <w:szCs w:val="36"/>
        </w:rPr>
        <w:t xml:space="preserve">List of </w:t>
      </w:r>
      <w:r w:rsidR="00655C02" w:rsidRPr="00722403">
        <w:rPr>
          <w:sz w:val="36"/>
          <w:szCs w:val="36"/>
        </w:rPr>
        <w:t>f</w:t>
      </w:r>
      <w:r w:rsidR="00337E34" w:rsidRPr="00722403">
        <w:rPr>
          <w:sz w:val="36"/>
          <w:szCs w:val="36"/>
        </w:rPr>
        <w:t>igures</w:t>
      </w:r>
    </w:p>
    <w:bookmarkStart w:id="8" w:name="_Ref467164317"/>
    <w:p w14:paraId="20628C1F" w14:textId="470903B7" w:rsidR="00725FDD" w:rsidRDefault="00472731">
      <w:pPr>
        <w:pStyle w:val="TableofFigures"/>
        <w:tabs>
          <w:tab w:val="left" w:pos="1200"/>
          <w:tab w:val="right" w:leader="dot" w:pos="9344"/>
        </w:tabs>
        <w:rPr>
          <w:rFonts w:eastAsiaTheme="minorEastAsia" w:cstheme="minorBidi"/>
          <w:noProof/>
          <w:sz w:val="22"/>
          <w:szCs w:val="22"/>
        </w:rPr>
      </w:pPr>
      <w:r w:rsidRPr="00655C02">
        <w:rPr>
          <w:rStyle w:val="Hyperlink"/>
          <w:rFonts w:eastAsiaTheme="majorEastAsia"/>
          <w:noProof/>
          <w:sz w:val="22"/>
          <w:szCs w:val="22"/>
        </w:rPr>
        <w:fldChar w:fldCharType="begin"/>
      </w:r>
      <w:r w:rsidRPr="00655C02">
        <w:rPr>
          <w:rStyle w:val="Hyperlink"/>
          <w:rFonts w:eastAsiaTheme="majorEastAsia"/>
          <w:noProof/>
          <w:sz w:val="22"/>
          <w:szCs w:val="22"/>
        </w:rPr>
        <w:instrText xml:space="preserve"> TOC \h \z \c "Figure" </w:instrText>
      </w:r>
      <w:r w:rsidRPr="00655C02">
        <w:rPr>
          <w:rStyle w:val="Hyperlink"/>
          <w:rFonts w:eastAsiaTheme="majorEastAsia"/>
          <w:noProof/>
          <w:sz w:val="22"/>
          <w:szCs w:val="22"/>
        </w:rPr>
        <w:fldChar w:fldCharType="separate"/>
      </w:r>
      <w:hyperlink w:anchor="_Toc947238" w:history="1">
        <w:r w:rsidR="00725FDD" w:rsidRPr="00204103">
          <w:rPr>
            <w:rStyle w:val="Hyperlink"/>
            <w:rFonts w:eastAsiaTheme="majorEastAsia"/>
            <w:noProof/>
          </w:rPr>
          <w:t>Figure 1</w:t>
        </w:r>
        <w:r w:rsidR="00725FDD">
          <w:rPr>
            <w:rFonts w:eastAsiaTheme="minorEastAsia" w:cstheme="minorBidi"/>
            <w:noProof/>
            <w:sz w:val="22"/>
            <w:szCs w:val="22"/>
          </w:rPr>
          <w:tab/>
        </w:r>
        <w:r w:rsidR="00725FDD" w:rsidRPr="00204103">
          <w:rPr>
            <w:rStyle w:val="Hyperlink"/>
            <w:rFonts w:eastAsiaTheme="majorEastAsia"/>
            <w:noProof/>
          </w:rPr>
          <w:t>Daily volume of activity at a sample facility over the study month</w:t>
        </w:r>
        <w:r w:rsidR="00725FDD">
          <w:rPr>
            <w:noProof/>
            <w:webHidden/>
          </w:rPr>
          <w:tab/>
        </w:r>
        <w:r w:rsidR="00725FDD">
          <w:rPr>
            <w:noProof/>
            <w:webHidden/>
          </w:rPr>
          <w:fldChar w:fldCharType="begin"/>
        </w:r>
        <w:r w:rsidR="00725FDD">
          <w:rPr>
            <w:noProof/>
            <w:webHidden/>
          </w:rPr>
          <w:instrText xml:space="preserve"> PAGEREF _Toc947238 \h </w:instrText>
        </w:r>
        <w:r w:rsidR="00725FDD">
          <w:rPr>
            <w:noProof/>
            <w:webHidden/>
          </w:rPr>
        </w:r>
        <w:r w:rsidR="00725FDD">
          <w:rPr>
            <w:noProof/>
            <w:webHidden/>
          </w:rPr>
          <w:fldChar w:fldCharType="separate"/>
        </w:r>
        <w:r w:rsidR="00992D00">
          <w:rPr>
            <w:noProof/>
            <w:webHidden/>
          </w:rPr>
          <w:t>16</w:t>
        </w:r>
        <w:r w:rsidR="00725FDD">
          <w:rPr>
            <w:noProof/>
            <w:webHidden/>
          </w:rPr>
          <w:fldChar w:fldCharType="end"/>
        </w:r>
      </w:hyperlink>
    </w:p>
    <w:p w14:paraId="7FA6551A" w14:textId="4483FCD9" w:rsidR="00725FDD" w:rsidRDefault="00E84B13">
      <w:pPr>
        <w:pStyle w:val="TableofFigures"/>
        <w:tabs>
          <w:tab w:val="left" w:pos="1200"/>
          <w:tab w:val="right" w:leader="dot" w:pos="9344"/>
        </w:tabs>
        <w:rPr>
          <w:rFonts w:eastAsiaTheme="minorEastAsia" w:cstheme="minorBidi"/>
          <w:noProof/>
          <w:sz w:val="22"/>
          <w:szCs w:val="22"/>
        </w:rPr>
      </w:pPr>
      <w:hyperlink w:anchor="_Toc947239" w:history="1">
        <w:r w:rsidR="00725FDD" w:rsidRPr="00204103">
          <w:rPr>
            <w:rStyle w:val="Hyperlink"/>
            <w:rFonts w:eastAsiaTheme="majorEastAsia"/>
            <w:noProof/>
          </w:rPr>
          <w:t>Figure 2</w:t>
        </w:r>
        <w:r w:rsidR="00725FDD">
          <w:rPr>
            <w:rFonts w:eastAsiaTheme="minorEastAsia" w:cstheme="minorBidi"/>
            <w:noProof/>
            <w:sz w:val="22"/>
            <w:szCs w:val="22"/>
          </w:rPr>
          <w:tab/>
        </w:r>
        <w:r w:rsidR="00725FDD" w:rsidRPr="00204103">
          <w:rPr>
            <w:rStyle w:val="Hyperlink"/>
            <w:rFonts w:eastAsiaTheme="majorEastAsia"/>
            <w:noProof/>
          </w:rPr>
          <w:t>Braden Scale – frequency of response of item scores</w:t>
        </w:r>
        <w:r w:rsidR="00725FDD">
          <w:rPr>
            <w:noProof/>
            <w:webHidden/>
          </w:rPr>
          <w:tab/>
        </w:r>
        <w:r w:rsidR="00725FDD">
          <w:rPr>
            <w:noProof/>
            <w:webHidden/>
          </w:rPr>
          <w:fldChar w:fldCharType="begin"/>
        </w:r>
        <w:r w:rsidR="00725FDD">
          <w:rPr>
            <w:noProof/>
            <w:webHidden/>
          </w:rPr>
          <w:instrText xml:space="preserve"> PAGEREF _Toc947239 \h </w:instrText>
        </w:r>
        <w:r w:rsidR="00725FDD">
          <w:rPr>
            <w:noProof/>
            <w:webHidden/>
          </w:rPr>
        </w:r>
        <w:r w:rsidR="00725FDD">
          <w:rPr>
            <w:noProof/>
            <w:webHidden/>
          </w:rPr>
          <w:fldChar w:fldCharType="separate"/>
        </w:r>
        <w:r w:rsidR="00992D00">
          <w:rPr>
            <w:noProof/>
            <w:webHidden/>
          </w:rPr>
          <w:t>25</w:t>
        </w:r>
        <w:r w:rsidR="00725FDD">
          <w:rPr>
            <w:noProof/>
            <w:webHidden/>
          </w:rPr>
          <w:fldChar w:fldCharType="end"/>
        </w:r>
      </w:hyperlink>
    </w:p>
    <w:p w14:paraId="2B1BD077" w14:textId="238F97DA" w:rsidR="00725FDD" w:rsidRDefault="00E84B13">
      <w:pPr>
        <w:pStyle w:val="TableofFigures"/>
        <w:tabs>
          <w:tab w:val="left" w:pos="1200"/>
          <w:tab w:val="right" w:leader="dot" w:pos="9344"/>
        </w:tabs>
        <w:rPr>
          <w:rFonts w:eastAsiaTheme="minorEastAsia" w:cstheme="minorBidi"/>
          <w:noProof/>
          <w:sz w:val="22"/>
          <w:szCs w:val="22"/>
        </w:rPr>
      </w:pPr>
      <w:hyperlink w:anchor="_Toc947240" w:history="1">
        <w:r w:rsidR="00725FDD" w:rsidRPr="00204103">
          <w:rPr>
            <w:rStyle w:val="Hyperlink"/>
            <w:rFonts w:eastAsiaTheme="majorEastAsia"/>
            <w:noProof/>
          </w:rPr>
          <w:t>Figure 3</w:t>
        </w:r>
        <w:r w:rsidR="00725FDD">
          <w:rPr>
            <w:rFonts w:eastAsiaTheme="minorEastAsia" w:cstheme="minorBidi"/>
            <w:noProof/>
            <w:sz w:val="22"/>
            <w:szCs w:val="22"/>
          </w:rPr>
          <w:tab/>
        </w:r>
        <w:r w:rsidR="00725FDD" w:rsidRPr="00204103">
          <w:rPr>
            <w:rStyle w:val="Hyperlink"/>
            <w:rFonts w:eastAsiaTheme="majorEastAsia"/>
            <w:noProof/>
          </w:rPr>
          <w:t>AM-FIM motor and DEMMI total score</w:t>
        </w:r>
        <w:r w:rsidR="00725FDD">
          <w:rPr>
            <w:noProof/>
            <w:webHidden/>
          </w:rPr>
          <w:tab/>
        </w:r>
        <w:r w:rsidR="00725FDD">
          <w:rPr>
            <w:noProof/>
            <w:webHidden/>
          </w:rPr>
          <w:fldChar w:fldCharType="begin"/>
        </w:r>
        <w:r w:rsidR="00725FDD">
          <w:rPr>
            <w:noProof/>
            <w:webHidden/>
          </w:rPr>
          <w:instrText xml:space="preserve"> PAGEREF _Toc947240 \h </w:instrText>
        </w:r>
        <w:r w:rsidR="00725FDD">
          <w:rPr>
            <w:noProof/>
            <w:webHidden/>
          </w:rPr>
        </w:r>
        <w:r w:rsidR="00725FDD">
          <w:rPr>
            <w:noProof/>
            <w:webHidden/>
          </w:rPr>
          <w:fldChar w:fldCharType="separate"/>
        </w:r>
        <w:r w:rsidR="00992D00">
          <w:rPr>
            <w:noProof/>
            <w:webHidden/>
          </w:rPr>
          <w:t>32</w:t>
        </w:r>
        <w:r w:rsidR="00725FDD">
          <w:rPr>
            <w:noProof/>
            <w:webHidden/>
          </w:rPr>
          <w:fldChar w:fldCharType="end"/>
        </w:r>
      </w:hyperlink>
    </w:p>
    <w:p w14:paraId="65192F2F" w14:textId="4926F17C" w:rsidR="00725FDD" w:rsidRDefault="00E84B13">
      <w:pPr>
        <w:pStyle w:val="TableofFigures"/>
        <w:tabs>
          <w:tab w:val="left" w:pos="1200"/>
          <w:tab w:val="right" w:leader="dot" w:pos="9344"/>
        </w:tabs>
        <w:rPr>
          <w:rFonts w:eastAsiaTheme="minorEastAsia" w:cstheme="minorBidi"/>
          <w:noProof/>
          <w:sz w:val="22"/>
          <w:szCs w:val="22"/>
        </w:rPr>
      </w:pPr>
      <w:hyperlink w:anchor="_Toc947241" w:history="1">
        <w:r w:rsidR="00725FDD" w:rsidRPr="00204103">
          <w:rPr>
            <w:rStyle w:val="Hyperlink"/>
            <w:rFonts w:eastAsiaTheme="majorEastAsia"/>
            <w:noProof/>
          </w:rPr>
          <w:t>Figure 4</w:t>
        </w:r>
        <w:r w:rsidR="00725FDD">
          <w:rPr>
            <w:rFonts w:eastAsiaTheme="minorEastAsia" w:cstheme="minorBidi"/>
            <w:noProof/>
            <w:sz w:val="22"/>
            <w:szCs w:val="22"/>
          </w:rPr>
          <w:tab/>
        </w:r>
        <w:r w:rsidR="00725FDD" w:rsidRPr="00204103">
          <w:rPr>
            <w:rStyle w:val="Hyperlink"/>
            <w:rFonts w:eastAsiaTheme="majorEastAsia"/>
            <w:noProof/>
          </w:rPr>
          <w:t>The Australian National Aged Care Classification (AN-ACC) Version 1.0</w:t>
        </w:r>
        <w:r w:rsidR="00725FDD">
          <w:rPr>
            <w:noProof/>
            <w:webHidden/>
          </w:rPr>
          <w:tab/>
        </w:r>
        <w:r w:rsidR="00725FDD">
          <w:rPr>
            <w:noProof/>
            <w:webHidden/>
          </w:rPr>
          <w:fldChar w:fldCharType="begin"/>
        </w:r>
        <w:r w:rsidR="00725FDD">
          <w:rPr>
            <w:noProof/>
            <w:webHidden/>
          </w:rPr>
          <w:instrText xml:space="preserve"> PAGEREF _Toc947241 \h </w:instrText>
        </w:r>
        <w:r w:rsidR="00725FDD">
          <w:rPr>
            <w:noProof/>
            <w:webHidden/>
          </w:rPr>
        </w:r>
        <w:r w:rsidR="00725FDD">
          <w:rPr>
            <w:noProof/>
            <w:webHidden/>
          </w:rPr>
          <w:fldChar w:fldCharType="separate"/>
        </w:r>
        <w:r w:rsidR="00992D00">
          <w:rPr>
            <w:noProof/>
            <w:webHidden/>
          </w:rPr>
          <w:t>38</w:t>
        </w:r>
        <w:r w:rsidR="00725FDD">
          <w:rPr>
            <w:noProof/>
            <w:webHidden/>
          </w:rPr>
          <w:fldChar w:fldCharType="end"/>
        </w:r>
      </w:hyperlink>
    </w:p>
    <w:p w14:paraId="123402A2" w14:textId="2EAA6EF4" w:rsidR="00725FDD" w:rsidRDefault="00E84B13">
      <w:pPr>
        <w:pStyle w:val="TableofFigures"/>
        <w:tabs>
          <w:tab w:val="left" w:pos="1200"/>
          <w:tab w:val="right" w:leader="dot" w:pos="9344"/>
        </w:tabs>
        <w:rPr>
          <w:rFonts w:eastAsiaTheme="minorEastAsia" w:cstheme="minorBidi"/>
          <w:noProof/>
          <w:sz w:val="22"/>
          <w:szCs w:val="22"/>
        </w:rPr>
      </w:pPr>
      <w:hyperlink w:anchor="_Toc947242" w:history="1">
        <w:r w:rsidR="00725FDD" w:rsidRPr="00204103">
          <w:rPr>
            <w:rStyle w:val="Hyperlink"/>
            <w:rFonts w:eastAsiaTheme="majorEastAsia"/>
            <w:noProof/>
          </w:rPr>
          <w:t>Figure 5</w:t>
        </w:r>
        <w:r w:rsidR="00725FDD">
          <w:rPr>
            <w:rFonts w:eastAsiaTheme="minorEastAsia" w:cstheme="minorBidi"/>
            <w:noProof/>
            <w:sz w:val="22"/>
            <w:szCs w:val="22"/>
          </w:rPr>
          <w:tab/>
        </w:r>
        <w:r w:rsidR="00725FDD" w:rsidRPr="00204103">
          <w:rPr>
            <w:rStyle w:val="Hyperlink"/>
            <w:rFonts w:eastAsiaTheme="majorEastAsia"/>
            <w:noProof/>
          </w:rPr>
          <w:t xml:space="preserve">The Australian National Aged Care Classification (AN-ACC) Version 1.0 (technical </w:t>
        </w:r>
        <w:r w:rsidR="00733329">
          <w:rPr>
            <w:rStyle w:val="Hyperlink"/>
            <w:rFonts w:eastAsiaTheme="majorEastAsia"/>
            <w:noProof/>
          </w:rPr>
          <w:tab/>
        </w:r>
        <w:r w:rsidR="00725FDD" w:rsidRPr="00204103">
          <w:rPr>
            <w:rStyle w:val="Hyperlink"/>
            <w:rFonts w:eastAsiaTheme="majorEastAsia"/>
            <w:noProof/>
          </w:rPr>
          <w:t>description)</w:t>
        </w:r>
        <w:r w:rsidR="00725FDD">
          <w:rPr>
            <w:noProof/>
            <w:webHidden/>
          </w:rPr>
          <w:tab/>
        </w:r>
        <w:r w:rsidR="00725FDD">
          <w:rPr>
            <w:noProof/>
            <w:webHidden/>
          </w:rPr>
          <w:fldChar w:fldCharType="begin"/>
        </w:r>
        <w:r w:rsidR="00725FDD">
          <w:rPr>
            <w:noProof/>
            <w:webHidden/>
          </w:rPr>
          <w:instrText xml:space="preserve"> PAGEREF _Toc947242 \h </w:instrText>
        </w:r>
        <w:r w:rsidR="00725FDD">
          <w:rPr>
            <w:noProof/>
            <w:webHidden/>
          </w:rPr>
        </w:r>
        <w:r w:rsidR="00725FDD">
          <w:rPr>
            <w:noProof/>
            <w:webHidden/>
          </w:rPr>
          <w:fldChar w:fldCharType="separate"/>
        </w:r>
        <w:r w:rsidR="00992D00">
          <w:rPr>
            <w:noProof/>
            <w:webHidden/>
          </w:rPr>
          <w:t>39</w:t>
        </w:r>
        <w:r w:rsidR="00725FDD">
          <w:rPr>
            <w:noProof/>
            <w:webHidden/>
          </w:rPr>
          <w:fldChar w:fldCharType="end"/>
        </w:r>
      </w:hyperlink>
    </w:p>
    <w:p w14:paraId="7055AB2F" w14:textId="62FE840D" w:rsidR="00725FDD" w:rsidRDefault="00E84B13">
      <w:pPr>
        <w:pStyle w:val="TableofFigures"/>
        <w:tabs>
          <w:tab w:val="left" w:pos="1200"/>
          <w:tab w:val="right" w:leader="dot" w:pos="9344"/>
        </w:tabs>
        <w:rPr>
          <w:rFonts w:eastAsiaTheme="minorEastAsia" w:cstheme="minorBidi"/>
          <w:noProof/>
          <w:sz w:val="22"/>
          <w:szCs w:val="22"/>
        </w:rPr>
      </w:pPr>
      <w:hyperlink w:anchor="_Toc947243" w:history="1">
        <w:r w:rsidR="00725FDD" w:rsidRPr="00204103">
          <w:rPr>
            <w:rStyle w:val="Hyperlink"/>
            <w:rFonts w:eastAsiaTheme="majorEastAsia"/>
            <w:noProof/>
          </w:rPr>
          <w:t>Figure 6</w:t>
        </w:r>
        <w:r w:rsidR="00725FDD">
          <w:rPr>
            <w:rFonts w:eastAsiaTheme="minorEastAsia" w:cstheme="minorBidi"/>
            <w:noProof/>
            <w:sz w:val="22"/>
            <w:szCs w:val="22"/>
          </w:rPr>
          <w:tab/>
        </w:r>
        <w:r w:rsidR="00725FDD" w:rsidRPr="00204103">
          <w:rPr>
            <w:rStyle w:val="Hyperlink"/>
            <w:rFonts w:eastAsiaTheme="majorEastAsia"/>
            <w:noProof/>
          </w:rPr>
          <w:t>Results of the test re-test analysis</w:t>
        </w:r>
        <w:r w:rsidR="00725FDD">
          <w:rPr>
            <w:noProof/>
            <w:webHidden/>
          </w:rPr>
          <w:tab/>
        </w:r>
        <w:r w:rsidR="00725FDD">
          <w:rPr>
            <w:noProof/>
            <w:webHidden/>
          </w:rPr>
          <w:fldChar w:fldCharType="begin"/>
        </w:r>
        <w:r w:rsidR="00725FDD">
          <w:rPr>
            <w:noProof/>
            <w:webHidden/>
          </w:rPr>
          <w:instrText xml:space="preserve"> PAGEREF _Toc947243 \h </w:instrText>
        </w:r>
        <w:r w:rsidR="00725FDD">
          <w:rPr>
            <w:noProof/>
            <w:webHidden/>
          </w:rPr>
        </w:r>
        <w:r w:rsidR="00725FDD">
          <w:rPr>
            <w:noProof/>
            <w:webHidden/>
          </w:rPr>
          <w:fldChar w:fldCharType="separate"/>
        </w:r>
        <w:r w:rsidR="00992D00">
          <w:rPr>
            <w:noProof/>
            <w:webHidden/>
          </w:rPr>
          <w:t>40</w:t>
        </w:r>
        <w:r w:rsidR="00725FDD">
          <w:rPr>
            <w:noProof/>
            <w:webHidden/>
          </w:rPr>
          <w:fldChar w:fldCharType="end"/>
        </w:r>
      </w:hyperlink>
    </w:p>
    <w:p w14:paraId="21951BF8" w14:textId="77777777" w:rsidR="006E49DF" w:rsidRDefault="00472731" w:rsidP="008D734C">
      <w:pPr>
        <w:sectPr w:rsidR="006E49DF" w:rsidSect="006E091C">
          <w:headerReference w:type="default" r:id="rId13"/>
          <w:footerReference w:type="default" r:id="rId14"/>
          <w:pgSz w:w="11906" w:h="16838"/>
          <w:pgMar w:top="1134" w:right="1134" w:bottom="1021" w:left="1418" w:header="708" w:footer="708" w:gutter="0"/>
          <w:pgNumType w:fmt="lowerRoman" w:start="1"/>
          <w:cols w:space="708"/>
          <w:docGrid w:linePitch="360"/>
        </w:sectPr>
      </w:pPr>
      <w:r w:rsidRPr="00655C02">
        <w:rPr>
          <w:rStyle w:val="Hyperlink"/>
          <w:rFonts w:eastAsiaTheme="majorEastAsia"/>
          <w:noProof/>
          <w:sz w:val="22"/>
          <w:szCs w:val="22"/>
        </w:rPr>
        <w:fldChar w:fldCharType="end"/>
      </w:r>
    </w:p>
    <w:p w14:paraId="705EB02A" w14:textId="77777777" w:rsidR="00832696" w:rsidRDefault="00574C88" w:rsidP="0016396F">
      <w:pPr>
        <w:pStyle w:val="Heading1"/>
        <w:numPr>
          <w:ilvl w:val="0"/>
          <w:numId w:val="0"/>
        </w:numPr>
      </w:pPr>
      <w:bookmarkStart w:id="9" w:name="_Toc473044038"/>
      <w:bookmarkStart w:id="10" w:name="_Toc473102110"/>
      <w:bookmarkStart w:id="11" w:name="_Toc473621430"/>
      <w:bookmarkStart w:id="12" w:name="_Toc473621507"/>
      <w:bookmarkStart w:id="13" w:name="_Toc473645586"/>
      <w:bookmarkStart w:id="14" w:name="_Toc473645974"/>
      <w:bookmarkStart w:id="15" w:name="_Toc473646166"/>
      <w:bookmarkStart w:id="16" w:name="_Toc473646548"/>
      <w:bookmarkStart w:id="17" w:name="_Toc473708202"/>
      <w:bookmarkStart w:id="18" w:name="_Toc473708249"/>
      <w:bookmarkStart w:id="19" w:name="_Toc473726070"/>
      <w:bookmarkStart w:id="20" w:name="_Toc473726182"/>
      <w:bookmarkStart w:id="21" w:name="_Toc473726287"/>
      <w:bookmarkStart w:id="22" w:name="_Toc515031462"/>
      <w:bookmarkStart w:id="23" w:name="_Toc515031512"/>
      <w:bookmarkStart w:id="24" w:name="_Toc528932676"/>
      <w:bookmarkStart w:id="25" w:name="_Toc530165275"/>
      <w:bookmarkStart w:id="26" w:name="_Toc207029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A0B87">
        <w:lastRenderedPageBreak/>
        <w:t>Acknowledgements</w:t>
      </w:r>
      <w:bookmarkEnd w:id="24"/>
      <w:bookmarkEnd w:id="25"/>
      <w:bookmarkEnd w:id="26"/>
    </w:p>
    <w:p w14:paraId="7B992880" w14:textId="77777777" w:rsidR="00561CE0" w:rsidRDefault="005E5B89" w:rsidP="00A128F0">
      <w:pPr>
        <w:spacing w:after="240"/>
      </w:pPr>
      <w:r>
        <w:t xml:space="preserve">We would like to acknowledge the many stakeholders </w:t>
      </w:r>
      <w:r w:rsidR="00561CE0">
        <w:t xml:space="preserve">who </w:t>
      </w:r>
      <w:r>
        <w:t xml:space="preserve">contributed to </w:t>
      </w:r>
      <w:r w:rsidR="00561CE0">
        <w:t xml:space="preserve">this study. </w:t>
      </w:r>
      <w:r w:rsidR="00655C02">
        <w:t>W</w:t>
      </w:r>
      <w:r w:rsidR="00561CE0">
        <w:t xml:space="preserve">e extend our deep thanks to </w:t>
      </w:r>
      <w:r>
        <w:t xml:space="preserve">the residents who allowed us </w:t>
      </w:r>
      <w:r w:rsidR="00E4275E">
        <w:t>to conduct this study</w:t>
      </w:r>
      <w:r>
        <w:t>.</w:t>
      </w:r>
      <w:r w:rsidR="00561CE0">
        <w:t xml:space="preserve"> We would also like to thank the </w:t>
      </w:r>
      <w:r>
        <w:t xml:space="preserve">1,600 staff members </w:t>
      </w:r>
      <w:r w:rsidR="00D506A5">
        <w:t xml:space="preserve">who so willingly </w:t>
      </w:r>
      <w:r w:rsidR="00561CE0">
        <w:t xml:space="preserve">participated in </w:t>
      </w:r>
      <w:r w:rsidR="00D506A5">
        <w:t>this stud</w:t>
      </w:r>
      <w:r w:rsidR="003A0B87">
        <w:t>y</w:t>
      </w:r>
      <w:r w:rsidR="00561CE0">
        <w:t xml:space="preserve"> </w:t>
      </w:r>
      <w:r w:rsidR="00534F50">
        <w:t>– y</w:t>
      </w:r>
      <w:r w:rsidR="00561CE0">
        <w:t>our efforts to make this study a s</w:t>
      </w:r>
      <w:r w:rsidR="00722403">
        <w:t>uccess are greatly appreciated.</w:t>
      </w:r>
    </w:p>
    <w:p w14:paraId="3DB3B069" w14:textId="77777777" w:rsidR="003A0B87" w:rsidRPr="00574C88" w:rsidRDefault="003A0B87" w:rsidP="00561CE0">
      <w:r>
        <w:t xml:space="preserve">We also acknowledge the members of the clinical advisory panels whose expert advice was critical to the study. </w:t>
      </w:r>
      <w:r w:rsidR="00561CE0">
        <w:t xml:space="preserve">Finally, </w:t>
      </w:r>
      <w:r w:rsidR="00252BBB">
        <w:t xml:space="preserve">our </w:t>
      </w:r>
      <w:r w:rsidR="00561CE0" w:rsidRPr="00F25EE9">
        <w:t xml:space="preserve">thanks go to Melissa </w:t>
      </w:r>
      <w:r w:rsidR="00561CE0">
        <w:t xml:space="preserve">Crampton, </w:t>
      </w:r>
      <w:r w:rsidR="00561CE0" w:rsidRPr="00F25EE9">
        <w:t xml:space="preserve">Rob Montefiore-Gardner and the team in the </w:t>
      </w:r>
      <w:r w:rsidR="00561CE0">
        <w:t xml:space="preserve">Funding Reform Section within the Residential and Flexible Aged Care Division of the </w:t>
      </w:r>
      <w:r w:rsidR="00683615">
        <w:t xml:space="preserve">Commonwealth </w:t>
      </w:r>
      <w:r w:rsidR="00561CE0">
        <w:t xml:space="preserve">Department of Health for </w:t>
      </w:r>
      <w:r w:rsidR="00252BBB">
        <w:t xml:space="preserve">their </w:t>
      </w:r>
      <w:r w:rsidR="00561CE0">
        <w:t>ongoing support</w:t>
      </w:r>
      <w:r w:rsidR="00AE7A80">
        <w:t xml:space="preserve"> during this study.</w:t>
      </w:r>
    </w:p>
    <w:p w14:paraId="31837401" w14:textId="77777777" w:rsidR="00E4275E" w:rsidRDefault="00E4275E">
      <w:pPr>
        <w:rPr>
          <w:rFonts w:ascii="Calibri" w:eastAsiaTheme="majorEastAsia" w:hAnsi="Calibri" w:cstheme="majorBidi"/>
          <w:b/>
          <w:bCs/>
          <w:sz w:val="28"/>
          <w:szCs w:val="28"/>
        </w:rPr>
      </w:pPr>
      <w:bookmarkStart w:id="27" w:name="_Toc528848520"/>
      <w:r>
        <w:br w:type="page"/>
      </w:r>
    </w:p>
    <w:p w14:paraId="1B060542" w14:textId="77777777" w:rsidR="0073222F" w:rsidRDefault="0073222F" w:rsidP="0016396F">
      <w:pPr>
        <w:pStyle w:val="Heading1"/>
        <w:numPr>
          <w:ilvl w:val="0"/>
          <w:numId w:val="0"/>
        </w:numPr>
      </w:pPr>
      <w:bookmarkStart w:id="28" w:name="_Toc530165276"/>
      <w:bookmarkStart w:id="29" w:name="_Toc2070297"/>
      <w:r w:rsidRPr="00E71949">
        <w:lastRenderedPageBreak/>
        <w:t>A</w:t>
      </w:r>
      <w:r>
        <w:t>bbreviations</w:t>
      </w:r>
      <w:bookmarkEnd w:id="27"/>
      <w:bookmarkEnd w:id="28"/>
      <w:bookmarkEnd w:id="29"/>
    </w:p>
    <w:tbl>
      <w:tblPr>
        <w:tblW w:w="8732" w:type="dxa"/>
        <w:tblLook w:val="04A0" w:firstRow="1" w:lastRow="0" w:firstColumn="1" w:lastColumn="0" w:noHBand="0" w:noVBand="1"/>
        <w:tblCaption w:val="Abbreviations"/>
        <w:tblDescription w:val="This is a list of abbreviations used throughout the report. The table should be read as a series of rows from left to right ('abbreviation' then 'full term')."/>
      </w:tblPr>
      <w:tblGrid>
        <w:gridCol w:w="1668"/>
        <w:gridCol w:w="7064"/>
      </w:tblGrid>
      <w:tr w:rsidR="00A128F0" w:rsidRPr="00A128F0" w14:paraId="1E532CE0" w14:textId="77777777" w:rsidTr="00A128F0">
        <w:trPr>
          <w:trHeight w:val="300"/>
          <w:tblHeader/>
        </w:trPr>
        <w:tc>
          <w:tcPr>
            <w:tcW w:w="1668" w:type="dxa"/>
            <w:tcBorders>
              <w:top w:val="nil"/>
              <w:left w:val="nil"/>
              <w:bottom w:val="nil"/>
              <w:right w:val="nil"/>
            </w:tcBorders>
            <w:shd w:val="clear" w:color="auto" w:fill="auto"/>
            <w:noWrap/>
          </w:tcPr>
          <w:p w14:paraId="510485F9" w14:textId="77777777" w:rsidR="00A128F0" w:rsidRPr="00A128F0" w:rsidRDefault="00A128F0" w:rsidP="0073222F">
            <w:pPr>
              <w:rPr>
                <w:rFonts w:ascii="Calibri" w:hAnsi="Calibri" w:cs="Calibri"/>
                <w:b/>
                <w:color w:val="000000"/>
                <w:sz w:val="20"/>
                <w:szCs w:val="20"/>
              </w:rPr>
            </w:pPr>
            <w:r w:rsidRPr="00A128F0">
              <w:rPr>
                <w:rFonts w:ascii="Calibri" w:hAnsi="Calibri" w:cs="Calibri"/>
                <w:b/>
                <w:color w:val="000000"/>
                <w:sz w:val="20"/>
                <w:szCs w:val="20"/>
              </w:rPr>
              <w:t>Abbreviation</w:t>
            </w:r>
          </w:p>
        </w:tc>
        <w:tc>
          <w:tcPr>
            <w:tcW w:w="7064" w:type="dxa"/>
            <w:tcBorders>
              <w:top w:val="nil"/>
              <w:left w:val="nil"/>
              <w:bottom w:val="nil"/>
              <w:right w:val="nil"/>
            </w:tcBorders>
            <w:shd w:val="clear" w:color="auto" w:fill="auto"/>
            <w:noWrap/>
          </w:tcPr>
          <w:p w14:paraId="359488DC" w14:textId="77777777" w:rsidR="00A128F0" w:rsidRPr="00A128F0" w:rsidRDefault="00A128F0" w:rsidP="0073222F">
            <w:pPr>
              <w:rPr>
                <w:rFonts w:ascii="Calibri" w:hAnsi="Calibri" w:cs="Calibri"/>
                <w:b/>
                <w:color w:val="000000"/>
                <w:sz w:val="20"/>
                <w:szCs w:val="20"/>
              </w:rPr>
            </w:pPr>
            <w:r w:rsidRPr="00A128F0">
              <w:rPr>
                <w:rFonts w:ascii="Calibri" w:hAnsi="Calibri" w:cs="Calibri"/>
                <w:b/>
                <w:color w:val="000000"/>
                <w:sz w:val="20"/>
                <w:szCs w:val="20"/>
              </w:rPr>
              <w:t>Full Term</w:t>
            </w:r>
          </w:p>
        </w:tc>
      </w:tr>
      <w:tr w:rsidR="0073222F" w:rsidRPr="00CB56BC" w14:paraId="7B60D19B" w14:textId="77777777" w:rsidTr="0028577D">
        <w:trPr>
          <w:trHeight w:val="300"/>
        </w:trPr>
        <w:tc>
          <w:tcPr>
            <w:tcW w:w="1668" w:type="dxa"/>
            <w:tcBorders>
              <w:top w:val="nil"/>
              <w:left w:val="nil"/>
              <w:bottom w:val="nil"/>
              <w:right w:val="nil"/>
            </w:tcBorders>
            <w:shd w:val="clear" w:color="auto" w:fill="auto"/>
            <w:noWrap/>
            <w:hideMark/>
          </w:tcPr>
          <w:p w14:paraId="77ED55C1" w14:textId="77777777" w:rsidR="0073222F" w:rsidRPr="00CB56BC" w:rsidRDefault="0073222F" w:rsidP="0073222F">
            <w:pPr>
              <w:rPr>
                <w:rFonts w:ascii="Calibri" w:hAnsi="Calibri" w:cs="Calibri"/>
                <w:color w:val="000000"/>
                <w:sz w:val="20"/>
                <w:szCs w:val="20"/>
              </w:rPr>
            </w:pPr>
            <w:r w:rsidRPr="00CB56BC">
              <w:rPr>
                <w:rFonts w:ascii="Calibri" w:hAnsi="Calibri" w:cs="Calibri"/>
                <w:color w:val="000000"/>
                <w:sz w:val="20"/>
                <w:szCs w:val="20"/>
              </w:rPr>
              <w:t>ACFI</w:t>
            </w:r>
          </w:p>
        </w:tc>
        <w:tc>
          <w:tcPr>
            <w:tcW w:w="7064" w:type="dxa"/>
            <w:tcBorders>
              <w:top w:val="nil"/>
              <w:left w:val="nil"/>
              <w:bottom w:val="nil"/>
              <w:right w:val="nil"/>
            </w:tcBorders>
            <w:shd w:val="clear" w:color="auto" w:fill="auto"/>
            <w:noWrap/>
            <w:hideMark/>
          </w:tcPr>
          <w:p w14:paraId="66FFB8C8" w14:textId="77777777" w:rsidR="0073222F" w:rsidRPr="00CB56BC" w:rsidRDefault="0073222F" w:rsidP="0073222F">
            <w:pPr>
              <w:rPr>
                <w:rFonts w:ascii="Calibri" w:hAnsi="Calibri" w:cs="Calibri"/>
                <w:color w:val="000000"/>
                <w:sz w:val="20"/>
                <w:szCs w:val="20"/>
              </w:rPr>
            </w:pPr>
            <w:r w:rsidRPr="00CB56BC">
              <w:rPr>
                <w:rFonts w:ascii="Calibri" w:hAnsi="Calibri" w:cs="Calibri"/>
                <w:color w:val="000000"/>
                <w:sz w:val="20"/>
                <w:szCs w:val="20"/>
              </w:rPr>
              <w:t>Aged Care Funding Instrument</w:t>
            </w:r>
          </w:p>
        </w:tc>
      </w:tr>
      <w:tr w:rsidR="006D4F2E" w:rsidRPr="00CB56BC" w14:paraId="788C51EC" w14:textId="77777777" w:rsidTr="0028577D">
        <w:trPr>
          <w:trHeight w:val="300"/>
        </w:trPr>
        <w:tc>
          <w:tcPr>
            <w:tcW w:w="1668" w:type="dxa"/>
            <w:tcBorders>
              <w:top w:val="nil"/>
              <w:left w:val="nil"/>
              <w:bottom w:val="nil"/>
              <w:right w:val="nil"/>
            </w:tcBorders>
            <w:shd w:val="clear" w:color="auto" w:fill="auto"/>
            <w:noWrap/>
          </w:tcPr>
          <w:p w14:paraId="4C56184D" w14:textId="77777777" w:rsidR="006D4F2E" w:rsidRDefault="006D4F2E" w:rsidP="0073222F">
            <w:pPr>
              <w:rPr>
                <w:rFonts w:ascii="Calibri" w:hAnsi="Calibri" w:cs="Calibri"/>
                <w:color w:val="000000"/>
                <w:sz w:val="20"/>
                <w:szCs w:val="20"/>
              </w:rPr>
            </w:pPr>
            <w:r>
              <w:rPr>
                <w:rFonts w:ascii="Calibri" w:hAnsi="Calibri" w:cs="Calibri"/>
                <w:color w:val="000000"/>
                <w:sz w:val="20"/>
                <w:szCs w:val="20"/>
              </w:rPr>
              <w:t>ADL</w:t>
            </w:r>
          </w:p>
        </w:tc>
        <w:tc>
          <w:tcPr>
            <w:tcW w:w="7064" w:type="dxa"/>
            <w:tcBorders>
              <w:top w:val="nil"/>
              <w:left w:val="nil"/>
              <w:bottom w:val="nil"/>
              <w:right w:val="nil"/>
            </w:tcBorders>
            <w:shd w:val="clear" w:color="auto" w:fill="auto"/>
            <w:noWrap/>
          </w:tcPr>
          <w:p w14:paraId="1DEF1884" w14:textId="77777777" w:rsidR="006D4F2E" w:rsidRPr="00B667C6" w:rsidRDefault="006D4F2E" w:rsidP="00B82914">
            <w:pPr>
              <w:rPr>
                <w:sz w:val="20"/>
                <w:szCs w:val="20"/>
              </w:rPr>
            </w:pPr>
            <w:r>
              <w:rPr>
                <w:sz w:val="20"/>
                <w:szCs w:val="20"/>
              </w:rPr>
              <w:t>Activities of Daily Living</w:t>
            </w:r>
          </w:p>
        </w:tc>
      </w:tr>
      <w:tr w:rsidR="00B667C6" w:rsidRPr="00CB56BC" w14:paraId="03188F26" w14:textId="77777777" w:rsidTr="0028577D">
        <w:trPr>
          <w:trHeight w:val="300"/>
        </w:trPr>
        <w:tc>
          <w:tcPr>
            <w:tcW w:w="1668" w:type="dxa"/>
            <w:tcBorders>
              <w:top w:val="nil"/>
              <w:left w:val="nil"/>
              <w:bottom w:val="nil"/>
              <w:right w:val="nil"/>
            </w:tcBorders>
            <w:shd w:val="clear" w:color="auto" w:fill="auto"/>
            <w:noWrap/>
          </w:tcPr>
          <w:p w14:paraId="3A2FBFFF" w14:textId="77777777" w:rsidR="00B667C6" w:rsidRDefault="00B667C6" w:rsidP="0073222F">
            <w:pPr>
              <w:rPr>
                <w:rFonts w:ascii="Calibri" w:hAnsi="Calibri" w:cs="Calibri"/>
                <w:color w:val="000000"/>
                <w:sz w:val="20"/>
                <w:szCs w:val="20"/>
              </w:rPr>
            </w:pPr>
            <w:r>
              <w:rPr>
                <w:rFonts w:ascii="Calibri" w:hAnsi="Calibri" w:cs="Calibri"/>
                <w:color w:val="000000"/>
                <w:sz w:val="20"/>
                <w:szCs w:val="20"/>
              </w:rPr>
              <w:t>AHSRI</w:t>
            </w:r>
          </w:p>
        </w:tc>
        <w:tc>
          <w:tcPr>
            <w:tcW w:w="7064" w:type="dxa"/>
            <w:tcBorders>
              <w:top w:val="nil"/>
              <w:left w:val="nil"/>
              <w:bottom w:val="nil"/>
              <w:right w:val="nil"/>
            </w:tcBorders>
            <w:shd w:val="clear" w:color="auto" w:fill="auto"/>
            <w:noWrap/>
          </w:tcPr>
          <w:p w14:paraId="54E57DD1" w14:textId="77777777" w:rsidR="00B667C6" w:rsidRPr="00B667C6" w:rsidRDefault="00B667C6" w:rsidP="00B82914">
            <w:pPr>
              <w:rPr>
                <w:rFonts w:ascii="Calibri" w:hAnsi="Calibri" w:cs="Calibri"/>
                <w:color w:val="000000"/>
                <w:sz w:val="20"/>
                <w:szCs w:val="20"/>
              </w:rPr>
            </w:pPr>
            <w:r w:rsidRPr="00B667C6">
              <w:rPr>
                <w:sz w:val="20"/>
                <w:szCs w:val="20"/>
              </w:rPr>
              <w:t>Australian Health Services Research Institute</w:t>
            </w:r>
          </w:p>
        </w:tc>
      </w:tr>
      <w:tr w:rsidR="00B75862" w:rsidRPr="00CB56BC" w14:paraId="7011DB39" w14:textId="77777777" w:rsidTr="0028577D">
        <w:trPr>
          <w:trHeight w:val="300"/>
        </w:trPr>
        <w:tc>
          <w:tcPr>
            <w:tcW w:w="1668" w:type="dxa"/>
            <w:tcBorders>
              <w:top w:val="nil"/>
              <w:left w:val="nil"/>
              <w:bottom w:val="nil"/>
              <w:right w:val="nil"/>
            </w:tcBorders>
            <w:shd w:val="clear" w:color="auto" w:fill="auto"/>
            <w:noWrap/>
          </w:tcPr>
          <w:p w14:paraId="60385E93" w14:textId="77777777" w:rsidR="00B75862" w:rsidRPr="00CB56BC" w:rsidRDefault="00B75862" w:rsidP="0073222F">
            <w:pPr>
              <w:rPr>
                <w:rFonts w:ascii="Calibri" w:hAnsi="Calibri" w:cs="Calibri"/>
                <w:color w:val="000000"/>
                <w:sz w:val="20"/>
                <w:szCs w:val="20"/>
              </w:rPr>
            </w:pPr>
            <w:r>
              <w:rPr>
                <w:rFonts w:ascii="Calibri" w:hAnsi="Calibri" w:cs="Calibri"/>
                <w:color w:val="000000"/>
                <w:sz w:val="20"/>
                <w:szCs w:val="20"/>
              </w:rPr>
              <w:t>AKPS</w:t>
            </w:r>
          </w:p>
        </w:tc>
        <w:tc>
          <w:tcPr>
            <w:tcW w:w="7064" w:type="dxa"/>
            <w:tcBorders>
              <w:top w:val="nil"/>
              <w:left w:val="nil"/>
              <w:bottom w:val="nil"/>
              <w:right w:val="nil"/>
            </w:tcBorders>
            <w:shd w:val="clear" w:color="auto" w:fill="auto"/>
            <w:noWrap/>
          </w:tcPr>
          <w:p w14:paraId="6D9108F7" w14:textId="77777777" w:rsidR="00B75862" w:rsidRPr="00CB56BC" w:rsidRDefault="00B75862" w:rsidP="00B82914">
            <w:pPr>
              <w:rPr>
                <w:rFonts w:ascii="Calibri" w:hAnsi="Calibri" w:cs="Calibri"/>
                <w:color w:val="000000"/>
                <w:sz w:val="20"/>
                <w:szCs w:val="20"/>
              </w:rPr>
            </w:pPr>
            <w:r>
              <w:rPr>
                <w:rFonts w:ascii="Calibri" w:hAnsi="Calibri" w:cs="Calibri"/>
                <w:color w:val="000000"/>
                <w:sz w:val="20"/>
                <w:szCs w:val="20"/>
              </w:rPr>
              <w:t>Australia</w:t>
            </w:r>
            <w:r w:rsidR="00AE7A80">
              <w:rPr>
                <w:rFonts w:ascii="Calibri" w:hAnsi="Calibri" w:cs="Calibri"/>
                <w:color w:val="000000"/>
                <w:sz w:val="20"/>
                <w:szCs w:val="20"/>
              </w:rPr>
              <w:t>-</w:t>
            </w:r>
            <w:r w:rsidR="00B82914">
              <w:rPr>
                <w:rFonts w:ascii="Calibri" w:hAnsi="Calibri" w:cs="Calibri"/>
                <w:color w:val="000000"/>
                <w:sz w:val="20"/>
                <w:szCs w:val="20"/>
              </w:rPr>
              <w:t>m</w:t>
            </w:r>
            <w:r>
              <w:rPr>
                <w:rFonts w:ascii="Calibri" w:hAnsi="Calibri" w:cs="Calibri"/>
                <w:color w:val="000000"/>
                <w:sz w:val="20"/>
                <w:szCs w:val="20"/>
              </w:rPr>
              <w:t>odified Karnofsky Performance Status</w:t>
            </w:r>
          </w:p>
        </w:tc>
      </w:tr>
      <w:tr w:rsidR="0067214D" w:rsidRPr="00CB56BC" w14:paraId="515F91FF" w14:textId="77777777" w:rsidTr="0028577D">
        <w:trPr>
          <w:trHeight w:val="300"/>
        </w:trPr>
        <w:tc>
          <w:tcPr>
            <w:tcW w:w="1668" w:type="dxa"/>
            <w:tcBorders>
              <w:top w:val="nil"/>
              <w:left w:val="nil"/>
              <w:bottom w:val="nil"/>
              <w:right w:val="nil"/>
            </w:tcBorders>
            <w:shd w:val="clear" w:color="auto" w:fill="auto"/>
            <w:noWrap/>
          </w:tcPr>
          <w:p w14:paraId="7813FE55" w14:textId="77777777" w:rsidR="0067214D" w:rsidRDefault="0067214D" w:rsidP="0073222F">
            <w:pPr>
              <w:rPr>
                <w:rFonts w:ascii="Calibri" w:hAnsi="Calibri" w:cs="Calibri"/>
                <w:color w:val="000000"/>
                <w:sz w:val="20"/>
                <w:szCs w:val="20"/>
              </w:rPr>
            </w:pPr>
            <w:r>
              <w:rPr>
                <w:rFonts w:ascii="Calibri" w:hAnsi="Calibri" w:cs="Calibri"/>
                <w:color w:val="000000"/>
                <w:sz w:val="20"/>
                <w:szCs w:val="20"/>
              </w:rPr>
              <w:t>AM-FIM</w:t>
            </w:r>
          </w:p>
        </w:tc>
        <w:tc>
          <w:tcPr>
            <w:tcW w:w="7064" w:type="dxa"/>
            <w:tcBorders>
              <w:top w:val="nil"/>
              <w:left w:val="nil"/>
              <w:bottom w:val="nil"/>
              <w:right w:val="nil"/>
            </w:tcBorders>
            <w:shd w:val="clear" w:color="auto" w:fill="auto"/>
            <w:noWrap/>
          </w:tcPr>
          <w:p w14:paraId="321100FC" w14:textId="491434FE" w:rsidR="0067214D" w:rsidRPr="0067214D" w:rsidRDefault="0067214D" w:rsidP="003B75B6">
            <w:pPr>
              <w:rPr>
                <w:rFonts w:ascii="Calibri" w:hAnsi="Calibri" w:cs="Calibri"/>
                <w:color w:val="000000"/>
                <w:sz w:val="20"/>
                <w:szCs w:val="20"/>
              </w:rPr>
            </w:pPr>
            <w:r w:rsidRPr="0067214D">
              <w:rPr>
                <w:sz w:val="20"/>
                <w:szCs w:val="20"/>
              </w:rPr>
              <w:t>Australian</w:t>
            </w:r>
            <w:r w:rsidR="003B75B6">
              <w:rPr>
                <w:sz w:val="20"/>
                <w:szCs w:val="20"/>
              </w:rPr>
              <w:t xml:space="preserve"> M</w:t>
            </w:r>
            <w:r w:rsidRPr="0067214D">
              <w:rPr>
                <w:sz w:val="20"/>
                <w:szCs w:val="20"/>
              </w:rPr>
              <w:t>odified Functional Independence Measure</w:t>
            </w:r>
          </w:p>
        </w:tc>
      </w:tr>
      <w:tr w:rsidR="0073222F" w:rsidRPr="00CB56BC" w14:paraId="074A07B8" w14:textId="77777777" w:rsidTr="0028577D">
        <w:trPr>
          <w:trHeight w:val="300"/>
        </w:trPr>
        <w:tc>
          <w:tcPr>
            <w:tcW w:w="1668" w:type="dxa"/>
            <w:tcBorders>
              <w:top w:val="nil"/>
              <w:left w:val="nil"/>
              <w:bottom w:val="nil"/>
              <w:right w:val="nil"/>
            </w:tcBorders>
            <w:shd w:val="clear" w:color="auto" w:fill="auto"/>
            <w:noWrap/>
          </w:tcPr>
          <w:p w14:paraId="5A70C44B" w14:textId="77777777" w:rsidR="0073222F" w:rsidRPr="00CB56BC" w:rsidRDefault="0073222F" w:rsidP="0073222F">
            <w:pPr>
              <w:rPr>
                <w:rFonts w:ascii="Calibri" w:hAnsi="Calibri" w:cs="Calibri"/>
                <w:color w:val="000000"/>
                <w:sz w:val="20"/>
                <w:szCs w:val="20"/>
              </w:rPr>
            </w:pPr>
            <w:r>
              <w:rPr>
                <w:rFonts w:ascii="Calibri" w:hAnsi="Calibri" w:cs="Calibri"/>
                <w:color w:val="000000"/>
                <w:sz w:val="20"/>
                <w:szCs w:val="20"/>
              </w:rPr>
              <w:t>AN-ACC</w:t>
            </w:r>
          </w:p>
        </w:tc>
        <w:tc>
          <w:tcPr>
            <w:tcW w:w="7064" w:type="dxa"/>
            <w:tcBorders>
              <w:top w:val="nil"/>
              <w:left w:val="nil"/>
              <w:bottom w:val="nil"/>
              <w:right w:val="nil"/>
            </w:tcBorders>
            <w:shd w:val="clear" w:color="auto" w:fill="auto"/>
            <w:noWrap/>
          </w:tcPr>
          <w:p w14:paraId="33275739" w14:textId="77777777" w:rsidR="0073222F" w:rsidRPr="00CB56BC" w:rsidRDefault="0073222F" w:rsidP="0073222F">
            <w:pPr>
              <w:rPr>
                <w:rFonts w:ascii="Calibri" w:hAnsi="Calibri" w:cs="Calibri"/>
                <w:color w:val="000000"/>
                <w:sz w:val="20"/>
                <w:szCs w:val="20"/>
              </w:rPr>
            </w:pPr>
            <w:r>
              <w:rPr>
                <w:rFonts w:ascii="Calibri" w:hAnsi="Calibri" w:cs="Calibri"/>
                <w:color w:val="000000"/>
                <w:sz w:val="20"/>
                <w:szCs w:val="20"/>
              </w:rPr>
              <w:t>Australian National Aged Care Classification</w:t>
            </w:r>
          </w:p>
        </w:tc>
      </w:tr>
      <w:tr w:rsidR="00CB4FAE" w:rsidRPr="00CB56BC" w14:paraId="6226BF6F" w14:textId="77777777" w:rsidTr="0028577D">
        <w:trPr>
          <w:trHeight w:val="300"/>
        </w:trPr>
        <w:tc>
          <w:tcPr>
            <w:tcW w:w="1668" w:type="dxa"/>
            <w:tcBorders>
              <w:top w:val="nil"/>
              <w:left w:val="nil"/>
              <w:bottom w:val="nil"/>
              <w:right w:val="nil"/>
            </w:tcBorders>
            <w:shd w:val="clear" w:color="auto" w:fill="auto"/>
            <w:noWrap/>
          </w:tcPr>
          <w:p w14:paraId="3E16C16F" w14:textId="77777777" w:rsidR="00CB4FAE" w:rsidRPr="00CB56BC" w:rsidRDefault="00CB4FAE" w:rsidP="0073222F">
            <w:pPr>
              <w:rPr>
                <w:rFonts w:ascii="Calibri" w:hAnsi="Calibri" w:cs="Calibri"/>
                <w:color w:val="000000"/>
                <w:sz w:val="20"/>
                <w:szCs w:val="20"/>
              </w:rPr>
            </w:pPr>
            <w:r>
              <w:rPr>
                <w:rFonts w:ascii="Calibri" w:hAnsi="Calibri" w:cs="Calibri"/>
                <w:color w:val="000000"/>
                <w:sz w:val="20"/>
                <w:szCs w:val="20"/>
              </w:rPr>
              <w:t>BRUA</w:t>
            </w:r>
          </w:p>
        </w:tc>
        <w:tc>
          <w:tcPr>
            <w:tcW w:w="7064" w:type="dxa"/>
            <w:tcBorders>
              <w:top w:val="nil"/>
              <w:left w:val="nil"/>
              <w:bottom w:val="nil"/>
              <w:right w:val="nil"/>
            </w:tcBorders>
            <w:shd w:val="clear" w:color="auto" w:fill="auto"/>
            <w:noWrap/>
          </w:tcPr>
          <w:p w14:paraId="0A07A3E2" w14:textId="792BEB40" w:rsidR="00CB4FAE" w:rsidRPr="00CB56BC" w:rsidRDefault="00CB4FAE" w:rsidP="00CB4FAE">
            <w:pPr>
              <w:rPr>
                <w:rFonts w:ascii="Calibri" w:hAnsi="Calibri" w:cs="Calibri"/>
                <w:color w:val="000000"/>
                <w:sz w:val="20"/>
                <w:szCs w:val="20"/>
              </w:rPr>
            </w:pPr>
            <w:r w:rsidRPr="009C18B5">
              <w:rPr>
                <w:rFonts w:ascii="Calibri" w:hAnsi="Calibri" w:cs="Calibri"/>
                <w:color w:val="000000"/>
                <w:sz w:val="20"/>
                <w:szCs w:val="20"/>
              </w:rPr>
              <w:t>Behaviour Resource Utilisation Assessment</w:t>
            </w:r>
          </w:p>
        </w:tc>
      </w:tr>
      <w:tr w:rsidR="00F528A2" w:rsidRPr="00CB56BC" w14:paraId="3D408DC1" w14:textId="77777777" w:rsidTr="0028577D">
        <w:trPr>
          <w:trHeight w:val="300"/>
        </w:trPr>
        <w:tc>
          <w:tcPr>
            <w:tcW w:w="1668" w:type="dxa"/>
            <w:tcBorders>
              <w:top w:val="nil"/>
              <w:left w:val="nil"/>
              <w:bottom w:val="nil"/>
              <w:right w:val="nil"/>
            </w:tcBorders>
            <w:shd w:val="clear" w:color="auto" w:fill="auto"/>
            <w:noWrap/>
          </w:tcPr>
          <w:p w14:paraId="038AF738" w14:textId="77777777" w:rsidR="00F528A2" w:rsidRDefault="00F528A2" w:rsidP="0073222F">
            <w:pPr>
              <w:rPr>
                <w:rFonts w:ascii="Calibri" w:hAnsi="Calibri" w:cs="Calibri"/>
                <w:color w:val="000000"/>
                <w:sz w:val="20"/>
                <w:szCs w:val="20"/>
              </w:rPr>
            </w:pPr>
            <w:r>
              <w:rPr>
                <w:rFonts w:ascii="Calibri" w:hAnsi="Calibri" w:cs="Calibri"/>
                <w:color w:val="000000"/>
                <w:sz w:val="20"/>
                <w:szCs w:val="20"/>
              </w:rPr>
              <w:t>CART</w:t>
            </w:r>
          </w:p>
        </w:tc>
        <w:tc>
          <w:tcPr>
            <w:tcW w:w="7064" w:type="dxa"/>
            <w:tcBorders>
              <w:top w:val="nil"/>
              <w:left w:val="nil"/>
              <w:bottom w:val="nil"/>
              <w:right w:val="nil"/>
            </w:tcBorders>
            <w:shd w:val="clear" w:color="auto" w:fill="auto"/>
            <w:noWrap/>
          </w:tcPr>
          <w:p w14:paraId="053AD66C" w14:textId="77777777" w:rsidR="00F528A2" w:rsidRPr="00F528A2" w:rsidRDefault="00F528A2" w:rsidP="00F528A2">
            <w:pPr>
              <w:rPr>
                <w:rFonts w:ascii="Calibri" w:hAnsi="Calibri" w:cs="Calibri"/>
                <w:color w:val="000000"/>
                <w:sz w:val="20"/>
                <w:szCs w:val="20"/>
              </w:rPr>
            </w:pPr>
            <w:r w:rsidRPr="00F528A2">
              <w:rPr>
                <w:rFonts w:eastAsiaTheme="minorHAnsi" w:cstheme="minorBidi"/>
                <w:sz w:val="20"/>
                <w:szCs w:val="20"/>
                <w:lang w:eastAsia="en-US"/>
              </w:rPr>
              <w:t>Classification and Regression Trees</w:t>
            </w:r>
          </w:p>
        </w:tc>
      </w:tr>
      <w:tr w:rsidR="0073222F" w:rsidRPr="00CB56BC" w14:paraId="41954BDB" w14:textId="77777777" w:rsidTr="0028577D">
        <w:trPr>
          <w:trHeight w:val="300"/>
        </w:trPr>
        <w:tc>
          <w:tcPr>
            <w:tcW w:w="1668" w:type="dxa"/>
            <w:tcBorders>
              <w:top w:val="nil"/>
              <w:left w:val="nil"/>
              <w:bottom w:val="nil"/>
              <w:right w:val="nil"/>
            </w:tcBorders>
            <w:shd w:val="clear" w:color="auto" w:fill="auto"/>
            <w:noWrap/>
          </w:tcPr>
          <w:p w14:paraId="708AF881" w14:textId="77777777" w:rsidR="0073222F" w:rsidRPr="00CB56BC" w:rsidRDefault="0073222F" w:rsidP="0073222F">
            <w:pPr>
              <w:rPr>
                <w:rFonts w:ascii="Calibri" w:hAnsi="Calibri" w:cs="Calibri"/>
                <w:color w:val="000000"/>
                <w:sz w:val="20"/>
                <w:szCs w:val="20"/>
              </w:rPr>
            </w:pPr>
            <w:r>
              <w:rPr>
                <w:rFonts w:ascii="Calibri" w:hAnsi="Calibri" w:cs="Calibri"/>
                <w:color w:val="000000"/>
                <w:sz w:val="20"/>
                <w:szCs w:val="20"/>
              </w:rPr>
              <w:t>CV</w:t>
            </w:r>
          </w:p>
        </w:tc>
        <w:tc>
          <w:tcPr>
            <w:tcW w:w="7064" w:type="dxa"/>
            <w:tcBorders>
              <w:top w:val="nil"/>
              <w:left w:val="nil"/>
              <w:bottom w:val="nil"/>
              <w:right w:val="nil"/>
            </w:tcBorders>
            <w:shd w:val="clear" w:color="auto" w:fill="auto"/>
            <w:noWrap/>
          </w:tcPr>
          <w:p w14:paraId="1E6C7370" w14:textId="77777777" w:rsidR="0073222F" w:rsidRPr="00CB56BC" w:rsidRDefault="0073222F" w:rsidP="0073222F">
            <w:pPr>
              <w:rPr>
                <w:rFonts w:ascii="Calibri" w:hAnsi="Calibri" w:cs="Calibri"/>
                <w:color w:val="000000"/>
                <w:sz w:val="20"/>
                <w:szCs w:val="20"/>
              </w:rPr>
            </w:pPr>
            <w:r>
              <w:rPr>
                <w:rFonts w:ascii="Calibri" w:hAnsi="Calibri" w:cs="Calibri"/>
                <w:color w:val="000000"/>
                <w:sz w:val="20"/>
                <w:szCs w:val="20"/>
              </w:rPr>
              <w:t>Coefficient of variation</w:t>
            </w:r>
          </w:p>
        </w:tc>
      </w:tr>
      <w:tr w:rsidR="004A6F3C" w:rsidRPr="00CB56BC" w14:paraId="0CC2B2F2" w14:textId="77777777" w:rsidTr="0028577D">
        <w:trPr>
          <w:trHeight w:val="300"/>
        </w:trPr>
        <w:tc>
          <w:tcPr>
            <w:tcW w:w="1668" w:type="dxa"/>
            <w:tcBorders>
              <w:top w:val="nil"/>
              <w:left w:val="nil"/>
              <w:bottom w:val="nil"/>
              <w:right w:val="nil"/>
            </w:tcBorders>
            <w:shd w:val="clear" w:color="auto" w:fill="auto"/>
            <w:noWrap/>
          </w:tcPr>
          <w:p w14:paraId="178BE4EE" w14:textId="77777777" w:rsidR="004A6F3C" w:rsidRPr="00CB56BC" w:rsidRDefault="004A6F3C" w:rsidP="0073222F">
            <w:pPr>
              <w:rPr>
                <w:rFonts w:ascii="Calibri" w:hAnsi="Calibri" w:cs="Calibri"/>
                <w:color w:val="000000"/>
                <w:sz w:val="20"/>
                <w:szCs w:val="20"/>
              </w:rPr>
            </w:pPr>
            <w:r>
              <w:rPr>
                <w:rFonts w:ascii="Calibri" w:hAnsi="Calibri" w:cs="Calibri"/>
                <w:color w:val="000000"/>
                <w:sz w:val="20"/>
                <w:szCs w:val="20"/>
              </w:rPr>
              <w:t>DEMMI</w:t>
            </w:r>
          </w:p>
        </w:tc>
        <w:tc>
          <w:tcPr>
            <w:tcW w:w="7064" w:type="dxa"/>
            <w:tcBorders>
              <w:top w:val="nil"/>
              <w:left w:val="nil"/>
              <w:bottom w:val="nil"/>
              <w:right w:val="nil"/>
            </w:tcBorders>
            <w:shd w:val="clear" w:color="auto" w:fill="auto"/>
            <w:noWrap/>
          </w:tcPr>
          <w:p w14:paraId="6CDA462A" w14:textId="77777777" w:rsidR="004A6F3C" w:rsidRPr="00CB56BC" w:rsidRDefault="004A6F3C" w:rsidP="0073222F">
            <w:pPr>
              <w:rPr>
                <w:rFonts w:ascii="Calibri" w:hAnsi="Calibri" w:cs="Calibri"/>
                <w:color w:val="000000"/>
                <w:sz w:val="20"/>
                <w:szCs w:val="20"/>
              </w:rPr>
            </w:pPr>
            <w:r w:rsidRPr="004A6F3C">
              <w:rPr>
                <w:rFonts w:ascii="Calibri" w:hAnsi="Calibri" w:cs="Calibri"/>
                <w:color w:val="000000"/>
                <w:sz w:val="20"/>
                <w:szCs w:val="20"/>
              </w:rPr>
              <w:t>De Morton Mobility Index</w:t>
            </w:r>
          </w:p>
        </w:tc>
      </w:tr>
      <w:tr w:rsidR="003D696F" w:rsidRPr="00CB56BC" w14:paraId="7C31C943" w14:textId="77777777" w:rsidTr="006B2BE4">
        <w:trPr>
          <w:trHeight w:val="300"/>
        </w:trPr>
        <w:tc>
          <w:tcPr>
            <w:tcW w:w="1668" w:type="dxa"/>
            <w:tcBorders>
              <w:top w:val="nil"/>
              <w:left w:val="nil"/>
              <w:bottom w:val="nil"/>
              <w:right w:val="nil"/>
            </w:tcBorders>
            <w:shd w:val="clear" w:color="auto" w:fill="auto"/>
            <w:noWrap/>
          </w:tcPr>
          <w:p w14:paraId="2457A0CB" w14:textId="77777777" w:rsidR="003D696F" w:rsidRDefault="003D696F" w:rsidP="006B2BE4">
            <w:pPr>
              <w:rPr>
                <w:rFonts w:ascii="Calibri" w:hAnsi="Calibri" w:cs="Calibri"/>
                <w:color w:val="000000"/>
                <w:sz w:val="20"/>
                <w:szCs w:val="20"/>
              </w:rPr>
            </w:pPr>
            <w:r>
              <w:rPr>
                <w:rFonts w:ascii="Calibri" w:hAnsi="Calibri" w:cs="Calibri"/>
                <w:color w:val="000000"/>
                <w:sz w:val="20"/>
                <w:szCs w:val="20"/>
              </w:rPr>
              <w:t>the Department</w:t>
            </w:r>
          </w:p>
        </w:tc>
        <w:tc>
          <w:tcPr>
            <w:tcW w:w="7064" w:type="dxa"/>
            <w:tcBorders>
              <w:top w:val="nil"/>
              <w:left w:val="nil"/>
              <w:bottom w:val="nil"/>
              <w:right w:val="nil"/>
            </w:tcBorders>
            <w:shd w:val="clear" w:color="auto" w:fill="auto"/>
            <w:noWrap/>
          </w:tcPr>
          <w:p w14:paraId="50C04C09" w14:textId="77777777" w:rsidR="003D696F" w:rsidRPr="004A6F3C" w:rsidRDefault="00683615" w:rsidP="006B2BE4">
            <w:pPr>
              <w:rPr>
                <w:rFonts w:ascii="Calibri" w:hAnsi="Calibri" w:cs="Calibri"/>
                <w:color w:val="000000"/>
                <w:sz w:val="20"/>
                <w:szCs w:val="20"/>
              </w:rPr>
            </w:pPr>
            <w:r>
              <w:rPr>
                <w:rFonts w:ascii="Calibri" w:hAnsi="Calibri" w:cs="Calibri"/>
                <w:color w:val="000000"/>
                <w:sz w:val="20"/>
                <w:szCs w:val="20"/>
              </w:rPr>
              <w:t xml:space="preserve">Commonwealth </w:t>
            </w:r>
            <w:r w:rsidR="003D696F">
              <w:rPr>
                <w:rFonts w:ascii="Calibri" w:hAnsi="Calibri" w:cs="Calibri"/>
                <w:color w:val="000000"/>
                <w:sz w:val="20"/>
                <w:szCs w:val="20"/>
              </w:rPr>
              <w:t>Department of Health</w:t>
            </w:r>
          </w:p>
        </w:tc>
      </w:tr>
      <w:tr w:rsidR="0075717C" w:rsidRPr="00CB56BC" w14:paraId="2FC7B755" w14:textId="77777777" w:rsidTr="0028577D">
        <w:trPr>
          <w:trHeight w:val="300"/>
        </w:trPr>
        <w:tc>
          <w:tcPr>
            <w:tcW w:w="1668" w:type="dxa"/>
            <w:tcBorders>
              <w:top w:val="nil"/>
              <w:left w:val="nil"/>
              <w:bottom w:val="nil"/>
              <w:right w:val="nil"/>
            </w:tcBorders>
            <w:shd w:val="clear" w:color="auto" w:fill="auto"/>
            <w:noWrap/>
          </w:tcPr>
          <w:p w14:paraId="1D0300EF" w14:textId="77777777" w:rsidR="0075717C" w:rsidRPr="00CB56BC" w:rsidRDefault="0075717C" w:rsidP="0075717C">
            <w:pPr>
              <w:rPr>
                <w:rFonts w:ascii="Calibri" w:hAnsi="Calibri" w:cs="Calibri"/>
                <w:color w:val="000000"/>
                <w:sz w:val="20"/>
                <w:szCs w:val="20"/>
              </w:rPr>
            </w:pPr>
            <w:r>
              <w:rPr>
                <w:rFonts w:ascii="Calibri" w:hAnsi="Calibri" w:cs="Calibri"/>
                <w:color w:val="000000"/>
                <w:sz w:val="20"/>
                <w:szCs w:val="20"/>
              </w:rPr>
              <w:t>FIM</w:t>
            </w:r>
          </w:p>
        </w:tc>
        <w:tc>
          <w:tcPr>
            <w:tcW w:w="7064" w:type="dxa"/>
            <w:tcBorders>
              <w:top w:val="nil"/>
              <w:left w:val="nil"/>
              <w:bottom w:val="nil"/>
              <w:right w:val="nil"/>
            </w:tcBorders>
            <w:shd w:val="clear" w:color="auto" w:fill="auto"/>
            <w:noWrap/>
          </w:tcPr>
          <w:p w14:paraId="17479264" w14:textId="77777777" w:rsidR="0075717C" w:rsidRPr="00CB56BC" w:rsidRDefault="0075717C" w:rsidP="0075717C">
            <w:pPr>
              <w:rPr>
                <w:rFonts w:ascii="Calibri" w:hAnsi="Calibri" w:cs="Calibri"/>
                <w:color w:val="000000"/>
                <w:sz w:val="20"/>
                <w:szCs w:val="20"/>
              </w:rPr>
            </w:pPr>
            <w:r>
              <w:rPr>
                <w:rFonts w:ascii="Calibri" w:hAnsi="Calibri" w:cs="Calibri"/>
                <w:color w:val="000000"/>
                <w:sz w:val="20"/>
                <w:szCs w:val="20"/>
              </w:rPr>
              <w:t>Functional Independence Measure</w:t>
            </w:r>
          </w:p>
        </w:tc>
      </w:tr>
      <w:tr w:rsidR="0075717C" w:rsidRPr="00CB56BC" w14:paraId="2E3075EF" w14:textId="77777777" w:rsidTr="0028577D">
        <w:trPr>
          <w:trHeight w:val="300"/>
        </w:trPr>
        <w:tc>
          <w:tcPr>
            <w:tcW w:w="1668" w:type="dxa"/>
            <w:tcBorders>
              <w:top w:val="nil"/>
              <w:left w:val="nil"/>
              <w:bottom w:val="nil"/>
              <w:right w:val="nil"/>
            </w:tcBorders>
            <w:shd w:val="clear" w:color="auto" w:fill="auto"/>
            <w:noWrap/>
          </w:tcPr>
          <w:p w14:paraId="1BD109C7" w14:textId="77777777" w:rsidR="0075717C" w:rsidRDefault="00905578" w:rsidP="0075717C">
            <w:pPr>
              <w:rPr>
                <w:rFonts w:ascii="Calibri" w:hAnsi="Calibri" w:cs="Calibri"/>
                <w:color w:val="000000"/>
                <w:sz w:val="20"/>
                <w:szCs w:val="20"/>
              </w:rPr>
            </w:pPr>
            <w:r>
              <w:rPr>
                <w:rFonts w:ascii="Calibri" w:hAnsi="Calibri" w:cs="Calibri"/>
                <w:color w:val="000000"/>
                <w:sz w:val="20"/>
                <w:szCs w:val="20"/>
              </w:rPr>
              <w:t>NPI-</w:t>
            </w:r>
            <w:r w:rsidR="0075717C">
              <w:rPr>
                <w:rFonts w:ascii="Calibri" w:hAnsi="Calibri" w:cs="Calibri"/>
                <w:color w:val="000000"/>
                <w:sz w:val="20"/>
                <w:szCs w:val="20"/>
              </w:rPr>
              <w:t>NH</w:t>
            </w:r>
          </w:p>
        </w:tc>
        <w:tc>
          <w:tcPr>
            <w:tcW w:w="7064" w:type="dxa"/>
            <w:tcBorders>
              <w:top w:val="nil"/>
              <w:left w:val="nil"/>
              <w:bottom w:val="nil"/>
              <w:right w:val="nil"/>
            </w:tcBorders>
            <w:shd w:val="clear" w:color="auto" w:fill="auto"/>
            <w:noWrap/>
          </w:tcPr>
          <w:p w14:paraId="3D70DF3A" w14:textId="77777777" w:rsidR="0075717C" w:rsidRDefault="0075717C" w:rsidP="00F067AF">
            <w:pPr>
              <w:rPr>
                <w:rFonts w:ascii="Calibri" w:hAnsi="Calibri" w:cs="Calibri"/>
                <w:color w:val="000000"/>
                <w:sz w:val="20"/>
                <w:szCs w:val="20"/>
              </w:rPr>
            </w:pPr>
            <w:r>
              <w:rPr>
                <w:rFonts w:ascii="Calibri" w:hAnsi="Calibri" w:cs="Calibri"/>
                <w:color w:val="000000"/>
                <w:sz w:val="20"/>
                <w:szCs w:val="20"/>
              </w:rPr>
              <w:t>Neuropsych</w:t>
            </w:r>
            <w:r w:rsidR="00F16ECA">
              <w:rPr>
                <w:rFonts w:ascii="Calibri" w:hAnsi="Calibri" w:cs="Calibri"/>
                <w:color w:val="000000"/>
                <w:sz w:val="20"/>
                <w:szCs w:val="20"/>
              </w:rPr>
              <w:t>iatric Inventory</w:t>
            </w:r>
            <w:r w:rsidR="00BE5FBE">
              <w:rPr>
                <w:rFonts w:ascii="Calibri" w:hAnsi="Calibri" w:cs="Calibri"/>
                <w:color w:val="000000"/>
                <w:sz w:val="20"/>
                <w:szCs w:val="20"/>
              </w:rPr>
              <w:t xml:space="preserve"> –</w:t>
            </w:r>
            <w:r w:rsidR="00F16ECA">
              <w:rPr>
                <w:rFonts w:ascii="Calibri" w:hAnsi="Calibri" w:cs="Calibri"/>
                <w:color w:val="000000"/>
                <w:sz w:val="20"/>
                <w:szCs w:val="20"/>
              </w:rPr>
              <w:t xml:space="preserve"> Nursing Home</w:t>
            </w:r>
          </w:p>
        </w:tc>
      </w:tr>
      <w:tr w:rsidR="00905578" w:rsidRPr="00CB56BC" w14:paraId="6FA4C843" w14:textId="77777777" w:rsidTr="0028577D">
        <w:trPr>
          <w:trHeight w:val="300"/>
        </w:trPr>
        <w:tc>
          <w:tcPr>
            <w:tcW w:w="1668" w:type="dxa"/>
            <w:tcBorders>
              <w:top w:val="nil"/>
              <w:left w:val="nil"/>
              <w:bottom w:val="nil"/>
              <w:right w:val="nil"/>
            </w:tcBorders>
            <w:shd w:val="clear" w:color="auto" w:fill="auto"/>
            <w:noWrap/>
          </w:tcPr>
          <w:p w14:paraId="14291EB4" w14:textId="77777777" w:rsidR="00905578" w:rsidRPr="00CB56BC" w:rsidRDefault="00905578" w:rsidP="0075717C">
            <w:pPr>
              <w:rPr>
                <w:rFonts w:ascii="Calibri" w:hAnsi="Calibri" w:cs="Calibri"/>
                <w:color w:val="000000"/>
                <w:sz w:val="20"/>
                <w:szCs w:val="20"/>
              </w:rPr>
            </w:pPr>
            <w:r>
              <w:rPr>
                <w:rFonts w:ascii="Calibri" w:hAnsi="Calibri" w:cs="Calibri"/>
                <w:color w:val="000000"/>
                <w:sz w:val="20"/>
                <w:szCs w:val="20"/>
              </w:rPr>
              <w:t>RIV</w:t>
            </w:r>
          </w:p>
        </w:tc>
        <w:tc>
          <w:tcPr>
            <w:tcW w:w="7064" w:type="dxa"/>
            <w:tcBorders>
              <w:top w:val="nil"/>
              <w:left w:val="nil"/>
              <w:bottom w:val="nil"/>
              <w:right w:val="nil"/>
            </w:tcBorders>
            <w:shd w:val="clear" w:color="auto" w:fill="auto"/>
            <w:noWrap/>
          </w:tcPr>
          <w:p w14:paraId="088BA0CF" w14:textId="77777777" w:rsidR="00905578" w:rsidRPr="00905578" w:rsidRDefault="00905578" w:rsidP="0075717C">
            <w:pPr>
              <w:rPr>
                <w:rFonts w:ascii="Calibri" w:hAnsi="Calibri" w:cs="Calibri"/>
                <w:color w:val="000000"/>
                <w:sz w:val="20"/>
                <w:szCs w:val="20"/>
              </w:rPr>
            </w:pPr>
            <w:r>
              <w:rPr>
                <w:rFonts w:ascii="Calibri" w:hAnsi="Calibri" w:cs="Calibri"/>
                <w:color w:val="000000"/>
                <w:sz w:val="20"/>
                <w:szCs w:val="20"/>
              </w:rPr>
              <w:t>Reduction in Variation</w:t>
            </w:r>
          </w:p>
        </w:tc>
      </w:tr>
      <w:tr w:rsidR="0075717C" w:rsidRPr="00CB56BC" w14:paraId="2DFDE272" w14:textId="77777777" w:rsidTr="0028577D">
        <w:trPr>
          <w:trHeight w:val="300"/>
        </w:trPr>
        <w:tc>
          <w:tcPr>
            <w:tcW w:w="1668" w:type="dxa"/>
            <w:tcBorders>
              <w:top w:val="nil"/>
              <w:left w:val="nil"/>
              <w:bottom w:val="nil"/>
              <w:right w:val="nil"/>
            </w:tcBorders>
            <w:shd w:val="clear" w:color="auto" w:fill="auto"/>
            <w:noWrap/>
          </w:tcPr>
          <w:p w14:paraId="1FA3B2D8" w14:textId="77777777" w:rsidR="0075717C" w:rsidRPr="00CB56BC" w:rsidRDefault="0075717C" w:rsidP="0075717C">
            <w:pPr>
              <w:rPr>
                <w:rFonts w:ascii="Calibri" w:hAnsi="Calibri" w:cs="Calibri"/>
                <w:color w:val="000000"/>
                <w:sz w:val="20"/>
                <w:szCs w:val="20"/>
              </w:rPr>
            </w:pPr>
            <w:r>
              <w:rPr>
                <w:rFonts w:ascii="Calibri" w:hAnsi="Calibri" w:cs="Calibri"/>
                <w:color w:val="000000"/>
                <w:sz w:val="20"/>
                <w:szCs w:val="20"/>
              </w:rPr>
              <w:t>RUCS</w:t>
            </w:r>
          </w:p>
        </w:tc>
        <w:tc>
          <w:tcPr>
            <w:tcW w:w="7064" w:type="dxa"/>
            <w:tcBorders>
              <w:top w:val="nil"/>
              <w:left w:val="nil"/>
              <w:bottom w:val="nil"/>
              <w:right w:val="nil"/>
            </w:tcBorders>
            <w:shd w:val="clear" w:color="auto" w:fill="auto"/>
            <w:noWrap/>
          </w:tcPr>
          <w:p w14:paraId="6610CFB9" w14:textId="77777777" w:rsidR="0075717C" w:rsidRPr="00CB56BC" w:rsidRDefault="0075717C" w:rsidP="0075717C">
            <w:pPr>
              <w:rPr>
                <w:rFonts w:ascii="Calibri" w:hAnsi="Calibri" w:cs="Calibri"/>
                <w:color w:val="000000"/>
                <w:sz w:val="20"/>
                <w:szCs w:val="20"/>
              </w:rPr>
            </w:pPr>
            <w:r>
              <w:rPr>
                <w:rFonts w:ascii="Calibri" w:hAnsi="Calibri" w:cs="Calibri"/>
                <w:color w:val="000000"/>
                <w:sz w:val="20"/>
                <w:szCs w:val="20"/>
              </w:rPr>
              <w:t>Resource Utilisation and Classification Study</w:t>
            </w:r>
          </w:p>
        </w:tc>
      </w:tr>
      <w:tr w:rsidR="0075717C" w:rsidRPr="00CB56BC" w14:paraId="2CBA36AF" w14:textId="77777777" w:rsidTr="0028577D">
        <w:trPr>
          <w:trHeight w:val="300"/>
        </w:trPr>
        <w:tc>
          <w:tcPr>
            <w:tcW w:w="1668" w:type="dxa"/>
            <w:tcBorders>
              <w:top w:val="nil"/>
              <w:left w:val="nil"/>
              <w:bottom w:val="nil"/>
              <w:right w:val="nil"/>
            </w:tcBorders>
            <w:shd w:val="clear" w:color="auto" w:fill="auto"/>
            <w:noWrap/>
          </w:tcPr>
          <w:p w14:paraId="7FE4FB03" w14:textId="77777777" w:rsidR="0075717C" w:rsidRDefault="0075717C" w:rsidP="0075717C">
            <w:pPr>
              <w:rPr>
                <w:rFonts w:ascii="Calibri" w:hAnsi="Calibri" w:cs="Calibri"/>
                <w:color w:val="000000"/>
                <w:sz w:val="20"/>
                <w:szCs w:val="20"/>
              </w:rPr>
            </w:pPr>
            <w:r>
              <w:rPr>
                <w:rFonts w:ascii="Calibri" w:hAnsi="Calibri" w:cs="Calibri"/>
                <w:color w:val="000000"/>
                <w:sz w:val="20"/>
                <w:szCs w:val="20"/>
              </w:rPr>
              <w:t>RUG-ADL</w:t>
            </w:r>
          </w:p>
        </w:tc>
        <w:tc>
          <w:tcPr>
            <w:tcW w:w="7064" w:type="dxa"/>
            <w:tcBorders>
              <w:top w:val="nil"/>
              <w:left w:val="nil"/>
              <w:bottom w:val="nil"/>
              <w:right w:val="nil"/>
            </w:tcBorders>
            <w:shd w:val="clear" w:color="auto" w:fill="auto"/>
            <w:noWrap/>
          </w:tcPr>
          <w:p w14:paraId="0E7EACDC" w14:textId="77777777" w:rsidR="0075717C" w:rsidRDefault="0075717C" w:rsidP="0075717C">
            <w:pPr>
              <w:rPr>
                <w:rFonts w:ascii="Calibri" w:hAnsi="Calibri" w:cs="Calibri"/>
                <w:color w:val="000000"/>
                <w:sz w:val="20"/>
                <w:szCs w:val="20"/>
              </w:rPr>
            </w:pPr>
            <w:r>
              <w:rPr>
                <w:rFonts w:ascii="Calibri" w:hAnsi="Calibri" w:cs="Calibri"/>
                <w:color w:val="000000"/>
                <w:sz w:val="20"/>
                <w:szCs w:val="20"/>
              </w:rPr>
              <w:t>Resource Utilisation Groups – Activities of Daily Living</w:t>
            </w:r>
          </w:p>
        </w:tc>
      </w:tr>
      <w:tr w:rsidR="0075717C" w:rsidRPr="00CB56BC" w14:paraId="06799A09" w14:textId="77777777" w:rsidTr="0028577D">
        <w:trPr>
          <w:trHeight w:val="300"/>
        </w:trPr>
        <w:tc>
          <w:tcPr>
            <w:tcW w:w="1668" w:type="dxa"/>
            <w:tcBorders>
              <w:top w:val="nil"/>
              <w:left w:val="nil"/>
              <w:bottom w:val="nil"/>
              <w:right w:val="nil"/>
            </w:tcBorders>
            <w:shd w:val="clear" w:color="auto" w:fill="auto"/>
            <w:noWrap/>
            <w:hideMark/>
          </w:tcPr>
          <w:p w14:paraId="7ED0AB57" w14:textId="77777777" w:rsidR="0075717C" w:rsidRPr="00CB56BC" w:rsidRDefault="0075717C" w:rsidP="0075717C">
            <w:pPr>
              <w:rPr>
                <w:rFonts w:ascii="Calibri" w:hAnsi="Calibri" w:cs="Calibri"/>
                <w:color w:val="000000"/>
                <w:sz w:val="20"/>
                <w:szCs w:val="20"/>
              </w:rPr>
            </w:pPr>
            <w:r w:rsidRPr="00CB56BC">
              <w:rPr>
                <w:rFonts w:ascii="Calibri" w:hAnsi="Calibri" w:cs="Calibri"/>
                <w:color w:val="000000"/>
                <w:sz w:val="20"/>
                <w:szCs w:val="20"/>
              </w:rPr>
              <w:t>RVU</w:t>
            </w:r>
          </w:p>
        </w:tc>
        <w:tc>
          <w:tcPr>
            <w:tcW w:w="7064" w:type="dxa"/>
            <w:tcBorders>
              <w:top w:val="nil"/>
              <w:left w:val="nil"/>
              <w:bottom w:val="nil"/>
              <w:right w:val="nil"/>
            </w:tcBorders>
            <w:shd w:val="clear" w:color="auto" w:fill="auto"/>
            <w:noWrap/>
            <w:hideMark/>
          </w:tcPr>
          <w:p w14:paraId="264A2BA8" w14:textId="77777777" w:rsidR="0075717C" w:rsidRPr="00CB56BC" w:rsidRDefault="0075717C" w:rsidP="0075717C">
            <w:pPr>
              <w:rPr>
                <w:rFonts w:ascii="Calibri" w:hAnsi="Calibri" w:cs="Calibri"/>
                <w:color w:val="000000"/>
                <w:sz w:val="20"/>
                <w:szCs w:val="20"/>
              </w:rPr>
            </w:pPr>
            <w:r w:rsidRPr="00CB56BC">
              <w:rPr>
                <w:rFonts w:ascii="Calibri" w:hAnsi="Calibri" w:cs="Calibri"/>
                <w:color w:val="000000"/>
                <w:sz w:val="20"/>
                <w:szCs w:val="20"/>
              </w:rPr>
              <w:t>Relative Value Unit</w:t>
            </w:r>
          </w:p>
        </w:tc>
      </w:tr>
    </w:tbl>
    <w:p w14:paraId="0217021F" w14:textId="77777777" w:rsidR="00EE35F9" w:rsidRDefault="00EE35F9">
      <w:pPr>
        <w:rPr>
          <w:b/>
        </w:rPr>
      </w:pPr>
      <w:r>
        <w:rPr>
          <w:b/>
        </w:rPr>
        <w:br w:type="page"/>
      </w:r>
    </w:p>
    <w:p w14:paraId="47B9113D" w14:textId="77777777" w:rsidR="0073222F" w:rsidRPr="00E17993" w:rsidRDefault="0073222F" w:rsidP="0016396F">
      <w:pPr>
        <w:pStyle w:val="Heading1"/>
        <w:numPr>
          <w:ilvl w:val="0"/>
          <w:numId w:val="0"/>
        </w:numPr>
      </w:pPr>
      <w:bookmarkStart w:id="30" w:name="_Toc528848521"/>
      <w:bookmarkStart w:id="31" w:name="_Toc2070298"/>
      <w:r w:rsidRPr="006D508F">
        <w:lastRenderedPageBreak/>
        <w:t>Glossary of Terms</w:t>
      </w:r>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of Terms"/>
        <w:tblDescription w:val="This table lists the terms and their descriptions used throughout the document. It should be read as a series of rows from left to right ('Term' then 'Description')."/>
      </w:tblPr>
      <w:tblGrid>
        <w:gridCol w:w="2758"/>
        <w:gridCol w:w="6312"/>
      </w:tblGrid>
      <w:tr w:rsidR="00237C47" w:rsidRPr="00433D5D" w14:paraId="636C0560" w14:textId="77777777" w:rsidTr="00237C47">
        <w:trPr>
          <w:tblHeader/>
        </w:trPr>
        <w:tc>
          <w:tcPr>
            <w:tcW w:w="2802" w:type="dxa"/>
          </w:tcPr>
          <w:p w14:paraId="7EE684D2" w14:textId="33578401" w:rsidR="00237C47" w:rsidRPr="00A128F0" w:rsidRDefault="00237C47" w:rsidP="00237C47">
            <w:pPr>
              <w:spacing w:beforeLines="40" w:before="96" w:afterLines="40" w:after="96" w:line="276" w:lineRule="auto"/>
              <w:rPr>
                <w:b/>
                <w:sz w:val="20"/>
                <w:szCs w:val="20"/>
              </w:rPr>
            </w:pPr>
            <w:r w:rsidRPr="00A128F0">
              <w:rPr>
                <w:b/>
                <w:sz w:val="20"/>
                <w:szCs w:val="20"/>
              </w:rPr>
              <w:t>Term</w:t>
            </w:r>
          </w:p>
        </w:tc>
        <w:tc>
          <w:tcPr>
            <w:tcW w:w="6440" w:type="dxa"/>
          </w:tcPr>
          <w:p w14:paraId="6C827269" w14:textId="00E91F81" w:rsidR="00237C47" w:rsidRPr="00A128F0" w:rsidRDefault="00237C47" w:rsidP="00237C47">
            <w:pPr>
              <w:spacing w:beforeLines="40" w:before="96" w:afterLines="40" w:after="96" w:line="276" w:lineRule="auto"/>
              <w:rPr>
                <w:b/>
                <w:sz w:val="20"/>
                <w:szCs w:val="20"/>
              </w:rPr>
            </w:pPr>
            <w:r w:rsidRPr="00A128F0">
              <w:rPr>
                <w:b/>
                <w:sz w:val="20"/>
                <w:szCs w:val="20"/>
              </w:rPr>
              <w:t>Description</w:t>
            </w:r>
          </w:p>
        </w:tc>
      </w:tr>
      <w:tr w:rsidR="00237C47" w:rsidRPr="00433D5D" w14:paraId="3993AFE5" w14:textId="77777777" w:rsidTr="00237C47">
        <w:tc>
          <w:tcPr>
            <w:tcW w:w="2802" w:type="dxa"/>
          </w:tcPr>
          <w:p w14:paraId="4CF6CF0D" w14:textId="77777777" w:rsidR="00237C47" w:rsidRPr="00433D5D" w:rsidRDefault="00237C47" w:rsidP="00237C47">
            <w:pPr>
              <w:spacing w:beforeLines="40" w:before="96" w:afterLines="40" w:after="96" w:line="276" w:lineRule="auto"/>
              <w:rPr>
                <w:sz w:val="20"/>
                <w:szCs w:val="20"/>
              </w:rPr>
            </w:pPr>
            <w:r w:rsidRPr="00433D5D">
              <w:rPr>
                <w:sz w:val="20"/>
                <w:szCs w:val="20"/>
              </w:rPr>
              <w:t>Aged Care Funding Instrument</w:t>
            </w:r>
            <w:r>
              <w:rPr>
                <w:sz w:val="20"/>
                <w:szCs w:val="20"/>
              </w:rPr>
              <w:t xml:space="preserve"> (ACFI)</w:t>
            </w:r>
          </w:p>
        </w:tc>
        <w:tc>
          <w:tcPr>
            <w:tcW w:w="6440" w:type="dxa"/>
          </w:tcPr>
          <w:p w14:paraId="33720E19" w14:textId="77777777" w:rsidR="00237C47" w:rsidRPr="00433D5D" w:rsidRDefault="00237C47" w:rsidP="00237C47">
            <w:pPr>
              <w:spacing w:beforeLines="40" w:before="96" w:afterLines="40" w:after="96" w:line="276" w:lineRule="auto"/>
              <w:rPr>
                <w:sz w:val="20"/>
                <w:szCs w:val="20"/>
              </w:rPr>
            </w:pPr>
            <w:r>
              <w:rPr>
                <w:sz w:val="20"/>
                <w:szCs w:val="20"/>
              </w:rPr>
              <w:t>The existing</w:t>
            </w:r>
            <w:r w:rsidRPr="00433D5D">
              <w:rPr>
                <w:sz w:val="20"/>
                <w:szCs w:val="20"/>
              </w:rPr>
              <w:t xml:space="preserve"> </w:t>
            </w:r>
            <w:r>
              <w:rPr>
                <w:sz w:val="20"/>
                <w:szCs w:val="20"/>
              </w:rPr>
              <w:t>resource allocation instrument used to determine care subsidies in Australian residential aged care.</w:t>
            </w:r>
          </w:p>
        </w:tc>
      </w:tr>
      <w:tr w:rsidR="00237C47" w:rsidRPr="00433D5D" w14:paraId="3E1C18FF" w14:textId="77777777" w:rsidTr="00237C47">
        <w:tc>
          <w:tcPr>
            <w:tcW w:w="2802" w:type="dxa"/>
          </w:tcPr>
          <w:p w14:paraId="71CFC3B9" w14:textId="77777777" w:rsidR="00237C47" w:rsidRPr="00B55D63" w:rsidRDefault="00237C47" w:rsidP="00237C47">
            <w:pPr>
              <w:spacing w:beforeLines="40" w:before="96" w:afterLines="40" w:after="96" w:line="276" w:lineRule="auto"/>
              <w:rPr>
                <w:sz w:val="20"/>
                <w:szCs w:val="20"/>
              </w:rPr>
            </w:pPr>
            <w:r w:rsidRPr="00B55D63">
              <w:rPr>
                <w:sz w:val="20"/>
                <w:szCs w:val="20"/>
              </w:rPr>
              <w:t>Casemix</w:t>
            </w:r>
          </w:p>
        </w:tc>
        <w:tc>
          <w:tcPr>
            <w:tcW w:w="6440" w:type="dxa"/>
          </w:tcPr>
          <w:p w14:paraId="4A9480C0" w14:textId="77777777" w:rsidR="00237C47" w:rsidRPr="00B55D63" w:rsidRDefault="00237C47" w:rsidP="00237C47">
            <w:pPr>
              <w:spacing w:beforeLines="40" w:before="96" w:afterLines="40" w:after="96" w:line="276" w:lineRule="auto"/>
              <w:rPr>
                <w:sz w:val="20"/>
                <w:szCs w:val="20"/>
              </w:rPr>
            </w:pPr>
            <w:r w:rsidRPr="00B55D63">
              <w:rPr>
                <w:sz w:val="20"/>
                <w:szCs w:val="20"/>
              </w:rPr>
              <w:t>A system that allocates service recipients into</w:t>
            </w:r>
            <w:r>
              <w:rPr>
                <w:sz w:val="20"/>
                <w:szCs w:val="20"/>
              </w:rPr>
              <w:t xml:space="preserve"> classes</w:t>
            </w:r>
            <w:r w:rsidRPr="00B55D63">
              <w:rPr>
                <w:sz w:val="20"/>
                <w:szCs w:val="20"/>
              </w:rPr>
              <w:t>. Care recipients within a class will have similar clinical attributes and their care will involve similar levels of resource consumption.</w:t>
            </w:r>
          </w:p>
        </w:tc>
      </w:tr>
      <w:tr w:rsidR="00237C47" w:rsidRPr="00433D5D" w14:paraId="00A13FB6" w14:textId="77777777" w:rsidTr="00237C47">
        <w:tc>
          <w:tcPr>
            <w:tcW w:w="2802" w:type="dxa"/>
          </w:tcPr>
          <w:p w14:paraId="56F7C0E8" w14:textId="77777777" w:rsidR="00237C47" w:rsidRPr="00433D5D" w:rsidRDefault="00237C47" w:rsidP="00237C47">
            <w:pPr>
              <w:spacing w:beforeLines="40" w:before="96" w:afterLines="40" w:after="96" w:line="276" w:lineRule="auto"/>
              <w:rPr>
                <w:sz w:val="20"/>
                <w:szCs w:val="20"/>
              </w:rPr>
            </w:pPr>
            <w:r>
              <w:rPr>
                <w:sz w:val="20"/>
                <w:szCs w:val="20"/>
              </w:rPr>
              <w:t>Coefficient of variation (CV)</w:t>
            </w:r>
          </w:p>
        </w:tc>
        <w:tc>
          <w:tcPr>
            <w:tcW w:w="6440" w:type="dxa"/>
          </w:tcPr>
          <w:p w14:paraId="79B06F0D" w14:textId="77777777" w:rsidR="00237C47" w:rsidRPr="00433D5D" w:rsidRDefault="00237C47" w:rsidP="00237C47">
            <w:pPr>
              <w:spacing w:beforeLines="40" w:before="96" w:afterLines="40" w:after="96" w:line="276" w:lineRule="auto"/>
              <w:rPr>
                <w:sz w:val="20"/>
                <w:szCs w:val="20"/>
              </w:rPr>
            </w:pPr>
            <w:r>
              <w:rPr>
                <w:sz w:val="20"/>
                <w:szCs w:val="20"/>
              </w:rPr>
              <w:t>A statistical measure of homogeneity within a group. This is calculated as the standard deviation divided by the mean and in casemix systems is usually measured for care costs or care time. A low CV is a measure of good homogeneity within a class.</w:t>
            </w:r>
          </w:p>
        </w:tc>
      </w:tr>
      <w:tr w:rsidR="00237C47" w:rsidRPr="00433D5D" w14:paraId="048DCBDE" w14:textId="77777777" w:rsidTr="00237C47">
        <w:tc>
          <w:tcPr>
            <w:tcW w:w="2802" w:type="dxa"/>
          </w:tcPr>
          <w:p w14:paraId="4515D181" w14:textId="77777777" w:rsidR="00237C47" w:rsidRDefault="00237C47" w:rsidP="00237C47">
            <w:pPr>
              <w:spacing w:beforeLines="40" w:before="96" w:afterLines="40" w:after="96" w:line="276" w:lineRule="auto"/>
              <w:rPr>
                <w:sz w:val="20"/>
                <w:szCs w:val="20"/>
              </w:rPr>
            </w:pPr>
            <w:r>
              <w:rPr>
                <w:sz w:val="20"/>
                <w:szCs w:val="20"/>
              </w:rPr>
              <w:t>Consumer Directed Care</w:t>
            </w:r>
          </w:p>
        </w:tc>
        <w:tc>
          <w:tcPr>
            <w:tcW w:w="6440" w:type="dxa"/>
          </w:tcPr>
          <w:p w14:paraId="71131808" w14:textId="77777777" w:rsidR="00237C47" w:rsidRDefault="00237C47" w:rsidP="00237C47">
            <w:pPr>
              <w:spacing w:beforeLines="40" w:before="96" w:afterLines="40" w:after="96" w:line="276" w:lineRule="auto"/>
              <w:rPr>
                <w:sz w:val="20"/>
                <w:szCs w:val="20"/>
              </w:rPr>
            </w:pPr>
            <w:r>
              <w:rPr>
                <w:sz w:val="20"/>
                <w:szCs w:val="20"/>
              </w:rPr>
              <w:t>A</w:t>
            </w:r>
            <w:r w:rsidRPr="00B82914">
              <w:rPr>
                <w:sz w:val="20"/>
                <w:szCs w:val="20"/>
              </w:rPr>
              <w:t xml:space="preserve"> model of service delivery designed to give more choice</w:t>
            </w:r>
            <w:r>
              <w:rPr>
                <w:sz w:val="20"/>
                <w:szCs w:val="20"/>
              </w:rPr>
              <w:t xml:space="preserve"> </w:t>
            </w:r>
            <w:r w:rsidRPr="00B82914">
              <w:rPr>
                <w:sz w:val="20"/>
                <w:szCs w:val="20"/>
              </w:rPr>
              <w:t>and flexibility to consumers</w:t>
            </w:r>
            <w:r>
              <w:rPr>
                <w:sz w:val="20"/>
                <w:szCs w:val="20"/>
              </w:rPr>
              <w:t>, providing c</w:t>
            </w:r>
            <w:r w:rsidRPr="00B82914">
              <w:rPr>
                <w:sz w:val="20"/>
                <w:szCs w:val="20"/>
              </w:rPr>
              <w:t xml:space="preserve">onsumers </w:t>
            </w:r>
            <w:r>
              <w:rPr>
                <w:sz w:val="20"/>
                <w:szCs w:val="20"/>
              </w:rPr>
              <w:t xml:space="preserve">with </w:t>
            </w:r>
            <w:r w:rsidRPr="00B82914">
              <w:rPr>
                <w:sz w:val="20"/>
                <w:szCs w:val="20"/>
              </w:rPr>
              <w:t>more</w:t>
            </w:r>
            <w:r>
              <w:rPr>
                <w:sz w:val="20"/>
                <w:szCs w:val="20"/>
              </w:rPr>
              <w:t xml:space="preserve"> </w:t>
            </w:r>
            <w:r w:rsidRPr="00B82914">
              <w:rPr>
                <w:sz w:val="20"/>
                <w:szCs w:val="20"/>
              </w:rPr>
              <w:t>control over the types of care and services they access.</w:t>
            </w:r>
          </w:p>
        </w:tc>
      </w:tr>
      <w:tr w:rsidR="00237C47" w:rsidRPr="00433D5D" w14:paraId="61F2E25F" w14:textId="77777777" w:rsidTr="00237C47">
        <w:tc>
          <w:tcPr>
            <w:tcW w:w="2802" w:type="dxa"/>
          </w:tcPr>
          <w:p w14:paraId="4ED2B8EC" w14:textId="77777777" w:rsidR="00237C47" w:rsidRDefault="00237C47" w:rsidP="00237C47">
            <w:pPr>
              <w:spacing w:beforeLines="40" w:before="96" w:afterLines="40" w:after="96" w:line="276" w:lineRule="auto"/>
              <w:rPr>
                <w:sz w:val="20"/>
                <w:szCs w:val="20"/>
              </w:rPr>
            </w:pPr>
            <w:r>
              <w:rPr>
                <w:sz w:val="20"/>
                <w:szCs w:val="20"/>
              </w:rPr>
              <w:t>Individual care</w:t>
            </w:r>
          </w:p>
        </w:tc>
        <w:tc>
          <w:tcPr>
            <w:tcW w:w="6440" w:type="dxa"/>
          </w:tcPr>
          <w:p w14:paraId="050D1532" w14:textId="77777777" w:rsidR="00237C47" w:rsidRDefault="00237C47" w:rsidP="00237C47">
            <w:pPr>
              <w:spacing w:beforeLines="40" w:before="96" w:afterLines="40" w:after="96" w:line="276" w:lineRule="auto"/>
              <w:rPr>
                <w:sz w:val="20"/>
                <w:szCs w:val="20"/>
              </w:rPr>
            </w:pPr>
            <w:r>
              <w:rPr>
                <w:sz w:val="20"/>
                <w:szCs w:val="20"/>
              </w:rPr>
              <w:t>Care that is tailored to the needs of an individual resident. Differences in individual care time between residents are likely to be associated with differences in assessed function, cognition, behaviour and health status.</w:t>
            </w:r>
          </w:p>
        </w:tc>
      </w:tr>
      <w:tr w:rsidR="00237C47" w:rsidRPr="00433D5D" w14:paraId="76414362" w14:textId="77777777" w:rsidTr="00237C47">
        <w:tc>
          <w:tcPr>
            <w:tcW w:w="2802" w:type="dxa"/>
          </w:tcPr>
          <w:p w14:paraId="3DE35418" w14:textId="77777777" w:rsidR="00237C47" w:rsidRPr="00433D5D" w:rsidRDefault="00237C47" w:rsidP="00237C47">
            <w:pPr>
              <w:spacing w:beforeLines="40" w:before="96" w:afterLines="40" w:after="96" w:line="276" w:lineRule="auto"/>
              <w:rPr>
                <w:sz w:val="20"/>
                <w:szCs w:val="20"/>
              </w:rPr>
            </w:pPr>
            <w:r w:rsidRPr="00433D5D">
              <w:rPr>
                <w:sz w:val="20"/>
                <w:szCs w:val="20"/>
              </w:rPr>
              <w:t>Permanent resident</w:t>
            </w:r>
          </w:p>
        </w:tc>
        <w:tc>
          <w:tcPr>
            <w:tcW w:w="6440" w:type="dxa"/>
          </w:tcPr>
          <w:p w14:paraId="551DE0AE" w14:textId="77777777" w:rsidR="00237C47" w:rsidRPr="00433D5D" w:rsidRDefault="00237C47" w:rsidP="00237C47">
            <w:pPr>
              <w:spacing w:beforeLines="40" w:before="96" w:afterLines="40" w:after="96" w:line="276" w:lineRule="auto"/>
              <w:rPr>
                <w:sz w:val="20"/>
                <w:szCs w:val="20"/>
              </w:rPr>
            </w:pPr>
            <w:r w:rsidRPr="00433D5D">
              <w:rPr>
                <w:sz w:val="20"/>
                <w:szCs w:val="20"/>
              </w:rPr>
              <w:t>A person who enters residential aged care as their o</w:t>
            </w:r>
            <w:r>
              <w:rPr>
                <w:sz w:val="20"/>
                <w:szCs w:val="20"/>
              </w:rPr>
              <w:t xml:space="preserve">ngoing </w:t>
            </w:r>
            <w:r w:rsidRPr="00433D5D">
              <w:rPr>
                <w:sz w:val="20"/>
                <w:szCs w:val="20"/>
              </w:rPr>
              <w:t>place of residence.</w:t>
            </w:r>
          </w:p>
        </w:tc>
      </w:tr>
      <w:tr w:rsidR="00237C47" w:rsidRPr="00433D5D" w14:paraId="1DEB5A92" w14:textId="77777777" w:rsidTr="00237C47">
        <w:tc>
          <w:tcPr>
            <w:tcW w:w="2802" w:type="dxa"/>
          </w:tcPr>
          <w:p w14:paraId="40C2EE14" w14:textId="77777777" w:rsidR="00237C47" w:rsidRPr="00433D5D" w:rsidRDefault="00237C47" w:rsidP="00237C47">
            <w:pPr>
              <w:spacing w:beforeLines="40" w:before="96" w:afterLines="40" w:after="96" w:line="276" w:lineRule="auto"/>
              <w:rPr>
                <w:sz w:val="20"/>
                <w:szCs w:val="20"/>
              </w:rPr>
            </w:pPr>
            <w:r>
              <w:rPr>
                <w:sz w:val="20"/>
                <w:szCs w:val="20"/>
              </w:rPr>
              <w:t>Relative Value Unit (RVU)</w:t>
            </w:r>
          </w:p>
        </w:tc>
        <w:tc>
          <w:tcPr>
            <w:tcW w:w="6440" w:type="dxa"/>
          </w:tcPr>
          <w:p w14:paraId="11344943" w14:textId="77777777" w:rsidR="00237C47" w:rsidRPr="00433D5D" w:rsidRDefault="00237C47" w:rsidP="00237C47">
            <w:pPr>
              <w:spacing w:beforeLines="40" w:before="96" w:afterLines="40" w:after="96" w:line="276" w:lineRule="auto"/>
              <w:rPr>
                <w:sz w:val="20"/>
                <w:szCs w:val="20"/>
              </w:rPr>
            </w:pPr>
            <w:r w:rsidRPr="00946A28">
              <w:rPr>
                <w:rFonts w:cstheme="minorHAnsi"/>
                <w:sz w:val="20"/>
                <w:szCs w:val="20"/>
              </w:rPr>
              <w:t>In the context of this study, a measure of relative resource consumption (staff time or dollars). An RVU of 1.2 means that the cost is 20% above the national average. An RVU</w:t>
            </w:r>
            <w:r>
              <w:rPr>
                <w:rFonts w:cstheme="minorHAnsi"/>
                <w:sz w:val="20"/>
                <w:szCs w:val="20"/>
              </w:rPr>
              <w:t xml:space="preserve"> of</w:t>
            </w:r>
            <w:r w:rsidRPr="00946A28">
              <w:rPr>
                <w:rFonts w:cstheme="minorHAnsi"/>
                <w:sz w:val="20"/>
                <w:szCs w:val="20"/>
              </w:rPr>
              <w:t xml:space="preserve"> 0.5 means that the cost is 50% below national average.</w:t>
            </w:r>
          </w:p>
        </w:tc>
      </w:tr>
      <w:tr w:rsidR="00237C47" w:rsidRPr="00433D5D" w14:paraId="2BBB21F6" w14:textId="77777777" w:rsidTr="00237C47">
        <w:tc>
          <w:tcPr>
            <w:tcW w:w="2802" w:type="dxa"/>
          </w:tcPr>
          <w:p w14:paraId="68FE5499" w14:textId="77777777" w:rsidR="00237C47" w:rsidRPr="00433D5D" w:rsidRDefault="00237C47" w:rsidP="00237C47">
            <w:pPr>
              <w:spacing w:beforeLines="40" w:before="96" w:afterLines="40" w:after="96" w:line="276" w:lineRule="auto"/>
              <w:rPr>
                <w:sz w:val="20"/>
                <w:szCs w:val="20"/>
              </w:rPr>
            </w:pPr>
            <w:r w:rsidRPr="00433D5D">
              <w:rPr>
                <w:sz w:val="20"/>
                <w:szCs w:val="20"/>
              </w:rPr>
              <w:t>Residential aged care</w:t>
            </w:r>
          </w:p>
        </w:tc>
        <w:tc>
          <w:tcPr>
            <w:tcW w:w="6440" w:type="dxa"/>
          </w:tcPr>
          <w:p w14:paraId="00006F51" w14:textId="77777777" w:rsidR="00237C47" w:rsidRPr="00433D5D" w:rsidRDefault="00237C47" w:rsidP="00237C47">
            <w:pPr>
              <w:spacing w:beforeLines="40" w:before="96" w:afterLines="40" w:after="96" w:line="276" w:lineRule="auto"/>
              <w:rPr>
                <w:sz w:val="20"/>
                <w:szCs w:val="20"/>
              </w:rPr>
            </w:pPr>
            <w:r w:rsidRPr="00433D5D">
              <w:rPr>
                <w:sz w:val="20"/>
                <w:szCs w:val="20"/>
              </w:rPr>
              <w:t>Personal and/or nursing care that is provided to a person in a residential aged care service</w:t>
            </w:r>
            <w:r>
              <w:rPr>
                <w:sz w:val="20"/>
                <w:szCs w:val="20"/>
              </w:rPr>
              <w:t xml:space="preserve">. In addition to care, the </w:t>
            </w:r>
            <w:r w:rsidRPr="00433D5D">
              <w:rPr>
                <w:sz w:val="20"/>
                <w:szCs w:val="20"/>
              </w:rPr>
              <w:t>person is also provided with accommodation that includes meals, cleaning services, furniture and equipment. The residential aged care service must meet certain building standards and appropriate staffing in supplying the provision of that care and accommodation.</w:t>
            </w:r>
          </w:p>
        </w:tc>
      </w:tr>
      <w:tr w:rsidR="00237C47" w:rsidRPr="00433D5D" w14:paraId="6B6E37D2" w14:textId="77777777" w:rsidTr="00237C47">
        <w:tc>
          <w:tcPr>
            <w:tcW w:w="2802" w:type="dxa"/>
          </w:tcPr>
          <w:p w14:paraId="4512A24D" w14:textId="77777777" w:rsidR="00237C47" w:rsidRPr="00433D5D" w:rsidRDefault="00237C47" w:rsidP="00237C47">
            <w:pPr>
              <w:spacing w:beforeLines="40" w:before="96" w:afterLines="40" w:after="96" w:line="276" w:lineRule="auto"/>
              <w:rPr>
                <w:sz w:val="20"/>
                <w:szCs w:val="20"/>
              </w:rPr>
            </w:pPr>
            <w:r>
              <w:rPr>
                <w:sz w:val="20"/>
                <w:szCs w:val="20"/>
              </w:rPr>
              <w:t>Respite care</w:t>
            </w:r>
          </w:p>
        </w:tc>
        <w:tc>
          <w:tcPr>
            <w:tcW w:w="6440" w:type="dxa"/>
          </w:tcPr>
          <w:p w14:paraId="76E9339E" w14:textId="77777777" w:rsidR="00237C47" w:rsidRPr="00433D5D" w:rsidRDefault="00237C47" w:rsidP="00237C47">
            <w:pPr>
              <w:spacing w:beforeLines="40" w:before="96" w:afterLines="40" w:after="96" w:line="276" w:lineRule="auto"/>
              <w:rPr>
                <w:sz w:val="20"/>
                <w:szCs w:val="20"/>
              </w:rPr>
            </w:pPr>
            <w:r>
              <w:rPr>
                <w:sz w:val="20"/>
                <w:szCs w:val="20"/>
              </w:rPr>
              <w:t>S</w:t>
            </w:r>
            <w:r w:rsidRPr="00B55D63">
              <w:rPr>
                <w:sz w:val="20"/>
                <w:szCs w:val="20"/>
              </w:rPr>
              <w:t>hort term care for a person within a residential care facility for short periods of time on a once-off or regular basis. The main purpose of respite is to provide relief for the usual carer</w:t>
            </w:r>
            <w:r>
              <w:rPr>
                <w:sz w:val="20"/>
                <w:szCs w:val="20"/>
              </w:rPr>
              <w:t>.</w:t>
            </w:r>
          </w:p>
        </w:tc>
      </w:tr>
      <w:tr w:rsidR="00237C47" w:rsidRPr="00433D5D" w14:paraId="0E9D4D76" w14:textId="77777777" w:rsidTr="00237C47">
        <w:tc>
          <w:tcPr>
            <w:tcW w:w="2802" w:type="dxa"/>
          </w:tcPr>
          <w:p w14:paraId="7E606434" w14:textId="77777777" w:rsidR="00237C47" w:rsidRPr="00B55D63" w:rsidRDefault="00237C47" w:rsidP="00237C47">
            <w:pPr>
              <w:spacing w:beforeLines="40" w:before="96" w:afterLines="40" w:after="96" w:line="276" w:lineRule="auto"/>
              <w:rPr>
                <w:sz w:val="20"/>
                <w:szCs w:val="20"/>
              </w:rPr>
            </w:pPr>
            <w:r w:rsidRPr="00B55D63">
              <w:rPr>
                <w:sz w:val="20"/>
                <w:szCs w:val="20"/>
              </w:rPr>
              <w:t>Shared care</w:t>
            </w:r>
          </w:p>
        </w:tc>
        <w:tc>
          <w:tcPr>
            <w:tcW w:w="6440" w:type="dxa"/>
          </w:tcPr>
          <w:p w14:paraId="52F114E7" w14:textId="77777777" w:rsidR="00237C47" w:rsidRDefault="00237C47" w:rsidP="00237C47">
            <w:pPr>
              <w:spacing w:beforeLines="40" w:before="96" w:afterLines="40" w:after="96" w:line="276" w:lineRule="auto"/>
              <w:rPr>
                <w:sz w:val="20"/>
                <w:szCs w:val="20"/>
              </w:rPr>
            </w:pPr>
            <w:r>
              <w:rPr>
                <w:sz w:val="20"/>
                <w:szCs w:val="20"/>
              </w:rPr>
              <w:t>Care that is not tailored to individual resident needs and that all residents generally benefit from equally. This includes activities such as general supervision in common areas, night supervision, clinical care management and quality activities, and incidental brief interactions with residents.</w:t>
            </w:r>
          </w:p>
          <w:p w14:paraId="05BBBF0F" w14:textId="77777777" w:rsidR="00237C47" w:rsidRDefault="00237C47" w:rsidP="00237C47">
            <w:pPr>
              <w:spacing w:beforeLines="40" w:before="96" w:afterLines="40" w:after="96" w:line="276" w:lineRule="auto"/>
              <w:rPr>
                <w:sz w:val="20"/>
                <w:szCs w:val="20"/>
              </w:rPr>
            </w:pPr>
          </w:p>
        </w:tc>
      </w:tr>
    </w:tbl>
    <w:p w14:paraId="43B16562" w14:textId="77777777" w:rsidR="005A38CC" w:rsidRDefault="005A38CC">
      <w:pPr>
        <w:rPr>
          <w:highlight w:val="yellow"/>
        </w:rPr>
      </w:pPr>
      <w:r>
        <w:rPr>
          <w:highlight w:val="yellow"/>
        </w:rPr>
        <w:br w:type="page"/>
      </w:r>
    </w:p>
    <w:p w14:paraId="078B3F51" w14:textId="77777777" w:rsidR="005A38CC" w:rsidRDefault="005A38CC">
      <w:pPr>
        <w:rPr>
          <w:highlight w:val="yellow"/>
        </w:rPr>
      </w:pPr>
      <w:r>
        <w:rPr>
          <w:highlight w:val="yellow"/>
        </w:rPr>
        <w:lastRenderedPageBreak/>
        <w:br w:type="page"/>
      </w:r>
    </w:p>
    <w:p w14:paraId="0408AA52" w14:textId="77777777" w:rsidR="003272D7" w:rsidRDefault="003272D7">
      <w:pPr>
        <w:rPr>
          <w:highlight w:val="yellow"/>
        </w:rPr>
        <w:sectPr w:rsidR="003272D7" w:rsidSect="006E091C">
          <w:footerReference w:type="default" r:id="rId15"/>
          <w:pgSz w:w="11906" w:h="16838"/>
          <w:pgMar w:top="1134" w:right="1418" w:bottom="1134" w:left="1418" w:header="709" w:footer="709" w:gutter="0"/>
          <w:pgNumType w:fmt="lowerRoman" w:start="1"/>
          <w:cols w:space="708"/>
          <w:docGrid w:linePitch="360"/>
        </w:sectPr>
      </w:pPr>
    </w:p>
    <w:p w14:paraId="5B7ABF7D" w14:textId="77777777" w:rsidR="00532DB1" w:rsidRDefault="00684B6F" w:rsidP="00E3630A">
      <w:pPr>
        <w:pStyle w:val="Heading1"/>
        <w:numPr>
          <w:ilvl w:val="0"/>
          <w:numId w:val="0"/>
        </w:numPr>
      </w:pPr>
      <w:bookmarkStart w:id="32" w:name="_Toc2070299"/>
      <w:r w:rsidRPr="00E53859">
        <w:lastRenderedPageBreak/>
        <w:t>Key Messages</w:t>
      </w:r>
      <w:bookmarkEnd w:id="32"/>
    </w:p>
    <w:p w14:paraId="0F1104FE" w14:textId="77777777" w:rsidR="00F529D7" w:rsidRDefault="00F529D7" w:rsidP="009E07BD">
      <w:pPr>
        <w:pStyle w:val="Bullets"/>
        <w:numPr>
          <w:ilvl w:val="0"/>
          <w:numId w:val="1"/>
        </w:numPr>
        <w:ind w:left="357" w:hanging="357"/>
        <w:rPr>
          <w:rFonts w:eastAsiaTheme="minorHAnsi"/>
          <w:lang w:eastAsia="en-US"/>
        </w:rPr>
      </w:pPr>
      <w:r w:rsidRPr="00E17993">
        <w:rPr>
          <w:rFonts w:eastAsiaTheme="minorHAnsi"/>
          <w:lang w:eastAsia="en-US"/>
        </w:rPr>
        <w:t xml:space="preserve">This </w:t>
      </w:r>
      <w:r>
        <w:rPr>
          <w:rFonts w:eastAsiaTheme="minorHAnsi"/>
          <w:lang w:eastAsia="en-US"/>
        </w:rPr>
        <w:t xml:space="preserve">report </w:t>
      </w:r>
      <w:r w:rsidR="00E423DF">
        <w:rPr>
          <w:rFonts w:eastAsiaTheme="minorHAnsi"/>
          <w:lang w:eastAsia="en-US"/>
        </w:rPr>
        <w:t xml:space="preserve">presents key results from </w:t>
      </w:r>
      <w:r w:rsidR="00CB51DF">
        <w:rPr>
          <w:rFonts w:eastAsiaTheme="minorHAnsi"/>
          <w:lang w:eastAsia="en-US"/>
        </w:rPr>
        <w:t>‘</w:t>
      </w:r>
      <w:r>
        <w:rPr>
          <w:rFonts w:eastAsiaTheme="minorHAnsi"/>
          <w:lang w:eastAsia="en-US"/>
        </w:rPr>
        <w:t>Study One</w:t>
      </w:r>
      <w:r w:rsidR="00CB51DF">
        <w:rPr>
          <w:rFonts w:eastAsiaTheme="minorHAnsi"/>
          <w:lang w:eastAsia="en-US"/>
        </w:rPr>
        <w:t>’</w:t>
      </w:r>
      <w:r>
        <w:rPr>
          <w:rFonts w:eastAsiaTheme="minorHAnsi"/>
          <w:lang w:eastAsia="en-US"/>
        </w:rPr>
        <w:t xml:space="preserve"> of the </w:t>
      </w:r>
      <w:r w:rsidRPr="00E17993">
        <w:rPr>
          <w:rFonts w:eastAsiaTheme="minorHAnsi"/>
          <w:lang w:eastAsia="en-US"/>
        </w:rPr>
        <w:t>Resou</w:t>
      </w:r>
      <w:r>
        <w:rPr>
          <w:rFonts w:eastAsiaTheme="minorHAnsi"/>
          <w:lang w:eastAsia="en-US"/>
        </w:rPr>
        <w:t>r</w:t>
      </w:r>
      <w:r w:rsidRPr="00E17993">
        <w:rPr>
          <w:rFonts w:eastAsiaTheme="minorHAnsi"/>
          <w:lang w:eastAsia="en-US"/>
        </w:rPr>
        <w:t>ce Utilisation and Classification Study (RUCS</w:t>
      </w:r>
      <w:r w:rsidR="00B40077">
        <w:rPr>
          <w:rFonts w:eastAsiaTheme="minorHAnsi"/>
          <w:lang w:eastAsia="en-US"/>
        </w:rPr>
        <w:t>).</w:t>
      </w:r>
    </w:p>
    <w:p w14:paraId="1AF92AF0" w14:textId="77777777" w:rsidR="00CB51DF" w:rsidRPr="009E07BD" w:rsidRDefault="00CB51DF" w:rsidP="009E07BD">
      <w:pPr>
        <w:pStyle w:val="Bullets"/>
        <w:numPr>
          <w:ilvl w:val="0"/>
          <w:numId w:val="1"/>
        </w:numPr>
        <w:ind w:left="357" w:hanging="357"/>
        <w:rPr>
          <w:rFonts w:eastAsiaTheme="minorHAnsi"/>
          <w:lang w:eastAsia="en-US"/>
        </w:rPr>
      </w:pPr>
      <w:r w:rsidRPr="009E07BD">
        <w:rPr>
          <w:rFonts w:eastAsiaTheme="minorHAnsi"/>
          <w:lang w:eastAsia="en-US"/>
        </w:rPr>
        <w:t xml:space="preserve">This study is part of a broader reform process </w:t>
      </w:r>
      <w:r w:rsidR="00A7386A" w:rsidRPr="009E07BD">
        <w:rPr>
          <w:rFonts w:eastAsiaTheme="minorHAnsi"/>
          <w:lang w:eastAsia="en-US"/>
        </w:rPr>
        <w:t xml:space="preserve">to </w:t>
      </w:r>
      <w:r w:rsidRPr="009E07BD">
        <w:rPr>
          <w:rFonts w:eastAsiaTheme="minorHAnsi"/>
          <w:lang w:eastAsia="en-US"/>
        </w:rPr>
        <w:t>de</w:t>
      </w:r>
      <w:r w:rsidR="007F5256" w:rsidRPr="009E07BD">
        <w:rPr>
          <w:rFonts w:eastAsiaTheme="minorHAnsi"/>
          <w:lang w:eastAsia="en-US"/>
        </w:rPr>
        <w:t xml:space="preserve">sign </w:t>
      </w:r>
      <w:r w:rsidRPr="009E07BD">
        <w:rPr>
          <w:rFonts w:eastAsiaTheme="minorHAnsi"/>
          <w:lang w:eastAsia="en-US"/>
        </w:rPr>
        <w:t>a new funding m</w:t>
      </w:r>
      <w:r w:rsidR="00B40077">
        <w:rPr>
          <w:rFonts w:eastAsiaTheme="minorHAnsi"/>
          <w:lang w:eastAsia="en-US"/>
        </w:rPr>
        <w:t>odel for residential aged care.</w:t>
      </w:r>
    </w:p>
    <w:p w14:paraId="63F10889" w14:textId="77777777" w:rsidR="00F529D7" w:rsidRPr="009E07BD" w:rsidRDefault="00F529D7" w:rsidP="009E07BD">
      <w:pPr>
        <w:pStyle w:val="Bullets"/>
        <w:numPr>
          <w:ilvl w:val="0"/>
          <w:numId w:val="1"/>
        </w:numPr>
        <w:ind w:left="357" w:hanging="357"/>
        <w:rPr>
          <w:rFonts w:eastAsiaTheme="minorHAnsi"/>
          <w:lang w:eastAsia="en-US"/>
        </w:rPr>
      </w:pPr>
      <w:r w:rsidRPr="009E07BD">
        <w:rPr>
          <w:rFonts w:eastAsiaTheme="minorHAnsi"/>
          <w:lang w:eastAsia="en-US"/>
        </w:rPr>
        <w:t>The primary aim of Study One was to develop a new, fit-for-purpose casemix classification for the Australia</w:t>
      </w:r>
      <w:r w:rsidR="00B40077">
        <w:rPr>
          <w:rFonts w:eastAsiaTheme="minorHAnsi"/>
          <w:lang w:eastAsia="en-US"/>
        </w:rPr>
        <w:t>n residential aged care sector.</w:t>
      </w:r>
    </w:p>
    <w:p w14:paraId="30E15752" w14:textId="77777777" w:rsidR="00F529D7" w:rsidRPr="009E07BD" w:rsidRDefault="00F529D7" w:rsidP="009E07BD">
      <w:pPr>
        <w:pStyle w:val="Bullets"/>
        <w:numPr>
          <w:ilvl w:val="0"/>
          <w:numId w:val="1"/>
        </w:numPr>
        <w:ind w:left="357" w:hanging="357"/>
        <w:rPr>
          <w:rFonts w:eastAsiaTheme="minorHAnsi"/>
          <w:lang w:eastAsia="en-US"/>
        </w:rPr>
      </w:pPr>
      <w:r w:rsidRPr="009E07BD">
        <w:rPr>
          <w:rFonts w:eastAsiaTheme="minorHAnsi"/>
          <w:lang w:eastAsia="en-US"/>
        </w:rPr>
        <w:t>30 facilities in three regions participated in a study that involved 1,877 resident assessments and 315,029 staff time activity re</w:t>
      </w:r>
      <w:r w:rsidR="00B40077">
        <w:rPr>
          <w:rFonts w:eastAsiaTheme="minorHAnsi"/>
          <w:lang w:eastAsia="en-US"/>
        </w:rPr>
        <w:t>cords collected by 1,600 staff.</w:t>
      </w:r>
    </w:p>
    <w:p w14:paraId="4FDFBFAD" w14:textId="77777777" w:rsidR="00E423DF" w:rsidRPr="009E07BD" w:rsidRDefault="00E423DF" w:rsidP="009E07BD">
      <w:pPr>
        <w:pStyle w:val="Bullets"/>
        <w:numPr>
          <w:ilvl w:val="0"/>
          <w:numId w:val="1"/>
        </w:numPr>
        <w:ind w:left="357" w:hanging="357"/>
        <w:rPr>
          <w:rFonts w:eastAsiaTheme="minorHAnsi"/>
          <w:lang w:eastAsia="en-US"/>
        </w:rPr>
      </w:pPr>
      <w:r w:rsidRPr="009E07BD">
        <w:rPr>
          <w:rFonts w:eastAsiaTheme="minorHAnsi"/>
          <w:lang w:eastAsia="en-US"/>
        </w:rPr>
        <w:t xml:space="preserve">The clinical profile of study residents supports the hypothesis that residential aged care costs are driven by care burden associated with end of life needs, frailty, </w:t>
      </w:r>
      <w:r w:rsidR="00DD2DE3" w:rsidRPr="009E07BD">
        <w:rPr>
          <w:rFonts w:eastAsiaTheme="minorHAnsi"/>
          <w:lang w:eastAsia="en-US"/>
        </w:rPr>
        <w:t xml:space="preserve">mobility, </w:t>
      </w:r>
      <w:r w:rsidRPr="009E07BD">
        <w:rPr>
          <w:rFonts w:eastAsiaTheme="minorHAnsi"/>
          <w:lang w:eastAsia="en-US"/>
        </w:rPr>
        <w:t>functional decline, cognition, behavio</w:t>
      </w:r>
      <w:r w:rsidR="00B40077">
        <w:rPr>
          <w:rFonts w:eastAsiaTheme="minorHAnsi"/>
          <w:lang w:eastAsia="en-US"/>
        </w:rPr>
        <w:t>ur and technical nursing needs.</w:t>
      </w:r>
    </w:p>
    <w:p w14:paraId="55C93659" w14:textId="77777777" w:rsidR="00F529D7" w:rsidRPr="009E07BD" w:rsidRDefault="00F529D7" w:rsidP="009E07BD">
      <w:pPr>
        <w:pStyle w:val="Bullets"/>
        <w:numPr>
          <w:ilvl w:val="0"/>
          <w:numId w:val="1"/>
        </w:numPr>
        <w:ind w:left="357" w:hanging="357"/>
        <w:rPr>
          <w:rFonts w:eastAsiaTheme="minorHAnsi"/>
          <w:lang w:eastAsia="en-US"/>
        </w:rPr>
      </w:pPr>
      <w:r w:rsidRPr="009E07BD">
        <w:rPr>
          <w:rFonts w:eastAsiaTheme="minorHAnsi"/>
          <w:lang w:eastAsia="en-US"/>
        </w:rPr>
        <w:t xml:space="preserve">A casemix classification, the Australian National Aged Care Classification (AN-ACC) has been developed. AN-ACC </w:t>
      </w:r>
      <w:r w:rsidR="00534F50" w:rsidRPr="009E07BD">
        <w:rPr>
          <w:rFonts w:eastAsiaTheme="minorHAnsi"/>
          <w:lang w:eastAsia="en-US"/>
        </w:rPr>
        <w:t>Version 1</w:t>
      </w:r>
      <w:r w:rsidR="00B82914" w:rsidRPr="009E07BD">
        <w:rPr>
          <w:rFonts w:eastAsiaTheme="minorHAnsi"/>
          <w:lang w:eastAsia="en-US"/>
        </w:rPr>
        <w:t>.0</w:t>
      </w:r>
      <w:r w:rsidR="00534F50" w:rsidRPr="009E07BD">
        <w:rPr>
          <w:rFonts w:eastAsiaTheme="minorHAnsi"/>
          <w:lang w:eastAsia="en-US"/>
        </w:rPr>
        <w:t xml:space="preserve"> </w:t>
      </w:r>
      <w:r w:rsidRPr="009E07BD">
        <w:rPr>
          <w:rFonts w:eastAsiaTheme="minorHAnsi"/>
          <w:lang w:eastAsia="en-US"/>
        </w:rPr>
        <w:t xml:space="preserve">comprises 13 classes and explains 50% of the variance in the cost of individual resident care. There is a </w:t>
      </w:r>
      <w:r w:rsidR="00534F50" w:rsidRPr="009E07BD">
        <w:rPr>
          <w:rFonts w:eastAsiaTheme="minorHAnsi"/>
          <w:lang w:eastAsia="en-US"/>
        </w:rPr>
        <w:t>five</w:t>
      </w:r>
      <w:r w:rsidR="00E423DF" w:rsidRPr="009E07BD">
        <w:rPr>
          <w:rFonts w:eastAsiaTheme="minorHAnsi"/>
          <w:lang w:eastAsia="en-US"/>
        </w:rPr>
        <w:t>fold</w:t>
      </w:r>
      <w:r w:rsidRPr="009E07BD">
        <w:rPr>
          <w:rFonts w:eastAsiaTheme="minorHAnsi"/>
          <w:lang w:eastAsia="en-US"/>
        </w:rPr>
        <w:t xml:space="preserve"> variation in cost between the least and most expensive AN-ACC class.</w:t>
      </w:r>
    </w:p>
    <w:p w14:paraId="2336E0C1" w14:textId="77777777" w:rsidR="00E423DF" w:rsidRPr="009E07BD" w:rsidRDefault="00E423DF" w:rsidP="009E07BD">
      <w:pPr>
        <w:pStyle w:val="Bullets"/>
        <w:numPr>
          <w:ilvl w:val="0"/>
          <w:numId w:val="1"/>
        </w:numPr>
        <w:ind w:left="357" w:hanging="357"/>
        <w:rPr>
          <w:rFonts w:eastAsiaTheme="minorHAnsi"/>
          <w:lang w:eastAsia="en-US"/>
        </w:rPr>
      </w:pPr>
      <w:r w:rsidRPr="009E07BD">
        <w:rPr>
          <w:rFonts w:eastAsiaTheme="minorHAnsi"/>
          <w:lang w:eastAsia="en-US"/>
        </w:rPr>
        <w:t xml:space="preserve">AN-ACC is underpinned by a clinical assessment instrument that can be completed by an external </w:t>
      </w:r>
      <w:r w:rsidR="004455B9" w:rsidRPr="009E07BD">
        <w:rPr>
          <w:rFonts w:eastAsiaTheme="minorHAnsi"/>
          <w:lang w:eastAsia="en-US"/>
        </w:rPr>
        <w:t xml:space="preserve">clinical </w:t>
      </w:r>
      <w:r w:rsidR="00B40077">
        <w:rPr>
          <w:rFonts w:eastAsiaTheme="minorHAnsi"/>
          <w:lang w:eastAsia="en-US"/>
        </w:rPr>
        <w:t>assessor.</w:t>
      </w:r>
    </w:p>
    <w:p w14:paraId="0B591F96" w14:textId="77777777" w:rsidR="00E423DF" w:rsidRPr="009E07BD" w:rsidRDefault="00E423DF" w:rsidP="009E07BD">
      <w:pPr>
        <w:pStyle w:val="Bullets"/>
        <w:numPr>
          <w:ilvl w:val="0"/>
          <w:numId w:val="1"/>
        </w:numPr>
        <w:ind w:left="357" w:hanging="357"/>
        <w:rPr>
          <w:rFonts w:eastAsiaTheme="minorHAnsi"/>
          <w:lang w:eastAsia="en-US"/>
        </w:rPr>
      </w:pPr>
      <w:r w:rsidRPr="009E07BD">
        <w:rPr>
          <w:rFonts w:eastAsiaTheme="minorHAnsi"/>
          <w:lang w:eastAsia="en-US"/>
        </w:rPr>
        <w:t>The staff time data collection found that close to 50% of staff time was spent delivering care tailored to the specific needs of the resident, while the remaining 50% was spent delivering sha</w:t>
      </w:r>
      <w:r w:rsidR="00AE7A80" w:rsidRPr="009E07BD">
        <w:rPr>
          <w:rFonts w:eastAsiaTheme="minorHAnsi"/>
          <w:lang w:eastAsia="en-US"/>
        </w:rPr>
        <w:t>red care across all residents.</w:t>
      </w:r>
    </w:p>
    <w:p w14:paraId="751D7E4D" w14:textId="77777777" w:rsidR="00E423DF" w:rsidRPr="009E07BD" w:rsidRDefault="00E423DF" w:rsidP="009E07BD">
      <w:pPr>
        <w:pStyle w:val="Bullets"/>
        <w:numPr>
          <w:ilvl w:val="0"/>
          <w:numId w:val="1"/>
        </w:numPr>
        <w:ind w:left="357" w:hanging="357"/>
        <w:rPr>
          <w:rFonts w:eastAsiaTheme="minorHAnsi"/>
          <w:lang w:eastAsia="en-US"/>
        </w:rPr>
      </w:pPr>
      <w:r w:rsidRPr="009E07BD">
        <w:rPr>
          <w:rFonts w:eastAsiaTheme="minorHAnsi"/>
          <w:lang w:eastAsia="en-US"/>
        </w:rPr>
        <w:t>The statistical and clinical performance of AN-ACC is considered more than sufficient for it to be adopted in a funding context.</w:t>
      </w:r>
    </w:p>
    <w:p w14:paraId="078354C0" w14:textId="77777777" w:rsidR="00E423DF" w:rsidRPr="009E07BD" w:rsidRDefault="00E423DF" w:rsidP="009E07BD">
      <w:pPr>
        <w:pStyle w:val="Bullets"/>
        <w:numPr>
          <w:ilvl w:val="0"/>
          <w:numId w:val="1"/>
        </w:numPr>
        <w:ind w:left="357" w:hanging="357"/>
        <w:rPr>
          <w:rFonts w:eastAsiaTheme="minorHAnsi"/>
          <w:lang w:eastAsia="en-US"/>
        </w:rPr>
      </w:pPr>
      <w:r w:rsidRPr="009E07BD">
        <w:rPr>
          <w:rFonts w:eastAsiaTheme="minorHAnsi"/>
          <w:lang w:eastAsia="en-US"/>
        </w:rPr>
        <w:t>The staff time data collection analysis supports a payment model that includes a fixed per diem price for the costs of shared care and a variable price per day for the costs of individual resident care.</w:t>
      </w:r>
    </w:p>
    <w:p w14:paraId="5456F821" w14:textId="77777777" w:rsidR="00E423DF" w:rsidRPr="009E07BD" w:rsidRDefault="00E423DF" w:rsidP="009E07BD">
      <w:pPr>
        <w:pStyle w:val="Bullets"/>
        <w:numPr>
          <w:ilvl w:val="0"/>
          <w:numId w:val="1"/>
        </w:numPr>
        <w:ind w:left="357" w:hanging="357"/>
        <w:rPr>
          <w:rFonts w:eastAsiaTheme="minorHAnsi"/>
          <w:lang w:eastAsia="en-US"/>
        </w:rPr>
      </w:pPr>
      <w:r w:rsidRPr="009E07BD">
        <w:rPr>
          <w:rFonts w:eastAsiaTheme="minorHAnsi"/>
          <w:lang w:eastAsia="en-US"/>
        </w:rPr>
        <w:t>Ongoing work will be required to ensure the classification continues to reflect emerging practices and cost structures.</w:t>
      </w:r>
    </w:p>
    <w:p w14:paraId="2779F48A" w14:textId="77777777" w:rsidR="00F529D7" w:rsidRPr="009E07BD" w:rsidRDefault="00F529D7" w:rsidP="00B40077">
      <w:pPr>
        <w:pStyle w:val="Bullets"/>
        <w:numPr>
          <w:ilvl w:val="0"/>
          <w:numId w:val="1"/>
        </w:numPr>
        <w:spacing w:after="360"/>
        <w:ind w:left="357" w:hanging="357"/>
        <w:rPr>
          <w:rFonts w:eastAsiaTheme="minorHAnsi"/>
          <w:lang w:eastAsia="en-US"/>
        </w:rPr>
      </w:pPr>
      <w:r w:rsidRPr="009E07BD">
        <w:rPr>
          <w:rFonts w:eastAsiaTheme="minorHAnsi"/>
          <w:lang w:eastAsia="en-US"/>
        </w:rPr>
        <w:t xml:space="preserve">There are important opportunities </w:t>
      </w:r>
      <w:r w:rsidR="00E53859" w:rsidRPr="009E07BD">
        <w:rPr>
          <w:rFonts w:eastAsiaTheme="minorHAnsi"/>
          <w:lang w:eastAsia="en-US"/>
        </w:rPr>
        <w:t xml:space="preserve">to measure and understand quality and outcomes </w:t>
      </w:r>
      <w:r w:rsidRPr="009E07BD">
        <w:rPr>
          <w:rFonts w:eastAsiaTheme="minorHAnsi"/>
          <w:lang w:eastAsia="en-US"/>
        </w:rPr>
        <w:t xml:space="preserve">beyond </w:t>
      </w:r>
      <w:r w:rsidR="00E53859" w:rsidRPr="009E07BD">
        <w:rPr>
          <w:rFonts w:eastAsiaTheme="minorHAnsi"/>
          <w:lang w:eastAsia="en-US"/>
        </w:rPr>
        <w:t xml:space="preserve">a </w:t>
      </w:r>
      <w:r w:rsidRPr="009E07BD">
        <w:rPr>
          <w:rFonts w:eastAsiaTheme="minorHAnsi"/>
          <w:lang w:eastAsia="en-US"/>
        </w:rPr>
        <w:t>funding model</w:t>
      </w:r>
      <w:r w:rsidR="00E53859" w:rsidRPr="009E07BD">
        <w:rPr>
          <w:rFonts w:eastAsiaTheme="minorHAnsi"/>
          <w:lang w:eastAsia="en-US"/>
        </w:rPr>
        <w:t xml:space="preserve"> context </w:t>
      </w:r>
      <w:r w:rsidRPr="009E07BD">
        <w:rPr>
          <w:rFonts w:eastAsiaTheme="minorHAnsi"/>
          <w:lang w:eastAsia="en-US"/>
        </w:rPr>
        <w:t xml:space="preserve">that arise from the development of </w:t>
      </w:r>
      <w:r w:rsidR="00E53859" w:rsidRPr="009E07BD">
        <w:rPr>
          <w:rFonts w:eastAsiaTheme="minorHAnsi"/>
          <w:lang w:eastAsia="en-US"/>
        </w:rPr>
        <w:t>AN-ACC</w:t>
      </w:r>
      <w:r w:rsidRPr="009E07BD">
        <w:rPr>
          <w:rFonts w:eastAsiaTheme="minorHAnsi"/>
          <w:lang w:eastAsia="en-US"/>
        </w:rPr>
        <w:t>.</w:t>
      </w:r>
    </w:p>
    <w:p w14:paraId="0CA710DA" w14:textId="77777777" w:rsidR="003272D7" w:rsidRDefault="003272D7">
      <w:pPr>
        <w:rPr>
          <w:rFonts w:ascii="Calibri" w:eastAsiaTheme="majorEastAsia" w:hAnsi="Calibri" w:cstheme="majorBidi"/>
          <w:b/>
          <w:bCs/>
          <w:sz w:val="28"/>
          <w:szCs w:val="28"/>
        </w:rPr>
      </w:pPr>
      <w:r>
        <w:br w:type="page"/>
      </w:r>
    </w:p>
    <w:p w14:paraId="003E2FF3" w14:textId="77777777" w:rsidR="00875F09" w:rsidRDefault="00A410A2" w:rsidP="00534F50">
      <w:pPr>
        <w:pStyle w:val="Heading1"/>
        <w:numPr>
          <w:ilvl w:val="0"/>
          <w:numId w:val="23"/>
        </w:numPr>
      </w:pPr>
      <w:bookmarkStart w:id="33" w:name="_Toc2070300"/>
      <w:r w:rsidRPr="0016396F">
        <w:lastRenderedPageBreak/>
        <w:t>Introduction</w:t>
      </w:r>
      <w:r>
        <w:t xml:space="preserve"> </w:t>
      </w:r>
      <w:r w:rsidR="00B56D8F">
        <w:t>and background</w:t>
      </w:r>
      <w:r w:rsidR="00B82914">
        <w:t xml:space="preserve"> to RUCS</w:t>
      </w:r>
      <w:bookmarkEnd w:id="33"/>
    </w:p>
    <w:p w14:paraId="6CC22BF5" w14:textId="77777777" w:rsidR="004929BE" w:rsidRPr="00AC2F3B" w:rsidRDefault="00B03C7E" w:rsidP="00AC2F3B">
      <w:pPr>
        <w:pStyle w:val="Normal-nospacing"/>
      </w:pPr>
      <w:bookmarkStart w:id="34" w:name="_Ref468114647"/>
      <w:r w:rsidRPr="00AC2F3B">
        <w:t>T</w:t>
      </w:r>
      <w:r w:rsidR="00F44C82" w:rsidRPr="00AC2F3B">
        <w:t>he Australian Health Services Research Institute (AHSRI), University of Wollongong</w:t>
      </w:r>
      <w:r w:rsidR="006A5FA7">
        <w:t>,</w:t>
      </w:r>
      <w:r w:rsidR="00F44C82" w:rsidRPr="00AC2F3B">
        <w:t xml:space="preserve"> was commissioned by the Commonwealth Department of Health (the Department) </w:t>
      </w:r>
      <w:r w:rsidRPr="00AC2F3B">
        <w:t xml:space="preserve">in August 2017 </w:t>
      </w:r>
      <w:r w:rsidR="00F44C82" w:rsidRPr="00AC2F3B">
        <w:t xml:space="preserve">to undertake </w:t>
      </w:r>
      <w:r w:rsidRPr="00AC2F3B">
        <w:t xml:space="preserve">the </w:t>
      </w:r>
      <w:r w:rsidR="00F44C82" w:rsidRPr="00AC2F3B">
        <w:t>‘Resource Utilisation and Classification Study’ (RUCS)</w:t>
      </w:r>
      <w:r w:rsidRPr="00AC2F3B">
        <w:t xml:space="preserve">. This is the first of </w:t>
      </w:r>
      <w:r w:rsidR="006A5FA7">
        <w:t xml:space="preserve">a </w:t>
      </w:r>
      <w:r w:rsidR="005101AE" w:rsidRPr="00AC2F3B">
        <w:t xml:space="preserve">series of </w:t>
      </w:r>
      <w:r w:rsidRPr="00AC2F3B">
        <w:t xml:space="preserve">reports </w:t>
      </w:r>
      <w:r w:rsidR="0051335D" w:rsidRPr="00AC2F3B">
        <w:t xml:space="preserve">that will </w:t>
      </w:r>
      <w:r w:rsidR="00D77430" w:rsidRPr="00AC2F3B">
        <w:t xml:space="preserve">present the results of </w:t>
      </w:r>
      <w:r w:rsidR="0051335D" w:rsidRPr="00AC2F3B">
        <w:t xml:space="preserve">the </w:t>
      </w:r>
      <w:r w:rsidR="00957250" w:rsidRPr="00AC2F3B">
        <w:t xml:space="preserve">body of work completed as part of the </w:t>
      </w:r>
      <w:r w:rsidR="00AE26FC" w:rsidRPr="00AC2F3B">
        <w:t xml:space="preserve">overall </w:t>
      </w:r>
      <w:r w:rsidR="004929BE" w:rsidRPr="00AC2F3B">
        <w:t xml:space="preserve">RUCS </w:t>
      </w:r>
      <w:r w:rsidR="00AD3917" w:rsidRPr="00AC2F3B">
        <w:t>program</w:t>
      </w:r>
      <w:r w:rsidR="004929BE" w:rsidRPr="00AC2F3B">
        <w:t>.</w:t>
      </w:r>
    </w:p>
    <w:p w14:paraId="701D3610" w14:textId="77777777" w:rsidR="00EF61EE" w:rsidRPr="00AC2F3B" w:rsidRDefault="004929BE" w:rsidP="00AC2F3B">
      <w:pPr>
        <w:pStyle w:val="Normal-nospacing"/>
      </w:pPr>
      <w:r w:rsidRPr="00AC2F3B">
        <w:t>This report (Report 1) presents the recommended classification</w:t>
      </w:r>
      <w:r w:rsidR="00B55755" w:rsidRPr="00AC2F3B">
        <w:t xml:space="preserve">, known as the Australian National Aged Care </w:t>
      </w:r>
      <w:r w:rsidR="009E02F9" w:rsidRPr="00AC2F3B">
        <w:t>Classification</w:t>
      </w:r>
      <w:r w:rsidR="00B55755" w:rsidRPr="00AC2F3B">
        <w:t xml:space="preserve"> (AN-ACC)</w:t>
      </w:r>
      <w:r w:rsidR="00D80960" w:rsidRPr="00AC2F3B">
        <w:t>.</w:t>
      </w:r>
      <w:r w:rsidR="00476D16" w:rsidRPr="00AC2F3B">
        <w:t xml:space="preserve"> </w:t>
      </w:r>
      <w:r w:rsidR="00D77430" w:rsidRPr="00AC2F3B">
        <w:t xml:space="preserve">The key elements of the AN-ACC development process, </w:t>
      </w:r>
      <w:r w:rsidR="00476D16" w:rsidRPr="00AC2F3B">
        <w:t xml:space="preserve">including </w:t>
      </w:r>
      <w:r w:rsidR="009C1B15" w:rsidRPr="00AC2F3B">
        <w:t xml:space="preserve">the </w:t>
      </w:r>
      <w:r w:rsidR="00476D16" w:rsidRPr="00AC2F3B">
        <w:t xml:space="preserve">sampling methodology, </w:t>
      </w:r>
      <w:r w:rsidR="009C1B15" w:rsidRPr="00AC2F3B">
        <w:t>clinical stakeholder consultation</w:t>
      </w:r>
      <w:r w:rsidR="00D77430" w:rsidRPr="00AC2F3B">
        <w:t>s</w:t>
      </w:r>
      <w:r w:rsidR="009C1B15" w:rsidRPr="00AC2F3B">
        <w:t>,</w:t>
      </w:r>
      <w:r w:rsidR="00957250" w:rsidRPr="00AC2F3B">
        <w:t xml:space="preserve"> and the </w:t>
      </w:r>
      <w:r w:rsidR="009C1B15" w:rsidRPr="00AC2F3B">
        <w:t>d</w:t>
      </w:r>
      <w:r w:rsidR="00476D16" w:rsidRPr="00AC2F3B">
        <w:t>ata collection and analysis methods</w:t>
      </w:r>
      <w:r w:rsidR="009C1B15" w:rsidRPr="00AC2F3B">
        <w:t xml:space="preserve"> </w:t>
      </w:r>
      <w:r w:rsidR="00476D16" w:rsidRPr="00AC2F3B">
        <w:t>are outlined.</w:t>
      </w:r>
      <w:r w:rsidR="009C1B15" w:rsidRPr="00AC2F3B">
        <w:t xml:space="preserve"> T</w:t>
      </w:r>
      <w:r w:rsidR="00476D16" w:rsidRPr="00AC2F3B">
        <w:t xml:space="preserve">he final section </w:t>
      </w:r>
      <w:r w:rsidR="00F83E07" w:rsidRPr="00AC2F3B">
        <w:t xml:space="preserve">of this report </w:t>
      </w:r>
      <w:r w:rsidR="00AE26FC" w:rsidRPr="00AC2F3B">
        <w:t>d</w:t>
      </w:r>
      <w:r w:rsidR="00476D16" w:rsidRPr="00AC2F3B">
        <w:t>iscuss</w:t>
      </w:r>
      <w:r w:rsidR="00F83E07" w:rsidRPr="00AC2F3B">
        <w:t>es</w:t>
      </w:r>
      <w:r w:rsidR="00D77430" w:rsidRPr="00AC2F3B">
        <w:t xml:space="preserve"> key </w:t>
      </w:r>
      <w:r w:rsidR="00CD6260" w:rsidRPr="00AC2F3B">
        <w:t>classification</w:t>
      </w:r>
      <w:r w:rsidR="00F83E07" w:rsidRPr="00AC2F3B">
        <w:t xml:space="preserve">-related </w:t>
      </w:r>
      <w:r w:rsidR="00476D16" w:rsidRPr="00AC2F3B">
        <w:t xml:space="preserve">issues </w:t>
      </w:r>
      <w:r w:rsidR="00D77430" w:rsidRPr="00AC2F3B">
        <w:t>that</w:t>
      </w:r>
      <w:r w:rsidR="00655C02" w:rsidRPr="00AC2F3B">
        <w:t xml:space="preserve"> </w:t>
      </w:r>
      <w:r w:rsidR="00D77430" w:rsidRPr="00AC2F3B">
        <w:t>w</w:t>
      </w:r>
      <w:r w:rsidR="00555822" w:rsidRPr="00AC2F3B">
        <w:t xml:space="preserve">ill be critical to </w:t>
      </w:r>
      <w:r w:rsidR="00CD6260" w:rsidRPr="00AC2F3B">
        <w:t xml:space="preserve">the </w:t>
      </w:r>
      <w:r w:rsidR="00555822" w:rsidRPr="00AC2F3B">
        <w:t xml:space="preserve">successful </w:t>
      </w:r>
      <w:r w:rsidR="009C1B15" w:rsidRPr="00AC2F3B">
        <w:t xml:space="preserve">implementation </w:t>
      </w:r>
      <w:r w:rsidR="00CD6260" w:rsidRPr="00AC2F3B">
        <w:t xml:space="preserve">of the AN-ACC </w:t>
      </w:r>
      <w:r w:rsidR="00F83E07" w:rsidRPr="00AC2F3B">
        <w:t xml:space="preserve">across </w:t>
      </w:r>
      <w:r w:rsidR="009C1B15" w:rsidRPr="00AC2F3B">
        <w:t>the Australian residential aged care sector.</w:t>
      </w:r>
    </w:p>
    <w:p w14:paraId="2BAFE6CB" w14:textId="77777777" w:rsidR="004929BE" w:rsidRDefault="004929BE" w:rsidP="00534F50">
      <w:pPr>
        <w:pStyle w:val="Heading2"/>
      </w:pPr>
      <w:bookmarkStart w:id="35" w:name="_Toc2070301"/>
      <w:r>
        <w:t>Aims and objectives</w:t>
      </w:r>
      <w:bookmarkEnd w:id="35"/>
      <w:r>
        <w:t xml:space="preserve"> </w:t>
      </w:r>
    </w:p>
    <w:p w14:paraId="1635D1A4" w14:textId="77777777" w:rsidR="004929BE" w:rsidRDefault="004929BE" w:rsidP="00345147">
      <w:pPr>
        <w:pStyle w:val="Normal-nospacing"/>
      </w:pPr>
      <w:r w:rsidRPr="00C15558">
        <w:t>Th</w:t>
      </w:r>
      <w:r>
        <w:t xml:space="preserve">e RUCS </w:t>
      </w:r>
      <w:r w:rsidR="00D77430">
        <w:t xml:space="preserve">is </w:t>
      </w:r>
      <w:r>
        <w:t>a</w:t>
      </w:r>
      <w:r w:rsidR="00031F7C">
        <w:t xml:space="preserve">n important national study </w:t>
      </w:r>
      <w:r w:rsidR="00B0572B">
        <w:t xml:space="preserve">commissioned </w:t>
      </w:r>
      <w:r w:rsidR="00D77430">
        <w:t xml:space="preserve">by the Department </w:t>
      </w:r>
      <w:r w:rsidR="00B46C14">
        <w:t xml:space="preserve">to </w:t>
      </w:r>
      <w:r>
        <w:t>inform the d</w:t>
      </w:r>
      <w:r w:rsidR="00B0572B">
        <w:t xml:space="preserve">evelopment of </w:t>
      </w:r>
      <w:r w:rsidR="009C1B15">
        <w:t xml:space="preserve">future </w:t>
      </w:r>
      <w:r>
        <w:t xml:space="preserve">funding models for residential aged care in Australia. </w:t>
      </w:r>
      <w:r w:rsidR="00B46C14">
        <w:t xml:space="preserve">The </w:t>
      </w:r>
      <w:r w:rsidR="00B0572B">
        <w:t xml:space="preserve">overall aim of the </w:t>
      </w:r>
      <w:r w:rsidR="00B46C14">
        <w:t xml:space="preserve">RUCS </w:t>
      </w:r>
      <w:r w:rsidR="008F3F3D">
        <w:t>wa</w:t>
      </w:r>
      <w:r w:rsidR="00D77430">
        <w:t>s</w:t>
      </w:r>
      <w:r w:rsidR="00B46C14">
        <w:t xml:space="preserve"> </w:t>
      </w:r>
      <w:r w:rsidR="00B40077">
        <w:t>to:</w:t>
      </w:r>
    </w:p>
    <w:p w14:paraId="29B83687" w14:textId="77777777" w:rsidR="00B03C7E" w:rsidRDefault="00B03C7E" w:rsidP="0073106A">
      <w:pPr>
        <w:pStyle w:val="Bullets"/>
      </w:pPr>
      <w:r>
        <w:t>Identify th</w:t>
      </w:r>
      <w:r w:rsidR="00B0572B">
        <w:t>e</w:t>
      </w:r>
      <w:r>
        <w:t xml:space="preserve"> clinical and need characteristics of aged care residents that influence the cost of care (cost drivers</w:t>
      </w:r>
      <w:r w:rsidR="00B0572B">
        <w:t>)</w:t>
      </w:r>
      <w:r w:rsidR="00683615">
        <w:t>.</w:t>
      </w:r>
    </w:p>
    <w:p w14:paraId="1B10AA7E" w14:textId="77777777" w:rsidR="00B03C7E" w:rsidRDefault="00B03C7E" w:rsidP="00345147">
      <w:pPr>
        <w:pStyle w:val="Bullets"/>
      </w:pPr>
      <w:r>
        <w:t>Identify the proportion of care costs that</w:t>
      </w:r>
      <w:r w:rsidR="00D77430">
        <w:t>, on average</w:t>
      </w:r>
      <w:r w:rsidR="004455B9">
        <w:t>,</w:t>
      </w:r>
      <w:r w:rsidR="00031F7C">
        <w:t xml:space="preserve"> </w:t>
      </w:r>
      <w:r>
        <w:t>are shared across residents (shared costs) relative to those costs related to individual needs (</w:t>
      </w:r>
      <w:r w:rsidR="00B46C14">
        <w:t>individual</w:t>
      </w:r>
      <w:r>
        <w:t xml:space="preserve"> costs)</w:t>
      </w:r>
      <w:r w:rsidR="00683615">
        <w:t>.</w:t>
      </w:r>
    </w:p>
    <w:p w14:paraId="69696841" w14:textId="77777777" w:rsidR="00B46C14" w:rsidRDefault="00B46C14" w:rsidP="00345147">
      <w:pPr>
        <w:pStyle w:val="Bullets"/>
      </w:pPr>
      <w:r>
        <w:t xml:space="preserve">Develop a casemix classification based on identified cost drivers that can underpin a funding model that recognises both shared and </w:t>
      </w:r>
      <w:r w:rsidR="00B0572B">
        <w:t xml:space="preserve">individual </w:t>
      </w:r>
      <w:r>
        <w:t>costs</w:t>
      </w:r>
      <w:r w:rsidR="00683615">
        <w:t>.</w:t>
      </w:r>
    </w:p>
    <w:p w14:paraId="0BD18692" w14:textId="77777777" w:rsidR="00B03C7E" w:rsidRDefault="00B03C7E" w:rsidP="00345147">
      <w:pPr>
        <w:pStyle w:val="Bullets"/>
      </w:pPr>
      <w:r>
        <w:t>Test the feasibility of implementing the recommended classification and funding model across the Australian residential aged care sector</w:t>
      </w:r>
      <w:r w:rsidR="00B0572B">
        <w:t>.</w:t>
      </w:r>
    </w:p>
    <w:p w14:paraId="0024334F" w14:textId="77777777" w:rsidR="00B56D8F" w:rsidRDefault="00832696" w:rsidP="00534F50">
      <w:pPr>
        <w:pStyle w:val="Heading2"/>
      </w:pPr>
      <w:bookmarkStart w:id="36" w:name="_Toc2070302"/>
      <w:r>
        <w:t>B</w:t>
      </w:r>
      <w:r w:rsidR="00B56D8F">
        <w:t xml:space="preserve">ackground </w:t>
      </w:r>
      <w:r w:rsidR="00AA3E18">
        <w:t>and context</w:t>
      </w:r>
      <w:bookmarkEnd w:id="36"/>
    </w:p>
    <w:p w14:paraId="07D10DE2" w14:textId="77777777" w:rsidR="00B56D8F" w:rsidRDefault="00B56D8F" w:rsidP="00345147">
      <w:pPr>
        <w:pStyle w:val="Normal-nospacing"/>
      </w:pPr>
      <w:r>
        <w:t xml:space="preserve">The current system for funding residential aged care services using the Aged Care Funding Instrument (ACFI) has been in place for </w:t>
      </w:r>
      <w:r w:rsidR="004B7817">
        <w:t xml:space="preserve">over </w:t>
      </w:r>
      <w:r w:rsidR="004455B9">
        <w:t>a decade</w:t>
      </w:r>
      <w:r>
        <w:t xml:space="preserve">. Since </w:t>
      </w:r>
      <w:r w:rsidR="004B7817">
        <w:t xml:space="preserve">its introduction, </w:t>
      </w:r>
      <w:r>
        <w:t xml:space="preserve">there have been substantial changes in the profile of people entering residential care, partly due to the success of programs to enable them to stay at home as long as possible. Residents are older (half are aged 85 </w:t>
      </w:r>
      <w:r w:rsidR="00B82914">
        <w:t xml:space="preserve">and over </w:t>
      </w:r>
      <w:r>
        <w:t xml:space="preserve">on entry) and frailer, with an annual mortality rate of around 32%. Reflecting this profile, half of those entering residential care will be there for two years or less. </w:t>
      </w:r>
    </w:p>
    <w:p w14:paraId="7A0E42B5" w14:textId="77777777" w:rsidR="0095070B" w:rsidRDefault="00B56D8F" w:rsidP="00345147">
      <w:pPr>
        <w:pStyle w:val="Normal-nospacing"/>
      </w:pPr>
      <w:r>
        <w:t xml:space="preserve">The Department and providers have </w:t>
      </w:r>
      <w:r w:rsidR="005A672D">
        <w:t xml:space="preserve">both </w:t>
      </w:r>
      <w:r>
        <w:t xml:space="preserve">experienced issues of funding uncertainty, instability and inequity </w:t>
      </w:r>
      <w:r w:rsidR="004B7817">
        <w:t xml:space="preserve">in recent </w:t>
      </w:r>
      <w:r>
        <w:t xml:space="preserve">years. </w:t>
      </w:r>
      <w:r w:rsidR="005A527E">
        <w:t xml:space="preserve">In late 2016, </w:t>
      </w:r>
      <w:r w:rsidR="00CC6DE5">
        <w:t xml:space="preserve">the </w:t>
      </w:r>
      <w:r w:rsidR="00B82914">
        <w:t xml:space="preserve">Department </w:t>
      </w:r>
      <w:r w:rsidR="00CC6DE5">
        <w:t xml:space="preserve">commissioned AHSRI to undertake a review </w:t>
      </w:r>
      <w:r w:rsidR="005B4C69">
        <w:t xml:space="preserve">and </w:t>
      </w:r>
      <w:r w:rsidR="005B4C69" w:rsidRPr="00793D33">
        <w:rPr>
          <w:lang w:eastAsia="en-US"/>
        </w:rPr>
        <w:t>develop options and recommendations for future funding models</w:t>
      </w:r>
      <w:r w:rsidR="005B4C69">
        <w:rPr>
          <w:lang w:eastAsia="en-US"/>
        </w:rPr>
        <w:t xml:space="preserve"> </w:t>
      </w:r>
      <w:r w:rsidR="005B4C69" w:rsidRPr="00793D33">
        <w:rPr>
          <w:lang w:eastAsia="en-US"/>
        </w:rPr>
        <w:t>to</w:t>
      </w:r>
      <w:r w:rsidR="005B4C69">
        <w:rPr>
          <w:lang w:eastAsia="en-US"/>
        </w:rPr>
        <w:t xml:space="preserve"> </w:t>
      </w:r>
      <w:r w:rsidR="005B4C69" w:rsidRPr="00793D33">
        <w:rPr>
          <w:lang w:eastAsia="en-US"/>
        </w:rPr>
        <w:lastRenderedPageBreak/>
        <w:t>be adopted for the residential aged care in Australia</w:t>
      </w:r>
      <w:r w:rsidR="0075599D">
        <w:rPr>
          <w:lang w:eastAsia="en-US"/>
        </w:rPr>
        <w:t>.</w:t>
      </w:r>
      <w:r w:rsidR="005B4C69">
        <w:rPr>
          <w:rStyle w:val="FootnoteReference"/>
        </w:rPr>
        <w:footnoteReference w:id="1"/>
      </w:r>
      <w:r w:rsidR="0095070B">
        <w:rPr>
          <w:lang w:eastAsia="en-US"/>
        </w:rPr>
        <w:t xml:space="preserve"> </w:t>
      </w:r>
      <w:r w:rsidR="0095070B">
        <w:t xml:space="preserve">A key finding of this </w:t>
      </w:r>
      <w:r>
        <w:t xml:space="preserve">review </w:t>
      </w:r>
      <w:r w:rsidR="0095070B">
        <w:t>was that</w:t>
      </w:r>
      <w:r w:rsidR="004455B9">
        <w:t>,</w:t>
      </w:r>
      <w:r w:rsidR="0095070B">
        <w:t xml:space="preserve"> as a result of </w:t>
      </w:r>
      <w:r>
        <w:t>th</w:t>
      </w:r>
      <w:r w:rsidR="00FC44D1">
        <w:t>e</w:t>
      </w:r>
      <w:r>
        <w:t xml:space="preserve"> changing profile of residents, </w:t>
      </w:r>
      <w:r w:rsidR="0095070B">
        <w:t>the ACFI no longer satisfactorily discriminates between residents in terms of what drive</w:t>
      </w:r>
      <w:r w:rsidR="00B40077">
        <w:t>s the costs of delivering care.</w:t>
      </w:r>
    </w:p>
    <w:p w14:paraId="10221D66" w14:textId="77777777" w:rsidR="001F3B39" w:rsidRDefault="001F3B39" w:rsidP="00345147">
      <w:pPr>
        <w:pStyle w:val="Normal-nospacing"/>
      </w:pPr>
      <w:r>
        <w:t xml:space="preserve">Five options for reform were identified in this study. </w:t>
      </w:r>
      <w:r w:rsidR="00FD0D3D">
        <w:t xml:space="preserve">Each option </w:t>
      </w:r>
      <w:r>
        <w:t>w</w:t>
      </w:r>
      <w:r w:rsidR="00FD0D3D">
        <w:t>as</w:t>
      </w:r>
      <w:r>
        <w:t xml:space="preserve"> evaluated against a set of criteria that addressed the key issues identified for the sector</w:t>
      </w:r>
      <w:r w:rsidR="00FD0D3D">
        <w:t>. One of the</w:t>
      </w:r>
      <w:r w:rsidR="00261D27">
        <w:t xml:space="preserve"> five o</w:t>
      </w:r>
      <w:r w:rsidR="00FD0D3D">
        <w:t>ption</w:t>
      </w:r>
      <w:r w:rsidR="00FD0D3D" w:rsidRPr="00FD0D3D">
        <w:t>s</w:t>
      </w:r>
      <w:r w:rsidR="0095070B">
        <w:t xml:space="preserve"> </w:t>
      </w:r>
      <w:r w:rsidR="000142F5">
        <w:t xml:space="preserve">(the recommended option) </w:t>
      </w:r>
      <w:r w:rsidR="0095070B">
        <w:t xml:space="preserve">was to develop </w:t>
      </w:r>
      <w:r w:rsidR="00FD0D3D">
        <w:t>a</w:t>
      </w:r>
      <w:r w:rsidR="00FD0D3D" w:rsidRPr="00FD0D3D">
        <w:t xml:space="preserve"> blended payment model</w:t>
      </w:r>
      <w:r w:rsidR="00261D27">
        <w:t xml:space="preserve">, </w:t>
      </w:r>
      <w:r w:rsidR="00FD0D3D" w:rsidRPr="00FD0D3D">
        <w:t>consist</w:t>
      </w:r>
      <w:r w:rsidR="00261D27">
        <w:t>ing</w:t>
      </w:r>
      <w:r w:rsidR="00FD0D3D" w:rsidRPr="00FD0D3D">
        <w:t xml:space="preserve"> of a payment for fixed costs and variable payments linked to the individualised needs of each resident</w:t>
      </w:r>
      <w:r w:rsidR="00261D27">
        <w:t>. It was recognised that</w:t>
      </w:r>
      <w:r w:rsidR="00534F50">
        <w:t>,</w:t>
      </w:r>
      <w:r w:rsidR="00261D27">
        <w:t xml:space="preserve"> while </w:t>
      </w:r>
      <w:r>
        <w:t>this option w</w:t>
      </w:r>
      <w:r w:rsidR="00261D27">
        <w:t xml:space="preserve">ould </w:t>
      </w:r>
      <w:r w:rsidR="004455B9">
        <w:t>have</w:t>
      </w:r>
      <w:r>
        <w:t xml:space="preserve"> significant</w:t>
      </w:r>
      <w:r w:rsidR="004455B9">
        <w:t xml:space="preserve"> short term</w:t>
      </w:r>
      <w:r>
        <w:t xml:space="preserve"> impacts on workforce and aged </w:t>
      </w:r>
      <w:r w:rsidR="00261D27">
        <w:t xml:space="preserve">care system infrastructure, it would </w:t>
      </w:r>
      <w:r>
        <w:t xml:space="preserve">deliver benefits that far outweigh the </w:t>
      </w:r>
      <w:r w:rsidR="00B40077">
        <w:t>short term resourcing concerns.</w:t>
      </w:r>
    </w:p>
    <w:p w14:paraId="07CE7BCB" w14:textId="77777777" w:rsidR="00261D27" w:rsidRPr="00AF5299" w:rsidRDefault="00261D27" w:rsidP="00345147">
      <w:pPr>
        <w:pStyle w:val="Normal-nospacing"/>
      </w:pPr>
      <w:r>
        <w:t xml:space="preserve">Following consideration of the </w:t>
      </w:r>
      <w:r w:rsidR="0095070B">
        <w:t>report</w:t>
      </w:r>
      <w:r w:rsidR="000142F5">
        <w:t>’</w:t>
      </w:r>
      <w:r w:rsidR="0095070B">
        <w:t>s recomm</w:t>
      </w:r>
      <w:r w:rsidR="0095070B" w:rsidRPr="00AF5299">
        <w:t xml:space="preserve">endations, </w:t>
      </w:r>
      <w:r w:rsidR="004B7817" w:rsidRPr="00AF5299">
        <w:t xml:space="preserve">the Department </w:t>
      </w:r>
      <w:r w:rsidRPr="00AF5299">
        <w:t xml:space="preserve">subsequently </w:t>
      </w:r>
      <w:r w:rsidR="00FC44D1" w:rsidRPr="00AF5299">
        <w:t>commissioned the RUCS</w:t>
      </w:r>
      <w:r w:rsidRPr="00AF5299">
        <w:t xml:space="preserve"> to be undertaken by AHSRI</w:t>
      </w:r>
      <w:r w:rsidR="00B40077">
        <w:t>.</w:t>
      </w:r>
    </w:p>
    <w:p w14:paraId="176FD4E5" w14:textId="77777777" w:rsidR="00AE26FC" w:rsidRPr="00AF5299" w:rsidRDefault="00F50AAB" w:rsidP="0016396F">
      <w:pPr>
        <w:pStyle w:val="Heading3"/>
      </w:pPr>
      <w:r w:rsidRPr="00AF5299">
        <w:t>Key principles underpinning the design of RUCS</w:t>
      </w:r>
    </w:p>
    <w:p w14:paraId="384706DF" w14:textId="77777777" w:rsidR="008A776A" w:rsidRDefault="008A776A" w:rsidP="003D0ED0">
      <w:pPr>
        <w:pStyle w:val="Normal-nospacing"/>
      </w:pPr>
      <w:r w:rsidRPr="00AF5299">
        <w:t xml:space="preserve">The following key </w:t>
      </w:r>
      <w:r w:rsidR="00AF5299">
        <w:t xml:space="preserve">design elements were </w:t>
      </w:r>
      <w:r w:rsidRPr="00AF5299">
        <w:t>established to underpin the implementation of RUCS:</w:t>
      </w:r>
    </w:p>
    <w:p w14:paraId="17DF5CE6" w14:textId="77777777" w:rsidR="00F50AAB" w:rsidRPr="00F50AAB" w:rsidRDefault="008A776A" w:rsidP="00F50AAB">
      <w:pPr>
        <w:pStyle w:val="Bullets"/>
      </w:pPr>
      <w:r>
        <w:t>Resident a</w:t>
      </w:r>
      <w:r w:rsidR="003D0ED0">
        <w:t xml:space="preserve">ssessment </w:t>
      </w:r>
      <w:r>
        <w:t>for funding to be s</w:t>
      </w:r>
      <w:r w:rsidR="00F50AAB" w:rsidRPr="00F50AAB">
        <w:t>eparate</w:t>
      </w:r>
      <w:r>
        <w:t xml:space="preserve"> from resident </w:t>
      </w:r>
      <w:r w:rsidR="00F50AAB" w:rsidRPr="00F50AAB">
        <w:t>assessment for care planning</w:t>
      </w:r>
      <w:r>
        <w:t xml:space="preserve"> purposes</w:t>
      </w:r>
      <w:r w:rsidR="00683615">
        <w:t>.</w:t>
      </w:r>
    </w:p>
    <w:p w14:paraId="6EFBACC2" w14:textId="77777777" w:rsidR="00F50AAB" w:rsidRPr="00F50AAB" w:rsidRDefault="00AF5299" w:rsidP="00F50AAB">
      <w:pPr>
        <w:pStyle w:val="Bullets"/>
      </w:pPr>
      <w:r w:rsidRPr="00F50AAB">
        <w:t>Assessment for funding purposes to be undertaken by external assessors</w:t>
      </w:r>
      <w:r>
        <w:t xml:space="preserve"> </w:t>
      </w:r>
      <w:r w:rsidRPr="00F50AAB">
        <w:t>capturing only the information necessary to assign a resident to a payment class</w:t>
      </w:r>
      <w:r w:rsidR="006A5FA7">
        <w:t>.</w:t>
      </w:r>
    </w:p>
    <w:p w14:paraId="481F7A13" w14:textId="77777777" w:rsidR="00AF5299" w:rsidRDefault="00AF5299" w:rsidP="0018256F">
      <w:pPr>
        <w:pStyle w:val="Bullets"/>
      </w:pPr>
      <w:r w:rsidRPr="00F50AAB">
        <w:t xml:space="preserve">Assessment </w:t>
      </w:r>
      <w:r>
        <w:t xml:space="preserve">related to </w:t>
      </w:r>
      <w:r w:rsidRPr="00F50AAB">
        <w:t>care planning to be undertaken by the residential aged care facility</w:t>
      </w:r>
      <w:r>
        <w:t xml:space="preserve"> </w:t>
      </w:r>
      <w:r w:rsidRPr="00F50AAB">
        <w:t>based on resident needs and underpinned by C</w:t>
      </w:r>
      <w:r w:rsidR="004455B9">
        <w:t xml:space="preserve">onsumer </w:t>
      </w:r>
      <w:r w:rsidRPr="00F50AAB">
        <w:t>D</w:t>
      </w:r>
      <w:r w:rsidR="004455B9">
        <w:t xml:space="preserve">irected </w:t>
      </w:r>
      <w:r w:rsidRPr="00F50AAB">
        <w:t>C</w:t>
      </w:r>
      <w:r w:rsidR="004455B9">
        <w:t>are</w:t>
      </w:r>
      <w:r w:rsidRPr="00F50AAB">
        <w:t xml:space="preserve"> principles</w:t>
      </w:r>
      <w:r w:rsidR="006A5FA7">
        <w:t>.</w:t>
      </w:r>
    </w:p>
    <w:p w14:paraId="7A9AFE72" w14:textId="77777777" w:rsidR="00F50AAB" w:rsidRPr="00F50AAB" w:rsidRDefault="004455B9" w:rsidP="0018256F">
      <w:pPr>
        <w:pStyle w:val="Bullets"/>
      </w:pPr>
      <w:r>
        <w:t>The provision of a o</w:t>
      </w:r>
      <w:r w:rsidR="00F50AAB" w:rsidRPr="00F50AAB">
        <w:t>ne-off adjustment payment for each new resident</w:t>
      </w:r>
      <w:r w:rsidR="00F50AAB">
        <w:t xml:space="preserve"> r</w:t>
      </w:r>
      <w:r w:rsidR="00F50AAB" w:rsidRPr="00F50AAB">
        <w:t>ecognising additional, but time-limited, resource requirements when someone initially enters residential care</w:t>
      </w:r>
      <w:r w:rsidR="006A5FA7">
        <w:t>.</w:t>
      </w:r>
    </w:p>
    <w:p w14:paraId="2720498F" w14:textId="77777777" w:rsidR="00F50AAB" w:rsidRPr="00F50AAB" w:rsidRDefault="004455B9" w:rsidP="0018256F">
      <w:pPr>
        <w:pStyle w:val="Bullets"/>
      </w:pPr>
      <w:r>
        <w:t>A f</w:t>
      </w:r>
      <w:r w:rsidR="00F50AAB" w:rsidRPr="00F50AAB">
        <w:t>ixed per diem price for the costs of care that are shared equally by all residents</w:t>
      </w:r>
      <w:r w:rsidR="00AF5299">
        <w:t xml:space="preserve"> (</w:t>
      </w:r>
      <w:r>
        <w:t xml:space="preserve">which </w:t>
      </w:r>
      <w:r w:rsidR="00F50AAB" w:rsidRPr="00F50AAB">
        <w:t xml:space="preserve">may vary by location </w:t>
      </w:r>
      <w:r w:rsidR="00AF5299">
        <w:t>and other factors)</w:t>
      </w:r>
      <w:r w:rsidR="006A5FA7">
        <w:t>.</w:t>
      </w:r>
    </w:p>
    <w:p w14:paraId="1CB2CD64" w14:textId="77777777" w:rsidR="00F50AAB" w:rsidRDefault="004455B9" w:rsidP="0018256F">
      <w:pPr>
        <w:pStyle w:val="Bullets"/>
      </w:pPr>
      <w:r>
        <w:t>A s</w:t>
      </w:r>
      <w:r w:rsidR="00AF5299">
        <w:t>tandardised v</w:t>
      </w:r>
      <w:r w:rsidR="00F50AAB" w:rsidRPr="00F50AAB">
        <w:t>ariable price per day for the costs of individualised care for each resident</w:t>
      </w:r>
      <w:r w:rsidR="00F50AAB">
        <w:t xml:space="preserve"> </w:t>
      </w:r>
      <w:r w:rsidR="00F50AAB" w:rsidRPr="00F50AAB">
        <w:t>based on each resident’s casemix class</w:t>
      </w:r>
      <w:r>
        <w:t>.</w:t>
      </w:r>
    </w:p>
    <w:p w14:paraId="127E3206" w14:textId="77777777" w:rsidR="001415CB" w:rsidRPr="00946A28" w:rsidRDefault="001415CB" w:rsidP="00B40077">
      <w:pPr>
        <w:pStyle w:val="Normal-nospacing"/>
      </w:pPr>
      <w:r w:rsidRPr="00946A28">
        <w:t>In considering the results and recommendations included in this report, it is necessary to distinguish between three key ideas:</w:t>
      </w:r>
    </w:p>
    <w:p w14:paraId="0E51C89B" w14:textId="77777777" w:rsidR="00B40077" w:rsidRPr="00533CF6" w:rsidRDefault="00B40077" w:rsidP="00B40077">
      <w:pPr>
        <w:pStyle w:val="Heading4"/>
        <w:numPr>
          <w:ilvl w:val="0"/>
          <w:numId w:val="0"/>
        </w:numPr>
        <w:ind w:left="-131" w:firstLine="851"/>
      </w:pPr>
      <w:r>
        <w:t>Cost</w:t>
      </w:r>
    </w:p>
    <w:p w14:paraId="72898D2A" w14:textId="77777777" w:rsidR="001415CB" w:rsidRPr="00946A28" w:rsidRDefault="001415CB" w:rsidP="001415CB">
      <w:pPr>
        <w:pStyle w:val="Normal-nospacing"/>
      </w:pPr>
      <w:r w:rsidRPr="00946A28">
        <w:t>The cost of care for people living in residential aged care is in scope for RUCS.  Capital accommodation and ‘hotel’ services are out of scope, as is respite care for non-permanent residents.</w:t>
      </w:r>
    </w:p>
    <w:p w14:paraId="21F98091" w14:textId="77777777" w:rsidR="00B40077" w:rsidRPr="005E3CD6" w:rsidRDefault="00B40077" w:rsidP="00B40077">
      <w:pPr>
        <w:pStyle w:val="Heading4"/>
        <w:numPr>
          <w:ilvl w:val="0"/>
          <w:numId w:val="0"/>
        </w:numPr>
        <w:ind w:left="-131" w:firstLine="851"/>
        <w:rPr>
          <w:snapToGrid/>
        </w:rPr>
      </w:pPr>
      <w:r w:rsidRPr="005E3CD6">
        <w:rPr>
          <w:snapToGrid/>
        </w:rPr>
        <w:lastRenderedPageBreak/>
        <w:t>Funding (payment) model and policy</w:t>
      </w:r>
    </w:p>
    <w:p w14:paraId="7BC5FB56" w14:textId="77777777" w:rsidR="001415CB" w:rsidRPr="00946A28" w:rsidRDefault="001415CB" w:rsidP="001415CB">
      <w:pPr>
        <w:pStyle w:val="Normal-nospacing"/>
      </w:pPr>
      <w:r w:rsidRPr="00946A28">
        <w:t>Funding and payment issues are in scope. The role of the RUCS research team is to develop the funding model and provide policy advice on its potential implementation.</w:t>
      </w:r>
    </w:p>
    <w:p w14:paraId="75480913" w14:textId="77777777" w:rsidR="00B40077" w:rsidRPr="005E3CD6" w:rsidRDefault="00B40077" w:rsidP="00B40077">
      <w:pPr>
        <w:pStyle w:val="Heading4"/>
        <w:numPr>
          <w:ilvl w:val="0"/>
          <w:numId w:val="0"/>
        </w:numPr>
        <w:ind w:left="-131" w:firstLine="851"/>
      </w:pPr>
      <w:r w:rsidRPr="005E3CD6">
        <w:t>Price</w:t>
      </w:r>
    </w:p>
    <w:p w14:paraId="67912166" w14:textId="77777777" w:rsidR="005A38CC" w:rsidRDefault="005A38CC" w:rsidP="005A38CC">
      <w:pPr>
        <w:pStyle w:val="Normal-nospacing"/>
      </w:pPr>
      <w:r w:rsidRPr="00946A28">
        <w:t>Price is out of scope for RUCS as price is ultimately a decision for payers (both government and consumers). But the RUCS has generated significant evidence that can aid decision-making about pricing.</w:t>
      </w:r>
    </w:p>
    <w:p w14:paraId="45BB3DDD" w14:textId="77777777" w:rsidR="005101AE" w:rsidRDefault="005101AE" w:rsidP="00534F50">
      <w:pPr>
        <w:pStyle w:val="Heading2"/>
      </w:pPr>
      <w:bookmarkStart w:id="37" w:name="_Toc2070303"/>
      <w:r>
        <w:t>A brief overview</w:t>
      </w:r>
      <w:bookmarkEnd w:id="37"/>
    </w:p>
    <w:p w14:paraId="3B413222" w14:textId="77777777" w:rsidR="00C11294" w:rsidRDefault="005101AE" w:rsidP="00345147">
      <w:pPr>
        <w:pStyle w:val="Normal-nospacing"/>
      </w:pPr>
      <w:r>
        <w:t xml:space="preserve">In </w:t>
      </w:r>
      <w:r w:rsidR="009E02F9">
        <w:t>summary</w:t>
      </w:r>
      <w:r>
        <w:t>,</w:t>
      </w:r>
      <w:r w:rsidR="00E2779C">
        <w:t xml:space="preserve"> </w:t>
      </w:r>
      <w:r w:rsidR="00FB373E">
        <w:t xml:space="preserve">RUCS </w:t>
      </w:r>
      <w:r w:rsidR="00E2779C">
        <w:t xml:space="preserve">comprised </w:t>
      </w:r>
      <w:r w:rsidR="00FC44D1">
        <w:t xml:space="preserve">four </w:t>
      </w:r>
      <w:r w:rsidR="00FB373E">
        <w:t xml:space="preserve">separate but closely related studies. </w:t>
      </w:r>
      <w:r w:rsidR="00C11294">
        <w:t>Each study included separate data collection and analysis elements that have been synthesised to produce a classification and associated funding model that is suitable for implementation across the Australian residential aged care sector.</w:t>
      </w:r>
    </w:p>
    <w:p w14:paraId="4F2D1CF0" w14:textId="77777777" w:rsidR="00C11294" w:rsidRPr="009658D0" w:rsidRDefault="00C11294" w:rsidP="003D0ED0">
      <w:pPr>
        <w:pStyle w:val="Heading3"/>
        <w:numPr>
          <w:ilvl w:val="0"/>
          <w:numId w:val="0"/>
        </w:numPr>
        <w:ind w:left="709" w:hanging="709"/>
      </w:pPr>
      <w:r w:rsidRPr="009658D0">
        <w:t xml:space="preserve">Study One </w:t>
      </w:r>
      <w:r w:rsidR="00046CB5">
        <w:t xml:space="preserve">- </w:t>
      </w:r>
      <w:r w:rsidRPr="009658D0">
        <w:t>Service utilisation and c</w:t>
      </w:r>
      <w:r w:rsidR="00B40077">
        <w:t>lassification development study</w:t>
      </w:r>
    </w:p>
    <w:p w14:paraId="10BC142F" w14:textId="77777777" w:rsidR="00C11294" w:rsidRDefault="00C11294" w:rsidP="00345147">
      <w:pPr>
        <w:pStyle w:val="Normal-nospacing"/>
      </w:pPr>
      <w:r>
        <w:t xml:space="preserve">Study One </w:t>
      </w:r>
      <w:r w:rsidR="00AD2C0B">
        <w:t xml:space="preserve">involved </w:t>
      </w:r>
      <w:r>
        <w:t>a</w:t>
      </w:r>
      <w:r w:rsidR="00E2779C">
        <w:t xml:space="preserve"> prospective and comprehensive </w:t>
      </w:r>
      <w:r>
        <w:t xml:space="preserve">collection of </w:t>
      </w:r>
      <w:r w:rsidR="00E2779C">
        <w:t xml:space="preserve">resident assessment, </w:t>
      </w:r>
      <w:r w:rsidR="00AD2C0B">
        <w:t xml:space="preserve">service </w:t>
      </w:r>
      <w:r>
        <w:t xml:space="preserve">utilisation and </w:t>
      </w:r>
      <w:r w:rsidR="00E2779C">
        <w:t xml:space="preserve">financial </w:t>
      </w:r>
      <w:r>
        <w:t xml:space="preserve">data which </w:t>
      </w:r>
      <w:r w:rsidR="00E2779C">
        <w:t>w</w:t>
      </w:r>
      <w:r w:rsidR="004455B9">
        <w:t>ere</w:t>
      </w:r>
      <w:r w:rsidR="00E2779C">
        <w:t xml:space="preserve"> </w:t>
      </w:r>
      <w:r>
        <w:t xml:space="preserve">analysed to develop a casemix classification. </w:t>
      </w:r>
      <w:r w:rsidR="004455B9">
        <w:t>It</w:t>
      </w:r>
      <w:r w:rsidR="00E2779C">
        <w:t xml:space="preserve"> involved 30 f</w:t>
      </w:r>
      <w:r>
        <w:t xml:space="preserve">acilities clustered in three </w:t>
      </w:r>
      <w:r w:rsidR="00E2779C">
        <w:t xml:space="preserve">geographic </w:t>
      </w:r>
      <w:r>
        <w:t>regions in Queensland</w:t>
      </w:r>
      <w:r w:rsidR="00B40077">
        <w:t>, New South Wales and Victoria.</w:t>
      </w:r>
    </w:p>
    <w:p w14:paraId="1A5EFF41" w14:textId="77777777" w:rsidR="00046CB5" w:rsidRDefault="00046CB5" w:rsidP="00345147">
      <w:pPr>
        <w:pStyle w:val="Normal-nospacing"/>
      </w:pPr>
      <w:r>
        <w:t>Study One was completed between October 2017 and October 2018.</w:t>
      </w:r>
    </w:p>
    <w:p w14:paraId="49733296" w14:textId="77777777" w:rsidR="00C11294" w:rsidRPr="009658D0" w:rsidRDefault="00C11294" w:rsidP="003D0ED0">
      <w:pPr>
        <w:pStyle w:val="Heading3"/>
        <w:numPr>
          <w:ilvl w:val="0"/>
          <w:numId w:val="0"/>
        </w:numPr>
        <w:ind w:left="709" w:hanging="709"/>
      </w:pPr>
      <w:r w:rsidRPr="009658D0">
        <w:t xml:space="preserve">Study Two </w:t>
      </w:r>
      <w:r w:rsidR="00046CB5">
        <w:t>-</w:t>
      </w:r>
      <w:r w:rsidRPr="009658D0">
        <w:t xml:space="preserve"> Fixed </w:t>
      </w:r>
      <w:r w:rsidR="00181384">
        <w:t xml:space="preserve">and </w:t>
      </w:r>
      <w:r w:rsidRPr="009658D0">
        <w:t>variable cost analysis study</w:t>
      </w:r>
    </w:p>
    <w:p w14:paraId="63687364" w14:textId="77777777" w:rsidR="00C11294" w:rsidRDefault="00C11294" w:rsidP="00345147">
      <w:pPr>
        <w:pStyle w:val="Normal-nospacing"/>
      </w:pPr>
      <w:r>
        <w:t>Study Two involve</w:t>
      </w:r>
      <w:r w:rsidR="00E2779C">
        <w:t>d</w:t>
      </w:r>
      <w:r>
        <w:t xml:space="preserve"> a larger sample of 110 facilities. The purpose of this study w</w:t>
      </w:r>
      <w:r w:rsidR="00E2779C">
        <w:t xml:space="preserve">as </w:t>
      </w:r>
      <w:r>
        <w:t>to understand differences in cost drivers between different types of facilities (including facility size</w:t>
      </w:r>
      <w:r w:rsidR="00534F50">
        <w:t xml:space="preserve"> and</w:t>
      </w:r>
      <w:r>
        <w:t xml:space="preserve"> location) as well as differences that may result from seasonal effects. This analysis </w:t>
      </w:r>
      <w:r w:rsidR="006A5FA7">
        <w:t>wa</w:t>
      </w:r>
      <w:r w:rsidR="004455B9">
        <w:t xml:space="preserve">s to </w:t>
      </w:r>
      <w:r>
        <w:t>inform the design of the funding model. Study Two examine</w:t>
      </w:r>
      <w:r w:rsidR="004455B9">
        <w:t>d</w:t>
      </w:r>
      <w:r>
        <w:t xml:space="preserve"> </w:t>
      </w:r>
      <w:r w:rsidRPr="00887ACE">
        <w:t>f</w:t>
      </w:r>
      <w:r>
        <w:t>acility</w:t>
      </w:r>
      <w:r w:rsidR="004455B9">
        <w:t xml:space="preserve"> </w:t>
      </w:r>
      <w:r w:rsidR="00534F50">
        <w:t xml:space="preserve">(rather than resident level) </w:t>
      </w:r>
      <w:r w:rsidRPr="00887ACE">
        <w:t>cost</w:t>
      </w:r>
      <w:r>
        <w:t xml:space="preserve">s </w:t>
      </w:r>
      <w:r w:rsidRPr="00887ACE">
        <w:t>from a nationally representative sample of facilities across Australia.</w:t>
      </w:r>
    </w:p>
    <w:p w14:paraId="391FA76F" w14:textId="77777777" w:rsidR="00C11294" w:rsidRDefault="00C11294" w:rsidP="00345147">
      <w:pPr>
        <w:pStyle w:val="Normal-nospacing"/>
      </w:pPr>
      <w:r>
        <w:t>Study Two w</w:t>
      </w:r>
      <w:r w:rsidR="00E2779C">
        <w:t>as</w:t>
      </w:r>
      <w:r>
        <w:t xml:space="preserve"> completed between November 2017 and </w:t>
      </w:r>
      <w:r w:rsidR="00E2779C">
        <w:t xml:space="preserve">October </w:t>
      </w:r>
      <w:r>
        <w:t>2018.</w:t>
      </w:r>
    </w:p>
    <w:p w14:paraId="0E671A94" w14:textId="77777777" w:rsidR="00C11294" w:rsidRPr="006B2BE4" w:rsidRDefault="00C11294" w:rsidP="003D0ED0">
      <w:pPr>
        <w:pStyle w:val="Heading4"/>
        <w:numPr>
          <w:ilvl w:val="0"/>
          <w:numId w:val="0"/>
        </w:numPr>
        <w:spacing w:before="120"/>
        <w:ind w:left="13" w:hanging="13"/>
        <w:rPr>
          <w:i w:val="0"/>
        </w:rPr>
      </w:pPr>
      <w:r w:rsidRPr="006B2BE4">
        <w:rPr>
          <w:i w:val="0"/>
        </w:rPr>
        <w:t>Study Three</w:t>
      </w:r>
      <w:r w:rsidR="00046CB5" w:rsidRPr="006B2BE4">
        <w:rPr>
          <w:i w:val="0"/>
        </w:rPr>
        <w:t xml:space="preserve"> - </w:t>
      </w:r>
      <w:r w:rsidRPr="006B2BE4">
        <w:rPr>
          <w:i w:val="0"/>
        </w:rPr>
        <w:t>Casemix profiling study</w:t>
      </w:r>
    </w:p>
    <w:p w14:paraId="24735DA9" w14:textId="77777777" w:rsidR="00C11294" w:rsidRDefault="00C11294" w:rsidP="00345147">
      <w:pPr>
        <w:pStyle w:val="Normal-nospacing"/>
      </w:pPr>
      <w:r>
        <w:t>Study Three involve</w:t>
      </w:r>
      <w:r w:rsidR="00046CB5">
        <w:t>d</w:t>
      </w:r>
      <w:r>
        <w:t xml:space="preserve"> the collection of variables included in the classification from an additional nationally representative sample of 80 facilities. The primary purpose of Study Three w</w:t>
      </w:r>
      <w:r w:rsidR="00046CB5">
        <w:t xml:space="preserve">as to </w:t>
      </w:r>
      <w:r>
        <w:t>develop a national casemix profile of resid</w:t>
      </w:r>
      <w:r w:rsidR="00B40077">
        <w:t>ents in aged care in Australia.</w:t>
      </w:r>
    </w:p>
    <w:p w14:paraId="78DCD137" w14:textId="77777777" w:rsidR="00C11294" w:rsidRDefault="00C11294" w:rsidP="00345147">
      <w:pPr>
        <w:pStyle w:val="Normal-nospacing"/>
      </w:pPr>
      <w:r>
        <w:t xml:space="preserve">Study Three </w:t>
      </w:r>
      <w:r w:rsidR="00046CB5">
        <w:t xml:space="preserve">was </w:t>
      </w:r>
      <w:r>
        <w:t>completed between September 2018 and December 2018.</w:t>
      </w:r>
    </w:p>
    <w:p w14:paraId="4A532D5B" w14:textId="77777777" w:rsidR="00C11294" w:rsidRPr="006B2BE4" w:rsidRDefault="00C11294" w:rsidP="003D0ED0">
      <w:pPr>
        <w:pStyle w:val="Heading4"/>
        <w:numPr>
          <w:ilvl w:val="0"/>
          <w:numId w:val="0"/>
        </w:numPr>
        <w:spacing w:before="120"/>
        <w:ind w:left="13" w:hanging="13"/>
        <w:rPr>
          <w:i w:val="0"/>
        </w:rPr>
      </w:pPr>
      <w:r w:rsidRPr="006B2BE4">
        <w:rPr>
          <w:i w:val="0"/>
        </w:rPr>
        <w:t>Study Four – Reass</w:t>
      </w:r>
      <w:r w:rsidR="009E02F9" w:rsidRPr="006B2BE4">
        <w:rPr>
          <w:i w:val="0"/>
        </w:rPr>
        <w:t>ess</w:t>
      </w:r>
      <w:r w:rsidRPr="006B2BE4">
        <w:rPr>
          <w:i w:val="0"/>
        </w:rPr>
        <w:t>ment study</w:t>
      </w:r>
    </w:p>
    <w:p w14:paraId="73FFD7FE" w14:textId="77777777" w:rsidR="00AD2C0B" w:rsidRDefault="00AD2C0B" w:rsidP="00345147">
      <w:pPr>
        <w:spacing w:before="120" w:after="120"/>
        <w:rPr>
          <w:rFonts w:cstheme="minorHAnsi"/>
        </w:rPr>
      </w:pPr>
      <w:r>
        <w:rPr>
          <w:rFonts w:cstheme="minorHAnsi"/>
        </w:rPr>
        <w:t>Study Four was added to the RUCS work program in mid-2018 in recognition of value that could be added</w:t>
      </w:r>
      <w:r w:rsidR="003479DF">
        <w:rPr>
          <w:rFonts w:cstheme="minorHAnsi"/>
        </w:rPr>
        <w:t xml:space="preserve"> by collecting additional information about the rate and extent of change in residents’ care needs over time. </w:t>
      </w:r>
      <w:r>
        <w:rPr>
          <w:rFonts w:cstheme="minorHAnsi"/>
        </w:rPr>
        <w:t>Study Four involved conducting re-assessments of approxim</w:t>
      </w:r>
      <w:r w:rsidR="005C155A">
        <w:rPr>
          <w:rFonts w:cstheme="minorHAnsi"/>
        </w:rPr>
        <w:t xml:space="preserve">ately </w:t>
      </w:r>
      <w:r>
        <w:rPr>
          <w:rFonts w:cstheme="minorHAnsi"/>
        </w:rPr>
        <w:t>1</w:t>
      </w:r>
      <w:r w:rsidR="005C155A">
        <w:rPr>
          <w:rFonts w:cstheme="minorHAnsi"/>
        </w:rPr>
        <w:t>,</w:t>
      </w:r>
      <w:r>
        <w:rPr>
          <w:rFonts w:cstheme="minorHAnsi"/>
        </w:rPr>
        <w:t>0</w:t>
      </w:r>
      <w:r w:rsidR="005C155A">
        <w:rPr>
          <w:rFonts w:cstheme="minorHAnsi"/>
        </w:rPr>
        <w:t>0</w:t>
      </w:r>
      <w:r>
        <w:rPr>
          <w:rFonts w:cstheme="minorHAnsi"/>
        </w:rPr>
        <w:t>0 residents assessed as part of Study One</w:t>
      </w:r>
      <w:r w:rsidR="003479DF">
        <w:rPr>
          <w:rFonts w:cstheme="minorHAnsi"/>
        </w:rPr>
        <w:t xml:space="preserve"> four to six months after the</w:t>
      </w:r>
      <w:r w:rsidR="00FB331D">
        <w:rPr>
          <w:rFonts w:cstheme="minorHAnsi"/>
        </w:rPr>
        <w:t>ir</w:t>
      </w:r>
      <w:r w:rsidR="00B40077">
        <w:rPr>
          <w:rFonts w:cstheme="minorHAnsi"/>
        </w:rPr>
        <w:t xml:space="preserve"> initial assessment.</w:t>
      </w:r>
    </w:p>
    <w:p w14:paraId="390E269B" w14:textId="77777777" w:rsidR="00AD2C0B" w:rsidRPr="00AD2C0B" w:rsidRDefault="00AD2C0B" w:rsidP="00345147">
      <w:pPr>
        <w:spacing w:before="120" w:after="120"/>
      </w:pPr>
      <w:r>
        <w:t>Study Four was completed between August 2018 and December 2018</w:t>
      </w:r>
      <w:r w:rsidR="00B40077">
        <w:t>.</w:t>
      </w:r>
    </w:p>
    <w:p w14:paraId="6EEBE18C" w14:textId="77777777" w:rsidR="009A25E2" w:rsidRDefault="009A25E2" w:rsidP="00534F50">
      <w:pPr>
        <w:pStyle w:val="Heading2"/>
      </w:pPr>
      <w:bookmarkStart w:id="38" w:name="_Toc2070304"/>
      <w:r>
        <w:lastRenderedPageBreak/>
        <w:t>Ethic</w:t>
      </w:r>
      <w:r w:rsidR="00B82914">
        <w:t>al approval</w:t>
      </w:r>
      <w:bookmarkEnd w:id="38"/>
    </w:p>
    <w:p w14:paraId="6A389E82" w14:textId="77777777" w:rsidR="009A25E2" w:rsidRDefault="009A25E2" w:rsidP="00345147">
      <w:pPr>
        <w:pStyle w:val="Normal-nospacing"/>
      </w:pPr>
      <w:r>
        <w:t xml:space="preserve">Ethical approval for all components of the RUCS was granted prior to its commencement by the University of Wollongong </w:t>
      </w:r>
      <w:r w:rsidR="00B82914">
        <w:t>and</w:t>
      </w:r>
      <w:r>
        <w:t xml:space="preserve"> Illawarra Shoalhaven Local Health District </w:t>
      </w:r>
      <w:r w:rsidR="00B82914">
        <w:t>Health and Medical Human Research E</w:t>
      </w:r>
      <w:r>
        <w:t xml:space="preserve">thics </w:t>
      </w:r>
      <w:r w:rsidR="00B82914">
        <w:t>C</w:t>
      </w:r>
      <w:r>
        <w:t>ommittee</w:t>
      </w:r>
      <w:r w:rsidR="003819A4">
        <w:t xml:space="preserve"> (</w:t>
      </w:r>
      <w:r w:rsidR="00655C02">
        <w:t>a</w:t>
      </w:r>
      <w:r w:rsidR="003819A4">
        <w:t>pproval date 21/02/2</w:t>
      </w:r>
      <w:r w:rsidR="00FE63CF">
        <w:t>018</w:t>
      </w:r>
      <w:r w:rsidR="003819A4">
        <w:t>, Ethics Number 2017/546)</w:t>
      </w:r>
      <w:r>
        <w:t>.</w:t>
      </w:r>
    </w:p>
    <w:p w14:paraId="1925DBBD" w14:textId="77777777" w:rsidR="00221744" w:rsidRDefault="00221744" w:rsidP="00345147">
      <w:pPr>
        <w:pStyle w:val="Normal-nospacing"/>
      </w:pPr>
    </w:p>
    <w:p w14:paraId="5C6B9476" w14:textId="77777777" w:rsidR="00447245" w:rsidRDefault="00447245">
      <w:pPr>
        <w:rPr>
          <w:rFonts w:eastAsiaTheme="minorHAnsi" w:cstheme="minorHAnsi"/>
          <w:lang w:eastAsia="zh-CN" w:bidi="th-TH"/>
        </w:rPr>
      </w:pPr>
      <w:r>
        <w:rPr>
          <w:rFonts w:eastAsiaTheme="minorHAnsi" w:cstheme="minorHAnsi"/>
          <w:lang w:eastAsia="zh-CN" w:bidi="th-TH"/>
        </w:rPr>
        <w:br w:type="page"/>
      </w:r>
    </w:p>
    <w:p w14:paraId="262B528D" w14:textId="77777777" w:rsidR="001B3DA2" w:rsidRDefault="009B2FC9" w:rsidP="0016396F">
      <w:pPr>
        <w:pStyle w:val="Heading1"/>
      </w:pPr>
      <w:bookmarkStart w:id="39" w:name="_Toc2070305"/>
      <w:r>
        <w:lastRenderedPageBreak/>
        <w:t xml:space="preserve">The </w:t>
      </w:r>
      <w:r w:rsidR="00AE1D02">
        <w:t xml:space="preserve">RUCS </w:t>
      </w:r>
      <w:r w:rsidR="00476FDD">
        <w:t>S</w:t>
      </w:r>
      <w:r w:rsidRPr="009658D0">
        <w:t xml:space="preserve">ervice </w:t>
      </w:r>
      <w:r w:rsidR="00476FDD">
        <w:t>U</w:t>
      </w:r>
      <w:r w:rsidRPr="009658D0">
        <w:t xml:space="preserve">tilisation and </w:t>
      </w:r>
      <w:r w:rsidR="00476FDD">
        <w:t>C</w:t>
      </w:r>
      <w:r w:rsidRPr="009658D0">
        <w:t xml:space="preserve">lassification </w:t>
      </w:r>
      <w:r w:rsidR="00476FDD">
        <w:t>D</w:t>
      </w:r>
      <w:r w:rsidRPr="009658D0">
        <w:t xml:space="preserve">evelopment </w:t>
      </w:r>
      <w:r w:rsidR="00476FDD">
        <w:t>S</w:t>
      </w:r>
      <w:r w:rsidRPr="009658D0">
        <w:t>tudy</w:t>
      </w:r>
      <w:r w:rsidR="003C7F33">
        <w:t xml:space="preserve"> (Study One)</w:t>
      </w:r>
      <w:r w:rsidR="00AE26FC">
        <w:t xml:space="preserve"> </w:t>
      </w:r>
      <w:r w:rsidR="00476FDD">
        <w:t>–</w:t>
      </w:r>
      <w:r w:rsidR="008A191C">
        <w:t xml:space="preserve"> S</w:t>
      </w:r>
      <w:r w:rsidR="006D5255" w:rsidRPr="006D5255">
        <w:t>tudy</w:t>
      </w:r>
      <w:r w:rsidR="008A191C">
        <w:t xml:space="preserve"> </w:t>
      </w:r>
      <w:r>
        <w:t>D</w:t>
      </w:r>
      <w:r w:rsidR="008A191C">
        <w:t>esign</w:t>
      </w:r>
      <w:bookmarkEnd w:id="39"/>
    </w:p>
    <w:p w14:paraId="670AC356" w14:textId="77777777" w:rsidR="00345147" w:rsidRDefault="00995161" w:rsidP="00534F50">
      <w:pPr>
        <w:pStyle w:val="Normal-nospacing"/>
      </w:pPr>
      <w:r>
        <w:t xml:space="preserve">The </w:t>
      </w:r>
      <w:r w:rsidR="00345147">
        <w:t xml:space="preserve">primary </w:t>
      </w:r>
      <w:r w:rsidR="00AA2AFF">
        <w:t xml:space="preserve">aim </w:t>
      </w:r>
      <w:r w:rsidR="00AE26FC">
        <w:t>o</w:t>
      </w:r>
      <w:r>
        <w:t xml:space="preserve">f </w:t>
      </w:r>
      <w:r w:rsidR="00B02A74">
        <w:t>the service utilisation and classification development study (</w:t>
      </w:r>
      <w:r>
        <w:t>Study One</w:t>
      </w:r>
      <w:r w:rsidR="00B02A74">
        <w:t>)</w:t>
      </w:r>
      <w:r>
        <w:t xml:space="preserve"> was to develop </w:t>
      </w:r>
      <w:r w:rsidR="008A191C">
        <w:t>a</w:t>
      </w:r>
      <w:r w:rsidR="00DF74D5">
        <w:t xml:space="preserve"> new</w:t>
      </w:r>
      <w:r w:rsidR="00AE26FC">
        <w:t>, fit-for-purpose</w:t>
      </w:r>
      <w:r w:rsidR="00DF74D5">
        <w:t xml:space="preserve"> classification for </w:t>
      </w:r>
      <w:r w:rsidR="008A191C">
        <w:t xml:space="preserve">the </w:t>
      </w:r>
      <w:r w:rsidR="00AA2AFF">
        <w:t xml:space="preserve">Australian </w:t>
      </w:r>
      <w:r w:rsidR="00DF74D5">
        <w:t xml:space="preserve">residential aged care </w:t>
      </w:r>
      <w:r w:rsidR="008A191C">
        <w:t>sector</w:t>
      </w:r>
      <w:r w:rsidR="00AE26FC">
        <w:t xml:space="preserve">. </w:t>
      </w:r>
      <w:r w:rsidR="0062702F">
        <w:t>T</w:t>
      </w:r>
      <w:r w:rsidR="00345147">
        <w:t xml:space="preserve">he </w:t>
      </w:r>
      <w:r w:rsidR="0062702F">
        <w:t xml:space="preserve">study design recognised that the classification would need to address the </w:t>
      </w:r>
      <w:r w:rsidR="00345147">
        <w:t>limitation</w:t>
      </w:r>
      <w:r w:rsidR="0062702F">
        <w:t>s</w:t>
      </w:r>
      <w:r w:rsidR="00345147">
        <w:t xml:space="preserve"> of the current funding model, </w:t>
      </w:r>
      <w:r w:rsidR="009E02F9">
        <w:t>including</w:t>
      </w:r>
      <w:r w:rsidR="0062702F">
        <w:t xml:space="preserve"> </w:t>
      </w:r>
      <w:r w:rsidR="00B40077">
        <w:t>that:</w:t>
      </w:r>
    </w:p>
    <w:p w14:paraId="22F4AB76" w14:textId="77777777" w:rsidR="00345147" w:rsidRPr="00CF26D2" w:rsidRDefault="000B4675" w:rsidP="00CF26D2">
      <w:pPr>
        <w:pStyle w:val="Bullets"/>
      </w:pPr>
      <w:r>
        <w:t>T</w:t>
      </w:r>
      <w:r w:rsidR="00345147">
        <w:t xml:space="preserve">he </w:t>
      </w:r>
      <w:r w:rsidR="00345147" w:rsidRPr="00CF26D2">
        <w:t>additive design ignores the interactions between concurrent problems experienced by residents.</w:t>
      </w:r>
    </w:p>
    <w:p w14:paraId="1F6292F4" w14:textId="77777777" w:rsidR="00345147" w:rsidRPr="00CF26D2" w:rsidRDefault="000B4675" w:rsidP="00CF26D2">
      <w:pPr>
        <w:pStyle w:val="Bullets"/>
      </w:pPr>
      <w:r>
        <w:t>I</w:t>
      </w:r>
      <w:r w:rsidR="00345147" w:rsidRPr="00CF26D2">
        <w:t>t does not focus on what drives costs of care.</w:t>
      </w:r>
    </w:p>
    <w:p w14:paraId="23AC6040" w14:textId="77777777" w:rsidR="00345147" w:rsidRDefault="000B4675" w:rsidP="00534F50">
      <w:pPr>
        <w:pStyle w:val="Bullets"/>
      </w:pPr>
      <w:r>
        <w:t>T</w:t>
      </w:r>
      <w:r w:rsidR="00345147" w:rsidRPr="00CF26D2">
        <w:t>here is insufficient</w:t>
      </w:r>
      <w:r w:rsidR="00345147">
        <w:t xml:space="preserve"> discrimination between residents with different care needs with one third of residents classified to just one payment class.</w:t>
      </w:r>
    </w:p>
    <w:p w14:paraId="26F54746" w14:textId="77777777" w:rsidR="00B82914" w:rsidRDefault="00B82914" w:rsidP="00B82914">
      <w:pPr>
        <w:pStyle w:val="Bullets"/>
      </w:pPr>
      <w:r w:rsidRPr="00B82914">
        <w:t>It is prescriptive in the types of care activities that are funded, leading to a focus on delivering those activities.</w:t>
      </w:r>
    </w:p>
    <w:p w14:paraId="2ABC21F8" w14:textId="77777777" w:rsidR="0062702F" w:rsidRDefault="0062702F" w:rsidP="00534F50">
      <w:pPr>
        <w:pStyle w:val="Normal-nospacing"/>
      </w:pPr>
      <w:r>
        <w:t>Th</w:t>
      </w:r>
      <w:r w:rsidR="00C80B8D">
        <w:t>e</w:t>
      </w:r>
      <w:r>
        <w:t xml:space="preserve"> remainder of this section </w:t>
      </w:r>
      <w:r w:rsidR="0003787A">
        <w:t>provides a</w:t>
      </w:r>
      <w:r w:rsidR="00BE6B07">
        <w:t xml:space="preserve"> brief </w:t>
      </w:r>
      <w:r w:rsidR="0003787A">
        <w:t xml:space="preserve">overview and </w:t>
      </w:r>
      <w:r>
        <w:t xml:space="preserve">outlines the key design issues </w:t>
      </w:r>
      <w:r w:rsidR="003C7F33">
        <w:t xml:space="preserve">addressed in the </w:t>
      </w:r>
      <w:r>
        <w:t>RUCS s</w:t>
      </w:r>
      <w:r w:rsidRPr="009658D0">
        <w:t>ervice utilisation and classification development study</w:t>
      </w:r>
      <w:r w:rsidR="00B40077">
        <w:t xml:space="preserve"> (Study One).</w:t>
      </w:r>
    </w:p>
    <w:p w14:paraId="0E700342" w14:textId="77777777" w:rsidR="003C7F33" w:rsidRDefault="00233DB4" w:rsidP="00534F50">
      <w:pPr>
        <w:pStyle w:val="Heading2"/>
      </w:pPr>
      <w:bookmarkStart w:id="40" w:name="_Toc2070306"/>
      <w:r>
        <w:t xml:space="preserve">Study One </w:t>
      </w:r>
      <w:r w:rsidR="00856DCB">
        <w:t>–</w:t>
      </w:r>
      <w:r>
        <w:t xml:space="preserve"> O</w:t>
      </w:r>
      <w:r w:rsidR="00AD0876">
        <w:t>verview</w:t>
      </w:r>
      <w:bookmarkEnd w:id="40"/>
    </w:p>
    <w:p w14:paraId="7A39BE7C" w14:textId="77777777" w:rsidR="003C7F33" w:rsidRDefault="00FD44CA" w:rsidP="00FD44CA">
      <w:r>
        <w:t xml:space="preserve">The design work associated with Study One </w:t>
      </w:r>
      <w:r w:rsidR="00064D9A">
        <w:t xml:space="preserve">was completed </w:t>
      </w:r>
      <w:r>
        <w:t xml:space="preserve">between August 2017 and February 2018. </w:t>
      </w:r>
      <w:r w:rsidR="003C7F33">
        <w:t>In order to support the explicit deliverables required of Study One, the design parameters were deliberately very specific, namely:</w:t>
      </w:r>
    </w:p>
    <w:p w14:paraId="144D8E24" w14:textId="77777777" w:rsidR="003C7F33" w:rsidRPr="00D92E11" w:rsidRDefault="000B4675" w:rsidP="003C7F33">
      <w:pPr>
        <w:pStyle w:val="Bullets"/>
      </w:pPr>
      <w:r>
        <w:t>R</w:t>
      </w:r>
      <w:r w:rsidR="003C7F33">
        <w:t xml:space="preserve">esident </w:t>
      </w:r>
      <w:r w:rsidR="003C7F33" w:rsidRPr="00D92E11">
        <w:t>assessments were designed to capture only</w:t>
      </w:r>
      <w:r w:rsidR="004455B9">
        <w:t xml:space="preserve"> those</w:t>
      </w:r>
      <w:r w:rsidR="003C7F33" w:rsidRPr="00D92E11">
        <w:t xml:space="preserve"> items that relate to the resources required to deliver care. That is, these were assessments for funding and not for care planning</w:t>
      </w:r>
      <w:r w:rsidR="001732D8">
        <w:t xml:space="preserve"> purposes</w:t>
      </w:r>
      <w:r w:rsidR="003C7F33" w:rsidRPr="00D92E11">
        <w:t>.</w:t>
      </w:r>
    </w:p>
    <w:p w14:paraId="7E52AE8D" w14:textId="77777777" w:rsidR="003C7F33" w:rsidRDefault="000B4675" w:rsidP="003C7F33">
      <w:pPr>
        <w:pStyle w:val="Bullets"/>
      </w:pPr>
      <w:r>
        <w:t>S</w:t>
      </w:r>
      <w:r w:rsidR="003C7F33" w:rsidRPr="00D92E11">
        <w:t>ervice utilisation data captured relate</w:t>
      </w:r>
      <w:r w:rsidR="003C7F33">
        <w:t>d</w:t>
      </w:r>
      <w:r w:rsidR="003C7F33" w:rsidRPr="00D92E11">
        <w:t xml:space="preserve"> only to individual care time and d</w:t>
      </w:r>
      <w:r w:rsidR="003C7F33">
        <w:t xml:space="preserve">id </w:t>
      </w:r>
      <w:r w:rsidR="003C7F33" w:rsidRPr="00D92E11">
        <w:t xml:space="preserve">not </w:t>
      </w:r>
      <w:r w:rsidR="003C7F33">
        <w:t xml:space="preserve">seek to capture data on </w:t>
      </w:r>
      <w:r w:rsidR="003C7F33" w:rsidRPr="00D92E11">
        <w:t>all care provided.</w:t>
      </w:r>
    </w:p>
    <w:p w14:paraId="44FF4F42" w14:textId="77777777" w:rsidR="003C7F33" w:rsidRDefault="000B4675" w:rsidP="003C7F33">
      <w:pPr>
        <w:pStyle w:val="Bullets"/>
      </w:pPr>
      <w:r>
        <w:t>T</w:t>
      </w:r>
      <w:r w:rsidR="003C7F33" w:rsidRPr="00D92E11">
        <w:t>he financial data captured d</w:t>
      </w:r>
      <w:r w:rsidR="003C7F33">
        <w:t xml:space="preserve">id </w:t>
      </w:r>
      <w:r w:rsidR="003C7F33" w:rsidRPr="00D92E11">
        <w:t xml:space="preserve">not include </w:t>
      </w:r>
      <w:r w:rsidR="00923B2D">
        <w:t xml:space="preserve">the </w:t>
      </w:r>
      <w:r w:rsidR="003C7F33" w:rsidRPr="00D92E11">
        <w:t>total cost of operations for</w:t>
      </w:r>
      <w:r w:rsidR="00923B2D">
        <w:t xml:space="preserve"> each </w:t>
      </w:r>
      <w:r w:rsidR="003C7F33" w:rsidRPr="00D92E11">
        <w:t xml:space="preserve">facility </w:t>
      </w:r>
      <w:r w:rsidR="003C7F33">
        <w:t>-</w:t>
      </w:r>
      <w:r w:rsidR="003C7F33" w:rsidRPr="00D92E11">
        <w:t xml:space="preserve"> only th</w:t>
      </w:r>
      <w:r w:rsidR="00923B2D">
        <w:t xml:space="preserve">e </w:t>
      </w:r>
      <w:r w:rsidR="003C7F33" w:rsidRPr="00D92E11">
        <w:t>costs of</w:t>
      </w:r>
      <w:r w:rsidR="003C7F33">
        <w:t xml:space="preserve"> delivering care to residents.</w:t>
      </w:r>
    </w:p>
    <w:p w14:paraId="11907085" w14:textId="77777777" w:rsidR="00891D83" w:rsidRDefault="0062702F" w:rsidP="00AC2F3B">
      <w:pPr>
        <w:pStyle w:val="Normal-nospacing"/>
      </w:pPr>
      <w:r>
        <w:t xml:space="preserve">It was </w:t>
      </w:r>
      <w:r w:rsidR="00881AC9">
        <w:t xml:space="preserve">established </w:t>
      </w:r>
      <w:r>
        <w:t xml:space="preserve">at the outset </w:t>
      </w:r>
      <w:r w:rsidR="0003787A">
        <w:t xml:space="preserve">of the </w:t>
      </w:r>
      <w:r w:rsidR="001D163F">
        <w:t xml:space="preserve">study </w:t>
      </w:r>
      <w:r w:rsidR="00CA7BA2">
        <w:t xml:space="preserve">that </w:t>
      </w:r>
      <w:r>
        <w:t xml:space="preserve">a ‘branching’ classification would </w:t>
      </w:r>
      <w:r w:rsidR="00891D83">
        <w:t xml:space="preserve">most accurately reflect </w:t>
      </w:r>
      <w:r w:rsidR="00975E82">
        <w:t>the current clinical and cost profile of aged care residents</w:t>
      </w:r>
      <w:r w:rsidR="00891D83">
        <w:t xml:space="preserve">. </w:t>
      </w:r>
      <w:r w:rsidR="00195C6C">
        <w:t xml:space="preserve">The design of Study One </w:t>
      </w:r>
      <w:r w:rsidR="002D7420">
        <w:t xml:space="preserve">therefore </w:t>
      </w:r>
      <w:r w:rsidR="00195C6C">
        <w:t>focussed on</w:t>
      </w:r>
      <w:r w:rsidR="00881AC9">
        <w:t xml:space="preserve"> ensuring that</w:t>
      </w:r>
      <w:r w:rsidR="0003787A">
        <w:t xml:space="preserve"> the </w:t>
      </w:r>
      <w:r w:rsidR="00923B2D">
        <w:t xml:space="preserve">final study </w:t>
      </w:r>
      <w:r w:rsidR="0003787A">
        <w:t>data</w:t>
      </w:r>
      <w:r w:rsidR="00923B2D">
        <w:t xml:space="preserve">set </w:t>
      </w:r>
      <w:r w:rsidR="00DA589A">
        <w:t xml:space="preserve">would support the development from first principles of </w:t>
      </w:r>
      <w:r w:rsidR="0003787A">
        <w:t xml:space="preserve">a </w:t>
      </w:r>
      <w:r w:rsidR="00923B2D">
        <w:t xml:space="preserve">clinically </w:t>
      </w:r>
      <w:r w:rsidR="0003787A">
        <w:t>contemp</w:t>
      </w:r>
      <w:r w:rsidR="00B40077">
        <w:t>orary branching classification.</w:t>
      </w:r>
    </w:p>
    <w:p w14:paraId="6D39541D" w14:textId="77777777" w:rsidR="00975E82" w:rsidRDefault="00AA2AFF" w:rsidP="00AC2F3B">
      <w:pPr>
        <w:pStyle w:val="Normal-nospacing"/>
      </w:pPr>
      <w:r>
        <w:t>Th</w:t>
      </w:r>
      <w:r w:rsidR="0003787A">
        <w:t xml:space="preserve">is objective was achieved </w:t>
      </w:r>
      <w:r>
        <w:t xml:space="preserve">through a comprehensive prospective collection of </w:t>
      </w:r>
      <w:r w:rsidR="001F7521">
        <w:t xml:space="preserve">service utilisation, </w:t>
      </w:r>
      <w:r>
        <w:t>resident assessments and financial data</w:t>
      </w:r>
      <w:r w:rsidR="003F2104">
        <w:t xml:space="preserve"> </w:t>
      </w:r>
      <w:r w:rsidR="001F7521">
        <w:t xml:space="preserve">from </w:t>
      </w:r>
      <w:r w:rsidR="003F2104">
        <w:t>30 residential aged care facilities</w:t>
      </w:r>
      <w:r w:rsidR="00345147">
        <w:t xml:space="preserve"> </w:t>
      </w:r>
      <w:r w:rsidR="00233DB4">
        <w:t xml:space="preserve">in three </w:t>
      </w:r>
      <w:r w:rsidR="00B40077">
        <w:t>geographical regions.</w:t>
      </w:r>
    </w:p>
    <w:p w14:paraId="4B5CC669" w14:textId="77777777" w:rsidR="00D35219" w:rsidRPr="001732D8" w:rsidRDefault="001F7521" w:rsidP="00AC2F3B">
      <w:pPr>
        <w:pStyle w:val="Normal-nospacing"/>
      </w:pPr>
      <w:r>
        <w:t xml:space="preserve">The </w:t>
      </w:r>
      <w:r w:rsidR="00D35219">
        <w:t>service utilisation data collection occur</w:t>
      </w:r>
      <w:r>
        <w:t>red</w:t>
      </w:r>
      <w:r w:rsidR="00D35219">
        <w:t xml:space="preserve"> over </w:t>
      </w:r>
      <w:r>
        <w:t xml:space="preserve">a </w:t>
      </w:r>
      <w:r w:rsidR="00D35219">
        <w:t>four week</w:t>
      </w:r>
      <w:r>
        <w:t xml:space="preserve"> period </w:t>
      </w:r>
      <w:r w:rsidR="00D35219">
        <w:t xml:space="preserve">between March 2018 and </w:t>
      </w:r>
      <w:r>
        <w:t xml:space="preserve">June </w:t>
      </w:r>
      <w:r w:rsidR="00D35219">
        <w:t>2018. During this time, staff involved in delivering care to residents record</w:t>
      </w:r>
      <w:r>
        <w:t>ed</w:t>
      </w:r>
      <w:r w:rsidR="00D35219">
        <w:t xml:space="preserve"> the amount of time spent undertaking different types of activities during each shift. Purpose-designed bar-coding technology w</w:t>
      </w:r>
      <w:r>
        <w:t>as</w:t>
      </w:r>
      <w:r w:rsidR="00D35219">
        <w:t xml:space="preserve"> provided to facilitate this data </w:t>
      </w:r>
      <w:r w:rsidR="00D35219" w:rsidRPr="008C691E">
        <w:t>collection</w:t>
      </w:r>
      <w:r w:rsidR="00534F50">
        <w:t>.</w:t>
      </w:r>
    </w:p>
    <w:p w14:paraId="413476F2" w14:textId="77777777" w:rsidR="00891D83" w:rsidRDefault="001F3AA0" w:rsidP="00AC2F3B">
      <w:pPr>
        <w:pStyle w:val="Normal-nospacing"/>
      </w:pPr>
      <w:r>
        <w:lastRenderedPageBreak/>
        <w:t xml:space="preserve">The second element of the data collection involved </w:t>
      </w:r>
      <w:r w:rsidR="00D35219">
        <w:t xml:space="preserve">a </w:t>
      </w:r>
      <w:r w:rsidR="00891D83">
        <w:t xml:space="preserve">clinical </w:t>
      </w:r>
      <w:r w:rsidR="00D35219">
        <w:t>assessment of resident</w:t>
      </w:r>
      <w:r w:rsidR="00B82914">
        <w:t>s in</w:t>
      </w:r>
      <w:r w:rsidR="00891D83">
        <w:t xml:space="preserve"> the 30 </w:t>
      </w:r>
      <w:r w:rsidR="009E02F9">
        <w:t>participating</w:t>
      </w:r>
      <w:r w:rsidR="00891D83">
        <w:t xml:space="preserve"> facilities</w:t>
      </w:r>
      <w:r w:rsidR="008B5B22">
        <w:t xml:space="preserve"> </w:t>
      </w:r>
      <w:r w:rsidR="00534F50">
        <w:t>(</w:t>
      </w:r>
      <w:r w:rsidR="00B82914">
        <w:t>refer</w:t>
      </w:r>
      <w:r w:rsidR="00655C02">
        <w:t xml:space="preserve"> </w:t>
      </w:r>
      <w:r w:rsidR="007A50E8">
        <w:fldChar w:fldCharType="begin"/>
      </w:r>
      <w:r w:rsidR="007A50E8">
        <w:instrText xml:space="preserve"> REF _Ref535396620 \h </w:instrText>
      </w:r>
      <w:r w:rsidR="00AC2F3B">
        <w:instrText xml:space="preserve"> \* MERGEFORMAT </w:instrText>
      </w:r>
      <w:r w:rsidR="007A50E8">
        <w:fldChar w:fldCharType="separate"/>
      </w:r>
      <w:r w:rsidR="00EE18C8" w:rsidRPr="00E83BCA">
        <w:t xml:space="preserve">Appendix </w:t>
      </w:r>
      <w:r w:rsidR="00EE18C8">
        <w:rPr>
          <w:noProof/>
        </w:rPr>
        <w:t>2</w:t>
      </w:r>
      <w:r w:rsidR="007A50E8">
        <w:fldChar w:fldCharType="end"/>
      </w:r>
      <w:r w:rsidR="00534F50">
        <w:t>)</w:t>
      </w:r>
      <w:r w:rsidR="00891D83" w:rsidRPr="008C691E">
        <w:t>.</w:t>
      </w:r>
      <w:r w:rsidR="00891D83">
        <w:t xml:space="preserve"> </w:t>
      </w:r>
      <w:r w:rsidR="00233DB4">
        <w:t xml:space="preserve">A </w:t>
      </w:r>
      <w:r w:rsidR="00891D83">
        <w:t xml:space="preserve">resident assessment tool </w:t>
      </w:r>
      <w:r w:rsidR="00CA7BA2">
        <w:t xml:space="preserve">was </w:t>
      </w:r>
      <w:r w:rsidR="002D7420">
        <w:t>purpose-</w:t>
      </w:r>
      <w:r w:rsidR="00CA7BA2">
        <w:t>designed for the study</w:t>
      </w:r>
      <w:r w:rsidR="008B5B22">
        <w:t xml:space="preserve"> </w:t>
      </w:r>
      <w:r w:rsidR="00233DB4">
        <w:t>with the support of four expert clinical advisory panels</w:t>
      </w:r>
      <w:r w:rsidR="00496EAD">
        <w:t>,</w:t>
      </w:r>
      <w:r w:rsidR="00DA36ED">
        <w:t xml:space="preserve"> </w:t>
      </w:r>
      <w:r w:rsidR="00CA7BA2">
        <w:t>to capture levels of care burden associated with function, cognition, communication, behaviour and other factors. T</w:t>
      </w:r>
      <w:r w:rsidR="00891D83">
        <w:t>h</w:t>
      </w:r>
      <w:r w:rsidR="00CA7BA2">
        <w:t>e</w:t>
      </w:r>
      <w:r w:rsidR="00891D83">
        <w:t xml:space="preserve"> resident assessment </w:t>
      </w:r>
      <w:r w:rsidR="00496EAD">
        <w:t xml:space="preserve">tool </w:t>
      </w:r>
      <w:r w:rsidR="008B5B22">
        <w:t xml:space="preserve">used in Study One </w:t>
      </w:r>
      <w:r w:rsidR="00891D83">
        <w:t xml:space="preserve">was </w:t>
      </w:r>
      <w:r w:rsidR="002D7420">
        <w:t xml:space="preserve">completed </w:t>
      </w:r>
      <w:r w:rsidR="00D35219">
        <w:t xml:space="preserve">by qualified aged care </w:t>
      </w:r>
      <w:r w:rsidR="002D7420">
        <w:t xml:space="preserve">clinicians </w:t>
      </w:r>
      <w:r w:rsidR="00D35219">
        <w:t xml:space="preserve">during the service utilisation </w:t>
      </w:r>
      <w:r w:rsidR="00891D83">
        <w:t xml:space="preserve">data collection </w:t>
      </w:r>
      <w:r w:rsidR="00D35219">
        <w:t>period.</w:t>
      </w:r>
    </w:p>
    <w:p w14:paraId="14C402B9" w14:textId="77777777" w:rsidR="00695810" w:rsidRDefault="00891D83" w:rsidP="00AC2F3B">
      <w:pPr>
        <w:pStyle w:val="Normal-nospacing"/>
      </w:pPr>
      <w:r>
        <w:t xml:space="preserve">The final element of the data collection involved capturing expenditure data from each facility corresponding to the service utilisation period. In the classification development process, protocols were applied to include or exclude expenditure based on </w:t>
      </w:r>
      <w:r w:rsidR="00CA7BA2">
        <w:t xml:space="preserve">its </w:t>
      </w:r>
      <w:r>
        <w:t>rel</w:t>
      </w:r>
      <w:r w:rsidR="002D7420">
        <w:t xml:space="preserve">evance </w:t>
      </w:r>
      <w:r>
        <w:t>to</w:t>
      </w:r>
      <w:r w:rsidR="00B40077">
        <w:t xml:space="preserve"> the delivery of in-scope care.</w:t>
      </w:r>
    </w:p>
    <w:p w14:paraId="3EA940C2" w14:textId="77777777" w:rsidR="00695810" w:rsidRDefault="00695810" w:rsidP="00AC2F3B">
      <w:pPr>
        <w:pStyle w:val="Normal-nospacing"/>
      </w:pPr>
      <w:r>
        <w:t xml:space="preserve">Following </w:t>
      </w:r>
      <w:r w:rsidR="00942D56">
        <w:t xml:space="preserve">completion of </w:t>
      </w:r>
      <w:r w:rsidR="009E02F9">
        <w:t xml:space="preserve">all </w:t>
      </w:r>
      <w:r w:rsidR="00CA7BA2" w:rsidRPr="00695810">
        <w:t>data collection</w:t>
      </w:r>
      <w:r w:rsidR="00942D56">
        <w:t>, a</w:t>
      </w:r>
      <w:r w:rsidR="009E02F9">
        <w:t>n</w:t>
      </w:r>
      <w:r w:rsidR="00942D56">
        <w:t xml:space="preserve"> iterative series of statistical analyses and clinical review</w:t>
      </w:r>
      <w:r w:rsidR="009E02F9">
        <w:t xml:space="preserve"> was</w:t>
      </w:r>
      <w:r w:rsidR="00942D56">
        <w:t xml:space="preserve"> undertaken </w:t>
      </w:r>
      <w:r w:rsidR="009E02F9">
        <w:t xml:space="preserve">and a </w:t>
      </w:r>
      <w:r>
        <w:t xml:space="preserve">draft </w:t>
      </w:r>
      <w:r w:rsidR="00254AC9" w:rsidRPr="00695810">
        <w:t>classification</w:t>
      </w:r>
      <w:r w:rsidR="009E02F9">
        <w:t xml:space="preserve"> developed</w:t>
      </w:r>
      <w:r>
        <w:t xml:space="preserve">. </w:t>
      </w:r>
      <w:r w:rsidR="00942D56">
        <w:t xml:space="preserve">This was formally reviewed by the study’s clinical panel and endorsed in September 2018. The endorsed </w:t>
      </w:r>
      <w:r>
        <w:t xml:space="preserve">classification </w:t>
      </w:r>
      <w:r w:rsidR="00942D56">
        <w:t xml:space="preserve">has been </w:t>
      </w:r>
      <w:r>
        <w:t xml:space="preserve">named the Australian National Aged Care Classification </w:t>
      </w:r>
      <w:r w:rsidRPr="000B4675">
        <w:t>(AN-A</w:t>
      </w:r>
      <w:r w:rsidR="00AE7A80">
        <w:t>C</w:t>
      </w:r>
      <w:r w:rsidRPr="000B4675">
        <w:t>C)</w:t>
      </w:r>
      <w:r w:rsidR="00254AC9" w:rsidRPr="000B4675">
        <w:t>.</w:t>
      </w:r>
    </w:p>
    <w:p w14:paraId="7E262C3D" w14:textId="77777777" w:rsidR="00434D22" w:rsidRDefault="00434D22" w:rsidP="00534F50">
      <w:pPr>
        <w:pStyle w:val="Heading2"/>
      </w:pPr>
      <w:bookmarkStart w:id="41" w:name="_Toc2070307"/>
      <w:r w:rsidRPr="00434D22">
        <w:t>Sampling</w:t>
      </w:r>
      <w:bookmarkEnd w:id="41"/>
    </w:p>
    <w:p w14:paraId="197C113B" w14:textId="77777777" w:rsidR="00434D22" w:rsidRDefault="00434D22" w:rsidP="00AC2F3B">
      <w:pPr>
        <w:pStyle w:val="Normal-nospacing"/>
      </w:pPr>
      <w:r>
        <w:t xml:space="preserve">The population of interest in Study One were residents in </w:t>
      </w:r>
      <w:r w:rsidR="008F3708">
        <w:t xml:space="preserve">non-government </w:t>
      </w:r>
      <w:r w:rsidR="00BA6AAB">
        <w:t xml:space="preserve">residential </w:t>
      </w:r>
      <w:r>
        <w:t>aged care facilities</w:t>
      </w:r>
      <w:r w:rsidR="002D7420">
        <w:t xml:space="preserve"> in Australia</w:t>
      </w:r>
      <w:r>
        <w:t>. A stratified two-stage cluster sampling method was adopted. Cluster sampling is a sampling approach used when a population can be divided into groups that are mutually homogen</w:t>
      </w:r>
      <w:r w:rsidR="006A5FA7">
        <w:t>e</w:t>
      </w:r>
      <w:r>
        <w:t xml:space="preserve">ous and internally heterogeneous. A benefit of clustered sampling is that it supports centralised training and coordination of data collection to ensure high quality data. Cluster samples can be further stratified to ensure that important characteristics are adequately represented </w:t>
      </w:r>
      <w:r w:rsidR="00BA6AAB">
        <w:t>with</w:t>
      </w:r>
      <w:r>
        <w:t>in the sample.</w:t>
      </w:r>
    </w:p>
    <w:p w14:paraId="47ADBBA8" w14:textId="77777777" w:rsidR="00434D22" w:rsidRDefault="00434D22" w:rsidP="00AC2F3B">
      <w:pPr>
        <w:pStyle w:val="Normal-nospacing"/>
      </w:pPr>
      <w:r>
        <w:t>The first stage of clustering occurred at the Australian Standard Geographical Classification by Remoteness Area level. Clusters were stratified into three region types; major cities (‘Major cities of Australia’), regional areas (‘Inner regional Australia’ and ‘Outer regional Australia’) and remote areas (‘Remote Australia’ and ‘Very remote Australia’).</w:t>
      </w:r>
      <w:r w:rsidR="00C80B8D">
        <w:t xml:space="preserve"> Using this ap</w:t>
      </w:r>
      <w:r w:rsidR="008B5B22">
        <w:t>proach three geographic regions</w:t>
      </w:r>
      <w:r w:rsidR="00BA6AAB">
        <w:t xml:space="preserve"> </w:t>
      </w:r>
      <w:r w:rsidR="008B5B22">
        <w:t>(</w:t>
      </w:r>
      <w:r w:rsidR="00BA6AAB">
        <w:t>Melbourne, the</w:t>
      </w:r>
      <w:r w:rsidR="008B5B22">
        <w:t xml:space="preserve"> Hunter and Northern Queensland)</w:t>
      </w:r>
      <w:r w:rsidR="00AE7A80">
        <w:t xml:space="preserve"> </w:t>
      </w:r>
      <w:r w:rsidR="00BA6AAB">
        <w:t>were purposively selected</w:t>
      </w:r>
      <w:r>
        <w:t xml:space="preserve"> </w:t>
      </w:r>
      <w:r w:rsidR="00BA6AAB">
        <w:t xml:space="preserve">as the basis from </w:t>
      </w:r>
      <w:r>
        <w:t>which to draw participating residential aged care facilities.</w:t>
      </w:r>
    </w:p>
    <w:p w14:paraId="6F04F0D9" w14:textId="77777777" w:rsidR="008F3708" w:rsidRDefault="00434D22" w:rsidP="00AC2F3B">
      <w:pPr>
        <w:pStyle w:val="Normal-nospacing"/>
      </w:pPr>
      <w:r>
        <w:t>The second stage of clustering occurred at the facility level.</w:t>
      </w:r>
      <w:r w:rsidR="00BA6AAB">
        <w:t xml:space="preserve"> </w:t>
      </w:r>
      <w:r w:rsidR="003D4391">
        <w:t xml:space="preserve">Here, </w:t>
      </w:r>
      <w:r w:rsidR="00BA6AAB">
        <w:t>f</w:t>
      </w:r>
      <w:r>
        <w:t>acilities were further stratified by organisational type (‘</w:t>
      </w:r>
      <w:r w:rsidR="00BA6AAB">
        <w:t>n</w:t>
      </w:r>
      <w:r>
        <w:t xml:space="preserve">ot for </w:t>
      </w:r>
      <w:r w:rsidR="00BA6AAB">
        <w:t>p</w:t>
      </w:r>
      <w:r>
        <w:t>rofit’ and ‘</w:t>
      </w:r>
      <w:r w:rsidR="00BA6AAB">
        <w:t>p</w:t>
      </w:r>
      <w:r>
        <w:t>rivate’) and facility size (‘</w:t>
      </w:r>
      <w:r w:rsidR="00BA6AAB">
        <w:t>l</w:t>
      </w:r>
      <w:r>
        <w:t>arge’, ‘</w:t>
      </w:r>
      <w:r w:rsidR="00BA6AAB">
        <w:t>m</w:t>
      </w:r>
      <w:r>
        <w:t>edium’ and ‘</w:t>
      </w:r>
      <w:r w:rsidR="00BA6AAB">
        <w:t>s</w:t>
      </w:r>
      <w:r>
        <w:t xml:space="preserve">mall’), to ensure that these characteristics were adequately represented in the sample. </w:t>
      </w:r>
      <w:r w:rsidR="00310FDC">
        <w:t xml:space="preserve">This resulted in a determination that </w:t>
      </w:r>
      <w:r>
        <w:t>Study One would require approximately 2</w:t>
      </w:r>
      <w:r w:rsidR="00BA6AAB">
        <w:t>,</w:t>
      </w:r>
      <w:r>
        <w:t>200 residents from 30 facilities to achieve an acceptable margin of error</w:t>
      </w:r>
      <w:r w:rsidR="00BA6AAB">
        <w:t>.</w:t>
      </w:r>
      <w:r w:rsidR="008F3708">
        <w:t xml:space="preserve"> Th</w:t>
      </w:r>
      <w:r w:rsidR="003D4391">
        <w:t>is</w:t>
      </w:r>
      <w:r w:rsidR="008F3708">
        <w:t xml:space="preserve"> sampling process produced an overall sample </w:t>
      </w:r>
      <w:r w:rsidR="00196DCE">
        <w:t>frame</w:t>
      </w:r>
      <w:r w:rsidR="008F3708">
        <w:t xml:space="preserve"> </w:t>
      </w:r>
      <w:r w:rsidR="001E73B5">
        <w:t xml:space="preserve">that included </w:t>
      </w:r>
      <w:r w:rsidR="003D4391">
        <w:t xml:space="preserve">multiple </w:t>
      </w:r>
      <w:r w:rsidR="009E02F9">
        <w:t>facilities</w:t>
      </w:r>
      <w:r w:rsidR="008F3708">
        <w:t xml:space="preserve"> in each cell</w:t>
      </w:r>
      <w:r w:rsidR="00B40077">
        <w:t>.</w:t>
      </w:r>
    </w:p>
    <w:p w14:paraId="2B98A65A" w14:textId="77777777" w:rsidR="007B50A7" w:rsidRDefault="00527717" w:rsidP="0016396F">
      <w:pPr>
        <w:pStyle w:val="Heading3"/>
      </w:pPr>
      <w:r>
        <w:t xml:space="preserve">Site </w:t>
      </w:r>
      <w:r w:rsidRPr="0016396F">
        <w:t>selection</w:t>
      </w:r>
      <w:r w:rsidR="007B50A7">
        <w:t xml:space="preserve"> and </w:t>
      </w:r>
      <w:r w:rsidR="009E02F9">
        <w:t>recruitment</w:t>
      </w:r>
    </w:p>
    <w:p w14:paraId="1A32855E" w14:textId="77777777" w:rsidR="002D7420" w:rsidRDefault="003F2104" w:rsidP="00AC2F3B">
      <w:pPr>
        <w:pStyle w:val="Normal-nospacing"/>
      </w:pPr>
      <w:r w:rsidRPr="003F2104">
        <w:t>Based on the sample frame, t</w:t>
      </w:r>
      <w:r w:rsidR="009C51FC" w:rsidRPr="003F2104">
        <w:t>en f</w:t>
      </w:r>
      <w:r w:rsidR="007B50A7" w:rsidRPr="003F2104">
        <w:t xml:space="preserve">acilities </w:t>
      </w:r>
      <w:r w:rsidR="00D23A05">
        <w:t xml:space="preserve">from each </w:t>
      </w:r>
      <w:r w:rsidRPr="003F2104">
        <w:t xml:space="preserve">geographical cluster </w:t>
      </w:r>
      <w:r w:rsidR="007B50A7" w:rsidRPr="003F2104">
        <w:t>w</w:t>
      </w:r>
      <w:r w:rsidR="00D23A05">
        <w:t xml:space="preserve">ere </w:t>
      </w:r>
      <w:r>
        <w:t xml:space="preserve">selected and </w:t>
      </w:r>
      <w:r w:rsidR="009C51FC" w:rsidRPr="003F2104">
        <w:t xml:space="preserve">formally </w:t>
      </w:r>
      <w:r w:rsidR="007B50A7" w:rsidRPr="003F2104">
        <w:t xml:space="preserve">invited </w:t>
      </w:r>
      <w:r w:rsidR="009C51FC" w:rsidRPr="003F2104">
        <w:t xml:space="preserve">to </w:t>
      </w:r>
      <w:r w:rsidR="007B50A7" w:rsidRPr="003F2104">
        <w:t>participate in Study One. In the small number of cases where a facility declined, a</w:t>
      </w:r>
      <w:r w:rsidR="00560710">
        <w:t>n</w:t>
      </w:r>
      <w:r w:rsidR="00FD44CA">
        <w:t xml:space="preserve">other </w:t>
      </w:r>
      <w:r w:rsidR="007B50A7" w:rsidRPr="003F2104">
        <w:t xml:space="preserve">facility from the </w:t>
      </w:r>
      <w:r w:rsidR="00D23A05">
        <w:t xml:space="preserve">same sampling </w:t>
      </w:r>
      <w:r w:rsidR="007B50A7" w:rsidRPr="003F2104">
        <w:t>cell</w:t>
      </w:r>
      <w:r w:rsidR="00560710">
        <w:t xml:space="preserve"> was invited to participate</w:t>
      </w:r>
      <w:r w:rsidR="002D7420">
        <w:t xml:space="preserve">. </w:t>
      </w:r>
      <w:r w:rsidR="007B50A7" w:rsidRPr="003F2104">
        <w:t xml:space="preserve">Following </w:t>
      </w:r>
      <w:r w:rsidR="00DA589A">
        <w:t xml:space="preserve">acceptance of an invitation, </w:t>
      </w:r>
      <w:r w:rsidR="007B50A7" w:rsidRPr="003F2104">
        <w:t xml:space="preserve">each facility was visited by a senior member of the </w:t>
      </w:r>
      <w:r w:rsidR="002D7420">
        <w:t>project team</w:t>
      </w:r>
      <w:r w:rsidR="00DA589A">
        <w:t xml:space="preserve"> to introduce the study and outline the </w:t>
      </w:r>
      <w:r w:rsidR="00D23A05">
        <w:t xml:space="preserve">various </w:t>
      </w:r>
      <w:r w:rsidR="00DA589A">
        <w:t>tasks to be completed.</w:t>
      </w:r>
    </w:p>
    <w:p w14:paraId="1F33233E" w14:textId="77777777" w:rsidR="000C6E5B" w:rsidRDefault="002D7420" w:rsidP="00AC2F3B">
      <w:pPr>
        <w:pStyle w:val="Normal-nospacing"/>
      </w:pPr>
      <w:r>
        <w:lastRenderedPageBreak/>
        <w:t>At the end of th</w:t>
      </w:r>
      <w:r w:rsidR="005A6E75">
        <w:t>is</w:t>
      </w:r>
      <w:r w:rsidR="006A025A">
        <w:t xml:space="preserve"> selection</w:t>
      </w:r>
      <w:r w:rsidR="005A6E75">
        <w:t xml:space="preserve"> process, </w:t>
      </w:r>
      <w:r>
        <w:t>10 facilities from each of the three geographical areas</w:t>
      </w:r>
      <w:r w:rsidR="005A6E75">
        <w:t xml:space="preserve"> had agreed to participate in </w:t>
      </w:r>
      <w:r w:rsidR="005A6E75" w:rsidRPr="00B951FE">
        <w:t>Study One</w:t>
      </w:r>
      <w:r w:rsidR="0081690E">
        <w:t xml:space="preserve"> </w:t>
      </w:r>
      <w:r w:rsidR="00534F50">
        <w:t>(</w:t>
      </w:r>
      <w:r w:rsidR="00655C02">
        <w:t>refer</w:t>
      </w:r>
      <w:r w:rsidR="007A50E8">
        <w:t xml:space="preserve"> </w:t>
      </w:r>
      <w:r w:rsidR="007A50E8">
        <w:fldChar w:fldCharType="begin"/>
      </w:r>
      <w:r w:rsidR="007A50E8">
        <w:instrText xml:space="preserve"> REF _Ref535396620 \h </w:instrText>
      </w:r>
      <w:r w:rsidR="00AC2F3B">
        <w:instrText xml:space="preserve"> \* MERGEFORMAT </w:instrText>
      </w:r>
      <w:r w:rsidR="007A50E8">
        <w:fldChar w:fldCharType="separate"/>
      </w:r>
      <w:r w:rsidR="00EE18C8" w:rsidRPr="00E83BCA">
        <w:t xml:space="preserve">Appendix </w:t>
      </w:r>
      <w:r w:rsidR="00EE18C8">
        <w:rPr>
          <w:noProof/>
        </w:rPr>
        <w:t>2</w:t>
      </w:r>
      <w:r w:rsidR="007A50E8">
        <w:fldChar w:fldCharType="end"/>
      </w:r>
      <w:r w:rsidR="00B82914">
        <w:t>)</w:t>
      </w:r>
      <w:r w:rsidR="0081690E" w:rsidRPr="006A39F8">
        <w:t xml:space="preserve">. </w:t>
      </w:r>
      <w:r w:rsidR="000C6E5B" w:rsidRPr="00B951FE">
        <w:t>The</w:t>
      </w:r>
      <w:r w:rsidR="000C6E5B">
        <w:t xml:space="preserve"> data collection in </w:t>
      </w:r>
      <w:r w:rsidR="002413C3">
        <w:t xml:space="preserve">each </w:t>
      </w:r>
      <w:r w:rsidR="000C6E5B">
        <w:t>area was staggered between March and June 2018 to allow appropriate levels of support to be provided.</w:t>
      </w:r>
      <w:r w:rsidR="002413C3">
        <w:t xml:space="preserve"> For most facilities, data collection took place </w:t>
      </w:r>
      <w:r w:rsidR="000142F5">
        <w:t xml:space="preserve">during </w:t>
      </w:r>
      <w:r w:rsidR="002413C3">
        <w:t xml:space="preserve">March 2018 (Hunter, NSW), April 2018 (Melbourne) and </w:t>
      </w:r>
      <w:r w:rsidR="001F06D5">
        <w:t>May 2018 (Northern Queensland).</w:t>
      </w:r>
    </w:p>
    <w:p w14:paraId="07DBCEEE" w14:textId="77777777" w:rsidR="0090063A" w:rsidRDefault="0090063A" w:rsidP="00534F50">
      <w:pPr>
        <w:pStyle w:val="Heading2"/>
      </w:pPr>
      <w:bookmarkStart w:id="42" w:name="_Toc2070308"/>
      <w:r>
        <w:t>Clinical data collection design</w:t>
      </w:r>
      <w:bookmarkEnd w:id="42"/>
      <w:r>
        <w:t xml:space="preserve"> </w:t>
      </w:r>
    </w:p>
    <w:p w14:paraId="169E25EE" w14:textId="77777777" w:rsidR="001D163F" w:rsidRDefault="006A025A" w:rsidP="00AC2F3B">
      <w:pPr>
        <w:pStyle w:val="Normal-nospacing"/>
      </w:pPr>
      <w:r>
        <w:t>The development of a</w:t>
      </w:r>
      <w:r w:rsidR="00707CFC">
        <w:t xml:space="preserve"> clinical </w:t>
      </w:r>
      <w:r>
        <w:t xml:space="preserve">assessment instrument </w:t>
      </w:r>
      <w:r w:rsidR="008C6D8A">
        <w:t xml:space="preserve">(RUCS </w:t>
      </w:r>
      <w:r w:rsidR="00B82914">
        <w:t>A</w:t>
      </w:r>
      <w:r w:rsidR="008C6D8A">
        <w:t xml:space="preserve">ssessment </w:t>
      </w:r>
      <w:r w:rsidR="00B82914">
        <w:t>T</w:t>
      </w:r>
      <w:r w:rsidR="008C6D8A">
        <w:t xml:space="preserve">ool) </w:t>
      </w:r>
      <w:r>
        <w:t xml:space="preserve">was a </w:t>
      </w:r>
      <w:r w:rsidR="00707CFC">
        <w:t xml:space="preserve">critically </w:t>
      </w:r>
      <w:r>
        <w:t xml:space="preserve">important element of the </w:t>
      </w:r>
      <w:r w:rsidR="009E02F9">
        <w:t>Study</w:t>
      </w:r>
      <w:r w:rsidR="001D163F">
        <w:t xml:space="preserve"> One </w:t>
      </w:r>
      <w:r w:rsidR="003D5252">
        <w:t>design</w:t>
      </w:r>
      <w:r w:rsidR="00AF2669">
        <w:t xml:space="preserve"> phase</w:t>
      </w:r>
      <w:r w:rsidR="003D5252">
        <w:t xml:space="preserve">. </w:t>
      </w:r>
      <w:r w:rsidR="007A1744">
        <w:t xml:space="preserve">The measures included in the tool (and the assessment process itself) </w:t>
      </w:r>
      <w:r w:rsidR="002727B9">
        <w:t xml:space="preserve">underpin </w:t>
      </w:r>
      <w:r w:rsidR="007A1744">
        <w:t xml:space="preserve">the </w:t>
      </w:r>
      <w:r w:rsidR="003150CD">
        <w:t xml:space="preserve">class to which a resident is </w:t>
      </w:r>
      <w:r w:rsidR="007A1744">
        <w:t>assign</w:t>
      </w:r>
      <w:r w:rsidR="003150CD">
        <w:t>ed</w:t>
      </w:r>
      <w:r w:rsidR="007A1744">
        <w:t xml:space="preserve"> </w:t>
      </w:r>
      <w:r w:rsidR="001E73B5">
        <w:t xml:space="preserve">and </w:t>
      </w:r>
      <w:r w:rsidR="008E60C4">
        <w:t xml:space="preserve">are </w:t>
      </w:r>
      <w:r w:rsidR="007A1744">
        <w:t xml:space="preserve">therefore </w:t>
      </w:r>
      <w:r w:rsidR="008E60C4">
        <w:t xml:space="preserve">critical to the </w:t>
      </w:r>
      <w:r w:rsidR="00954F9D">
        <w:t xml:space="preserve">overall </w:t>
      </w:r>
      <w:r w:rsidR="00AF2669">
        <w:t xml:space="preserve">performance </w:t>
      </w:r>
      <w:r w:rsidR="008E60C4">
        <w:t xml:space="preserve">of the </w:t>
      </w:r>
      <w:r w:rsidR="007A1744">
        <w:t xml:space="preserve">classification and </w:t>
      </w:r>
      <w:r w:rsidR="008E60C4">
        <w:t xml:space="preserve">associated </w:t>
      </w:r>
      <w:r w:rsidR="007A1744">
        <w:t xml:space="preserve">funding model. The objective was to ensure that the tool </w:t>
      </w:r>
      <w:r w:rsidR="00AF2669">
        <w:t xml:space="preserve">accurately </w:t>
      </w:r>
      <w:r w:rsidR="007A1744">
        <w:t>captured those attributes of residents that drive the</w:t>
      </w:r>
      <w:r w:rsidR="00707CFC">
        <w:t>ir</w:t>
      </w:r>
      <w:r w:rsidR="001F06D5">
        <w:t xml:space="preserve"> need for care.</w:t>
      </w:r>
    </w:p>
    <w:p w14:paraId="4C21C80B" w14:textId="77777777" w:rsidR="008C6D8A" w:rsidRDefault="001D163F" w:rsidP="00AC2F3B">
      <w:pPr>
        <w:pStyle w:val="Normal-nospacing"/>
        <w:rPr>
          <w:rFonts w:eastAsia="Calibri"/>
        </w:rPr>
      </w:pPr>
      <w:r>
        <w:t>The</w:t>
      </w:r>
      <w:r w:rsidR="006A025A">
        <w:t xml:space="preserve"> development </w:t>
      </w:r>
      <w:r w:rsidR="00A81860">
        <w:t xml:space="preserve">of the RUCS </w:t>
      </w:r>
      <w:r w:rsidR="00B82914">
        <w:t>A</w:t>
      </w:r>
      <w:r w:rsidR="00A81860">
        <w:t xml:space="preserve">ssessment </w:t>
      </w:r>
      <w:r w:rsidR="00B82914">
        <w:t>T</w:t>
      </w:r>
      <w:r w:rsidR="00A81860">
        <w:t xml:space="preserve">ool </w:t>
      </w:r>
      <w:r w:rsidR="006A025A">
        <w:t xml:space="preserve">was undertaken by the study team and supported </w:t>
      </w:r>
      <w:r w:rsidR="00724FD9">
        <w:t>by</w:t>
      </w:r>
      <w:r w:rsidR="008B5B22">
        <w:t xml:space="preserve"> an i</w:t>
      </w:r>
      <w:r w:rsidR="00AE7A80">
        <w:t>nternational literature review.</w:t>
      </w:r>
      <w:r w:rsidR="008B5B22">
        <w:t xml:space="preserve"> It was guided by </w:t>
      </w:r>
      <w:r w:rsidR="006A025A">
        <w:t>four</w:t>
      </w:r>
      <w:r w:rsidR="008B5B22">
        <w:t xml:space="preserve"> expert</w:t>
      </w:r>
      <w:r w:rsidR="006A025A">
        <w:t xml:space="preserve"> clinica</w:t>
      </w:r>
      <w:r w:rsidR="006A025A" w:rsidRPr="00140B0A">
        <w:t xml:space="preserve">l </w:t>
      </w:r>
      <w:r w:rsidR="008C6D8A" w:rsidRPr="00140B0A">
        <w:t xml:space="preserve">advisory </w:t>
      </w:r>
      <w:r w:rsidR="006A025A" w:rsidRPr="00140B0A">
        <w:t>panels</w:t>
      </w:r>
      <w:r w:rsidR="007929AA" w:rsidRPr="00140B0A">
        <w:t xml:space="preserve">. </w:t>
      </w:r>
      <w:r w:rsidR="008C6D8A" w:rsidRPr="00140B0A">
        <w:t>The</w:t>
      </w:r>
      <w:r w:rsidR="001A73A9" w:rsidRPr="00140B0A">
        <w:t>se</w:t>
      </w:r>
      <w:r w:rsidR="008C6D8A" w:rsidRPr="00140B0A">
        <w:t xml:space="preserve"> panels</w:t>
      </w:r>
      <w:r w:rsidR="001A73A9" w:rsidRPr="00140B0A">
        <w:t>, which compris</w:t>
      </w:r>
      <w:r w:rsidR="00A81860" w:rsidRPr="00140B0A">
        <w:t>ed</w:t>
      </w:r>
      <w:r w:rsidR="001A73A9" w:rsidRPr="00140B0A">
        <w:t xml:space="preserve"> more than </w:t>
      </w:r>
      <w:r w:rsidR="002714AE">
        <w:t>3</w:t>
      </w:r>
      <w:r w:rsidR="001A73A9" w:rsidRPr="00140B0A">
        <w:t>0 expert clin</w:t>
      </w:r>
      <w:r w:rsidR="001A73A9">
        <w:t xml:space="preserve">icians, </w:t>
      </w:r>
      <w:r w:rsidR="008C6D8A">
        <w:t xml:space="preserve">were </w:t>
      </w:r>
      <w:r w:rsidR="008C6D8A" w:rsidRPr="00F5604D">
        <w:rPr>
          <w:rFonts w:eastAsia="Calibri"/>
        </w:rPr>
        <w:t xml:space="preserve">focussed </w:t>
      </w:r>
      <w:r w:rsidR="008C6D8A">
        <w:rPr>
          <w:rFonts w:eastAsia="Calibri"/>
        </w:rPr>
        <w:t xml:space="preserve">on </w:t>
      </w:r>
      <w:r w:rsidR="008C6D8A" w:rsidRPr="00F5604D">
        <w:rPr>
          <w:rFonts w:eastAsia="Calibri"/>
        </w:rPr>
        <w:t>the four key areas of resident care</w:t>
      </w:r>
      <w:r w:rsidR="001F06D5">
        <w:rPr>
          <w:rFonts w:eastAsia="Calibri"/>
        </w:rPr>
        <w:t>:</w:t>
      </w:r>
    </w:p>
    <w:p w14:paraId="47042AC2" w14:textId="77777777" w:rsidR="0090063A" w:rsidRPr="009E07BD" w:rsidRDefault="00724FD9" w:rsidP="009E07BD">
      <w:pPr>
        <w:pStyle w:val="Bullets"/>
      </w:pPr>
      <w:r w:rsidRPr="009E07BD">
        <w:t>f</w:t>
      </w:r>
      <w:r w:rsidR="0090063A" w:rsidRPr="009E07BD">
        <w:t>u</w:t>
      </w:r>
      <w:r w:rsidR="001F06D5">
        <w:t>nction, cognition and behaviour</w:t>
      </w:r>
    </w:p>
    <w:p w14:paraId="05E92960" w14:textId="77777777" w:rsidR="0090063A" w:rsidRPr="009E07BD" w:rsidRDefault="00724FD9" w:rsidP="009E07BD">
      <w:pPr>
        <w:pStyle w:val="Bullets"/>
      </w:pPr>
      <w:r w:rsidRPr="009E07BD">
        <w:t>w</w:t>
      </w:r>
      <w:r w:rsidR="001F06D5">
        <w:t>ound management</w:t>
      </w:r>
    </w:p>
    <w:p w14:paraId="5CE4F3A2" w14:textId="77777777" w:rsidR="0090063A" w:rsidRPr="009E07BD" w:rsidRDefault="00724FD9" w:rsidP="009E07BD">
      <w:pPr>
        <w:pStyle w:val="Bullets"/>
      </w:pPr>
      <w:r w:rsidRPr="009E07BD">
        <w:t>e</w:t>
      </w:r>
      <w:r w:rsidR="0090063A" w:rsidRPr="009E07BD">
        <w:t xml:space="preserve">nd of life </w:t>
      </w:r>
      <w:r w:rsidR="008C6D8A" w:rsidRPr="009E07BD">
        <w:t>care</w:t>
      </w:r>
    </w:p>
    <w:p w14:paraId="56636AB0" w14:textId="77777777" w:rsidR="0090063A" w:rsidRPr="009E07BD" w:rsidRDefault="00724FD9" w:rsidP="009E07BD">
      <w:pPr>
        <w:pStyle w:val="Bullets"/>
      </w:pPr>
      <w:r w:rsidRPr="009E07BD">
        <w:t>t</w:t>
      </w:r>
      <w:r w:rsidR="0090063A" w:rsidRPr="009E07BD">
        <w:t>echnical nursing</w:t>
      </w:r>
      <w:r w:rsidR="008C6D8A" w:rsidRPr="009E07BD">
        <w:t xml:space="preserve"> </w:t>
      </w:r>
      <w:r w:rsidR="00534F50" w:rsidRPr="009E07BD">
        <w:t>care.</w:t>
      </w:r>
    </w:p>
    <w:p w14:paraId="3F00BDCD" w14:textId="77777777" w:rsidR="004E7CC4" w:rsidRDefault="00064D9A" w:rsidP="004E7CC4">
      <w:pPr>
        <w:spacing w:before="120" w:after="120"/>
      </w:pPr>
      <w:r>
        <w:t>The design of the assessment tool involved identifying domains that were potential drivers of individual care needs, and selecting suitable assessment tools to measure th</w:t>
      </w:r>
      <w:r w:rsidR="00A81860">
        <w:t>ose domains.</w:t>
      </w:r>
      <w:r w:rsidR="004E7CC4">
        <w:t xml:space="preserve"> The selection of tools </w:t>
      </w:r>
      <w:r w:rsidR="001E73B5">
        <w:t xml:space="preserve">and items </w:t>
      </w:r>
      <w:r w:rsidR="004E7CC4">
        <w:t>was guided by the following criteria:</w:t>
      </w:r>
    </w:p>
    <w:p w14:paraId="1A7E2F7A" w14:textId="77777777" w:rsidR="004E7CC4" w:rsidRDefault="00707CFC" w:rsidP="004E7CC4">
      <w:pPr>
        <w:pStyle w:val="Bullets"/>
      </w:pPr>
      <w:r>
        <w:t xml:space="preserve">the tool was </w:t>
      </w:r>
      <w:r w:rsidR="004E7CC4">
        <w:t>su</w:t>
      </w:r>
      <w:r w:rsidR="00F16ECA">
        <w:t>itable for external assessment</w:t>
      </w:r>
    </w:p>
    <w:p w14:paraId="75F0122A" w14:textId="77777777" w:rsidR="004E7CC4" w:rsidRDefault="00707CFC" w:rsidP="004E7CC4">
      <w:pPr>
        <w:pStyle w:val="Bullets"/>
      </w:pPr>
      <w:r>
        <w:t xml:space="preserve">the tool was </w:t>
      </w:r>
      <w:r w:rsidR="004E7CC4">
        <w:t>able to be completed in one session, with</w:t>
      </w:r>
      <w:r w:rsidR="001F06D5">
        <w:t xml:space="preserve"> minimal burden to the resident</w:t>
      </w:r>
    </w:p>
    <w:p w14:paraId="15F5D3F7" w14:textId="77777777" w:rsidR="004E7CC4" w:rsidRDefault="00707CFC" w:rsidP="004E7CC4">
      <w:pPr>
        <w:pStyle w:val="Bullets"/>
      </w:pPr>
      <w:r>
        <w:t xml:space="preserve">the tool was </w:t>
      </w:r>
      <w:r w:rsidR="004E7CC4">
        <w:t>appropriate for external or internal use for reassessment purposes</w:t>
      </w:r>
    </w:p>
    <w:p w14:paraId="12D16434" w14:textId="77777777" w:rsidR="004E7CC4" w:rsidRDefault="00707CFC" w:rsidP="004E7CC4">
      <w:pPr>
        <w:pStyle w:val="Bullets"/>
      </w:pPr>
      <w:r>
        <w:t xml:space="preserve">the tool was </w:t>
      </w:r>
      <w:r w:rsidR="004E7CC4">
        <w:t>psychometrically sound</w:t>
      </w:r>
    </w:p>
    <w:p w14:paraId="05FDDE95" w14:textId="77777777" w:rsidR="008B5B22" w:rsidRDefault="008B5B22" w:rsidP="004E7CC4">
      <w:pPr>
        <w:pStyle w:val="Bullets"/>
      </w:pPr>
      <w:r>
        <w:t>instruments incorporated in the tool were not subject to royalty or copyright restrictions.</w:t>
      </w:r>
    </w:p>
    <w:p w14:paraId="7750BCBD" w14:textId="77777777" w:rsidR="00A63BE1" w:rsidRDefault="007A1744" w:rsidP="00AC2F3B">
      <w:pPr>
        <w:pStyle w:val="Normal-nospacing"/>
      </w:pPr>
      <w:r>
        <w:t xml:space="preserve">In selecting </w:t>
      </w:r>
      <w:r w:rsidR="001E73B5">
        <w:t xml:space="preserve">individual </w:t>
      </w:r>
      <w:r w:rsidR="008B5B22">
        <w:t>instruments</w:t>
      </w:r>
      <w:r w:rsidR="004E7CC4">
        <w:t xml:space="preserve">, </w:t>
      </w:r>
      <w:r>
        <w:t xml:space="preserve">it was also important to </w:t>
      </w:r>
      <w:r w:rsidR="004E7CC4">
        <w:t>be mi</w:t>
      </w:r>
      <w:r w:rsidR="003B642E">
        <w:t>n</w:t>
      </w:r>
      <w:r w:rsidR="004E7CC4">
        <w:t xml:space="preserve">dful of </w:t>
      </w:r>
      <w:r>
        <w:t>the agreed RUCS design p</w:t>
      </w:r>
      <w:r w:rsidR="00707CFC">
        <w:t xml:space="preserve">arameters </w:t>
      </w:r>
      <w:r>
        <w:t xml:space="preserve">(listed above). For example, </w:t>
      </w:r>
      <w:r w:rsidR="00AB4DD8">
        <w:t xml:space="preserve">knowing </w:t>
      </w:r>
      <w:r w:rsidR="009E02F9">
        <w:t>assessment</w:t>
      </w:r>
      <w:r>
        <w:t xml:space="preserve"> for funding </w:t>
      </w:r>
      <w:r w:rsidR="00AB4DD8">
        <w:t xml:space="preserve">purposes </w:t>
      </w:r>
      <w:r>
        <w:t>will be separate</w:t>
      </w:r>
      <w:r w:rsidR="00AB4DD8">
        <w:t>d</w:t>
      </w:r>
      <w:r>
        <w:t xml:space="preserve"> from assessment for care planning </w:t>
      </w:r>
      <w:r w:rsidR="00AB4DD8">
        <w:t xml:space="preserve">purposes </w:t>
      </w:r>
      <w:r>
        <w:t xml:space="preserve">allowed the tool to be less comprehensive than would otherwise be required. </w:t>
      </w:r>
      <w:r w:rsidR="004E7CC4">
        <w:t xml:space="preserve">Similarly, </w:t>
      </w:r>
      <w:r>
        <w:t>it was important to be mindful of not including any specific measures that would be likely to lead to perverse incentives being included in a subsequent funding model.</w:t>
      </w:r>
    </w:p>
    <w:p w14:paraId="6F658ADB" w14:textId="77777777" w:rsidR="003B642E" w:rsidRDefault="00712F6F" w:rsidP="00AC2F3B">
      <w:pPr>
        <w:pStyle w:val="Normal-nospacing"/>
      </w:pPr>
      <w:r w:rsidRPr="008E60C4">
        <w:t>It was recognised that some overlap existed between tools</w:t>
      </w:r>
      <w:r w:rsidR="00840F3F">
        <w:t xml:space="preserve">, </w:t>
      </w:r>
      <w:r w:rsidRPr="008E60C4">
        <w:t xml:space="preserve">sub-scales and individual items. This approach was </w:t>
      </w:r>
      <w:r w:rsidR="004E7CC4">
        <w:t xml:space="preserve">adopted </w:t>
      </w:r>
      <w:r w:rsidR="003B642E">
        <w:t xml:space="preserve">deliberately </w:t>
      </w:r>
      <w:r w:rsidRPr="008E60C4">
        <w:t>to allow the study to asses</w:t>
      </w:r>
      <w:r w:rsidR="008B5B22">
        <w:t>s</w:t>
      </w:r>
      <w:r w:rsidRPr="008E60C4">
        <w:t xml:space="preserve"> which tools and items were most useful at identifying the characteristics of residents that drive </w:t>
      </w:r>
      <w:r w:rsidR="004E7CC4">
        <w:t>care c</w:t>
      </w:r>
      <w:r w:rsidRPr="008E60C4">
        <w:t>ost</w:t>
      </w:r>
      <w:r w:rsidR="004E7CC4">
        <w:t>s</w:t>
      </w:r>
      <w:r w:rsidRPr="008E60C4">
        <w:t>.</w:t>
      </w:r>
      <w:r w:rsidR="003B642E">
        <w:t xml:space="preserve"> The tool was structured s</w:t>
      </w:r>
      <w:r w:rsidR="00AB4DD8">
        <w:t xml:space="preserve">o </w:t>
      </w:r>
      <w:r w:rsidR="003B642E">
        <w:t>that residents identified as meeting the definition of being palliative</w:t>
      </w:r>
      <w:r w:rsidR="008B5B22">
        <w:t xml:space="preserve"> care</w:t>
      </w:r>
      <w:r w:rsidR="003B642E">
        <w:t xml:space="preserve"> </w:t>
      </w:r>
      <w:r w:rsidR="003B642E">
        <w:lastRenderedPageBreak/>
        <w:t xml:space="preserve">were excluded from any further assessment. </w:t>
      </w:r>
      <w:r w:rsidR="00ED3ABA">
        <w:t>The tool was also designed so that it could be completed by an external assessor with appropriate clinical skills and expe</w:t>
      </w:r>
      <w:r w:rsidR="001F06D5">
        <w:t>rience in the aged care sector.</w:t>
      </w:r>
    </w:p>
    <w:p w14:paraId="258CD87D" w14:textId="77777777" w:rsidR="00064D9A" w:rsidRPr="00AF3210" w:rsidRDefault="00064D9A" w:rsidP="0016396F">
      <w:pPr>
        <w:pStyle w:val="Heading3"/>
      </w:pPr>
      <w:r>
        <w:t>Pilot testing</w:t>
      </w:r>
      <w:r w:rsidR="008C59BC">
        <w:t xml:space="preserve"> the RUCS Assessment Tool</w:t>
      </w:r>
    </w:p>
    <w:p w14:paraId="275A00AA" w14:textId="77777777" w:rsidR="008C59BC" w:rsidRDefault="00AB4DD8" w:rsidP="007F5D49">
      <w:pPr>
        <w:spacing w:before="120" w:after="120"/>
      </w:pPr>
      <w:r>
        <w:t>In February 2018, t</w:t>
      </w:r>
      <w:r w:rsidR="00064D9A">
        <w:t xml:space="preserve">he </w:t>
      </w:r>
      <w:r w:rsidR="00840F3F">
        <w:t xml:space="preserve">draft RUCS </w:t>
      </w:r>
      <w:r w:rsidR="00B82914">
        <w:t>A</w:t>
      </w:r>
      <w:r w:rsidR="00840F3F">
        <w:t xml:space="preserve">ssessment </w:t>
      </w:r>
      <w:r w:rsidR="00B82914">
        <w:t>T</w:t>
      </w:r>
      <w:r w:rsidR="00840F3F">
        <w:t>ool and associated training material</w:t>
      </w:r>
      <w:r>
        <w:t>s</w:t>
      </w:r>
      <w:r w:rsidR="00840F3F">
        <w:t xml:space="preserve"> w</w:t>
      </w:r>
      <w:r>
        <w:t>ere</w:t>
      </w:r>
      <w:r w:rsidR="00840F3F">
        <w:t xml:space="preserve"> piloted by </w:t>
      </w:r>
      <w:r w:rsidR="001A73A9">
        <w:t>I</w:t>
      </w:r>
      <w:r w:rsidR="00064D9A">
        <w:t>RT, a</w:t>
      </w:r>
      <w:r w:rsidR="008B5B22">
        <w:t xml:space="preserve"> </w:t>
      </w:r>
      <w:r w:rsidR="00064D9A">
        <w:t>provider of residential and community care</w:t>
      </w:r>
      <w:r w:rsidR="008B5B22">
        <w:t xml:space="preserve"> centred in the Illawarra</w:t>
      </w:r>
      <w:r w:rsidR="00064D9A">
        <w:t>.</w:t>
      </w:r>
      <w:r w:rsidR="008C59BC">
        <w:t xml:space="preserve"> T</w:t>
      </w:r>
      <w:r w:rsidR="00064D9A">
        <w:t xml:space="preserve">he aim of the pilot </w:t>
      </w:r>
      <w:r w:rsidR="005D2511">
        <w:t xml:space="preserve">was </w:t>
      </w:r>
      <w:r w:rsidR="00064D9A">
        <w:t>to test the tool for its useability, including</w:t>
      </w:r>
      <w:r w:rsidR="008C59BC">
        <w:t>:</w:t>
      </w:r>
    </w:p>
    <w:p w14:paraId="42D837A6" w14:textId="77777777" w:rsidR="008C59BC" w:rsidRPr="00CF26D2" w:rsidRDefault="00064D9A" w:rsidP="00CF26D2">
      <w:pPr>
        <w:pStyle w:val="Bullets"/>
      </w:pPr>
      <w:r w:rsidRPr="00CF26D2">
        <w:t>the length of time that it took assessors to gather informat</w:t>
      </w:r>
      <w:r w:rsidR="001F06D5">
        <w:t>ion and complete the assessment</w:t>
      </w:r>
    </w:p>
    <w:p w14:paraId="7BDBB67D" w14:textId="77777777" w:rsidR="008C59BC" w:rsidRPr="00CF26D2" w:rsidRDefault="00064D9A" w:rsidP="00CF26D2">
      <w:pPr>
        <w:pStyle w:val="Bullets"/>
      </w:pPr>
      <w:r w:rsidRPr="00CF26D2">
        <w:t xml:space="preserve">to identify factors that impacted on assessor confidence in their </w:t>
      </w:r>
      <w:r w:rsidR="001F06D5">
        <w:t>ratings of residents</w:t>
      </w:r>
    </w:p>
    <w:p w14:paraId="36F4DBC9" w14:textId="77777777" w:rsidR="008C59BC" w:rsidRPr="00CF26D2" w:rsidRDefault="008B5B22" w:rsidP="00CF26D2">
      <w:pPr>
        <w:pStyle w:val="Bullets"/>
      </w:pPr>
      <w:r>
        <w:t>to ensure the assessment did no</w:t>
      </w:r>
      <w:r w:rsidR="001F06D5">
        <w:t>t cause distress to residents</w:t>
      </w:r>
    </w:p>
    <w:p w14:paraId="6AA089F4" w14:textId="77777777" w:rsidR="008C59BC" w:rsidRDefault="009E02F9" w:rsidP="00CF26D2">
      <w:pPr>
        <w:pStyle w:val="Bullets"/>
      </w:pPr>
      <w:r w:rsidRPr="00CF26D2">
        <w:t>to</w:t>
      </w:r>
      <w:r w:rsidR="00064D9A" w:rsidRPr="00CF26D2">
        <w:t xml:space="preserve"> suggest</w:t>
      </w:r>
      <w:r w:rsidR="00064D9A">
        <w:t xml:space="preserve"> improvements to the training materials.</w:t>
      </w:r>
    </w:p>
    <w:p w14:paraId="2BD950F9" w14:textId="77777777" w:rsidR="00064D9A" w:rsidRDefault="00064D9A" w:rsidP="00AC2F3B">
      <w:pPr>
        <w:pStyle w:val="Normal-nospacing"/>
      </w:pPr>
      <w:r>
        <w:t xml:space="preserve">A hard copy version of the tool was prepared for the </w:t>
      </w:r>
      <w:r w:rsidR="003B642E">
        <w:t xml:space="preserve">pilot </w:t>
      </w:r>
      <w:r>
        <w:t>to ensure that content of the tool was tested and refined prior to the develop</w:t>
      </w:r>
      <w:r w:rsidR="001F06D5">
        <w:t>ment of the electronic version.</w:t>
      </w:r>
    </w:p>
    <w:p w14:paraId="4B04398C" w14:textId="77777777" w:rsidR="00AB4DD8" w:rsidRDefault="00064D9A" w:rsidP="00AC2F3B">
      <w:pPr>
        <w:pStyle w:val="Normal-nospacing"/>
      </w:pPr>
      <w:r>
        <w:t xml:space="preserve">The pilot took place in </w:t>
      </w:r>
      <w:r w:rsidR="00CD22D3">
        <w:t xml:space="preserve">three </w:t>
      </w:r>
      <w:r w:rsidRPr="00774F97">
        <w:t>IRT</w:t>
      </w:r>
      <w:r>
        <w:t xml:space="preserve"> </w:t>
      </w:r>
      <w:r w:rsidR="00AB4DD8">
        <w:t xml:space="preserve">facilities </w:t>
      </w:r>
      <w:r>
        <w:t xml:space="preserve">in the Illawarra with </w:t>
      </w:r>
      <w:r w:rsidR="007D3824">
        <w:t xml:space="preserve">six </w:t>
      </w:r>
      <w:r>
        <w:t xml:space="preserve">assessors </w:t>
      </w:r>
      <w:r w:rsidR="00AB4DD8">
        <w:t xml:space="preserve">each completing 30 assessments. The assessments were structured to </w:t>
      </w:r>
      <w:r>
        <w:t>simulat</w:t>
      </w:r>
      <w:r w:rsidR="00AB4DD8">
        <w:t>e</w:t>
      </w:r>
      <w:r>
        <w:t xml:space="preserve"> the experience of an external assess</w:t>
      </w:r>
      <w:r w:rsidR="00AB4DD8">
        <w:t xml:space="preserve">ment process by ensuring they were completed </w:t>
      </w:r>
      <w:r>
        <w:t xml:space="preserve">in care homes other than where the </w:t>
      </w:r>
      <w:r w:rsidR="00AB4DD8">
        <w:t xml:space="preserve">assessor </w:t>
      </w:r>
      <w:r>
        <w:t>usually worked.</w:t>
      </w:r>
    </w:p>
    <w:p w14:paraId="7C208892" w14:textId="77777777" w:rsidR="00AB4DD8" w:rsidRDefault="003013DB" w:rsidP="00AC2F3B">
      <w:pPr>
        <w:pStyle w:val="Normal-nospacing"/>
        <w:rPr>
          <w:rFonts w:eastAsia="Calibri"/>
        </w:rPr>
      </w:pPr>
      <w:r>
        <w:rPr>
          <w:rFonts w:eastAsia="Calibri"/>
        </w:rPr>
        <w:t xml:space="preserve">Based on feedback received during the pilot, a set of refinements were made to the </w:t>
      </w:r>
      <w:r w:rsidR="00774F97">
        <w:rPr>
          <w:rFonts w:eastAsia="Calibri"/>
        </w:rPr>
        <w:t xml:space="preserve">layout and structure of the tool and </w:t>
      </w:r>
      <w:r w:rsidR="007F5D49">
        <w:rPr>
          <w:rFonts w:eastAsia="Calibri"/>
        </w:rPr>
        <w:t xml:space="preserve">the </w:t>
      </w:r>
      <w:r w:rsidR="00774F97">
        <w:rPr>
          <w:rFonts w:eastAsia="Calibri"/>
        </w:rPr>
        <w:t xml:space="preserve">associated </w:t>
      </w:r>
      <w:r>
        <w:rPr>
          <w:rFonts w:eastAsia="Calibri"/>
        </w:rPr>
        <w:t>training materials.</w:t>
      </w:r>
      <w:r w:rsidR="00774F97">
        <w:rPr>
          <w:rFonts w:eastAsia="Calibri"/>
        </w:rPr>
        <w:t xml:space="preserve"> </w:t>
      </w:r>
      <w:r>
        <w:rPr>
          <w:rFonts w:eastAsia="Calibri"/>
        </w:rPr>
        <w:t>At the completion of the development process, the study team and the clinical advisory panel</w:t>
      </w:r>
      <w:r w:rsidR="003150CD">
        <w:rPr>
          <w:rFonts w:eastAsia="Calibri"/>
        </w:rPr>
        <w:t xml:space="preserve"> members </w:t>
      </w:r>
      <w:r>
        <w:rPr>
          <w:rFonts w:eastAsia="Calibri"/>
        </w:rPr>
        <w:t xml:space="preserve">were </w:t>
      </w:r>
      <w:r w:rsidR="003150CD">
        <w:rPr>
          <w:rFonts w:eastAsia="Calibri"/>
        </w:rPr>
        <w:t xml:space="preserve">satisfied that the tool was </w:t>
      </w:r>
      <w:r w:rsidR="00774F97">
        <w:rPr>
          <w:rFonts w:eastAsia="Calibri"/>
        </w:rPr>
        <w:t xml:space="preserve">sufficiently well-developed </w:t>
      </w:r>
      <w:r w:rsidR="00AB4DD8">
        <w:rPr>
          <w:rFonts w:eastAsia="Calibri"/>
        </w:rPr>
        <w:t xml:space="preserve">to be applied </w:t>
      </w:r>
      <w:r w:rsidR="003150CD">
        <w:rPr>
          <w:rFonts w:eastAsia="Calibri"/>
        </w:rPr>
        <w:t>in the data collection phase of the study</w:t>
      </w:r>
      <w:r w:rsidR="00CF26D2">
        <w:rPr>
          <w:rFonts w:eastAsia="Calibri"/>
        </w:rPr>
        <w:t>.</w:t>
      </w:r>
    </w:p>
    <w:p w14:paraId="07244BA5" w14:textId="77777777" w:rsidR="007F5D49" w:rsidRDefault="007F5D49" w:rsidP="00AC2F3B">
      <w:pPr>
        <w:pStyle w:val="Normal-nospacing"/>
        <w:rPr>
          <w:rFonts w:eastAsia="Calibri"/>
        </w:rPr>
      </w:pPr>
      <w:r>
        <w:rPr>
          <w:rFonts w:eastAsia="Calibri"/>
        </w:rPr>
        <w:t xml:space="preserve">The final RUCS Assessment Tool comprised the suite of seven existing tools listed below plus additional items related to </w:t>
      </w:r>
      <w:r>
        <w:t xml:space="preserve">palliative care, frailty and technical nursing requirements. </w:t>
      </w:r>
      <w:r w:rsidRPr="007F5D49">
        <w:t xml:space="preserve">A description of the characteristics of each tool is </w:t>
      </w:r>
      <w:r>
        <w:t xml:space="preserve">included </w:t>
      </w:r>
      <w:r w:rsidRPr="007F5D49">
        <w:t>in Section 5.</w:t>
      </w:r>
      <w:r>
        <w:t xml:space="preserve"> </w:t>
      </w:r>
      <w:r>
        <w:rPr>
          <w:rFonts w:eastAsia="Calibri"/>
        </w:rPr>
        <w:t xml:space="preserve">The complete RUCS </w:t>
      </w:r>
      <w:r w:rsidR="00B82914">
        <w:rPr>
          <w:rFonts w:eastAsia="Calibri"/>
        </w:rPr>
        <w:t>A</w:t>
      </w:r>
      <w:r>
        <w:rPr>
          <w:rFonts w:eastAsia="Calibri"/>
        </w:rPr>
        <w:t xml:space="preserve">ssessment </w:t>
      </w:r>
      <w:r w:rsidR="00B82914">
        <w:rPr>
          <w:rFonts w:eastAsia="Calibri"/>
        </w:rPr>
        <w:t>T</w:t>
      </w:r>
      <w:r>
        <w:rPr>
          <w:rFonts w:eastAsia="Calibri"/>
        </w:rPr>
        <w:t xml:space="preserve">ool as implemented in Study One </w:t>
      </w:r>
      <w:r w:rsidR="00534F50">
        <w:rPr>
          <w:rFonts w:eastAsia="Calibri"/>
        </w:rPr>
        <w:t xml:space="preserve">is </w:t>
      </w:r>
      <w:r w:rsidR="008B5B22">
        <w:rPr>
          <w:rFonts w:eastAsia="Calibri"/>
        </w:rPr>
        <w:t>included in Report 7</w:t>
      </w:r>
      <w:r w:rsidR="00AE7A80">
        <w:rPr>
          <w:rFonts w:eastAsia="Calibri"/>
        </w:rPr>
        <w:t>.</w:t>
      </w:r>
      <w:r w:rsidR="008B5B22">
        <w:rPr>
          <w:rFonts w:eastAsia="Calibri"/>
        </w:rPr>
        <w:t xml:space="preserve"> Key instruments within the tool included:</w:t>
      </w:r>
    </w:p>
    <w:p w14:paraId="16769D22" w14:textId="77777777" w:rsidR="007F5D49" w:rsidRDefault="007F5D49" w:rsidP="009E07BD">
      <w:pPr>
        <w:pStyle w:val="Bullets"/>
      </w:pPr>
      <w:r>
        <w:t>The Resource Utilisation Groups – Activities of Daily Living (RUG-ADL)</w:t>
      </w:r>
    </w:p>
    <w:p w14:paraId="5F76F0EC" w14:textId="77777777" w:rsidR="007F5D49" w:rsidRDefault="007F5D49" w:rsidP="009E07BD">
      <w:pPr>
        <w:pStyle w:val="Bullets"/>
      </w:pPr>
      <w:r>
        <w:t xml:space="preserve">The </w:t>
      </w:r>
      <w:r w:rsidRPr="007F5D49">
        <w:t>Australia-</w:t>
      </w:r>
      <w:r w:rsidR="00534F50">
        <w:t>m</w:t>
      </w:r>
      <w:r w:rsidRPr="007F5D49">
        <w:t>odified Karn</w:t>
      </w:r>
      <w:r w:rsidR="00AE7A80">
        <w:t>of</w:t>
      </w:r>
      <w:r w:rsidRPr="007F5D49">
        <w:t>sky Performance S</w:t>
      </w:r>
      <w:r w:rsidR="003B75B6">
        <w:t>tatus</w:t>
      </w:r>
      <w:r w:rsidRPr="007F5D49">
        <w:t xml:space="preserve"> (AKPS)</w:t>
      </w:r>
    </w:p>
    <w:p w14:paraId="71058A30" w14:textId="77777777" w:rsidR="007F5D49" w:rsidRDefault="008B5B22" w:rsidP="009E07BD">
      <w:pPr>
        <w:pStyle w:val="Bullets"/>
      </w:pPr>
      <w:r>
        <w:t xml:space="preserve">The Rockwood </w:t>
      </w:r>
      <w:r w:rsidR="00534F50">
        <w:t xml:space="preserve">Clinical </w:t>
      </w:r>
      <w:r>
        <w:t>F</w:t>
      </w:r>
      <w:r w:rsidR="007F5D49">
        <w:t xml:space="preserve">railty </w:t>
      </w:r>
      <w:r w:rsidR="00B82914">
        <w:t>Scale</w:t>
      </w:r>
    </w:p>
    <w:p w14:paraId="7C934852" w14:textId="77777777" w:rsidR="007F5D49" w:rsidRDefault="007F5D49" w:rsidP="009E07BD">
      <w:pPr>
        <w:pStyle w:val="Bullets"/>
      </w:pPr>
      <w:r>
        <w:t>The Braden Scale</w:t>
      </w:r>
    </w:p>
    <w:p w14:paraId="394A7FC7" w14:textId="77777777" w:rsidR="007F5D49" w:rsidRDefault="007F5D49" w:rsidP="009E07BD">
      <w:pPr>
        <w:pStyle w:val="Bullets"/>
      </w:pPr>
      <w:r>
        <w:t>The De Morton Mobility Index (DEMMI)</w:t>
      </w:r>
    </w:p>
    <w:p w14:paraId="7A14D739" w14:textId="77777777" w:rsidR="007F5D49" w:rsidRDefault="007F5D49" w:rsidP="009E07BD">
      <w:pPr>
        <w:pStyle w:val="Bullets"/>
      </w:pPr>
      <w:r>
        <w:t xml:space="preserve">The </w:t>
      </w:r>
      <w:r w:rsidR="00F067AF">
        <w:t>Australian</w:t>
      </w:r>
      <w:r w:rsidR="003B75B6">
        <w:t xml:space="preserve"> M</w:t>
      </w:r>
      <w:r w:rsidR="00F067AF">
        <w:t xml:space="preserve">odified </w:t>
      </w:r>
      <w:r>
        <w:t>Functional Independence Measure (</w:t>
      </w:r>
      <w:r w:rsidR="00F067AF">
        <w:t>AM-</w:t>
      </w:r>
      <w:r>
        <w:t>FIM)</w:t>
      </w:r>
    </w:p>
    <w:p w14:paraId="0C918F0F" w14:textId="77777777" w:rsidR="007F5D49" w:rsidRDefault="007F5D49" w:rsidP="009E07BD">
      <w:pPr>
        <w:pStyle w:val="Bullets"/>
      </w:pPr>
      <w:r>
        <w:t>Neuropsychi</w:t>
      </w:r>
      <w:r w:rsidR="00F067AF">
        <w:t>atric Inventory – Nursing Home v</w:t>
      </w:r>
      <w:r>
        <w:t>ersion (NPI-NH).</w:t>
      </w:r>
    </w:p>
    <w:p w14:paraId="4729F4E9" w14:textId="77777777" w:rsidR="002F23F9" w:rsidRDefault="00AE273C" w:rsidP="00534F50">
      <w:pPr>
        <w:pStyle w:val="Heading2"/>
      </w:pPr>
      <w:bookmarkStart w:id="43" w:name="_Toc2070309"/>
      <w:r>
        <w:lastRenderedPageBreak/>
        <w:t>Service utilisation data collection design</w:t>
      </w:r>
      <w:bookmarkEnd w:id="43"/>
    </w:p>
    <w:p w14:paraId="2FA56CE8" w14:textId="77777777" w:rsidR="00823AFB" w:rsidRDefault="00C17D8B" w:rsidP="00AC2F3B">
      <w:pPr>
        <w:pStyle w:val="Normal-nospacing"/>
      </w:pPr>
      <w:r>
        <w:t>The service utilisation (staff time) data collection was a critical element of the Study One design process. Given the significant proportion of total cost that salary expenditure represents</w:t>
      </w:r>
      <w:r w:rsidR="00B51577">
        <w:t xml:space="preserve"> for aged care facilities</w:t>
      </w:r>
      <w:r>
        <w:t>, great emphasis was placed on developing a study protocol that would result in comprehensive and accurate data being collected. It was equally important to be mindful of the imposition that th</w:t>
      </w:r>
      <w:r w:rsidR="001F06D5">
        <w:t>e process could place on staff.</w:t>
      </w:r>
    </w:p>
    <w:p w14:paraId="784FC716" w14:textId="77777777" w:rsidR="00C17D8B" w:rsidRDefault="00C17D8B" w:rsidP="00AC2F3B">
      <w:pPr>
        <w:pStyle w:val="Normal-nospacing"/>
      </w:pPr>
      <w:r>
        <w:t>The use of barcode scanning technology was an important f</w:t>
      </w:r>
      <w:r w:rsidR="005074B8">
        <w:t>eature of the study</w:t>
      </w:r>
      <w:r>
        <w:t xml:space="preserve">. </w:t>
      </w:r>
      <w:r w:rsidR="00E334E3">
        <w:t xml:space="preserve">This approach was adopted as it was a </w:t>
      </w:r>
      <w:r>
        <w:t>less time consuming</w:t>
      </w:r>
      <w:r w:rsidR="00B2527B">
        <w:t xml:space="preserve"> and more convenient </w:t>
      </w:r>
      <w:r w:rsidR="00E334E3">
        <w:t xml:space="preserve">for staff </w:t>
      </w:r>
      <w:r w:rsidR="00870EF5">
        <w:t xml:space="preserve">to carry small barcode scanners and scan cards </w:t>
      </w:r>
      <w:r>
        <w:t xml:space="preserve">than </w:t>
      </w:r>
      <w:r w:rsidR="008C5814">
        <w:t xml:space="preserve">recording details on </w:t>
      </w:r>
      <w:r w:rsidR="005074B8">
        <w:t>paper forms.</w:t>
      </w:r>
      <w:r>
        <w:t xml:space="preserve"> It also enabled data to be captured in real time as activities were un</w:t>
      </w:r>
      <w:r w:rsidR="001F06D5">
        <w:t>dertaken or shortly thereafter.</w:t>
      </w:r>
    </w:p>
    <w:p w14:paraId="279589C9" w14:textId="77777777" w:rsidR="00C17D8B" w:rsidRDefault="008C5814" w:rsidP="00AC2F3B">
      <w:pPr>
        <w:pStyle w:val="Normal-nospacing"/>
      </w:pPr>
      <w:r>
        <w:t>Business rules were developed to support the staff time data collection</w:t>
      </w:r>
      <w:r w:rsidR="001732D8">
        <w:t xml:space="preserve">. </w:t>
      </w:r>
      <w:r w:rsidR="00C17D8B">
        <w:t>One of the unique features of th</w:t>
      </w:r>
      <w:r w:rsidR="002B3079">
        <w:t xml:space="preserve">e study </w:t>
      </w:r>
      <w:r w:rsidR="00C17D8B">
        <w:t xml:space="preserve">was the distinction between shared care and individual care that is driven by the needs of each resident. The service utilisation data collection only captured data </w:t>
      </w:r>
      <w:r w:rsidR="00152C5B">
        <w:t xml:space="preserve">associated with time spent delivering </w:t>
      </w:r>
      <w:r w:rsidR="00C17D8B">
        <w:t>‘individual care’</w:t>
      </w:r>
      <w:r w:rsidR="00870EF5">
        <w:t xml:space="preserve"> (refer</w:t>
      </w:r>
      <w:r w:rsidR="00EE18C8">
        <w:t xml:space="preserve"> </w:t>
      </w:r>
      <w:r w:rsidR="00EE18C8">
        <w:fldChar w:fldCharType="begin"/>
      </w:r>
      <w:r w:rsidR="00EE18C8">
        <w:instrText xml:space="preserve"> REF _Ref535396738 \h </w:instrText>
      </w:r>
      <w:r w:rsidR="00EE18C8">
        <w:fldChar w:fldCharType="separate"/>
      </w:r>
      <w:r w:rsidR="00EE18C8" w:rsidRPr="00E83BCA">
        <w:t xml:space="preserve">Appendix </w:t>
      </w:r>
      <w:r w:rsidR="00EE18C8">
        <w:rPr>
          <w:noProof/>
        </w:rPr>
        <w:t>3</w:t>
      </w:r>
      <w:r w:rsidR="00EE18C8">
        <w:fldChar w:fldCharType="end"/>
      </w:r>
      <w:r w:rsidR="00870EF5">
        <w:t>)</w:t>
      </w:r>
      <w:r w:rsidR="00B2527B">
        <w:t>.</w:t>
      </w:r>
    </w:p>
    <w:p w14:paraId="2ED3A1FD" w14:textId="77777777" w:rsidR="002B3079" w:rsidRDefault="002B3079" w:rsidP="00AC2F3B">
      <w:pPr>
        <w:pStyle w:val="Normal-nospacing"/>
      </w:pPr>
      <w:r>
        <w:t xml:space="preserve">For the purposes of the study, </w:t>
      </w:r>
      <w:r w:rsidR="00C17D8B" w:rsidRPr="002B3079">
        <w:rPr>
          <w:b/>
        </w:rPr>
        <w:t>individual care</w:t>
      </w:r>
      <w:r w:rsidR="00C17D8B">
        <w:t xml:space="preserve"> was defined </w:t>
      </w:r>
      <w:r w:rsidR="006A39F8">
        <w:t xml:space="preserve">as </w:t>
      </w:r>
      <w:r w:rsidRPr="002B3079">
        <w:t xml:space="preserve">care that </w:t>
      </w:r>
      <w:r>
        <w:t>is</w:t>
      </w:r>
      <w:r w:rsidRPr="002B3079">
        <w:t xml:space="preserve"> tailored to the care needs of an individual resident. Differences i</w:t>
      </w:r>
      <w:r w:rsidR="00EB2DDA">
        <w:t>n</w:t>
      </w:r>
      <w:r w:rsidRPr="002B3079">
        <w:t xml:space="preserve"> individual care time between residents </w:t>
      </w:r>
      <w:r w:rsidR="00311D93">
        <w:t>are</w:t>
      </w:r>
      <w:r w:rsidRPr="002B3079">
        <w:t xml:space="preserve"> likely to be associated with differences in assessed function, cognition, behaviour and health status.</w:t>
      </w:r>
    </w:p>
    <w:p w14:paraId="07FA22B5" w14:textId="77777777" w:rsidR="00C17D8B" w:rsidRDefault="002B3079" w:rsidP="00AC2F3B">
      <w:pPr>
        <w:pStyle w:val="Normal-nospacing"/>
      </w:pPr>
      <w:r w:rsidRPr="002B3079">
        <w:t>In contrast,</w:t>
      </w:r>
      <w:r>
        <w:rPr>
          <w:b/>
        </w:rPr>
        <w:t xml:space="preserve"> s</w:t>
      </w:r>
      <w:r w:rsidR="00C17D8B" w:rsidRPr="002B3079">
        <w:rPr>
          <w:b/>
        </w:rPr>
        <w:t>hared care</w:t>
      </w:r>
      <w:r w:rsidR="00C17D8B" w:rsidRPr="004D2A06">
        <w:t xml:space="preserve"> </w:t>
      </w:r>
      <w:r w:rsidR="00C17D8B">
        <w:t xml:space="preserve">was defined as </w:t>
      </w:r>
      <w:r w:rsidR="0073222F" w:rsidRPr="002B3079">
        <w:t>care that is not tailored to individual resident needs and that all residents generally benefit from equally. This include</w:t>
      </w:r>
      <w:r>
        <w:t>d</w:t>
      </w:r>
      <w:r w:rsidR="0073222F" w:rsidRPr="002B3079">
        <w:t xml:space="preserve"> care activities such as general supervision in common areas, clinical care management and quality activities and incidental brief interactions with residents.</w:t>
      </w:r>
    </w:p>
    <w:p w14:paraId="22122B49" w14:textId="77777777" w:rsidR="00E96363" w:rsidRDefault="00E96363" w:rsidP="00AC2F3B">
      <w:pPr>
        <w:pStyle w:val="Normal-nospacing"/>
      </w:pPr>
      <w:r>
        <w:t>T</w:t>
      </w:r>
      <w:r w:rsidR="00C17D8B">
        <w:t xml:space="preserve">he </w:t>
      </w:r>
      <w:r w:rsidR="006A39F8">
        <w:t xml:space="preserve">expert </w:t>
      </w:r>
      <w:r w:rsidR="00C17D8B">
        <w:t xml:space="preserve">nursing clinical advisory panel worked with the study team to </w:t>
      </w:r>
      <w:r>
        <w:t xml:space="preserve">identify </w:t>
      </w:r>
      <w:r w:rsidR="00152C5B">
        <w:t>broad categories of individual time</w:t>
      </w:r>
      <w:r w:rsidR="00E334E3">
        <w:t xml:space="preserve">. </w:t>
      </w:r>
      <w:r w:rsidR="00152C5B">
        <w:t>N</w:t>
      </w:r>
      <w:r>
        <w:t xml:space="preserve">ine </w:t>
      </w:r>
      <w:r w:rsidR="00C17D8B">
        <w:t xml:space="preserve">activity categories </w:t>
      </w:r>
      <w:r w:rsidR="00152C5B">
        <w:t xml:space="preserve">were identified </w:t>
      </w:r>
      <w:r w:rsidR="00367867">
        <w:t xml:space="preserve">for general care staff. </w:t>
      </w:r>
      <w:r w:rsidR="00E334E3">
        <w:t>A</w:t>
      </w:r>
      <w:r w:rsidR="00152C5B">
        <w:t>n addition</w:t>
      </w:r>
      <w:r w:rsidR="00E334E3">
        <w:t xml:space="preserve">al </w:t>
      </w:r>
      <w:r w:rsidR="006743E7">
        <w:t xml:space="preserve">eight </w:t>
      </w:r>
      <w:r w:rsidR="00152C5B">
        <w:t xml:space="preserve">nursing-specific activities </w:t>
      </w:r>
      <w:r w:rsidR="00C17D8B">
        <w:t xml:space="preserve">categories </w:t>
      </w:r>
      <w:r w:rsidR="00152C5B">
        <w:t xml:space="preserve">were also </w:t>
      </w:r>
      <w:r w:rsidR="00B2527B">
        <w:t>identified t</w:t>
      </w:r>
      <w:r w:rsidR="00E334E3">
        <w:t>hat were</w:t>
      </w:r>
      <w:r w:rsidR="00B2527B">
        <w:t xml:space="preserve"> </w:t>
      </w:r>
      <w:r w:rsidR="007C02A0">
        <w:t xml:space="preserve">captured </w:t>
      </w:r>
      <w:r w:rsidR="00152C5B">
        <w:t>by nursing staff.</w:t>
      </w:r>
      <w:r w:rsidR="00E334E3">
        <w:t xml:space="preserve"> S</w:t>
      </w:r>
      <w:r w:rsidR="00367867">
        <w:t>can cards were developed</w:t>
      </w:r>
      <w:r w:rsidR="00E334E3">
        <w:t xml:space="preserve"> corresponding to the two sets of activity categories. Ac</w:t>
      </w:r>
      <w:r w:rsidR="00367867">
        <w:t xml:space="preserve">tivity </w:t>
      </w:r>
      <w:r w:rsidR="00E334E3">
        <w:t xml:space="preserve">descriptions </w:t>
      </w:r>
      <w:r w:rsidR="00367867">
        <w:t>and barcodes were printed onto A6 sized cards</w:t>
      </w:r>
      <w:r w:rsidR="00726E5A">
        <w:t xml:space="preserve"> for use by staff</w:t>
      </w:r>
      <w:r w:rsidR="00233DB4">
        <w:t xml:space="preserve"> during the data collection</w:t>
      </w:r>
      <w:r w:rsidR="00993724">
        <w:t>.</w:t>
      </w:r>
    </w:p>
    <w:p w14:paraId="2E134578" w14:textId="77777777" w:rsidR="00C511D3" w:rsidRDefault="00C511D3" w:rsidP="00534F50">
      <w:pPr>
        <w:pStyle w:val="Heading2"/>
      </w:pPr>
      <w:bookmarkStart w:id="44" w:name="_Toc2070310"/>
      <w:r>
        <w:t>Financial data</w:t>
      </w:r>
      <w:r w:rsidR="00FA46E7">
        <w:t xml:space="preserve"> collection</w:t>
      </w:r>
      <w:r w:rsidR="00CE75AF">
        <w:t xml:space="preserve"> </w:t>
      </w:r>
      <w:r w:rsidR="00770D17">
        <w:t>design</w:t>
      </w:r>
      <w:bookmarkEnd w:id="44"/>
    </w:p>
    <w:p w14:paraId="345CDE0B" w14:textId="77777777" w:rsidR="00A34359" w:rsidRDefault="00C511D3" w:rsidP="00AC2F3B">
      <w:pPr>
        <w:pStyle w:val="Normal-nospacing"/>
      </w:pPr>
      <w:r>
        <w:t xml:space="preserve">The final element of Study One </w:t>
      </w:r>
      <w:r w:rsidR="00E9780B">
        <w:t xml:space="preserve">was </w:t>
      </w:r>
      <w:r>
        <w:t>a financial data collection</w:t>
      </w:r>
      <w:r w:rsidR="005B303E">
        <w:t>.</w:t>
      </w:r>
      <w:r w:rsidR="00A34359">
        <w:t xml:space="preserve"> A data collection template, </w:t>
      </w:r>
      <w:r w:rsidR="00233DB4">
        <w:t xml:space="preserve">containing </w:t>
      </w:r>
      <w:r w:rsidR="00A34359">
        <w:t xml:space="preserve">data associated with expenditure incurred during the service utilisation data collection period, was </w:t>
      </w:r>
      <w:r w:rsidR="00BF751F">
        <w:t>developed for completion by</w:t>
      </w:r>
      <w:r w:rsidR="00A34359">
        <w:t xml:space="preserve"> the nominated finance service contacts for each fac</w:t>
      </w:r>
      <w:r w:rsidR="001F06D5">
        <w:t>ility.</w:t>
      </w:r>
    </w:p>
    <w:p w14:paraId="69BF107A" w14:textId="77777777" w:rsidR="002171DD" w:rsidRPr="00140B0A" w:rsidRDefault="002171DD" w:rsidP="00AC2F3B">
      <w:pPr>
        <w:pStyle w:val="Normal-nospacing"/>
      </w:pPr>
      <w:r>
        <w:t xml:space="preserve">The financial data were captured in </w:t>
      </w:r>
      <w:r w:rsidRPr="00E05856">
        <w:t xml:space="preserve">sufficient granularity to </w:t>
      </w:r>
      <w:r>
        <w:t xml:space="preserve">allow a cost per resident day to be calculated for residents </w:t>
      </w:r>
      <w:r w:rsidR="00BF751F">
        <w:t>for</w:t>
      </w:r>
      <w:r>
        <w:t xml:space="preserve"> whom clinical and service utilisation data had b</w:t>
      </w:r>
      <w:r w:rsidRPr="00140B0A">
        <w:t>een captured. Direct and indirect costs were allocated to resident days based on a number of business rules. Direct salary costs</w:t>
      </w:r>
      <w:r w:rsidR="00534F50">
        <w:t>,</w:t>
      </w:r>
      <w:r w:rsidRPr="00140B0A">
        <w:t xml:space="preserve"> for example, were allocated based on the average number of minutes of individual time recorded per day for each resident. The resulting average cost per resident day was used</w:t>
      </w:r>
      <w:r w:rsidR="00534F50">
        <w:t xml:space="preserve"> to validate the classification</w:t>
      </w:r>
      <w:r w:rsidRPr="00140B0A">
        <w:t xml:space="preserve"> and to inform dec</w:t>
      </w:r>
      <w:r w:rsidR="001F06D5">
        <w:t>isions about cost relativities.</w:t>
      </w:r>
    </w:p>
    <w:p w14:paraId="61E81945" w14:textId="77777777" w:rsidR="002171DD" w:rsidRDefault="002171DD" w:rsidP="00AC2F3B">
      <w:pPr>
        <w:pStyle w:val="Normal-nospacing"/>
      </w:pPr>
      <w:r w:rsidRPr="00140B0A">
        <w:lastRenderedPageBreak/>
        <w:t>In the overall RUCS design the financial data collections for Study One and Two were aligned at the level of key cost components</w:t>
      </w:r>
      <w:r w:rsidR="00767DCB">
        <w:t>,</w:t>
      </w:r>
      <w:r w:rsidRPr="00140B0A">
        <w:t xml:space="preserve"> such as salary groups, consumables and administrative costs. The rules for cost allocation in both studies were also aligned. This enabled</w:t>
      </w:r>
      <w:r w:rsidRPr="0040274A">
        <w:t xml:space="preserve"> comparison across the two collections and was an additional source of overall data validation. This was a critical design feature for the overall project as the results of Study One and Study Two would ultimately have to be brought together in the design considerations for the blended (fixed and variable) funding system.</w:t>
      </w:r>
    </w:p>
    <w:p w14:paraId="201E5D0F" w14:textId="77777777" w:rsidR="00534F50" w:rsidRDefault="00534F50">
      <w:pPr>
        <w:rPr>
          <w:rFonts w:ascii="Calibri" w:eastAsiaTheme="majorEastAsia" w:hAnsi="Calibri" w:cstheme="majorBidi"/>
          <w:b/>
          <w:bCs/>
          <w:sz w:val="28"/>
          <w:szCs w:val="28"/>
        </w:rPr>
      </w:pPr>
      <w:r>
        <w:br w:type="page"/>
      </w:r>
    </w:p>
    <w:p w14:paraId="47E4DEFE" w14:textId="77777777" w:rsidR="0090063A" w:rsidRDefault="0090063A" w:rsidP="0016396F">
      <w:pPr>
        <w:pStyle w:val="Heading1"/>
      </w:pPr>
      <w:bookmarkStart w:id="45" w:name="_Toc2070311"/>
      <w:r>
        <w:lastRenderedPageBreak/>
        <w:t>Data collection</w:t>
      </w:r>
      <w:bookmarkEnd w:id="45"/>
      <w:r>
        <w:t xml:space="preserve"> </w:t>
      </w:r>
    </w:p>
    <w:p w14:paraId="324B883F" w14:textId="77777777" w:rsidR="0082076B" w:rsidRDefault="001C6F05" w:rsidP="00534F50">
      <w:pPr>
        <w:pStyle w:val="Heading2"/>
      </w:pPr>
      <w:bookmarkStart w:id="46" w:name="_Toc2070312"/>
      <w:r>
        <w:t xml:space="preserve">RUCS Assessment Tool </w:t>
      </w:r>
      <w:r w:rsidR="00EB604C">
        <w:t>collection</w:t>
      </w:r>
      <w:bookmarkEnd w:id="46"/>
    </w:p>
    <w:p w14:paraId="16B6A7CA" w14:textId="77777777" w:rsidR="001933AB" w:rsidRDefault="00AF478B" w:rsidP="00AC2F3B">
      <w:pPr>
        <w:pStyle w:val="Normal-nospacing"/>
      </w:pPr>
      <w:r>
        <w:t xml:space="preserve">The RUCS Assessment Tool was completed on the majority of residents in the 30 facilities participating in Study One. </w:t>
      </w:r>
      <w:r w:rsidR="001933AB">
        <w:t>Assessments were not completed where a resident (or the</w:t>
      </w:r>
      <w:r w:rsidR="0082248B">
        <w:t>ir</w:t>
      </w:r>
      <w:r w:rsidR="001933AB">
        <w:t xml:space="preserve"> carer) declined to participate or where the </w:t>
      </w:r>
      <w:r w:rsidR="0082248B">
        <w:t xml:space="preserve">person was at </w:t>
      </w:r>
      <w:r w:rsidR="008306F1">
        <w:t>the</w:t>
      </w:r>
      <w:r w:rsidR="0082248B">
        <w:t xml:space="preserve"> home </w:t>
      </w:r>
      <w:r w:rsidR="00CE75AF">
        <w:t xml:space="preserve">to receive </w:t>
      </w:r>
      <w:r w:rsidR="00BF751F">
        <w:t>short</w:t>
      </w:r>
      <w:r w:rsidR="00534F50">
        <w:t>-term</w:t>
      </w:r>
      <w:r w:rsidR="00BF751F">
        <w:t xml:space="preserve"> </w:t>
      </w:r>
      <w:r w:rsidR="001933AB">
        <w:t>respite</w:t>
      </w:r>
      <w:r w:rsidR="00CE75AF">
        <w:t xml:space="preserve"> </w:t>
      </w:r>
      <w:r w:rsidR="00C83998">
        <w:t>care</w:t>
      </w:r>
      <w:r w:rsidR="002821DC">
        <w:t>.</w:t>
      </w:r>
    </w:p>
    <w:p w14:paraId="784FAE1F" w14:textId="77777777" w:rsidR="001933AB" w:rsidRDefault="001933AB" w:rsidP="00AC2F3B">
      <w:pPr>
        <w:pStyle w:val="Normal-nospacing"/>
      </w:pPr>
      <w:r>
        <w:t>A</w:t>
      </w:r>
      <w:r w:rsidR="00AF478B">
        <w:t>ssessments were undertaken by external assessors</w:t>
      </w:r>
      <w:r w:rsidR="003F50DD">
        <w:t xml:space="preserve"> </w:t>
      </w:r>
      <w:r w:rsidR="00AF478B">
        <w:t xml:space="preserve">to </w:t>
      </w:r>
      <w:r w:rsidR="00075473">
        <w:t xml:space="preserve">allow </w:t>
      </w:r>
      <w:r w:rsidR="00BF751F">
        <w:t>the</w:t>
      </w:r>
      <w:r w:rsidR="00075473">
        <w:t xml:space="preserve"> </w:t>
      </w:r>
      <w:r w:rsidR="006F7450">
        <w:t>external assessment process</w:t>
      </w:r>
      <w:r w:rsidR="00075473">
        <w:t xml:space="preserve"> to be </w:t>
      </w:r>
      <w:r w:rsidR="00BF751F">
        <w:t>evaluated</w:t>
      </w:r>
      <w:r w:rsidR="006F7450">
        <w:t>.</w:t>
      </w:r>
      <w:r w:rsidR="003F50DD">
        <w:t xml:space="preserve"> The assessor</w:t>
      </w:r>
      <w:r w:rsidR="0082248B">
        <w:t xml:space="preserve"> workforce comprised </w:t>
      </w:r>
      <w:r w:rsidR="0082248B" w:rsidRPr="00F12581">
        <w:t>20</w:t>
      </w:r>
      <w:r w:rsidR="0082248B">
        <w:t xml:space="preserve"> </w:t>
      </w:r>
      <w:r w:rsidR="001F08ED">
        <w:t>registered nurses</w:t>
      </w:r>
      <w:r w:rsidR="00532DB1">
        <w:t xml:space="preserve"> with a minimum of five </w:t>
      </w:r>
      <w:r w:rsidR="005074B8">
        <w:t>years</w:t>
      </w:r>
      <w:r w:rsidR="00534F50">
        <w:t xml:space="preserve"> of</w:t>
      </w:r>
      <w:r w:rsidR="005074B8">
        <w:t xml:space="preserve"> experience</w:t>
      </w:r>
      <w:r w:rsidR="0082248B">
        <w:t xml:space="preserve"> </w:t>
      </w:r>
      <w:r w:rsidR="001F08ED">
        <w:t xml:space="preserve">in </w:t>
      </w:r>
      <w:r w:rsidR="00532DB1">
        <w:t xml:space="preserve">the aged care sector. </w:t>
      </w:r>
      <w:r w:rsidR="001F08ED">
        <w:t xml:space="preserve">All </w:t>
      </w:r>
      <w:r w:rsidR="0082248B">
        <w:t>a</w:t>
      </w:r>
      <w:r>
        <w:t xml:space="preserve">ssessors were trained in the use of the RUCS </w:t>
      </w:r>
      <w:r w:rsidR="001F08ED">
        <w:t>Assessment T</w:t>
      </w:r>
      <w:r>
        <w:t xml:space="preserve">ool by </w:t>
      </w:r>
      <w:r w:rsidR="0082248B">
        <w:t xml:space="preserve">the study team </w:t>
      </w:r>
      <w:r w:rsidR="008306F1">
        <w:t xml:space="preserve">and were supported during the data </w:t>
      </w:r>
      <w:r w:rsidR="002F23F9">
        <w:t>collection period through an email group, weekly teleconferences and individ</w:t>
      </w:r>
      <w:r w:rsidR="00F16ECA">
        <w:t>ual communication as required.</w:t>
      </w:r>
    </w:p>
    <w:p w14:paraId="23D7CEE1" w14:textId="77777777" w:rsidR="00546913" w:rsidRDefault="00CE75AF" w:rsidP="00AC2F3B">
      <w:pPr>
        <w:pStyle w:val="Normal-nospacing"/>
      </w:pPr>
      <w:r>
        <w:t xml:space="preserve">The assessments were undertaken </w:t>
      </w:r>
      <w:r w:rsidR="00216B4D">
        <w:t xml:space="preserve">in each region </w:t>
      </w:r>
      <w:r w:rsidR="0082248B">
        <w:t xml:space="preserve">during the </w:t>
      </w:r>
      <w:r w:rsidR="001F08ED">
        <w:t xml:space="preserve">corresponding </w:t>
      </w:r>
      <w:r w:rsidR="0082248B">
        <w:t xml:space="preserve">period of the service utilisation data collection. </w:t>
      </w:r>
      <w:r w:rsidR="001F08ED">
        <w:t xml:space="preserve">Where necessary, assessors </w:t>
      </w:r>
      <w:r w:rsidR="00216B4D">
        <w:t>observe</w:t>
      </w:r>
      <w:r w:rsidR="001F08ED">
        <w:t>d</w:t>
      </w:r>
      <w:r w:rsidR="00216B4D">
        <w:t xml:space="preserve"> residents at different times of the day and ensured </w:t>
      </w:r>
      <w:r w:rsidR="00F47968">
        <w:t xml:space="preserve">the </w:t>
      </w:r>
      <w:r w:rsidR="00216B4D">
        <w:t>data w</w:t>
      </w:r>
      <w:r w:rsidR="00F47968">
        <w:t>ere</w:t>
      </w:r>
      <w:r w:rsidR="00216B4D">
        <w:t xml:space="preserve"> based as much as possible on the</w:t>
      </w:r>
      <w:r w:rsidR="001F08ED">
        <w:t>ir</w:t>
      </w:r>
      <w:r w:rsidR="00216B4D">
        <w:t xml:space="preserve"> independent professional judgement.</w:t>
      </w:r>
    </w:p>
    <w:p w14:paraId="29284BB5" w14:textId="77777777" w:rsidR="00FE780D" w:rsidRDefault="00FE780D" w:rsidP="00AC2F3B">
      <w:pPr>
        <w:pStyle w:val="Normal-nospacing"/>
      </w:pPr>
      <w:r>
        <w:t xml:space="preserve">An important question for Study One related to the feasibility of the external assessment process. That is, it was important to assess whether </w:t>
      </w:r>
      <w:r w:rsidRPr="000E37DC">
        <w:t xml:space="preserve">appropriately </w:t>
      </w:r>
      <w:r w:rsidR="003204E7">
        <w:t xml:space="preserve">qualified </w:t>
      </w:r>
      <w:r w:rsidRPr="000E37DC">
        <w:t xml:space="preserve">assessors, independent from the care homes, </w:t>
      </w:r>
      <w:r>
        <w:t xml:space="preserve">were </w:t>
      </w:r>
      <w:r w:rsidRPr="000E37DC">
        <w:t xml:space="preserve">able to conduct assessments based on </w:t>
      </w:r>
      <w:r>
        <w:t xml:space="preserve">their </w:t>
      </w:r>
      <w:r w:rsidRPr="000E37DC">
        <w:t xml:space="preserve">professional judgement </w:t>
      </w:r>
      <w:r>
        <w:t>and within a reasonable time</w:t>
      </w:r>
      <w:r w:rsidR="005B2234">
        <w:t xml:space="preserve"> period. T</w:t>
      </w:r>
      <w:r w:rsidR="00075473">
        <w:t xml:space="preserve">his included assessing the ease with which </w:t>
      </w:r>
      <w:r w:rsidRPr="000E37DC">
        <w:t xml:space="preserve">the </w:t>
      </w:r>
      <w:r w:rsidR="005B2234">
        <w:t xml:space="preserve">different components of the </w:t>
      </w:r>
      <w:r w:rsidRPr="000E37DC">
        <w:t xml:space="preserve">assessment tool </w:t>
      </w:r>
      <w:r w:rsidR="00075473">
        <w:t xml:space="preserve">could be completed and whether </w:t>
      </w:r>
      <w:r w:rsidR="005B2234">
        <w:t xml:space="preserve">the </w:t>
      </w:r>
      <w:r w:rsidRPr="000E37DC">
        <w:t xml:space="preserve">assessors </w:t>
      </w:r>
      <w:r w:rsidR="00075473">
        <w:t xml:space="preserve">needed to </w:t>
      </w:r>
      <w:r w:rsidRPr="000E37DC">
        <w:t xml:space="preserve">rely on </w:t>
      </w:r>
      <w:r w:rsidR="003204E7">
        <w:t xml:space="preserve">information from care home </w:t>
      </w:r>
      <w:r w:rsidRPr="000E37DC">
        <w:t xml:space="preserve">staff </w:t>
      </w:r>
      <w:r w:rsidR="003204E7">
        <w:t xml:space="preserve">as a </w:t>
      </w:r>
      <w:r w:rsidRPr="000E37DC">
        <w:t>key source of information.</w:t>
      </w:r>
    </w:p>
    <w:p w14:paraId="09ED1A8D" w14:textId="77777777" w:rsidR="003204E7" w:rsidRDefault="003204E7" w:rsidP="00AC2F3B">
      <w:pPr>
        <w:pStyle w:val="Normal-nospacing"/>
      </w:pPr>
      <w:r>
        <w:t>The time taken to carry out the assessments ranged from less than 15 minutes (2 percent of cases) to two hours or more (4 percent). However, the majority of assessments (68%) took between 30 minutes and one hour to complete. In more than 90% of cases, assessors were either ‘very confident’ or ‘fairly confident’ that the ratings recorded for residents were accurate and more than 75% of assessments were rated by the assessor as being either ‘easy’ or</w:t>
      </w:r>
      <w:r w:rsidR="002821DC">
        <w:t xml:space="preserve"> ‘moderately easy’ to complete.</w:t>
      </w:r>
    </w:p>
    <w:p w14:paraId="682044C0" w14:textId="77777777" w:rsidR="005B2234" w:rsidRDefault="005B2234" w:rsidP="00AC2F3B">
      <w:pPr>
        <w:pStyle w:val="Normal-nospacing"/>
      </w:pPr>
      <w:r>
        <w:t xml:space="preserve">Overall, the study found that the RUCS Assessment Tool can be effectively completed </w:t>
      </w:r>
      <w:r w:rsidR="003204E7">
        <w:t xml:space="preserve">by suitably qualified </w:t>
      </w:r>
      <w:r>
        <w:t xml:space="preserve">external </w:t>
      </w:r>
      <w:r w:rsidR="003204E7">
        <w:t xml:space="preserve">assessors. </w:t>
      </w:r>
      <w:r w:rsidR="003311DD">
        <w:t xml:space="preserve">One key change was </w:t>
      </w:r>
      <w:r w:rsidR="003204E7">
        <w:t xml:space="preserve">made to the RUCS Assessment Tool based </w:t>
      </w:r>
      <w:r w:rsidR="00B74746">
        <w:t xml:space="preserve">on </w:t>
      </w:r>
      <w:r w:rsidR="003204E7">
        <w:t xml:space="preserve">feedback from the assessors and subsequent advice from the </w:t>
      </w:r>
      <w:r w:rsidR="0058259F">
        <w:t>c</w:t>
      </w:r>
      <w:r w:rsidR="003204E7">
        <w:t xml:space="preserve">linical </w:t>
      </w:r>
      <w:r w:rsidR="0058259F">
        <w:t>a</w:t>
      </w:r>
      <w:r w:rsidR="003204E7">
        <w:t xml:space="preserve">dvisory </w:t>
      </w:r>
      <w:r w:rsidR="0058259F">
        <w:t>p</w:t>
      </w:r>
      <w:r w:rsidR="003204E7">
        <w:t xml:space="preserve">anel. This </w:t>
      </w:r>
      <w:r w:rsidR="00581FFC">
        <w:t xml:space="preserve">issue is discussed in </w:t>
      </w:r>
      <w:r w:rsidR="001124DF">
        <w:t>d</w:t>
      </w:r>
      <w:r w:rsidR="00581FFC">
        <w:t xml:space="preserve">etail </w:t>
      </w:r>
      <w:r w:rsidR="003204E7">
        <w:t xml:space="preserve">in Section </w:t>
      </w:r>
      <w:r w:rsidR="00D34FB2">
        <w:t>7</w:t>
      </w:r>
      <w:r w:rsidR="00AE7A80">
        <w:t xml:space="preserve"> of this report.</w:t>
      </w:r>
    </w:p>
    <w:p w14:paraId="38FA5610" w14:textId="77777777" w:rsidR="00C760E1" w:rsidRDefault="00C760E1" w:rsidP="00AC2F3B">
      <w:pPr>
        <w:pStyle w:val="Normal-nospacing"/>
      </w:pPr>
      <w:r>
        <w:t>At the conclusion of the data collection period</w:t>
      </w:r>
      <w:r w:rsidRPr="00B82914">
        <w:t xml:space="preserve">, a total of </w:t>
      </w:r>
      <w:r w:rsidR="007E4DC0" w:rsidRPr="00B82914">
        <w:t>1,877 resident</w:t>
      </w:r>
      <w:r w:rsidR="007E4DC0">
        <w:t xml:space="preserve"> </w:t>
      </w:r>
      <w:r>
        <w:t xml:space="preserve">assessments </w:t>
      </w:r>
      <w:r w:rsidR="00D51654">
        <w:t>across the 30 participating facilities</w:t>
      </w:r>
      <w:r w:rsidR="00B82914">
        <w:t xml:space="preserve"> were available for analysis</w:t>
      </w:r>
      <w:r>
        <w:t>.</w:t>
      </w:r>
    </w:p>
    <w:p w14:paraId="76C47542" w14:textId="77777777" w:rsidR="003D2687" w:rsidRDefault="007E6AB6" w:rsidP="00534F50">
      <w:pPr>
        <w:pStyle w:val="Heading2"/>
      </w:pPr>
      <w:bookmarkStart w:id="47" w:name="_Toc2070313"/>
      <w:r>
        <w:t xml:space="preserve">Service </w:t>
      </w:r>
      <w:r w:rsidR="003D2687">
        <w:t>utilisation data</w:t>
      </w:r>
      <w:r w:rsidR="003B4A65">
        <w:t xml:space="preserve"> collection</w:t>
      </w:r>
      <w:bookmarkEnd w:id="47"/>
      <w:r w:rsidR="003B4A65">
        <w:t xml:space="preserve"> </w:t>
      </w:r>
    </w:p>
    <w:p w14:paraId="69D34FD2" w14:textId="77777777" w:rsidR="004422F4" w:rsidRDefault="00717150" w:rsidP="003C062C">
      <w:pPr>
        <w:spacing w:before="120" w:after="120"/>
      </w:pPr>
      <w:r>
        <w:t>The service utilisation data collection was completed over one calendar month at each site between March 2018 and June 2018.</w:t>
      </w:r>
    </w:p>
    <w:p w14:paraId="6AAA2C63" w14:textId="77777777" w:rsidR="00C83457" w:rsidRDefault="00C83457" w:rsidP="0016396F">
      <w:pPr>
        <w:pStyle w:val="Heading3"/>
      </w:pPr>
      <w:r>
        <w:lastRenderedPageBreak/>
        <w:t>Site training and preparation</w:t>
      </w:r>
    </w:p>
    <w:p w14:paraId="1D75D0E5" w14:textId="77777777" w:rsidR="00004D35" w:rsidRDefault="003C062C" w:rsidP="00AC2F3B">
      <w:pPr>
        <w:pStyle w:val="Normal-nospacing"/>
      </w:pPr>
      <w:r>
        <w:t xml:space="preserve">During the two weeks prior to the </w:t>
      </w:r>
      <w:r w:rsidR="00595E3E">
        <w:t xml:space="preserve">start </w:t>
      </w:r>
      <w:r>
        <w:t xml:space="preserve">of the data collection, training sessions were conducted at each site. Where possible, all staff members involved in the data collection </w:t>
      </w:r>
      <w:r w:rsidR="00A8066A">
        <w:t>attended</w:t>
      </w:r>
      <w:r w:rsidR="001C7D35">
        <w:t xml:space="preserve"> </w:t>
      </w:r>
      <w:r>
        <w:t>a training session.</w:t>
      </w:r>
      <w:r w:rsidR="000355D0">
        <w:t xml:space="preserve"> </w:t>
      </w:r>
      <w:r>
        <w:t>The</w:t>
      </w:r>
      <w:r w:rsidR="00004D35">
        <w:t xml:space="preserve"> training included practical </w:t>
      </w:r>
      <w:r>
        <w:t xml:space="preserve">sessions </w:t>
      </w:r>
      <w:r w:rsidR="00004D35">
        <w:t xml:space="preserve">using </w:t>
      </w:r>
      <w:r>
        <w:t xml:space="preserve">the barcoding </w:t>
      </w:r>
      <w:r w:rsidR="002821DC">
        <w:t>scanners and scan cards.</w:t>
      </w:r>
    </w:p>
    <w:p w14:paraId="4BDBAF7E" w14:textId="77777777" w:rsidR="000355D0" w:rsidRDefault="001C7D35" w:rsidP="00AC2F3B">
      <w:pPr>
        <w:pStyle w:val="Normal-nospacing"/>
      </w:pPr>
      <w:r>
        <w:t xml:space="preserve">Additional sessions were held as required to ensure that all relevant staff </w:t>
      </w:r>
      <w:r w:rsidR="00A8066A">
        <w:t xml:space="preserve">were </w:t>
      </w:r>
      <w:r>
        <w:t>train</w:t>
      </w:r>
      <w:r w:rsidR="00A8066A">
        <w:t>ed</w:t>
      </w:r>
      <w:r>
        <w:t xml:space="preserve">. </w:t>
      </w:r>
      <w:r w:rsidR="00823AFB">
        <w:t>R</w:t>
      </w:r>
      <w:r w:rsidR="003C062C">
        <w:t>esources</w:t>
      </w:r>
      <w:r w:rsidR="00823AFB">
        <w:t xml:space="preserve"> to support the data collection </w:t>
      </w:r>
      <w:r w:rsidR="003C062C">
        <w:t xml:space="preserve">were provided </w:t>
      </w:r>
      <w:r>
        <w:t xml:space="preserve">to each </w:t>
      </w:r>
      <w:r w:rsidR="008B6AB2">
        <w:t>facility, which</w:t>
      </w:r>
      <w:r w:rsidR="003C062C">
        <w:t xml:space="preserve"> included </w:t>
      </w:r>
      <w:r w:rsidR="00823AFB">
        <w:t xml:space="preserve">all necessary scanning equipment, </w:t>
      </w:r>
      <w:r w:rsidR="003C062C">
        <w:t xml:space="preserve">a study </w:t>
      </w:r>
      <w:r>
        <w:t>manual</w:t>
      </w:r>
      <w:r w:rsidR="000355D0">
        <w:t xml:space="preserve">, </w:t>
      </w:r>
      <w:r w:rsidR="003C062C">
        <w:t>laminated instruction sheets</w:t>
      </w:r>
      <w:r w:rsidR="00943113">
        <w:t xml:space="preserve">, </w:t>
      </w:r>
      <w:r w:rsidR="003C062C">
        <w:t>training slides</w:t>
      </w:r>
      <w:r w:rsidR="000355D0">
        <w:t xml:space="preserve"> and </w:t>
      </w:r>
      <w:r w:rsidR="00823AFB">
        <w:t xml:space="preserve">regularly updated </w:t>
      </w:r>
      <w:r w:rsidR="000355D0">
        <w:t>F</w:t>
      </w:r>
      <w:r w:rsidR="002821DC">
        <w:t>AQs.</w:t>
      </w:r>
    </w:p>
    <w:p w14:paraId="45E8477F" w14:textId="77777777" w:rsidR="00A8066A" w:rsidRDefault="00595E3E" w:rsidP="00AC2F3B">
      <w:pPr>
        <w:pStyle w:val="Normal-nospacing"/>
      </w:pPr>
      <w:r w:rsidRPr="00A8066A">
        <w:t>During th</w:t>
      </w:r>
      <w:r w:rsidR="00A8066A">
        <w:t>is period, software was loaded on designated computers to allow data to be uploaded. Work stations were set up at strategic locations in each facility where staff could collect and return scanners and scan cards at the start and end of each shift. Arrangements were also finalised in relation to charging of scanners and u</w:t>
      </w:r>
      <w:r w:rsidR="002821DC">
        <w:t>ploading of data at each site.</w:t>
      </w:r>
    </w:p>
    <w:p w14:paraId="7B0B9AFD" w14:textId="77777777" w:rsidR="00A0183F" w:rsidRDefault="00A0183F" w:rsidP="0016396F">
      <w:pPr>
        <w:pStyle w:val="Heading3"/>
      </w:pPr>
      <w:r>
        <w:t>Data collection</w:t>
      </w:r>
    </w:p>
    <w:p w14:paraId="0745E389" w14:textId="77777777" w:rsidR="00823AFB" w:rsidRDefault="00F47968" w:rsidP="00AC2F3B">
      <w:pPr>
        <w:pStyle w:val="Normal-nospacing"/>
      </w:pPr>
      <w:r>
        <w:t>B</w:t>
      </w:r>
      <w:r w:rsidR="005D4B7B">
        <w:t>ar</w:t>
      </w:r>
      <w:r w:rsidR="001C7D35">
        <w:t>code scanners and code sheets were used to capture details of the number of minutes spent delivering individual care to residents.</w:t>
      </w:r>
      <w:r w:rsidR="00004D35">
        <w:t xml:space="preserve"> The scope of the data collection included morning and afternoon shifts, but exclu</w:t>
      </w:r>
      <w:r w:rsidR="00F16ECA">
        <w:t>ded staff working night shifts.</w:t>
      </w:r>
      <w:r w:rsidR="00BF751F">
        <w:t xml:space="preserve"> This is because all time on night shift was defined as shared time that would be costed</w:t>
      </w:r>
      <w:r w:rsidR="00AE7A80">
        <w:t xml:space="preserve"> equally across all residents.</w:t>
      </w:r>
    </w:p>
    <w:p w14:paraId="1F36A98E" w14:textId="77777777" w:rsidR="00823AFB" w:rsidRDefault="00823AFB" w:rsidP="00AC2F3B">
      <w:pPr>
        <w:pStyle w:val="Normal-nospacing"/>
      </w:pPr>
      <w:r>
        <w:t xml:space="preserve">Staff </w:t>
      </w:r>
      <w:r w:rsidR="00004D35">
        <w:t xml:space="preserve">used </w:t>
      </w:r>
      <w:r w:rsidR="005D4B7B">
        <w:t>the bar</w:t>
      </w:r>
      <w:r w:rsidR="00F47968">
        <w:t xml:space="preserve">code </w:t>
      </w:r>
      <w:r w:rsidR="00004D35">
        <w:t>scanner</w:t>
      </w:r>
      <w:r w:rsidR="00F47968">
        <w:t>s</w:t>
      </w:r>
      <w:r w:rsidR="00004D35">
        <w:t xml:space="preserve"> to </w:t>
      </w:r>
      <w:r>
        <w:t xml:space="preserve">record the beginning of an activity by scanning the relevant activity barcode on </w:t>
      </w:r>
      <w:r w:rsidR="00004D35">
        <w:t xml:space="preserve">the </w:t>
      </w:r>
      <w:r>
        <w:t xml:space="preserve">card and the barcode of the resident/s. Scanning </w:t>
      </w:r>
      <w:r w:rsidR="000305B7">
        <w:t xml:space="preserve">the </w:t>
      </w:r>
      <w:r w:rsidR="00FF6332">
        <w:t>‘</w:t>
      </w:r>
      <w:r>
        <w:t>STOP</w:t>
      </w:r>
      <w:r w:rsidR="00FF6332">
        <w:t>’</w:t>
      </w:r>
      <w:r>
        <w:t xml:space="preserve"> barcode record</w:t>
      </w:r>
      <w:r w:rsidR="000305B7">
        <w:t>ed</w:t>
      </w:r>
      <w:r>
        <w:t xml:space="preserve"> the end of th</w:t>
      </w:r>
      <w:r w:rsidR="00004D35">
        <w:t>at</w:t>
      </w:r>
      <w:r>
        <w:t xml:space="preserve"> activity. Activities were stored on </w:t>
      </w:r>
      <w:r w:rsidR="00EF6E5C">
        <w:t xml:space="preserve">each </w:t>
      </w:r>
      <w:r>
        <w:t>scanner until it was connected via a USB cable to a computer running appropriate software</w:t>
      </w:r>
      <w:r w:rsidR="00F47968">
        <w:t xml:space="preserve">. </w:t>
      </w:r>
      <w:r w:rsidR="0048023E">
        <w:t xml:space="preserve">This </w:t>
      </w:r>
      <w:r w:rsidR="00EF6E5C">
        <w:t xml:space="preserve">normally </w:t>
      </w:r>
      <w:r w:rsidR="0048023E">
        <w:t xml:space="preserve">occurred </w:t>
      </w:r>
      <w:r w:rsidR="00004D35">
        <w:t xml:space="preserve">at the end of </w:t>
      </w:r>
      <w:r w:rsidR="00EF6E5C">
        <w:t>a</w:t>
      </w:r>
      <w:r w:rsidR="00004D35">
        <w:t xml:space="preserve"> shift. </w:t>
      </w:r>
      <w:r>
        <w:t>The data w</w:t>
      </w:r>
      <w:r w:rsidR="00EF6E5C">
        <w:t>ere</w:t>
      </w:r>
      <w:r w:rsidR="00004D35">
        <w:t xml:space="preserve"> </w:t>
      </w:r>
      <w:r>
        <w:t xml:space="preserve">then downloaded </w:t>
      </w:r>
      <w:r w:rsidR="0048023E">
        <w:t>on</w:t>
      </w:r>
      <w:r>
        <w:t xml:space="preserve">to </w:t>
      </w:r>
      <w:r w:rsidR="00EF6E5C">
        <w:t xml:space="preserve">a designated </w:t>
      </w:r>
      <w:r>
        <w:t>computer and sent securely to a server a</w:t>
      </w:r>
      <w:r w:rsidR="002821DC">
        <w:t>t the University of Wollongong.</w:t>
      </w:r>
    </w:p>
    <w:p w14:paraId="0F137B90" w14:textId="77777777" w:rsidR="000355D0" w:rsidRDefault="00F33790" w:rsidP="00AC2F3B">
      <w:pPr>
        <w:pStyle w:val="Normal-nospacing"/>
      </w:pPr>
      <w:r>
        <w:t xml:space="preserve">The service utilisation data collection </w:t>
      </w:r>
      <w:r w:rsidR="000355D0">
        <w:t xml:space="preserve">required a considerable investment of resources </w:t>
      </w:r>
      <w:r w:rsidR="0048023E">
        <w:t xml:space="preserve">by staff at </w:t>
      </w:r>
      <w:r w:rsidR="00A36662">
        <w:t xml:space="preserve">each </w:t>
      </w:r>
      <w:r w:rsidR="000355D0">
        <w:t>facilit</w:t>
      </w:r>
      <w:r w:rsidR="00A36662">
        <w:t>y</w:t>
      </w:r>
      <w:r w:rsidR="000355D0">
        <w:t>.</w:t>
      </w:r>
      <w:r w:rsidR="001C7D35">
        <w:t xml:space="preserve"> </w:t>
      </w:r>
      <w:r w:rsidR="000355D0">
        <w:t xml:space="preserve">Extensive support was provided </w:t>
      </w:r>
      <w:r w:rsidR="00E06AED">
        <w:t xml:space="preserve">by </w:t>
      </w:r>
      <w:r w:rsidR="000355D0">
        <w:t>the study team</w:t>
      </w:r>
      <w:r w:rsidR="0048023E">
        <w:t xml:space="preserve"> to support the data collection</w:t>
      </w:r>
      <w:r w:rsidR="000355D0">
        <w:t>.</w:t>
      </w:r>
      <w:r w:rsidR="0048023E">
        <w:t xml:space="preserve"> </w:t>
      </w:r>
      <w:r w:rsidR="000355D0">
        <w:t xml:space="preserve">A member of the study team (cluster coordinator) was present in each region </w:t>
      </w:r>
      <w:r w:rsidR="0048023E">
        <w:t xml:space="preserve">throughout this period </w:t>
      </w:r>
      <w:r w:rsidR="000355D0">
        <w:t xml:space="preserve">to provide ongoing on-site support. Each facility was visited regularly by the cluster coordinator and other members of the study </w:t>
      </w:r>
      <w:r w:rsidR="002217DF">
        <w:t xml:space="preserve">team </w:t>
      </w:r>
      <w:r w:rsidR="000355D0">
        <w:t xml:space="preserve">to provide feedback, address issues that arose, and provide </w:t>
      </w:r>
      <w:r w:rsidR="0048023E">
        <w:t xml:space="preserve">additional training and </w:t>
      </w:r>
      <w:r w:rsidR="00E06AED">
        <w:t>resources</w:t>
      </w:r>
      <w:r w:rsidR="00F16ECA">
        <w:t>.</w:t>
      </w:r>
    </w:p>
    <w:p w14:paraId="79780805" w14:textId="77777777" w:rsidR="000305B7" w:rsidRDefault="00EF6E5C" w:rsidP="00AC2F3B">
      <w:pPr>
        <w:pStyle w:val="Normal-nospacing"/>
      </w:pPr>
      <w:r>
        <w:t xml:space="preserve">The use of </w:t>
      </w:r>
      <w:r w:rsidR="00B20926">
        <w:t>barcode</w:t>
      </w:r>
      <w:r>
        <w:t xml:space="preserve"> scanning technology allowed ongoing review of the data</w:t>
      </w:r>
      <w:r w:rsidR="00D51654">
        <w:t xml:space="preserve"> quality</w:t>
      </w:r>
      <w:r>
        <w:t>.</w:t>
      </w:r>
      <w:r w:rsidR="00D51654">
        <w:t xml:space="preserve"> Detailed </w:t>
      </w:r>
      <w:r w:rsidR="000305B7">
        <w:t xml:space="preserve">reports were provided to facilities and their cluster coordinator </w:t>
      </w:r>
      <w:r>
        <w:t xml:space="preserve">on a </w:t>
      </w:r>
      <w:r w:rsidR="000305B7">
        <w:t>twice weekly</w:t>
      </w:r>
      <w:r>
        <w:t xml:space="preserve"> basis</w:t>
      </w:r>
      <w:r w:rsidR="000305B7">
        <w:t>. The</w:t>
      </w:r>
      <w:r w:rsidR="00D51654">
        <w:t>se</w:t>
      </w:r>
      <w:r w:rsidR="0048023E">
        <w:t xml:space="preserve"> </w:t>
      </w:r>
      <w:r w:rsidR="000305B7">
        <w:t>provided a summary of data that were collected in the previous week, including the amount of individual care provided by each staff member, an activity summary by capture method, care delivery location and activity type, and a summary of missing or unusual data by staff member. Facility managers were encouraged to review the report and</w:t>
      </w:r>
      <w:r w:rsidR="002821DC">
        <w:t xml:space="preserve"> discuss any issues with staff.</w:t>
      </w:r>
    </w:p>
    <w:p w14:paraId="0CD89750" w14:textId="77777777" w:rsidR="00534F50" w:rsidRDefault="006743E7" w:rsidP="00AC2F3B">
      <w:pPr>
        <w:pStyle w:val="Normal-nospacing"/>
        <w:rPr>
          <w:rFonts w:ascii="Calibri" w:eastAsiaTheme="majorEastAsia" w:hAnsi="Calibri" w:cstheme="majorBidi"/>
          <w:b/>
          <w:bCs/>
          <w:sz w:val="28"/>
          <w:szCs w:val="28"/>
        </w:rPr>
      </w:pPr>
      <w:r>
        <w:t>O</w:t>
      </w:r>
      <w:r w:rsidR="00E06AED">
        <w:t xml:space="preserve">verall, </w:t>
      </w:r>
      <w:r>
        <w:t xml:space="preserve">staff reported that the data collection </w:t>
      </w:r>
      <w:r w:rsidR="00E06AED">
        <w:t xml:space="preserve">process was not overly burdensome and </w:t>
      </w:r>
      <w:r>
        <w:t xml:space="preserve">required only a few additional minutes </w:t>
      </w:r>
      <w:r w:rsidR="00E06AED">
        <w:t xml:space="preserve">to complete </w:t>
      </w:r>
      <w:r w:rsidR="004812E0">
        <w:t xml:space="preserve">during </w:t>
      </w:r>
      <w:r>
        <w:t>each shift.</w:t>
      </w:r>
      <w:r w:rsidR="00AE0FBD">
        <w:t xml:space="preserve"> </w:t>
      </w:r>
      <w:r w:rsidR="00F33790">
        <w:t xml:space="preserve">By the end of the data collection, more than 1,600 staff members from the 30 facilities had recorded </w:t>
      </w:r>
      <w:r w:rsidR="00EF6E5C">
        <w:t xml:space="preserve">more than 315,000 </w:t>
      </w:r>
      <w:r w:rsidR="00AE0FBD">
        <w:t>s</w:t>
      </w:r>
      <w:r w:rsidR="00F33790">
        <w:t xml:space="preserve">taff time </w:t>
      </w:r>
      <w:r w:rsidR="00EF6E5C">
        <w:t xml:space="preserve">records. </w:t>
      </w:r>
      <w:bookmarkStart w:id="48" w:name="_Toc528685411"/>
      <w:r w:rsidR="00534F50">
        <w:br w:type="page"/>
      </w:r>
    </w:p>
    <w:p w14:paraId="6C319653" w14:textId="77777777" w:rsidR="00447245" w:rsidRDefault="002727B9" w:rsidP="0016396F">
      <w:pPr>
        <w:pStyle w:val="Heading1"/>
      </w:pPr>
      <w:bookmarkStart w:id="49" w:name="_Toc2070314"/>
      <w:r>
        <w:lastRenderedPageBreak/>
        <w:t>Preparatory analys</w:t>
      </w:r>
      <w:r w:rsidR="00BC1445">
        <w:t>i</w:t>
      </w:r>
      <w:r>
        <w:t>s</w:t>
      </w:r>
      <w:bookmarkEnd w:id="48"/>
      <w:bookmarkEnd w:id="49"/>
    </w:p>
    <w:p w14:paraId="4560EC2F" w14:textId="77777777" w:rsidR="00447245" w:rsidRPr="008338D8" w:rsidRDefault="00447245" w:rsidP="00447245">
      <w:r>
        <w:t xml:space="preserve">This section </w:t>
      </w:r>
      <w:r w:rsidR="00A87FBD">
        <w:t xml:space="preserve">focusses on </w:t>
      </w:r>
      <w:r w:rsidR="00AB0DC3">
        <w:t xml:space="preserve">the </w:t>
      </w:r>
      <w:r>
        <w:t>preparat</w:t>
      </w:r>
      <w:r w:rsidR="00A87FBD">
        <w:t>ory</w:t>
      </w:r>
      <w:r>
        <w:t xml:space="preserve"> </w:t>
      </w:r>
      <w:r w:rsidR="00AB0DC3">
        <w:t xml:space="preserve">analyses of </w:t>
      </w:r>
      <w:r w:rsidR="00A87FBD">
        <w:t xml:space="preserve">the </w:t>
      </w:r>
      <w:r>
        <w:t xml:space="preserve">clinical assessment and </w:t>
      </w:r>
      <w:r w:rsidR="00CF0861">
        <w:t xml:space="preserve">service utilisation </w:t>
      </w:r>
      <w:r>
        <w:t xml:space="preserve">data. It </w:t>
      </w:r>
      <w:r w:rsidR="00CF0861">
        <w:t xml:space="preserve">describes the processes </w:t>
      </w:r>
      <w:r w:rsidR="00AB0DC3">
        <w:t xml:space="preserve">undertaken </w:t>
      </w:r>
      <w:r w:rsidR="00CF0861">
        <w:t xml:space="preserve">to assess </w:t>
      </w:r>
      <w:r>
        <w:t xml:space="preserve">the quality of the data, </w:t>
      </w:r>
      <w:r w:rsidR="00CF0861">
        <w:t xml:space="preserve">mechanisms for data cleansing </w:t>
      </w:r>
      <w:r>
        <w:t xml:space="preserve">and how </w:t>
      </w:r>
      <w:r w:rsidR="00086A59">
        <w:t xml:space="preserve">the data were </w:t>
      </w:r>
      <w:r>
        <w:t xml:space="preserve">consolidated into a format appropriate for </w:t>
      </w:r>
      <w:r w:rsidR="00AB0DC3">
        <w:t xml:space="preserve">the subsequent </w:t>
      </w:r>
      <w:r w:rsidR="00F45FBF">
        <w:t xml:space="preserve">classification development </w:t>
      </w:r>
      <w:r>
        <w:t>analys</w:t>
      </w:r>
      <w:r w:rsidR="00AB0DC3">
        <w:t>e</w:t>
      </w:r>
      <w:r>
        <w:t>s.</w:t>
      </w:r>
    </w:p>
    <w:p w14:paraId="32518EA2" w14:textId="77777777" w:rsidR="00447245" w:rsidRDefault="00447245" w:rsidP="00534F50">
      <w:pPr>
        <w:pStyle w:val="Heading2"/>
      </w:pPr>
      <w:bookmarkStart w:id="50" w:name="_Toc528685412"/>
      <w:bookmarkStart w:id="51" w:name="_Toc2070315"/>
      <w:r>
        <w:t>Preparation of the clinical assessment data</w:t>
      </w:r>
      <w:bookmarkEnd w:id="50"/>
      <w:bookmarkEnd w:id="51"/>
    </w:p>
    <w:p w14:paraId="7DD9A23B" w14:textId="77777777" w:rsidR="00447245" w:rsidRDefault="00447245" w:rsidP="00655C02">
      <w:pPr>
        <w:spacing w:before="120" w:after="120"/>
      </w:pPr>
      <w:r>
        <w:t xml:space="preserve">The Study One </w:t>
      </w:r>
      <w:r w:rsidR="00DF625A">
        <w:t xml:space="preserve">resident </w:t>
      </w:r>
      <w:r>
        <w:t xml:space="preserve">sample included 1,967 residents in scope for </w:t>
      </w:r>
      <w:r w:rsidR="00F45FBF">
        <w:t xml:space="preserve">a </w:t>
      </w:r>
      <w:r>
        <w:t xml:space="preserve">clinical assessment. Of these, </w:t>
      </w:r>
      <w:r w:rsidRPr="00AB0DC3">
        <w:t>56</w:t>
      </w:r>
      <w:r>
        <w:t xml:space="preserve"> </w:t>
      </w:r>
      <w:r w:rsidR="009F4C50">
        <w:t xml:space="preserve">(2.8%) </w:t>
      </w:r>
      <w:r>
        <w:t xml:space="preserve">did not provide consent, 19 </w:t>
      </w:r>
      <w:r w:rsidR="009F4C50">
        <w:t xml:space="preserve">(0.9%) </w:t>
      </w:r>
      <w:r>
        <w:t>were unavailable for assessment during the data collection period</w:t>
      </w:r>
      <w:r w:rsidR="00402C53">
        <w:t xml:space="preserve">, </w:t>
      </w:r>
      <w:r>
        <w:t xml:space="preserve">and 15 </w:t>
      </w:r>
      <w:r w:rsidR="009F4C50">
        <w:t xml:space="preserve">(0.7%) </w:t>
      </w:r>
      <w:r>
        <w:t>died prior to being assessed. As a result, 1,877 clinical assessmen</w:t>
      </w:r>
      <w:r w:rsidR="002821DC">
        <w:t>ts were available for analysis.</w:t>
      </w:r>
    </w:p>
    <w:p w14:paraId="2131B948" w14:textId="77777777" w:rsidR="00447245" w:rsidRPr="00BB2D69" w:rsidRDefault="00447245" w:rsidP="00655C02">
      <w:pPr>
        <w:spacing w:before="120" w:after="120"/>
      </w:pPr>
      <w:r>
        <w:t>Clinical assessments were uploaded via an online form into a relational database. The data w</w:t>
      </w:r>
      <w:r w:rsidR="00DF625A">
        <w:t>ere</w:t>
      </w:r>
      <w:r>
        <w:t xml:space="preserve"> subsequently extracted into a spreads</w:t>
      </w:r>
      <w:r w:rsidR="002821DC">
        <w:t>heet and prepared for analysis.</w:t>
      </w:r>
    </w:p>
    <w:p w14:paraId="0B9DBEC6" w14:textId="77777777" w:rsidR="00447245" w:rsidRDefault="00447245" w:rsidP="0016396F">
      <w:pPr>
        <w:pStyle w:val="Heading3"/>
      </w:pPr>
      <w:r>
        <w:t xml:space="preserve">Overview of </w:t>
      </w:r>
      <w:r w:rsidR="00457DB6">
        <w:t xml:space="preserve">resident </w:t>
      </w:r>
      <w:r>
        <w:t>assessment data quality</w:t>
      </w:r>
    </w:p>
    <w:p w14:paraId="3DAC6D93" w14:textId="77777777" w:rsidR="00447245" w:rsidRDefault="00447245" w:rsidP="00B414AA">
      <w:pPr>
        <w:spacing w:before="120" w:after="120"/>
      </w:pPr>
      <w:r>
        <w:t>The 1,877 clinical assessment</w:t>
      </w:r>
      <w:r w:rsidR="009F4C50">
        <w:t xml:space="preserve">s </w:t>
      </w:r>
      <w:r>
        <w:t>w</w:t>
      </w:r>
      <w:r w:rsidR="009F4C50">
        <w:t>ere</w:t>
      </w:r>
      <w:r>
        <w:t xml:space="preserve"> </w:t>
      </w:r>
      <w:r w:rsidR="00806395">
        <w:t xml:space="preserve">assessed </w:t>
      </w:r>
      <w:r>
        <w:t>for completeness, consistency, accuracy, validity, and timeliness.</w:t>
      </w:r>
    </w:p>
    <w:p w14:paraId="1AF46A5C" w14:textId="77777777" w:rsidR="00447245" w:rsidRDefault="00447245" w:rsidP="004422F4">
      <w:pPr>
        <w:pStyle w:val="Heading4"/>
        <w:numPr>
          <w:ilvl w:val="0"/>
          <w:numId w:val="0"/>
        </w:numPr>
        <w:ind w:left="864" w:hanging="864"/>
      </w:pPr>
      <w:r>
        <w:t>Completeness</w:t>
      </w:r>
    </w:p>
    <w:p w14:paraId="2DA1099D" w14:textId="77777777" w:rsidR="008C5F92" w:rsidRDefault="00447245" w:rsidP="00AC2F3B">
      <w:pPr>
        <w:pStyle w:val="Normal-nospacing"/>
      </w:pPr>
      <w:r>
        <w:t>Data completeness for each of the clinical measures was tested</w:t>
      </w:r>
      <w:r w:rsidR="00457DB6">
        <w:t xml:space="preserve">. </w:t>
      </w:r>
      <w:r>
        <w:t xml:space="preserve">The </w:t>
      </w:r>
      <w:r w:rsidR="009F4C50" w:rsidRPr="009F4C50">
        <w:t xml:space="preserve">Resource Utilisation Groups </w:t>
      </w:r>
      <w:r w:rsidR="003D4B07">
        <w:t>–</w:t>
      </w:r>
      <w:r w:rsidR="009F4C50" w:rsidRPr="009F4C50">
        <w:t xml:space="preserve"> Activities of Daily Living</w:t>
      </w:r>
      <w:r w:rsidR="009F4C50">
        <w:t xml:space="preserve"> (</w:t>
      </w:r>
      <w:r>
        <w:t>RUG</w:t>
      </w:r>
      <w:r w:rsidR="00F528A2">
        <w:t>-</w:t>
      </w:r>
      <w:r>
        <w:t>ADL</w:t>
      </w:r>
      <w:r w:rsidR="009F4C50">
        <w:t>)</w:t>
      </w:r>
      <w:r>
        <w:t xml:space="preserve"> score, Australia</w:t>
      </w:r>
      <w:r w:rsidR="00534F50">
        <w:t>-m</w:t>
      </w:r>
      <w:r>
        <w:t>odified Karnofsky Performance S</w:t>
      </w:r>
      <w:r w:rsidR="003B75B6">
        <w:t>tatus</w:t>
      </w:r>
      <w:r w:rsidR="009F4C50">
        <w:t xml:space="preserve"> (AKPS)</w:t>
      </w:r>
      <w:r>
        <w:t>, Rockwood Clinical Frailty Scale, Braden Scale, technical nursing, palliative care and frailty measures all had completion rates of greater than 97%. The lowest completion rates occurred in the De Morton Mobility Index</w:t>
      </w:r>
      <w:r w:rsidR="009F4C50">
        <w:t xml:space="preserve"> (DEMMI)</w:t>
      </w:r>
      <w:r>
        <w:t xml:space="preserve"> (94.6%), the </w:t>
      </w:r>
      <w:r w:rsidR="003F2818">
        <w:t>Australian</w:t>
      </w:r>
      <w:r w:rsidR="003B75B6">
        <w:t xml:space="preserve"> M</w:t>
      </w:r>
      <w:r w:rsidR="003F2818">
        <w:t xml:space="preserve">odified </w:t>
      </w:r>
      <w:r>
        <w:t xml:space="preserve">Functional Independence Measure </w:t>
      </w:r>
      <w:r w:rsidR="009F4C50">
        <w:t>(</w:t>
      </w:r>
      <w:r w:rsidR="003F2818">
        <w:t>AM-</w:t>
      </w:r>
      <w:r w:rsidR="009F4C50">
        <w:t xml:space="preserve">FIM) </w:t>
      </w:r>
      <w:r>
        <w:t>(92.5%) and the Neuropsychiatric Inventory</w:t>
      </w:r>
      <w:r w:rsidR="00BE5FBE">
        <w:t xml:space="preserve"> </w:t>
      </w:r>
      <w:r w:rsidR="00BE5FBE">
        <w:rPr>
          <w:rFonts w:ascii="Calibri" w:hAnsi="Calibri" w:cs="Calibri"/>
          <w:color w:val="000000"/>
          <w:sz w:val="20"/>
          <w:szCs w:val="20"/>
        </w:rPr>
        <w:t xml:space="preserve">– </w:t>
      </w:r>
      <w:r w:rsidR="00F067AF">
        <w:t>Nursing Home</w:t>
      </w:r>
      <w:r>
        <w:t xml:space="preserve"> </w:t>
      </w:r>
      <w:r w:rsidR="00F067AF">
        <w:t xml:space="preserve">(NPI-NH) </w:t>
      </w:r>
      <w:r w:rsidR="002821DC">
        <w:t>questions (88.7%).</w:t>
      </w:r>
    </w:p>
    <w:p w14:paraId="15FA9CBC" w14:textId="77777777" w:rsidR="008C5F92" w:rsidRDefault="008C5F92" w:rsidP="00AC2F3B">
      <w:pPr>
        <w:pStyle w:val="Normal-nospacing"/>
        <w:rPr>
          <w:b/>
        </w:rPr>
      </w:pPr>
      <w:r w:rsidRPr="00B20926">
        <w:t xml:space="preserve">Clinical guidance was sought to </w:t>
      </w:r>
      <w:r w:rsidR="002E27E5" w:rsidRPr="00B20926">
        <w:t xml:space="preserve">allow </w:t>
      </w:r>
      <w:r w:rsidRPr="00B20926">
        <w:t xml:space="preserve">the imputation of </w:t>
      </w:r>
      <w:r w:rsidR="002E27E5" w:rsidRPr="00B20926">
        <w:t xml:space="preserve">missing </w:t>
      </w:r>
      <w:r w:rsidR="002171DD" w:rsidRPr="00B20926">
        <w:t xml:space="preserve">data items </w:t>
      </w:r>
      <w:r w:rsidR="002E27E5" w:rsidRPr="00B20926">
        <w:t xml:space="preserve">where appropriate. </w:t>
      </w:r>
      <w:r w:rsidRPr="00B20926">
        <w:t xml:space="preserve">A total of 462 missing items were imputed, representing 0.4% of all data items. </w:t>
      </w:r>
      <w:r w:rsidR="002E27E5" w:rsidRPr="00B20926">
        <w:t>Following this</w:t>
      </w:r>
      <w:r w:rsidR="002E27E5" w:rsidRPr="002E27E5">
        <w:t xml:space="preserve"> process, the completion rate was greater than or equal to 9</w:t>
      </w:r>
      <w:r w:rsidR="00457DB6">
        <w:t>6</w:t>
      </w:r>
      <w:r w:rsidR="002E27E5" w:rsidRPr="002E27E5">
        <w:t xml:space="preserve">% for all data </w:t>
      </w:r>
      <w:r w:rsidR="002E27E5" w:rsidRPr="006D508F">
        <w:t xml:space="preserve">items. </w:t>
      </w:r>
      <w:r w:rsidR="006D508F" w:rsidRPr="006D508F">
        <w:rPr>
          <w:b/>
        </w:rPr>
        <w:fldChar w:fldCharType="begin"/>
      </w:r>
      <w:r w:rsidR="006D508F" w:rsidRPr="006D508F">
        <w:instrText xml:space="preserve"> REF _Ref529164548 \h  \* MERGEFORMAT </w:instrText>
      </w:r>
      <w:r w:rsidR="006D508F" w:rsidRPr="006D508F">
        <w:rPr>
          <w:b/>
        </w:rPr>
      </w:r>
      <w:r w:rsidR="006D508F" w:rsidRPr="006D508F">
        <w:rPr>
          <w:b/>
        </w:rPr>
        <w:fldChar w:fldCharType="separate"/>
      </w:r>
      <w:r w:rsidR="00EE18C8">
        <w:t xml:space="preserve">Table </w:t>
      </w:r>
      <w:r w:rsidR="00EE18C8">
        <w:rPr>
          <w:noProof/>
        </w:rPr>
        <w:t>1</w:t>
      </w:r>
      <w:r w:rsidR="006D508F" w:rsidRPr="006D508F">
        <w:rPr>
          <w:b/>
        </w:rPr>
        <w:fldChar w:fldCharType="end"/>
      </w:r>
      <w:r w:rsidR="006D508F">
        <w:t xml:space="preserve"> </w:t>
      </w:r>
      <w:r w:rsidR="00123C99" w:rsidRPr="002E27E5">
        <w:t xml:space="preserve">shows the completion rate </w:t>
      </w:r>
      <w:r w:rsidR="006D508F">
        <w:t xml:space="preserve">for </w:t>
      </w:r>
      <w:r w:rsidR="00457DB6">
        <w:t xml:space="preserve">each </w:t>
      </w:r>
      <w:r w:rsidR="00123C99" w:rsidRPr="002E27E5">
        <w:t>clinical measure before and after th</w:t>
      </w:r>
      <w:r w:rsidR="00457DB6">
        <w:t>e data imputation</w:t>
      </w:r>
      <w:r w:rsidR="00123C99" w:rsidRPr="002E27E5">
        <w:t>.</w:t>
      </w:r>
      <w:r w:rsidR="00123C99">
        <w:t xml:space="preserve"> </w:t>
      </w:r>
      <w:r w:rsidR="002E27E5" w:rsidRPr="00AB0DC3">
        <w:t xml:space="preserve">A summary of the rules </w:t>
      </w:r>
      <w:r w:rsidR="00457DB6">
        <w:t xml:space="preserve">applied in this process </w:t>
      </w:r>
      <w:r w:rsidR="00BF751F">
        <w:t>is included in Report 7</w:t>
      </w:r>
      <w:r w:rsidR="00534F50">
        <w:t>.</w:t>
      </w:r>
    </w:p>
    <w:p w14:paraId="4A5BA3D3" w14:textId="77777777" w:rsidR="008C5F92" w:rsidRPr="008C5F92" w:rsidRDefault="004422F4" w:rsidP="004422F4">
      <w:pPr>
        <w:pStyle w:val="Caption"/>
      </w:pPr>
      <w:bookmarkStart w:id="52" w:name="_Ref529164548"/>
      <w:bookmarkStart w:id="53" w:name="_Toc2065663"/>
      <w:r>
        <w:t xml:space="preserve">Table </w:t>
      </w:r>
      <w:r w:rsidR="0000366F">
        <w:rPr>
          <w:noProof/>
        </w:rPr>
        <w:fldChar w:fldCharType="begin"/>
      </w:r>
      <w:r w:rsidR="0000366F">
        <w:rPr>
          <w:noProof/>
        </w:rPr>
        <w:instrText xml:space="preserve"> SEQ Table \* ARABIC </w:instrText>
      </w:r>
      <w:r w:rsidR="0000366F">
        <w:rPr>
          <w:noProof/>
        </w:rPr>
        <w:fldChar w:fldCharType="separate"/>
      </w:r>
      <w:r w:rsidR="00EE18C8">
        <w:rPr>
          <w:noProof/>
        </w:rPr>
        <w:t>1</w:t>
      </w:r>
      <w:r w:rsidR="0000366F">
        <w:rPr>
          <w:noProof/>
        </w:rPr>
        <w:fldChar w:fldCharType="end"/>
      </w:r>
      <w:bookmarkEnd w:id="52"/>
      <w:r w:rsidR="00CF61F8">
        <w:rPr>
          <w:noProof/>
        </w:rPr>
        <w:t xml:space="preserve"> </w:t>
      </w:r>
      <w:r w:rsidR="00FB05DE">
        <w:rPr>
          <w:noProof/>
        </w:rPr>
        <w:tab/>
      </w:r>
      <w:r w:rsidR="00C62BD9" w:rsidRPr="00C62BD9">
        <w:t>Completion rate for clinical measure</w:t>
      </w:r>
      <w:r w:rsidR="001627D3">
        <w:t>s</w:t>
      </w:r>
      <w:r w:rsidR="00C62BD9" w:rsidRPr="00C62BD9">
        <w:t xml:space="preserve"> before </w:t>
      </w:r>
      <w:r w:rsidR="001627D3">
        <w:t xml:space="preserve">and after </w:t>
      </w:r>
      <w:r w:rsidR="00C62BD9" w:rsidRPr="00C62BD9">
        <w:t>data cleansing</w:t>
      </w:r>
      <w:bookmarkEnd w:id="53"/>
    </w:p>
    <w:tbl>
      <w:tblPr>
        <w:tblStyle w:val="TableGrid"/>
        <w:tblW w:w="0" w:type="auto"/>
        <w:tblLook w:val="04A0" w:firstRow="1" w:lastRow="0" w:firstColumn="1" w:lastColumn="0" w:noHBand="0" w:noVBand="1"/>
        <w:tblCaption w:val="Completion rate for clinical measures before and after data cleansing"/>
        <w:tblDescription w:val="Table 1 shows the completion rate for clinical measures of between 88.7 percent and 99.7 percent before data clensing and of between 96 percent and 99.9 percent after data clensing. This table should be read as a series of rows from left to right ('Clinical measure' then 'number and percent complete pre-cleansing' then 'number and percent complete post-cleansing')."/>
      </w:tblPr>
      <w:tblGrid>
        <w:gridCol w:w="1653"/>
        <w:gridCol w:w="3429"/>
        <w:gridCol w:w="3514"/>
      </w:tblGrid>
      <w:tr w:rsidR="001627D3" w:rsidRPr="00534F50" w14:paraId="0B37802A" w14:textId="77777777" w:rsidTr="00D6251D">
        <w:trPr>
          <w:tblHeader/>
        </w:trPr>
        <w:tc>
          <w:tcPr>
            <w:tcW w:w="0" w:type="auto"/>
            <w:shd w:val="clear" w:color="auto" w:fill="D9D9D9" w:themeFill="background1" w:themeFillShade="D9"/>
          </w:tcPr>
          <w:p w14:paraId="38A8B317" w14:textId="77777777" w:rsidR="001627D3" w:rsidRPr="00534F50" w:rsidRDefault="001627D3" w:rsidP="00E67BD0">
            <w:pPr>
              <w:spacing w:before="40" w:after="40"/>
              <w:rPr>
                <w:b/>
                <w:sz w:val="20"/>
                <w:szCs w:val="20"/>
              </w:rPr>
            </w:pPr>
            <w:r w:rsidRPr="00534F50">
              <w:rPr>
                <w:b/>
                <w:sz w:val="20"/>
                <w:szCs w:val="20"/>
              </w:rPr>
              <w:t>Clinical Measure</w:t>
            </w:r>
          </w:p>
        </w:tc>
        <w:tc>
          <w:tcPr>
            <w:tcW w:w="0" w:type="auto"/>
            <w:shd w:val="clear" w:color="auto" w:fill="D9D9D9" w:themeFill="background1" w:themeFillShade="D9"/>
          </w:tcPr>
          <w:p w14:paraId="3AEB403D" w14:textId="77777777" w:rsidR="001627D3" w:rsidRPr="00534F50" w:rsidRDefault="001627D3" w:rsidP="001627D3">
            <w:pPr>
              <w:spacing w:before="40" w:after="40"/>
              <w:jc w:val="right"/>
              <w:rPr>
                <w:b/>
                <w:sz w:val="20"/>
                <w:szCs w:val="20"/>
              </w:rPr>
            </w:pPr>
            <w:r w:rsidRPr="00534F50">
              <w:rPr>
                <w:b/>
                <w:sz w:val="20"/>
                <w:szCs w:val="20"/>
              </w:rPr>
              <w:t>Number and % complete pre</w:t>
            </w:r>
            <w:r w:rsidR="008C5F92" w:rsidRPr="00534F50">
              <w:rPr>
                <w:b/>
                <w:sz w:val="20"/>
                <w:szCs w:val="20"/>
              </w:rPr>
              <w:t>-cleansing</w:t>
            </w:r>
          </w:p>
          <w:p w14:paraId="6E0C378E" w14:textId="77777777" w:rsidR="006D508F" w:rsidRPr="00534F50" w:rsidRDefault="006D508F" w:rsidP="006D508F">
            <w:pPr>
              <w:spacing w:before="40" w:after="40"/>
              <w:jc w:val="right"/>
              <w:rPr>
                <w:b/>
                <w:sz w:val="20"/>
                <w:szCs w:val="20"/>
              </w:rPr>
            </w:pPr>
            <w:r w:rsidRPr="00534F50">
              <w:rPr>
                <w:b/>
                <w:sz w:val="20"/>
                <w:szCs w:val="20"/>
              </w:rPr>
              <w:t>n (%)</w:t>
            </w:r>
          </w:p>
        </w:tc>
        <w:tc>
          <w:tcPr>
            <w:tcW w:w="0" w:type="auto"/>
            <w:shd w:val="clear" w:color="auto" w:fill="D9D9D9" w:themeFill="background1" w:themeFillShade="D9"/>
          </w:tcPr>
          <w:p w14:paraId="65BC22CB" w14:textId="77777777" w:rsidR="001627D3" w:rsidRPr="00534F50" w:rsidRDefault="001627D3" w:rsidP="008C5F92">
            <w:pPr>
              <w:spacing w:before="40" w:after="40"/>
              <w:jc w:val="right"/>
              <w:rPr>
                <w:b/>
                <w:sz w:val="20"/>
                <w:szCs w:val="20"/>
              </w:rPr>
            </w:pPr>
            <w:r w:rsidRPr="00534F50">
              <w:rPr>
                <w:b/>
                <w:sz w:val="20"/>
                <w:szCs w:val="20"/>
              </w:rPr>
              <w:t>Number and % complete pos</w:t>
            </w:r>
            <w:r w:rsidR="008C5F92" w:rsidRPr="00534F50">
              <w:rPr>
                <w:b/>
                <w:sz w:val="20"/>
                <w:szCs w:val="20"/>
              </w:rPr>
              <w:t>t-cleansing</w:t>
            </w:r>
          </w:p>
          <w:p w14:paraId="7D8FA846" w14:textId="77777777" w:rsidR="006D508F" w:rsidRPr="00534F50" w:rsidRDefault="006D508F" w:rsidP="008C5F92">
            <w:pPr>
              <w:spacing w:before="40" w:after="40"/>
              <w:jc w:val="right"/>
              <w:rPr>
                <w:b/>
                <w:sz w:val="20"/>
                <w:szCs w:val="20"/>
              </w:rPr>
            </w:pPr>
            <w:r w:rsidRPr="00534F50">
              <w:rPr>
                <w:b/>
                <w:sz w:val="20"/>
                <w:szCs w:val="20"/>
              </w:rPr>
              <w:t>n (%)</w:t>
            </w:r>
          </w:p>
        </w:tc>
      </w:tr>
      <w:tr w:rsidR="008C5F92" w:rsidRPr="00534F50" w14:paraId="776D8C2A" w14:textId="77777777" w:rsidTr="00D6251D">
        <w:tc>
          <w:tcPr>
            <w:tcW w:w="0" w:type="auto"/>
          </w:tcPr>
          <w:p w14:paraId="6B3C931D" w14:textId="77777777" w:rsidR="008C5F92" w:rsidRPr="00534F50" w:rsidRDefault="008C5F92" w:rsidP="00F528A2">
            <w:pPr>
              <w:spacing w:before="40" w:after="40"/>
              <w:rPr>
                <w:sz w:val="20"/>
                <w:szCs w:val="20"/>
              </w:rPr>
            </w:pPr>
            <w:r w:rsidRPr="00534F50">
              <w:rPr>
                <w:sz w:val="20"/>
                <w:szCs w:val="20"/>
              </w:rPr>
              <w:t>RUG</w:t>
            </w:r>
            <w:r w:rsidR="00B667C6">
              <w:rPr>
                <w:sz w:val="20"/>
                <w:szCs w:val="20"/>
              </w:rPr>
              <w:t>-</w:t>
            </w:r>
            <w:r w:rsidRPr="00534F50">
              <w:rPr>
                <w:sz w:val="20"/>
                <w:szCs w:val="20"/>
              </w:rPr>
              <w:t>ADL</w:t>
            </w:r>
          </w:p>
        </w:tc>
        <w:tc>
          <w:tcPr>
            <w:tcW w:w="0" w:type="auto"/>
            <w:vAlign w:val="bottom"/>
          </w:tcPr>
          <w:p w14:paraId="0DE4A0CC"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1,859 (99.0%)</w:t>
            </w:r>
          </w:p>
        </w:tc>
        <w:tc>
          <w:tcPr>
            <w:tcW w:w="0" w:type="auto"/>
            <w:vAlign w:val="bottom"/>
          </w:tcPr>
          <w:p w14:paraId="16F95CE5"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1,876 (99.9%)</w:t>
            </w:r>
          </w:p>
        </w:tc>
      </w:tr>
      <w:tr w:rsidR="008C5F92" w:rsidRPr="00534F50" w14:paraId="0ABD419E" w14:textId="77777777" w:rsidTr="00D6251D">
        <w:tc>
          <w:tcPr>
            <w:tcW w:w="0" w:type="auto"/>
          </w:tcPr>
          <w:p w14:paraId="40A71255" w14:textId="77777777" w:rsidR="008C5F92" w:rsidRPr="00534F50" w:rsidRDefault="008C5F92" w:rsidP="008C5F92">
            <w:pPr>
              <w:spacing w:before="40" w:after="40"/>
              <w:rPr>
                <w:sz w:val="20"/>
                <w:szCs w:val="20"/>
              </w:rPr>
            </w:pPr>
            <w:r w:rsidRPr="00534F50">
              <w:rPr>
                <w:sz w:val="20"/>
                <w:szCs w:val="20"/>
              </w:rPr>
              <w:t>AKPS</w:t>
            </w:r>
          </w:p>
        </w:tc>
        <w:tc>
          <w:tcPr>
            <w:tcW w:w="0" w:type="auto"/>
            <w:vAlign w:val="bottom"/>
          </w:tcPr>
          <w:p w14:paraId="64771015"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1,872 (99.7%)</w:t>
            </w:r>
          </w:p>
        </w:tc>
        <w:tc>
          <w:tcPr>
            <w:tcW w:w="0" w:type="auto"/>
            <w:vAlign w:val="bottom"/>
          </w:tcPr>
          <w:p w14:paraId="46B0E13A"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1,876 (99.9%)</w:t>
            </w:r>
          </w:p>
        </w:tc>
      </w:tr>
      <w:tr w:rsidR="008C5F92" w:rsidRPr="00534F50" w14:paraId="29A417ED" w14:textId="77777777" w:rsidTr="00D6251D">
        <w:tc>
          <w:tcPr>
            <w:tcW w:w="0" w:type="auto"/>
          </w:tcPr>
          <w:p w14:paraId="198B122F" w14:textId="77777777" w:rsidR="008C5F92" w:rsidRPr="00534F50" w:rsidRDefault="008C5F92" w:rsidP="008C5F92">
            <w:pPr>
              <w:spacing w:before="40" w:after="40"/>
              <w:rPr>
                <w:sz w:val="20"/>
                <w:szCs w:val="20"/>
              </w:rPr>
            </w:pPr>
            <w:r w:rsidRPr="00534F50">
              <w:rPr>
                <w:sz w:val="20"/>
                <w:szCs w:val="20"/>
              </w:rPr>
              <w:t>Rockwood</w:t>
            </w:r>
          </w:p>
        </w:tc>
        <w:tc>
          <w:tcPr>
            <w:tcW w:w="0" w:type="auto"/>
            <w:vAlign w:val="bottom"/>
          </w:tcPr>
          <w:p w14:paraId="07454901"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1,863 (99.3%)</w:t>
            </w:r>
          </w:p>
        </w:tc>
        <w:tc>
          <w:tcPr>
            <w:tcW w:w="0" w:type="auto"/>
            <w:vAlign w:val="bottom"/>
          </w:tcPr>
          <w:p w14:paraId="080E5A1F"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1,863 (99.3%)</w:t>
            </w:r>
          </w:p>
        </w:tc>
      </w:tr>
      <w:tr w:rsidR="008C5F92" w:rsidRPr="00534F50" w14:paraId="1C472EF2" w14:textId="77777777" w:rsidTr="00D6251D">
        <w:tc>
          <w:tcPr>
            <w:tcW w:w="0" w:type="auto"/>
          </w:tcPr>
          <w:p w14:paraId="1736AF93" w14:textId="77777777" w:rsidR="008C5F92" w:rsidRPr="00534F50" w:rsidRDefault="008C5F92" w:rsidP="008C5F92">
            <w:pPr>
              <w:spacing w:before="40" w:after="40"/>
              <w:rPr>
                <w:sz w:val="20"/>
                <w:szCs w:val="20"/>
              </w:rPr>
            </w:pPr>
            <w:r w:rsidRPr="00534F50">
              <w:rPr>
                <w:sz w:val="20"/>
                <w:szCs w:val="20"/>
              </w:rPr>
              <w:t>Braden</w:t>
            </w:r>
          </w:p>
        </w:tc>
        <w:tc>
          <w:tcPr>
            <w:tcW w:w="0" w:type="auto"/>
            <w:vAlign w:val="bottom"/>
          </w:tcPr>
          <w:p w14:paraId="27FA5107"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1,837 (97.9%)</w:t>
            </w:r>
          </w:p>
        </w:tc>
        <w:tc>
          <w:tcPr>
            <w:tcW w:w="0" w:type="auto"/>
            <w:vAlign w:val="bottom"/>
          </w:tcPr>
          <w:p w14:paraId="49033CFA"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1,864 (99.3%)</w:t>
            </w:r>
          </w:p>
        </w:tc>
      </w:tr>
      <w:tr w:rsidR="008C5F92" w:rsidRPr="00534F50" w14:paraId="65DAD993" w14:textId="77777777" w:rsidTr="00D6251D">
        <w:tc>
          <w:tcPr>
            <w:tcW w:w="0" w:type="auto"/>
          </w:tcPr>
          <w:p w14:paraId="71E0B182" w14:textId="77777777" w:rsidR="002516E2" w:rsidRPr="00534F50" w:rsidRDefault="008C5F92" w:rsidP="008C5F92">
            <w:pPr>
              <w:spacing w:before="40" w:after="40"/>
              <w:rPr>
                <w:sz w:val="20"/>
                <w:szCs w:val="20"/>
              </w:rPr>
            </w:pPr>
            <w:r w:rsidRPr="00534F50">
              <w:rPr>
                <w:sz w:val="20"/>
                <w:szCs w:val="20"/>
              </w:rPr>
              <w:t>Technical Nursing</w:t>
            </w:r>
          </w:p>
        </w:tc>
        <w:tc>
          <w:tcPr>
            <w:tcW w:w="0" w:type="auto"/>
            <w:vAlign w:val="bottom"/>
          </w:tcPr>
          <w:p w14:paraId="5406BFE3"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1,865 (99.4%)</w:t>
            </w:r>
          </w:p>
        </w:tc>
        <w:tc>
          <w:tcPr>
            <w:tcW w:w="0" w:type="auto"/>
            <w:vAlign w:val="bottom"/>
          </w:tcPr>
          <w:p w14:paraId="21FC4474"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1,865 (99.4%)</w:t>
            </w:r>
          </w:p>
        </w:tc>
      </w:tr>
      <w:tr w:rsidR="008C5F92" w:rsidRPr="00534F50" w14:paraId="25A4AC4A" w14:textId="77777777" w:rsidTr="00D6251D">
        <w:tc>
          <w:tcPr>
            <w:tcW w:w="0" w:type="auto"/>
          </w:tcPr>
          <w:p w14:paraId="17D9C887" w14:textId="77777777" w:rsidR="008C5F92" w:rsidRPr="00534F50" w:rsidRDefault="008C5F92" w:rsidP="008C5F92">
            <w:pPr>
              <w:spacing w:before="40" w:after="40"/>
              <w:rPr>
                <w:sz w:val="20"/>
                <w:szCs w:val="20"/>
              </w:rPr>
            </w:pPr>
            <w:r w:rsidRPr="00534F50">
              <w:rPr>
                <w:sz w:val="20"/>
                <w:szCs w:val="20"/>
              </w:rPr>
              <w:t>Palliative care</w:t>
            </w:r>
          </w:p>
        </w:tc>
        <w:tc>
          <w:tcPr>
            <w:tcW w:w="0" w:type="auto"/>
            <w:vAlign w:val="bottom"/>
          </w:tcPr>
          <w:p w14:paraId="18EE9AA4"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1,858 (99.0%)</w:t>
            </w:r>
          </w:p>
        </w:tc>
        <w:tc>
          <w:tcPr>
            <w:tcW w:w="0" w:type="auto"/>
            <w:vAlign w:val="bottom"/>
          </w:tcPr>
          <w:p w14:paraId="14AF56E1"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1,858 (99.0%)</w:t>
            </w:r>
          </w:p>
        </w:tc>
      </w:tr>
      <w:tr w:rsidR="008C5F92" w:rsidRPr="00534F50" w14:paraId="15FA13CF" w14:textId="77777777" w:rsidTr="00BF751F">
        <w:tc>
          <w:tcPr>
            <w:tcW w:w="0" w:type="auto"/>
          </w:tcPr>
          <w:p w14:paraId="39724F5A" w14:textId="77777777" w:rsidR="008C5F92" w:rsidRPr="00534F50" w:rsidRDefault="008C5F92" w:rsidP="008C5F92">
            <w:pPr>
              <w:spacing w:before="40" w:after="40"/>
              <w:rPr>
                <w:sz w:val="20"/>
                <w:szCs w:val="20"/>
              </w:rPr>
            </w:pPr>
            <w:r w:rsidRPr="00534F50">
              <w:rPr>
                <w:sz w:val="20"/>
                <w:szCs w:val="20"/>
              </w:rPr>
              <w:t>Frailty</w:t>
            </w:r>
          </w:p>
        </w:tc>
        <w:tc>
          <w:tcPr>
            <w:tcW w:w="0" w:type="auto"/>
            <w:tcBorders>
              <w:bottom w:val="single" w:sz="4" w:space="0" w:color="auto"/>
            </w:tcBorders>
            <w:vAlign w:val="bottom"/>
          </w:tcPr>
          <w:p w14:paraId="715AF992"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1,863 (99.3%)</w:t>
            </w:r>
          </w:p>
        </w:tc>
        <w:tc>
          <w:tcPr>
            <w:tcW w:w="0" w:type="auto"/>
            <w:tcBorders>
              <w:bottom w:val="single" w:sz="4" w:space="0" w:color="auto"/>
            </w:tcBorders>
            <w:vAlign w:val="bottom"/>
          </w:tcPr>
          <w:p w14:paraId="4A2559FD"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1,863 (99.3%)</w:t>
            </w:r>
          </w:p>
        </w:tc>
      </w:tr>
      <w:tr w:rsidR="008C5F92" w:rsidRPr="00534F50" w14:paraId="74003D17" w14:textId="77777777" w:rsidTr="00BF751F">
        <w:tc>
          <w:tcPr>
            <w:tcW w:w="0" w:type="auto"/>
          </w:tcPr>
          <w:p w14:paraId="35D697F5" w14:textId="77777777" w:rsidR="008C5F92" w:rsidRPr="00534F50" w:rsidRDefault="008C5F92" w:rsidP="008C5F92">
            <w:pPr>
              <w:spacing w:before="40" w:after="40"/>
              <w:rPr>
                <w:sz w:val="20"/>
                <w:szCs w:val="20"/>
              </w:rPr>
            </w:pPr>
            <w:r w:rsidRPr="00534F50">
              <w:rPr>
                <w:sz w:val="20"/>
                <w:szCs w:val="20"/>
              </w:rPr>
              <w:lastRenderedPageBreak/>
              <w:t>Raw DEMMI</w:t>
            </w:r>
          </w:p>
        </w:tc>
        <w:tc>
          <w:tcPr>
            <w:tcW w:w="0" w:type="auto"/>
            <w:tcBorders>
              <w:bottom w:val="single" w:sz="4" w:space="0" w:color="auto"/>
            </w:tcBorders>
            <w:vAlign w:val="bottom"/>
          </w:tcPr>
          <w:p w14:paraId="04906ED8"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1,775 (94.6%)</w:t>
            </w:r>
          </w:p>
        </w:tc>
        <w:tc>
          <w:tcPr>
            <w:tcW w:w="0" w:type="auto"/>
            <w:tcBorders>
              <w:bottom w:val="single" w:sz="4" w:space="0" w:color="auto"/>
            </w:tcBorders>
            <w:vAlign w:val="bottom"/>
          </w:tcPr>
          <w:p w14:paraId="33F909F8"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1,802 (96.0%)</w:t>
            </w:r>
          </w:p>
        </w:tc>
      </w:tr>
      <w:tr w:rsidR="008C5F92" w:rsidRPr="00534F50" w14:paraId="58031684" w14:textId="77777777" w:rsidTr="00BF751F">
        <w:tc>
          <w:tcPr>
            <w:tcW w:w="0" w:type="auto"/>
            <w:tcBorders>
              <w:right w:val="single" w:sz="4" w:space="0" w:color="auto"/>
            </w:tcBorders>
          </w:tcPr>
          <w:p w14:paraId="48349EEE" w14:textId="77777777" w:rsidR="008C5F92" w:rsidRPr="00534F50" w:rsidRDefault="003F2818" w:rsidP="008C5F92">
            <w:pPr>
              <w:spacing w:before="40" w:after="40"/>
              <w:rPr>
                <w:sz w:val="20"/>
                <w:szCs w:val="20"/>
              </w:rPr>
            </w:pPr>
            <w:r>
              <w:rPr>
                <w:sz w:val="20"/>
                <w:szCs w:val="20"/>
              </w:rPr>
              <w:t>AM-</w:t>
            </w:r>
            <w:r w:rsidR="008C5F92" w:rsidRPr="00534F50">
              <w:rPr>
                <w:sz w:val="20"/>
                <w:szCs w:val="20"/>
              </w:rPr>
              <w:t>FIM</w:t>
            </w:r>
          </w:p>
        </w:tc>
        <w:tc>
          <w:tcPr>
            <w:tcW w:w="0" w:type="auto"/>
            <w:tcBorders>
              <w:top w:val="single" w:sz="4" w:space="0" w:color="auto"/>
              <w:left w:val="single" w:sz="4" w:space="0" w:color="auto"/>
              <w:bottom w:val="single" w:sz="4" w:space="0" w:color="auto"/>
              <w:right w:val="single" w:sz="4" w:space="0" w:color="auto"/>
            </w:tcBorders>
            <w:vAlign w:val="bottom"/>
          </w:tcPr>
          <w:p w14:paraId="25C1E8CE"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1,736 (92.5%)</w:t>
            </w:r>
          </w:p>
        </w:tc>
        <w:tc>
          <w:tcPr>
            <w:tcW w:w="0" w:type="auto"/>
            <w:tcBorders>
              <w:top w:val="single" w:sz="4" w:space="0" w:color="auto"/>
              <w:left w:val="single" w:sz="4" w:space="0" w:color="auto"/>
              <w:bottom w:val="single" w:sz="4" w:space="0" w:color="auto"/>
              <w:right w:val="single" w:sz="4" w:space="0" w:color="auto"/>
            </w:tcBorders>
            <w:vAlign w:val="bottom"/>
          </w:tcPr>
          <w:p w14:paraId="1B0CE03C"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1,851 (98.6%)</w:t>
            </w:r>
          </w:p>
        </w:tc>
      </w:tr>
      <w:tr w:rsidR="008C5F92" w:rsidRPr="00534F50" w14:paraId="628376AD" w14:textId="77777777" w:rsidTr="00BF751F">
        <w:tc>
          <w:tcPr>
            <w:tcW w:w="0" w:type="auto"/>
            <w:tcBorders>
              <w:right w:val="single" w:sz="4" w:space="0" w:color="auto"/>
            </w:tcBorders>
          </w:tcPr>
          <w:p w14:paraId="0983B30D" w14:textId="77777777" w:rsidR="008C5F92" w:rsidRPr="00534F50" w:rsidRDefault="008C5F92" w:rsidP="008C5F92">
            <w:pPr>
              <w:spacing w:before="40" w:after="40"/>
              <w:rPr>
                <w:sz w:val="20"/>
                <w:szCs w:val="20"/>
              </w:rPr>
            </w:pPr>
            <w:r w:rsidRPr="00534F50">
              <w:rPr>
                <w:sz w:val="20"/>
                <w:szCs w:val="20"/>
              </w:rPr>
              <w:t>NPI-NH</w:t>
            </w:r>
          </w:p>
        </w:tc>
        <w:tc>
          <w:tcPr>
            <w:tcW w:w="0" w:type="auto"/>
            <w:tcBorders>
              <w:top w:val="single" w:sz="4" w:space="0" w:color="auto"/>
              <w:left w:val="single" w:sz="4" w:space="0" w:color="auto"/>
              <w:bottom w:val="single" w:sz="4" w:space="0" w:color="auto"/>
              <w:right w:val="single" w:sz="4" w:space="0" w:color="auto"/>
            </w:tcBorders>
            <w:vAlign w:val="bottom"/>
          </w:tcPr>
          <w:p w14:paraId="1C78BF2F"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1,664 (88.7%)</w:t>
            </w:r>
          </w:p>
        </w:tc>
        <w:tc>
          <w:tcPr>
            <w:tcW w:w="0" w:type="auto"/>
            <w:tcBorders>
              <w:top w:val="single" w:sz="4" w:space="0" w:color="auto"/>
              <w:left w:val="single" w:sz="4" w:space="0" w:color="auto"/>
              <w:bottom w:val="single" w:sz="4" w:space="0" w:color="auto"/>
              <w:right w:val="single" w:sz="4" w:space="0" w:color="auto"/>
            </w:tcBorders>
            <w:vAlign w:val="bottom"/>
          </w:tcPr>
          <w:p w14:paraId="5F4B3029" w14:textId="77777777" w:rsidR="008C5F92" w:rsidRPr="00534F50" w:rsidRDefault="008C5F92" w:rsidP="008C5F92">
            <w:pPr>
              <w:spacing w:before="40" w:after="40"/>
              <w:jc w:val="right"/>
              <w:rPr>
                <w:rFonts w:ascii="Calibri" w:hAnsi="Calibri"/>
                <w:color w:val="000000"/>
                <w:sz w:val="20"/>
                <w:szCs w:val="20"/>
              </w:rPr>
            </w:pPr>
            <w:r w:rsidRPr="00534F50">
              <w:rPr>
                <w:rFonts w:ascii="Calibri" w:hAnsi="Calibri"/>
                <w:color w:val="000000"/>
                <w:sz w:val="20"/>
                <w:szCs w:val="20"/>
              </w:rPr>
              <w:t>1,823 (97.1%)</w:t>
            </w:r>
          </w:p>
        </w:tc>
      </w:tr>
    </w:tbl>
    <w:p w14:paraId="686CA642" w14:textId="77777777" w:rsidR="00447245" w:rsidRDefault="00447245" w:rsidP="004422F4">
      <w:pPr>
        <w:pStyle w:val="Heading4"/>
        <w:numPr>
          <w:ilvl w:val="0"/>
          <w:numId w:val="0"/>
        </w:numPr>
        <w:ind w:left="864" w:hanging="864"/>
      </w:pPr>
      <w:r>
        <w:t>Consistency</w:t>
      </w:r>
    </w:p>
    <w:p w14:paraId="2B3322E5" w14:textId="77777777" w:rsidR="00447245" w:rsidRDefault="00447245" w:rsidP="00447245">
      <w:r>
        <w:t xml:space="preserve">Data consistency of the clinical assessment data was </w:t>
      </w:r>
      <w:r w:rsidR="00457DB6">
        <w:t>maximised</w:t>
      </w:r>
      <w:r w:rsidR="002F2BE1">
        <w:t xml:space="preserve"> through a mechanism where </w:t>
      </w:r>
      <w:r>
        <w:t>assessors enter</w:t>
      </w:r>
      <w:r w:rsidR="002F2BE1">
        <w:t>ed</w:t>
      </w:r>
      <w:r>
        <w:t xml:space="preserve"> </w:t>
      </w:r>
      <w:r w:rsidR="00457DB6">
        <w:t xml:space="preserve">scores </w:t>
      </w:r>
      <w:r>
        <w:t>into an online data collection system that restricted item responses to a pre-defined list. The online system also ensured that the data w</w:t>
      </w:r>
      <w:r w:rsidR="00BF751F">
        <w:t xml:space="preserve">ere </w:t>
      </w:r>
      <w:r>
        <w:t xml:space="preserve">collected in a consistent format, which </w:t>
      </w:r>
      <w:r w:rsidR="00806395">
        <w:t xml:space="preserve">further </w:t>
      </w:r>
      <w:r>
        <w:t xml:space="preserve">reduced the risk of data entry errors. A check of the 1,877 records confirmed that all possible responses had been captured for each data item in the dataset. </w:t>
      </w:r>
      <w:r w:rsidR="00806395">
        <w:t>Therefore, no fur</w:t>
      </w:r>
      <w:r w:rsidR="002821DC">
        <w:t>ther adjustments were required.</w:t>
      </w:r>
    </w:p>
    <w:p w14:paraId="63CE7AC3" w14:textId="77777777" w:rsidR="00447245" w:rsidRDefault="00447245" w:rsidP="004422F4">
      <w:pPr>
        <w:pStyle w:val="Heading4"/>
        <w:numPr>
          <w:ilvl w:val="0"/>
          <w:numId w:val="0"/>
        </w:numPr>
        <w:ind w:left="864" w:hanging="864"/>
      </w:pPr>
      <w:r>
        <w:t>Accuracy</w:t>
      </w:r>
    </w:p>
    <w:p w14:paraId="0348874D" w14:textId="77777777" w:rsidR="00806395" w:rsidRDefault="00FF3DF2" w:rsidP="00806395">
      <w:r>
        <w:t xml:space="preserve">The </w:t>
      </w:r>
      <w:r w:rsidR="00447245">
        <w:t xml:space="preserve">accuracy of </w:t>
      </w:r>
      <w:r w:rsidR="00AC3217">
        <w:t xml:space="preserve">the </w:t>
      </w:r>
      <w:r w:rsidR="00447245">
        <w:t xml:space="preserve">clinical assessment data was </w:t>
      </w:r>
      <w:r w:rsidR="00AC3217">
        <w:t xml:space="preserve">assessed through a process </w:t>
      </w:r>
      <w:r w:rsidR="00806395">
        <w:t xml:space="preserve">whereby </w:t>
      </w:r>
      <w:r w:rsidR="00AC3217">
        <w:t>senior members of the study team and the clinical advisory panels review</w:t>
      </w:r>
      <w:r w:rsidR="00806395">
        <w:t>ed</w:t>
      </w:r>
      <w:r w:rsidR="00AC3217">
        <w:t xml:space="preserve"> descriptive summaries of the </w:t>
      </w:r>
      <w:r w:rsidR="00806395">
        <w:t xml:space="preserve">reported </w:t>
      </w:r>
      <w:r w:rsidR="00AC3217">
        <w:t xml:space="preserve">data. As no significant errors were identified, </w:t>
      </w:r>
      <w:r w:rsidR="00447245">
        <w:t xml:space="preserve">it was decided that </w:t>
      </w:r>
      <w:r w:rsidR="00806395">
        <w:t>no further adjustments were required.</w:t>
      </w:r>
    </w:p>
    <w:p w14:paraId="107B3D23" w14:textId="77777777" w:rsidR="00447245" w:rsidRDefault="00447245" w:rsidP="004422F4">
      <w:pPr>
        <w:pStyle w:val="Heading4"/>
        <w:numPr>
          <w:ilvl w:val="0"/>
          <w:numId w:val="0"/>
        </w:numPr>
        <w:ind w:left="864" w:hanging="864"/>
      </w:pPr>
      <w:r>
        <w:t>Validity</w:t>
      </w:r>
    </w:p>
    <w:p w14:paraId="62E528FA" w14:textId="77777777" w:rsidR="00447245" w:rsidRDefault="00447245" w:rsidP="00447245">
      <w:r>
        <w:t xml:space="preserve">Data validity of the clinical assessments was tested by </w:t>
      </w:r>
      <w:r w:rsidR="00457DB6">
        <w:t xml:space="preserve">assessing </w:t>
      </w:r>
      <w:r>
        <w:t xml:space="preserve">correlations within and between </w:t>
      </w:r>
      <w:r w:rsidR="00457DB6">
        <w:t xml:space="preserve">related </w:t>
      </w:r>
      <w:r>
        <w:t>clinical tools</w:t>
      </w:r>
      <w:r w:rsidRPr="005750F0">
        <w:t>.</w:t>
      </w:r>
      <w:r>
        <w:t xml:space="preserve"> The correlations showed a strong relationship between </w:t>
      </w:r>
      <w:r w:rsidR="00AC3217">
        <w:t xml:space="preserve">various </w:t>
      </w:r>
      <w:r>
        <w:t>items</w:t>
      </w:r>
      <w:r w:rsidR="00AB23C9">
        <w:t xml:space="preserve"> and sub-scales </w:t>
      </w:r>
      <w:r w:rsidR="00AC3217">
        <w:t xml:space="preserve">that was consistent with what would be expected </w:t>
      </w:r>
      <w:r w:rsidR="00AC3217" w:rsidRPr="00B20926">
        <w:t xml:space="preserve">clinically. On this basis, it was decided that further </w:t>
      </w:r>
      <w:r w:rsidR="00EF6B5A" w:rsidRPr="00B20926">
        <w:t xml:space="preserve">adjustments were </w:t>
      </w:r>
      <w:r w:rsidR="002171DD" w:rsidRPr="00B20926">
        <w:t xml:space="preserve">not </w:t>
      </w:r>
      <w:r w:rsidR="00D267CB" w:rsidRPr="00B20926">
        <w:t xml:space="preserve">required. </w:t>
      </w:r>
      <w:r w:rsidR="00AC3217" w:rsidRPr="00B20926">
        <w:t>T</w:t>
      </w:r>
      <w:r w:rsidRPr="00B20926">
        <w:t>hese relationsh</w:t>
      </w:r>
      <w:r>
        <w:t>ips were used as the basis for a series of validation t</w:t>
      </w:r>
      <w:r w:rsidR="002821DC">
        <w:t>ests in subsequent assessments.</w:t>
      </w:r>
    </w:p>
    <w:p w14:paraId="0C61F7AF" w14:textId="77777777" w:rsidR="00447245" w:rsidRDefault="00447245" w:rsidP="004422F4">
      <w:pPr>
        <w:pStyle w:val="Heading4"/>
        <w:numPr>
          <w:ilvl w:val="0"/>
          <w:numId w:val="0"/>
        </w:numPr>
        <w:ind w:left="864" w:hanging="864"/>
      </w:pPr>
      <w:r>
        <w:t>Timeliness</w:t>
      </w:r>
    </w:p>
    <w:p w14:paraId="2567A787" w14:textId="77777777" w:rsidR="000305B7" w:rsidRDefault="00447245" w:rsidP="00447245">
      <w:r>
        <w:t xml:space="preserve">Data timeliness of the clinical assessment data was tested by comparing the date on which the resident was assessed and the month in which the </w:t>
      </w:r>
      <w:r w:rsidR="00457DB6">
        <w:t xml:space="preserve">service </w:t>
      </w:r>
      <w:r>
        <w:t>utilisation data w</w:t>
      </w:r>
      <w:r w:rsidR="00457DB6">
        <w:t>ere</w:t>
      </w:r>
      <w:r>
        <w:t xml:space="preserve"> collected. </w:t>
      </w:r>
      <w:r w:rsidR="00806395">
        <w:t xml:space="preserve">This showed that </w:t>
      </w:r>
      <w:r>
        <w:t>97.6% of assessments were completed within one week of the data collection month ending</w:t>
      </w:r>
      <w:r w:rsidR="00AB23C9">
        <w:t xml:space="preserve">. </w:t>
      </w:r>
      <w:r w:rsidR="00806395">
        <w:t xml:space="preserve">No adjustments were </w:t>
      </w:r>
      <w:r>
        <w:t>therefore required.</w:t>
      </w:r>
    </w:p>
    <w:p w14:paraId="1492AD4E" w14:textId="77777777" w:rsidR="00447245" w:rsidRDefault="00447245" w:rsidP="00534F50">
      <w:pPr>
        <w:pStyle w:val="Heading2"/>
      </w:pPr>
      <w:bookmarkStart w:id="54" w:name="_Toc528685413"/>
      <w:bookmarkStart w:id="55" w:name="_Toc2070316"/>
      <w:r>
        <w:t xml:space="preserve">Preparation of the </w:t>
      </w:r>
      <w:r w:rsidR="00C17D8B">
        <w:t xml:space="preserve">service </w:t>
      </w:r>
      <w:r>
        <w:t>utilisation data</w:t>
      </w:r>
      <w:bookmarkEnd w:id="54"/>
      <w:bookmarkEnd w:id="55"/>
    </w:p>
    <w:p w14:paraId="5A0F32D8" w14:textId="77777777" w:rsidR="00140B0A" w:rsidRDefault="009655AA" w:rsidP="009655AA">
      <w:r>
        <w:t xml:space="preserve">A total of 1,600 aged care facility staff members collected 315,029 staff time activity records during the study period. Staff time was reported </w:t>
      </w:r>
      <w:r w:rsidR="00B27A37">
        <w:t xml:space="preserve">for </w:t>
      </w:r>
      <w:r w:rsidR="00447245">
        <w:t xml:space="preserve">1,967 permanent and </w:t>
      </w:r>
      <w:r w:rsidR="006A5FA7">
        <w:t>32</w:t>
      </w:r>
      <w:r w:rsidR="00447245">
        <w:t xml:space="preserve"> respite residents</w:t>
      </w:r>
      <w:r>
        <w:t xml:space="preserve"> represent</w:t>
      </w:r>
      <w:r w:rsidR="00B27A37">
        <w:t xml:space="preserve">ing </w:t>
      </w:r>
      <w:r>
        <w:t>60,990 resident days.</w:t>
      </w:r>
    </w:p>
    <w:p w14:paraId="141E7A70" w14:textId="77777777" w:rsidR="00447245" w:rsidRDefault="00447245" w:rsidP="00D6251D">
      <w:pPr>
        <w:pStyle w:val="Heading3"/>
      </w:pPr>
      <w:r>
        <w:t xml:space="preserve">Overview of </w:t>
      </w:r>
      <w:r w:rsidR="00C17D8B">
        <w:t xml:space="preserve">service </w:t>
      </w:r>
      <w:r>
        <w:t>utilisation data quality</w:t>
      </w:r>
    </w:p>
    <w:p w14:paraId="704BD8BA" w14:textId="77777777" w:rsidR="0049765D" w:rsidRDefault="002171DD" w:rsidP="00655C02">
      <w:pPr>
        <w:spacing w:before="120" w:after="120"/>
      </w:pPr>
      <w:r w:rsidRPr="00140B0A">
        <w:t>A range of measures established prior to and during data collection (including site training, cluster coordinator support and data quality reporting) resulted in a high level of confidence in the overall quality of the data. At the same time, it was recognised that</w:t>
      </w:r>
      <w:r w:rsidR="008E0037">
        <w:t xml:space="preserve"> </w:t>
      </w:r>
      <w:r w:rsidR="008E0037" w:rsidRPr="00140B0A">
        <w:t>some under-reporting</w:t>
      </w:r>
      <w:r w:rsidR="008E0037">
        <w:t xml:space="preserve"> </w:t>
      </w:r>
      <w:r w:rsidR="0049765D">
        <w:t xml:space="preserve">and </w:t>
      </w:r>
      <w:r w:rsidR="008E0037">
        <w:t>other issues</w:t>
      </w:r>
      <w:r w:rsidR="0049765D">
        <w:t xml:space="preserve"> often arise </w:t>
      </w:r>
      <w:r w:rsidR="002821DC">
        <w:t>in studies of this type.</w:t>
      </w:r>
    </w:p>
    <w:p w14:paraId="28C640B2" w14:textId="77777777" w:rsidR="0049765D" w:rsidRDefault="008E0037" w:rsidP="00655C02">
      <w:pPr>
        <w:spacing w:before="120" w:after="120"/>
      </w:pPr>
      <w:r>
        <w:lastRenderedPageBreak/>
        <w:t xml:space="preserve">The study team was aware </w:t>
      </w:r>
      <w:r w:rsidR="0049765D">
        <w:t xml:space="preserve">that some </w:t>
      </w:r>
      <w:r>
        <w:t xml:space="preserve">issues </w:t>
      </w:r>
      <w:r w:rsidR="0049765D">
        <w:t xml:space="preserve">had </w:t>
      </w:r>
      <w:r>
        <w:t>arisen for a small number of facilities</w:t>
      </w:r>
      <w:r w:rsidR="0049765D">
        <w:t xml:space="preserve"> in this study. </w:t>
      </w:r>
      <w:r>
        <w:t>This included not all staff</w:t>
      </w:r>
      <w:r w:rsidR="0049765D">
        <w:t xml:space="preserve"> being able to a</w:t>
      </w:r>
      <w:r>
        <w:t>ttend</w:t>
      </w:r>
      <w:r w:rsidR="0049765D">
        <w:t xml:space="preserve"> a </w:t>
      </w:r>
      <w:r>
        <w:t>training session,</w:t>
      </w:r>
      <w:r w:rsidR="0049765D">
        <w:t xml:space="preserve"> </w:t>
      </w:r>
      <w:r>
        <w:t>communication issues</w:t>
      </w:r>
      <w:r w:rsidR="0049765D">
        <w:t xml:space="preserve"> within facilities</w:t>
      </w:r>
      <w:r>
        <w:t xml:space="preserve">, and </w:t>
      </w:r>
      <w:r w:rsidR="002171DD" w:rsidRPr="0049765D">
        <w:t>unrelated activit</w:t>
      </w:r>
      <w:r w:rsidR="0049765D">
        <w:t xml:space="preserve">ies </w:t>
      </w:r>
      <w:r w:rsidR="002171DD" w:rsidRPr="0049765D">
        <w:t xml:space="preserve">occurring within a facility </w:t>
      </w:r>
      <w:r w:rsidR="0049765D">
        <w:t xml:space="preserve">that </w:t>
      </w:r>
      <w:r w:rsidR="002171DD" w:rsidRPr="0049765D">
        <w:t>impede</w:t>
      </w:r>
      <w:r w:rsidR="0049765D">
        <w:t>d</w:t>
      </w:r>
      <w:r w:rsidR="002171DD" w:rsidRPr="0049765D">
        <w:t xml:space="preserve"> the data collection process.</w:t>
      </w:r>
    </w:p>
    <w:p w14:paraId="58ACC082" w14:textId="77777777" w:rsidR="000305B7" w:rsidRPr="00C1511F" w:rsidRDefault="009D54C8" w:rsidP="00655C02">
      <w:pPr>
        <w:spacing w:before="120" w:after="120"/>
      </w:pPr>
      <w:r w:rsidRPr="00C1511F">
        <w:t xml:space="preserve">A </w:t>
      </w:r>
      <w:r w:rsidR="00B27A37" w:rsidRPr="00C1511F">
        <w:t xml:space="preserve">suite of data quality checks were </w:t>
      </w:r>
      <w:r w:rsidRPr="00C1511F">
        <w:t xml:space="preserve">undertaken in this context to assess the </w:t>
      </w:r>
      <w:r w:rsidR="000305B7" w:rsidRPr="00C1511F">
        <w:t>completeness, consistency, accuracy, validity, and timeliness</w:t>
      </w:r>
      <w:r w:rsidR="00B27A37" w:rsidRPr="00C1511F">
        <w:t xml:space="preserve"> o</w:t>
      </w:r>
      <w:r w:rsidR="002821DC">
        <w:t>f the service utilisation data.</w:t>
      </w:r>
    </w:p>
    <w:p w14:paraId="76621EE1" w14:textId="77777777" w:rsidR="00447245" w:rsidRPr="00C1511F" w:rsidRDefault="00447245" w:rsidP="00B75B89">
      <w:pPr>
        <w:pStyle w:val="Heading4"/>
        <w:numPr>
          <w:ilvl w:val="0"/>
          <w:numId w:val="0"/>
        </w:numPr>
        <w:ind w:left="864" w:hanging="864"/>
      </w:pPr>
      <w:r w:rsidRPr="00C1511F">
        <w:t>Completeness</w:t>
      </w:r>
    </w:p>
    <w:p w14:paraId="2D478DE8" w14:textId="77777777" w:rsidR="009D54C8" w:rsidRDefault="009D54C8" w:rsidP="00655C02">
      <w:pPr>
        <w:spacing w:before="120" w:after="120"/>
      </w:pPr>
      <w:r w:rsidRPr="00C1511F">
        <w:t>The total volume of reported</w:t>
      </w:r>
      <w:r>
        <w:t xml:space="preserve"> activity was investigated </w:t>
      </w:r>
      <w:r w:rsidR="00F5604D">
        <w:t xml:space="preserve">for </w:t>
      </w:r>
      <w:r>
        <w:t>each facility for each day of the data collection period.</w:t>
      </w:r>
      <w:r w:rsidR="00F5604D">
        <w:t xml:space="preserve"> This suggested that most facilities experienced ‘outlier’ days during the study period. </w:t>
      </w:r>
      <w:r>
        <w:t xml:space="preserve">In some cases, </w:t>
      </w:r>
      <w:r w:rsidR="00F5604D">
        <w:t xml:space="preserve">there was evidence of </w:t>
      </w:r>
      <w:r>
        <w:t xml:space="preserve">a decrease in the volume of reported </w:t>
      </w:r>
      <w:r w:rsidR="00F5604D">
        <w:t xml:space="preserve">staff </w:t>
      </w:r>
      <w:r>
        <w:t>time towards the end of the study month. This may have been a result of a ‘fatigue’ factor associated with the data collection process.</w:t>
      </w:r>
      <w:r w:rsidR="00F5604D">
        <w:t xml:space="preserve"> In other cases, outlier days occurred throughout the month.</w:t>
      </w:r>
    </w:p>
    <w:p w14:paraId="2D1BD3FA" w14:textId="77777777" w:rsidR="00BA48D9" w:rsidRDefault="002171DD" w:rsidP="00655C02">
      <w:pPr>
        <w:spacing w:before="120" w:after="120"/>
      </w:pPr>
      <w:r w:rsidRPr="00B20926">
        <w:t>In order to address this</w:t>
      </w:r>
      <w:r w:rsidR="005D4B7B" w:rsidRPr="00B20926">
        <w:t xml:space="preserve"> issue</w:t>
      </w:r>
      <w:r w:rsidRPr="00B20926">
        <w:t xml:space="preserve">, outlier days were identified using interquartile range extreme values. </w:t>
      </w:r>
      <w:r w:rsidR="00E74FA9">
        <w:fldChar w:fldCharType="begin"/>
      </w:r>
      <w:r w:rsidR="00E74FA9">
        <w:instrText xml:space="preserve"> REF _Ref529887736 \h </w:instrText>
      </w:r>
      <w:r w:rsidR="00E74FA9">
        <w:fldChar w:fldCharType="separate"/>
      </w:r>
      <w:r w:rsidR="00EE18C8">
        <w:t xml:space="preserve">Figure </w:t>
      </w:r>
      <w:r w:rsidR="00EE18C8">
        <w:rPr>
          <w:noProof/>
        </w:rPr>
        <w:t>1</w:t>
      </w:r>
      <w:r w:rsidR="00E74FA9">
        <w:fldChar w:fldCharType="end"/>
      </w:r>
      <w:r w:rsidR="00E74FA9">
        <w:t xml:space="preserve"> </w:t>
      </w:r>
      <w:r w:rsidR="00BA48D9" w:rsidRPr="00B20926">
        <w:t>below shows an example of the daily volume of activity at a sample facility over the study month. Outlier days are highlighted in yellow. On average 2.1 days were identified at</w:t>
      </w:r>
      <w:r w:rsidR="00BA48D9" w:rsidRPr="005164BE">
        <w:t xml:space="preserve"> each facility and </w:t>
      </w:r>
      <w:r w:rsidR="00BA48D9">
        <w:t>an adjustment for these</w:t>
      </w:r>
      <w:r w:rsidR="002821DC">
        <w:t xml:space="preserve"> days was made in the analysis.</w:t>
      </w:r>
    </w:p>
    <w:p w14:paraId="1F9FD75E" w14:textId="77777777" w:rsidR="00C62BD9" w:rsidRDefault="004422F4" w:rsidP="004422F4">
      <w:pPr>
        <w:pStyle w:val="Caption"/>
      </w:pPr>
      <w:bookmarkStart w:id="56" w:name="_Ref529134191"/>
      <w:bookmarkStart w:id="57" w:name="_Ref529887736"/>
      <w:bookmarkStart w:id="58" w:name="_Toc947238"/>
      <w:r>
        <w:t xml:space="preserve">Figure </w:t>
      </w:r>
      <w:r w:rsidR="00E77717">
        <w:rPr>
          <w:noProof/>
        </w:rPr>
        <w:fldChar w:fldCharType="begin"/>
      </w:r>
      <w:r w:rsidR="00E77717">
        <w:rPr>
          <w:noProof/>
        </w:rPr>
        <w:instrText xml:space="preserve"> SEQ Figure \* ARABIC </w:instrText>
      </w:r>
      <w:r w:rsidR="00E77717">
        <w:rPr>
          <w:noProof/>
        </w:rPr>
        <w:fldChar w:fldCharType="separate"/>
      </w:r>
      <w:r w:rsidR="00EE18C8">
        <w:rPr>
          <w:noProof/>
        </w:rPr>
        <w:t>1</w:t>
      </w:r>
      <w:r w:rsidR="00E77717">
        <w:rPr>
          <w:noProof/>
        </w:rPr>
        <w:fldChar w:fldCharType="end"/>
      </w:r>
      <w:bookmarkEnd w:id="56"/>
      <w:bookmarkEnd w:id="57"/>
      <w:r w:rsidR="00F7210A">
        <w:rPr>
          <w:noProof/>
        </w:rPr>
        <w:tab/>
      </w:r>
      <w:r w:rsidR="00C62BD9" w:rsidRPr="00C62BD9">
        <w:t>Daily volume of activity at a sample facility over the study month</w:t>
      </w:r>
      <w:bookmarkEnd w:id="58"/>
    </w:p>
    <w:p w14:paraId="5215F7CE" w14:textId="76BEA830" w:rsidR="00447245" w:rsidRDefault="00447245" w:rsidP="00447245">
      <w:r w:rsidRPr="00626B25">
        <w:rPr>
          <w:noProof/>
        </w:rPr>
        <w:drawing>
          <wp:inline distT="0" distB="0" distL="0" distR="0" wp14:anchorId="4296D87C" wp14:editId="2FFBED09">
            <wp:extent cx="5430154" cy="2781300"/>
            <wp:effectExtent l="0" t="0" r="0" b="0"/>
            <wp:docPr id="29" name="Picture 29" descr="Figure 1 below shows an example of the daily volume of activity at a sample facility over the study month from 1/03/2018 till 31/03/2018. There are 3 outlier days identified where activity dropped towards the end of the study on 23rd, 30th and 31/03/2018." title="Daily volume of activity at a sample facility over the stud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14036" b="5962"/>
                    <a:stretch/>
                  </pic:blipFill>
                  <pic:spPr bwMode="auto">
                    <a:xfrm>
                      <a:off x="0" y="0"/>
                      <a:ext cx="5433072" cy="2782795"/>
                    </a:xfrm>
                    <a:prstGeom prst="rect">
                      <a:avLst/>
                    </a:prstGeom>
                    <a:noFill/>
                    <a:ln>
                      <a:noFill/>
                    </a:ln>
                    <a:extLst>
                      <a:ext uri="{53640926-AAD7-44D8-BBD7-CCE9431645EC}">
                        <a14:shadowObscured xmlns:a14="http://schemas.microsoft.com/office/drawing/2010/main"/>
                      </a:ext>
                    </a:extLst>
                  </pic:spPr>
                </pic:pic>
              </a:graphicData>
            </a:graphic>
          </wp:inline>
        </w:drawing>
      </w:r>
    </w:p>
    <w:p w14:paraId="0B471D9F" w14:textId="35E41CAA" w:rsidR="00C0545B" w:rsidRDefault="00C0545B" w:rsidP="00C0545B">
      <w:r>
        <w:t>The graph shows on average 2.1 days were identified at each facility as minimal activity.</w:t>
      </w:r>
    </w:p>
    <w:p w14:paraId="6C991282" w14:textId="77777777" w:rsidR="00F5604D" w:rsidRDefault="00C2372F" w:rsidP="00F812EE">
      <w:pPr>
        <w:spacing w:before="360" w:after="120"/>
      </w:pPr>
      <w:r>
        <w:t xml:space="preserve">As an additional check for data completeness, the daily volume of individual activity per resident was investigated. It was found that a small proportion of residents had no individual activity on certain days. When this occurred, facilities were contacted </w:t>
      </w:r>
      <w:r w:rsidR="00F5604D">
        <w:t xml:space="preserve">individually </w:t>
      </w:r>
      <w:r>
        <w:t xml:space="preserve">to </w:t>
      </w:r>
      <w:r w:rsidR="00F5604D">
        <w:t xml:space="preserve">clarify </w:t>
      </w:r>
      <w:r>
        <w:t>whether th</w:t>
      </w:r>
      <w:r w:rsidR="002E4B7B">
        <w:t xml:space="preserve">is was </w:t>
      </w:r>
      <w:r w:rsidR="00F5604D">
        <w:t xml:space="preserve">most likely </w:t>
      </w:r>
      <w:r>
        <w:t xml:space="preserve">due to </w:t>
      </w:r>
      <w:r w:rsidR="002E4B7B">
        <w:t xml:space="preserve">the </w:t>
      </w:r>
      <w:r>
        <w:t xml:space="preserve">resident not being at the facility (e.g. gone to hospital or on leave), a data collection issue or whether the resident genuinely </w:t>
      </w:r>
      <w:r w:rsidR="00F5604D">
        <w:t xml:space="preserve">may </w:t>
      </w:r>
      <w:r>
        <w:t xml:space="preserve">not have </w:t>
      </w:r>
      <w:r w:rsidR="00F5604D">
        <w:t xml:space="preserve">had </w:t>
      </w:r>
      <w:r>
        <w:t xml:space="preserve">any activity </w:t>
      </w:r>
      <w:r w:rsidR="00F5604D">
        <w:t xml:space="preserve">recorded </w:t>
      </w:r>
      <w:r>
        <w:t>on th</w:t>
      </w:r>
      <w:r w:rsidR="00F5604D">
        <w:t>at</w:t>
      </w:r>
      <w:r>
        <w:t xml:space="preserve"> day.</w:t>
      </w:r>
    </w:p>
    <w:p w14:paraId="4767E6A2" w14:textId="77777777" w:rsidR="00255458" w:rsidRDefault="00E61B6B" w:rsidP="00655C02">
      <w:pPr>
        <w:spacing w:before="120" w:after="120"/>
      </w:pPr>
      <w:r>
        <w:t>In these cases, a</w:t>
      </w:r>
      <w:r w:rsidR="00255458">
        <w:t xml:space="preserve">djustments were made </w:t>
      </w:r>
      <w:r w:rsidR="008537AC">
        <w:t xml:space="preserve">for analysis purposes as </w:t>
      </w:r>
      <w:r w:rsidR="00255458">
        <w:t>follows:</w:t>
      </w:r>
    </w:p>
    <w:p w14:paraId="7807B3C8" w14:textId="77777777" w:rsidR="008537AC" w:rsidRPr="00F7210A" w:rsidRDefault="008537AC" w:rsidP="00F7210A">
      <w:pPr>
        <w:pStyle w:val="Bullets"/>
      </w:pPr>
      <w:r w:rsidRPr="00F7210A">
        <w:lastRenderedPageBreak/>
        <w:t xml:space="preserve">When a facility indicated that missing data </w:t>
      </w:r>
      <w:r w:rsidR="00BF751F">
        <w:t>were</w:t>
      </w:r>
      <w:r w:rsidRPr="00F7210A">
        <w:t xml:space="preserve"> most likely to have resulted from a data collection error, that day w</w:t>
      </w:r>
      <w:r w:rsidR="002821DC">
        <w:t>as excluded from data analysis.</w:t>
      </w:r>
    </w:p>
    <w:p w14:paraId="5A89052D" w14:textId="77777777" w:rsidR="00255458" w:rsidRPr="00F7210A" w:rsidRDefault="00255458" w:rsidP="00F7210A">
      <w:pPr>
        <w:pStyle w:val="Bullets"/>
      </w:pPr>
      <w:r w:rsidRPr="00F7210A">
        <w:t>When a resident was not at the facility, the day was considered out of scope a</w:t>
      </w:r>
      <w:r w:rsidR="002821DC">
        <w:t>nd excluded from data analysis.</w:t>
      </w:r>
    </w:p>
    <w:p w14:paraId="5598838F" w14:textId="77777777" w:rsidR="00255458" w:rsidRPr="00F7210A" w:rsidRDefault="00255458" w:rsidP="00F7210A">
      <w:pPr>
        <w:pStyle w:val="Bullets"/>
      </w:pPr>
      <w:r w:rsidRPr="00F7210A">
        <w:t xml:space="preserve">When a facility </w:t>
      </w:r>
      <w:r w:rsidR="008537AC" w:rsidRPr="00F7210A">
        <w:t xml:space="preserve">advised </w:t>
      </w:r>
      <w:r w:rsidRPr="00F7210A">
        <w:t xml:space="preserve">that a resident had no activity on a day, zero values were </w:t>
      </w:r>
      <w:r w:rsidR="008537AC" w:rsidRPr="00F7210A">
        <w:t xml:space="preserve">retained for </w:t>
      </w:r>
      <w:r w:rsidRPr="00F7210A">
        <w:t>data a</w:t>
      </w:r>
      <w:r w:rsidR="002821DC">
        <w:t>nalysis.</w:t>
      </w:r>
    </w:p>
    <w:p w14:paraId="56FBFA96" w14:textId="77777777" w:rsidR="00447245" w:rsidRDefault="00447245" w:rsidP="00B75B89">
      <w:pPr>
        <w:pStyle w:val="Heading4"/>
        <w:numPr>
          <w:ilvl w:val="0"/>
          <w:numId w:val="0"/>
        </w:numPr>
        <w:ind w:left="864" w:hanging="864"/>
      </w:pPr>
      <w:r>
        <w:t>Consistency</w:t>
      </w:r>
    </w:p>
    <w:p w14:paraId="1BC92D14" w14:textId="77777777" w:rsidR="00564EBD" w:rsidRDefault="005164BE" w:rsidP="00B414AA">
      <w:pPr>
        <w:spacing w:before="120" w:after="120"/>
      </w:pPr>
      <w:r>
        <w:t xml:space="preserve">Some </w:t>
      </w:r>
      <w:r w:rsidR="002E68E7">
        <w:t xml:space="preserve">issues with data consistency </w:t>
      </w:r>
      <w:r>
        <w:t>arose in the early stages of the data collection</w:t>
      </w:r>
      <w:r w:rsidR="00564EBD">
        <w:t xml:space="preserve"> mainly </w:t>
      </w:r>
      <w:r w:rsidR="002E4B7B">
        <w:t xml:space="preserve">due to </w:t>
      </w:r>
      <w:r>
        <w:t xml:space="preserve">barcodes </w:t>
      </w:r>
      <w:r w:rsidR="00564EBD">
        <w:t xml:space="preserve">being scanned </w:t>
      </w:r>
      <w:r w:rsidR="00FF6332">
        <w:t>in the incorrect order or ‘</w:t>
      </w:r>
      <w:r w:rsidR="0080243E">
        <w:t>STOP</w:t>
      </w:r>
      <w:r w:rsidR="00FF6332">
        <w:t>’</w:t>
      </w:r>
      <w:r w:rsidR="0080243E">
        <w:t xml:space="preserve"> </w:t>
      </w:r>
      <w:r w:rsidR="00564EBD">
        <w:t xml:space="preserve">not being scanned </w:t>
      </w:r>
      <w:r w:rsidR="0080243E">
        <w:t>at the end of an activity.</w:t>
      </w:r>
      <w:r w:rsidR="00564EBD">
        <w:t xml:space="preserve"> </w:t>
      </w:r>
      <w:r w:rsidR="0080243E">
        <w:t xml:space="preserve">This issue was addressed by providing feedback to facilities </w:t>
      </w:r>
      <w:r w:rsidR="00E61B6B">
        <w:t>and providing a</w:t>
      </w:r>
      <w:r w:rsidR="00B744AA">
        <w:t>dditional training as required.</w:t>
      </w:r>
    </w:p>
    <w:p w14:paraId="0FD310EA" w14:textId="77777777" w:rsidR="00447245" w:rsidRDefault="00564EBD" w:rsidP="00B414AA">
      <w:pPr>
        <w:spacing w:before="120" w:after="120"/>
      </w:pPr>
      <w:r>
        <w:t>T</w:t>
      </w:r>
      <w:r w:rsidR="00CE320E">
        <w:t>h</w:t>
      </w:r>
      <w:r w:rsidR="00057FB5">
        <w:t xml:space="preserve">is </w:t>
      </w:r>
      <w:r>
        <w:t>issue d</w:t>
      </w:r>
      <w:r w:rsidR="0080243E">
        <w:t xml:space="preserve">id not result in the </w:t>
      </w:r>
      <w:r w:rsidR="00057FB5">
        <w:t xml:space="preserve">need </w:t>
      </w:r>
      <w:r w:rsidR="002E4B7B">
        <w:t xml:space="preserve">for any adjustments </w:t>
      </w:r>
      <w:r w:rsidR="0080243E">
        <w:t xml:space="preserve">as </w:t>
      </w:r>
      <w:r w:rsidR="00057FB5">
        <w:t xml:space="preserve">a </w:t>
      </w:r>
      <w:r w:rsidR="007F28F0">
        <w:t>s</w:t>
      </w:r>
      <w:r>
        <w:t>et</w:t>
      </w:r>
      <w:r w:rsidR="007F28F0">
        <w:t xml:space="preserve"> of </w:t>
      </w:r>
      <w:r w:rsidR="0033199D">
        <w:t xml:space="preserve">validating </w:t>
      </w:r>
      <w:r w:rsidR="00057FB5">
        <w:t xml:space="preserve">algorithms were </w:t>
      </w:r>
      <w:r w:rsidR="002E4B7B">
        <w:t xml:space="preserve">developed and </w:t>
      </w:r>
      <w:r w:rsidR="007F28F0">
        <w:t xml:space="preserve">incorporated into the processing software </w:t>
      </w:r>
      <w:r w:rsidR="00057FB5">
        <w:t xml:space="preserve">to </w:t>
      </w:r>
      <w:r w:rsidR="0080243E">
        <w:t xml:space="preserve">identify and correct </w:t>
      </w:r>
      <w:r w:rsidR="007F28F0">
        <w:t xml:space="preserve">these </w:t>
      </w:r>
      <w:r w:rsidR="00057FB5">
        <w:t>inconsistencies</w:t>
      </w:r>
      <w:r w:rsidR="00B744AA">
        <w:t>.</w:t>
      </w:r>
    </w:p>
    <w:p w14:paraId="2F3CA0C6" w14:textId="77777777" w:rsidR="00447245" w:rsidRDefault="00447245" w:rsidP="00B75B89">
      <w:pPr>
        <w:pStyle w:val="Heading4"/>
        <w:numPr>
          <w:ilvl w:val="0"/>
          <w:numId w:val="0"/>
        </w:numPr>
        <w:ind w:left="864" w:hanging="864"/>
      </w:pPr>
      <w:r>
        <w:t>Accuracy</w:t>
      </w:r>
    </w:p>
    <w:p w14:paraId="43F09582" w14:textId="77777777" w:rsidR="0033199D" w:rsidRPr="00B20926" w:rsidRDefault="00447245" w:rsidP="00B414AA">
      <w:pPr>
        <w:spacing w:before="120" w:after="120"/>
      </w:pPr>
      <w:r>
        <w:t xml:space="preserve">Extreme values </w:t>
      </w:r>
      <w:r w:rsidR="00BB501D">
        <w:t xml:space="preserve">were checked by </w:t>
      </w:r>
      <w:r w:rsidR="0033199D">
        <w:t xml:space="preserve">examining </w:t>
      </w:r>
      <w:r w:rsidR="00BB501D">
        <w:t xml:space="preserve">the total </w:t>
      </w:r>
      <w:r w:rsidR="0033199D">
        <w:t xml:space="preserve">number of </w:t>
      </w:r>
      <w:r w:rsidR="00BB501D">
        <w:t xml:space="preserve">hours of recorded activity </w:t>
      </w:r>
      <w:r w:rsidR="007F28F0">
        <w:t xml:space="preserve">for </w:t>
      </w:r>
      <w:r w:rsidR="007F28F0" w:rsidRPr="00B20926">
        <w:t xml:space="preserve">each </w:t>
      </w:r>
      <w:r w:rsidR="00BB501D" w:rsidRPr="00B20926">
        <w:t xml:space="preserve">staff member </w:t>
      </w:r>
      <w:r w:rsidR="0033199D" w:rsidRPr="00B20926">
        <w:t xml:space="preserve">each </w:t>
      </w:r>
      <w:r w:rsidR="00BB501D" w:rsidRPr="00B20926">
        <w:t>day</w:t>
      </w:r>
      <w:r w:rsidRPr="00B20926">
        <w:t xml:space="preserve">. </w:t>
      </w:r>
      <w:r w:rsidR="002171DD" w:rsidRPr="00B20926">
        <w:t>Outlier days were identified based on interquartile ranges and further investigated. Overall, 429 of 14,985 (2.9%) uploads had at least one extreme value. In many cases the extreme value had occurred due to the ‘STOP’ barcode not being scanned, and in these cases the extreme value was excluded from analysis. In other cases where staff members scanned more time than was available in the shift, the duration was redistributed to residents based on the timestamps that were embedded in the data.</w:t>
      </w:r>
    </w:p>
    <w:p w14:paraId="7FA4844C" w14:textId="77777777" w:rsidR="00447245" w:rsidRDefault="00447245" w:rsidP="00B75B89">
      <w:pPr>
        <w:pStyle w:val="Heading4"/>
        <w:numPr>
          <w:ilvl w:val="0"/>
          <w:numId w:val="0"/>
        </w:numPr>
        <w:ind w:left="864" w:hanging="864"/>
      </w:pPr>
      <w:r w:rsidRPr="00B20926">
        <w:t>Validity</w:t>
      </w:r>
    </w:p>
    <w:p w14:paraId="65746346" w14:textId="77777777" w:rsidR="00447245" w:rsidRDefault="00BB501D" w:rsidP="00447245">
      <w:r>
        <w:t xml:space="preserve">The quality reports submitted to facilities had a series of </w:t>
      </w:r>
      <w:r w:rsidR="0033199D">
        <w:t xml:space="preserve">in-built </w:t>
      </w:r>
      <w:r>
        <w:t>validation checks</w:t>
      </w:r>
      <w:r w:rsidR="0033199D">
        <w:t xml:space="preserve"> that were monitored throughout the data collection. No further adjustments were therefore required.</w:t>
      </w:r>
    </w:p>
    <w:p w14:paraId="3D116473" w14:textId="77777777" w:rsidR="00447245" w:rsidRDefault="00447245" w:rsidP="00B75B89">
      <w:pPr>
        <w:pStyle w:val="Heading4"/>
        <w:numPr>
          <w:ilvl w:val="0"/>
          <w:numId w:val="0"/>
        </w:numPr>
        <w:ind w:left="864" w:hanging="864"/>
      </w:pPr>
      <w:r>
        <w:t>Timeliness</w:t>
      </w:r>
    </w:p>
    <w:p w14:paraId="5F475875" w14:textId="77777777" w:rsidR="00AC2F3B" w:rsidRDefault="00E97C22" w:rsidP="00B414AA">
      <w:pPr>
        <w:spacing w:before="120" w:after="120"/>
      </w:pPr>
      <w:r w:rsidRPr="00E97C22">
        <w:t>T</w:t>
      </w:r>
      <w:r>
        <w:t xml:space="preserve">he capacity to capture staff time data in ‘real time’ using </w:t>
      </w:r>
      <w:r w:rsidR="00B20926">
        <w:t>barcode</w:t>
      </w:r>
      <w:r>
        <w:t xml:space="preserve"> scanners ensured that almost all data were captured in a timely manner (scanned and entered on the day that the service was provided). The data collection process did allow for data to be </w:t>
      </w:r>
      <w:r w:rsidR="00A202EA">
        <w:t xml:space="preserve">validly </w:t>
      </w:r>
      <w:r>
        <w:t xml:space="preserve">entered retrospectively (on a later day) where necessary. </w:t>
      </w:r>
      <w:r w:rsidR="00A202EA">
        <w:t xml:space="preserve">As </w:t>
      </w:r>
      <w:r>
        <w:t>this occurred in less than 0.1% of staff time records</w:t>
      </w:r>
      <w:r w:rsidR="00A202EA">
        <w:t>, n</w:t>
      </w:r>
      <w:r>
        <w:t>o adjustments were</w:t>
      </w:r>
      <w:r w:rsidR="00A202EA">
        <w:t xml:space="preserve"> </w:t>
      </w:r>
      <w:r w:rsidR="00B744AA">
        <w:t>required.</w:t>
      </w:r>
      <w:r w:rsidR="00AC2F3B">
        <w:br w:type="page"/>
      </w:r>
    </w:p>
    <w:p w14:paraId="4F1961AF" w14:textId="77777777" w:rsidR="00447245" w:rsidRPr="00B20926" w:rsidRDefault="00447245" w:rsidP="00534F50">
      <w:pPr>
        <w:pStyle w:val="Heading2"/>
      </w:pPr>
      <w:bookmarkStart w:id="59" w:name="_Toc528685414"/>
      <w:bookmarkStart w:id="60" w:name="_Toc2070317"/>
      <w:r w:rsidRPr="00B20926">
        <w:lastRenderedPageBreak/>
        <w:t xml:space="preserve">Data </w:t>
      </w:r>
      <w:r w:rsidR="00655C02">
        <w:t>l</w:t>
      </w:r>
      <w:r w:rsidRPr="00B20926">
        <w:t>inkage</w:t>
      </w:r>
      <w:bookmarkEnd w:id="59"/>
      <w:bookmarkEnd w:id="60"/>
    </w:p>
    <w:p w14:paraId="1BC566F8" w14:textId="77777777" w:rsidR="002171DD" w:rsidRDefault="002171DD" w:rsidP="002171DD">
      <w:bookmarkStart w:id="61" w:name="_Toc528685415"/>
      <w:r w:rsidRPr="00B20926">
        <w:t xml:space="preserve">At the end of the preparatory analysis, 1,877 residents had both clinical assessment and </w:t>
      </w:r>
      <w:r w:rsidR="00B20926" w:rsidRPr="00B20926">
        <w:t xml:space="preserve">service </w:t>
      </w:r>
      <w:r w:rsidRPr="00B20926">
        <w:t>utilisation data. These resident records were linked using a unique linkage key that had been assigned to each resident at the beginning of the study. The linkage process resulted in a single record for each resident that contained demographic data, clinical assessment data and activity data that could be used for classification. The following section pr</w:t>
      </w:r>
      <w:r w:rsidR="00C82485">
        <w:t xml:space="preserve">esents </w:t>
      </w:r>
      <w:r w:rsidR="00CF33BD">
        <w:t xml:space="preserve">a </w:t>
      </w:r>
      <w:r w:rsidR="00C82485">
        <w:t xml:space="preserve">profile of </w:t>
      </w:r>
      <w:r w:rsidR="00C82485" w:rsidRPr="00B20926">
        <w:t>Study One residents</w:t>
      </w:r>
      <w:r w:rsidR="00C82485">
        <w:t xml:space="preserve"> based on a </w:t>
      </w:r>
      <w:r w:rsidRPr="00B20926">
        <w:t xml:space="preserve">descriptive </w:t>
      </w:r>
      <w:r w:rsidR="00CF33BD">
        <w:t xml:space="preserve">analysis of </w:t>
      </w:r>
      <w:r w:rsidR="00C82485">
        <w:t xml:space="preserve">the </w:t>
      </w:r>
      <w:r w:rsidR="0089089C">
        <w:t>Resident Assessment Instrument</w:t>
      </w:r>
      <w:r w:rsidR="00AE7A80">
        <w:t xml:space="preserve"> data.</w:t>
      </w:r>
    </w:p>
    <w:p w14:paraId="7F0BFD40" w14:textId="77777777" w:rsidR="0089089C" w:rsidRDefault="0089089C" w:rsidP="002171DD"/>
    <w:p w14:paraId="09FF7332" w14:textId="77777777" w:rsidR="00CF26D2" w:rsidRDefault="00CF26D2">
      <w:pPr>
        <w:rPr>
          <w:rFonts w:ascii="Calibri" w:eastAsiaTheme="majorEastAsia" w:hAnsi="Calibri" w:cstheme="majorBidi"/>
          <w:b/>
          <w:bCs/>
          <w:sz w:val="28"/>
          <w:szCs w:val="28"/>
        </w:rPr>
      </w:pPr>
      <w:r>
        <w:br w:type="page"/>
      </w:r>
    </w:p>
    <w:p w14:paraId="27F2EADB" w14:textId="77777777" w:rsidR="0028705D" w:rsidRDefault="00FD031E" w:rsidP="0016396F">
      <w:pPr>
        <w:pStyle w:val="Heading1"/>
      </w:pPr>
      <w:bookmarkStart w:id="62" w:name="_Toc2070318"/>
      <w:r w:rsidRPr="0028705D">
        <w:lastRenderedPageBreak/>
        <w:t xml:space="preserve">The </w:t>
      </w:r>
      <w:r w:rsidR="00CF33BD">
        <w:t xml:space="preserve">Study One </w:t>
      </w:r>
      <w:r w:rsidR="00DF6601">
        <w:t xml:space="preserve">resident assessment </w:t>
      </w:r>
      <w:r w:rsidRPr="0028705D">
        <w:t>dataset</w:t>
      </w:r>
      <w:r w:rsidR="00641F54">
        <w:t xml:space="preserve">: </w:t>
      </w:r>
      <w:r w:rsidR="00DF6601">
        <w:t>D</w:t>
      </w:r>
      <w:r w:rsidR="00641F54">
        <w:t>escriptive analysis</w:t>
      </w:r>
      <w:bookmarkEnd w:id="62"/>
    </w:p>
    <w:p w14:paraId="2D28950C" w14:textId="77777777" w:rsidR="00D903B6" w:rsidRDefault="00571941" w:rsidP="00AC2F3B">
      <w:pPr>
        <w:pStyle w:val="Normal-nospacing"/>
      </w:pPr>
      <w:r>
        <w:t xml:space="preserve">This </w:t>
      </w:r>
      <w:r w:rsidR="00534F50">
        <w:t>s</w:t>
      </w:r>
      <w:r>
        <w:t>ection provides a descriptive overview of the profile of Study One residents</w:t>
      </w:r>
      <w:r w:rsidR="00C313E2">
        <w:t xml:space="preserve">. </w:t>
      </w:r>
      <w:r w:rsidR="00D903B6">
        <w:t xml:space="preserve">The purpose of this analysis is to explore the </w:t>
      </w:r>
      <w:r w:rsidR="00D903B6" w:rsidRPr="00471989">
        <w:t>profile of the study participants</w:t>
      </w:r>
      <w:r w:rsidR="00D903B6">
        <w:t xml:space="preserve"> </w:t>
      </w:r>
      <w:r w:rsidR="00AA00FA">
        <w:t xml:space="preserve">and to </w:t>
      </w:r>
      <w:r w:rsidR="007F4D40">
        <w:t xml:space="preserve">assess </w:t>
      </w:r>
      <w:r w:rsidR="00D903B6">
        <w:t xml:space="preserve">the </w:t>
      </w:r>
      <w:r w:rsidR="00D903B6" w:rsidRPr="00471989">
        <w:t xml:space="preserve">applicability of </w:t>
      </w:r>
      <w:r w:rsidR="007F4D40">
        <w:t xml:space="preserve">each </w:t>
      </w:r>
      <w:r w:rsidR="00D903B6" w:rsidRPr="00471989">
        <w:t>tool</w:t>
      </w:r>
      <w:r w:rsidR="007F4D40">
        <w:t xml:space="preserve"> </w:t>
      </w:r>
      <w:r w:rsidR="00D903B6">
        <w:t>for classification development purposes.</w:t>
      </w:r>
      <w:r w:rsidR="00D903B6" w:rsidRPr="00471989">
        <w:t xml:space="preserve"> </w:t>
      </w:r>
      <w:r w:rsidR="00C313E2">
        <w:t xml:space="preserve">A description of the key </w:t>
      </w:r>
      <w:r w:rsidR="004D0D14">
        <w:t>characteristics of each tool</w:t>
      </w:r>
      <w:r w:rsidR="00C313E2">
        <w:t xml:space="preserve"> is also provided</w:t>
      </w:r>
      <w:r w:rsidR="009424EA">
        <w:t xml:space="preserve"> </w:t>
      </w:r>
      <w:r w:rsidR="00D903B6">
        <w:t>as part of th</w:t>
      </w:r>
      <w:r w:rsidR="007F4D40">
        <w:t>is</w:t>
      </w:r>
      <w:r w:rsidR="00AE7A80">
        <w:t xml:space="preserve"> analysis.</w:t>
      </w:r>
    </w:p>
    <w:p w14:paraId="08EABDC3" w14:textId="77777777" w:rsidR="008C2B59" w:rsidRDefault="009424EA" w:rsidP="00AC2F3B">
      <w:pPr>
        <w:pStyle w:val="Normal-nospacing"/>
      </w:pPr>
      <w:r>
        <w:t>T</w:t>
      </w:r>
      <w:r w:rsidR="00641F54" w:rsidRPr="008E60C4">
        <w:t xml:space="preserve">he RUCS Assessment Tool </w:t>
      </w:r>
      <w:r w:rsidR="00BF751F">
        <w:t xml:space="preserve">used in Study </w:t>
      </w:r>
      <w:r w:rsidR="00534F50">
        <w:t>One</w:t>
      </w:r>
      <w:r w:rsidR="00BF751F">
        <w:t xml:space="preserve"> </w:t>
      </w:r>
      <w:r w:rsidR="00641F54" w:rsidRPr="00A63BE1">
        <w:t>comprised seven existing</w:t>
      </w:r>
      <w:r w:rsidR="00641F54">
        <w:t xml:space="preserve"> </w:t>
      </w:r>
      <w:r w:rsidR="007F45FD">
        <w:t>instruments</w:t>
      </w:r>
      <w:r w:rsidR="00641F54">
        <w:t xml:space="preserve">, with additional questions related to technical nursing requirements, palliative care and frailty. </w:t>
      </w:r>
      <w:r w:rsidR="008C2B59">
        <w:t>Domains including functional independence, mobility and frailty were measured. Demographic data relating to the residents were also available as well as some additional details, such as a need for technical nursing support and whether or not the r</w:t>
      </w:r>
      <w:r w:rsidR="00B744AA">
        <w:t>esident had a history of falls.</w:t>
      </w:r>
    </w:p>
    <w:p w14:paraId="307E917F" w14:textId="77777777" w:rsidR="00FF7EF7" w:rsidRPr="0075599D" w:rsidRDefault="00FF7EF7" w:rsidP="0075599D">
      <w:pPr>
        <w:pStyle w:val="Normal-nospacing"/>
      </w:pPr>
      <w:r>
        <w:t xml:space="preserve">To assess </w:t>
      </w:r>
      <w:r w:rsidR="00AA00FA">
        <w:t xml:space="preserve">each </w:t>
      </w:r>
      <w:r w:rsidR="007F45FD">
        <w:t>instrument’s</w:t>
      </w:r>
      <w:r>
        <w:t xml:space="preserve"> suitability</w:t>
      </w:r>
      <w:r w:rsidR="00C313E2">
        <w:t xml:space="preserve"> for classification development, </w:t>
      </w:r>
      <w:r>
        <w:t xml:space="preserve">the distribution of scores across the possible range of values needs </w:t>
      </w:r>
      <w:r w:rsidR="00B20E04">
        <w:t xml:space="preserve">to be </w:t>
      </w:r>
      <w:r>
        <w:t xml:space="preserve">considered. The relationship between the scores and a measure of resource usage provides additional insight into the suitability of the assessment scores as a variable in a casemix classification. If the relationship is strong, the characteristic of the client being measured can be considered to drive the cost of the </w:t>
      </w:r>
      <w:r w:rsidR="00B744AA">
        <w:t>care required.</w:t>
      </w:r>
    </w:p>
    <w:p w14:paraId="02A07CB3" w14:textId="77777777" w:rsidR="00571941" w:rsidRPr="0075599D" w:rsidRDefault="00571941" w:rsidP="0075599D">
      <w:pPr>
        <w:pStyle w:val="Normal-nospacing"/>
      </w:pPr>
      <w:r w:rsidRPr="0075599D">
        <w:t xml:space="preserve">It </w:t>
      </w:r>
      <w:r w:rsidR="00296ADB" w:rsidRPr="0075599D">
        <w:t xml:space="preserve">is noted </w:t>
      </w:r>
      <w:r w:rsidRPr="0075599D">
        <w:t xml:space="preserve">that </w:t>
      </w:r>
      <w:r w:rsidR="00296ADB" w:rsidRPr="0075599D">
        <w:t xml:space="preserve">the </w:t>
      </w:r>
      <w:r w:rsidRPr="0075599D">
        <w:t xml:space="preserve">number of residents </w:t>
      </w:r>
      <w:r w:rsidR="00DF6601" w:rsidRPr="0075599D">
        <w:t>in</w:t>
      </w:r>
      <w:r w:rsidRPr="0075599D">
        <w:t xml:space="preserve"> th</w:t>
      </w:r>
      <w:r w:rsidR="00B20E04" w:rsidRPr="0075599D">
        <w:t xml:space="preserve">e </w:t>
      </w:r>
      <w:r w:rsidRPr="0075599D">
        <w:t>analysis</w:t>
      </w:r>
      <w:r w:rsidR="00B20E04" w:rsidRPr="0075599D">
        <w:t xml:space="preserve"> in this section </w:t>
      </w:r>
      <w:r w:rsidR="00296ADB" w:rsidRPr="0075599D">
        <w:t>(n = 1,880)</w:t>
      </w:r>
      <w:r w:rsidRPr="0075599D">
        <w:t xml:space="preserve"> differs slightly from the number subsequently included in the classification development process</w:t>
      </w:r>
      <w:r w:rsidR="00B744AA">
        <w:t xml:space="preserve"> </w:t>
      </w:r>
      <w:r w:rsidR="00296ADB" w:rsidRPr="0075599D">
        <w:t>(n = 1,87</w:t>
      </w:r>
      <w:r w:rsidR="00B82914" w:rsidRPr="0075599D">
        <w:t>7</w:t>
      </w:r>
      <w:r w:rsidR="00296ADB" w:rsidRPr="0075599D">
        <w:t xml:space="preserve">) </w:t>
      </w:r>
      <w:r w:rsidRPr="0075599D">
        <w:t xml:space="preserve">due to </w:t>
      </w:r>
      <w:r w:rsidR="00B82914" w:rsidRPr="0075599D">
        <w:t xml:space="preserve">three </w:t>
      </w:r>
      <w:r w:rsidRPr="0075599D">
        <w:t xml:space="preserve">residents having no </w:t>
      </w:r>
      <w:r w:rsidR="00DF6601" w:rsidRPr="0075599D">
        <w:t xml:space="preserve">reported </w:t>
      </w:r>
      <w:r w:rsidRPr="0075599D">
        <w:t>service utilisation data</w:t>
      </w:r>
      <w:r w:rsidR="00C313E2" w:rsidRPr="0075599D">
        <w:t>.</w:t>
      </w:r>
    </w:p>
    <w:p w14:paraId="61DC7E0C" w14:textId="77777777" w:rsidR="00B3260C" w:rsidRDefault="00B3260C" w:rsidP="00534F50">
      <w:pPr>
        <w:pStyle w:val="Heading2"/>
      </w:pPr>
      <w:bookmarkStart w:id="63" w:name="_Toc2070319"/>
      <w:r>
        <w:t>Resource Utilisation Group</w:t>
      </w:r>
      <w:r w:rsidR="00534F50">
        <w:t>s</w:t>
      </w:r>
      <w:r>
        <w:t xml:space="preserve"> – Activities of Daily Living (RUG-ADL)</w:t>
      </w:r>
      <w:bookmarkEnd w:id="63"/>
    </w:p>
    <w:p w14:paraId="62DC73D7" w14:textId="77777777" w:rsidR="00715D51" w:rsidRDefault="00B3260C" w:rsidP="00AC2F3B">
      <w:pPr>
        <w:pStyle w:val="Normal-nospacing"/>
      </w:pPr>
      <w:r>
        <w:t xml:space="preserve">The RUG-ADL is designed to provide a profile of </w:t>
      </w:r>
      <w:r w:rsidR="007F45FD">
        <w:t>late loss</w:t>
      </w:r>
      <w:r>
        <w:t xml:space="preserve"> function using four items </w:t>
      </w:r>
      <w:r w:rsidR="00373B91">
        <w:t>-</w:t>
      </w:r>
      <w:r>
        <w:t xml:space="preserve"> eating, transfers, toileting and mobility. It is a measure of the assistance and resources required to carry out the respective functional tasks. Scores are added and the total ranges from </w:t>
      </w:r>
      <w:r w:rsidR="00CD735B">
        <w:t>4</w:t>
      </w:r>
      <w:r>
        <w:t xml:space="preserve"> (completely independent on these items) to 18 (completely dependent on these items). The distribution of scores within the study population </w:t>
      </w:r>
      <w:r w:rsidR="00F936EB">
        <w:t xml:space="preserve">is shown in </w:t>
      </w:r>
      <w:r w:rsidR="00F936EB">
        <w:fldChar w:fldCharType="begin"/>
      </w:r>
      <w:r w:rsidR="00F936EB">
        <w:instrText xml:space="preserve"> REF _Ref525217254 \h </w:instrText>
      </w:r>
      <w:r w:rsidR="00AC2F3B">
        <w:instrText xml:space="preserve"> \* MERGEFORMAT </w:instrText>
      </w:r>
      <w:r w:rsidR="00F936EB">
        <w:fldChar w:fldCharType="separate"/>
      </w:r>
      <w:r w:rsidR="00EE18C8">
        <w:t xml:space="preserve">Table </w:t>
      </w:r>
      <w:r w:rsidR="00EE18C8">
        <w:rPr>
          <w:noProof/>
        </w:rPr>
        <w:t>2</w:t>
      </w:r>
      <w:r w:rsidR="00F936EB">
        <w:fldChar w:fldCharType="end"/>
      </w:r>
      <w:r w:rsidR="00F936EB">
        <w:t>.</w:t>
      </w:r>
      <w:r w:rsidR="00715D51">
        <w:t xml:space="preserve"> Although some scores appeared relatively more often in the data, there was a reasonable spread across </w:t>
      </w:r>
      <w:r w:rsidR="00B744AA">
        <w:t>residents.</w:t>
      </w:r>
    </w:p>
    <w:p w14:paraId="3E54FC03" w14:textId="77777777" w:rsidR="00B3260C" w:rsidRDefault="00B3260C" w:rsidP="00B3260C">
      <w:pPr>
        <w:pStyle w:val="Caption"/>
        <w:keepNext/>
      </w:pPr>
      <w:bookmarkStart w:id="64" w:name="_Ref525217254"/>
      <w:bookmarkStart w:id="65" w:name="_Toc2065664"/>
      <w:r>
        <w:t xml:space="preserve">Table </w:t>
      </w:r>
      <w:r>
        <w:rPr>
          <w:noProof/>
        </w:rPr>
        <w:fldChar w:fldCharType="begin"/>
      </w:r>
      <w:r>
        <w:rPr>
          <w:noProof/>
        </w:rPr>
        <w:instrText xml:space="preserve"> SEQ Table \* ARABIC </w:instrText>
      </w:r>
      <w:r>
        <w:rPr>
          <w:noProof/>
        </w:rPr>
        <w:fldChar w:fldCharType="separate"/>
      </w:r>
      <w:r w:rsidR="00EE18C8">
        <w:rPr>
          <w:noProof/>
        </w:rPr>
        <w:t>2</w:t>
      </w:r>
      <w:r>
        <w:rPr>
          <w:noProof/>
        </w:rPr>
        <w:fldChar w:fldCharType="end"/>
      </w:r>
      <w:bookmarkEnd w:id="64"/>
      <w:r w:rsidR="00CF61F8">
        <w:rPr>
          <w:noProof/>
        </w:rPr>
        <w:t xml:space="preserve"> </w:t>
      </w:r>
      <w:r w:rsidR="00FB05DE">
        <w:rPr>
          <w:noProof/>
        </w:rPr>
        <w:tab/>
      </w:r>
      <w:r w:rsidRPr="00117C8A">
        <w:t>RUG-ADL scores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UG-ADL scores"/>
        <w:tblDescription w:val="Table 2 shows the distribution of scores within the study population, ranging between score 4 given to 25 percent of population and score 9 and score 5 each given to percent of the population.  There is a reasonable spread of scores across the residents. The total of the residents scored is 1,880. The table should be should be read as a series of rows from left to right ('RUG-ADL total score' then 'number of residents' then 'percentage of residents')."/>
      </w:tblPr>
      <w:tblGrid>
        <w:gridCol w:w="1907"/>
        <w:gridCol w:w="1536"/>
        <w:gridCol w:w="2176"/>
      </w:tblGrid>
      <w:tr w:rsidR="00867576" w:rsidRPr="00AA00FA" w14:paraId="0C2C82F6" w14:textId="77777777" w:rsidTr="007F45FD">
        <w:trPr>
          <w:trHeight w:val="300"/>
          <w:tblHeader/>
        </w:trPr>
        <w:tc>
          <w:tcPr>
            <w:tcW w:w="0" w:type="auto"/>
            <w:shd w:val="clear" w:color="auto" w:fill="D9D9D9" w:themeFill="background1" w:themeFillShade="D9"/>
            <w:noWrap/>
            <w:vAlign w:val="bottom"/>
            <w:hideMark/>
          </w:tcPr>
          <w:p w14:paraId="5D54D10F" w14:textId="77777777" w:rsidR="00867576" w:rsidRPr="00AA00FA" w:rsidRDefault="00867576" w:rsidP="00FB05DE">
            <w:pPr>
              <w:spacing w:before="40" w:after="40"/>
              <w:rPr>
                <w:rFonts w:cstheme="minorHAnsi"/>
                <w:b/>
                <w:sz w:val="20"/>
                <w:szCs w:val="20"/>
              </w:rPr>
            </w:pPr>
            <w:r w:rsidRPr="00AA00FA">
              <w:rPr>
                <w:rFonts w:cstheme="minorHAnsi"/>
                <w:b/>
                <w:sz w:val="20"/>
                <w:szCs w:val="20"/>
              </w:rPr>
              <w:t>RUG-ADL total score</w:t>
            </w:r>
          </w:p>
        </w:tc>
        <w:tc>
          <w:tcPr>
            <w:tcW w:w="0" w:type="auto"/>
            <w:shd w:val="clear" w:color="auto" w:fill="D9D9D9" w:themeFill="background1" w:themeFillShade="D9"/>
            <w:noWrap/>
            <w:vAlign w:val="bottom"/>
            <w:hideMark/>
          </w:tcPr>
          <w:p w14:paraId="19E521B7" w14:textId="77777777" w:rsidR="00867576" w:rsidRPr="00AA00FA" w:rsidRDefault="00867576" w:rsidP="00FB05DE">
            <w:pPr>
              <w:spacing w:before="40" w:after="40"/>
              <w:jc w:val="right"/>
              <w:rPr>
                <w:rFonts w:cstheme="minorHAnsi"/>
                <w:b/>
                <w:sz w:val="20"/>
                <w:szCs w:val="20"/>
              </w:rPr>
            </w:pPr>
            <w:r w:rsidRPr="00AA00FA">
              <w:rPr>
                <w:rFonts w:cstheme="minorHAnsi"/>
                <w:b/>
                <w:sz w:val="20"/>
                <w:szCs w:val="20"/>
              </w:rPr>
              <w:t>No. of residents</w:t>
            </w:r>
          </w:p>
        </w:tc>
        <w:tc>
          <w:tcPr>
            <w:tcW w:w="0" w:type="auto"/>
            <w:shd w:val="clear" w:color="auto" w:fill="D9D9D9" w:themeFill="background1" w:themeFillShade="D9"/>
            <w:noWrap/>
            <w:vAlign w:val="bottom"/>
            <w:hideMark/>
          </w:tcPr>
          <w:p w14:paraId="064B273A" w14:textId="77777777" w:rsidR="00867576" w:rsidRPr="00AA00FA" w:rsidRDefault="00867576" w:rsidP="00FB05DE">
            <w:pPr>
              <w:spacing w:before="40" w:after="40"/>
              <w:jc w:val="right"/>
              <w:rPr>
                <w:rFonts w:cstheme="minorHAnsi"/>
                <w:b/>
                <w:sz w:val="20"/>
                <w:szCs w:val="20"/>
              </w:rPr>
            </w:pPr>
            <w:r w:rsidRPr="00AA00FA">
              <w:rPr>
                <w:rFonts w:cstheme="minorHAnsi"/>
                <w:b/>
                <w:sz w:val="20"/>
                <w:szCs w:val="20"/>
              </w:rPr>
              <w:t>Percentage of residents</w:t>
            </w:r>
          </w:p>
        </w:tc>
      </w:tr>
      <w:tr w:rsidR="00867576" w:rsidRPr="00AA00FA" w14:paraId="7C697E00" w14:textId="77777777" w:rsidTr="00D6251D">
        <w:trPr>
          <w:trHeight w:val="300"/>
        </w:trPr>
        <w:tc>
          <w:tcPr>
            <w:tcW w:w="0" w:type="auto"/>
            <w:shd w:val="clear" w:color="auto" w:fill="auto"/>
            <w:noWrap/>
            <w:vAlign w:val="bottom"/>
            <w:hideMark/>
          </w:tcPr>
          <w:p w14:paraId="22A8D543"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4</w:t>
            </w:r>
          </w:p>
        </w:tc>
        <w:tc>
          <w:tcPr>
            <w:tcW w:w="0" w:type="auto"/>
            <w:shd w:val="clear" w:color="auto" w:fill="auto"/>
            <w:noWrap/>
            <w:vAlign w:val="bottom"/>
            <w:hideMark/>
          </w:tcPr>
          <w:p w14:paraId="420A202A"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472</w:t>
            </w:r>
          </w:p>
        </w:tc>
        <w:tc>
          <w:tcPr>
            <w:tcW w:w="0" w:type="auto"/>
            <w:shd w:val="clear" w:color="auto" w:fill="auto"/>
            <w:noWrap/>
            <w:vAlign w:val="bottom"/>
            <w:hideMark/>
          </w:tcPr>
          <w:p w14:paraId="1980C746"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25%</w:t>
            </w:r>
          </w:p>
        </w:tc>
      </w:tr>
      <w:tr w:rsidR="00867576" w:rsidRPr="00AA00FA" w14:paraId="6A741129" w14:textId="77777777" w:rsidTr="00D6251D">
        <w:trPr>
          <w:trHeight w:val="300"/>
        </w:trPr>
        <w:tc>
          <w:tcPr>
            <w:tcW w:w="0" w:type="auto"/>
            <w:shd w:val="clear" w:color="auto" w:fill="auto"/>
            <w:noWrap/>
            <w:vAlign w:val="bottom"/>
            <w:hideMark/>
          </w:tcPr>
          <w:p w14:paraId="7613C154"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5</w:t>
            </w:r>
          </w:p>
        </w:tc>
        <w:tc>
          <w:tcPr>
            <w:tcW w:w="0" w:type="auto"/>
            <w:shd w:val="clear" w:color="auto" w:fill="auto"/>
            <w:noWrap/>
            <w:vAlign w:val="bottom"/>
            <w:hideMark/>
          </w:tcPr>
          <w:p w14:paraId="6EECB31E"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34</w:t>
            </w:r>
          </w:p>
        </w:tc>
        <w:tc>
          <w:tcPr>
            <w:tcW w:w="0" w:type="auto"/>
            <w:shd w:val="clear" w:color="auto" w:fill="auto"/>
            <w:noWrap/>
            <w:vAlign w:val="bottom"/>
            <w:hideMark/>
          </w:tcPr>
          <w:p w14:paraId="09A06CA1"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2%</w:t>
            </w:r>
          </w:p>
        </w:tc>
      </w:tr>
      <w:tr w:rsidR="00867576" w:rsidRPr="00AA00FA" w14:paraId="47EF4542" w14:textId="77777777" w:rsidTr="00D6251D">
        <w:trPr>
          <w:trHeight w:val="300"/>
        </w:trPr>
        <w:tc>
          <w:tcPr>
            <w:tcW w:w="0" w:type="auto"/>
            <w:shd w:val="clear" w:color="auto" w:fill="auto"/>
            <w:noWrap/>
            <w:vAlign w:val="bottom"/>
            <w:hideMark/>
          </w:tcPr>
          <w:p w14:paraId="01C34656"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6</w:t>
            </w:r>
          </w:p>
        </w:tc>
        <w:tc>
          <w:tcPr>
            <w:tcW w:w="0" w:type="auto"/>
            <w:shd w:val="clear" w:color="auto" w:fill="auto"/>
            <w:noWrap/>
            <w:vAlign w:val="bottom"/>
            <w:hideMark/>
          </w:tcPr>
          <w:p w14:paraId="3B6E0F0F"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136</w:t>
            </w:r>
          </w:p>
        </w:tc>
        <w:tc>
          <w:tcPr>
            <w:tcW w:w="0" w:type="auto"/>
            <w:shd w:val="clear" w:color="auto" w:fill="auto"/>
            <w:noWrap/>
            <w:vAlign w:val="bottom"/>
            <w:hideMark/>
          </w:tcPr>
          <w:p w14:paraId="084486AD"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7%</w:t>
            </w:r>
          </w:p>
        </w:tc>
      </w:tr>
      <w:tr w:rsidR="00867576" w:rsidRPr="00AA00FA" w14:paraId="3D10D9E3" w14:textId="77777777" w:rsidTr="00D6251D">
        <w:trPr>
          <w:trHeight w:val="300"/>
        </w:trPr>
        <w:tc>
          <w:tcPr>
            <w:tcW w:w="0" w:type="auto"/>
            <w:shd w:val="clear" w:color="auto" w:fill="auto"/>
            <w:noWrap/>
            <w:vAlign w:val="bottom"/>
            <w:hideMark/>
          </w:tcPr>
          <w:p w14:paraId="4140C779"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7</w:t>
            </w:r>
          </w:p>
        </w:tc>
        <w:tc>
          <w:tcPr>
            <w:tcW w:w="0" w:type="auto"/>
            <w:shd w:val="clear" w:color="auto" w:fill="auto"/>
            <w:noWrap/>
            <w:vAlign w:val="bottom"/>
            <w:hideMark/>
          </w:tcPr>
          <w:p w14:paraId="6D314645"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54</w:t>
            </w:r>
          </w:p>
        </w:tc>
        <w:tc>
          <w:tcPr>
            <w:tcW w:w="0" w:type="auto"/>
            <w:shd w:val="clear" w:color="auto" w:fill="auto"/>
            <w:noWrap/>
            <w:vAlign w:val="bottom"/>
            <w:hideMark/>
          </w:tcPr>
          <w:p w14:paraId="1661B2B0"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3%</w:t>
            </w:r>
          </w:p>
        </w:tc>
      </w:tr>
      <w:tr w:rsidR="00867576" w:rsidRPr="00AA00FA" w14:paraId="60344874" w14:textId="77777777" w:rsidTr="00D6251D">
        <w:trPr>
          <w:trHeight w:val="300"/>
        </w:trPr>
        <w:tc>
          <w:tcPr>
            <w:tcW w:w="0" w:type="auto"/>
            <w:shd w:val="clear" w:color="auto" w:fill="auto"/>
            <w:noWrap/>
            <w:vAlign w:val="bottom"/>
            <w:hideMark/>
          </w:tcPr>
          <w:p w14:paraId="4A83AC09"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8</w:t>
            </w:r>
          </w:p>
        </w:tc>
        <w:tc>
          <w:tcPr>
            <w:tcW w:w="0" w:type="auto"/>
            <w:shd w:val="clear" w:color="auto" w:fill="auto"/>
            <w:noWrap/>
            <w:vAlign w:val="bottom"/>
            <w:hideMark/>
          </w:tcPr>
          <w:p w14:paraId="386BB58E"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90</w:t>
            </w:r>
          </w:p>
        </w:tc>
        <w:tc>
          <w:tcPr>
            <w:tcW w:w="0" w:type="auto"/>
            <w:shd w:val="clear" w:color="auto" w:fill="auto"/>
            <w:noWrap/>
            <w:vAlign w:val="bottom"/>
            <w:hideMark/>
          </w:tcPr>
          <w:p w14:paraId="1720CBB9"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5%</w:t>
            </w:r>
          </w:p>
        </w:tc>
      </w:tr>
      <w:tr w:rsidR="00867576" w:rsidRPr="00AA00FA" w14:paraId="4F226F43" w14:textId="77777777" w:rsidTr="00D6251D">
        <w:trPr>
          <w:trHeight w:val="300"/>
        </w:trPr>
        <w:tc>
          <w:tcPr>
            <w:tcW w:w="0" w:type="auto"/>
            <w:shd w:val="clear" w:color="auto" w:fill="auto"/>
            <w:noWrap/>
            <w:vAlign w:val="bottom"/>
            <w:hideMark/>
          </w:tcPr>
          <w:p w14:paraId="50CC7896"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9</w:t>
            </w:r>
          </w:p>
        </w:tc>
        <w:tc>
          <w:tcPr>
            <w:tcW w:w="0" w:type="auto"/>
            <w:shd w:val="clear" w:color="auto" w:fill="auto"/>
            <w:noWrap/>
            <w:vAlign w:val="bottom"/>
            <w:hideMark/>
          </w:tcPr>
          <w:p w14:paraId="4F3AE24A"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47</w:t>
            </w:r>
          </w:p>
        </w:tc>
        <w:tc>
          <w:tcPr>
            <w:tcW w:w="0" w:type="auto"/>
            <w:shd w:val="clear" w:color="auto" w:fill="auto"/>
            <w:noWrap/>
            <w:vAlign w:val="bottom"/>
            <w:hideMark/>
          </w:tcPr>
          <w:p w14:paraId="21081BE2"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2%</w:t>
            </w:r>
          </w:p>
        </w:tc>
      </w:tr>
      <w:tr w:rsidR="00867576" w:rsidRPr="00AA00FA" w14:paraId="5FE877B8" w14:textId="77777777" w:rsidTr="00D6251D">
        <w:trPr>
          <w:trHeight w:val="300"/>
        </w:trPr>
        <w:tc>
          <w:tcPr>
            <w:tcW w:w="0" w:type="auto"/>
            <w:shd w:val="clear" w:color="auto" w:fill="auto"/>
            <w:noWrap/>
            <w:vAlign w:val="bottom"/>
            <w:hideMark/>
          </w:tcPr>
          <w:p w14:paraId="77134616"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10</w:t>
            </w:r>
          </w:p>
        </w:tc>
        <w:tc>
          <w:tcPr>
            <w:tcW w:w="0" w:type="auto"/>
            <w:shd w:val="clear" w:color="auto" w:fill="auto"/>
            <w:noWrap/>
            <w:vAlign w:val="bottom"/>
            <w:hideMark/>
          </w:tcPr>
          <w:p w14:paraId="3974B7A6"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141</w:t>
            </w:r>
          </w:p>
        </w:tc>
        <w:tc>
          <w:tcPr>
            <w:tcW w:w="0" w:type="auto"/>
            <w:shd w:val="clear" w:color="auto" w:fill="auto"/>
            <w:noWrap/>
            <w:vAlign w:val="bottom"/>
            <w:hideMark/>
          </w:tcPr>
          <w:p w14:paraId="4DB6264F"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8%</w:t>
            </w:r>
          </w:p>
        </w:tc>
      </w:tr>
      <w:tr w:rsidR="00867576" w:rsidRPr="00AA00FA" w14:paraId="23265487" w14:textId="77777777" w:rsidTr="00D6251D">
        <w:trPr>
          <w:trHeight w:val="300"/>
        </w:trPr>
        <w:tc>
          <w:tcPr>
            <w:tcW w:w="0" w:type="auto"/>
            <w:shd w:val="clear" w:color="auto" w:fill="auto"/>
            <w:noWrap/>
            <w:vAlign w:val="bottom"/>
            <w:hideMark/>
          </w:tcPr>
          <w:p w14:paraId="7445B192"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11</w:t>
            </w:r>
          </w:p>
        </w:tc>
        <w:tc>
          <w:tcPr>
            <w:tcW w:w="0" w:type="auto"/>
            <w:shd w:val="clear" w:color="auto" w:fill="auto"/>
            <w:noWrap/>
            <w:vAlign w:val="bottom"/>
            <w:hideMark/>
          </w:tcPr>
          <w:p w14:paraId="30BA252D"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133</w:t>
            </w:r>
          </w:p>
        </w:tc>
        <w:tc>
          <w:tcPr>
            <w:tcW w:w="0" w:type="auto"/>
            <w:shd w:val="clear" w:color="auto" w:fill="auto"/>
            <w:noWrap/>
            <w:vAlign w:val="bottom"/>
            <w:hideMark/>
          </w:tcPr>
          <w:p w14:paraId="703101FE"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7%</w:t>
            </w:r>
          </w:p>
        </w:tc>
      </w:tr>
      <w:tr w:rsidR="00867576" w:rsidRPr="00AA00FA" w14:paraId="0C603FE8" w14:textId="77777777" w:rsidTr="00D6251D">
        <w:trPr>
          <w:trHeight w:val="300"/>
        </w:trPr>
        <w:tc>
          <w:tcPr>
            <w:tcW w:w="0" w:type="auto"/>
            <w:shd w:val="clear" w:color="auto" w:fill="auto"/>
            <w:noWrap/>
            <w:vAlign w:val="bottom"/>
            <w:hideMark/>
          </w:tcPr>
          <w:p w14:paraId="10857E36"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12</w:t>
            </w:r>
          </w:p>
        </w:tc>
        <w:tc>
          <w:tcPr>
            <w:tcW w:w="0" w:type="auto"/>
            <w:shd w:val="clear" w:color="auto" w:fill="auto"/>
            <w:noWrap/>
            <w:vAlign w:val="bottom"/>
            <w:hideMark/>
          </w:tcPr>
          <w:p w14:paraId="6C4795D0"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49</w:t>
            </w:r>
          </w:p>
        </w:tc>
        <w:tc>
          <w:tcPr>
            <w:tcW w:w="0" w:type="auto"/>
            <w:shd w:val="clear" w:color="auto" w:fill="auto"/>
            <w:noWrap/>
            <w:vAlign w:val="bottom"/>
            <w:hideMark/>
          </w:tcPr>
          <w:p w14:paraId="114B2F3F"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3%</w:t>
            </w:r>
          </w:p>
        </w:tc>
      </w:tr>
      <w:tr w:rsidR="00867576" w:rsidRPr="00AA00FA" w14:paraId="36E7D4B1" w14:textId="77777777" w:rsidTr="00D6251D">
        <w:trPr>
          <w:trHeight w:val="300"/>
        </w:trPr>
        <w:tc>
          <w:tcPr>
            <w:tcW w:w="0" w:type="auto"/>
            <w:shd w:val="clear" w:color="auto" w:fill="auto"/>
            <w:noWrap/>
            <w:vAlign w:val="bottom"/>
            <w:hideMark/>
          </w:tcPr>
          <w:p w14:paraId="63806DB6"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13</w:t>
            </w:r>
          </w:p>
        </w:tc>
        <w:tc>
          <w:tcPr>
            <w:tcW w:w="0" w:type="auto"/>
            <w:shd w:val="clear" w:color="auto" w:fill="auto"/>
            <w:noWrap/>
            <w:vAlign w:val="bottom"/>
            <w:hideMark/>
          </w:tcPr>
          <w:p w14:paraId="50FDD56E"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76</w:t>
            </w:r>
          </w:p>
        </w:tc>
        <w:tc>
          <w:tcPr>
            <w:tcW w:w="0" w:type="auto"/>
            <w:shd w:val="clear" w:color="auto" w:fill="auto"/>
            <w:noWrap/>
            <w:vAlign w:val="bottom"/>
            <w:hideMark/>
          </w:tcPr>
          <w:p w14:paraId="34F1AF88"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4%</w:t>
            </w:r>
          </w:p>
        </w:tc>
      </w:tr>
      <w:tr w:rsidR="00867576" w:rsidRPr="00AA00FA" w14:paraId="40FA42BC" w14:textId="77777777" w:rsidTr="00D6251D">
        <w:trPr>
          <w:trHeight w:val="300"/>
        </w:trPr>
        <w:tc>
          <w:tcPr>
            <w:tcW w:w="0" w:type="auto"/>
            <w:shd w:val="clear" w:color="auto" w:fill="auto"/>
            <w:noWrap/>
            <w:vAlign w:val="bottom"/>
            <w:hideMark/>
          </w:tcPr>
          <w:p w14:paraId="76D74D6F"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lastRenderedPageBreak/>
              <w:t>14</w:t>
            </w:r>
          </w:p>
        </w:tc>
        <w:tc>
          <w:tcPr>
            <w:tcW w:w="0" w:type="auto"/>
            <w:shd w:val="clear" w:color="auto" w:fill="auto"/>
            <w:noWrap/>
            <w:vAlign w:val="bottom"/>
            <w:hideMark/>
          </w:tcPr>
          <w:p w14:paraId="3CC291F0"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108</w:t>
            </w:r>
          </w:p>
        </w:tc>
        <w:tc>
          <w:tcPr>
            <w:tcW w:w="0" w:type="auto"/>
            <w:shd w:val="clear" w:color="auto" w:fill="auto"/>
            <w:noWrap/>
            <w:vAlign w:val="bottom"/>
            <w:hideMark/>
          </w:tcPr>
          <w:p w14:paraId="0F656C59"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6%</w:t>
            </w:r>
          </w:p>
        </w:tc>
      </w:tr>
      <w:tr w:rsidR="00867576" w:rsidRPr="00AA00FA" w14:paraId="585B1790" w14:textId="77777777" w:rsidTr="00D6251D">
        <w:trPr>
          <w:trHeight w:val="300"/>
        </w:trPr>
        <w:tc>
          <w:tcPr>
            <w:tcW w:w="0" w:type="auto"/>
            <w:shd w:val="clear" w:color="auto" w:fill="auto"/>
            <w:noWrap/>
            <w:vAlign w:val="bottom"/>
            <w:hideMark/>
          </w:tcPr>
          <w:p w14:paraId="5BDF0D2C"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15</w:t>
            </w:r>
          </w:p>
        </w:tc>
        <w:tc>
          <w:tcPr>
            <w:tcW w:w="0" w:type="auto"/>
            <w:shd w:val="clear" w:color="auto" w:fill="auto"/>
            <w:noWrap/>
            <w:vAlign w:val="bottom"/>
            <w:hideMark/>
          </w:tcPr>
          <w:p w14:paraId="170939E3"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62</w:t>
            </w:r>
          </w:p>
        </w:tc>
        <w:tc>
          <w:tcPr>
            <w:tcW w:w="0" w:type="auto"/>
            <w:shd w:val="clear" w:color="auto" w:fill="auto"/>
            <w:noWrap/>
            <w:vAlign w:val="bottom"/>
            <w:hideMark/>
          </w:tcPr>
          <w:p w14:paraId="57FE7854"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3%</w:t>
            </w:r>
          </w:p>
        </w:tc>
      </w:tr>
      <w:tr w:rsidR="00867576" w:rsidRPr="00AA00FA" w14:paraId="656D85E5" w14:textId="77777777" w:rsidTr="00D6251D">
        <w:trPr>
          <w:trHeight w:val="300"/>
        </w:trPr>
        <w:tc>
          <w:tcPr>
            <w:tcW w:w="0" w:type="auto"/>
            <w:shd w:val="clear" w:color="auto" w:fill="auto"/>
            <w:noWrap/>
            <w:vAlign w:val="bottom"/>
            <w:hideMark/>
          </w:tcPr>
          <w:p w14:paraId="39A3E27A"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16</w:t>
            </w:r>
          </w:p>
        </w:tc>
        <w:tc>
          <w:tcPr>
            <w:tcW w:w="0" w:type="auto"/>
            <w:shd w:val="clear" w:color="auto" w:fill="auto"/>
            <w:noWrap/>
            <w:vAlign w:val="bottom"/>
            <w:hideMark/>
          </w:tcPr>
          <w:p w14:paraId="5F344320"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71</w:t>
            </w:r>
          </w:p>
        </w:tc>
        <w:tc>
          <w:tcPr>
            <w:tcW w:w="0" w:type="auto"/>
            <w:shd w:val="clear" w:color="auto" w:fill="auto"/>
            <w:noWrap/>
            <w:vAlign w:val="bottom"/>
            <w:hideMark/>
          </w:tcPr>
          <w:p w14:paraId="73001689"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4%</w:t>
            </w:r>
          </w:p>
        </w:tc>
      </w:tr>
      <w:tr w:rsidR="00867576" w:rsidRPr="00AA00FA" w14:paraId="133DA706" w14:textId="77777777" w:rsidTr="00D6251D">
        <w:trPr>
          <w:trHeight w:val="300"/>
        </w:trPr>
        <w:tc>
          <w:tcPr>
            <w:tcW w:w="0" w:type="auto"/>
            <w:shd w:val="clear" w:color="auto" w:fill="auto"/>
            <w:noWrap/>
            <w:vAlign w:val="bottom"/>
            <w:hideMark/>
          </w:tcPr>
          <w:p w14:paraId="35B69369" w14:textId="77777777" w:rsidR="00CF33BD" w:rsidRPr="00AA00FA" w:rsidRDefault="00867576" w:rsidP="00FB05DE">
            <w:pPr>
              <w:spacing w:before="40" w:after="40"/>
              <w:rPr>
                <w:rFonts w:cstheme="minorHAnsi"/>
                <w:color w:val="000000"/>
                <w:sz w:val="20"/>
                <w:szCs w:val="20"/>
              </w:rPr>
            </w:pPr>
            <w:r w:rsidRPr="00AA00FA">
              <w:rPr>
                <w:rFonts w:cstheme="minorHAnsi"/>
                <w:color w:val="000000"/>
                <w:sz w:val="20"/>
                <w:szCs w:val="20"/>
              </w:rPr>
              <w:t>17</w:t>
            </w:r>
          </w:p>
        </w:tc>
        <w:tc>
          <w:tcPr>
            <w:tcW w:w="0" w:type="auto"/>
            <w:shd w:val="clear" w:color="auto" w:fill="auto"/>
            <w:noWrap/>
            <w:vAlign w:val="bottom"/>
            <w:hideMark/>
          </w:tcPr>
          <w:p w14:paraId="3841E83B"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195</w:t>
            </w:r>
          </w:p>
        </w:tc>
        <w:tc>
          <w:tcPr>
            <w:tcW w:w="0" w:type="auto"/>
            <w:shd w:val="clear" w:color="auto" w:fill="auto"/>
            <w:noWrap/>
            <w:vAlign w:val="bottom"/>
            <w:hideMark/>
          </w:tcPr>
          <w:p w14:paraId="5376E50B"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10%</w:t>
            </w:r>
          </w:p>
        </w:tc>
      </w:tr>
      <w:tr w:rsidR="00867576" w:rsidRPr="00AA00FA" w14:paraId="59499212" w14:textId="77777777" w:rsidTr="00D6251D">
        <w:trPr>
          <w:trHeight w:val="300"/>
        </w:trPr>
        <w:tc>
          <w:tcPr>
            <w:tcW w:w="0" w:type="auto"/>
            <w:shd w:val="clear" w:color="auto" w:fill="auto"/>
            <w:noWrap/>
            <w:vAlign w:val="bottom"/>
            <w:hideMark/>
          </w:tcPr>
          <w:p w14:paraId="3F3D445B" w14:textId="77777777" w:rsidR="00867576" w:rsidRPr="00AA00FA" w:rsidRDefault="00867576" w:rsidP="00FB05DE">
            <w:pPr>
              <w:spacing w:before="40" w:after="40"/>
              <w:rPr>
                <w:rFonts w:cstheme="minorHAnsi"/>
                <w:color w:val="000000"/>
                <w:sz w:val="20"/>
                <w:szCs w:val="20"/>
              </w:rPr>
            </w:pPr>
            <w:r w:rsidRPr="00AA00FA">
              <w:rPr>
                <w:rFonts w:cstheme="minorHAnsi"/>
                <w:color w:val="000000"/>
                <w:sz w:val="20"/>
                <w:szCs w:val="20"/>
              </w:rPr>
              <w:t>18</w:t>
            </w:r>
          </w:p>
        </w:tc>
        <w:tc>
          <w:tcPr>
            <w:tcW w:w="0" w:type="auto"/>
            <w:shd w:val="clear" w:color="auto" w:fill="auto"/>
            <w:noWrap/>
            <w:vAlign w:val="bottom"/>
            <w:hideMark/>
          </w:tcPr>
          <w:p w14:paraId="2C743339"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212</w:t>
            </w:r>
          </w:p>
        </w:tc>
        <w:tc>
          <w:tcPr>
            <w:tcW w:w="0" w:type="auto"/>
            <w:shd w:val="clear" w:color="auto" w:fill="auto"/>
            <w:noWrap/>
            <w:vAlign w:val="bottom"/>
            <w:hideMark/>
          </w:tcPr>
          <w:p w14:paraId="00DDD539" w14:textId="77777777" w:rsidR="00867576" w:rsidRPr="00AA00FA" w:rsidRDefault="00867576" w:rsidP="00FB05DE">
            <w:pPr>
              <w:spacing w:before="40" w:after="40"/>
              <w:jc w:val="right"/>
              <w:rPr>
                <w:rFonts w:cstheme="minorHAnsi"/>
                <w:color w:val="000000"/>
                <w:sz w:val="20"/>
                <w:szCs w:val="20"/>
              </w:rPr>
            </w:pPr>
            <w:r w:rsidRPr="00AA00FA">
              <w:rPr>
                <w:rFonts w:cstheme="minorHAnsi"/>
                <w:color w:val="000000"/>
                <w:sz w:val="20"/>
                <w:szCs w:val="20"/>
              </w:rPr>
              <w:t>11%</w:t>
            </w:r>
          </w:p>
        </w:tc>
      </w:tr>
      <w:tr w:rsidR="00867576" w:rsidRPr="00AA00FA" w14:paraId="6A001CA2" w14:textId="77777777" w:rsidTr="00D6251D">
        <w:trPr>
          <w:trHeight w:val="300"/>
        </w:trPr>
        <w:tc>
          <w:tcPr>
            <w:tcW w:w="0" w:type="auto"/>
            <w:shd w:val="clear" w:color="auto" w:fill="auto"/>
            <w:noWrap/>
            <w:vAlign w:val="bottom"/>
            <w:hideMark/>
          </w:tcPr>
          <w:p w14:paraId="76759660" w14:textId="77777777" w:rsidR="00867576" w:rsidRPr="00AA00FA" w:rsidRDefault="00867576" w:rsidP="00FB05DE">
            <w:pPr>
              <w:spacing w:before="40" w:after="40"/>
              <w:rPr>
                <w:rFonts w:cstheme="minorHAnsi"/>
                <w:b/>
                <w:color w:val="000000"/>
                <w:sz w:val="20"/>
                <w:szCs w:val="20"/>
              </w:rPr>
            </w:pPr>
            <w:r w:rsidRPr="00AA00FA">
              <w:rPr>
                <w:rFonts w:cstheme="minorHAnsi"/>
                <w:b/>
                <w:color w:val="000000"/>
                <w:sz w:val="20"/>
                <w:szCs w:val="20"/>
              </w:rPr>
              <w:t>All residents</w:t>
            </w:r>
          </w:p>
        </w:tc>
        <w:tc>
          <w:tcPr>
            <w:tcW w:w="0" w:type="auto"/>
            <w:shd w:val="clear" w:color="auto" w:fill="auto"/>
            <w:noWrap/>
            <w:vAlign w:val="bottom"/>
            <w:hideMark/>
          </w:tcPr>
          <w:p w14:paraId="1816E460" w14:textId="77777777" w:rsidR="00867576" w:rsidRPr="00AA00FA" w:rsidRDefault="00867576" w:rsidP="00FB05DE">
            <w:pPr>
              <w:spacing w:before="40" w:after="40"/>
              <w:jc w:val="right"/>
              <w:rPr>
                <w:rFonts w:cstheme="minorHAnsi"/>
                <w:b/>
                <w:color w:val="000000"/>
                <w:sz w:val="20"/>
                <w:szCs w:val="20"/>
              </w:rPr>
            </w:pPr>
            <w:r w:rsidRPr="00AA00FA">
              <w:rPr>
                <w:rFonts w:cstheme="minorHAnsi"/>
                <w:b/>
                <w:color w:val="000000"/>
                <w:sz w:val="20"/>
                <w:szCs w:val="20"/>
              </w:rPr>
              <w:t>1,880</w:t>
            </w:r>
          </w:p>
        </w:tc>
        <w:tc>
          <w:tcPr>
            <w:tcW w:w="0" w:type="auto"/>
            <w:shd w:val="clear" w:color="auto" w:fill="auto"/>
            <w:noWrap/>
            <w:vAlign w:val="bottom"/>
            <w:hideMark/>
          </w:tcPr>
          <w:p w14:paraId="41440853" w14:textId="77777777" w:rsidR="00867576" w:rsidRPr="00AA00FA" w:rsidRDefault="00867576" w:rsidP="00FB05DE">
            <w:pPr>
              <w:spacing w:before="40" w:after="40"/>
              <w:jc w:val="right"/>
              <w:rPr>
                <w:rFonts w:cstheme="minorHAnsi"/>
                <w:b/>
                <w:color w:val="000000"/>
                <w:sz w:val="20"/>
                <w:szCs w:val="20"/>
              </w:rPr>
            </w:pPr>
            <w:r w:rsidRPr="00AA00FA">
              <w:rPr>
                <w:rFonts w:cstheme="minorHAnsi"/>
                <w:b/>
                <w:color w:val="000000"/>
                <w:sz w:val="20"/>
                <w:szCs w:val="20"/>
              </w:rPr>
              <w:t>100%</w:t>
            </w:r>
          </w:p>
        </w:tc>
      </w:tr>
    </w:tbl>
    <w:p w14:paraId="215773CE" w14:textId="77777777" w:rsidR="00B3260C" w:rsidRDefault="00B3260C" w:rsidP="0075599D">
      <w:pPr>
        <w:pStyle w:val="Heading2"/>
        <w:spacing w:before="480"/>
      </w:pPr>
      <w:bookmarkStart w:id="66" w:name="_Toc2070320"/>
      <w:r>
        <w:t>The Australia-</w:t>
      </w:r>
      <w:r w:rsidR="00534F50">
        <w:t>m</w:t>
      </w:r>
      <w:r>
        <w:t>odified Karno</w:t>
      </w:r>
      <w:r w:rsidR="00AE7A80">
        <w:t>f</w:t>
      </w:r>
      <w:r>
        <w:t>sky Performance S</w:t>
      </w:r>
      <w:r w:rsidR="003B75B6">
        <w:t>tatus</w:t>
      </w:r>
      <w:r>
        <w:t xml:space="preserve"> (AKPS)</w:t>
      </w:r>
      <w:bookmarkEnd w:id="66"/>
    </w:p>
    <w:p w14:paraId="33027077" w14:textId="77777777" w:rsidR="00C16470" w:rsidRDefault="00B3260C" w:rsidP="00AC2F3B">
      <w:pPr>
        <w:pStyle w:val="Normal-nospacing"/>
      </w:pPr>
      <w:r>
        <w:t xml:space="preserve">The AKPS </w:t>
      </w:r>
      <w:r w:rsidR="00373B91">
        <w:t xml:space="preserve">reports </w:t>
      </w:r>
      <w:r>
        <w:t xml:space="preserve">a single score that indicates overall </w:t>
      </w:r>
      <w:r w:rsidR="007F45FD">
        <w:t>palliative functional performance</w:t>
      </w:r>
      <w:r>
        <w:t xml:space="preserve">. It is scored from 10 (comatose or barely rousable) to 100 (signifying normal physical abilities with no evidence of disease). The distribution of scores across the study population is </w:t>
      </w:r>
      <w:r w:rsidR="005E0DCA">
        <w:t xml:space="preserve">shown </w:t>
      </w:r>
      <w:r>
        <w:t xml:space="preserve">in </w:t>
      </w:r>
      <w:r>
        <w:rPr>
          <w:highlight w:val="yellow"/>
        </w:rPr>
        <w:fldChar w:fldCharType="begin"/>
      </w:r>
      <w:r>
        <w:instrText xml:space="preserve"> REF _Ref525222609 \h </w:instrText>
      </w:r>
      <w:r w:rsidR="00AC2F3B">
        <w:rPr>
          <w:highlight w:val="yellow"/>
        </w:rPr>
        <w:instrText xml:space="preserve"> \* MERGEFORMAT </w:instrText>
      </w:r>
      <w:r>
        <w:rPr>
          <w:highlight w:val="yellow"/>
        </w:rPr>
      </w:r>
      <w:r>
        <w:rPr>
          <w:highlight w:val="yellow"/>
        </w:rPr>
        <w:fldChar w:fldCharType="separate"/>
      </w:r>
      <w:r w:rsidR="00EE18C8" w:rsidRPr="005B0B4B">
        <w:t xml:space="preserve">Table </w:t>
      </w:r>
      <w:r w:rsidR="00EE18C8">
        <w:rPr>
          <w:noProof/>
        </w:rPr>
        <w:t>3</w:t>
      </w:r>
      <w:r>
        <w:rPr>
          <w:highlight w:val="yellow"/>
        </w:rPr>
        <w:fldChar w:fldCharType="end"/>
      </w:r>
      <w:r>
        <w:t>.</w:t>
      </w:r>
      <w:r w:rsidR="00C16470">
        <w:t xml:space="preserve"> The vast majority of residents (86%) scored in the mid</w:t>
      </w:r>
      <w:r w:rsidR="00B744AA">
        <w:t>dle range of the AKPS (40-70).</w:t>
      </w:r>
    </w:p>
    <w:p w14:paraId="7FA15BC5" w14:textId="77777777" w:rsidR="00B3260C" w:rsidRDefault="00B3260C" w:rsidP="0075599D">
      <w:pPr>
        <w:pStyle w:val="Caption"/>
        <w:keepNext/>
        <w:spacing w:before="240"/>
      </w:pPr>
      <w:bookmarkStart w:id="67" w:name="_Ref525222609"/>
      <w:bookmarkStart w:id="68" w:name="_Toc2065665"/>
      <w:r w:rsidRPr="005B0B4B">
        <w:t xml:space="preserve">Table </w:t>
      </w:r>
      <w:r>
        <w:rPr>
          <w:noProof/>
        </w:rPr>
        <w:fldChar w:fldCharType="begin"/>
      </w:r>
      <w:r>
        <w:rPr>
          <w:noProof/>
        </w:rPr>
        <w:instrText xml:space="preserve"> SEQ Table \* ARABIC </w:instrText>
      </w:r>
      <w:r>
        <w:rPr>
          <w:noProof/>
        </w:rPr>
        <w:fldChar w:fldCharType="separate"/>
      </w:r>
      <w:r w:rsidR="00EE18C8">
        <w:rPr>
          <w:noProof/>
        </w:rPr>
        <w:t>3</w:t>
      </w:r>
      <w:r>
        <w:rPr>
          <w:noProof/>
        </w:rPr>
        <w:fldChar w:fldCharType="end"/>
      </w:r>
      <w:bookmarkEnd w:id="67"/>
      <w:r w:rsidR="00CF61F8">
        <w:rPr>
          <w:noProof/>
        </w:rPr>
        <w:t xml:space="preserve"> </w:t>
      </w:r>
      <w:r w:rsidR="00FB05DE">
        <w:rPr>
          <w:noProof/>
        </w:rPr>
        <w:tab/>
      </w:r>
      <w:r w:rsidR="00A5215A">
        <w:rPr>
          <w:noProof/>
        </w:rPr>
        <w:t xml:space="preserve">Distribution of </w:t>
      </w:r>
      <w:r w:rsidRPr="005B0B4B">
        <w:t>AKPS scores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tribution of AKPS scores"/>
        <w:tblDescription w:val="Table 3 shows the distribution of scores across the study population. The vast majority of residents (86 percent) scored in the middle range of the AKPS (40-70).  Total number or residents scored is 1,880. The table is to be read as a series of rows from left to right ('AKPS score' then 'number of residents' then 'percentage of residents')."/>
      </w:tblPr>
      <w:tblGrid>
        <w:gridCol w:w="1246"/>
        <w:gridCol w:w="1536"/>
        <w:gridCol w:w="2176"/>
      </w:tblGrid>
      <w:tr w:rsidR="00867576" w:rsidRPr="00AA00FA" w14:paraId="147DD9D1" w14:textId="77777777" w:rsidTr="00D6251D">
        <w:trPr>
          <w:trHeight w:val="300"/>
        </w:trPr>
        <w:tc>
          <w:tcPr>
            <w:tcW w:w="0" w:type="auto"/>
            <w:shd w:val="clear" w:color="auto" w:fill="D9D9D9" w:themeFill="background1" w:themeFillShade="D9"/>
            <w:noWrap/>
            <w:vAlign w:val="bottom"/>
            <w:hideMark/>
          </w:tcPr>
          <w:p w14:paraId="6C4A8CE6" w14:textId="77777777" w:rsidR="00867576" w:rsidRPr="00AA00FA" w:rsidRDefault="00867576" w:rsidP="00FB05DE">
            <w:pPr>
              <w:spacing w:before="40" w:after="40"/>
              <w:rPr>
                <w:rFonts w:ascii="Calibri" w:hAnsi="Calibri" w:cs="Calibri"/>
                <w:b/>
                <w:color w:val="000000"/>
                <w:sz w:val="20"/>
                <w:szCs w:val="20"/>
              </w:rPr>
            </w:pPr>
            <w:r w:rsidRPr="00AA00FA">
              <w:rPr>
                <w:rFonts w:ascii="Calibri" w:hAnsi="Calibri" w:cs="Calibri"/>
                <w:b/>
                <w:color w:val="000000"/>
                <w:sz w:val="20"/>
                <w:szCs w:val="20"/>
              </w:rPr>
              <w:t>AKPS score</w:t>
            </w:r>
          </w:p>
        </w:tc>
        <w:tc>
          <w:tcPr>
            <w:tcW w:w="0" w:type="auto"/>
            <w:shd w:val="clear" w:color="auto" w:fill="D9D9D9" w:themeFill="background1" w:themeFillShade="D9"/>
            <w:noWrap/>
            <w:vAlign w:val="bottom"/>
            <w:hideMark/>
          </w:tcPr>
          <w:p w14:paraId="030C48F9" w14:textId="77777777" w:rsidR="00867576" w:rsidRPr="00AA00FA" w:rsidRDefault="00867576"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No. of residents</w:t>
            </w:r>
          </w:p>
        </w:tc>
        <w:tc>
          <w:tcPr>
            <w:tcW w:w="0" w:type="auto"/>
            <w:shd w:val="clear" w:color="auto" w:fill="D9D9D9" w:themeFill="background1" w:themeFillShade="D9"/>
            <w:noWrap/>
            <w:vAlign w:val="bottom"/>
            <w:hideMark/>
          </w:tcPr>
          <w:p w14:paraId="09581DDA" w14:textId="77777777" w:rsidR="00867576" w:rsidRPr="007F45FD" w:rsidRDefault="00867576" w:rsidP="00FB05DE">
            <w:pPr>
              <w:spacing w:before="40" w:after="40"/>
              <w:jc w:val="right"/>
              <w:rPr>
                <w:rFonts w:ascii="Calibri" w:hAnsi="Calibri" w:cs="Calibri"/>
                <w:b/>
                <w:color w:val="000000"/>
                <w:sz w:val="20"/>
                <w:szCs w:val="20"/>
                <w:highlight w:val="lightGray"/>
              </w:rPr>
            </w:pPr>
            <w:r w:rsidRPr="007F45FD">
              <w:rPr>
                <w:rFonts w:ascii="Calibri" w:hAnsi="Calibri" w:cs="Calibri"/>
                <w:b/>
                <w:color w:val="000000"/>
                <w:sz w:val="20"/>
                <w:szCs w:val="20"/>
                <w:highlight w:val="lightGray"/>
              </w:rPr>
              <w:t>Percentage of residents</w:t>
            </w:r>
          </w:p>
        </w:tc>
      </w:tr>
      <w:tr w:rsidR="00867576" w:rsidRPr="00AA00FA" w14:paraId="567B0461" w14:textId="77777777" w:rsidTr="00D6251D">
        <w:trPr>
          <w:trHeight w:val="300"/>
        </w:trPr>
        <w:tc>
          <w:tcPr>
            <w:tcW w:w="0" w:type="auto"/>
            <w:shd w:val="clear" w:color="auto" w:fill="auto"/>
            <w:noWrap/>
            <w:vAlign w:val="bottom"/>
            <w:hideMark/>
          </w:tcPr>
          <w:p w14:paraId="3B19D213"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10</w:t>
            </w:r>
          </w:p>
        </w:tc>
        <w:tc>
          <w:tcPr>
            <w:tcW w:w="0" w:type="auto"/>
            <w:shd w:val="clear" w:color="auto" w:fill="auto"/>
            <w:noWrap/>
            <w:vAlign w:val="bottom"/>
            <w:hideMark/>
          </w:tcPr>
          <w:p w14:paraId="689D0578"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c>
          <w:tcPr>
            <w:tcW w:w="0" w:type="auto"/>
            <w:shd w:val="clear" w:color="auto" w:fill="auto"/>
            <w:noWrap/>
            <w:vAlign w:val="bottom"/>
            <w:hideMark/>
          </w:tcPr>
          <w:p w14:paraId="6AE7B797"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867576" w:rsidRPr="00AA00FA" w14:paraId="0942B78C" w14:textId="77777777" w:rsidTr="00D6251D">
        <w:trPr>
          <w:trHeight w:val="300"/>
        </w:trPr>
        <w:tc>
          <w:tcPr>
            <w:tcW w:w="0" w:type="auto"/>
            <w:shd w:val="clear" w:color="auto" w:fill="auto"/>
            <w:noWrap/>
            <w:vAlign w:val="bottom"/>
            <w:hideMark/>
          </w:tcPr>
          <w:p w14:paraId="4863E610"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20</w:t>
            </w:r>
          </w:p>
        </w:tc>
        <w:tc>
          <w:tcPr>
            <w:tcW w:w="0" w:type="auto"/>
            <w:shd w:val="clear" w:color="auto" w:fill="auto"/>
            <w:noWrap/>
            <w:vAlign w:val="bottom"/>
            <w:hideMark/>
          </w:tcPr>
          <w:p w14:paraId="3B7DD213"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110</w:t>
            </w:r>
          </w:p>
        </w:tc>
        <w:tc>
          <w:tcPr>
            <w:tcW w:w="0" w:type="auto"/>
            <w:shd w:val="clear" w:color="auto" w:fill="auto"/>
            <w:noWrap/>
            <w:vAlign w:val="bottom"/>
            <w:hideMark/>
          </w:tcPr>
          <w:p w14:paraId="64F0E9B5"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r>
      <w:tr w:rsidR="00867576" w:rsidRPr="00AA00FA" w14:paraId="7BBF16AA" w14:textId="77777777" w:rsidTr="00D6251D">
        <w:trPr>
          <w:trHeight w:val="300"/>
        </w:trPr>
        <w:tc>
          <w:tcPr>
            <w:tcW w:w="0" w:type="auto"/>
            <w:shd w:val="clear" w:color="auto" w:fill="auto"/>
            <w:noWrap/>
            <w:vAlign w:val="bottom"/>
            <w:hideMark/>
          </w:tcPr>
          <w:p w14:paraId="5F8833D3"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30</w:t>
            </w:r>
          </w:p>
        </w:tc>
        <w:tc>
          <w:tcPr>
            <w:tcW w:w="0" w:type="auto"/>
            <w:shd w:val="clear" w:color="auto" w:fill="auto"/>
            <w:noWrap/>
            <w:vAlign w:val="bottom"/>
            <w:hideMark/>
          </w:tcPr>
          <w:p w14:paraId="073907D0"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70</w:t>
            </w:r>
          </w:p>
        </w:tc>
        <w:tc>
          <w:tcPr>
            <w:tcW w:w="0" w:type="auto"/>
            <w:shd w:val="clear" w:color="auto" w:fill="auto"/>
            <w:noWrap/>
            <w:vAlign w:val="bottom"/>
            <w:hideMark/>
          </w:tcPr>
          <w:p w14:paraId="31ED6817"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20B8F675" w14:textId="77777777" w:rsidTr="00D6251D">
        <w:trPr>
          <w:trHeight w:val="300"/>
        </w:trPr>
        <w:tc>
          <w:tcPr>
            <w:tcW w:w="0" w:type="auto"/>
            <w:shd w:val="clear" w:color="auto" w:fill="auto"/>
            <w:noWrap/>
            <w:vAlign w:val="bottom"/>
            <w:hideMark/>
          </w:tcPr>
          <w:p w14:paraId="6CD56F91"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40</w:t>
            </w:r>
          </w:p>
        </w:tc>
        <w:tc>
          <w:tcPr>
            <w:tcW w:w="0" w:type="auto"/>
            <w:shd w:val="clear" w:color="auto" w:fill="auto"/>
            <w:noWrap/>
            <w:vAlign w:val="bottom"/>
            <w:hideMark/>
          </w:tcPr>
          <w:p w14:paraId="5325F899"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179</w:t>
            </w:r>
          </w:p>
        </w:tc>
        <w:tc>
          <w:tcPr>
            <w:tcW w:w="0" w:type="auto"/>
            <w:shd w:val="clear" w:color="auto" w:fill="auto"/>
            <w:noWrap/>
            <w:vAlign w:val="bottom"/>
            <w:hideMark/>
          </w:tcPr>
          <w:p w14:paraId="72BEE736"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9%</w:t>
            </w:r>
          </w:p>
        </w:tc>
      </w:tr>
      <w:tr w:rsidR="00867576" w:rsidRPr="00AA00FA" w14:paraId="7BB5AA67" w14:textId="77777777" w:rsidTr="00D6251D">
        <w:trPr>
          <w:trHeight w:val="300"/>
        </w:trPr>
        <w:tc>
          <w:tcPr>
            <w:tcW w:w="0" w:type="auto"/>
            <w:shd w:val="clear" w:color="auto" w:fill="auto"/>
            <w:noWrap/>
            <w:vAlign w:val="bottom"/>
            <w:hideMark/>
          </w:tcPr>
          <w:p w14:paraId="72D3B972"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50</w:t>
            </w:r>
          </w:p>
        </w:tc>
        <w:tc>
          <w:tcPr>
            <w:tcW w:w="0" w:type="auto"/>
            <w:shd w:val="clear" w:color="auto" w:fill="auto"/>
            <w:noWrap/>
            <w:vAlign w:val="bottom"/>
            <w:hideMark/>
          </w:tcPr>
          <w:p w14:paraId="3F7E4D8A"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839</w:t>
            </w:r>
          </w:p>
        </w:tc>
        <w:tc>
          <w:tcPr>
            <w:tcW w:w="0" w:type="auto"/>
            <w:shd w:val="clear" w:color="auto" w:fill="auto"/>
            <w:noWrap/>
            <w:vAlign w:val="bottom"/>
            <w:hideMark/>
          </w:tcPr>
          <w:p w14:paraId="6B717C2D"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45%</w:t>
            </w:r>
          </w:p>
        </w:tc>
      </w:tr>
      <w:tr w:rsidR="00867576" w:rsidRPr="00AA00FA" w14:paraId="6DB387CE" w14:textId="77777777" w:rsidTr="00D6251D">
        <w:trPr>
          <w:trHeight w:val="300"/>
        </w:trPr>
        <w:tc>
          <w:tcPr>
            <w:tcW w:w="0" w:type="auto"/>
            <w:shd w:val="clear" w:color="auto" w:fill="auto"/>
            <w:noWrap/>
            <w:vAlign w:val="bottom"/>
            <w:hideMark/>
          </w:tcPr>
          <w:p w14:paraId="03572C87"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60</w:t>
            </w:r>
          </w:p>
        </w:tc>
        <w:tc>
          <w:tcPr>
            <w:tcW w:w="0" w:type="auto"/>
            <w:shd w:val="clear" w:color="auto" w:fill="auto"/>
            <w:noWrap/>
            <w:vAlign w:val="bottom"/>
            <w:hideMark/>
          </w:tcPr>
          <w:p w14:paraId="4253FB4E"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484</w:t>
            </w:r>
          </w:p>
        </w:tc>
        <w:tc>
          <w:tcPr>
            <w:tcW w:w="0" w:type="auto"/>
            <w:shd w:val="clear" w:color="auto" w:fill="auto"/>
            <w:noWrap/>
            <w:vAlign w:val="bottom"/>
            <w:hideMark/>
          </w:tcPr>
          <w:p w14:paraId="2ADCA505"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26%</w:t>
            </w:r>
          </w:p>
        </w:tc>
      </w:tr>
      <w:tr w:rsidR="00867576" w:rsidRPr="00AA00FA" w14:paraId="59D221D5" w14:textId="77777777" w:rsidTr="00D6251D">
        <w:trPr>
          <w:trHeight w:val="300"/>
        </w:trPr>
        <w:tc>
          <w:tcPr>
            <w:tcW w:w="0" w:type="auto"/>
            <w:shd w:val="clear" w:color="auto" w:fill="auto"/>
            <w:noWrap/>
            <w:vAlign w:val="bottom"/>
            <w:hideMark/>
          </w:tcPr>
          <w:p w14:paraId="1B6DE59F"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70</w:t>
            </w:r>
          </w:p>
        </w:tc>
        <w:tc>
          <w:tcPr>
            <w:tcW w:w="0" w:type="auto"/>
            <w:shd w:val="clear" w:color="auto" w:fill="auto"/>
            <w:noWrap/>
            <w:vAlign w:val="bottom"/>
            <w:hideMark/>
          </w:tcPr>
          <w:p w14:paraId="620EBAEF"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112</w:t>
            </w:r>
          </w:p>
        </w:tc>
        <w:tc>
          <w:tcPr>
            <w:tcW w:w="0" w:type="auto"/>
            <w:shd w:val="clear" w:color="auto" w:fill="auto"/>
            <w:noWrap/>
            <w:vAlign w:val="bottom"/>
            <w:hideMark/>
          </w:tcPr>
          <w:p w14:paraId="6A26492D"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r>
      <w:tr w:rsidR="00867576" w:rsidRPr="00AA00FA" w14:paraId="57937BA2" w14:textId="77777777" w:rsidTr="00D6251D">
        <w:trPr>
          <w:trHeight w:val="300"/>
        </w:trPr>
        <w:tc>
          <w:tcPr>
            <w:tcW w:w="0" w:type="auto"/>
            <w:shd w:val="clear" w:color="auto" w:fill="auto"/>
            <w:noWrap/>
            <w:vAlign w:val="bottom"/>
            <w:hideMark/>
          </w:tcPr>
          <w:p w14:paraId="6D68C417"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80</w:t>
            </w:r>
          </w:p>
        </w:tc>
        <w:tc>
          <w:tcPr>
            <w:tcW w:w="0" w:type="auto"/>
            <w:shd w:val="clear" w:color="auto" w:fill="auto"/>
            <w:noWrap/>
            <w:vAlign w:val="bottom"/>
            <w:hideMark/>
          </w:tcPr>
          <w:p w14:paraId="67378CC8"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50</w:t>
            </w:r>
          </w:p>
        </w:tc>
        <w:tc>
          <w:tcPr>
            <w:tcW w:w="0" w:type="auto"/>
            <w:shd w:val="clear" w:color="auto" w:fill="auto"/>
            <w:noWrap/>
            <w:vAlign w:val="bottom"/>
            <w:hideMark/>
          </w:tcPr>
          <w:p w14:paraId="5920BA2F"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r>
      <w:tr w:rsidR="00867576" w:rsidRPr="00AA00FA" w14:paraId="586589FC" w14:textId="77777777" w:rsidTr="00D6251D">
        <w:trPr>
          <w:trHeight w:val="300"/>
        </w:trPr>
        <w:tc>
          <w:tcPr>
            <w:tcW w:w="0" w:type="auto"/>
            <w:shd w:val="clear" w:color="auto" w:fill="auto"/>
            <w:noWrap/>
            <w:vAlign w:val="bottom"/>
            <w:hideMark/>
          </w:tcPr>
          <w:p w14:paraId="4FFAD888"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90</w:t>
            </w:r>
          </w:p>
        </w:tc>
        <w:tc>
          <w:tcPr>
            <w:tcW w:w="0" w:type="auto"/>
            <w:shd w:val="clear" w:color="auto" w:fill="auto"/>
            <w:noWrap/>
            <w:vAlign w:val="bottom"/>
            <w:hideMark/>
          </w:tcPr>
          <w:p w14:paraId="6551BBB6"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23</w:t>
            </w:r>
          </w:p>
        </w:tc>
        <w:tc>
          <w:tcPr>
            <w:tcW w:w="0" w:type="auto"/>
            <w:shd w:val="clear" w:color="auto" w:fill="auto"/>
            <w:noWrap/>
            <w:vAlign w:val="bottom"/>
            <w:hideMark/>
          </w:tcPr>
          <w:p w14:paraId="0B9B1AF3"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867576" w:rsidRPr="00AA00FA" w14:paraId="1A548ADB" w14:textId="77777777" w:rsidTr="00D6251D">
        <w:trPr>
          <w:trHeight w:val="300"/>
        </w:trPr>
        <w:tc>
          <w:tcPr>
            <w:tcW w:w="0" w:type="auto"/>
            <w:shd w:val="clear" w:color="auto" w:fill="auto"/>
            <w:noWrap/>
            <w:vAlign w:val="bottom"/>
            <w:hideMark/>
          </w:tcPr>
          <w:p w14:paraId="4A6B5ABE"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100</w:t>
            </w:r>
          </w:p>
        </w:tc>
        <w:tc>
          <w:tcPr>
            <w:tcW w:w="0" w:type="auto"/>
            <w:shd w:val="clear" w:color="auto" w:fill="auto"/>
            <w:noWrap/>
            <w:vAlign w:val="bottom"/>
            <w:hideMark/>
          </w:tcPr>
          <w:p w14:paraId="13850ED5"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9</w:t>
            </w:r>
          </w:p>
        </w:tc>
        <w:tc>
          <w:tcPr>
            <w:tcW w:w="0" w:type="auto"/>
            <w:shd w:val="clear" w:color="auto" w:fill="auto"/>
            <w:noWrap/>
            <w:vAlign w:val="bottom"/>
            <w:hideMark/>
          </w:tcPr>
          <w:p w14:paraId="7296B2C1"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867576" w:rsidRPr="00AA00FA" w14:paraId="42F586C7" w14:textId="77777777" w:rsidTr="00D6251D">
        <w:trPr>
          <w:trHeight w:val="300"/>
        </w:trPr>
        <w:tc>
          <w:tcPr>
            <w:tcW w:w="0" w:type="auto"/>
            <w:shd w:val="clear" w:color="auto" w:fill="auto"/>
            <w:noWrap/>
            <w:vAlign w:val="bottom"/>
            <w:hideMark/>
          </w:tcPr>
          <w:p w14:paraId="385FA709" w14:textId="77777777" w:rsidR="00867576" w:rsidRPr="00AA00FA" w:rsidRDefault="00867576" w:rsidP="00FB05DE">
            <w:pPr>
              <w:spacing w:before="40" w:after="40"/>
              <w:rPr>
                <w:rFonts w:ascii="Calibri" w:hAnsi="Calibri" w:cs="Calibri"/>
                <w:color w:val="000000"/>
                <w:sz w:val="20"/>
                <w:szCs w:val="20"/>
              </w:rPr>
            </w:pPr>
            <w:r w:rsidRPr="00AA00FA">
              <w:rPr>
                <w:rFonts w:ascii="Calibri" w:hAnsi="Calibri" w:cs="Calibri"/>
                <w:color w:val="000000"/>
                <w:sz w:val="20"/>
                <w:szCs w:val="20"/>
              </w:rPr>
              <w:t>Unknown</w:t>
            </w:r>
          </w:p>
        </w:tc>
        <w:tc>
          <w:tcPr>
            <w:tcW w:w="0" w:type="auto"/>
            <w:shd w:val="clear" w:color="auto" w:fill="auto"/>
            <w:noWrap/>
            <w:vAlign w:val="bottom"/>
            <w:hideMark/>
          </w:tcPr>
          <w:p w14:paraId="4897D5F1"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0" w:type="auto"/>
            <w:shd w:val="clear" w:color="auto" w:fill="auto"/>
            <w:noWrap/>
            <w:vAlign w:val="bottom"/>
            <w:hideMark/>
          </w:tcPr>
          <w:p w14:paraId="03F757F2"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867576" w:rsidRPr="00AA00FA" w14:paraId="73D4A824" w14:textId="77777777" w:rsidTr="00D6251D">
        <w:trPr>
          <w:trHeight w:val="300"/>
        </w:trPr>
        <w:tc>
          <w:tcPr>
            <w:tcW w:w="0" w:type="auto"/>
            <w:shd w:val="clear" w:color="auto" w:fill="auto"/>
            <w:noWrap/>
            <w:vAlign w:val="bottom"/>
            <w:hideMark/>
          </w:tcPr>
          <w:p w14:paraId="60404C0B" w14:textId="77777777" w:rsidR="00867576" w:rsidRPr="00AA00FA" w:rsidRDefault="00867576" w:rsidP="00FB05DE">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0" w:type="auto"/>
            <w:shd w:val="clear" w:color="auto" w:fill="auto"/>
            <w:noWrap/>
            <w:vAlign w:val="bottom"/>
            <w:hideMark/>
          </w:tcPr>
          <w:p w14:paraId="1DB23457" w14:textId="77777777" w:rsidR="00867576" w:rsidRPr="00AA00FA" w:rsidRDefault="00867576"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1,880</w:t>
            </w:r>
          </w:p>
        </w:tc>
        <w:tc>
          <w:tcPr>
            <w:tcW w:w="0" w:type="auto"/>
            <w:shd w:val="clear" w:color="auto" w:fill="auto"/>
            <w:noWrap/>
            <w:vAlign w:val="bottom"/>
            <w:hideMark/>
          </w:tcPr>
          <w:p w14:paraId="588EA820" w14:textId="77777777" w:rsidR="00867576" w:rsidRPr="00AA00FA" w:rsidRDefault="00867576"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w:t>
            </w:r>
          </w:p>
        </w:tc>
      </w:tr>
    </w:tbl>
    <w:p w14:paraId="75233C24" w14:textId="77777777" w:rsidR="00B3260C" w:rsidRDefault="00B3260C" w:rsidP="004E312D">
      <w:pPr>
        <w:pStyle w:val="Heading2"/>
        <w:spacing w:before="480"/>
      </w:pPr>
      <w:bookmarkStart w:id="69" w:name="_Toc2070321"/>
      <w:r>
        <w:t>Rockwood Clinical Frailty Scale</w:t>
      </w:r>
      <w:bookmarkEnd w:id="69"/>
    </w:p>
    <w:p w14:paraId="63C73866" w14:textId="77777777" w:rsidR="00B3260C" w:rsidRDefault="00B3260C" w:rsidP="00AC2F3B">
      <w:pPr>
        <w:pStyle w:val="Normal-nospacing"/>
      </w:pPr>
      <w:r>
        <w:t xml:space="preserve">The Rockwood </w:t>
      </w:r>
      <w:r w:rsidR="00A677E2" w:rsidRPr="00A677E2">
        <w:t xml:space="preserve">Clinical Frailty </w:t>
      </w:r>
      <w:r>
        <w:t xml:space="preserve">Scale is used to rate frailty, a non-specific state of increasing risk which reflects multisystem physiological change. It arises from a loss of energy, physical ability, cognition and/or health and </w:t>
      </w:r>
      <w:r w:rsidR="007F45FD">
        <w:t xml:space="preserve">it </w:t>
      </w:r>
      <w:r>
        <w:t xml:space="preserve">gives rise to vulnerability. The </w:t>
      </w:r>
      <w:r w:rsidR="00A677E2">
        <w:t>RUCS A</w:t>
      </w:r>
      <w:r>
        <w:t xml:space="preserve">ssessment </w:t>
      </w:r>
      <w:r w:rsidR="00A677E2">
        <w:t xml:space="preserve">Tool included </w:t>
      </w:r>
      <w:r>
        <w:t>different aspects of frailty</w:t>
      </w:r>
      <w:r w:rsidR="00534F50">
        <w:t>.</w:t>
      </w:r>
      <w:r>
        <w:t xml:space="preserve"> </w:t>
      </w:r>
      <w:r w:rsidR="00534F50">
        <w:t>I</w:t>
      </w:r>
      <w:r>
        <w:t xml:space="preserve">n addition to the Rockwood </w:t>
      </w:r>
      <w:r w:rsidR="00534F50">
        <w:t xml:space="preserve">Clinical </w:t>
      </w:r>
      <w:r>
        <w:t xml:space="preserve">Frailty Scale, there </w:t>
      </w:r>
      <w:r w:rsidR="00A677E2">
        <w:t xml:space="preserve">were </w:t>
      </w:r>
      <w:r>
        <w:t xml:space="preserve">questions about falls </w:t>
      </w:r>
      <w:r w:rsidR="007F45FD">
        <w:t>history and weight loss</w:t>
      </w:r>
      <w:r>
        <w:t>.</w:t>
      </w:r>
    </w:p>
    <w:p w14:paraId="6CCB7CB1" w14:textId="77777777" w:rsidR="00FB05DE" w:rsidRPr="00892066" w:rsidRDefault="00B3260C" w:rsidP="00AC2F3B">
      <w:pPr>
        <w:pStyle w:val="Normal-nospacing"/>
      </w:pPr>
      <w:r>
        <w:t xml:space="preserve">The Rockwood Clinical Frailty Scale is used to rate frailty with higher scores indicating more frailty. The distribution of scores </w:t>
      </w:r>
      <w:r w:rsidR="003B7BAA">
        <w:t>is</w:t>
      </w:r>
      <w:r>
        <w:t xml:space="preserve"> </w:t>
      </w:r>
      <w:r w:rsidR="00A677E2">
        <w:t xml:space="preserve">shown </w:t>
      </w:r>
      <w:r>
        <w:t>in</w:t>
      </w:r>
      <w:bookmarkStart w:id="70" w:name="_Ref525222738"/>
      <w:r w:rsidR="00CF26D2">
        <w:t xml:space="preserve"> </w:t>
      </w:r>
      <w:r w:rsidR="00CF26D2">
        <w:fldChar w:fldCharType="begin"/>
      </w:r>
      <w:r w:rsidR="00CF26D2">
        <w:instrText xml:space="preserve"> REF _Ref529185145 \h </w:instrText>
      </w:r>
      <w:r w:rsidR="00AC2F3B">
        <w:instrText xml:space="preserve"> \* MERGEFORMAT </w:instrText>
      </w:r>
      <w:r w:rsidR="00CF26D2">
        <w:fldChar w:fldCharType="separate"/>
      </w:r>
      <w:r w:rsidR="00EE18C8">
        <w:t xml:space="preserve">Table </w:t>
      </w:r>
      <w:r w:rsidR="00EE18C8">
        <w:rPr>
          <w:noProof/>
        </w:rPr>
        <w:t>4</w:t>
      </w:r>
      <w:r w:rsidR="00CF26D2">
        <w:fldChar w:fldCharType="end"/>
      </w:r>
      <w:r w:rsidR="00CF26D2">
        <w:t>.</w:t>
      </w:r>
      <w:r w:rsidR="003C7E1A">
        <w:t xml:space="preserve"> It can be seen that the majority of residents fell in the middle range on this scale ind</w:t>
      </w:r>
      <w:r w:rsidR="005079F6">
        <w:t>icating mild to severe frailty.</w:t>
      </w:r>
    </w:p>
    <w:p w14:paraId="557B71C2" w14:textId="77777777" w:rsidR="00B3260C" w:rsidRDefault="00B3260C" w:rsidP="00B3260C">
      <w:pPr>
        <w:pStyle w:val="Caption"/>
        <w:keepNext/>
      </w:pPr>
      <w:bookmarkStart w:id="71" w:name="_Ref529185145"/>
      <w:bookmarkStart w:id="72" w:name="_Toc2065666"/>
      <w:r>
        <w:lastRenderedPageBreak/>
        <w:t xml:space="preserve">Table </w:t>
      </w:r>
      <w:r>
        <w:rPr>
          <w:noProof/>
        </w:rPr>
        <w:fldChar w:fldCharType="begin"/>
      </w:r>
      <w:r>
        <w:rPr>
          <w:noProof/>
        </w:rPr>
        <w:instrText xml:space="preserve"> SEQ Table \* ARABIC </w:instrText>
      </w:r>
      <w:r>
        <w:rPr>
          <w:noProof/>
        </w:rPr>
        <w:fldChar w:fldCharType="separate"/>
      </w:r>
      <w:r w:rsidR="00EE18C8">
        <w:rPr>
          <w:noProof/>
        </w:rPr>
        <w:t>4</w:t>
      </w:r>
      <w:r>
        <w:rPr>
          <w:noProof/>
        </w:rPr>
        <w:fldChar w:fldCharType="end"/>
      </w:r>
      <w:bookmarkEnd w:id="70"/>
      <w:bookmarkEnd w:id="71"/>
      <w:r w:rsidR="00CF61F8">
        <w:rPr>
          <w:noProof/>
        </w:rPr>
        <w:t xml:space="preserve"> </w:t>
      </w:r>
      <w:r w:rsidR="00FB05DE">
        <w:rPr>
          <w:noProof/>
        </w:rPr>
        <w:tab/>
      </w:r>
      <w:r w:rsidRPr="005B0B4B">
        <w:t>Rockwood Clinical Frailty Scale</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ckwood Clinical Fraility Scale"/>
        <w:tblDescription w:val="Table 4 shows the distribution of scores among the residents assessed in the study. The majority of residents fell in the middle range on this scale indicating mild to severe frailty. There were total of 1,880 residents assessed. The table should be read as a series of rows from left to right ('Rockwood score' then 'number of residents' then 'percentage of residents')."/>
      </w:tblPr>
      <w:tblGrid>
        <w:gridCol w:w="2612"/>
        <w:gridCol w:w="1559"/>
        <w:gridCol w:w="2268"/>
      </w:tblGrid>
      <w:tr w:rsidR="005079F6" w:rsidRPr="005E0DCA" w14:paraId="00D78CEA" w14:textId="77777777" w:rsidTr="00F812EE">
        <w:trPr>
          <w:trHeight w:val="300"/>
          <w:tblHeader/>
        </w:trPr>
        <w:tc>
          <w:tcPr>
            <w:tcW w:w="0" w:type="auto"/>
            <w:shd w:val="clear" w:color="auto" w:fill="D9D9D9" w:themeFill="background1" w:themeFillShade="D9"/>
            <w:noWrap/>
            <w:vAlign w:val="bottom"/>
            <w:hideMark/>
          </w:tcPr>
          <w:p w14:paraId="7BC80932" w14:textId="77777777" w:rsidR="005079F6" w:rsidRPr="00AA00FA" w:rsidRDefault="005079F6" w:rsidP="00F812EE">
            <w:pPr>
              <w:spacing w:before="40" w:after="40"/>
              <w:rPr>
                <w:rFonts w:ascii="Calibri" w:hAnsi="Calibri" w:cs="Calibri"/>
                <w:b/>
                <w:color w:val="000000"/>
                <w:sz w:val="20"/>
                <w:szCs w:val="20"/>
              </w:rPr>
            </w:pPr>
            <w:r w:rsidRPr="00AA00FA">
              <w:rPr>
                <w:rFonts w:ascii="Calibri" w:hAnsi="Calibri" w:cs="Calibri"/>
                <w:b/>
                <w:color w:val="000000"/>
                <w:sz w:val="20"/>
                <w:szCs w:val="20"/>
              </w:rPr>
              <w:t>Rockwood score</w:t>
            </w:r>
          </w:p>
        </w:tc>
        <w:tc>
          <w:tcPr>
            <w:tcW w:w="1559" w:type="dxa"/>
            <w:shd w:val="clear" w:color="auto" w:fill="D9D9D9" w:themeFill="background1" w:themeFillShade="D9"/>
            <w:noWrap/>
            <w:vAlign w:val="bottom"/>
            <w:hideMark/>
          </w:tcPr>
          <w:p w14:paraId="4415CEAE" w14:textId="77777777" w:rsidR="005079F6" w:rsidRPr="00534F50" w:rsidRDefault="005079F6" w:rsidP="00F812EE">
            <w:pPr>
              <w:spacing w:before="40" w:after="40"/>
              <w:jc w:val="right"/>
              <w:rPr>
                <w:rFonts w:ascii="Calibri" w:hAnsi="Calibri" w:cs="Calibri"/>
                <w:b/>
                <w:color w:val="000000"/>
                <w:sz w:val="20"/>
                <w:szCs w:val="20"/>
              </w:rPr>
            </w:pPr>
            <w:r w:rsidRPr="00534F50">
              <w:rPr>
                <w:rFonts w:ascii="Calibri" w:hAnsi="Calibri" w:cs="Calibri"/>
                <w:b/>
                <w:color w:val="000000"/>
                <w:sz w:val="20"/>
                <w:szCs w:val="20"/>
              </w:rPr>
              <w:t>No. of residents</w:t>
            </w:r>
          </w:p>
        </w:tc>
        <w:tc>
          <w:tcPr>
            <w:tcW w:w="2268" w:type="dxa"/>
            <w:shd w:val="clear" w:color="auto" w:fill="D9D9D9" w:themeFill="background1" w:themeFillShade="D9"/>
            <w:noWrap/>
            <w:vAlign w:val="bottom"/>
            <w:hideMark/>
          </w:tcPr>
          <w:p w14:paraId="13A6CB72" w14:textId="77777777" w:rsidR="005079F6" w:rsidRPr="00534F50" w:rsidRDefault="005079F6" w:rsidP="00F812EE">
            <w:pPr>
              <w:spacing w:before="40" w:after="40"/>
              <w:jc w:val="right"/>
              <w:rPr>
                <w:rFonts w:ascii="Calibri" w:hAnsi="Calibri" w:cs="Calibri"/>
                <w:b/>
                <w:color w:val="000000"/>
                <w:sz w:val="20"/>
                <w:szCs w:val="20"/>
              </w:rPr>
            </w:pPr>
            <w:r w:rsidRPr="00534F50">
              <w:rPr>
                <w:rFonts w:ascii="Calibri" w:hAnsi="Calibri" w:cs="Calibri"/>
                <w:b/>
                <w:color w:val="000000"/>
                <w:sz w:val="20"/>
                <w:szCs w:val="20"/>
              </w:rPr>
              <w:t>Percentage of residents</w:t>
            </w:r>
          </w:p>
        </w:tc>
      </w:tr>
      <w:tr w:rsidR="005079F6" w:rsidRPr="005E0DCA" w14:paraId="144725C7" w14:textId="77777777" w:rsidTr="00F812EE">
        <w:trPr>
          <w:trHeight w:val="300"/>
        </w:trPr>
        <w:tc>
          <w:tcPr>
            <w:tcW w:w="0" w:type="auto"/>
            <w:shd w:val="clear" w:color="auto" w:fill="auto"/>
            <w:noWrap/>
            <w:vAlign w:val="bottom"/>
            <w:hideMark/>
          </w:tcPr>
          <w:p w14:paraId="68459ED5"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1 Very fit</w:t>
            </w:r>
          </w:p>
        </w:tc>
        <w:tc>
          <w:tcPr>
            <w:tcW w:w="1559" w:type="dxa"/>
            <w:shd w:val="clear" w:color="auto" w:fill="auto"/>
            <w:noWrap/>
            <w:vAlign w:val="bottom"/>
            <w:hideMark/>
          </w:tcPr>
          <w:p w14:paraId="51EB4990"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37</w:t>
            </w:r>
          </w:p>
        </w:tc>
        <w:tc>
          <w:tcPr>
            <w:tcW w:w="2268" w:type="dxa"/>
            <w:shd w:val="clear" w:color="auto" w:fill="auto"/>
            <w:noWrap/>
            <w:vAlign w:val="bottom"/>
            <w:hideMark/>
          </w:tcPr>
          <w:p w14:paraId="4A720C1A"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2%</w:t>
            </w:r>
          </w:p>
        </w:tc>
      </w:tr>
      <w:tr w:rsidR="005079F6" w:rsidRPr="005E0DCA" w14:paraId="4FF1BBF4" w14:textId="77777777" w:rsidTr="00F812EE">
        <w:trPr>
          <w:trHeight w:val="300"/>
        </w:trPr>
        <w:tc>
          <w:tcPr>
            <w:tcW w:w="0" w:type="auto"/>
            <w:shd w:val="clear" w:color="auto" w:fill="auto"/>
            <w:noWrap/>
            <w:vAlign w:val="bottom"/>
            <w:hideMark/>
          </w:tcPr>
          <w:p w14:paraId="0880FF17"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2 Well</w:t>
            </w:r>
          </w:p>
        </w:tc>
        <w:tc>
          <w:tcPr>
            <w:tcW w:w="1559" w:type="dxa"/>
            <w:shd w:val="clear" w:color="auto" w:fill="auto"/>
            <w:noWrap/>
            <w:vAlign w:val="bottom"/>
            <w:hideMark/>
          </w:tcPr>
          <w:p w14:paraId="57C6C6E2"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67</w:t>
            </w:r>
          </w:p>
        </w:tc>
        <w:tc>
          <w:tcPr>
            <w:tcW w:w="2268" w:type="dxa"/>
            <w:shd w:val="clear" w:color="auto" w:fill="auto"/>
            <w:noWrap/>
            <w:vAlign w:val="bottom"/>
            <w:hideMark/>
          </w:tcPr>
          <w:p w14:paraId="7FC8A869"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4%</w:t>
            </w:r>
          </w:p>
        </w:tc>
      </w:tr>
      <w:tr w:rsidR="005079F6" w:rsidRPr="005E0DCA" w14:paraId="5743813B" w14:textId="77777777" w:rsidTr="00F812EE">
        <w:trPr>
          <w:trHeight w:val="300"/>
        </w:trPr>
        <w:tc>
          <w:tcPr>
            <w:tcW w:w="0" w:type="auto"/>
            <w:shd w:val="clear" w:color="auto" w:fill="auto"/>
            <w:noWrap/>
            <w:vAlign w:val="bottom"/>
            <w:hideMark/>
          </w:tcPr>
          <w:p w14:paraId="07C46A91"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3 Well with comorbid disease</w:t>
            </w:r>
          </w:p>
        </w:tc>
        <w:tc>
          <w:tcPr>
            <w:tcW w:w="1559" w:type="dxa"/>
            <w:shd w:val="clear" w:color="auto" w:fill="auto"/>
            <w:noWrap/>
            <w:vAlign w:val="bottom"/>
            <w:hideMark/>
          </w:tcPr>
          <w:p w14:paraId="1538F7DF"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130</w:t>
            </w:r>
          </w:p>
        </w:tc>
        <w:tc>
          <w:tcPr>
            <w:tcW w:w="2268" w:type="dxa"/>
            <w:shd w:val="clear" w:color="auto" w:fill="auto"/>
            <w:noWrap/>
            <w:vAlign w:val="bottom"/>
            <w:hideMark/>
          </w:tcPr>
          <w:p w14:paraId="4589EC85"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7%</w:t>
            </w:r>
          </w:p>
        </w:tc>
      </w:tr>
      <w:tr w:rsidR="005079F6" w:rsidRPr="005E0DCA" w14:paraId="5F1E7BF6" w14:textId="77777777" w:rsidTr="00F812EE">
        <w:trPr>
          <w:trHeight w:val="300"/>
        </w:trPr>
        <w:tc>
          <w:tcPr>
            <w:tcW w:w="0" w:type="auto"/>
            <w:shd w:val="clear" w:color="auto" w:fill="auto"/>
            <w:noWrap/>
            <w:vAlign w:val="bottom"/>
            <w:hideMark/>
          </w:tcPr>
          <w:p w14:paraId="53C1A93F"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4 Apparently vulnerable</w:t>
            </w:r>
          </w:p>
        </w:tc>
        <w:tc>
          <w:tcPr>
            <w:tcW w:w="1559" w:type="dxa"/>
            <w:shd w:val="clear" w:color="auto" w:fill="auto"/>
            <w:noWrap/>
            <w:vAlign w:val="bottom"/>
            <w:hideMark/>
          </w:tcPr>
          <w:p w14:paraId="4786B68B"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182</w:t>
            </w:r>
          </w:p>
        </w:tc>
        <w:tc>
          <w:tcPr>
            <w:tcW w:w="2268" w:type="dxa"/>
            <w:shd w:val="clear" w:color="auto" w:fill="auto"/>
            <w:noWrap/>
            <w:vAlign w:val="bottom"/>
            <w:hideMark/>
          </w:tcPr>
          <w:p w14:paraId="1615D87A"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10%</w:t>
            </w:r>
          </w:p>
        </w:tc>
      </w:tr>
      <w:tr w:rsidR="005079F6" w:rsidRPr="005E0DCA" w14:paraId="5AC39F77" w14:textId="77777777" w:rsidTr="00F812EE">
        <w:trPr>
          <w:trHeight w:val="300"/>
        </w:trPr>
        <w:tc>
          <w:tcPr>
            <w:tcW w:w="0" w:type="auto"/>
            <w:shd w:val="clear" w:color="auto" w:fill="auto"/>
            <w:noWrap/>
            <w:vAlign w:val="bottom"/>
            <w:hideMark/>
          </w:tcPr>
          <w:p w14:paraId="2F867CB0"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5 Mildly frail</w:t>
            </w:r>
          </w:p>
        </w:tc>
        <w:tc>
          <w:tcPr>
            <w:tcW w:w="1559" w:type="dxa"/>
            <w:shd w:val="clear" w:color="auto" w:fill="auto"/>
            <w:noWrap/>
            <w:vAlign w:val="bottom"/>
            <w:hideMark/>
          </w:tcPr>
          <w:p w14:paraId="556A2A21"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290</w:t>
            </w:r>
          </w:p>
        </w:tc>
        <w:tc>
          <w:tcPr>
            <w:tcW w:w="2268" w:type="dxa"/>
            <w:shd w:val="clear" w:color="auto" w:fill="auto"/>
            <w:noWrap/>
            <w:vAlign w:val="bottom"/>
            <w:hideMark/>
          </w:tcPr>
          <w:p w14:paraId="64DF04AF"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15%</w:t>
            </w:r>
          </w:p>
        </w:tc>
      </w:tr>
      <w:tr w:rsidR="005079F6" w:rsidRPr="005E0DCA" w14:paraId="475F8FAF" w14:textId="77777777" w:rsidTr="00F812EE">
        <w:trPr>
          <w:trHeight w:val="300"/>
        </w:trPr>
        <w:tc>
          <w:tcPr>
            <w:tcW w:w="0" w:type="auto"/>
            <w:shd w:val="clear" w:color="auto" w:fill="auto"/>
            <w:noWrap/>
            <w:vAlign w:val="bottom"/>
            <w:hideMark/>
          </w:tcPr>
          <w:p w14:paraId="1DC975AB"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6 Moderately frail</w:t>
            </w:r>
          </w:p>
        </w:tc>
        <w:tc>
          <w:tcPr>
            <w:tcW w:w="1559" w:type="dxa"/>
            <w:shd w:val="clear" w:color="auto" w:fill="auto"/>
            <w:noWrap/>
            <w:vAlign w:val="bottom"/>
            <w:hideMark/>
          </w:tcPr>
          <w:p w14:paraId="54B3E801"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434</w:t>
            </w:r>
          </w:p>
        </w:tc>
        <w:tc>
          <w:tcPr>
            <w:tcW w:w="2268" w:type="dxa"/>
            <w:shd w:val="clear" w:color="auto" w:fill="auto"/>
            <w:noWrap/>
            <w:vAlign w:val="bottom"/>
            <w:hideMark/>
          </w:tcPr>
          <w:p w14:paraId="14D841C3"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23%</w:t>
            </w:r>
          </w:p>
        </w:tc>
      </w:tr>
      <w:tr w:rsidR="005079F6" w:rsidRPr="005E0DCA" w14:paraId="739A8330" w14:textId="77777777" w:rsidTr="00F812EE">
        <w:trPr>
          <w:trHeight w:val="300"/>
        </w:trPr>
        <w:tc>
          <w:tcPr>
            <w:tcW w:w="0" w:type="auto"/>
            <w:shd w:val="clear" w:color="auto" w:fill="auto"/>
            <w:noWrap/>
            <w:vAlign w:val="bottom"/>
            <w:hideMark/>
          </w:tcPr>
          <w:p w14:paraId="38180F1B"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7 Severely frail</w:t>
            </w:r>
          </w:p>
        </w:tc>
        <w:tc>
          <w:tcPr>
            <w:tcW w:w="1559" w:type="dxa"/>
            <w:shd w:val="clear" w:color="auto" w:fill="auto"/>
            <w:noWrap/>
            <w:vAlign w:val="bottom"/>
            <w:hideMark/>
          </w:tcPr>
          <w:p w14:paraId="0E08532E"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588</w:t>
            </w:r>
          </w:p>
        </w:tc>
        <w:tc>
          <w:tcPr>
            <w:tcW w:w="2268" w:type="dxa"/>
            <w:shd w:val="clear" w:color="auto" w:fill="auto"/>
            <w:noWrap/>
            <w:vAlign w:val="bottom"/>
            <w:hideMark/>
          </w:tcPr>
          <w:p w14:paraId="706BD36A"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31%</w:t>
            </w:r>
          </w:p>
        </w:tc>
      </w:tr>
      <w:tr w:rsidR="005079F6" w:rsidRPr="005E0DCA" w14:paraId="7E442F11" w14:textId="77777777" w:rsidTr="00F812EE">
        <w:trPr>
          <w:trHeight w:val="300"/>
        </w:trPr>
        <w:tc>
          <w:tcPr>
            <w:tcW w:w="0" w:type="auto"/>
            <w:shd w:val="clear" w:color="auto" w:fill="auto"/>
            <w:noWrap/>
            <w:vAlign w:val="bottom"/>
            <w:hideMark/>
          </w:tcPr>
          <w:p w14:paraId="09A7C80B"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8</w:t>
            </w:r>
            <w:r>
              <w:rPr>
                <w:rFonts w:ascii="Calibri" w:hAnsi="Calibri" w:cs="Calibri"/>
                <w:color w:val="000000"/>
                <w:sz w:val="20"/>
                <w:szCs w:val="20"/>
              </w:rPr>
              <w:t xml:space="preserve"> </w:t>
            </w:r>
            <w:r w:rsidRPr="00AA00FA">
              <w:rPr>
                <w:rFonts w:ascii="Calibri" w:hAnsi="Calibri" w:cs="Calibri"/>
                <w:color w:val="000000"/>
                <w:sz w:val="20"/>
                <w:szCs w:val="20"/>
              </w:rPr>
              <w:t>Very severely frail</w:t>
            </w:r>
          </w:p>
        </w:tc>
        <w:tc>
          <w:tcPr>
            <w:tcW w:w="1559" w:type="dxa"/>
            <w:shd w:val="clear" w:color="auto" w:fill="auto"/>
            <w:noWrap/>
            <w:vAlign w:val="bottom"/>
            <w:hideMark/>
          </w:tcPr>
          <w:p w14:paraId="04B20E5D"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134</w:t>
            </w:r>
          </w:p>
        </w:tc>
        <w:tc>
          <w:tcPr>
            <w:tcW w:w="2268" w:type="dxa"/>
            <w:shd w:val="clear" w:color="auto" w:fill="auto"/>
            <w:noWrap/>
            <w:vAlign w:val="bottom"/>
            <w:hideMark/>
          </w:tcPr>
          <w:p w14:paraId="3DDDBA63"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7%</w:t>
            </w:r>
          </w:p>
        </w:tc>
      </w:tr>
      <w:tr w:rsidR="005079F6" w:rsidRPr="005E0DCA" w14:paraId="243597A1" w14:textId="77777777" w:rsidTr="00F812EE">
        <w:trPr>
          <w:trHeight w:val="300"/>
        </w:trPr>
        <w:tc>
          <w:tcPr>
            <w:tcW w:w="0" w:type="auto"/>
            <w:shd w:val="clear" w:color="auto" w:fill="auto"/>
            <w:noWrap/>
            <w:vAlign w:val="bottom"/>
            <w:hideMark/>
          </w:tcPr>
          <w:p w14:paraId="18CEADD8"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9 Terminally ill</w:t>
            </w:r>
          </w:p>
        </w:tc>
        <w:tc>
          <w:tcPr>
            <w:tcW w:w="1559" w:type="dxa"/>
            <w:shd w:val="clear" w:color="auto" w:fill="auto"/>
            <w:noWrap/>
            <w:vAlign w:val="bottom"/>
            <w:hideMark/>
          </w:tcPr>
          <w:p w14:paraId="4BEFE4F3"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4</w:t>
            </w:r>
          </w:p>
        </w:tc>
        <w:tc>
          <w:tcPr>
            <w:tcW w:w="2268" w:type="dxa"/>
            <w:shd w:val="clear" w:color="auto" w:fill="auto"/>
            <w:noWrap/>
            <w:vAlign w:val="bottom"/>
            <w:hideMark/>
          </w:tcPr>
          <w:p w14:paraId="4D2F21EE"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0%</w:t>
            </w:r>
          </w:p>
        </w:tc>
      </w:tr>
      <w:tr w:rsidR="005079F6" w:rsidRPr="005E0DCA" w14:paraId="76638D85" w14:textId="77777777" w:rsidTr="00F812EE">
        <w:trPr>
          <w:trHeight w:val="300"/>
        </w:trPr>
        <w:tc>
          <w:tcPr>
            <w:tcW w:w="0" w:type="auto"/>
            <w:shd w:val="clear" w:color="auto" w:fill="auto"/>
            <w:noWrap/>
            <w:vAlign w:val="bottom"/>
            <w:hideMark/>
          </w:tcPr>
          <w:p w14:paraId="3706D21B" w14:textId="77777777" w:rsidR="005079F6" w:rsidRPr="00AA00FA" w:rsidRDefault="005079F6" w:rsidP="00F812EE">
            <w:pPr>
              <w:spacing w:before="40" w:after="40"/>
              <w:rPr>
                <w:rFonts w:ascii="Calibri" w:hAnsi="Calibri" w:cs="Calibri"/>
                <w:color w:val="000000"/>
                <w:sz w:val="20"/>
                <w:szCs w:val="20"/>
              </w:rPr>
            </w:pPr>
            <w:r w:rsidRPr="00AA00FA">
              <w:rPr>
                <w:rFonts w:ascii="Calibri" w:hAnsi="Calibri" w:cs="Calibri"/>
                <w:color w:val="000000"/>
                <w:sz w:val="20"/>
                <w:szCs w:val="20"/>
              </w:rPr>
              <w:t>Unknown</w:t>
            </w:r>
          </w:p>
        </w:tc>
        <w:tc>
          <w:tcPr>
            <w:tcW w:w="1559" w:type="dxa"/>
            <w:shd w:val="clear" w:color="auto" w:fill="auto"/>
            <w:noWrap/>
            <w:vAlign w:val="bottom"/>
            <w:hideMark/>
          </w:tcPr>
          <w:p w14:paraId="1BB72EC0"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14</w:t>
            </w:r>
          </w:p>
        </w:tc>
        <w:tc>
          <w:tcPr>
            <w:tcW w:w="2268" w:type="dxa"/>
            <w:shd w:val="clear" w:color="auto" w:fill="auto"/>
            <w:noWrap/>
            <w:vAlign w:val="bottom"/>
            <w:hideMark/>
          </w:tcPr>
          <w:p w14:paraId="5D894687" w14:textId="77777777" w:rsidR="005079F6" w:rsidRPr="00534F50" w:rsidRDefault="005079F6" w:rsidP="00F812EE">
            <w:pPr>
              <w:spacing w:before="40" w:after="40"/>
              <w:jc w:val="right"/>
              <w:rPr>
                <w:rFonts w:ascii="Calibri" w:hAnsi="Calibri" w:cs="Calibri"/>
                <w:color w:val="000000"/>
                <w:sz w:val="20"/>
                <w:szCs w:val="20"/>
              </w:rPr>
            </w:pPr>
            <w:r w:rsidRPr="00534F50">
              <w:rPr>
                <w:rFonts w:ascii="Calibri" w:hAnsi="Calibri" w:cs="Calibri"/>
                <w:color w:val="000000"/>
                <w:sz w:val="20"/>
                <w:szCs w:val="20"/>
              </w:rPr>
              <w:t>1%</w:t>
            </w:r>
          </w:p>
        </w:tc>
      </w:tr>
      <w:tr w:rsidR="005079F6" w:rsidRPr="005E0DCA" w14:paraId="7BB28DC0" w14:textId="77777777" w:rsidTr="00F812EE">
        <w:trPr>
          <w:trHeight w:val="300"/>
        </w:trPr>
        <w:tc>
          <w:tcPr>
            <w:tcW w:w="0" w:type="auto"/>
            <w:shd w:val="clear" w:color="auto" w:fill="auto"/>
            <w:noWrap/>
            <w:vAlign w:val="bottom"/>
            <w:hideMark/>
          </w:tcPr>
          <w:p w14:paraId="64391768" w14:textId="77777777" w:rsidR="005079F6" w:rsidRPr="00AA00FA" w:rsidRDefault="005079F6" w:rsidP="00F812EE">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1559" w:type="dxa"/>
            <w:shd w:val="clear" w:color="auto" w:fill="auto"/>
            <w:noWrap/>
            <w:vAlign w:val="bottom"/>
            <w:hideMark/>
          </w:tcPr>
          <w:p w14:paraId="7D43E6CA" w14:textId="77777777" w:rsidR="005079F6" w:rsidRPr="00534F50" w:rsidRDefault="005079F6" w:rsidP="00F812EE">
            <w:pPr>
              <w:spacing w:before="40" w:after="40"/>
              <w:jc w:val="right"/>
              <w:rPr>
                <w:rFonts w:ascii="Calibri" w:hAnsi="Calibri" w:cs="Calibri"/>
                <w:b/>
                <w:color w:val="000000"/>
                <w:sz w:val="20"/>
                <w:szCs w:val="20"/>
              </w:rPr>
            </w:pPr>
            <w:r w:rsidRPr="00534F50">
              <w:rPr>
                <w:rFonts w:ascii="Calibri" w:hAnsi="Calibri" w:cs="Calibri"/>
                <w:b/>
                <w:color w:val="000000"/>
                <w:sz w:val="20"/>
                <w:szCs w:val="20"/>
              </w:rPr>
              <w:t>1,880</w:t>
            </w:r>
          </w:p>
        </w:tc>
        <w:tc>
          <w:tcPr>
            <w:tcW w:w="2268" w:type="dxa"/>
            <w:shd w:val="clear" w:color="auto" w:fill="auto"/>
            <w:noWrap/>
            <w:vAlign w:val="bottom"/>
            <w:hideMark/>
          </w:tcPr>
          <w:p w14:paraId="30F9D6CF" w14:textId="77777777" w:rsidR="005079F6" w:rsidRPr="00534F50" w:rsidRDefault="005079F6" w:rsidP="00F812EE">
            <w:pPr>
              <w:spacing w:before="40" w:after="40"/>
              <w:jc w:val="right"/>
              <w:rPr>
                <w:rFonts w:ascii="Calibri" w:hAnsi="Calibri" w:cs="Calibri"/>
                <w:b/>
                <w:color w:val="000000"/>
                <w:sz w:val="20"/>
                <w:szCs w:val="20"/>
              </w:rPr>
            </w:pPr>
            <w:r w:rsidRPr="00534F50">
              <w:rPr>
                <w:rFonts w:ascii="Calibri" w:hAnsi="Calibri" w:cs="Calibri"/>
                <w:b/>
                <w:color w:val="000000"/>
                <w:sz w:val="20"/>
                <w:szCs w:val="20"/>
              </w:rPr>
              <w:t>100%</w:t>
            </w:r>
          </w:p>
        </w:tc>
      </w:tr>
    </w:tbl>
    <w:p w14:paraId="0BF4F4B1" w14:textId="77777777" w:rsidR="00B3260C" w:rsidRDefault="00B3260C" w:rsidP="00AC2F3B">
      <w:pPr>
        <w:pStyle w:val="Normal-nospacing"/>
      </w:pPr>
      <w:r w:rsidRPr="008845F7">
        <w:t>Assessors recorded whether the resident had fallen in the last twelve months or not. Just over 50% of residents had had one or more falls during that time period. Assessors also recorded whether or not the resident had fallen in the last four weeks. For 87% of residents, there had been no fall. However, 2% of residents had had three or more falls, with six being the la</w:t>
      </w:r>
      <w:r w:rsidR="003954D2">
        <w:t>rgest number of falls recorded.</w:t>
      </w:r>
    </w:p>
    <w:p w14:paraId="4F5BDA2E" w14:textId="77777777" w:rsidR="006C12A0" w:rsidRDefault="00B3260C" w:rsidP="00AC2F3B">
      <w:pPr>
        <w:pStyle w:val="Normal-nospacing"/>
      </w:pPr>
      <w:r>
        <w:t xml:space="preserve">A large weight loss over a relatively short period of time can be an indicator of frailty. Of the residents in </w:t>
      </w:r>
      <w:r w:rsidR="00A677E2">
        <w:t>S</w:t>
      </w:r>
      <w:r>
        <w:t>tudy</w:t>
      </w:r>
      <w:r w:rsidR="00A677E2">
        <w:t xml:space="preserve"> One</w:t>
      </w:r>
      <w:r>
        <w:t xml:space="preserve">, 10% had lost more </w:t>
      </w:r>
      <w:r w:rsidR="00733B8A">
        <w:t xml:space="preserve">than </w:t>
      </w:r>
      <w:r>
        <w:t xml:space="preserve">10% of their body weight in the last twelve months. To investigate the relationship between this level of weight loss and the Rockwood </w:t>
      </w:r>
      <w:r w:rsidR="00AE7A80">
        <w:t>F</w:t>
      </w:r>
      <w:r>
        <w:t xml:space="preserve">railty </w:t>
      </w:r>
      <w:r w:rsidR="00AE7A80">
        <w:t>S</w:t>
      </w:r>
      <w:r>
        <w:t xml:space="preserve">cale, the distribution of scores are presented separately </w:t>
      </w:r>
      <w:r w:rsidR="007F45FD">
        <w:t xml:space="preserve">in </w:t>
      </w:r>
      <w:r w:rsidR="00534F50">
        <w:fldChar w:fldCharType="begin"/>
      </w:r>
      <w:r w:rsidR="00534F50">
        <w:instrText xml:space="preserve"> REF _Ref530141637 \h </w:instrText>
      </w:r>
      <w:r w:rsidR="00AC2F3B">
        <w:instrText xml:space="preserve"> \* MERGEFORMAT </w:instrText>
      </w:r>
      <w:r w:rsidR="00534F50">
        <w:fldChar w:fldCharType="separate"/>
      </w:r>
      <w:r w:rsidR="00EE18C8" w:rsidRPr="005B0B4B">
        <w:t xml:space="preserve">Table </w:t>
      </w:r>
      <w:r w:rsidR="00EE18C8">
        <w:rPr>
          <w:noProof/>
        </w:rPr>
        <w:t>5</w:t>
      </w:r>
      <w:r w:rsidR="00534F50">
        <w:fldChar w:fldCharType="end"/>
      </w:r>
      <w:r w:rsidR="00534F50">
        <w:t xml:space="preserve"> </w:t>
      </w:r>
      <w:r>
        <w:t xml:space="preserve">for those who lost this amount of weight and </w:t>
      </w:r>
      <w:r w:rsidR="007F45FD">
        <w:t>those who did not.</w:t>
      </w:r>
      <w:bookmarkStart w:id="73" w:name="_Ref525222944"/>
    </w:p>
    <w:p w14:paraId="11CDF32D" w14:textId="77777777" w:rsidR="00534F50" w:rsidRDefault="00534F50">
      <w:pPr>
        <w:rPr>
          <w:b/>
          <w:bCs/>
          <w:szCs w:val="18"/>
        </w:rPr>
      </w:pPr>
      <w:bookmarkStart w:id="74" w:name="_Ref529887968"/>
      <w:r>
        <w:br w:type="page"/>
      </w:r>
    </w:p>
    <w:p w14:paraId="24F6BE5F" w14:textId="77777777" w:rsidR="00B3260C" w:rsidRDefault="00B3260C" w:rsidP="00B3260C">
      <w:pPr>
        <w:pStyle w:val="Caption"/>
      </w:pPr>
      <w:bookmarkStart w:id="75" w:name="_Ref530141637"/>
      <w:bookmarkStart w:id="76" w:name="_Toc2065667"/>
      <w:r w:rsidRPr="005B0B4B">
        <w:lastRenderedPageBreak/>
        <w:t xml:space="preserve">Table </w:t>
      </w:r>
      <w:r>
        <w:rPr>
          <w:noProof/>
        </w:rPr>
        <w:fldChar w:fldCharType="begin"/>
      </w:r>
      <w:r>
        <w:rPr>
          <w:noProof/>
        </w:rPr>
        <w:instrText xml:space="preserve"> SEQ Table \* ARABIC </w:instrText>
      </w:r>
      <w:r>
        <w:rPr>
          <w:noProof/>
        </w:rPr>
        <w:fldChar w:fldCharType="separate"/>
      </w:r>
      <w:r w:rsidR="00EE18C8">
        <w:rPr>
          <w:noProof/>
        </w:rPr>
        <w:t>5</w:t>
      </w:r>
      <w:r>
        <w:rPr>
          <w:noProof/>
        </w:rPr>
        <w:fldChar w:fldCharType="end"/>
      </w:r>
      <w:bookmarkEnd w:id="73"/>
      <w:bookmarkEnd w:id="74"/>
      <w:bookmarkEnd w:id="75"/>
      <w:r w:rsidR="00CF61F8">
        <w:rPr>
          <w:noProof/>
        </w:rPr>
        <w:t xml:space="preserve"> </w:t>
      </w:r>
      <w:r w:rsidR="00CF26D2">
        <w:tab/>
      </w:r>
      <w:r w:rsidRPr="005B0B4B">
        <w:t>Rockwood score by weight loss variable</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ckwood score by weight loss variable"/>
        <w:tblDescription w:val="Table 5 presents the distribution of Rockwood fraility scores between the residents with weight loss of 10 percent and residents with no weight loss. The table should be read as a series of rows from left to right ('Rockwood frailty score' then 'all residents' then 'residents who lost 10 percent weight' then 'residents who did not lose 10 percent weight')."/>
      </w:tblPr>
      <w:tblGrid>
        <w:gridCol w:w="2525"/>
        <w:gridCol w:w="1380"/>
        <w:gridCol w:w="2082"/>
        <w:gridCol w:w="3073"/>
      </w:tblGrid>
      <w:tr w:rsidR="003954D2" w:rsidRPr="00AA00FA" w14:paraId="5A84D9EA" w14:textId="77777777" w:rsidTr="00D304CB">
        <w:trPr>
          <w:trHeight w:val="300"/>
          <w:tblHeader/>
        </w:trPr>
        <w:tc>
          <w:tcPr>
            <w:tcW w:w="1393" w:type="pct"/>
            <w:shd w:val="clear" w:color="auto" w:fill="D9D9D9" w:themeFill="background1" w:themeFillShade="D9"/>
            <w:noWrap/>
            <w:vAlign w:val="bottom"/>
            <w:hideMark/>
          </w:tcPr>
          <w:p w14:paraId="28F1FEC1" w14:textId="77777777" w:rsidR="003954D2" w:rsidRPr="00AA00FA" w:rsidRDefault="003954D2" w:rsidP="00F812EE">
            <w:pPr>
              <w:spacing w:before="40" w:after="40"/>
              <w:jc w:val="center"/>
              <w:rPr>
                <w:rFonts w:ascii="Calibri" w:hAnsi="Calibri" w:cs="Calibri"/>
                <w:b/>
                <w:color w:val="000000"/>
                <w:sz w:val="20"/>
                <w:szCs w:val="20"/>
              </w:rPr>
            </w:pPr>
            <w:r w:rsidRPr="00AA00FA">
              <w:rPr>
                <w:rFonts w:ascii="Calibri" w:hAnsi="Calibri" w:cs="Calibri"/>
                <w:b/>
                <w:color w:val="000000"/>
                <w:sz w:val="20"/>
                <w:szCs w:val="20"/>
              </w:rPr>
              <w:t xml:space="preserve">Rockwood </w:t>
            </w:r>
            <w:r>
              <w:rPr>
                <w:rFonts w:ascii="Calibri" w:hAnsi="Calibri" w:cs="Calibri"/>
                <w:b/>
                <w:color w:val="000000"/>
                <w:sz w:val="20"/>
                <w:szCs w:val="20"/>
              </w:rPr>
              <w:t>f</w:t>
            </w:r>
            <w:r w:rsidRPr="00AA00FA">
              <w:rPr>
                <w:rFonts w:ascii="Calibri" w:hAnsi="Calibri" w:cs="Calibri"/>
                <w:b/>
                <w:color w:val="000000"/>
                <w:sz w:val="20"/>
                <w:szCs w:val="20"/>
              </w:rPr>
              <w:t xml:space="preserve">railty </w:t>
            </w:r>
            <w:r>
              <w:rPr>
                <w:rFonts w:ascii="Calibri" w:hAnsi="Calibri" w:cs="Calibri"/>
                <w:b/>
                <w:color w:val="000000"/>
                <w:sz w:val="20"/>
                <w:szCs w:val="20"/>
              </w:rPr>
              <w:t>s</w:t>
            </w:r>
            <w:r w:rsidRPr="00AA00FA">
              <w:rPr>
                <w:rFonts w:ascii="Calibri" w:hAnsi="Calibri" w:cs="Calibri"/>
                <w:b/>
                <w:color w:val="000000"/>
                <w:sz w:val="20"/>
                <w:szCs w:val="20"/>
              </w:rPr>
              <w:t>core</w:t>
            </w:r>
          </w:p>
        </w:tc>
        <w:tc>
          <w:tcPr>
            <w:tcW w:w="761" w:type="pct"/>
            <w:shd w:val="clear" w:color="auto" w:fill="D9D9D9" w:themeFill="background1" w:themeFillShade="D9"/>
            <w:noWrap/>
            <w:vAlign w:val="bottom"/>
            <w:hideMark/>
          </w:tcPr>
          <w:p w14:paraId="66C70D73"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All residents</w:t>
            </w:r>
          </w:p>
        </w:tc>
        <w:tc>
          <w:tcPr>
            <w:tcW w:w="1149" w:type="pct"/>
            <w:shd w:val="clear" w:color="auto" w:fill="D9D9D9" w:themeFill="background1" w:themeFillShade="D9"/>
            <w:noWrap/>
            <w:vAlign w:val="bottom"/>
            <w:hideMark/>
          </w:tcPr>
          <w:p w14:paraId="7D5BDEB9" w14:textId="77777777" w:rsidR="003954D2"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 xml:space="preserve">Residents who lost </w:t>
            </w:r>
          </w:p>
          <w:p w14:paraId="487C5944"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 weight (n=195)</w:t>
            </w:r>
          </w:p>
        </w:tc>
        <w:tc>
          <w:tcPr>
            <w:tcW w:w="1696" w:type="pct"/>
            <w:shd w:val="clear" w:color="auto" w:fill="D9D9D9" w:themeFill="background1" w:themeFillShade="D9"/>
            <w:noWrap/>
            <w:vAlign w:val="bottom"/>
            <w:hideMark/>
          </w:tcPr>
          <w:p w14:paraId="65795B7E" w14:textId="77777777" w:rsidR="003954D2"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 xml:space="preserve">Residents who didn’t lose 10% </w:t>
            </w:r>
          </w:p>
          <w:p w14:paraId="7BB7F026"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weight (n=1,584)</w:t>
            </w:r>
          </w:p>
        </w:tc>
      </w:tr>
      <w:tr w:rsidR="003954D2" w:rsidRPr="00AA00FA" w14:paraId="5B334654" w14:textId="77777777" w:rsidTr="00D304CB">
        <w:trPr>
          <w:trHeight w:val="300"/>
        </w:trPr>
        <w:tc>
          <w:tcPr>
            <w:tcW w:w="1393" w:type="pct"/>
            <w:shd w:val="clear" w:color="auto" w:fill="auto"/>
            <w:noWrap/>
            <w:vAlign w:val="bottom"/>
            <w:hideMark/>
          </w:tcPr>
          <w:p w14:paraId="35A8C671"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1 Very fit</w:t>
            </w:r>
          </w:p>
        </w:tc>
        <w:tc>
          <w:tcPr>
            <w:tcW w:w="761" w:type="pct"/>
            <w:shd w:val="clear" w:color="auto" w:fill="auto"/>
            <w:noWrap/>
            <w:vAlign w:val="bottom"/>
            <w:hideMark/>
          </w:tcPr>
          <w:p w14:paraId="26D1AE20"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c>
          <w:tcPr>
            <w:tcW w:w="1149" w:type="pct"/>
            <w:shd w:val="clear" w:color="auto" w:fill="auto"/>
            <w:noWrap/>
            <w:vAlign w:val="bottom"/>
            <w:hideMark/>
          </w:tcPr>
          <w:p w14:paraId="5511C9A1"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c>
          <w:tcPr>
            <w:tcW w:w="1696" w:type="pct"/>
            <w:shd w:val="clear" w:color="auto" w:fill="auto"/>
            <w:noWrap/>
            <w:vAlign w:val="bottom"/>
            <w:hideMark/>
          </w:tcPr>
          <w:p w14:paraId="267114AF"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r>
      <w:tr w:rsidR="003954D2" w:rsidRPr="00AA00FA" w14:paraId="590E2378" w14:textId="77777777" w:rsidTr="00D304CB">
        <w:trPr>
          <w:trHeight w:val="300"/>
        </w:trPr>
        <w:tc>
          <w:tcPr>
            <w:tcW w:w="1393" w:type="pct"/>
            <w:shd w:val="clear" w:color="auto" w:fill="auto"/>
            <w:noWrap/>
            <w:vAlign w:val="bottom"/>
            <w:hideMark/>
          </w:tcPr>
          <w:p w14:paraId="591DECAA"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2 Well</w:t>
            </w:r>
          </w:p>
        </w:tc>
        <w:tc>
          <w:tcPr>
            <w:tcW w:w="761" w:type="pct"/>
            <w:shd w:val="clear" w:color="auto" w:fill="auto"/>
            <w:noWrap/>
            <w:vAlign w:val="bottom"/>
            <w:hideMark/>
          </w:tcPr>
          <w:p w14:paraId="6C0D2207"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c>
          <w:tcPr>
            <w:tcW w:w="1149" w:type="pct"/>
            <w:shd w:val="clear" w:color="auto" w:fill="auto"/>
            <w:noWrap/>
            <w:vAlign w:val="bottom"/>
            <w:hideMark/>
          </w:tcPr>
          <w:p w14:paraId="4EDF5270"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c>
          <w:tcPr>
            <w:tcW w:w="1696" w:type="pct"/>
            <w:shd w:val="clear" w:color="auto" w:fill="auto"/>
            <w:noWrap/>
            <w:vAlign w:val="bottom"/>
            <w:hideMark/>
          </w:tcPr>
          <w:p w14:paraId="686A821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3954D2" w:rsidRPr="00AA00FA" w14:paraId="43E094EA" w14:textId="77777777" w:rsidTr="00D304CB">
        <w:trPr>
          <w:trHeight w:val="300"/>
        </w:trPr>
        <w:tc>
          <w:tcPr>
            <w:tcW w:w="1393" w:type="pct"/>
            <w:shd w:val="clear" w:color="auto" w:fill="auto"/>
            <w:noWrap/>
            <w:vAlign w:val="bottom"/>
            <w:hideMark/>
          </w:tcPr>
          <w:p w14:paraId="0E738E62"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3 Well, comorb</w:t>
            </w:r>
            <w:r>
              <w:rPr>
                <w:rFonts w:ascii="Calibri" w:hAnsi="Calibri" w:cs="Calibri"/>
                <w:color w:val="000000"/>
                <w:sz w:val="20"/>
                <w:szCs w:val="20"/>
              </w:rPr>
              <w:t>id</w:t>
            </w:r>
            <w:r w:rsidRPr="00AA00FA">
              <w:rPr>
                <w:rFonts w:ascii="Calibri" w:hAnsi="Calibri" w:cs="Calibri"/>
                <w:color w:val="000000"/>
                <w:sz w:val="20"/>
                <w:szCs w:val="20"/>
              </w:rPr>
              <w:t xml:space="preserve"> disease</w:t>
            </w:r>
          </w:p>
        </w:tc>
        <w:tc>
          <w:tcPr>
            <w:tcW w:w="761" w:type="pct"/>
            <w:shd w:val="clear" w:color="auto" w:fill="auto"/>
            <w:noWrap/>
            <w:vAlign w:val="bottom"/>
            <w:hideMark/>
          </w:tcPr>
          <w:p w14:paraId="022A0CA3"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c>
          <w:tcPr>
            <w:tcW w:w="1149" w:type="pct"/>
            <w:shd w:val="clear" w:color="auto" w:fill="auto"/>
            <w:noWrap/>
            <w:vAlign w:val="bottom"/>
            <w:hideMark/>
          </w:tcPr>
          <w:p w14:paraId="22338430"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c>
          <w:tcPr>
            <w:tcW w:w="1696" w:type="pct"/>
            <w:shd w:val="clear" w:color="auto" w:fill="auto"/>
            <w:noWrap/>
            <w:vAlign w:val="bottom"/>
            <w:hideMark/>
          </w:tcPr>
          <w:p w14:paraId="2D62D70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r>
      <w:tr w:rsidR="003954D2" w:rsidRPr="00AA00FA" w14:paraId="61E5CF83" w14:textId="77777777" w:rsidTr="00D304CB">
        <w:trPr>
          <w:trHeight w:val="300"/>
        </w:trPr>
        <w:tc>
          <w:tcPr>
            <w:tcW w:w="1393" w:type="pct"/>
            <w:shd w:val="clear" w:color="auto" w:fill="auto"/>
            <w:noWrap/>
            <w:vAlign w:val="bottom"/>
            <w:hideMark/>
          </w:tcPr>
          <w:p w14:paraId="19BDBFA2"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4 App. vulnerable</w:t>
            </w:r>
          </w:p>
        </w:tc>
        <w:tc>
          <w:tcPr>
            <w:tcW w:w="761" w:type="pct"/>
            <w:shd w:val="clear" w:color="auto" w:fill="auto"/>
            <w:noWrap/>
            <w:vAlign w:val="bottom"/>
            <w:hideMark/>
          </w:tcPr>
          <w:p w14:paraId="1F6D6F8A"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c>
          <w:tcPr>
            <w:tcW w:w="1149" w:type="pct"/>
            <w:shd w:val="clear" w:color="auto" w:fill="auto"/>
            <w:noWrap/>
            <w:vAlign w:val="bottom"/>
            <w:hideMark/>
          </w:tcPr>
          <w:p w14:paraId="445CB1C3"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c>
          <w:tcPr>
            <w:tcW w:w="1696" w:type="pct"/>
            <w:shd w:val="clear" w:color="auto" w:fill="auto"/>
            <w:noWrap/>
            <w:vAlign w:val="bottom"/>
            <w:hideMark/>
          </w:tcPr>
          <w:p w14:paraId="331C5B42"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r>
      <w:tr w:rsidR="003954D2" w:rsidRPr="00AA00FA" w14:paraId="36F37720" w14:textId="77777777" w:rsidTr="00D304CB">
        <w:trPr>
          <w:trHeight w:val="300"/>
        </w:trPr>
        <w:tc>
          <w:tcPr>
            <w:tcW w:w="1393" w:type="pct"/>
            <w:shd w:val="clear" w:color="auto" w:fill="auto"/>
            <w:noWrap/>
            <w:vAlign w:val="bottom"/>
            <w:hideMark/>
          </w:tcPr>
          <w:p w14:paraId="4856BAF1"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5 Mildly frail</w:t>
            </w:r>
          </w:p>
        </w:tc>
        <w:tc>
          <w:tcPr>
            <w:tcW w:w="761" w:type="pct"/>
            <w:shd w:val="clear" w:color="auto" w:fill="auto"/>
            <w:noWrap/>
            <w:vAlign w:val="bottom"/>
            <w:hideMark/>
          </w:tcPr>
          <w:p w14:paraId="424E8E09"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15%</w:t>
            </w:r>
          </w:p>
        </w:tc>
        <w:tc>
          <w:tcPr>
            <w:tcW w:w="1149" w:type="pct"/>
            <w:shd w:val="clear" w:color="auto" w:fill="auto"/>
            <w:noWrap/>
            <w:vAlign w:val="bottom"/>
            <w:hideMark/>
          </w:tcPr>
          <w:p w14:paraId="5AABCAF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c>
          <w:tcPr>
            <w:tcW w:w="1696" w:type="pct"/>
            <w:shd w:val="clear" w:color="auto" w:fill="auto"/>
            <w:noWrap/>
            <w:vAlign w:val="bottom"/>
            <w:hideMark/>
          </w:tcPr>
          <w:p w14:paraId="0B96E59D"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16%</w:t>
            </w:r>
          </w:p>
        </w:tc>
      </w:tr>
      <w:tr w:rsidR="003954D2" w:rsidRPr="00AA00FA" w14:paraId="2B9F33C8" w14:textId="77777777" w:rsidTr="00D304CB">
        <w:trPr>
          <w:trHeight w:val="300"/>
        </w:trPr>
        <w:tc>
          <w:tcPr>
            <w:tcW w:w="1393" w:type="pct"/>
            <w:shd w:val="clear" w:color="auto" w:fill="auto"/>
            <w:noWrap/>
            <w:vAlign w:val="bottom"/>
            <w:hideMark/>
          </w:tcPr>
          <w:p w14:paraId="352DDE38"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6 Moderately frail</w:t>
            </w:r>
          </w:p>
        </w:tc>
        <w:tc>
          <w:tcPr>
            <w:tcW w:w="761" w:type="pct"/>
            <w:shd w:val="clear" w:color="auto" w:fill="auto"/>
            <w:noWrap/>
            <w:vAlign w:val="bottom"/>
            <w:hideMark/>
          </w:tcPr>
          <w:p w14:paraId="3BB2CAC8"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23%</w:t>
            </w:r>
          </w:p>
        </w:tc>
        <w:tc>
          <w:tcPr>
            <w:tcW w:w="1149" w:type="pct"/>
            <w:shd w:val="clear" w:color="auto" w:fill="auto"/>
            <w:noWrap/>
            <w:vAlign w:val="bottom"/>
            <w:hideMark/>
          </w:tcPr>
          <w:p w14:paraId="551A3C96"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21%</w:t>
            </w:r>
          </w:p>
        </w:tc>
        <w:tc>
          <w:tcPr>
            <w:tcW w:w="1696" w:type="pct"/>
            <w:shd w:val="clear" w:color="auto" w:fill="auto"/>
            <w:noWrap/>
            <w:vAlign w:val="bottom"/>
            <w:hideMark/>
          </w:tcPr>
          <w:p w14:paraId="6A932FD7"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24%</w:t>
            </w:r>
          </w:p>
        </w:tc>
      </w:tr>
      <w:tr w:rsidR="003954D2" w:rsidRPr="00AA00FA" w14:paraId="2C66A085" w14:textId="77777777" w:rsidTr="00D304CB">
        <w:trPr>
          <w:trHeight w:val="300"/>
        </w:trPr>
        <w:tc>
          <w:tcPr>
            <w:tcW w:w="1393" w:type="pct"/>
            <w:shd w:val="clear" w:color="auto" w:fill="auto"/>
            <w:noWrap/>
            <w:vAlign w:val="bottom"/>
            <w:hideMark/>
          </w:tcPr>
          <w:p w14:paraId="15924FFB"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7 Severely frail</w:t>
            </w:r>
          </w:p>
        </w:tc>
        <w:tc>
          <w:tcPr>
            <w:tcW w:w="761" w:type="pct"/>
            <w:shd w:val="clear" w:color="auto" w:fill="auto"/>
            <w:noWrap/>
            <w:vAlign w:val="bottom"/>
            <w:hideMark/>
          </w:tcPr>
          <w:p w14:paraId="29131F3C"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31%</w:t>
            </w:r>
          </w:p>
        </w:tc>
        <w:tc>
          <w:tcPr>
            <w:tcW w:w="1149" w:type="pct"/>
            <w:shd w:val="clear" w:color="auto" w:fill="auto"/>
            <w:noWrap/>
            <w:vAlign w:val="bottom"/>
            <w:hideMark/>
          </w:tcPr>
          <w:p w14:paraId="5DA20C79"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36%</w:t>
            </w:r>
          </w:p>
        </w:tc>
        <w:tc>
          <w:tcPr>
            <w:tcW w:w="1696" w:type="pct"/>
            <w:shd w:val="clear" w:color="auto" w:fill="auto"/>
            <w:noWrap/>
            <w:vAlign w:val="bottom"/>
            <w:hideMark/>
          </w:tcPr>
          <w:p w14:paraId="2CC56955"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30%</w:t>
            </w:r>
          </w:p>
        </w:tc>
      </w:tr>
      <w:tr w:rsidR="003954D2" w:rsidRPr="00AA00FA" w14:paraId="6CEED317" w14:textId="77777777" w:rsidTr="00D304CB">
        <w:trPr>
          <w:trHeight w:val="300"/>
        </w:trPr>
        <w:tc>
          <w:tcPr>
            <w:tcW w:w="1393" w:type="pct"/>
            <w:shd w:val="clear" w:color="auto" w:fill="auto"/>
            <w:noWrap/>
            <w:vAlign w:val="bottom"/>
            <w:hideMark/>
          </w:tcPr>
          <w:p w14:paraId="7828E275"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8 Very severely frail</w:t>
            </w:r>
          </w:p>
        </w:tc>
        <w:tc>
          <w:tcPr>
            <w:tcW w:w="761" w:type="pct"/>
            <w:shd w:val="clear" w:color="auto" w:fill="auto"/>
            <w:noWrap/>
            <w:vAlign w:val="bottom"/>
            <w:hideMark/>
          </w:tcPr>
          <w:p w14:paraId="5384A208"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c>
          <w:tcPr>
            <w:tcW w:w="1149" w:type="pct"/>
            <w:shd w:val="clear" w:color="auto" w:fill="auto"/>
            <w:noWrap/>
            <w:vAlign w:val="bottom"/>
            <w:hideMark/>
          </w:tcPr>
          <w:p w14:paraId="2248ECBE"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13%</w:t>
            </w:r>
          </w:p>
        </w:tc>
        <w:tc>
          <w:tcPr>
            <w:tcW w:w="1696" w:type="pct"/>
            <w:shd w:val="clear" w:color="auto" w:fill="auto"/>
            <w:noWrap/>
            <w:vAlign w:val="bottom"/>
            <w:hideMark/>
          </w:tcPr>
          <w:p w14:paraId="62AEF4B6"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r>
      <w:tr w:rsidR="003954D2" w:rsidRPr="00AA00FA" w14:paraId="148615ED" w14:textId="77777777" w:rsidTr="00D304CB">
        <w:trPr>
          <w:trHeight w:val="300"/>
        </w:trPr>
        <w:tc>
          <w:tcPr>
            <w:tcW w:w="1393" w:type="pct"/>
            <w:shd w:val="clear" w:color="auto" w:fill="auto"/>
            <w:noWrap/>
            <w:vAlign w:val="bottom"/>
            <w:hideMark/>
          </w:tcPr>
          <w:p w14:paraId="2125058E"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9 Terminally ill</w:t>
            </w:r>
          </w:p>
        </w:tc>
        <w:tc>
          <w:tcPr>
            <w:tcW w:w="761" w:type="pct"/>
            <w:shd w:val="clear" w:color="auto" w:fill="auto"/>
            <w:noWrap/>
            <w:vAlign w:val="bottom"/>
            <w:hideMark/>
          </w:tcPr>
          <w:p w14:paraId="2452D727"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c>
          <w:tcPr>
            <w:tcW w:w="1149" w:type="pct"/>
            <w:shd w:val="clear" w:color="auto" w:fill="auto"/>
            <w:noWrap/>
            <w:vAlign w:val="bottom"/>
            <w:hideMark/>
          </w:tcPr>
          <w:p w14:paraId="1914C059" w14:textId="77777777" w:rsidR="003954D2" w:rsidRPr="00AA00FA" w:rsidRDefault="003954D2" w:rsidP="00F812EE">
            <w:pPr>
              <w:spacing w:before="40" w:after="40"/>
              <w:jc w:val="right"/>
              <w:rPr>
                <w:rFonts w:ascii="Calibri" w:hAnsi="Calibri" w:cs="Calibri"/>
                <w:color w:val="000000"/>
                <w:sz w:val="20"/>
                <w:szCs w:val="20"/>
              </w:rPr>
            </w:pPr>
            <w:r>
              <w:rPr>
                <w:rFonts w:ascii="Calibri" w:hAnsi="Calibri" w:cs="Calibri"/>
                <w:color w:val="000000"/>
                <w:sz w:val="20"/>
                <w:szCs w:val="20"/>
              </w:rPr>
              <w:t>0</w:t>
            </w:r>
            <w:r w:rsidRPr="00AA00FA">
              <w:rPr>
                <w:rFonts w:ascii="Calibri" w:hAnsi="Calibri" w:cs="Calibri"/>
                <w:color w:val="000000"/>
                <w:sz w:val="20"/>
                <w:szCs w:val="20"/>
              </w:rPr>
              <w:t>%</w:t>
            </w:r>
          </w:p>
        </w:tc>
        <w:tc>
          <w:tcPr>
            <w:tcW w:w="1696" w:type="pct"/>
            <w:shd w:val="clear" w:color="auto" w:fill="auto"/>
            <w:noWrap/>
            <w:vAlign w:val="bottom"/>
            <w:hideMark/>
          </w:tcPr>
          <w:p w14:paraId="4C23CD41"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bl>
    <w:p w14:paraId="7703DA5E" w14:textId="77777777" w:rsidR="00AC2F3B" w:rsidRPr="00E74FA9" w:rsidRDefault="00AC2F3B" w:rsidP="00AC2F3B">
      <w:pPr>
        <w:pStyle w:val="Normal-nospacing"/>
        <w:rPr>
          <w:b/>
        </w:rPr>
      </w:pPr>
      <w:r w:rsidRPr="00E74FA9">
        <w:t>It should be noted that residents where either variable was missing have been excluded from</w:t>
      </w:r>
      <w:r>
        <w:t xml:space="preserve"> </w:t>
      </w:r>
      <w:r w:rsidRPr="00B82914">
        <w:rPr>
          <w:b/>
        </w:rPr>
        <w:fldChar w:fldCharType="begin"/>
      </w:r>
      <w:r w:rsidRPr="00B82914">
        <w:instrText xml:space="preserve"> REF _Ref530141637 \h  \* MERGEFORMAT </w:instrText>
      </w:r>
      <w:r w:rsidRPr="00B82914">
        <w:rPr>
          <w:b/>
        </w:rPr>
      </w:r>
      <w:r w:rsidRPr="00B82914">
        <w:rPr>
          <w:b/>
        </w:rPr>
        <w:fldChar w:fldCharType="separate"/>
      </w:r>
      <w:r w:rsidR="00EE18C8" w:rsidRPr="005B0B4B">
        <w:t xml:space="preserve">Table </w:t>
      </w:r>
      <w:r w:rsidR="00EE18C8">
        <w:rPr>
          <w:noProof/>
        </w:rPr>
        <w:t>5</w:t>
      </w:r>
      <w:r w:rsidRPr="00B82914">
        <w:rPr>
          <w:b/>
        </w:rPr>
        <w:fldChar w:fldCharType="end"/>
      </w:r>
      <w:r w:rsidRPr="00E74FA9">
        <w:t>. It can be seen that the distribution across scores is slightly lower than that for the full population, indicating that those who lost this amount of weight were rated as slightly more frail on this separate measure.</w:t>
      </w:r>
    </w:p>
    <w:p w14:paraId="69DD4DF8" w14:textId="77777777" w:rsidR="00B3260C" w:rsidRDefault="00B3260C" w:rsidP="00E74FA9">
      <w:pPr>
        <w:pStyle w:val="Caption"/>
        <w:ind w:left="1440" w:hanging="1440"/>
      </w:pPr>
      <w:bookmarkStart w:id="77" w:name="_Ref525226954"/>
      <w:bookmarkStart w:id="78" w:name="_Toc2065668"/>
      <w:r>
        <w:t xml:space="preserve">Table </w:t>
      </w:r>
      <w:r>
        <w:rPr>
          <w:noProof/>
        </w:rPr>
        <w:fldChar w:fldCharType="begin"/>
      </w:r>
      <w:r>
        <w:rPr>
          <w:noProof/>
        </w:rPr>
        <w:instrText xml:space="preserve"> SEQ Table \* ARABIC </w:instrText>
      </w:r>
      <w:r>
        <w:rPr>
          <w:noProof/>
        </w:rPr>
        <w:fldChar w:fldCharType="separate"/>
      </w:r>
      <w:r w:rsidR="00EE18C8">
        <w:rPr>
          <w:noProof/>
        </w:rPr>
        <w:t>6</w:t>
      </w:r>
      <w:r>
        <w:rPr>
          <w:noProof/>
        </w:rPr>
        <w:fldChar w:fldCharType="end"/>
      </w:r>
      <w:bookmarkEnd w:id="77"/>
      <w:r w:rsidR="00CF61F8">
        <w:rPr>
          <w:noProof/>
        </w:rPr>
        <w:t xml:space="preserve"> </w:t>
      </w:r>
      <w:r w:rsidR="00CF26D2">
        <w:tab/>
      </w:r>
      <w:r>
        <w:t xml:space="preserve">Rockwood </w:t>
      </w:r>
      <w:r w:rsidR="00B82914">
        <w:t>f</w:t>
      </w:r>
      <w:r>
        <w:t xml:space="preserve">railty </w:t>
      </w:r>
      <w:r w:rsidR="00B82914">
        <w:t>s</w:t>
      </w:r>
      <w:r>
        <w:t>core by time in care (residents with missing scores excluded)</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ckwood frailty score by time in care (residents with missing scores excluded)"/>
        <w:tblDescription w:val="Table 6 shows the relationship between the Rockwood fraility score and time spent in care.  It shows a tendency for those who have been in care for longer to be assessed as more frail. The table should be read as a series of rows from left to right ('Rockwood frailty score' then 'less than 90 days in care' then '90-180 days in care' then 'more than 180 days in care' then 'total')."/>
      </w:tblPr>
      <w:tblGrid>
        <w:gridCol w:w="2529"/>
        <w:gridCol w:w="1632"/>
        <w:gridCol w:w="1633"/>
        <w:gridCol w:w="1633"/>
        <w:gridCol w:w="1633"/>
      </w:tblGrid>
      <w:tr w:rsidR="00636145" w:rsidRPr="00AA00FA" w14:paraId="6346123C" w14:textId="77777777" w:rsidTr="00636145">
        <w:trPr>
          <w:trHeight w:val="300"/>
          <w:tblHeader/>
        </w:trPr>
        <w:tc>
          <w:tcPr>
            <w:tcW w:w="1396" w:type="pct"/>
            <w:shd w:val="clear" w:color="auto" w:fill="D9D9D9" w:themeFill="background1" w:themeFillShade="D9"/>
            <w:noWrap/>
            <w:vAlign w:val="bottom"/>
            <w:hideMark/>
          </w:tcPr>
          <w:p w14:paraId="2ABD510C" w14:textId="77777777" w:rsidR="003954D2" w:rsidRPr="00AA00FA" w:rsidRDefault="00E3150A" w:rsidP="00F812EE">
            <w:pPr>
              <w:spacing w:before="40" w:after="40"/>
              <w:rPr>
                <w:rFonts w:ascii="Calibri" w:hAnsi="Calibri" w:cs="Calibri"/>
                <w:b/>
                <w:color w:val="000000"/>
                <w:sz w:val="20"/>
                <w:szCs w:val="20"/>
              </w:rPr>
            </w:pPr>
            <w:r w:rsidRPr="00AA00FA">
              <w:rPr>
                <w:rFonts w:ascii="Calibri" w:hAnsi="Calibri" w:cs="Calibri"/>
                <w:b/>
                <w:color w:val="000000"/>
                <w:sz w:val="20"/>
                <w:szCs w:val="20"/>
              </w:rPr>
              <w:t xml:space="preserve">Rockwood </w:t>
            </w:r>
            <w:r>
              <w:rPr>
                <w:rFonts w:ascii="Calibri" w:hAnsi="Calibri" w:cs="Calibri"/>
                <w:b/>
                <w:color w:val="000000"/>
                <w:sz w:val="20"/>
                <w:szCs w:val="20"/>
              </w:rPr>
              <w:t>f</w:t>
            </w:r>
            <w:r w:rsidRPr="00AA00FA">
              <w:rPr>
                <w:rFonts w:ascii="Calibri" w:hAnsi="Calibri" w:cs="Calibri"/>
                <w:b/>
                <w:color w:val="000000"/>
                <w:sz w:val="20"/>
                <w:szCs w:val="20"/>
              </w:rPr>
              <w:t xml:space="preserve">railty </w:t>
            </w:r>
            <w:r>
              <w:rPr>
                <w:rFonts w:ascii="Calibri" w:hAnsi="Calibri" w:cs="Calibri"/>
                <w:b/>
                <w:color w:val="000000"/>
                <w:sz w:val="20"/>
                <w:szCs w:val="20"/>
              </w:rPr>
              <w:t>s</w:t>
            </w:r>
            <w:r w:rsidRPr="00AA00FA">
              <w:rPr>
                <w:rFonts w:ascii="Calibri" w:hAnsi="Calibri" w:cs="Calibri"/>
                <w:b/>
                <w:color w:val="000000"/>
                <w:sz w:val="20"/>
                <w:szCs w:val="20"/>
              </w:rPr>
              <w:t>core</w:t>
            </w:r>
          </w:p>
        </w:tc>
        <w:tc>
          <w:tcPr>
            <w:tcW w:w="901" w:type="pct"/>
            <w:shd w:val="clear" w:color="auto" w:fill="D9D9D9" w:themeFill="background1" w:themeFillShade="D9"/>
            <w:noWrap/>
            <w:vAlign w:val="bottom"/>
            <w:hideMark/>
          </w:tcPr>
          <w:p w14:paraId="3BDB0A6F" w14:textId="6E98707A"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 xml:space="preserve">&lt; 90 days </w:t>
            </w:r>
            <w:r w:rsidR="001845EB">
              <w:rPr>
                <w:rFonts w:ascii="Calibri" w:hAnsi="Calibri" w:cs="Calibri"/>
                <w:b/>
                <w:color w:val="000000"/>
                <w:sz w:val="20"/>
                <w:szCs w:val="20"/>
              </w:rPr>
              <w:t xml:space="preserve">in care </w:t>
            </w:r>
            <w:r w:rsidRPr="00AA00FA">
              <w:rPr>
                <w:rFonts w:ascii="Calibri" w:hAnsi="Calibri" w:cs="Calibri"/>
                <w:b/>
                <w:color w:val="000000"/>
                <w:sz w:val="20"/>
                <w:szCs w:val="20"/>
              </w:rPr>
              <w:t>(n=117)</w:t>
            </w:r>
          </w:p>
        </w:tc>
        <w:tc>
          <w:tcPr>
            <w:tcW w:w="901" w:type="pct"/>
            <w:shd w:val="clear" w:color="auto" w:fill="D9D9D9" w:themeFill="background1" w:themeFillShade="D9"/>
            <w:noWrap/>
            <w:vAlign w:val="bottom"/>
            <w:hideMark/>
          </w:tcPr>
          <w:p w14:paraId="5D2C0C54" w14:textId="53DEEE1D"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90 -180 days</w:t>
            </w:r>
            <w:r w:rsidR="00636145">
              <w:rPr>
                <w:rFonts w:ascii="Calibri" w:hAnsi="Calibri" w:cs="Calibri"/>
                <w:b/>
                <w:color w:val="000000"/>
                <w:sz w:val="20"/>
                <w:szCs w:val="20"/>
              </w:rPr>
              <w:t xml:space="preserve"> in care</w:t>
            </w:r>
            <w:r w:rsidRPr="00AA00FA">
              <w:rPr>
                <w:rFonts w:ascii="Calibri" w:hAnsi="Calibri" w:cs="Calibri"/>
                <w:b/>
                <w:color w:val="000000"/>
                <w:sz w:val="20"/>
                <w:szCs w:val="20"/>
              </w:rPr>
              <w:t xml:space="preserve"> (n=137)</w:t>
            </w:r>
          </w:p>
        </w:tc>
        <w:tc>
          <w:tcPr>
            <w:tcW w:w="901" w:type="pct"/>
            <w:shd w:val="clear" w:color="auto" w:fill="D9D9D9" w:themeFill="background1" w:themeFillShade="D9"/>
            <w:noWrap/>
            <w:vAlign w:val="bottom"/>
            <w:hideMark/>
          </w:tcPr>
          <w:p w14:paraId="7DE1E1B5" w14:textId="396E425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&gt; 180 days</w:t>
            </w:r>
            <w:r w:rsidR="00636145">
              <w:rPr>
                <w:rFonts w:ascii="Calibri" w:hAnsi="Calibri" w:cs="Calibri"/>
                <w:b/>
                <w:color w:val="000000"/>
                <w:sz w:val="20"/>
                <w:szCs w:val="20"/>
              </w:rPr>
              <w:t xml:space="preserve"> in care</w:t>
            </w:r>
            <w:r w:rsidRPr="00AA00FA">
              <w:rPr>
                <w:rFonts w:ascii="Calibri" w:hAnsi="Calibri" w:cs="Calibri"/>
                <w:b/>
                <w:color w:val="000000"/>
                <w:sz w:val="20"/>
                <w:szCs w:val="20"/>
              </w:rPr>
              <w:t xml:space="preserve"> (n=1,600)</w:t>
            </w:r>
          </w:p>
        </w:tc>
        <w:tc>
          <w:tcPr>
            <w:tcW w:w="901" w:type="pct"/>
            <w:shd w:val="clear" w:color="auto" w:fill="D9D9D9" w:themeFill="background1" w:themeFillShade="D9"/>
            <w:noWrap/>
            <w:vAlign w:val="bottom"/>
            <w:hideMark/>
          </w:tcPr>
          <w:p w14:paraId="5D9CCBDF" w14:textId="77777777" w:rsidR="003954D2" w:rsidRPr="00AA00FA" w:rsidRDefault="00E3150A" w:rsidP="00F812EE">
            <w:pPr>
              <w:spacing w:before="40" w:after="40"/>
              <w:rPr>
                <w:rFonts w:ascii="Calibri" w:hAnsi="Calibri" w:cs="Calibri"/>
                <w:b/>
                <w:color w:val="000000"/>
                <w:sz w:val="20"/>
                <w:szCs w:val="20"/>
              </w:rPr>
            </w:pPr>
            <w:r w:rsidRPr="00AA00FA">
              <w:rPr>
                <w:rFonts w:ascii="Calibri" w:hAnsi="Calibri" w:cs="Calibri"/>
                <w:b/>
                <w:color w:val="000000"/>
                <w:sz w:val="20"/>
                <w:szCs w:val="20"/>
              </w:rPr>
              <w:t>Total</w:t>
            </w:r>
          </w:p>
        </w:tc>
      </w:tr>
      <w:tr w:rsidR="00636145" w:rsidRPr="00AA00FA" w14:paraId="489CA631" w14:textId="77777777" w:rsidTr="00636145">
        <w:trPr>
          <w:trHeight w:val="300"/>
        </w:trPr>
        <w:tc>
          <w:tcPr>
            <w:tcW w:w="1396" w:type="pct"/>
            <w:shd w:val="clear" w:color="auto" w:fill="auto"/>
            <w:noWrap/>
            <w:vAlign w:val="bottom"/>
            <w:hideMark/>
          </w:tcPr>
          <w:p w14:paraId="12367B0A"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1 Very fit</w:t>
            </w:r>
          </w:p>
        </w:tc>
        <w:tc>
          <w:tcPr>
            <w:tcW w:w="901" w:type="pct"/>
            <w:shd w:val="clear" w:color="auto" w:fill="auto"/>
            <w:noWrap/>
            <w:vAlign w:val="bottom"/>
            <w:hideMark/>
          </w:tcPr>
          <w:p w14:paraId="4F1AF00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2.6%</w:t>
            </w:r>
          </w:p>
        </w:tc>
        <w:tc>
          <w:tcPr>
            <w:tcW w:w="901" w:type="pct"/>
            <w:shd w:val="clear" w:color="auto" w:fill="auto"/>
            <w:noWrap/>
            <w:vAlign w:val="bottom"/>
            <w:hideMark/>
          </w:tcPr>
          <w:p w14:paraId="5777C5CA"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2.2%</w:t>
            </w:r>
          </w:p>
        </w:tc>
        <w:tc>
          <w:tcPr>
            <w:tcW w:w="901" w:type="pct"/>
            <w:shd w:val="clear" w:color="auto" w:fill="auto"/>
            <w:noWrap/>
            <w:vAlign w:val="bottom"/>
            <w:hideMark/>
          </w:tcPr>
          <w:p w14:paraId="28EBB086"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1.9%</w:t>
            </w:r>
          </w:p>
        </w:tc>
        <w:tc>
          <w:tcPr>
            <w:tcW w:w="901" w:type="pct"/>
            <w:shd w:val="clear" w:color="auto" w:fill="auto"/>
            <w:noWrap/>
            <w:vAlign w:val="bottom"/>
            <w:hideMark/>
          </w:tcPr>
          <w:p w14:paraId="74DFCBDC"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2.0%</w:t>
            </w:r>
          </w:p>
        </w:tc>
      </w:tr>
      <w:tr w:rsidR="00636145" w:rsidRPr="00AA00FA" w14:paraId="49E5F443" w14:textId="77777777" w:rsidTr="00636145">
        <w:trPr>
          <w:trHeight w:val="300"/>
        </w:trPr>
        <w:tc>
          <w:tcPr>
            <w:tcW w:w="1396" w:type="pct"/>
            <w:shd w:val="clear" w:color="auto" w:fill="auto"/>
            <w:noWrap/>
            <w:vAlign w:val="bottom"/>
            <w:hideMark/>
          </w:tcPr>
          <w:p w14:paraId="3CA0759A"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2 Well</w:t>
            </w:r>
          </w:p>
        </w:tc>
        <w:tc>
          <w:tcPr>
            <w:tcW w:w="901" w:type="pct"/>
            <w:shd w:val="clear" w:color="auto" w:fill="auto"/>
            <w:noWrap/>
            <w:vAlign w:val="bottom"/>
            <w:hideMark/>
          </w:tcPr>
          <w:p w14:paraId="72CC5994"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7.7%</w:t>
            </w:r>
          </w:p>
        </w:tc>
        <w:tc>
          <w:tcPr>
            <w:tcW w:w="901" w:type="pct"/>
            <w:shd w:val="clear" w:color="auto" w:fill="auto"/>
            <w:noWrap/>
            <w:vAlign w:val="bottom"/>
            <w:hideMark/>
          </w:tcPr>
          <w:p w14:paraId="24956B4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5.1%</w:t>
            </w:r>
          </w:p>
        </w:tc>
        <w:tc>
          <w:tcPr>
            <w:tcW w:w="901" w:type="pct"/>
            <w:shd w:val="clear" w:color="auto" w:fill="auto"/>
            <w:noWrap/>
            <w:vAlign w:val="bottom"/>
            <w:hideMark/>
          </w:tcPr>
          <w:p w14:paraId="1341DEB6"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3.2%</w:t>
            </w:r>
          </w:p>
        </w:tc>
        <w:tc>
          <w:tcPr>
            <w:tcW w:w="901" w:type="pct"/>
            <w:shd w:val="clear" w:color="auto" w:fill="auto"/>
            <w:noWrap/>
            <w:vAlign w:val="bottom"/>
            <w:hideMark/>
          </w:tcPr>
          <w:p w14:paraId="6109A403"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3.6%</w:t>
            </w:r>
          </w:p>
        </w:tc>
      </w:tr>
      <w:tr w:rsidR="00636145" w:rsidRPr="00AA00FA" w14:paraId="38970757" w14:textId="77777777" w:rsidTr="00636145">
        <w:trPr>
          <w:trHeight w:val="300"/>
        </w:trPr>
        <w:tc>
          <w:tcPr>
            <w:tcW w:w="1396" w:type="pct"/>
            <w:shd w:val="clear" w:color="auto" w:fill="auto"/>
            <w:noWrap/>
            <w:vAlign w:val="bottom"/>
            <w:hideMark/>
          </w:tcPr>
          <w:p w14:paraId="15D87AC5"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3 Well, comorb</w:t>
            </w:r>
            <w:r>
              <w:rPr>
                <w:rFonts w:ascii="Calibri" w:hAnsi="Calibri" w:cs="Calibri"/>
                <w:color w:val="000000"/>
                <w:sz w:val="20"/>
                <w:szCs w:val="20"/>
              </w:rPr>
              <w:t>id</w:t>
            </w:r>
            <w:r w:rsidRPr="00AA00FA">
              <w:rPr>
                <w:rFonts w:ascii="Calibri" w:hAnsi="Calibri" w:cs="Calibri"/>
                <w:color w:val="000000"/>
                <w:sz w:val="20"/>
                <w:szCs w:val="20"/>
              </w:rPr>
              <w:t xml:space="preserve"> disease</w:t>
            </w:r>
          </w:p>
        </w:tc>
        <w:tc>
          <w:tcPr>
            <w:tcW w:w="901" w:type="pct"/>
            <w:shd w:val="clear" w:color="auto" w:fill="auto"/>
            <w:noWrap/>
            <w:vAlign w:val="bottom"/>
            <w:hideMark/>
          </w:tcPr>
          <w:p w14:paraId="2CEA9589"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8.5%</w:t>
            </w:r>
          </w:p>
        </w:tc>
        <w:tc>
          <w:tcPr>
            <w:tcW w:w="901" w:type="pct"/>
            <w:shd w:val="clear" w:color="auto" w:fill="auto"/>
            <w:noWrap/>
            <w:vAlign w:val="bottom"/>
            <w:hideMark/>
          </w:tcPr>
          <w:p w14:paraId="3E776490"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8.0%</w:t>
            </w:r>
          </w:p>
        </w:tc>
        <w:tc>
          <w:tcPr>
            <w:tcW w:w="901" w:type="pct"/>
            <w:shd w:val="clear" w:color="auto" w:fill="auto"/>
            <w:noWrap/>
            <w:vAlign w:val="bottom"/>
            <w:hideMark/>
          </w:tcPr>
          <w:p w14:paraId="0559C035"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6.7%</w:t>
            </w:r>
          </w:p>
        </w:tc>
        <w:tc>
          <w:tcPr>
            <w:tcW w:w="901" w:type="pct"/>
            <w:shd w:val="clear" w:color="auto" w:fill="auto"/>
            <w:noWrap/>
            <w:vAlign w:val="bottom"/>
            <w:hideMark/>
          </w:tcPr>
          <w:p w14:paraId="5F2F6733"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6.9%</w:t>
            </w:r>
          </w:p>
        </w:tc>
      </w:tr>
      <w:tr w:rsidR="00636145" w:rsidRPr="00AA00FA" w14:paraId="466E7035" w14:textId="77777777" w:rsidTr="00636145">
        <w:trPr>
          <w:trHeight w:val="300"/>
        </w:trPr>
        <w:tc>
          <w:tcPr>
            <w:tcW w:w="1396" w:type="pct"/>
            <w:shd w:val="clear" w:color="auto" w:fill="auto"/>
            <w:noWrap/>
            <w:vAlign w:val="bottom"/>
            <w:hideMark/>
          </w:tcPr>
          <w:p w14:paraId="15015918"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4 App. vulnerable</w:t>
            </w:r>
          </w:p>
        </w:tc>
        <w:tc>
          <w:tcPr>
            <w:tcW w:w="901" w:type="pct"/>
            <w:shd w:val="clear" w:color="auto" w:fill="auto"/>
            <w:noWrap/>
            <w:vAlign w:val="bottom"/>
            <w:hideMark/>
          </w:tcPr>
          <w:p w14:paraId="6FC3A1F1"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12.8%</w:t>
            </w:r>
          </w:p>
        </w:tc>
        <w:tc>
          <w:tcPr>
            <w:tcW w:w="901" w:type="pct"/>
            <w:shd w:val="clear" w:color="auto" w:fill="auto"/>
            <w:noWrap/>
            <w:vAlign w:val="bottom"/>
            <w:hideMark/>
          </w:tcPr>
          <w:p w14:paraId="3F288B8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5.8%</w:t>
            </w:r>
          </w:p>
        </w:tc>
        <w:tc>
          <w:tcPr>
            <w:tcW w:w="901" w:type="pct"/>
            <w:shd w:val="clear" w:color="auto" w:fill="auto"/>
            <w:noWrap/>
            <w:vAlign w:val="bottom"/>
            <w:hideMark/>
          </w:tcPr>
          <w:p w14:paraId="117E2A0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9.8%</w:t>
            </w:r>
          </w:p>
        </w:tc>
        <w:tc>
          <w:tcPr>
            <w:tcW w:w="901" w:type="pct"/>
            <w:shd w:val="clear" w:color="auto" w:fill="auto"/>
            <w:noWrap/>
            <w:vAlign w:val="bottom"/>
            <w:hideMark/>
          </w:tcPr>
          <w:p w14:paraId="301F939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9.7%</w:t>
            </w:r>
          </w:p>
        </w:tc>
      </w:tr>
      <w:tr w:rsidR="00636145" w:rsidRPr="00AA00FA" w14:paraId="3E240C0F" w14:textId="77777777" w:rsidTr="00636145">
        <w:trPr>
          <w:trHeight w:val="300"/>
        </w:trPr>
        <w:tc>
          <w:tcPr>
            <w:tcW w:w="1396" w:type="pct"/>
            <w:shd w:val="clear" w:color="auto" w:fill="auto"/>
            <w:noWrap/>
            <w:vAlign w:val="bottom"/>
            <w:hideMark/>
          </w:tcPr>
          <w:p w14:paraId="15D3855C"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5 Mildly frail</w:t>
            </w:r>
          </w:p>
        </w:tc>
        <w:tc>
          <w:tcPr>
            <w:tcW w:w="901" w:type="pct"/>
            <w:shd w:val="clear" w:color="auto" w:fill="auto"/>
            <w:noWrap/>
            <w:vAlign w:val="bottom"/>
            <w:hideMark/>
          </w:tcPr>
          <w:p w14:paraId="6EAFE7AC"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22.2%</w:t>
            </w:r>
          </w:p>
        </w:tc>
        <w:tc>
          <w:tcPr>
            <w:tcW w:w="901" w:type="pct"/>
            <w:shd w:val="clear" w:color="auto" w:fill="auto"/>
            <w:noWrap/>
            <w:vAlign w:val="bottom"/>
            <w:hideMark/>
          </w:tcPr>
          <w:p w14:paraId="6D5795BC"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15.3%</w:t>
            </w:r>
          </w:p>
        </w:tc>
        <w:tc>
          <w:tcPr>
            <w:tcW w:w="901" w:type="pct"/>
            <w:shd w:val="clear" w:color="auto" w:fill="auto"/>
            <w:noWrap/>
            <w:vAlign w:val="bottom"/>
            <w:hideMark/>
          </w:tcPr>
          <w:p w14:paraId="54184EFF"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15.1%</w:t>
            </w:r>
          </w:p>
        </w:tc>
        <w:tc>
          <w:tcPr>
            <w:tcW w:w="901" w:type="pct"/>
            <w:shd w:val="clear" w:color="auto" w:fill="auto"/>
            <w:noWrap/>
            <w:vAlign w:val="bottom"/>
            <w:hideMark/>
          </w:tcPr>
          <w:p w14:paraId="439B76A9"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15.5%</w:t>
            </w:r>
          </w:p>
        </w:tc>
      </w:tr>
      <w:tr w:rsidR="00636145" w:rsidRPr="00AA00FA" w14:paraId="768EE28B" w14:textId="77777777" w:rsidTr="00636145">
        <w:trPr>
          <w:trHeight w:val="300"/>
        </w:trPr>
        <w:tc>
          <w:tcPr>
            <w:tcW w:w="1396" w:type="pct"/>
            <w:shd w:val="clear" w:color="auto" w:fill="auto"/>
            <w:noWrap/>
            <w:vAlign w:val="bottom"/>
            <w:hideMark/>
          </w:tcPr>
          <w:p w14:paraId="07EF6D0D"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6 Moderately frail</w:t>
            </w:r>
          </w:p>
        </w:tc>
        <w:tc>
          <w:tcPr>
            <w:tcW w:w="901" w:type="pct"/>
            <w:shd w:val="clear" w:color="auto" w:fill="auto"/>
            <w:noWrap/>
            <w:vAlign w:val="bottom"/>
            <w:hideMark/>
          </w:tcPr>
          <w:p w14:paraId="073737C9"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18.8%</w:t>
            </w:r>
          </w:p>
        </w:tc>
        <w:tc>
          <w:tcPr>
            <w:tcW w:w="901" w:type="pct"/>
            <w:shd w:val="clear" w:color="auto" w:fill="auto"/>
            <w:noWrap/>
            <w:vAlign w:val="bottom"/>
            <w:hideMark/>
          </w:tcPr>
          <w:p w14:paraId="6C63C600"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26.3%</w:t>
            </w:r>
          </w:p>
        </w:tc>
        <w:tc>
          <w:tcPr>
            <w:tcW w:w="901" w:type="pct"/>
            <w:shd w:val="clear" w:color="auto" w:fill="auto"/>
            <w:noWrap/>
            <w:vAlign w:val="bottom"/>
            <w:hideMark/>
          </w:tcPr>
          <w:p w14:paraId="4AAFDFBE"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23.3%</w:t>
            </w:r>
          </w:p>
        </w:tc>
        <w:tc>
          <w:tcPr>
            <w:tcW w:w="901" w:type="pct"/>
            <w:shd w:val="clear" w:color="auto" w:fill="auto"/>
            <w:noWrap/>
            <w:vAlign w:val="bottom"/>
            <w:hideMark/>
          </w:tcPr>
          <w:p w14:paraId="58274BAC"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23.2%</w:t>
            </w:r>
          </w:p>
        </w:tc>
      </w:tr>
      <w:tr w:rsidR="00636145" w:rsidRPr="00AA00FA" w14:paraId="3276655D" w14:textId="77777777" w:rsidTr="00636145">
        <w:trPr>
          <w:trHeight w:val="300"/>
        </w:trPr>
        <w:tc>
          <w:tcPr>
            <w:tcW w:w="1396" w:type="pct"/>
            <w:shd w:val="clear" w:color="auto" w:fill="auto"/>
            <w:noWrap/>
            <w:vAlign w:val="bottom"/>
            <w:hideMark/>
          </w:tcPr>
          <w:p w14:paraId="6295DF43"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7 Severely frail</w:t>
            </w:r>
          </w:p>
        </w:tc>
        <w:tc>
          <w:tcPr>
            <w:tcW w:w="901" w:type="pct"/>
            <w:shd w:val="clear" w:color="auto" w:fill="auto"/>
            <w:noWrap/>
            <w:vAlign w:val="bottom"/>
            <w:hideMark/>
          </w:tcPr>
          <w:p w14:paraId="2AA2F56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22.2%</w:t>
            </w:r>
          </w:p>
        </w:tc>
        <w:tc>
          <w:tcPr>
            <w:tcW w:w="901" w:type="pct"/>
            <w:shd w:val="clear" w:color="auto" w:fill="auto"/>
            <w:noWrap/>
            <w:vAlign w:val="bottom"/>
            <w:hideMark/>
          </w:tcPr>
          <w:p w14:paraId="48ADC8D0"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32.1%</w:t>
            </w:r>
          </w:p>
        </w:tc>
        <w:tc>
          <w:tcPr>
            <w:tcW w:w="901" w:type="pct"/>
            <w:shd w:val="clear" w:color="auto" w:fill="auto"/>
            <w:noWrap/>
            <w:vAlign w:val="bottom"/>
            <w:hideMark/>
          </w:tcPr>
          <w:p w14:paraId="4DFD9D37"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32.3%</w:t>
            </w:r>
          </w:p>
        </w:tc>
        <w:tc>
          <w:tcPr>
            <w:tcW w:w="901" w:type="pct"/>
            <w:shd w:val="clear" w:color="auto" w:fill="auto"/>
            <w:noWrap/>
            <w:vAlign w:val="bottom"/>
            <w:hideMark/>
          </w:tcPr>
          <w:p w14:paraId="15853607"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31.6%</w:t>
            </w:r>
          </w:p>
        </w:tc>
      </w:tr>
      <w:tr w:rsidR="00636145" w:rsidRPr="00AA00FA" w14:paraId="76C1D24D" w14:textId="77777777" w:rsidTr="00636145">
        <w:trPr>
          <w:trHeight w:val="300"/>
        </w:trPr>
        <w:tc>
          <w:tcPr>
            <w:tcW w:w="1396" w:type="pct"/>
            <w:shd w:val="clear" w:color="auto" w:fill="auto"/>
            <w:noWrap/>
            <w:vAlign w:val="bottom"/>
            <w:hideMark/>
          </w:tcPr>
          <w:p w14:paraId="031B6AD1"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8 Very severely frail</w:t>
            </w:r>
          </w:p>
        </w:tc>
        <w:tc>
          <w:tcPr>
            <w:tcW w:w="901" w:type="pct"/>
            <w:shd w:val="clear" w:color="auto" w:fill="auto"/>
            <w:noWrap/>
            <w:vAlign w:val="bottom"/>
            <w:hideMark/>
          </w:tcPr>
          <w:p w14:paraId="4DDD9916"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5.1%</w:t>
            </w:r>
          </w:p>
        </w:tc>
        <w:tc>
          <w:tcPr>
            <w:tcW w:w="901" w:type="pct"/>
            <w:shd w:val="clear" w:color="auto" w:fill="auto"/>
            <w:noWrap/>
            <w:vAlign w:val="bottom"/>
            <w:hideMark/>
          </w:tcPr>
          <w:p w14:paraId="4946AD92"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5.1%</w:t>
            </w:r>
          </w:p>
        </w:tc>
        <w:tc>
          <w:tcPr>
            <w:tcW w:w="901" w:type="pct"/>
            <w:shd w:val="clear" w:color="auto" w:fill="auto"/>
            <w:noWrap/>
            <w:vAlign w:val="bottom"/>
            <w:hideMark/>
          </w:tcPr>
          <w:p w14:paraId="377D9CF2"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7.5%</w:t>
            </w:r>
          </w:p>
        </w:tc>
        <w:tc>
          <w:tcPr>
            <w:tcW w:w="901" w:type="pct"/>
            <w:shd w:val="clear" w:color="auto" w:fill="auto"/>
            <w:noWrap/>
            <w:vAlign w:val="bottom"/>
            <w:hideMark/>
          </w:tcPr>
          <w:p w14:paraId="68FAC0C2"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7.2%</w:t>
            </w:r>
          </w:p>
        </w:tc>
      </w:tr>
      <w:tr w:rsidR="00636145" w:rsidRPr="00AA00FA" w14:paraId="7B8D11D5" w14:textId="77777777" w:rsidTr="00636145">
        <w:trPr>
          <w:trHeight w:val="300"/>
        </w:trPr>
        <w:tc>
          <w:tcPr>
            <w:tcW w:w="1396" w:type="pct"/>
            <w:shd w:val="clear" w:color="auto" w:fill="auto"/>
            <w:noWrap/>
            <w:vAlign w:val="bottom"/>
            <w:hideMark/>
          </w:tcPr>
          <w:p w14:paraId="04ADCF89" w14:textId="77777777" w:rsidR="003954D2" w:rsidRPr="00AA00FA" w:rsidRDefault="003954D2" w:rsidP="00F812EE">
            <w:pPr>
              <w:spacing w:before="40" w:after="40"/>
              <w:rPr>
                <w:rFonts w:ascii="Calibri" w:hAnsi="Calibri" w:cs="Calibri"/>
                <w:color w:val="000000"/>
                <w:sz w:val="20"/>
                <w:szCs w:val="20"/>
              </w:rPr>
            </w:pPr>
            <w:r w:rsidRPr="00AA00FA">
              <w:rPr>
                <w:rFonts w:ascii="Calibri" w:hAnsi="Calibri" w:cs="Calibri"/>
                <w:color w:val="000000"/>
                <w:sz w:val="20"/>
                <w:szCs w:val="20"/>
              </w:rPr>
              <w:t>9 Terminally ill</w:t>
            </w:r>
          </w:p>
        </w:tc>
        <w:tc>
          <w:tcPr>
            <w:tcW w:w="901" w:type="pct"/>
            <w:tcBorders>
              <w:bottom w:val="single" w:sz="4" w:space="0" w:color="auto"/>
            </w:tcBorders>
            <w:shd w:val="clear" w:color="auto" w:fill="auto"/>
            <w:noWrap/>
            <w:vAlign w:val="bottom"/>
            <w:hideMark/>
          </w:tcPr>
          <w:p w14:paraId="1AFF5C1D"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0.0%</w:t>
            </w:r>
          </w:p>
        </w:tc>
        <w:tc>
          <w:tcPr>
            <w:tcW w:w="901" w:type="pct"/>
            <w:tcBorders>
              <w:bottom w:val="single" w:sz="4" w:space="0" w:color="auto"/>
            </w:tcBorders>
            <w:shd w:val="clear" w:color="auto" w:fill="auto"/>
            <w:noWrap/>
            <w:vAlign w:val="bottom"/>
            <w:hideMark/>
          </w:tcPr>
          <w:p w14:paraId="517D97DB"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0.0%</w:t>
            </w:r>
          </w:p>
        </w:tc>
        <w:tc>
          <w:tcPr>
            <w:tcW w:w="901" w:type="pct"/>
            <w:tcBorders>
              <w:bottom w:val="single" w:sz="4" w:space="0" w:color="auto"/>
            </w:tcBorders>
            <w:shd w:val="clear" w:color="auto" w:fill="auto"/>
            <w:noWrap/>
            <w:vAlign w:val="bottom"/>
            <w:hideMark/>
          </w:tcPr>
          <w:p w14:paraId="5A3785CC"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0.3%</w:t>
            </w:r>
          </w:p>
        </w:tc>
        <w:tc>
          <w:tcPr>
            <w:tcW w:w="901" w:type="pct"/>
            <w:tcBorders>
              <w:bottom w:val="single" w:sz="4" w:space="0" w:color="auto"/>
            </w:tcBorders>
            <w:shd w:val="clear" w:color="auto" w:fill="auto"/>
            <w:noWrap/>
            <w:vAlign w:val="bottom"/>
            <w:hideMark/>
          </w:tcPr>
          <w:p w14:paraId="1F14C9C3" w14:textId="77777777" w:rsidR="003954D2" w:rsidRPr="00AA00FA" w:rsidRDefault="003954D2" w:rsidP="00F812EE">
            <w:pPr>
              <w:spacing w:before="40" w:after="40"/>
              <w:jc w:val="right"/>
              <w:rPr>
                <w:rFonts w:ascii="Calibri" w:hAnsi="Calibri" w:cs="Calibri"/>
                <w:color w:val="000000"/>
                <w:sz w:val="20"/>
                <w:szCs w:val="20"/>
              </w:rPr>
            </w:pPr>
            <w:r w:rsidRPr="00AA00FA">
              <w:rPr>
                <w:rFonts w:ascii="Calibri" w:hAnsi="Calibri" w:cs="Calibri"/>
                <w:color w:val="000000"/>
                <w:sz w:val="20"/>
                <w:szCs w:val="20"/>
              </w:rPr>
              <w:t>0.2%</w:t>
            </w:r>
          </w:p>
        </w:tc>
      </w:tr>
      <w:tr w:rsidR="00636145" w:rsidRPr="00AA00FA" w14:paraId="467DE649" w14:textId="77777777" w:rsidTr="00636145">
        <w:trPr>
          <w:trHeight w:val="300"/>
        </w:trPr>
        <w:tc>
          <w:tcPr>
            <w:tcW w:w="1396" w:type="pct"/>
            <w:shd w:val="clear" w:color="auto" w:fill="auto"/>
            <w:noWrap/>
            <w:vAlign w:val="bottom"/>
            <w:hideMark/>
          </w:tcPr>
          <w:p w14:paraId="6DF209F8" w14:textId="77777777" w:rsidR="003954D2" w:rsidRPr="00AA00FA" w:rsidRDefault="003954D2" w:rsidP="00F812EE">
            <w:pPr>
              <w:spacing w:before="36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901" w:type="pct"/>
            <w:shd w:val="clear" w:color="auto" w:fill="auto"/>
            <w:noWrap/>
            <w:vAlign w:val="bottom"/>
            <w:hideMark/>
          </w:tcPr>
          <w:p w14:paraId="79755704"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100.0%</w:t>
            </w:r>
          </w:p>
        </w:tc>
        <w:tc>
          <w:tcPr>
            <w:tcW w:w="901" w:type="pct"/>
            <w:shd w:val="clear" w:color="auto" w:fill="auto"/>
            <w:noWrap/>
            <w:vAlign w:val="bottom"/>
            <w:hideMark/>
          </w:tcPr>
          <w:p w14:paraId="25983242"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100.0%</w:t>
            </w:r>
          </w:p>
        </w:tc>
        <w:tc>
          <w:tcPr>
            <w:tcW w:w="901" w:type="pct"/>
            <w:shd w:val="clear" w:color="auto" w:fill="auto"/>
            <w:noWrap/>
            <w:vAlign w:val="bottom"/>
            <w:hideMark/>
          </w:tcPr>
          <w:p w14:paraId="5ACCE6EA"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100.0%</w:t>
            </w:r>
          </w:p>
        </w:tc>
        <w:tc>
          <w:tcPr>
            <w:tcW w:w="901" w:type="pct"/>
            <w:shd w:val="clear" w:color="auto" w:fill="auto"/>
            <w:noWrap/>
            <w:vAlign w:val="bottom"/>
            <w:hideMark/>
          </w:tcPr>
          <w:p w14:paraId="01C39027" w14:textId="77777777" w:rsidR="003954D2" w:rsidRPr="00AA00FA" w:rsidRDefault="003954D2" w:rsidP="00F812E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100.0%</w:t>
            </w:r>
          </w:p>
        </w:tc>
      </w:tr>
    </w:tbl>
    <w:p w14:paraId="66F84840" w14:textId="77777777" w:rsidR="00AC2F3B" w:rsidRDefault="00AC2F3B" w:rsidP="00AC2F3B">
      <w:pPr>
        <w:pStyle w:val="Normal-nospacing"/>
        <w:rPr>
          <w:b/>
        </w:rPr>
      </w:pPr>
      <w:r w:rsidRPr="00404FC5">
        <w:t xml:space="preserve">In </w:t>
      </w:r>
      <w:r w:rsidRPr="00404FC5">
        <w:rPr>
          <w:b/>
        </w:rPr>
        <w:fldChar w:fldCharType="begin"/>
      </w:r>
      <w:r w:rsidRPr="00404FC5">
        <w:instrText xml:space="preserve"> REF _Ref525226954 \h </w:instrText>
      </w:r>
      <w:r>
        <w:instrText xml:space="preserve"> \* MERGEFORMAT </w:instrText>
      </w:r>
      <w:r w:rsidRPr="00404FC5">
        <w:rPr>
          <w:b/>
        </w:rPr>
      </w:r>
      <w:r w:rsidRPr="00404FC5">
        <w:rPr>
          <w:b/>
        </w:rPr>
        <w:fldChar w:fldCharType="separate"/>
      </w:r>
      <w:r w:rsidR="00EE18C8">
        <w:t xml:space="preserve">Table </w:t>
      </w:r>
      <w:r w:rsidR="00EE18C8">
        <w:rPr>
          <w:noProof/>
        </w:rPr>
        <w:t>6</w:t>
      </w:r>
      <w:r w:rsidRPr="00404FC5">
        <w:rPr>
          <w:b/>
        </w:rPr>
        <w:fldChar w:fldCharType="end"/>
      </w:r>
      <w:r w:rsidRPr="00404FC5">
        <w:t xml:space="preserve"> and </w:t>
      </w:r>
      <w:r>
        <w:t xml:space="preserve">Table </w:t>
      </w:r>
      <w:r w:rsidRPr="00404FC5">
        <w:t xml:space="preserve">7 the relationship between the Rockwood </w:t>
      </w:r>
      <w:r>
        <w:t>f</w:t>
      </w:r>
      <w:r w:rsidRPr="00404FC5">
        <w:t xml:space="preserve">railty </w:t>
      </w:r>
      <w:r>
        <w:t>s</w:t>
      </w:r>
      <w:r w:rsidRPr="00404FC5">
        <w:t xml:space="preserve">core and other variables in the dataset are shown. Frailty could be expected to vary, perhaps to increase, as time in residential care increases. The relationship between the Rockwood </w:t>
      </w:r>
      <w:r>
        <w:t>f</w:t>
      </w:r>
      <w:r w:rsidRPr="00404FC5">
        <w:t xml:space="preserve">railty </w:t>
      </w:r>
      <w:r>
        <w:t>s</w:t>
      </w:r>
      <w:r w:rsidRPr="00404FC5">
        <w:t xml:space="preserve">core and time in care is shown in </w:t>
      </w:r>
      <w:r w:rsidRPr="00404FC5">
        <w:rPr>
          <w:b/>
        </w:rPr>
        <w:fldChar w:fldCharType="begin"/>
      </w:r>
      <w:r w:rsidRPr="00404FC5">
        <w:instrText xml:space="preserve"> REF _Ref525226954 \h </w:instrText>
      </w:r>
      <w:r>
        <w:instrText xml:space="preserve"> \* MERGEFORMAT </w:instrText>
      </w:r>
      <w:r w:rsidRPr="00404FC5">
        <w:rPr>
          <w:b/>
        </w:rPr>
      </w:r>
      <w:r w:rsidRPr="00404FC5">
        <w:rPr>
          <w:b/>
        </w:rPr>
        <w:fldChar w:fldCharType="separate"/>
      </w:r>
      <w:r w:rsidR="00EE18C8">
        <w:t xml:space="preserve">Table </w:t>
      </w:r>
      <w:r w:rsidR="00EE18C8">
        <w:rPr>
          <w:noProof/>
        </w:rPr>
        <w:t>6</w:t>
      </w:r>
      <w:r w:rsidRPr="00404FC5">
        <w:rPr>
          <w:b/>
        </w:rPr>
        <w:fldChar w:fldCharType="end"/>
      </w:r>
      <w:r w:rsidRPr="00404FC5">
        <w:t>.</w:t>
      </w:r>
    </w:p>
    <w:p w14:paraId="5DF8A5E6" w14:textId="77777777" w:rsidR="00DA52FA" w:rsidRDefault="00B3260C" w:rsidP="00AC2F3B">
      <w:pPr>
        <w:pStyle w:val="Normal-nospacing"/>
      </w:pPr>
      <w:r w:rsidRPr="00AE135F">
        <w:t>Three different time periods in residential care are shown. Indeed, it does appear that, generally, there is a tendency for those who have been in care for longer to be assessed as more frail.</w:t>
      </w:r>
    </w:p>
    <w:p w14:paraId="270162EA" w14:textId="77777777" w:rsidR="007F45FD" w:rsidRDefault="00DA52FA" w:rsidP="00AC2F3B">
      <w:pPr>
        <w:pStyle w:val="Normal-nospacing"/>
      </w:pPr>
      <w:r>
        <w:t xml:space="preserve">In Table 7 </w:t>
      </w:r>
      <w:r w:rsidR="00B3260C">
        <w:t xml:space="preserve">the overall ability to perform activities of daily living measured by the AKPS is presented by frailty group. There is a positive correlation between the two measures with, </w:t>
      </w:r>
      <w:r w:rsidR="00B3260C">
        <w:lastRenderedPageBreak/>
        <w:t>not surprisingly, those rated as well and fit scoring highe</w:t>
      </w:r>
      <w:r w:rsidR="006D4F2E">
        <w:t>r on their ability to undertake activities of daily living (ADL</w:t>
      </w:r>
      <w:r w:rsidR="00B3260C">
        <w:t>s</w:t>
      </w:r>
      <w:r w:rsidR="006D4F2E">
        <w:t>)</w:t>
      </w:r>
      <w:r w:rsidR="00B3260C">
        <w:t>. Of those residents scoring 50 or less on the AKPS, 81% were rated as moderately (or more) frail with a score of six or more</w:t>
      </w:r>
      <w:r w:rsidR="00CF26D2">
        <w:t xml:space="preserve"> on the Rockwood </w:t>
      </w:r>
      <w:r w:rsidR="00AE7A80">
        <w:t>F</w:t>
      </w:r>
      <w:r w:rsidR="00CF26D2">
        <w:t xml:space="preserve">railty </w:t>
      </w:r>
      <w:r w:rsidR="00AE7A80">
        <w:t>S</w:t>
      </w:r>
      <w:r w:rsidR="00CF26D2">
        <w:t>cale.</w:t>
      </w:r>
      <w:bookmarkStart w:id="79" w:name="_Ref525226960"/>
    </w:p>
    <w:p w14:paraId="7B3C763C" w14:textId="77777777" w:rsidR="00B3260C" w:rsidRDefault="00B3260C" w:rsidP="00B3260C">
      <w:pPr>
        <w:pStyle w:val="Caption"/>
      </w:pPr>
      <w:bookmarkStart w:id="80" w:name="_Toc2065669"/>
      <w:r>
        <w:t xml:space="preserve">Table </w:t>
      </w:r>
      <w:r>
        <w:rPr>
          <w:noProof/>
        </w:rPr>
        <w:fldChar w:fldCharType="begin"/>
      </w:r>
      <w:r>
        <w:rPr>
          <w:noProof/>
        </w:rPr>
        <w:instrText xml:space="preserve"> SEQ Table \* ARABIC </w:instrText>
      </w:r>
      <w:r>
        <w:rPr>
          <w:noProof/>
        </w:rPr>
        <w:fldChar w:fldCharType="separate"/>
      </w:r>
      <w:r w:rsidR="00EE18C8">
        <w:rPr>
          <w:noProof/>
        </w:rPr>
        <w:t>7</w:t>
      </w:r>
      <w:r>
        <w:rPr>
          <w:noProof/>
        </w:rPr>
        <w:fldChar w:fldCharType="end"/>
      </w:r>
      <w:bookmarkEnd w:id="79"/>
      <w:r w:rsidR="00CF61F8">
        <w:rPr>
          <w:noProof/>
        </w:rPr>
        <w:t xml:space="preserve"> </w:t>
      </w:r>
      <w:r w:rsidR="00FB05DE">
        <w:rPr>
          <w:noProof/>
        </w:rPr>
        <w:tab/>
      </w:r>
      <w:r>
        <w:t>Rockwood by AKPS (residents with missing scores excluded)</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ckwood by AKPS (residents with missing scores excluded)"/>
        <w:tblDescription w:val="In Table 7 the overall ability to perform activities of daily living measured by the AKPS is presented by frailty group. It shows a positive correlation between the two measures. The table should be read as a series of rows from left to right('Rockwood frailty score' then the AKPS scores in order from 10 through to 100 then 'total')."/>
      </w:tblPr>
      <w:tblGrid>
        <w:gridCol w:w="2318"/>
        <w:gridCol w:w="884"/>
        <w:gridCol w:w="564"/>
        <w:gridCol w:w="564"/>
        <w:gridCol w:w="564"/>
        <w:gridCol w:w="564"/>
        <w:gridCol w:w="564"/>
        <w:gridCol w:w="564"/>
        <w:gridCol w:w="564"/>
        <w:gridCol w:w="564"/>
        <w:gridCol w:w="565"/>
        <w:gridCol w:w="781"/>
      </w:tblGrid>
      <w:tr w:rsidR="00B3260C" w:rsidRPr="00AA00FA" w14:paraId="453F08B5" w14:textId="77777777" w:rsidTr="006E091C">
        <w:trPr>
          <w:trHeight w:val="300"/>
          <w:tblHeader/>
        </w:trPr>
        <w:tc>
          <w:tcPr>
            <w:tcW w:w="1279" w:type="pct"/>
            <w:shd w:val="clear" w:color="auto" w:fill="D9D9D9" w:themeFill="background1" w:themeFillShade="D9"/>
            <w:noWrap/>
            <w:vAlign w:val="bottom"/>
            <w:hideMark/>
          </w:tcPr>
          <w:p w14:paraId="27D7A759" w14:textId="77777777" w:rsidR="00B3260C" w:rsidRPr="00AA00FA" w:rsidRDefault="00B3260C" w:rsidP="00AE7A80">
            <w:pPr>
              <w:spacing w:before="40" w:after="40"/>
              <w:rPr>
                <w:rFonts w:ascii="Calibri" w:hAnsi="Calibri" w:cs="Calibri"/>
                <w:b/>
                <w:color w:val="000000"/>
                <w:sz w:val="20"/>
                <w:szCs w:val="20"/>
              </w:rPr>
            </w:pPr>
            <w:r w:rsidRPr="00AA00FA">
              <w:rPr>
                <w:rFonts w:ascii="Calibri" w:hAnsi="Calibri" w:cs="Calibri"/>
                <w:b/>
                <w:color w:val="000000"/>
                <w:sz w:val="20"/>
                <w:szCs w:val="20"/>
              </w:rPr>
              <w:t xml:space="preserve">Rockwood </w:t>
            </w:r>
            <w:r w:rsidR="00B82914">
              <w:rPr>
                <w:rFonts w:ascii="Calibri" w:hAnsi="Calibri" w:cs="Calibri"/>
                <w:b/>
                <w:color w:val="000000"/>
                <w:sz w:val="20"/>
                <w:szCs w:val="20"/>
              </w:rPr>
              <w:t>f</w:t>
            </w:r>
            <w:r w:rsidRPr="00AA00FA">
              <w:rPr>
                <w:rFonts w:ascii="Calibri" w:hAnsi="Calibri" w:cs="Calibri"/>
                <w:b/>
                <w:color w:val="000000"/>
                <w:sz w:val="20"/>
                <w:szCs w:val="20"/>
              </w:rPr>
              <w:t xml:space="preserve">railty </w:t>
            </w:r>
            <w:r w:rsidR="00B82914">
              <w:rPr>
                <w:rFonts w:ascii="Calibri" w:hAnsi="Calibri" w:cs="Calibri"/>
                <w:b/>
                <w:color w:val="000000"/>
                <w:sz w:val="20"/>
                <w:szCs w:val="20"/>
              </w:rPr>
              <w:t>s</w:t>
            </w:r>
            <w:r w:rsidRPr="00AA00FA">
              <w:rPr>
                <w:rFonts w:ascii="Calibri" w:hAnsi="Calibri" w:cs="Calibri"/>
                <w:b/>
                <w:color w:val="000000"/>
                <w:sz w:val="20"/>
                <w:szCs w:val="20"/>
              </w:rPr>
              <w:t>core</w:t>
            </w:r>
          </w:p>
        </w:tc>
        <w:tc>
          <w:tcPr>
            <w:tcW w:w="488" w:type="pct"/>
            <w:shd w:val="clear" w:color="auto" w:fill="D9D9D9" w:themeFill="background1" w:themeFillShade="D9"/>
            <w:noWrap/>
            <w:vAlign w:val="bottom"/>
            <w:hideMark/>
          </w:tcPr>
          <w:p w14:paraId="173BCAB1"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w:t>
            </w:r>
          </w:p>
        </w:tc>
        <w:tc>
          <w:tcPr>
            <w:tcW w:w="311" w:type="pct"/>
            <w:shd w:val="clear" w:color="auto" w:fill="D9D9D9" w:themeFill="background1" w:themeFillShade="D9"/>
            <w:noWrap/>
            <w:vAlign w:val="bottom"/>
            <w:hideMark/>
          </w:tcPr>
          <w:p w14:paraId="6BDB951B"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20</w:t>
            </w:r>
          </w:p>
        </w:tc>
        <w:tc>
          <w:tcPr>
            <w:tcW w:w="311" w:type="pct"/>
            <w:shd w:val="clear" w:color="auto" w:fill="D9D9D9" w:themeFill="background1" w:themeFillShade="D9"/>
            <w:noWrap/>
            <w:vAlign w:val="bottom"/>
            <w:hideMark/>
          </w:tcPr>
          <w:p w14:paraId="61F41E79"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30</w:t>
            </w:r>
          </w:p>
        </w:tc>
        <w:tc>
          <w:tcPr>
            <w:tcW w:w="311" w:type="pct"/>
            <w:shd w:val="clear" w:color="auto" w:fill="D9D9D9" w:themeFill="background1" w:themeFillShade="D9"/>
            <w:noWrap/>
            <w:vAlign w:val="bottom"/>
            <w:hideMark/>
          </w:tcPr>
          <w:p w14:paraId="6D41F6EC"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40</w:t>
            </w:r>
          </w:p>
        </w:tc>
        <w:tc>
          <w:tcPr>
            <w:tcW w:w="311" w:type="pct"/>
            <w:shd w:val="clear" w:color="auto" w:fill="D9D9D9" w:themeFill="background1" w:themeFillShade="D9"/>
            <w:noWrap/>
            <w:vAlign w:val="bottom"/>
            <w:hideMark/>
          </w:tcPr>
          <w:p w14:paraId="16AABC50"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50</w:t>
            </w:r>
          </w:p>
        </w:tc>
        <w:tc>
          <w:tcPr>
            <w:tcW w:w="311" w:type="pct"/>
            <w:shd w:val="clear" w:color="auto" w:fill="D9D9D9" w:themeFill="background1" w:themeFillShade="D9"/>
            <w:noWrap/>
            <w:vAlign w:val="bottom"/>
            <w:hideMark/>
          </w:tcPr>
          <w:p w14:paraId="2F071737"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60</w:t>
            </w:r>
          </w:p>
        </w:tc>
        <w:tc>
          <w:tcPr>
            <w:tcW w:w="311" w:type="pct"/>
            <w:shd w:val="clear" w:color="auto" w:fill="D9D9D9" w:themeFill="background1" w:themeFillShade="D9"/>
            <w:noWrap/>
            <w:vAlign w:val="bottom"/>
            <w:hideMark/>
          </w:tcPr>
          <w:p w14:paraId="3E125DC4"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70</w:t>
            </w:r>
          </w:p>
        </w:tc>
        <w:tc>
          <w:tcPr>
            <w:tcW w:w="311" w:type="pct"/>
            <w:shd w:val="clear" w:color="auto" w:fill="D9D9D9" w:themeFill="background1" w:themeFillShade="D9"/>
            <w:noWrap/>
            <w:vAlign w:val="bottom"/>
            <w:hideMark/>
          </w:tcPr>
          <w:p w14:paraId="61A3F84D"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80</w:t>
            </w:r>
          </w:p>
        </w:tc>
        <w:tc>
          <w:tcPr>
            <w:tcW w:w="311" w:type="pct"/>
            <w:shd w:val="clear" w:color="auto" w:fill="D9D9D9" w:themeFill="background1" w:themeFillShade="D9"/>
            <w:noWrap/>
            <w:vAlign w:val="bottom"/>
            <w:hideMark/>
          </w:tcPr>
          <w:p w14:paraId="6A79827A"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90</w:t>
            </w:r>
          </w:p>
        </w:tc>
        <w:tc>
          <w:tcPr>
            <w:tcW w:w="312" w:type="pct"/>
            <w:shd w:val="clear" w:color="auto" w:fill="D9D9D9" w:themeFill="background1" w:themeFillShade="D9"/>
            <w:noWrap/>
            <w:vAlign w:val="bottom"/>
            <w:hideMark/>
          </w:tcPr>
          <w:p w14:paraId="528F80B9"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w:t>
            </w:r>
          </w:p>
        </w:tc>
        <w:tc>
          <w:tcPr>
            <w:tcW w:w="431" w:type="pct"/>
            <w:shd w:val="clear" w:color="auto" w:fill="D9D9D9" w:themeFill="background1" w:themeFillShade="D9"/>
            <w:noWrap/>
            <w:vAlign w:val="bottom"/>
            <w:hideMark/>
          </w:tcPr>
          <w:p w14:paraId="664A2374" w14:textId="77777777" w:rsidR="00B3260C" w:rsidRPr="00AA00FA" w:rsidRDefault="00B3260C" w:rsidP="00FB05DE">
            <w:pPr>
              <w:spacing w:before="40" w:after="40"/>
              <w:rPr>
                <w:rFonts w:ascii="Calibri" w:hAnsi="Calibri" w:cs="Calibri"/>
                <w:b/>
                <w:color w:val="000000"/>
                <w:sz w:val="20"/>
                <w:szCs w:val="20"/>
              </w:rPr>
            </w:pPr>
            <w:r w:rsidRPr="00AA00FA">
              <w:rPr>
                <w:rFonts w:ascii="Calibri" w:hAnsi="Calibri" w:cs="Calibri"/>
                <w:b/>
                <w:color w:val="000000"/>
                <w:sz w:val="20"/>
                <w:szCs w:val="20"/>
              </w:rPr>
              <w:t>Total</w:t>
            </w:r>
          </w:p>
        </w:tc>
      </w:tr>
      <w:tr w:rsidR="00B3260C" w:rsidRPr="00AA00FA" w14:paraId="54F98480" w14:textId="77777777" w:rsidTr="006E091C">
        <w:trPr>
          <w:trHeight w:val="300"/>
        </w:trPr>
        <w:tc>
          <w:tcPr>
            <w:tcW w:w="1279" w:type="pct"/>
            <w:shd w:val="clear" w:color="auto" w:fill="auto"/>
            <w:noWrap/>
            <w:vAlign w:val="bottom"/>
            <w:hideMark/>
          </w:tcPr>
          <w:p w14:paraId="1E3DF35A"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1 Very fit</w:t>
            </w:r>
          </w:p>
        </w:tc>
        <w:tc>
          <w:tcPr>
            <w:tcW w:w="488" w:type="pct"/>
            <w:shd w:val="clear" w:color="auto" w:fill="auto"/>
            <w:noWrap/>
            <w:vAlign w:val="bottom"/>
            <w:hideMark/>
          </w:tcPr>
          <w:p w14:paraId="49AD973D"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238FED4F"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638FA39F"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1885063F"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424D5F8D"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c>
          <w:tcPr>
            <w:tcW w:w="311" w:type="pct"/>
            <w:shd w:val="clear" w:color="auto" w:fill="auto"/>
            <w:noWrap/>
            <w:vAlign w:val="bottom"/>
            <w:hideMark/>
          </w:tcPr>
          <w:p w14:paraId="2D5774B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c>
          <w:tcPr>
            <w:tcW w:w="311" w:type="pct"/>
            <w:shd w:val="clear" w:color="auto" w:fill="auto"/>
            <w:noWrap/>
            <w:vAlign w:val="bottom"/>
            <w:hideMark/>
          </w:tcPr>
          <w:p w14:paraId="0F24ADA7"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c>
          <w:tcPr>
            <w:tcW w:w="311" w:type="pct"/>
            <w:shd w:val="clear" w:color="auto" w:fill="auto"/>
            <w:noWrap/>
            <w:vAlign w:val="bottom"/>
            <w:hideMark/>
          </w:tcPr>
          <w:p w14:paraId="0D26A31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c>
          <w:tcPr>
            <w:tcW w:w="311" w:type="pct"/>
            <w:shd w:val="clear" w:color="auto" w:fill="auto"/>
            <w:noWrap/>
            <w:vAlign w:val="bottom"/>
            <w:hideMark/>
          </w:tcPr>
          <w:p w14:paraId="1E4C089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c>
          <w:tcPr>
            <w:tcW w:w="312" w:type="pct"/>
            <w:shd w:val="clear" w:color="auto" w:fill="auto"/>
            <w:noWrap/>
            <w:vAlign w:val="bottom"/>
            <w:hideMark/>
          </w:tcPr>
          <w:p w14:paraId="65F180A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c>
          <w:tcPr>
            <w:tcW w:w="431" w:type="pct"/>
            <w:shd w:val="clear" w:color="auto" w:fill="auto"/>
            <w:noWrap/>
            <w:vAlign w:val="bottom"/>
            <w:hideMark/>
          </w:tcPr>
          <w:p w14:paraId="7CE0BE8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37</w:t>
            </w:r>
          </w:p>
        </w:tc>
      </w:tr>
      <w:tr w:rsidR="00B3260C" w:rsidRPr="00AA00FA" w14:paraId="11C1105F" w14:textId="77777777" w:rsidTr="006E091C">
        <w:trPr>
          <w:trHeight w:val="300"/>
        </w:trPr>
        <w:tc>
          <w:tcPr>
            <w:tcW w:w="1279" w:type="pct"/>
            <w:shd w:val="clear" w:color="auto" w:fill="auto"/>
            <w:noWrap/>
            <w:vAlign w:val="bottom"/>
            <w:hideMark/>
          </w:tcPr>
          <w:p w14:paraId="035D0556"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2 Well</w:t>
            </w:r>
          </w:p>
        </w:tc>
        <w:tc>
          <w:tcPr>
            <w:tcW w:w="488" w:type="pct"/>
            <w:shd w:val="clear" w:color="auto" w:fill="auto"/>
            <w:noWrap/>
            <w:vAlign w:val="bottom"/>
            <w:hideMark/>
          </w:tcPr>
          <w:p w14:paraId="22A257C3"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490D8B10"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279CB9A2"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428A4701"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4DD2D25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c>
          <w:tcPr>
            <w:tcW w:w="311" w:type="pct"/>
            <w:shd w:val="clear" w:color="auto" w:fill="auto"/>
            <w:noWrap/>
            <w:vAlign w:val="bottom"/>
            <w:hideMark/>
          </w:tcPr>
          <w:p w14:paraId="2BDB6F47"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26</w:t>
            </w:r>
          </w:p>
        </w:tc>
        <w:tc>
          <w:tcPr>
            <w:tcW w:w="311" w:type="pct"/>
            <w:shd w:val="clear" w:color="auto" w:fill="auto"/>
            <w:noWrap/>
            <w:vAlign w:val="bottom"/>
            <w:hideMark/>
          </w:tcPr>
          <w:p w14:paraId="1C48C85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c>
          <w:tcPr>
            <w:tcW w:w="311" w:type="pct"/>
            <w:shd w:val="clear" w:color="auto" w:fill="auto"/>
            <w:noWrap/>
            <w:vAlign w:val="bottom"/>
            <w:hideMark/>
          </w:tcPr>
          <w:p w14:paraId="2F3996E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c>
          <w:tcPr>
            <w:tcW w:w="311" w:type="pct"/>
            <w:shd w:val="clear" w:color="auto" w:fill="auto"/>
            <w:noWrap/>
            <w:vAlign w:val="bottom"/>
            <w:hideMark/>
          </w:tcPr>
          <w:p w14:paraId="4F5E0C34"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12</w:t>
            </w:r>
          </w:p>
        </w:tc>
        <w:tc>
          <w:tcPr>
            <w:tcW w:w="312" w:type="pct"/>
            <w:shd w:val="clear" w:color="auto" w:fill="auto"/>
            <w:noWrap/>
            <w:vAlign w:val="bottom"/>
            <w:hideMark/>
          </w:tcPr>
          <w:p w14:paraId="6607184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c>
          <w:tcPr>
            <w:tcW w:w="431" w:type="pct"/>
            <w:shd w:val="clear" w:color="auto" w:fill="auto"/>
            <w:noWrap/>
            <w:vAlign w:val="bottom"/>
            <w:hideMark/>
          </w:tcPr>
          <w:p w14:paraId="393A6EFF"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67</w:t>
            </w:r>
          </w:p>
        </w:tc>
      </w:tr>
      <w:tr w:rsidR="00B3260C" w:rsidRPr="00AA00FA" w14:paraId="3C474981" w14:textId="77777777" w:rsidTr="006E091C">
        <w:trPr>
          <w:trHeight w:val="300"/>
        </w:trPr>
        <w:tc>
          <w:tcPr>
            <w:tcW w:w="1279" w:type="pct"/>
            <w:shd w:val="clear" w:color="auto" w:fill="auto"/>
            <w:noWrap/>
            <w:vAlign w:val="bottom"/>
            <w:hideMark/>
          </w:tcPr>
          <w:p w14:paraId="369DB6EC"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3 Well, comorb</w:t>
            </w:r>
            <w:r w:rsidR="00AA00FA">
              <w:rPr>
                <w:rFonts w:ascii="Calibri" w:hAnsi="Calibri" w:cs="Calibri"/>
                <w:color w:val="000000"/>
                <w:sz w:val="20"/>
                <w:szCs w:val="20"/>
              </w:rPr>
              <w:t>id</w:t>
            </w:r>
            <w:r w:rsidRPr="00AA00FA">
              <w:rPr>
                <w:rFonts w:ascii="Calibri" w:hAnsi="Calibri" w:cs="Calibri"/>
                <w:color w:val="000000"/>
                <w:sz w:val="20"/>
                <w:szCs w:val="20"/>
              </w:rPr>
              <w:t xml:space="preserve"> disease</w:t>
            </w:r>
          </w:p>
        </w:tc>
        <w:tc>
          <w:tcPr>
            <w:tcW w:w="488" w:type="pct"/>
            <w:shd w:val="clear" w:color="auto" w:fill="auto"/>
            <w:noWrap/>
            <w:vAlign w:val="bottom"/>
            <w:hideMark/>
          </w:tcPr>
          <w:p w14:paraId="5B7F4E3B"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3DE906C0"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2FB4BB0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43770B9A"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4904DE8C"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30</w:t>
            </w:r>
          </w:p>
        </w:tc>
        <w:tc>
          <w:tcPr>
            <w:tcW w:w="311" w:type="pct"/>
            <w:shd w:val="clear" w:color="auto" w:fill="auto"/>
            <w:noWrap/>
            <w:vAlign w:val="bottom"/>
            <w:hideMark/>
          </w:tcPr>
          <w:p w14:paraId="5ADA8543"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48</w:t>
            </w:r>
          </w:p>
        </w:tc>
        <w:tc>
          <w:tcPr>
            <w:tcW w:w="311" w:type="pct"/>
            <w:shd w:val="clear" w:color="auto" w:fill="auto"/>
            <w:noWrap/>
            <w:vAlign w:val="bottom"/>
            <w:hideMark/>
          </w:tcPr>
          <w:p w14:paraId="0C37447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25</w:t>
            </w:r>
          </w:p>
        </w:tc>
        <w:tc>
          <w:tcPr>
            <w:tcW w:w="311" w:type="pct"/>
            <w:shd w:val="clear" w:color="auto" w:fill="auto"/>
            <w:noWrap/>
            <w:vAlign w:val="bottom"/>
            <w:hideMark/>
          </w:tcPr>
          <w:p w14:paraId="3F4A5D00"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18</w:t>
            </w:r>
          </w:p>
        </w:tc>
        <w:tc>
          <w:tcPr>
            <w:tcW w:w="311" w:type="pct"/>
            <w:shd w:val="clear" w:color="auto" w:fill="auto"/>
            <w:noWrap/>
            <w:vAlign w:val="bottom"/>
            <w:hideMark/>
          </w:tcPr>
          <w:p w14:paraId="22DEA5B0"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c>
          <w:tcPr>
            <w:tcW w:w="312" w:type="pct"/>
            <w:shd w:val="clear" w:color="auto" w:fill="auto"/>
            <w:noWrap/>
            <w:vAlign w:val="bottom"/>
            <w:hideMark/>
          </w:tcPr>
          <w:p w14:paraId="52871EDD" w14:textId="77777777" w:rsidR="00B3260C" w:rsidRPr="00AA00FA" w:rsidRDefault="00B3260C" w:rsidP="00FB05DE">
            <w:pPr>
              <w:spacing w:before="40" w:after="40"/>
              <w:jc w:val="right"/>
              <w:rPr>
                <w:rFonts w:ascii="Calibri" w:hAnsi="Calibri" w:cs="Calibri"/>
                <w:color w:val="000000"/>
                <w:sz w:val="20"/>
                <w:szCs w:val="20"/>
              </w:rPr>
            </w:pPr>
          </w:p>
        </w:tc>
        <w:tc>
          <w:tcPr>
            <w:tcW w:w="431" w:type="pct"/>
            <w:shd w:val="clear" w:color="auto" w:fill="auto"/>
            <w:noWrap/>
            <w:vAlign w:val="bottom"/>
            <w:hideMark/>
          </w:tcPr>
          <w:p w14:paraId="24B7DA8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130</w:t>
            </w:r>
          </w:p>
        </w:tc>
      </w:tr>
      <w:tr w:rsidR="00B3260C" w:rsidRPr="00AA00FA" w14:paraId="7239E15A" w14:textId="77777777" w:rsidTr="006E091C">
        <w:trPr>
          <w:trHeight w:val="300"/>
        </w:trPr>
        <w:tc>
          <w:tcPr>
            <w:tcW w:w="1279" w:type="pct"/>
            <w:shd w:val="clear" w:color="auto" w:fill="auto"/>
            <w:noWrap/>
            <w:vAlign w:val="bottom"/>
            <w:hideMark/>
          </w:tcPr>
          <w:p w14:paraId="15DBB940"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4 App. vulnerable</w:t>
            </w:r>
          </w:p>
        </w:tc>
        <w:tc>
          <w:tcPr>
            <w:tcW w:w="488" w:type="pct"/>
            <w:shd w:val="clear" w:color="auto" w:fill="auto"/>
            <w:noWrap/>
            <w:vAlign w:val="bottom"/>
            <w:hideMark/>
          </w:tcPr>
          <w:p w14:paraId="295E887E"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2AA7251D"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69478D1E"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c>
          <w:tcPr>
            <w:tcW w:w="311" w:type="pct"/>
            <w:shd w:val="clear" w:color="auto" w:fill="auto"/>
            <w:noWrap/>
            <w:vAlign w:val="bottom"/>
            <w:hideMark/>
          </w:tcPr>
          <w:p w14:paraId="78FDB1F4"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37A0D9B9"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64</w:t>
            </w:r>
          </w:p>
        </w:tc>
        <w:tc>
          <w:tcPr>
            <w:tcW w:w="311" w:type="pct"/>
            <w:shd w:val="clear" w:color="auto" w:fill="auto"/>
            <w:noWrap/>
            <w:vAlign w:val="bottom"/>
            <w:hideMark/>
          </w:tcPr>
          <w:p w14:paraId="30CD604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79</w:t>
            </w:r>
          </w:p>
        </w:tc>
        <w:tc>
          <w:tcPr>
            <w:tcW w:w="311" w:type="pct"/>
            <w:shd w:val="clear" w:color="auto" w:fill="auto"/>
            <w:noWrap/>
            <w:vAlign w:val="bottom"/>
            <w:hideMark/>
          </w:tcPr>
          <w:p w14:paraId="51F2737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23</w:t>
            </w:r>
          </w:p>
        </w:tc>
        <w:tc>
          <w:tcPr>
            <w:tcW w:w="311" w:type="pct"/>
            <w:shd w:val="clear" w:color="auto" w:fill="auto"/>
            <w:noWrap/>
            <w:vAlign w:val="bottom"/>
            <w:hideMark/>
          </w:tcPr>
          <w:p w14:paraId="5D4515AA"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c>
          <w:tcPr>
            <w:tcW w:w="311" w:type="pct"/>
            <w:shd w:val="clear" w:color="auto" w:fill="auto"/>
            <w:noWrap/>
            <w:vAlign w:val="bottom"/>
            <w:hideMark/>
          </w:tcPr>
          <w:p w14:paraId="3E5D0EBF" w14:textId="77777777" w:rsidR="00B3260C" w:rsidRPr="00AA00FA" w:rsidRDefault="00B3260C" w:rsidP="00FB05DE">
            <w:pPr>
              <w:spacing w:before="40" w:after="40"/>
              <w:jc w:val="right"/>
              <w:rPr>
                <w:rFonts w:ascii="Calibri" w:hAnsi="Calibri" w:cs="Calibri"/>
                <w:color w:val="000000"/>
                <w:sz w:val="20"/>
                <w:szCs w:val="20"/>
              </w:rPr>
            </w:pPr>
          </w:p>
        </w:tc>
        <w:tc>
          <w:tcPr>
            <w:tcW w:w="312" w:type="pct"/>
            <w:shd w:val="clear" w:color="auto" w:fill="auto"/>
            <w:noWrap/>
            <w:vAlign w:val="bottom"/>
            <w:hideMark/>
          </w:tcPr>
          <w:p w14:paraId="130B961F" w14:textId="77777777" w:rsidR="00B3260C" w:rsidRPr="00AA00FA" w:rsidRDefault="00B3260C" w:rsidP="00FB05DE">
            <w:pPr>
              <w:spacing w:before="40" w:after="40"/>
              <w:rPr>
                <w:rFonts w:ascii="Times New Roman" w:hAnsi="Times New Roman"/>
                <w:sz w:val="20"/>
                <w:szCs w:val="20"/>
              </w:rPr>
            </w:pPr>
          </w:p>
        </w:tc>
        <w:tc>
          <w:tcPr>
            <w:tcW w:w="431" w:type="pct"/>
            <w:shd w:val="clear" w:color="auto" w:fill="auto"/>
            <w:noWrap/>
            <w:vAlign w:val="bottom"/>
            <w:hideMark/>
          </w:tcPr>
          <w:p w14:paraId="3E8AE9D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182</w:t>
            </w:r>
          </w:p>
        </w:tc>
      </w:tr>
      <w:tr w:rsidR="00B3260C" w:rsidRPr="00AA00FA" w14:paraId="49611879" w14:textId="77777777" w:rsidTr="006E091C">
        <w:trPr>
          <w:trHeight w:val="300"/>
        </w:trPr>
        <w:tc>
          <w:tcPr>
            <w:tcW w:w="1279" w:type="pct"/>
            <w:shd w:val="clear" w:color="auto" w:fill="auto"/>
            <w:noWrap/>
            <w:vAlign w:val="bottom"/>
            <w:hideMark/>
          </w:tcPr>
          <w:p w14:paraId="31872A63"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5 Mildly frail</w:t>
            </w:r>
          </w:p>
        </w:tc>
        <w:tc>
          <w:tcPr>
            <w:tcW w:w="488" w:type="pct"/>
            <w:shd w:val="clear" w:color="auto" w:fill="auto"/>
            <w:noWrap/>
            <w:vAlign w:val="bottom"/>
            <w:hideMark/>
          </w:tcPr>
          <w:p w14:paraId="2971F900"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146A3118"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48EA331F"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5BB7F816"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3BB55D4D"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103</w:t>
            </w:r>
          </w:p>
        </w:tc>
        <w:tc>
          <w:tcPr>
            <w:tcW w:w="311" w:type="pct"/>
            <w:shd w:val="clear" w:color="auto" w:fill="auto"/>
            <w:noWrap/>
            <w:vAlign w:val="bottom"/>
            <w:hideMark/>
          </w:tcPr>
          <w:p w14:paraId="37C92FBC"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139</w:t>
            </w:r>
          </w:p>
        </w:tc>
        <w:tc>
          <w:tcPr>
            <w:tcW w:w="311" w:type="pct"/>
            <w:shd w:val="clear" w:color="auto" w:fill="auto"/>
            <w:noWrap/>
            <w:vAlign w:val="bottom"/>
            <w:hideMark/>
          </w:tcPr>
          <w:p w14:paraId="3C39143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40</w:t>
            </w:r>
          </w:p>
        </w:tc>
        <w:tc>
          <w:tcPr>
            <w:tcW w:w="311" w:type="pct"/>
            <w:shd w:val="clear" w:color="auto" w:fill="auto"/>
            <w:noWrap/>
            <w:vAlign w:val="bottom"/>
            <w:hideMark/>
          </w:tcPr>
          <w:p w14:paraId="74C86DE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c>
          <w:tcPr>
            <w:tcW w:w="311" w:type="pct"/>
            <w:shd w:val="clear" w:color="auto" w:fill="auto"/>
            <w:noWrap/>
            <w:vAlign w:val="bottom"/>
            <w:hideMark/>
          </w:tcPr>
          <w:p w14:paraId="482DD392" w14:textId="77777777" w:rsidR="00B3260C" w:rsidRPr="00AA00FA" w:rsidRDefault="00B3260C" w:rsidP="00FB05DE">
            <w:pPr>
              <w:spacing w:before="40" w:after="40"/>
              <w:jc w:val="right"/>
              <w:rPr>
                <w:rFonts w:ascii="Calibri" w:hAnsi="Calibri" w:cs="Calibri"/>
                <w:color w:val="000000"/>
                <w:sz w:val="20"/>
                <w:szCs w:val="20"/>
              </w:rPr>
            </w:pPr>
          </w:p>
        </w:tc>
        <w:tc>
          <w:tcPr>
            <w:tcW w:w="312" w:type="pct"/>
            <w:shd w:val="clear" w:color="auto" w:fill="auto"/>
            <w:noWrap/>
            <w:vAlign w:val="bottom"/>
            <w:hideMark/>
          </w:tcPr>
          <w:p w14:paraId="211A63FA" w14:textId="77777777" w:rsidR="00B3260C" w:rsidRPr="00AA00FA" w:rsidRDefault="00B3260C" w:rsidP="00FB05DE">
            <w:pPr>
              <w:spacing w:before="40" w:after="40"/>
              <w:rPr>
                <w:rFonts w:ascii="Times New Roman" w:hAnsi="Times New Roman"/>
                <w:sz w:val="20"/>
                <w:szCs w:val="20"/>
              </w:rPr>
            </w:pPr>
          </w:p>
        </w:tc>
        <w:tc>
          <w:tcPr>
            <w:tcW w:w="431" w:type="pct"/>
            <w:shd w:val="clear" w:color="auto" w:fill="auto"/>
            <w:noWrap/>
            <w:vAlign w:val="bottom"/>
            <w:hideMark/>
          </w:tcPr>
          <w:p w14:paraId="0C7A42C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290</w:t>
            </w:r>
          </w:p>
        </w:tc>
      </w:tr>
      <w:tr w:rsidR="00B3260C" w:rsidRPr="00AA00FA" w14:paraId="2DB2B11D" w14:textId="77777777" w:rsidTr="006E091C">
        <w:trPr>
          <w:trHeight w:val="300"/>
        </w:trPr>
        <w:tc>
          <w:tcPr>
            <w:tcW w:w="1279" w:type="pct"/>
            <w:shd w:val="clear" w:color="auto" w:fill="auto"/>
            <w:noWrap/>
            <w:vAlign w:val="bottom"/>
            <w:hideMark/>
          </w:tcPr>
          <w:p w14:paraId="2CF4B2AC"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6 Moderately frail</w:t>
            </w:r>
          </w:p>
        </w:tc>
        <w:tc>
          <w:tcPr>
            <w:tcW w:w="488" w:type="pct"/>
            <w:shd w:val="clear" w:color="auto" w:fill="auto"/>
            <w:noWrap/>
            <w:vAlign w:val="bottom"/>
            <w:hideMark/>
          </w:tcPr>
          <w:p w14:paraId="42774CB9"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75C71FAF"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73176B8A"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64858DC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17</w:t>
            </w:r>
          </w:p>
        </w:tc>
        <w:tc>
          <w:tcPr>
            <w:tcW w:w="311" w:type="pct"/>
            <w:shd w:val="clear" w:color="auto" w:fill="auto"/>
            <w:noWrap/>
            <w:vAlign w:val="bottom"/>
            <w:hideMark/>
          </w:tcPr>
          <w:p w14:paraId="729D2D36"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249</w:t>
            </w:r>
          </w:p>
        </w:tc>
        <w:tc>
          <w:tcPr>
            <w:tcW w:w="311" w:type="pct"/>
            <w:shd w:val="clear" w:color="auto" w:fill="auto"/>
            <w:noWrap/>
            <w:vAlign w:val="bottom"/>
            <w:hideMark/>
          </w:tcPr>
          <w:p w14:paraId="12DC5E9D"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161</w:t>
            </w:r>
          </w:p>
        </w:tc>
        <w:tc>
          <w:tcPr>
            <w:tcW w:w="311" w:type="pct"/>
            <w:shd w:val="clear" w:color="auto" w:fill="auto"/>
            <w:noWrap/>
            <w:vAlign w:val="bottom"/>
            <w:hideMark/>
          </w:tcPr>
          <w:p w14:paraId="2B267964"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c>
          <w:tcPr>
            <w:tcW w:w="311" w:type="pct"/>
            <w:shd w:val="clear" w:color="auto" w:fill="auto"/>
            <w:noWrap/>
            <w:vAlign w:val="bottom"/>
            <w:hideMark/>
          </w:tcPr>
          <w:p w14:paraId="7E0BA85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20455E6F" w14:textId="77777777" w:rsidR="00B3260C" w:rsidRPr="00AA00FA" w:rsidRDefault="00B3260C" w:rsidP="00FB05DE">
            <w:pPr>
              <w:spacing w:before="40" w:after="40"/>
              <w:jc w:val="right"/>
              <w:rPr>
                <w:rFonts w:ascii="Calibri" w:hAnsi="Calibri" w:cs="Calibri"/>
                <w:color w:val="000000"/>
                <w:sz w:val="20"/>
                <w:szCs w:val="20"/>
              </w:rPr>
            </w:pPr>
          </w:p>
        </w:tc>
        <w:tc>
          <w:tcPr>
            <w:tcW w:w="312" w:type="pct"/>
            <w:shd w:val="clear" w:color="auto" w:fill="auto"/>
            <w:noWrap/>
            <w:vAlign w:val="bottom"/>
            <w:hideMark/>
          </w:tcPr>
          <w:p w14:paraId="2044798E" w14:textId="77777777" w:rsidR="00B3260C" w:rsidRPr="00AA00FA" w:rsidRDefault="00B3260C" w:rsidP="00FB05DE">
            <w:pPr>
              <w:spacing w:before="40" w:after="40"/>
              <w:rPr>
                <w:rFonts w:ascii="Times New Roman" w:hAnsi="Times New Roman"/>
                <w:sz w:val="20"/>
                <w:szCs w:val="20"/>
              </w:rPr>
            </w:pPr>
          </w:p>
        </w:tc>
        <w:tc>
          <w:tcPr>
            <w:tcW w:w="431" w:type="pct"/>
            <w:shd w:val="clear" w:color="auto" w:fill="auto"/>
            <w:noWrap/>
            <w:vAlign w:val="bottom"/>
            <w:hideMark/>
          </w:tcPr>
          <w:p w14:paraId="7DF7FD05"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434</w:t>
            </w:r>
          </w:p>
        </w:tc>
      </w:tr>
      <w:tr w:rsidR="00B3260C" w:rsidRPr="00AA00FA" w14:paraId="150A32A1" w14:textId="77777777" w:rsidTr="006E091C">
        <w:trPr>
          <w:trHeight w:val="300"/>
        </w:trPr>
        <w:tc>
          <w:tcPr>
            <w:tcW w:w="1279" w:type="pct"/>
            <w:shd w:val="clear" w:color="auto" w:fill="auto"/>
            <w:noWrap/>
            <w:vAlign w:val="bottom"/>
            <w:hideMark/>
          </w:tcPr>
          <w:p w14:paraId="3B416899"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7 Severely frail</w:t>
            </w:r>
          </w:p>
        </w:tc>
        <w:tc>
          <w:tcPr>
            <w:tcW w:w="488" w:type="pct"/>
            <w:shd w:val="clear" w:color="auto" w:fill="auto"/>
            <w:noWrap/>
            <w:vAlign w:val="bottom"/>
            <w:hideMark/>
          </w:tcPr>
          <w:p w14:paraId="57567EDC"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2C4DB07D"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40</w:t>
            </w:r>
          </w:p>
        </w:tc>
        <w:tc>
          <w:tcPr>
            <w:tcW w:w="311" w:type="pct"/>
            <w:shd w:val="clear" w:color="auto" w:fill="auto"/>
            <w:noWrap/>
            <w:vAlign w:val="bottom"/>
            <w:hideMark/>
          </w:tcPr>
          <w:p w14:paraId="3B787AD6"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34</w:t>
            </w:r>
          </w:p>
        </w:tc>
        <w:tc>
          <w:tcPr>
            <w:tcW w:w="311" w:type="pct"/>
            <w:shd w:val="clear" w:color="auto" w:fill="auto"/>
            <w:noWrap/>
            <w:vAlign w:val="bottom"/>
            <w:hideMark/>
          </w:tcPr>
          <w:p w14:paraId="180D2BE7"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131</w:t>
            </w:r>
          </w:p>
        </w:tc>
        <w:tc>
          <w:tcPr>
            <w:tcW w:w="311" w:type="pct"/>
            <w:shd w:val="clear" w:color="auto" w:fill="auto"/>
            <w:noWrap/>
            <w:vAlign w:val="bottom"/>
            <w:hideMark/>
          </w:tcPr>
          <w:p w14:paraId="4C59ED5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361</w:t>
            </w:r>
          </w:p>
        </w:tc>
        <w:tc>
          <w:tcPr>
            <w:tcW w:w="311" w:type="pct"/>
            <w:shd w:val="clear" w:color="auto" w:fill="auto"/>
            <w:noWrap/>
            <w:vAlign w:val="bottom"/>
            <w:hideMark/>
          </w:tcPr>
          <w:p w14:paraId="30F249A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21</w:t>
            </w:r>
          </w:p>
        </w:tc>
        <w:tc>
          <w:tcPr>
            <w:tcW w:w="311" w:type="pct"/>
            <w:shd w:val="clear" w:color="auto" w:fill="auto"/>
            <w:noWrap/>
            <w:vAlign w:val="bottom"/>
            <w:hideMark/>
          </w:tcPr>
          <w:p w14:paraId="5A00E7A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6FC3FD42"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4CD7B607" w14:textId="77777777" w:rsidR="00B3260C" w:rsidRPr="00AA00FA" w:rsidRDefault="00B3260C" w:rsidP="00FB05DE">
            <w:pPr>
              <w:spacing w:before="40" w:after="40"/>
              <w:rPr>
                <w:rFonts w:ascii="Times New Roman" w:hAnsi="Times New Roman"/>
                <w:sz w:val="20"/>
                <w:szCs w:val="20"/>
              </w:rPr>
            </w:pPr>
          </w:p>
        </w:tc>
        <w:tc>
          <w:tcPr>
            <w:tcW w:w="312" w:type="pct"/>
            <w:shd w:val="clear" w:color="auto" w:fill="auto"/>
            <w:noWrap/>
            <w:vAlign w:val="bottom"/>
            <w:hideMark/>
          </w:tcPr>
          <w:p w14:paraId="0A6EF77F" w14:textId="77777777" w:rsidR="00B3260C" w:rsidRPr="00AA00FA" w:rsidRDefault="00B3260C" w:rsidP="00FB05DE">
            <w:pPr>
              <w:spacing w:before="40" w:after="40"/>
              <w:rPr>
                <w:rFonts w:ascii="Times New Roman" w:hAnsi="Times New Roman"/>
                <w:sz w:val="20"/>
                <w:szCs w:val="20"/>
              </w:rPr>
            </w:pPr>
          </w:p>
        </w:tc>
        <w:tc>
          <w:tcPr>
            <w:tcW w:w="431" w:type="pct"/>
            <w:shd w:val="clear" w:color="auto" w:fill="auto"/>
            <w:noWrap/>
            <w:vAlign w:val="bottom"/>
            <w:hideMark/>
          </w:tcPr>
          <w:p w14:paraId="5E198B84"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588</w:t>
            </w:r>
          </w:p>
        </w:tc>
      </w:tr>
      <w:tr w:rsidR="00B3260C" w:rsidRPr="00AA00FA" w14:paraId="43A6BD0F" w14:textId="77777777" w:rsidTr="006E091C">
        <w:trPr>
          <w:trHeight w:val="300"/>
        </w:trPr>
        <w:tc>
          <w:tcPr>
            <w:tcW w:w="1279" w:type="pct"/>
            <w:shd w:val="clear" w:color="auto" w:fill="auto"/>
            <w:noWrap/>
            <w:vAlign w:val="bottom"/>
            <w:hideMark/>
          </w:tcPr>
          <w:p w14:paraId="4344FEA3"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8 Very severely frail</w:t>
            </w:r>
          </w:p>
        </w:tc>
        <w:tc>
          <w:tcPr>
            <w:tcW w:w="488" w:type="pct"/>
            <w:shd w:val="clear" w:color="auto" w:fill="auto"/>
            <w:noWrap/>
            <w:vAlign w:val="bottom"/>
            <w:hideMark/>
          </w:tcPr>
          <w:p w14:paraId="48E99D3D"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c>
          <w:tcPr>
            <w:tcW w:w="311" w:type="pct"/>
            <w:shd w:val="clear" w:color="auto" w:fill="auto"/>
            <w:noWrap/>
            <w:vAlign w:val="bottom"/>
            <w:hideMark/>
          </w:tcPr>
          <w:p w14:paraId="454207D3"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62</w:t>
            </w:r>
          </w:p>
        </w:tc>
        <w:tc>
          <w:tcPr>
            <w:tcW w:w="311" w:type="pct"/>
            <w:shd w:val="clear" w:color="auto" w:fill="auto"/>
            <w:noWrap/>
            <w:vAlign w:val="bottom"/>
            <w:hideMark/>
          </w:tcPr>
          <w:p w14:paraId="1132FB4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32</w:t>
            </w:r>
          </w:p>
        </w:tc>
        <w:tc>
          <w:tcPr>
            <w:tcW w:w="311" w:type="pct"/>
            <w:shd w:val="clear" w:color="auto" w:fill="auto"/>
            <w:noWrap/>
            <w:vAlign w:val="bottom"/>
            <w:hideMark/>
          </w:tcPr>
          <w:p w14:paraId="6BDD98A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28</w:t>
            </w:r>
          </w:p>
        </w:tc>
        <w:tc>
          <w:tcPr>
            <w:tcW w:w="311" w:type="pct"/>
            <w:shd w:val="clear" w:color="auto" w:fill="auto"/>
            <w:noWrap/>
            <w:vAlign w:val="bottom"/>
            <w:hideMark/>
          </w:tcPr>
          <w:p w14:paraId="2F36D0D5"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c>
          <w:tcPr>
            <w:tcW w:w="311" w:type="pct"/>
            <w:shd w:val="clear" w:color="auto" w:fill="auto"/>
            <w:noWrap/>
            <w:vAlign w:val="bottom"/>
            <w:hideMark/>
          </w:tcPr>
          <w:p w14:paraId="64F646D4"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57082FD8"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702062D5"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257C7EC4" w14:textId="77777777" w:rsidR="00B3260C" w:rsidRPr="00AA00FA" w:rsidRDefault="00B3260C" w:rsidP="00FB05DE">
            <w:pPr>
              <w:spacing w:before="40" w:after="40"/>
              <w:rPr>
                <w:rFonts w:ascii="Times New Roman" w:hAnsi="Times New Roman"/>
                <w:sz w:val="20"/>
                <w:szCs w:val="20"/>
              </w:rPr>
            </w:pPr>
          </w:p>
        </w:tc>
        <w:tc>
          <w:tcPr>
            <w:tcW w:w="312" w:type="pct"/>
            <w:shd w:val="clear" w:color="auto" w:fill="auto"/>
            <w:noWrap/>
            <w:vAlign w:val="bottom"/>
            <w:hideMark/>
          </w:tcPr>
          <w:p w14:paraId="3417E292" w14:textId="77777777" w:rsidR="00B3260C" w:rsidRPr="00AA00FA" w:rsidRDefault="00B3260C" w:rsidP="00FB05DE">
            <w:pPr>
              <w:spacing w:before="40" w:after="40"/>
              <w:rPr>
                <w:rFonts w:ascii="Times New Roman" w:hAnsi="Times New Roman"/>
                <w:sz w:val="20"/>
                <w:szCs w:val="20"/>
              </w:rPr>
            </w:pPr>
          </w:p>
        </w:tc>
        <w:tc>
          <w:tcPr>
            <w:tcW w:w="431" w:type="pct"/>
            <w:shd w:val="clear" w:color="auto" w:fill="auto"/>
            <w:noWrap/>
            <w:vAlign w:val="bottom"/>
            <w:hideMark/>
          </w:tcPr>
          <w:p w14:paraId="135BCBD1"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134</w:t>
            </w:r>
          </w:p>
        </w:tc>
      </w:tr>
      <w:tr w:rsidR="00B3260C" w:rsidRPr="00AA00FA" w14:paraId="5D2DD622" w14:textId="77777777" w:rsidTr="006E091C">
        <w:trPr>
          <w:trHeight w:val="300"/>
        </w:trPr>
        <w:tc>
          <w:tcPr>
            <w:tcW w:w="1279" w:type="pct"/>
            <w:shd w:val="clear" w:color="auto" w:fill="auto"/>
            <w:noWrap/>
            <w:vAlign w:val="bottom"/>
            <w:hideMark/>
          </w:tcPr>
          <w:p w14:paraId="6EAFC1C3"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9 Terminally ill</w:t>
            </w:r>
          </w:p>
        </w:tc>
        <w:tc>
          <w:tcPr>
            <w:tcW w:w="488" w:type="pct"/>
            <w:shd w:val="clear" w:color="auto" w:fill="auto"/>
            <w:noWrap/>
            <w:vAlign w:val="bottom"/>
            <w:hideMark/>
          </w:tcPr>
          <w:p w14:paraId="67A94375"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638DD5D0"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c>
          <w:tcPr>
            <w:tcW w:w="311" w:type="pct"/>
            <w:shd w:val="clear" w:color="auto" w:fill="auto"/>
            <w:noWrap/>
            <w:vAlign w:val="bottom"/>
            <w:hideMark/>
          </w:tcPr>
          <w:p w14:paraId="5350857F"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531E396B"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498DA75F"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311" w:type="pct"/>
            <w:shd w:val="clear" w:color="auto" w:fill="auto"/>
            <w:noWrap/>
            <w:vAlign w:val="bottom"/>
            <w:hideMark/>
          </w:tcPr>
          <w:p w14:paraId="5A5AB7C2" w14:textId="77777777" w:rsidR="00B3260C" w:rsidRPr="00AA00FA" w:rsidRDefault="00B3260C" w:rsidP="00FB05DE">
            <w:pPr>
              <w:spacing w:before="40" w:after="40"/>
              <w:jc w:val="right"/>
              <w:rPr>
                <w:rFonts w:ascii="Calibri" w:hAnsi="Calibri" w:cs="Calibri"/>
                <w:color w:val="000000"/>
                <w:sz w:val="20"/>
                <w:szCs w:val="20"/>
              </w:rPr>
            </w:pPr>
          </w:p>
        </w:tc>
        <w:tc>
          <w:tcPr>
            <w:tcW w:w="311" w:type="pct"/>
            <w:shd w:val="clear" w:color="auto" w:fill="auto"/>
            <w:noWrap/>
            <w:vAlign w:val="bottom"/>
            <w:hideMark/>
          </w:tcPr>
          <w:p w14:paraId="65487BEB"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28C6DC89" w14:textId="77777777" w:rsidR="00B3260C" w:rsidRPr="00AA00FA" w:rsidRDefault="00B3260C" w:rsidP="00FB05DE">
            <w:pPr>
              <w:spacing w:before="40" w:after="40"/>
              <w:rPr>
                <w:rFonts w:ascii="Times New Roman" w:hAnsi="Times New Roman"/>
                <w:sz w:val="20"/>
                <w:szCs w:val="20"/>
              </w:rPr>
            </w:pPr>
          </w:p>
        </w:tc>
        <w:tc>
          <w:tcPr>
            <w:tcW w:w="311" w:type="pct"/>
            <w:shd w:val="clear" w:color="auto" w:fill="auto"/>
            <w:noWrap/>
            <w:vAlign w:val="bottom"/>
            <w:hideMark/>
          </w:tcPr>
          <w:p w14:paraId="70073867" w14:textId="77777777" w:rsidR="00B3260C" w:rsidRPr="00AA00FA" w:rsidRDefault="00B3260C" w:rsidP="00FB05DE">
            <w:pPr>
              <w:spacing w:before="40" w:after="40"/>
              <w:rPr>
                <w:rFonts w:ascii="Times New Roman" w:hAnsi="Times New Roman"/>
                <w:sz w:val="20"/>
                <w:szCs w:val="20"/>
              </w:rPr>
            </w:pPr>
          </w:p>
        </w:tc>
        <w:tc>
          <w:tcPr>
            <w:tcW w:w="312" w:type="pct"/>
            <w:shd w:val="clear" w:color="auto" w:fill="auto"/>
            <w:noWrap/>
            <w:vAlign w:val="bottom"/>
            <w:hideMark/>
          </w:tcPr>
          <w:p w14:paraId="600BAFF1" w14:textId="77777777" w:rsidR="00B3260C" w:rsidRPr="00AA00FA" w:rsidRDefault="00B3260C" w:rsidP="00FB05DE">
            <w:pPr>
              <w:spacing w:before="40" w:after="40"/>
              <w:rPr>
                <w:rFonts w:ascii="Times New Roman" w:hAnsi="Times New Roman"/>
                <w:sz w:val="20"/>
                <w:szCs w:val="20"/>
              </w:rPr>
            </w:pPr>
          </w:p>
        </w:tc>
        <w:tc>
          <w:tcPr>
            <w:tcW w:w="431" w:type="pct"/>
            <w:shd w:val="clear" w:color="auto" w:fill="auto"/>
            <w:noWrap/>
            <w:vAlign w:val="bottom"/>
            <w:hideMark/>
          </w:tcPr>
          <w:p w14:paraId="3B699960"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B3260C" w:rsidRPr="00AA00FA" w14:paraId="681132A7" w14:textId="77777777" w:rsidTr="006E091C">
        <w:trPr>
          <w:trHeight w:val="300"/>
        </w:trPr>
        <w:tc>
          <w:tcPr>
            <w:tcW w:w="1279" w:type="pct"/>
            <w:shd w:val="clear" w:color="auto" w:fill="auto"/>
            <w:noWrap/>
            <w:vAlign w:val="bottom"/>
            <w:hideMark/>
          </w:tcPr>
          <w:p w14:paraId="427CC386" w14:textId="77777777" w:rsidR="00B3260C" w:rsidRPr="00AA00FA" w:rsidRDefault="00B3260C" w:rsidP="00FB05DE">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488" w:type="pct"/>
            <w:shd w:val="clear" w:color="auto" w:fill="auto"/>
            <w:noWrap/>
            <w:vAlign w:val="bottom"/>
            <w:hideMark/>
          </w:tcPr>
          <w:p w14:paraId="4765B81B"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2</w:t>
            </w:r>
          </w:p>
        </w:tc>
        <w:tc>
          <w:tcPr>
            <w:tcW w:w="311" w:type="pct"/>
            <w:shd w:val="clear" w:color="auto" w:fill="auto"/>
            <w:noWrap/>
            <w:vAlign w:val="bottom"/>
            <w:hideMark/>
          </w:tcPr>
          <w:p w14:paraId="2454C824"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106</w:t>
            </w:r>
          </w:p>
        </w:tc>
        <w:tc>
          <w:tcPr>
            <w:tcW w:w="311" w:type="pct"/>
            <w:shd w:val="clear" w:color="auto" w:fill="auto"/>
            <w:noWrap/>
            <w:vAlign w:val="bottom"/>
            <w:hideMark/>
          </w:tcPr>
          <w:p w14:paraId="638EC8DE"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70</w:t>
            </w:r>
          </w:p>
        </w:tc>
        <w:tc>
          <w:tcPr>
            <w:tcW w:w="311" w:type="pct"/>
            <w:shd w:val="clear" w:color="auto" w:fill="auto"/>
            <w:noWrap/>
            <w:vAlign w:val="bottom"/>
            <w:hideMark/>
          </w:tcPr>
          <w:p w14:paraId="77BCEAE6"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177</w:t>
            </w:r>
          </w:p>
        </w:tc>
        <w:tc>
          <w:tcPr>
            <w:tcW w:w="311" w:type="pct"/>
            <w:shd w:val="clear" w:color="auto" w:fill="auto"/>
            <w:noWrap/>
            <w:vAlign w:val="bottom"/>
            <w:hideMark/>
          </w:tcPr>
          <w:p w14:paraId="258C7C3B"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838</w:t>
            </w:r>
          </w:p>
        </w:tc>
        <w:tc>
          <w:tcPr>
            <w:tcW w:w="311" w:type="pct"/>
            <w:shd w:val="clear" w:color="auto" w:fill="auto"/>
            <w:noWrap/>
            <w:vAlign w:val="bottom"/>
            <w:hideMark/>
          </w:tcPr>
          <w:p w14:paraId="1986B4E2"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480</w:t>
            </w:r>
          </w:p>
        </w:tc>
        <w:tc>
          <w:tcPr>
            <w:tcW w:w="311" w:type="pct"/>
            <w:shd w:val="clear" w:color="auto" w:fill="auto"/>
            <w:noWrap/>
            <w:vAlign w:val="bottom"/>
            <w:hideMark/>
          </w:tcPr>
          <w:p w14:paraId="5FD60696"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111</w:t>
            </w:r>
          </w:p>
        </w:tc>
        <w:tc>
          <w:tcPr>
            <w:tcW w:w="311" w:type="pct"/>
            <w:shd w:val="clear" w:color="auto" w:fill="auto"/>
            <w:noWrap/>
            <w:vAlign w:val="bottom"/>
            <w:hideMark/>
          </w:tcPr>
          <w:p w14:paraId="30C78315"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50</w:t>
            </w:r>
          </w:p>
        </w:tc>
        <w:tc>
          <w:tcPr>
            <w:tcW w:w="311" w:type="pct"/>
            <w:shd w:val="clear" w:color="auto" w:fill="auto"/>
            <w:noWrap/>
            <w:vAlign w:val="bottom"/>
            <w:hideMark/>
          </w:tcPr>
          <w:p w14:paraId="70FC8741"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23</w:t>
            </w:r>
          </w:p>
        </w:tc>
        <w:tc>
          <w:tcPr>
            <w:tcW w:w="312" w:type="pct"/>
            <w:shd w:val="clear" w:color="auto" w:fill="auto"/>
            <w:noWrap/>
            <w:vAlign w:val="bottom"/>
            <w:hideMark/>
          </w:tcPr>
          <w:p w14:paraId="22DDC585"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9</w:t>
            </w:r>
          </w:p>
        </w:tc>
        <w:tc>
          <w:tcPr>
            <w:tcW w:w="431" w:type="pct"/>
            <w:shd w:val="clear" w:color="auto" w:fill="auto"/>
            <w:noWrap/>
            <w:vAlign w:val="bottom"/>
            <w:hideMark/>
          </w:tcPr>
          <w:p w14:paraId="30EF515D" w14:textId="77777777" w:rsidR="00B3260C" w:rsidRPr="00AA00FA" w:rsidRDefault="00B3260C"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1,866</w:t>
            </w:r>
          </w:p>
        </w:tc>
      </w:tr>
    </w:tbl>
    <w:p w14:paraId="76D110A6" w14:textId="77777777" w:rsidR="00B3260C" w:rsidRDefault="00B3260C" w:rsidP="00534F50">
      <w:pPr>
        <w:pStyle w:val="Heading2"/>
      </w:pPr>
      <w:bookmarkStart w:id="81" w:name="_Toc2070322"/>
      <w:r>
        <w:t>Braden Scale</w:t>
      </w:r>
      <w:bookmarkEnd w:id="81"/>
    </w:p>
    <w:p w14:paraId="4D78A44B" w14:textId="77777777" w:rsidR="00B3260C" w:rsidRDefault="00B3260C" w:rsidP="00AC2F3B">
      <w:pPr>
        <w:pStyle w:val="Normal-nospacing"/>
      </w:pPr>
      <w:r>
        <w:t xml:space="preserve">The Braden Scale is used to predict the risk of a pressure </w:t>
      </w:r>
      <w:r w:rsidR="007F45FD">
        <w:t>wound</w:t>
      </w:r>
      <w:r>
        <w:t>. It comprises six items assessing degree of sensory perception, moisture, activity, mobility, nutrition and friction and shear. The total score is used and ranges</w:t>
      </w:r>
      <w:r w:rsidR="007F45FD">
        <w:t xml:space="preserve"> from </w:t>
      </w:r>
      <w:r w:rsidR="00CD735B">
        <w:t>6</w:t>
      </w:r>
      <w:r w:rsidR="007F45FD">
        <w:t xml:space="preserve"> (</w:t>
      </w:r>
      <w:r>
        <w:t xml:space="preserve">indicating an extreme risk of pressure </w:t>
      </w:r>
      <w:r w:rsidR="007F45FD">
        <w:t>wound)</w:t>
      </w:r>
      <w:r>
        <w:t xml:space="preserve"> to 23 </w:t>
      </w:r>
      <w:r w:rsidR="007F45FD">
        <w:t>(</w:t>
      </w:r>
      <w:r>
        <w:t>indicating no risk</w:t>
      </w:r>
      <w:r w:rsidR="007F45FD">
        <w:t>)</w:t>
      </w:r>
      <w:r>
        <w:t xml:space="preserve">. An additional question asked if the sensory perception rating was based on communication, sensation or both. The distribution of total score across the study population is </w:t>
      </w:r>
      <w:r w:rsidR="00611842">
        <w:t xml:space="preserve">shown </w:t>
      </w:r>
      <w:r>
        <w:t>in</w:t>
      </w:r>
      <w:r w:rsidR="00611842">
        <w:t xml:space="preserve"> </w:t>
      </w:r>
      <w:r w:rsidR="00611842">
        <w:fldChar w:fldCharType="begin"/>
      </w:r>
      <w:r w:rsidR="00611842">
        <w:instrText xml:space="preserve"> REF _Ref529188343 \h </w:instrText>
      </w:r>
      <w:r w:rsidR="00AC2F3B">
        <w:instrText xml:space="preserve"> \* MERGEFORMAT </w:instrText>
      </w:r>
      <w:r w:rsidR="00611842">
        <w:fldChar w:fldCharType="separate"/>
      </w:r>
      <w:r w:rsidR="00EE18C8">
        <w:t xml:space="preserve">Table </w:t>
      </w:r>
      <w:r w:rsidR="00EE18C8">
        <w:rPr>
          <w:noProof/>
        </w:rPr>
        <w:t>8</w:t>
      </w:r>
      <w:r w:rsidR="00611842">
        <w:fldChar w:fldCharType="end"/>
      </w:r>
      <w:r w:rsidR="00611842">
        <w:t>.</w:t>
      </w:r>
    </w:p>
    <w:p w14:paraId="2843B1FB" w14:textId="77777777" w:rsidR="00AC2F3B" w:rsidRDefault="00733B8A" w:rsidP="00AC2F3B">
      <w:pPr>
        <w:pStyle w:val="Normal-nospacing"/>
      </w:pPr>
      <w:r>
        <w:t>It can be seen that there is a good spread of scores across the whole range of this scale, although there are more high scores than low. For example, 50% of the residents scored from 18 to 23, a range of five points. The range of scores for the remaining 50% of residents w</w:t>
      </w:r>
      <w:r w:rsidR="00E3150A">
        <w:t>as eleven points, from 6 to 17.</w:t>
      </w:r>
      <w:r w:rsidR="00AC2F3B">
        <w:br w:type="page"/>
      </w:r>
    </w:p>
    <w:p w14:paraId="480FB0C4" w14:textId="77777777" w:rsidR="00FB05DE" w:rsidRDefault="00FB05DE" w:rsidP="00FB05DE">
      <w:pPr>
        <w:pStyle w:val="Caption"/>
      </w:pPr>
      <w:bookmarkStart w:id="82" w:name="_Ref529188343"/>
      <w:bookmarkStart w:id="83" w:name="_Toc2065670"/>
      <w:r>
        <w:lastRenderedPageBreak/>
        <w:t xml:space="preserve">Table </w:t>
      </w:r>
      <w:r w:rsidR="00B20926">
        <w:rPr>
          <w:noProof/>
        </w:rPr>
        <w:fldChar w:fldCharType="begin"/>
      </w:r>
      <w:r w:rsidR="00B20926">
        <w:rPr>
          <w:noProof/>
        </w:rPr>
        <w:instrText xml:space="preserve"> SEQ Table \* ARABIC </w:instrText>
      </w:r>
      <w:r w:rsidR="00B20926">
        <w:rPr>
          <w:noProof/>
        </w:rPr>
        <w:fldChar w:fldCharType="separate"/>
      </w:r>
      <w:r w:rsidR="00EE18C8">
        <w:rPr>
          <w:noProof/>
        </w:rPr>
        <w:t>8</w:t>
      </w:r>
      <w:r w:rsidR="00B20926">
        <w:rPr>
          <w:noProof/>
        </w:rPr>
        <w:fldChar w:fldCharType="end"/>
      </w:r>
      <w:bookmarkEnd w:id="82"/>
      <w:r w:rsidR="00CF61F8">
        <w:rPr>
          <w:noProof/>
        </w:rPr>
        <w:t xml:space="preserve"> </w:t>
      </w:r>
      <w:r>
        <w:tab/>
      </w:r>
      <w:r w:rsidRPr="00FB05DE">
        <w:t>Braden Scale total score</w:t>
      </w:r>
      <w:bookmarkEnd w:id="83"/>
    </w:p>
    <w:tbl>
      <w:tblPr>
        <w:tblStyle w:val="TableGrid"/>
        <w:tblW w:w="0" w:type="auto"/>
        <w:tblLook w:val="04A0" w:firstRow="1" w:lastRow="0" w:firstColumn="1" w:lastColumn="0" w:noHBand="0" w:noVBand="1"/>
        <w:tblCaption w:val="Braden Scale total score"/>
        <w:tblDescription w:val="Table 8 shows the distribution of total score across the study population, majority of residents scoring between 17 and 23. The table should be read as a series of rows from left to right ('Braden Scale total score' then 'number of residents' then 'percentage of residents')."/>
      </w:tblPr>
      <w:tblGrid>
        <w:gridCol w:w="2113"/>
        <w:gridCol w:w="1470"/>
        <w:gridCol w:w="2078"/>
      </w:tblGrid>
      <w:tr w:rsidR="00FB05DE" w:rsidRPr="00892066" w14:paraId="39598BC4" w14:textId="77777777" w:rsidTr="00892066">
        <w:trPr>
          <w:trHeight w:val="283"/>
          <w:tblHeader/>
        </w:trPr>
        <w:tc>
          <w:tcPr>
            <w:tcW w:w="0" w:type="auto"/>
            <w:shd w:val="clear" w:color="auto" w:fill="D9D9D9" w:themeFill="background1" w:themeFillShade="D9"/>
            <w:vAlign w:val="bottom"/>
          </w:tcPr>
          <w:p w14:paraId="1CFD2D17" w14:textId="77777777" w:rsidR="00FB05DE" w:rsidRPr="00892066" w:rsidRDefault="00FB05DE" w:rsidP="00D14C87">
            <w:pPr>
              <w:spacing w:before="40" w:after="40"/>
              <w:rPr>
                <w:rFonts w:cstheme="minorHAnsi"/>
                <w:b/>
                <w:color w:val="000000"/>
                <w:sz w:val="19"/>
                <w:szCs w:val="19"/>
              </w:rPr>
            </w:pPr>
            <w:r w:rsidRPr="00892066">
              <w:rPr>
                <w:rFonts w:cstheme="minorHAnsi"/>
                <w:b/>
                <w:color w:val="000000"/>
                <w:sz w:val="19"/>
                <w:szCs w:val="19"/>
              </w:rPr>
              <w:t>Braden Scale total score</w:t>
            </w:r>
          </w:p>
        </w:tc>
        <w:tc>
          <w:tcPr>
            <w:tcW w:w="0" w:type="auto"/>
            <w:shd w:val="clear" w:color="auto" w:fill="D9D9D9" w:themeFill="background1" w:themeFillShade="D9"/>
            <w:vAlign w:val="bottom"/>
          </w:tcPr>
          <w:p w14:paraId="37B795AF" w14:textId="77777777" w:rsidR="00FB05DE" w:rsidRPr="00892066" w:rsidRDefault="00FB05DE" w:rsidP="00FB05DE">
            <w:pPr>
              <w:spacing w:before="40" w:after="40"/>
              <w:jc w:val="center"/>
              <w:rPr>
                <w:rFonts w:cstheme="minorHAnsi"/>
                <w:b/>
                <w:color w:val="000000"/>
                <w:sz w:val="19"/>
                <w:szCs w:val="19"/>
              </w:rPr>
            </w:pPr>
            <w:r w:rsidRPr="00892066">
              <w:rPr>
                <w:rFonts w:cstheme="minorHAnsi"/>
                <w:b/>
                <w:color w:val="000000"/>
                <w:sz w:val="19"/>
                <w:szCs w:val="19"/>
              </w:rPr>
              <w:t>No. of residents</w:t>
            </w:r>
          </w:p>
        </w:tc>
        <w:tc>
          <w:tcPr>
            <w:tcW w:w="0" w:type="auto"/>
            <w:shd w:val="clear" w:color="auto" w:fill="D9D9D9" w:themeFill="background1" w:themeFillShade="D9"/>
            <w:vAlign w:val="bottom"/>
          </w:tcPr>
          <w:p w14:paraId="18F63B9C" w14:textId="77777777" w:rsidR="00FB05DE" w:rsidRPr="00892066" w:rsidRDefault="00FB05DE" w:rsidP="00FB05DE">
            <w:pPr>
              <w:spacing w:before="40" w:after="40"/>
              <w:jc w:val="center"/>
              <w:rPr>
                <w:rFonts w:cstheme="minorHAnsi"/>
                <w:b/>
                <w:color w:val="000000"/>
                <w:sz w:val="19"/>
                <w:szCs w:val="19"/>
              </w:rPr>
            </w:pPr>
            <w:r w:rsidRPr="00892066">
              <w:rPr>
                <w:rFonts w:cstheme="minorHAnsi"/>
                <w:b/>
                <w:color w:val="000000"/>
                <w:sz w:val="19"/>
                <w:szCs w:val="19"/>
              </w:rPr>
              <w:t>Percentage of residents</w:t>
            </w:r>
          </w:p>
        </w:tc>
      </w:tr>
      <w:tr w:rsidR="00FB05DE" w:rsidRPr="00892066" w14:paraId="782D6A27" w14:textId="77777777" w:rsidTr="00892066">
        <w:trPr>
          <w:trHeight w:val="283"/>
        </w:trPr>
        <w:tc>
          <w:tcPr>
            <w:tcW w:w="0" w:type="auto"/>
            <w:vAlign w:val="bottom"/>
          </w:tcPr>
          <w:p w14:paraId="3B53AB9B"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6</w:t>
            </w:r>
          </w:p>
        </w:tc>
        <w:tc>
          <w:tcPr>
            <w:tcW w:w="0" w:type="auto"/>
            <w:vAlign w:val="bottom"/>
          </w:tcPr>
          <w:p w14:paraId="13EB2524"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5</w:t>
            </w:r>
          </w:p>
        </w:tc>
        <w:tc>
          <w:tcPr>
            <w:tcW w:w="0" w:type="auto"/>
            <w:vAlign w:val="bottom"/>
          </w:tcPr>
          <w:p w14:paraId="3EFC82A9"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0%</w:t>
            </w:r>
          </w:p>
        </w:tc>
      </w:tr>
      <w:tr w:rsidR="00FB05DE" w:rsidRPr="00892066" w14:paraId="1835FF78" w14:textId="77777777" w:rsidTr="00892066">
        <w:trPr>
          <w:trHeight w:val="283"/>
        </w:trPr>
        <w:tc>
          <w:tcPr>
            <w:tcW w:w="0" w:type="auto"/>
            <w:vAlign w:val="bottom"/>
          </w:tcPr>
          <w:p w14:paraId="014E556E"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7</w:t>
            </w:r>
          </w:p>
        </w:tc>
        <w:tc>
          <w:tcPr>
            <w:tcW w:w="0" w:type="auto"/>
            <w:vAlign w:val="bottom"/>
          </w:tcPr>
          <w:p w14:paraId="353008CC"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10</w:t>
            </w:r>
          </w:p>
        </w:tc>
        <w:tc>
          <w:tcPr>
            <w:tcW w:w="0" w:type="auto"/>
            <w:vAlign w:val="bottom"/>
          </w:tcPr>
          <w:p w14:paraId="0ECE378E"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w:t>
            </w:r>
          </w:p>
        </w:tc>
      </w:tr>
      <w:tr w:rsidR="00FB05DE" w:rsidRPr="00892066" w14:paraId="243DA682" w14:textId="77777777" w:rsidTr="00892066">
        <w:trPr>
          <w:trHeight w:val="283"/>
        </w:trPr>
        <w:tc>
          <w:tcPr>
            <w:tcW w:w="0" w:type="auto"/>
            <w:vAlign w:val="bottom"/>
          </w:tcPr>
          <w:p w14:paraId="6A965540"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8</w:t>
            </w:r>
          </w:p>
        </w:tc>
        <w:tc>
          <w:tcPr>
            <w:tcW w:w="0" w:type="auto"/>
            <w:vAlign w:val="bottom"/>
          </w:tcPr>
          <w:p w14:paraId="245178B7"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26</w:t>
            </w:r>
          </w:p>
        </w:tc>
        <w:tc>
          <w:tcPr>
            <w:tcW w:w="0" w:type="auto"/>
            <w:vAlign w:val="bottom"/>
          </w:tcPr>
          <w:p w14:paraId="6490DB65"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w:t>
            </w:r>
          </w:p>
        </w:tc>
      </w:tr>
      <w:tr w:rsidR="00FB05DE" w:rsidRPr="00892066" w14:paraId="40E8AD70" w14:textId="77777777" w:rsidTr="00892066">
        <w:trPr>
          <w:trHeight w:val="283"/>
        </w:trPr>
        <w:tc>
          <w:tcPr>
            <w:tcW w:w="0" w:type="auto"/>
            <w:vAlign w:val="bottom"/>
          </w:tcPr>
          <w:p w14:paraId="6C298385"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9</w:t>
            </w:r>
          </w:p>
        </w:tc>
        <w:tc>
          <w:tcPr>
            <w:tcW w:w="0" w:type="auto"/>
            <w:vAlign w:val="bottom"/>
          </w:tcPr>
          <w:p w14:paraId="0FA76B4C"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50</w:t>
            </w:r>
          </w:p>
        </w:tc>
        <w:tc>
          <w:tcPr>
            <w:tcW w:w="0" w:type="auto"/>
            <w:vAlign w:val="bottom"/>
          </w:tcPr>
          <w:p w14:paraId="24CBFE54"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3%</w:t>
            </w:r>
          </w:p>
        </w:tc>
      </w:tr>
      <w:tr w:rsidR="00FB05DE" w:rsidRPr="00892066" w14:paraId="2BCBAF15" w14:textId="77777777" w:rsidTr="00892066">
        <w:trPr>
          <w:trHeight w:val="283"/>
        </w:trPr>
        <w:tc>
          <w:tcPr>
            <w:tcW w:w="0" w:type="auto"/>
            <w:vAlign w:val="bottom"/>
          </w:tcPr>
          <w:p w14:paraId="3952821F"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10</w:t>
            </w:r>
          </w:p>
        </w:tc>
        <w:tc>
          <w:tcPr>
            <w:tcW w:w="0" w:type="auto"/>
            <w:vAlign w:val="bottom"/>
          </w:tcPr>
          <w:p w14:paraId="2D56B056"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50</w:t>
            </w:r>
          </w:p>
        </w:tc>
        <w:tc>
          <w:tcPr>
            <w:tcW w:w="0" w:type="auto"/>
            <w:vAlign w:val="bottom"/>
          </w:tcPr>
          <w:p w14:paraId="71B79B3F"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3%</w:t>
            </w:r>
          </w:p>
        </w:tc>
      </w:tr>
      <w:tr w:rsidR="00FB05DE" w:rsidRPr="00892066" w14:paraId="31B669B7" w14:textId="77777777" w:rsidTr="00892066">
        <w:trPr>
          <w:trHeight w:val="283"/>
        </w:trPr>
        <w:tc>
          <w:tcPr>
            <w:tcW w:w="0" w:type="auto"/>
            <w:vAlign w:val="bottom"/>
          </w:tcPr>
          <w:p w14:paraId="40088162"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11</w:t>
            </w:r>
          </w:p>
        </w:tc>
        <w:tc>
          <w:tcPr>
            <w:tcW w:w="0" w:type="auto"/>
            <w:vAlign w:val="bottom"/>
          </w:tcPr>
          <w:p w14:paraId="215874C1"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87</w:t>
            </w:r>
          </w:p>
        </w:tc>
        <w:tc>
          <w:tcPr>
            <w:tcW w:w="0" w:type="auto"/>
            <w:vAlign w:val="bottom"/>
          </w:tcPr>
          <w:p w14:paraId="5983D605"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5%</w:t>
            </w:r>
          </w:p>
        </w:tc>
      </w:tr>
      <w:tr w:rsidR="00FB05DE" w:rsidRPr="00892066" w14:paraId="59E136DB" w14:textId="77777777" w:rsidTr="00892066">
        <w:trPr>
          <w:trHeight w:val="283"/>
        </w:trPr>
        <w:tc>
          <w:tcPr>
            <w:tcW w:w="0" w:type="auto"/>
            <w:vAlign w:val="bottom"/>
          </w:tcPr>
          <w:p w14:paraId="3E025A89"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12</w:t>
            </w:r>
          </w:p>
        </w:tc>
        <w:tc>
          <w:tcPr>
            <w:tcW w:w="0" w:type="auto"/>
            <w:vAlign w:val="bottom"/>
          </w:tcPr>
          <w:p w14:paraId="7B58176D"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69</w:t>
            </w:r>
          </w:p>
        </w:tc>
        <w:tc>
          <w:tcPr>
            <w:tcW w:w="0" w:type="auto"/>
            <w:vAlign w:val="bottom"/>
          </w:tcPr>
          <w:p w14:paraId="7D87B2BF"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4%</w:t>
            </w:r>
          </w:p>
        </w:tc>
      </w:tr>
      <w:tr w:rsidR="00FB05DE" w:rsidRPr="00892066" w14:paraId="567721EE" w14:textId="77777777" w:rsidTr="00892066">
        <w:trPr>
          <w:trHeight w:val="283"/>
        </w:trPr>
        <w:tc>
          <w:tcPr>
            <w:tcW w:w="0" w:type="auto"/>
            <w:vAlign w:val="bottom"/>
          </w:tcPr>
          <w:p w14:paraId="300257EF"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13</w:t>
            </w:r>
          </w:p>
        </w:tc>
        <w:tc>
          <w:tcPr>
            <w:tcW w:w="0" w:type="auto"/>
            <w:vAlign w:val="bottom"/>
          </w:tcPr>
          <w:p w14:paraId="64F446A3"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115</w:t>
            </w:r>
          </w:p>
        </w:tc>
        <w:tc>
          <w:tcPr>
            <w:tcW w:w="0" w:type="auto"/>
            <w:vAlign w:val="bottom"/>
          </w:tcPr>
          <w:p w14:paraId="0A46BAC1"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6%</w:t>
            </w:r>
          </w:p>
        </w:tc>
      </w:tr>
      <w:tr w:rsidR="00FB05DE" w:rsidRPr="00892066" w14:paraId="69A7B7DA" w14:textId="77777777" w:rsidTr="00892066">
        <w:trPr>
          <w:trHeight w:val="283"/>
        </w:trPr>
        <w:tc>
          <w:tcPr>
            <w:tcW w:w="0" w:type="auto"/>
            <w:vAlign w:val="bottom"/>
          </w:tcPr>
          <w:p w14:paraId="335D7A8F"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14</w:t>
            </w:r>
          </w:p>
        </w:tc>
        <w:tc>
          <w:tcPr>
            <w:tcW w:w="0" w:type="auto"/>
            <w:vAlign w:val="bottom"/>
          </w:tcPr>
          <w:p w14:paraId="24338449"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115</w:t>
            </w:r>
          </w:p>
        </w:tc>
        <w:tc>
          <w:tcPr>
            <w:tcW w:w="0" w:type="auto"/>
            <w:vAlign w:val="bottom"/>
          </w:tcPr>
          <w:p w14:paraId="6766B12B"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6%</w:t>
            </w:r>
          </w:p>
        </w:tc>
      </w:tr>
      <w:tr w:rsidR="00FB05DE" w:rsidRPr="00892066" w14:paraId="037FC0A6" w14:textId="77777777" w:rsidTr="00892066">
        <w:trPr>
          <w:trHeight w:val="283"/>
        </w:trPr>
        <w:tc>
          <w:tcPr>
            <w:tcW w:w="0" w:type="auto"/>
            <w:vAlign w:val="bottom"/>
          </w:tcPr>
          <w:p w14:paraId="6245225A"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15</w:t>
            </w:r>
          </w:p>
        </w:tc>
        <w:tc>
          <w:tcPr>
            <w:tcW w:w="0" w:type="auto"/>
            <w:vAlign w:val="bottom"/>
          </w:tcPr>
          <w:p w14:paraId="1143AFB7"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122</w:t>
            </w:r>
          </w:p>
        </w:tc>
        <w:tc>
          <w:tcPr>
            <w:tcW w:w="0" w:type="auto"/>
            <w:vAlign w:val="bottom"/>
          </w:tcPr>
          <w:p w14:paraId="6CB8AADD"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6%</w:t>
            </w:r>
          </w:p>
        </w:tc>
      </w:tr>
      <w:tr w:rsidR="00FB05DE" w:rsidRPr="00892066" w14:paraId="7ABFF454" w14:textId="77777777" w:rsidTr="00892066">
        <w:trPr>
          <w:trHeight w:val="283"/>
        </w:trPr>
        <w:tc>
          <w:tcPr>
            <w:tcW w:w="0" w:type="auto"/>
            <w:vAlign w:val="bottom"/>
          </w:tcPr>
          <w:p w14:paraId="570E4432"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16</w:t>
            </w:r>
          </w:p>
        </w:tc>
        <w:tc>
          <w:tcPr>
            <w:tcW w:w="0" w:type="auto"/>
            <w:vAlign w:val="bottom"/>
          </w:tcPr>
          <w:p w14:paraId="595B0C3A"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130</w:t>
            </w:r>
          </w:p>
        </w:tc>
        <w:tc>
          <w:tcPr>
            <w:tcW w:w="0" w:type="auto"/>
            <w:vAlign w:val="bottom"/>
          </w:tcPr>
          <w:p w14:paraId="14F0F3A6"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7%</w:t>
            </w:r>
          </w:p>
        </w:tc>
      </w:tr>
      <w:tr w:rsidR="00FB05DE" w:rsidRPr="00892066" w14:paraId="4781AEB2" w14:textId="77777777" w:rsidTr="00892066">
        <w:trPr>
          <w:trHeight w:val="283"/>
        </w:trPr>
        <w:tc>
          <w:tcPr>
            <w:tcW w:w="0" w:type="auto"/>
            <w:vAlign w:val="bottom"/>
          </w:tcPr>
          <w:p w14:paraId="310D303B"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17</w:t>
            </w:r>
          </w:p>
        </w:tc>
        <w:tc>
          <w:tcPr>
            <w:tcW w:w="0" w:type="auto"/>
            <w:vAlign w:val="bottom"/>
          </w:tcPr>
          <w:p w14:paraId="620008B2"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154</w:t>
            </w:r>
          </w:p>
        </w:tc>
        <w:tc>
          <w:tcPr>
            <w:tcW w:w="0" w:type="auto"/>
            <w:vAlign w:val="bottom"/>
          </w:tcPr>
          <w:p w14:paraId="365A7685"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8%</w:t>
            </w:r>
          </w:p>
        </w:tc>
      </w:tr>
      <w:tr w:rsidR="00FB05DE" w:rsidRPr="00892066" w14:paraId="37A6F56C" w14:textId="77777777" w:rsidTr="00892066">
        <w:trPr>
          <w:trHeight w:val="283"/>
        </w:trPr>
        <w:tc>
          <w:tcPr>
            <w:tcW w:w="0" w:type="auto"/>
            <w:vAlign w:val="bottom"/>
          </w:tcPr>
          <w:p w14:paraId="5517CF75"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18</w:t>
            </w:r>
          </w:p>
        </w:tc>
        <w:tc>
          <w:tcPr>
            <w:tcW w:w="0" w:type="auto"/>
            <w:vAlign w:val="bottom"/>
          </w:tcPr>
          <w:p w14:paraId="0D7EB1D2"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159</w:t>
            </w:r>
          </w:p>
        </w:tc>
        <w:tc>
          <w:tcPr>
            <w:tcW w:w="0" w:type="auto"/>
            <w:vAlign w:val="bottom"/>
          </w:tcPr>
          <w:p w14:paraId="5078717F"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8%</w:t>
            </w:r>
          </w:p>
        </w:tc>
      </w:tr>
      <w:tr w:rsidR="00FB05DE" w:rsidRPr="00892066" w14:paraId="400C5889" w14:textId="77777777" w:rsidTr="00892066">
        <w:trPr>
          <w:trHeight w:val="283"/>
        </w:trPr>
        <w:tc>
          <w:tcPr>
            <w:tcW w:w="0" w:type="auto"/>
            <w:vAlign w:val="bottom"/>
          </w:tcPr>
          <w:p w14:paraId="1B21F35F"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19</w:t>
            </w:r>
          </w:p>
        </w:tc>
        <w:tc>
          <w:tcPr>
            <w:tcW w:w="0" w:type="auto"/>
            <w:vAlign w:val="bottom"/>
          </w:tcPr>
          <w:p w14:paraId="008253C4"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168</w:t>
            </w:r>
          </w:p>
        </w:tc>
        <w:tc>
          <w:tcPr>
            <w:tcW w:w="0" w:type="auto"/>
            <w:vAlign w:val="bottom"/>
          </w:tcPr>
          <w:p w14:paraId="22D427EC"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9%</w:t>
            </w:r>
          </w:p>
        </w:tc>
      </w:tr>
      <w:tr w:rsidR="00FB05DE" w:rsidRPr="00892066" w14:paraId="54E81484" w14:textId="77777777" w:rsidTr="00892066">
        <w:trPr>
          <w:trHeight w:val="283"/>
        </w:trPr>
        <w:tc>
          <w:tcPr>
            <w:tcW w:w="0" w:type="auto"/>
            <w:vAlign w:val="bottom"/>
          </w:tcPr>
          <w:p w14:paraId="34AD4FE8"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20</w:t>
            </w:r>
          </w:p>
        </w:tc>
        <w:tc>
          <w:tcPr>
            <w:tcW w:w="0" w:type="auto"/>
            <w:vAlign w:val="bottom"/>
          </w:tcPr>
          <w:p w14:paraId="77DF480D"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141</w:t>
            </w:r>
          </w:p>
        </w:tc>
        <w:tc>
          <w:tcPr>
            <w:tcW w:w="0" w:type="auto"/>
            <w:vAlign w:val="bottom"/>
          </w:tcPr>
          <w:p w14:paraId="4BDC1395"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8%</w:t>
            </w:r>
          </w:p>
        </w:tc>
      </w:tr>
      <w:tr w:rsidR="00FB05DE" w:rsidRPr="00892066" w14:paraId="057828F5" w14:textId="77777777" w:rsidTr="00892066">
        <w:trPr>
          <w:trHeight w:val="283"/>
        </w:trPr>
        <w:tc>
          <w:tcPr>
            <w:tcW w:w="0" w:type="auto"/>
            <w:vAlign w:val="bottom"/>
          </w:tcPr>
          <w:p w14:paraId="6668008A"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21</w:t>
            </w:r>
          </w:p>
        </w:tc>
        <w:tc>
          <w:tcPr>
            <w:tcW w:w="0" w:type="auto"/>
            <w:vAlign w:val="bottom"/>
          </w:tcPr>
          <w:p w14:paraId="3EE9A040"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177</w:t>
            </w:r>
          </w:p>
        </w:tc>
        <w:tc>
          <w:tcPr>
            <w:tcW w:w="0" w:type="auto"/>
            <w:vAlign w:val="bottom"/>
          </w:tcPr>
          <w:p w14:paraId="23B5833B"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9%</w:t>
            </w:r>
          </w:p>
        </w:tc>
      </w:tr>
      <w:tr w:rsidR="00FB05DE" w:rsidRPr="00892066" w14:paraId="65BEB17A" w14:textId="77777777" w:rsidTr="00892066">
        <w:trPr>
          <w:trHeight w:val="283"/>
        </w:trPr>
        <w:tc>
          <w:tcPr>
            <w:tcW w:w="0" w:type="auto"/>
            <w:vAlign w:val="bottom"/>
          </w:tcPr>
          <w:p w14:paraId="6DC7ED28"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22</w:t>
            </w:r>
          </w:p>
        </w:tc>
        <w:tc>
          <w:tcPr>
            <w:tcW w:w="0" w:type="auto"/>
            <w:vAlign w:val="bottom"/>
          </w:tcPr>
          <w:p w14:paraId="29E2138A"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145</w:t>
            </w:r>
          </w:p>
        </w:tc>
        <w:tc>
          <w:tcPr>
            <w:tcW w:w="0" w:type="auto"/>
            <w:vAlign w:val="bottom"/>
          </w:tcPr>
          <w:p w14:paraId="61146049"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8%</w:t>
            </w:r>
          </w:p>
        </w:tc>
      </w:tr>
      <w:tr w:rsidR="00FB05DE" w:rsidRPr="00892066" w14:paraId="76B853DC" w14:textId="77777777" w:rsidTr="00892066">
        <w:trPr>
          <w:trHeight w:val="283"/>
        </w:trPr>
        <w:tc>
          <w:tcPr>
            <w:tcW w:w="0" w:type="auto"/>
            <w:vAlign w:val="bottom"/>
          </w:tcPr>
          <w:p w14:paraId="5FAB70CE"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23</w:t>
            </w:r>
          </w:p>
        </w:tc>
        <w:tc>
          <w:tcPr>
            <w:tcW w:w="0" w:type="auto"/>
            <w:vAlign w:val="bottom"/>
          </w:tcPr>
          <w:p w14:paraId="4F1386B8"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143</w:t>
            </w:r>
          </w:p>
        </w:tc>
        <w:tc>
          <w:tcPr>
            <w:tcW w:w="0" w:type="auto"/>
            <w:vAlign w:val="bottom"/>
          </w:tcPr>
          <w:p w14:paraId="3B2432A9"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8%</w:t>
            </w:r>
          </w:p>
        </w:tc>
      </w:tr>
      <w:tr w:rsidR="00FB05DE" w:rsidRPr="00892066" w14:paraId="216D38F8" w14:textId="77777777" w:rsidTr="00892066">
        <w:trPr>
          <w:trHeight w:val="283"/>
        </w:trPr>
        <w:tc>
          <w:tcPr>
            <w:tcW w:w="0" w:type="auto"/>
            <w:vAlign w:val="bottom"/>
          </w:tcPr>
          <w:p w14:paraId="1876104B" w14:textId="77777777" w:rsidR="00FB05DE" w:rsidRPr="00892066" w:rsidRDefault="00FB05DE" w:rsidP="00D14C87">
            <w:pPr>
              <w:spacing w:before="40" w:after="40"/>
              <w:rPr>
                <w:rFonts w:cstheme="minorHAnsi"/>
                <w:color w:val="000000"/>
                <w:sz w:val="19"/>
                <w:szCs w:val="19"/>
              </w:rPr>
            </w:pPr>
            <w:r w:rsidRPr="00892066">
              <w:rPr>
                <w:rFonts w:cstheme="minorHAnsi"/>
                <w:color w:val="000000"/>
                <w:sz w:val="19"/>
                <w:szCs w:val="19"/>
              </w:rPr>
              <w:t>Unknown</w:t>
            </w:r>
          </w:p>
        </w:tc>
        <w:tc>
          <w:tcPr>
            <w:tcW w:w="0" w:type="auto"/>
            <w:vAlign w:val="bottom"/>
          </w:tcPr>
          <w:p w14:paraId="045BB9FB"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14</w:t>
            </w:r>
          </w:p>
        </w:tc>
        <w:tc>
          <w:tcPr>
            <w:tcW w:w="0" w:type="auto"/>
            <w:vAlign w:val="bottom"/>
          </w:tcPr>
          <w:p w14:paraId="4DFA9685" w14:textId="77777777" w:rsidR="00FB05DE" w:rsidRPr="00892066" w:rsidRDefault="00FB05DE" w:rsidP="00FB05DE">
            <w:pPr>
              <w:spacing w:before="40" w:after="40"/>
              <w:jc w:val="right"/>
              <w:rPr>
                <w:rFonts w:cstheme="minorHAnsi"/>
                <w:color w:val="000000"/>
                <w:sz w:val="19"/>
                <w:szCs w:val="19"/>
              </w:rPr>
            </w:pPr>
            <w:r w:rsidRPr="00892066">
              <w:rPr>
                <w:rFonts w:cstheme="minorHAnsi"/>
                <w:color w:val="000000"/>
                <w:sz w:val="19"/>
                <w:szCs w:val="19"/>
              </w:rPr>
              <w:t>1%</w:t>
            </w:r>
          </w:p>
        </w:tc>
      </w:tr>
      <w:tr w:rsidR="00FB05DE" w:rsidRPr="00892066" w14:paraId="6C337C47" w14:textId="77777777" w:rsidTr="00892066">
        <w:trPr>
          <w:trHeight w:val="283"/>
        </w:trPr>
        <w:tc>
          <w:tcPr>
            <w:tcW w:w="0" w:type="auto"/>
            <w:vAlign w:val="bottom"/>
          </w:tcPr>
          <w:p w14:paraId="762F54F6" w14:textId="77777777" w:rsidR="00FB05DE" w:rsidRPr="00892066" w:rsidRDefault="00FB05DE" w:rsidP="00FB05DE">
            <w:pPr>
              <w:spacing w:before="40" w:after="40"/>
              <w:rPr>
                <w:rFonts w:ascii="Calibri" w:hAnsi="Calibri" w:cs="Calibri"/>
                <w:b/>
                <w:color w:val="000000"/>
                <w:sz w:val="19"/>
                <w:szCs w:val="19"/>
              </w:rPr>
            </w:pPr>
            <w:r w:rsidRPr="00892066">
              <w:rPr>
                <w:rFonts w:ascii="Calibri" w:hAnsi="Calibri" w:cs="Calibri"/>
                <w:b/>
                <w:color w:val="000000"/>
                <w:sz w:val="19"/>
                <w:szCs w:val="19"/>
              </w:rPr>
              <w:t>All residents</w:t>
            </w:r>
          </w:p>
        </w:tc>
        <w:tc>
          <w:tcPr>
            <w:tcW w:w="0" w:type="auto"/>
            <w:vAlign w:val="bottom"/>
          </w:tcPr>
          <w:p w14:paraId="10DB5D87" w14:textId="77777777" w:rsidR="00FB05DE" w:rsidRPr="00892066" w:rsidRDefault="00FB05DE" w:rsidP="00FB05DE">
            <w:pPr>
              <w:spacing w:before="40" w:after="40"/>
              <w:jc w:val="right"/>
              <w:rPr>
                <w:rFonts w:ascii="Calibri" w:hAnsi="Calibri" w:cs="Calibri"/>
                <w:b/>
                <w:color w:val="000000"/>
                <w:sz w:val="19"/>
                <w:szCs w:val="19"/>
              </w:rPr>
            </w:pPr>
            <w:r w:rsidRPr="00892066">
              <w:rPr>
                <w:rFonts w:ascii="Calibri" w:hAnsi="Calibri" w:cs="Calibri"/>
                <w:b/>
                <w:color w:val="000000"/>
                <w:sz w:val="19"/>
                <w:szCs w:val="19"/>
              </w:rPr>
              <w:t>1,880</w:t>
            </w:r>
          </w:p>
        </w:tc>
        <w:tc>
          <w:tcPr>
            <w:tcW w:w="0" w:type="auto"/>
            <w:vAlign w:val="bottom"/>
          </w:tcPr>
          <w:p w14:paraId="4A9FB6C5" w14:textId="77777777" w:rsidR="00FB05DE" w:rsidRPr="00892066" w:rsidRDefault="00FB05DE" w:rsidP="00FB05DE">
            <w:pPr>
              <w:spacing w:before="40" w:after="40"/>
              <w:jc w:val="right"/>
              <w:rPr>
                <w:rFonts w:ascii="Calibri" w:hAnsi="Calibri" w:cs="Calibri"/>
                <w:b/>
                <w:color w:val="000000"/>
                <w:sz w:val="19"/>
                <w:szCs w:val="19"/>
              </w:rPr>
            </w:pPr>
            <w:r w:rsidRPr="00892066">
              <w:rPr>
                <w:rFonts w:ascii="Calibri" w:hAnsi="Calibri" w:cs="Calibri"/>
                <w:b/>
                <w:color w:val="000000"/>
                <w:sz w:val="19"/>
                <w:szCs w:val="19"/>
              </w:rPr>
              <w:t>100%</w:t>
            </w:r>
          </w:p>
        </w:tc>
      </w:tr>
    </w:tbl>
    <w:p w14:paraId="0E33B265" w14:textId="77777777" w:rsidR="00B3260C" w:rsidRPr="00AC2F3B" w:rsidRDefault="00B3260C" w:rsidP="00E3150A">
      <w:pPr>
        <w:pStyle w:val="Normal-nospacing"/>
        <w:spacing w:before="240"/>
      </w:pPr>
      <w:r w:rsidRPr="00AC2F3B">
        <w:t xml:space="preserve">The distribution of the individual items in the Braden Scale </w:t>
      </w:r>
      <w:r w:rsidR="00611842" w:rsidRPr="00AC2F3B">
        <w:t xml:space="preserve">is shown in </w:t>
      </w:r>
      <w:r w:rsidRPr="00AC2F3B">
        <w:fldChar w:fldCharType="begin"/>
      </w:r>
      <w:r w:rsidRPr="00AC2F3B">
        <w:instrText xml:space="preserve"> REF _Ref525223201 \h  \* MERGEFORMAT </w:instrText>
      </w:r>
      <w:r w:rsidRPr="00AC2F3B">
        <w:fldChar w:fldCharType="separate"/>
      </w:r>
      <w:r w:rsidR="00EE18C8" w:rsidRPr="00E56943">
        <w:t xml:space="preserve">Figure </w:t>
      </w:r>
      <w:r w:rsidR="00EE18C8">
        <w:t>2</w:t>
      </w:r>
      <w:r w:rsidRPr="00AC2F3B">
        <w:fldChar w:fldCharType="end"/>
      </w:r>
      <w:r w:rsidRPr="00AC2F3B">
        <w:t>. The smallest number of residents were rated in the most severe category on all items. However, the mode varies between the two least severe categories. For items on moisture and friction and shear, the mode was the least severe category, while for nutrition and mobility, fewer residents were rated as having no real problem than as having a slight issue in the respective domain. For the remaining two items, sensory perception and activity, there was no appreciable difference in the numbers rated in these two least severe categories.</w:t>
      </w:r>
    </w:p>
    <w:p w14:paraId="704F973E" w14:textId="77777777" w:rsidR="00B3260C" w:rsidRDefault="00B3260C" w:rsidP="00CF26D2">
      <w:pPr>
        <w:pStyle w:val="Caption"/>
        <w:keepNext/>
      </w:pPr>
      <w:bookmarkStart w:id="84" w:name="_Ref525223201"/>
      <w:bookmarkStart w:id="85" w:name="_Toc947239"/>
      <w:r w:rsidRPr="00E56943">
        <w:lastRenderedPageBreak/>
        <w:t xml:space="preserve">Figure </w:t>
      </w:r>
      <w:r w:rsidR="00E77717">
        <w:rPr>
          <w:noProof/>
        </w:rPr>
        <w:fldChar w:fldCharType="begin"/>
      </w:r>
      <w:r w:rsidR="00E77717">
        <w:rPr>
          <w:noProof/>
        </w:rPr>
        <w:instrText xml:space="preserve"> SEQ Figure \* ARABIC </w:instrText>
      </w:r>
      <w:r w:rsidR="00E77717">
        <w:rPr>
          <w:noProof/>
        </w:rPr>
        <w:fldChar w:fldCharType="separate"/>
      </w:r>
      <w:r w:rsidR="00EE18C8">
        <w:rPr>
          <w:noProof/>
        </w:rPr>
        <w:t>2</w:t>
      </w:r>
      <w:r w:rsidR="00E77717">
        <w:rPr>
          <w:noProof/>
        </w:rPr>
        <w:fldChar w:fldCharType="end"/>
      </w:r>
      <w:bookmarkEnd w:id="84"/>
      <w:r w:rsidR="00FB05DE">
        <w:rPr>
          <w:noProof/>
        </w:rPr>
        <w:tab/>
      </w:r>
      <w:r w:rsidRPr="00E56943">
        <w:t>Braden Scale – frequency of response of item scores</w:t>
      </w:r>
      <w:bookmarkEnd w:id="85"/>
    </w:p>
    <w:p w14:paraId="386A1B76" w14:textId="77777777" w:rsidR="00B3260C" w:rsidRDefault="00B3260C" w:rsidP="00B3260C">
      <w:r>
        <w:rPr>
          <w:noProof/>
        </w:rPr>
        <w:drawing>
          <wp:inline distT="0" distB="0" distL="0" distR="0" wp14:anchorId="6EC13088" wp14:editId="046FCF71">
            <wp:extent cx="5454634" cy="5812435"/>
            <wp:effectExtent l="0" t="0" r="0" b="0"/>
            <wp:docPr id="13" name="Picture 13" descr="Figure 2 shows The distribution of the individual items in the Braden Scale. The items scored were sensory perception, moisture, activity, mobility, nutrition, and friction and shear." title="Braden Scale - frequency of response of item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784" cy="5826448"/>
                    </a:xfrm>
                    <a:prstGeom prst="rect">
                      <a:avLst/>
                    </a:prstGeom>
                    <a:noFill/>
                  </pic:spPr>
                </pic:pic>
              </a:graphicData>
            </a:graphic>
          </wp:inline>
        </w:drawing>
      </w:r>
    </w:p>
    <w:p w14:paraId="59AC541C" w14:textId="77777777" w:rsidR="00E74FA9" w:rsidRDefault="00B3260C" w:rsidP="00B3260C">
      <w:pPr>
        <w:pStyle w:val="Caption"/>
        <w:rPr>
          <w:b w:val="0"/>
        </w:rPr>
      </w:pPr>
      <w:r w:rsidRPr="00E74FA9">
        <w:rPr>
          <w:b w:val="0"/>
        </w:rPr>
        <w:t xml:space="preserve">The additional question on the basis of the sensory perception rating was completed for 97% of residents in </w:t>
      </w:r>
      <w:r w:rsidR="009A7CC6" w:rsidRPr="00E74FA9">
        <w:rPr>
          <w:b w:val="0"/>
        </w:rPr>
        <w:t>S</w:t>
      </w:r>
      <w:r w:rsidRPr="00E74FA9">
        <w:rPr>
          <w:b w:val="0"/>
        </w:rPr>
        <w:t>tudy</w:t>
      </w:r>
      <w:r w:rsidR="009A7CC6" w:rsidRPr="00E74FA9">
        <w:rPr>
          <w:b w:val="0"/>
        </w:rPr>
        <w:t xml:space="preserve"> One</w:t>
      </w:r>
      <w:r w:rsidRPr="00E74FA9">
        <w:rPr>
          <w:b w:val="0"/>
        </w:rPr>
        <w:t>. Of these, three-quarters were based on both communication and sensation while communication alone was the basis for 218 residents, and sensation alone w</w:t>
      </w:r>
      <w:r w:rsidR="00D159F2">
        <w:rPr>
          <w:b w:val="0"/>
        </w:rPr>
        <w:t>as the basis for 237 residents.</w:t>
      </w:r>
    </w:p>
    <w:p w14:paraId="432392A2" w14:textId="77777777" w:rsidR="00AC2F3B" w:rsidRDefault="00E74FA9" w:rsidP="00B3260C">
      <w:pPr>
        <w:pStyle w:val="Caption"/>
        <w:rPr>
          <w:b w:val="0"/>
        </w:rPr>
      </w:pPr>
      <w:r>
        <w:rPr>
          <w:b w:val="0"/>
        </w:rPr>
        <w:t xml:space="preserve">In </w:t>
      </w:r>
      <w:r w:rsidRPr="00E74FA9">
        <w:rPr>
          <w:b w:val="0"/>
        </w:rPr>
        <w:fldChar w:fldCharType="begin"/>
      </w:r>
      <w:r w:rsidRPr="00E74FA9">
        <w:rPr>
          <w:b w:val="0"/>
        </w:rPr>
        <w:instrText xml:space="preserve"> REF _Ref529888118 \h  \* MERGEFORMAT </w:instrText>
      </w:r>
      <w:r w:rsidRPr="00E74FA9">
        <w:rPr>
          <w:b w:val="0"/>
        </w:rPr>
      </w:r>
      <w:r w:rsidRPr="00E74FA9">
        <w:rPr>
          <w:b w:val="0"/>
        </w:rPr>
        <w:fldChar w:fldCharType="separate"/>
      </w:r>
      <w:r w:rsidR="00EE18C8" w:rsidRPr="00EE18C8">
        <w:rPr>
          <w:b w:val="0"/>
        </w:rPr>
        <w:t xml:space="preserve">Table </w:t>
      </w:r>
      <w:r w:rsidR="00EE18C8" w:rsidRPr="00EE18C8">
        <w:rPr>
          <w:b w:val="0"/>
          <w:noProof/>
        </w:rPr>
        <w:t>9</w:t>
      </w:r>
      <w:r w:rsidRPr="00E74FA9">
        <w:rPr>
          <w:b w:val="0"/>
        </w:rPr>
        <w:fldChar w:fldCharType="end"/>
      </w:r>
      <w:r w:rsidR="009C7202" w:rsidRPr="00E74FA9">
        <w:rPr>
          <w:b w:val="0"/>
        </w:rPr>
        <w:t xml:space="preserve">, </w:t>
      </w:r>
      <w:r w:rsidR="00B3260C" w:rsidRPr="00E74FA9">
        <w:rPr>
          <w:b w:val="0"/>
        </w:rPr>
        <w:t xml:space="preserve">the percentage of responses in each category of the sensory perception item is </w:t>
      </w:r>
      <w:r w:rsidR="009A7CC6" w:rsidRPr="00E74FA9">
        <w:rPr>
          <w:b w:val="0"/>
        </w:rPr>
        <w:t>shown</w:t>
      </w:r>
      <w:r w:rsidR="00B3260C" w:rsidRPr="00E74FA9">
        <w:rPr>
          <w:b w:val="0"/>
        </w:rPr>
        <w:t>, separated by the way the rating was made.</w:t>
      </w:r>
      <w:r w:rsidR="004656F0" w:rsidRPr="00E74FA9">
        <w:rPr>
          <w:b w:val="0"/>
        </w:rPr>
        <w:t xml:space="preserve"> It can be seen that residents for whom the rating was based on sensation only tended to be assessed as more severe on the sensory perception item.</w:t>
      </w:r>
      <w:bookmarkStart w:id="86" w:name="_Ref525223269"/>
      <w:bookmarkStart w:id="87" w:name="_Ref529189495"/>
      <w:bookmarkStart w:id="88" w:name="_Ref529351904"/>
      <w:r w:rsidR="00AC2F3B">
        <w:rPr>
          <w:b w:val="0"/>
        </w:rPr>
        <w:br w:type="page"/>
      </w:r>
    </w:p>
    <w:p w14:paraId="46BD303C" w14:textId="77777777" w:rsidR="00B3260C" w:rsidRDefault="00B3260C" w:rsidP="00534F50">
      <w:pPr>
        <w:pStyle w:val="Caption"/>
        <w:keepNext/>
      </w:pPr>
      <w:bookmarkStart w:id="89" w:name="_Ref529888118"/>
      <w:bookmarkStart w:id="90" w:name="_Toc2065671"/>
      <w:r w:rsidRPr="00E56943">
        <w:lastRenderedPageBreak/>
        <w:t xml:space="preserve">Table </w:t>
      </w:r>
      <w:r>
        <w:rPr>
          <w:noProof/>
        </w:rPr>
        <w:fldChar w:fldCharType="begin"/>
      </w:r>
      <w:r>
        <w:rPr>
          <w:noProof/>
        </w:rPr>
        <w:instrText xml:space="preserve"> SEQ Table \* ARABIC </w:instrText>
      </w:r>
      <w:r>
        <w:rPr>
          <w:noProof/>
        </w:rPr>
        <w:fldChar w:fldCharType="separate"/>
      </w:r>
      <w:r w:rsidR="00EE18C8">
        <w:rPr>
          <w:noProof/>
        </w:rPr>
        <w:t>9</w:t>
      </w:r>
      <w:r>
        <w:rPr>
          <w:noProof/>
        </w:rPr>
        <w:fldChar w:fldCharType="end"/>
      </w:r>
      <w:bookmarkEnd w:id="86"/>
      <w:bookmarkEnd w:id="87"/>
      <w:bookmarkEnd w:id="88"/>
      <w:bookmarkEnd w:id="89"/>
      <w:r w:rsidR="00CF61F8">
        <w:rPr>
          <w:noProof/>
        </w:rPr>
        <w:t xml:space="preserve"> </w:t>
      </w:r>
      <w:r w:rsidR="00611842">
        <w:rPr>
          <w:noProof/>
        </w:rPr>
        <w:tab/>
      </w:r>
      <w:r w:rsidRPr="00E56943">
        <w:t>Distribution on the Braden sensory perception item by basis of rating</w:t>
      </w:r>
      <w:bookmarkEnd w:id="9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Distribution on the Braden sensory perception item by basis of rating"/>
        <w:tblDescription w:val="Table 9 shows the percentage of responses in each category of the sensory perception item, separated by the way the rating was made. The table should be read as a series of rows from left to right ('Braden sensory items options' then 'basis of rating: communication' then basis of rating: sensation' then ' basis of rating: communication and sensation')."/>
      </w:tblPr>
      <w:tblGrid>
        <w:gridCol w:w="1720"/>
        <w:gridCol w:w="2169"/>
        <w:gridCol w:w="1677"/>
        <w:gridCol w:w="3494"/>
      </w:tblGrid>
      <w:tr w:rsidR="004774E8" w:rsidRPr="00AA00FA" w14:paraId="5BB7B2FB" w14:textId="77777777" w:rsidTr="001F29C4">
        <w:trPr>
          <w:trHeight w:val="290"/>
          <w:tblHeader/>
        </w:trPr>
        <w:tc>
          <w:tcPr>
            <w:tcW w:w="0" w:type="auto"/>
            <w:tcBorders>
              <w:top w:val="single" w:sz="4" w:space="0" w:color="auto"/>
              <w:bottom w:val="single" w:sz="4" w:space="0" w:color="auto"/>
              <w:right w:val="single" w:sz="4" w:space="0" w:color="auto"/>
            </w:tcBorders>
            <w:shd w:val="clear" w:color="auto" w:fill="D9D9D9" w:themeFill="background1" w:themeFillShade="D9"/>
            <w:vAlign w:val="center"/>
            <w:hideMark/>
          </w:tcPr>
          <w:p w14:paraId="2E0FA182" w14:textId="77777777" w:rsidR="00B3260C" w:rsidRPr="00AA00FA" w:rsidRDefault="00A47B5B" w:rsidP="00FB05DE">
            <w:pPr>
              <w:spacing w:before="40" w:after="40"/>
              <w:rPr>
                <w:rFonts w:ascii="Calibri" w:hAnsi="Calibri" w:cs="Calibri"/>
                <w:b/>
                <w:color w:val="000000"/>
                <w:sz w:val="20"/>
                <w:szCs w:val="20"/>
              </w:rPr>
            </w:pPr>
            <w:r w:rsidRPr="00AA00FA">
              <w:rPr>
                <w:rFonts w:ascii="Calibri" w:hAnsi="Calibri" w:cs="Calibri"/>
                <w:b/>
                <w:color w:val="000000"/>
                <w:sz w:val="20"/>
                <w:szCs w:val="20"/>
              </w:rPr>
              <w:t>Braden sensory item options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B3CE05" w14:textId="7F08229F" w:rsidR="00B3260C" w:rsidRPr="00AA00FA" w:rsidRDefault="004774E8" w:rsidP="00D14C87">
            <w:pPr>
              <w:spacing w:before="40" w:after="40"/>
              <w:jc w:val="right"/>
              <w:rPr>
                <w:rFonts w:ascii="Calibri" w:hAnsi="Calibri" w:cs="Calibri"/>
                <w:b/>
                <w:color w:val="000000"/>
                <w:sz w:val="20"/>
                <w:szCs w:val="20"/>
              </w:rPr>
            </w:pPr>
            <w:r>
              <w:rPr>
                <w:rFonts w:ascii="Calibri" w:hAnsi="Calibri" w:cs="Calibri"/>
                <w:b/>
                <w:color w:val="000000"/>
                <w:sz w:val="20"/>
                <w:szCs w:val="20"/>
              </w:rPr>
              <w:t>Basis of rating:</w:t>
            </w:r>
            <w:r>
              <w:rPr>
                <w:rFonts w:ascii="Calibri" w:hAnsi="Calibri" w:cs="Calibri"/>
                <w:b/>
                <w:color w:val="000000"/>
                <w:sz w:val="20"/>
                <w:szCs w:val="20"/>
              </w:rPr>
              <w:br/>
            </w:r>
            <w:r w:rsidR="00B3260C" w:rsidRPr="00AA00FA">
              <w:rPr>
                <w:rFonts w:ascii="Calibri" w:hAnsi="Calibri" w:cs="Calibri"/>
                <w:b/>
                <w:color w:val="000000"/>
                <w:sz w:val="20"/>
                <w:szCs w:val="20"/>
              </w:rPr>
              <w:t>Communication (n=218)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F36ED6" w14:textId="47FF17CC" w:rsidR="00B3260C" w:rsidRPr="00AA00FA" w:rsidRDefault="004774E8" w:rsidP="00D14C87">
            <w:pPr>
              <w:spacing w:before="40" w:after="40"/>
              <w:jc w:val="right"/>
              <w:rPr>
                <w:rFonts w:ascii="Calibri" w:hAnsi="Calibri" w:cs="Calibri"/>
                <w:b/>
                <w:color w:val="000000"/>
                <w:sz w:val="20"/>
                <w:szCs w:val="20"/>
              </w:rPr>
            </w:pPr>
            <w:r>
              <w:rPr>
                <w:rFonts w:ascii="Calibri" w:hAnsi="Calibri" w:cs="Calibri"/>
                <w:b/>
                <w:color w:val="000000"/>
                <w:sz w:val="20"/>
                <w:szCs w:val="20"/>
              </w:rPr>
              <w:t>Basis of rating:</w:t>
            </w:r>
            <w:r>
              <w:rPr>
                <w:rFonts w:ascii="Calibri" w:hAnsi="Calibri" w:cs="Calibri"/>
                <w:b/>
                <w:color w:val="000000"/>
                <w:sz w:val="20"/>
                <w:szCs w:val="20"/>
              </w:rPr>
              <w:br/>
            </w:r>
            <w:r w:rsidR="00B3260C" w:rsidRPr="00AA00FA">
              <w:rPr>
                <w:rFonts w:ascii="Calibri" w:hAnsi="Calibri" w:cs="Calibri"/>
                <w:b/>
                <w:color w:val="000000"/>
                <w:sz w:val="20"/>
                <w:szCs w:val="20"/>
              </w:rPr>
              <w:t>Sensation (n=237)</w:t>
            </w:r>
          </w:p>
        </w:tc>
        <w:tc>
          <w:tcPr>
            <w:tcW w:w="0" w:type="auto"/>
            <w:tcBorders>
              <w:top w:val="single" w:sz="4" w:space="0" w:color="auto"/>
              <w:left w:val="single" w:sz="4" w:space="0" w:color="auto"/>
              <w:bottom w:val="single" w:sz="4" w:space="0" w:color="auto"/>
            </w:tcBorders>
            <w:shd w:val="clear" w:color="auto" w:fill="D9D9D9" w:themeFill="background1" w:themeFillShade="D9"/>
            <w:noWrap/>
            <w:vAlign w:val="center"/>
            <w:hideMark/>
          </w:tcPr>
          <w:p w14:paraId="59EFB320" w14:textId="1D53ADD6" w:rsidR="00B3260C" w:rsidRPr="00AA00FA" w:rsidRDefault="004774E8" w:rsidP="00D14C87">
            <w:pPr>
              <w:spacing w:before="40" w:after="40"/>
              <w:jc w:val="right"/>
              <w:rPr>
                <w:rFonts w:ascii="Calibri" w:hAnsi="Calibri" w:cs="Calibri"/>
                <w:b/>
                <w:color w:val="000000"/>
                <w:sz w:val="20"/>
                <w:szCs w:val="20"/>
              </w:rPr>
            </w:pPr>
            <w:r>
              <w:rPr>
                <w:rFonts w:ascii="Calibri" w:hAnsi="Calibri" w:cs="Calibri"/>
                <w:b/>
                <w:color w:val="000000"/>
                <w:sz w:val="20"/>
                <w:szCs w:val="20"/>
              </w:rPr>
              <w:t>Basis of rating:</w:t>
            </w:r>
            <w:r>
              <w:rPr>
                <w:rFonts w:ascii="Calibri" w:hAnsi="Calibri" w:cs="Calibri"/>
                <w:b/>
                <w:color w:val="000000"/>
                <w:sz w:val="20"/>
                <w:szCs w:val="20"/>
              </w:rPr>
              <w:br/>
            </w:r>
            <w:r w:rsidR="00B3260C" w:rsidRPr="00AA00FA">
              <w:rPr>
                <w:rFonts w:ascii="Calibri" w:hAnsi="Calibri" w:cs="Calibri"/>
                <w:b/>
                <w:color w:val="000000"/>
                <w:sz w:val="20"/>
                <w:szCs w:val="20"/>
              </w:rPr>
              <w:t>Communication and sensation (n=1,374)</w:t>
            </w:r>
          </w:p>
        </w:tc>
      </w:tr>
      <w:tr w:rsidR="004774E8" w:rsidRPr="00AA00FA" w14:paraId="33B39FFB" w14:textId="77777777" w:rsidTr="007F45FD">
        <w:trPr>
          <w:trHeight w:val="290"/>
        </w:trPr>
        <w:tc>
          <w:tcPr>
            <w:tcW w:w="0" w:type="auto"/>
            <w:tcBorders>
              <w:top w:val="single" w:sz="4" w:space="0" w:color="auto"/>
              <w:bottom w:val="single" w:sz="4" w:space="0" w:color="auto"/>
              <w:right w:val="single" w:sz="4" w:space="0" w:color="auto"/>
            </w:tcBorders>
            <w:shd w:val="clear" w:color="auto" w:fill="auto"/>
            <w:noWrap/>
            <w:vAlign w:val="bottom"/>
            <w:hideMark/>
          </w:tcPr>
          <w:p w14:paraId="315A37A7"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Completely limited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5CDC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D390"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w:t>
            </w:r>
          </w:p>
        </w:tc>
        <w:tc>
          <w:tcPr>
            <w:tcW w:w="0" w:type="auto"/>
            <w:tcBorders>
              <w:top w:val="single" w:sz="4" w:space="0" w:color="auto"/>
              <w:left w:val="single" w:sz="4" w:space="0" w:color="auto"/>
              <w:bottom w:val="single" w:sz="4" w:space="0" w:color="auto"/>
            </w:tcBorders>
            <w:shd w:val="clear" w:color="auto" w:fill="auto"/>
            <w:noWrap/>
            <w:vAlign w:val="bottom"/>
            <w:hideMark/>
          </w:tcPr>
          <w:p w14:paraId="1AB52E0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4774E8" w:rsidRPr="00AA00FA" w14:paraId="61443F3D" w14:textId="77777777" w:rsidTr="007F45FD">
        <w:trPr>
          <w:trHeight w:val="290"/>
        </w:trPr>
        <w:tc>
          <w:tcPr>
            <w:tcW w:w="0" w:type="auto"/>
            <w:tcBorders>
              <w:top w:val="single" w:sz="4" w:space="0" w:color="auto"/>
              <w:bottom w:val="single" w:sz="4" w:space="0" w:color="auto"/>
              <w:right w:val="single" w:sz="4" w:space="0" w:color="auto"/>
            </w:tcBorders>
            <w:shd w:val="clear" w:color="auto" w:fill="auto"/>
            <w:noWrap/>
            <w:vAlign w:val="bottom"/>
            <w:hideMark/>
          </w:tcPr>
          <w:p w14:paraId="0D0D2712"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Very limited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8A92"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E33F"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29%</w:t>
            </w:r>
          </w:p>
        </w:tc>
        <w:tc>
          <w:tcPr>
            <w:tcW w:w="0" w:type="auto"/>
            <w:tcBorders>
              <w:top w:val="single" w:sz="4" w:space="0" w:color="auto"/>
              <w:left w:val="single" w:sz="4" w:space="0" w:color="auto"/>
              <w:bottom w:val="single" w:sz="4" w:space="0" w:color="auto"/>
            </w:tcBorders>
            <w:shd w:val="clear" w:color="auto" w:fill="auto"/>
            <w:noWrap/>
            <w:vAlign w:val="bottom"/>
            <w:hideMark/>
          </w:tcPr>
          <w:p w14:paraId="454ACA6B"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16%</w:t>
            </w:r>
          </w:p>
        </w:tc>
      </w:tr>
      <w:tr w:rsidR="004774E8" w:rsidRPr="00AA00FA" w14:paraId="50930532" w14:textId="77777777" w:rsidTr="007F45FD">
        <w:trPr>
          <w:trHeight w:val="290"/>
        </w:trPr>
        <w:tc>
          <w:tcPr>
            <w:tcW w:w="0" w:type="auto"/>
            <w:tcBorders>
              <w:top w:val="single" w:sz="4" w:space="0" w:color="auto"/>
              <w:bottom w:val="single" w:sz="4" w:space="0" w:color="auto"/>
              <w:right w:val="single" w:sz="4" w:space="0" w:color="auto"/>
            </w:tcBorders>
            <w:shd w:val="clear" w:color="auto" w:fill="auto"/>
            <w:noWrap/>
            <w:vAlign w:val="bottom"/>
            <w:hideMark/>
          </w:tcPr>
          <w:p w14:paraId="123AF53C"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Slightly limited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EABC0"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E45A"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41%</w:t>
            </w:r>
          </w:p>
        </w:tc>
        <w:tc>
          <w:tcPr>
            <w:tcW w:w="0" w:type="auto"/>
            <w:tcBorders>
              <w:top w:val="single" w:sz="4" w:space="0" w:color="auto"/>
              <w:left w:val="single" w:sz="4" w:space="0" w:color="auto"/>
              <w:bottom w:val="single" w:sz="4" w:space="0" w:color="auto"/>
            </w:tcBorders>
            <w:shd w:val="clear" w:color="auto" w:fill="auto"/>
            <w:noWrap/>
            <w:vAlign w:val="bottom"/>
            <w:hideMark/>
          </w:tcPr>
          <w:p w14:paraId="1E98376D"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41%</w:t>
            </w:r>
          </w:p>
        </w:tc>
      </w:tr>
      <w:tr w:rsidR="004774E8" w:rsidRPr="00AA00FA" w14:paraId="425CB132" w14:textId="77777777" w:rsidTr="007F45FD">
        <w:trPr>
          <w:trHeight w:val="290"/>
        </w:trPr>
        <w:tc>
          <w:tcPr>
            <w:tcW w:w="0" w:type="auto"/>
            <w:tcBorders>
              <w:top w:val="single" w:sz="4" w:space="0" w:color="auto"/>
              <w:bottom w:val="single" w:sz="4" w:space="0" w:color="auto"/>
              <w:right w:val="single" w:sz="4" w:space="0" w:color="auto"/>
            </w:tcBorders>
            <w:shd w:val="clear" w:color="auto" w:fill="auto"/>
            <w:noWrap/>
            <w:vAlign w:val="bottom"/>
            <w:hideMark/>
          </w:tcPr>
          <w:p w14:paraId="333B3CA3"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No impairment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FB28"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CDB04"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18%</w:t>
            </w:r>
          </w:p>
        </w:tc>
        <w:tc>
          <w:tcPr>
            <w:tcW w:w="0" w:type="auto"/>
            <w:tcBorders>
              <w:top w:val="single" w:sz="4" w:space="0" w:color="auto"/>
              <w:left w:val="single" w:sz="4" w:space="0" w:color="auto"/>
              <w:bottom w:val="single" w:sz="4" w:space="0" w:color="auto"/>
            </w:tcBorders>
            <w:shd w:val="clear" w:color="auto" w:fill="auto"/>
            <w:noWrap/>
            <w:vAlign w:val="bottom"/>
            <w:hideMark/>
          </w:tcPr>
          <w:p w14:paraId="464AE5BF" w14:textId="77777777" w:rsidR="00B3260C" w:rsidRPr="00AA00FA" w:rsidRDefault="00B3260C"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39%</w:t>
            </w:r>
          </w:p>
        </w:tc>
      </w:tr>
    </w:tbl>
    <w:p w14:paraId="790698B6" w14:textId="77777777" w:rsidR="00B3260C" w:rsidRDefault="00B3260C" w:rsidP="00534F50">
      <w:pPr>
        <w:pStyle w:val="Heading2"/>
      </w:pPr>
      <w:bookmarkStart w:id="91" w:name="_Toc2070323"/>
      <w:r>
        <w:t xml:space="preserve">The De Morton Mobility Index (DEMMI) </w:t>
      </w:r>
      <w:r w:rsidR="009A7CC6">
        <w:t>-</w:t>
      </w:r>
      <w:r>
        <w:t xml:space="preserve"> Modified</w:t>
      </w:r>
      <w:bookmarkEnd w:id="91"/>
      <w:r>
        <w:t xml:space="preserve"> </w:t>
      </w:r>
    </w:p>
    <w:p w14:paraId="0D1D7E3F" w14:textId="77777777" w:rsidR="00B3260C" w:rsidRDefault="00B3260C" w:rsidP="00E713AF">
      <w:pPr>
        <w:spacing w:before="120" w:after="120"/>
      </w:pPr>
      <w:r>
        <w:t xml:space="preserve">The DEMMI measures mobility in older people. The modification for this study has resulted in four domains being assessed – bed mobility, chair mobility, static balance (for ten seconds or more with no gait aid) and walking. Within each domain there are two, three or four tasks. For most tasks, the resident was rated as either able or unable to perform the relevant activity; for four of the tasks, the resident could also be rated as partially able to perform the activity. Scores were added with the total ranging from 0 to 16 with 0 representing the lowest level of mobility and 16 representing the most independent on the tasks assessed. The distribution of scores is presented in </w:t>
      </w:r>
      <w:r>
        <w:rPr>
          <w:highlight w:val="yellow"/>
        </w:rPr>
        <w:fldChar w:fldCharType="begin"/>
      </w:r>
      <w:r>
        <w:instrText xml:space="preserve"> REF _Ref525223442 \h </w:instrText>
      </w:r>
      <w:r>
        <w:rPr>
          <w:highlight w:val="yellow"/>
        </w:rPr>
      </w:r>
      <w:r>
        <w:rPr>
          <w:highlight w:val="yellow"/>
        </w:rPr>
        <w:fldChar w:fldCharType="separate"/>
      </w:r>
      <w:r w:rsidR="00EE18C8">
        <w:t xml:space="preserve">Table </w:t>
      </w:r>
      <w:r w:rsidR="00EE18C8">
        <w:rPr>
          <w:noProof/>
        </w:rPr>
        <w:t>10</w:t>
      </w:r>
      <w:r>
        <w:rPr>
          <w:highlight w:val="yellow"/>
        </w:rPr>
        <w:fldChar w:fldCharType="end"/>
      </w:r>
      <w:r w:rsidR="00FB05DE">
        <w:t>.</w:t>
      </w:r>
    </w:p>
    <w:p w14:paraId="3F8101BE" w14:textId="77777777" w:rsidR="00B3260C" w:rsidRDefault="00B3260C" w:rsidP="00B3260C">
      <w:pPr>
        <w:pStyle w:val="Caption"/>
      </w:pPr>
      <w:bookmarkStart w:id="92" w:name="_Ref525223442"/>
      <w:bookmarkStart w:id="93" w:name="_Toc2065672"/>
      <w:r>
        <w:t xml:space="preserve">Table </w:t>
      </w:r>
      <w:r>
        <w:rPr>
          <w:noProof/>
        </w:rPr>
        <w:fldChar w:fldCharType="begin"/>
      </w:r>
      <w:r>
        <w:rPr>
          <w:noProof/>
        </w:rPr>
        <w:instrText xml:space="preserve"> SEQ Table \* ARABIC </w:instrText>
      </w:r>
      <w:r>
        <w:rPr>
          <w:noProof/>
        </w:rPr>
        <w:fldChar w:fldCharType="separate"/>
      </w:r>
      <w:r w:rsidR="00EE18C8">
        <w:rPr>
          <w:noProof/>
        </w:rPr>
        <w:t>10</w:t>
      </w:r>
      <w:r>
        <w:rPr>
          <w:noProof/>
        </w:rPr>
        <w:fldChar w:fldCharType="end"/>
      </w:r>
      <w:bookmarkEnd w:id="92"/>
      <w:r w:rsidR="00611842">
        <w:rPr>
          <w:noProof/>
        </w:rPr>
        <w:tab/>
      </w:r>
      <w:r>
        <w:t>Distribution of score on the DEMMI</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tribution of score on the DEMMI"/>
        <w:tblDescription w:val="Table 10 shows the distribution of scores on the DEMMI across the study population. The largest group of residents (22 percent) were rated as unable to perform any of the tasks assessed. The table should be read as a series of rows from left to right ('DEMMI score' then 'number of residents' then 'percentage of residents')."/>
      </w:tblPr>
      <w:tblGrid>
        <w:gridCol w:w="1331"/>
        <w:gridCol w:w="1536"/>
        <w:gridCol w:w="2203"/>
      </w:tblGrid>
      <w:tr w:rsidR="00867576" w:rsidRPr="00AA00FA" w14:paraId="1D058AC1" w14:textId="77777777" w:rsidTr="00D6251D">
        <w:trPr>
          <w:trHeight w:val="300"/>
          <w:tblHeader/>
        </w:trPr>
        <w:tc>
          <w:tcPr>
            <w:tcW w:w="0" w:type="auto"/>
            <w:shd w:val="clear" w:color="auto" w:fill="D9D9D9" w:themeFill="background1" w:themeFillShade="D9"/>
            <w:noWrap/>
            <w:vAlign w:val="bottom"/>
            <w:hideMark/>
          </w:tcPr>
          <w:p w14:paraId="532C9B1B" w14:textId="77777777" w:rsidR="00867576" w:rsidRPr="00AA00FA" w:rsidRDefault="00A47B5B" w:rsidP="00534F50">
            <w:pPr>
              <w:spacing w:before="40" w:after="40"/>
              <w:rPr>
                <w:rFonts w:ascii="Calibri" w:hAnsi="Calibri" w:cs="Calibri"/>
                <w:b/>
                <w:color w:val="000000"/>
                <w:sz w:val="20"/>
                <w:szCs w:val="20"/>
              </w:rPr>
            </w:pPr>
            <w:r>
              <w:rPr>
                <w:rFonts w:ascii="Calibri" w:hAnsi="Calibri" w:cs="Calibri"/>
                <w:b/>
                <w:color w:val="000000"/>
                <w:sz w:val="20"/>
                <w:szCs w:val="20"/>
              </w:rPr>
              <w:t>DEMMI score</w:t>
            </w:r>
          </w:p>
        </w:tc>
        <w:tc>
          <w:tcPr>
            <w:tcW w:w="0" w:type="auto"/>
            <w:shd w:val="clear" w:color="auto" w:fill="D9D9D9" w:themeFill="background1" w:themeFillShade="D9"/>
            <w:noWrap/>
            <w:vAlign w:val="bottom"/>
            <w:hideMark/>
          </w:tcPr>
          <w:p w14:paraId="714746C7" w14:textId="77777777" w:rsidR="00867576" w:rsidRPr="00AA00FA" w:rsidRDefault="00867576"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No. of residents</w:t>
            </w:r>
          </w:p>
        </w:tc>
        <w:tc>
          <w:tcPr>
            <w:tcW w:w="2203" w:type="dxa"/>
            <w:shd w:val="clear" w:color="auto" w:fill="D9D9D9" w:themeFill="background1" w:themeFillShade="D9"/>
            <w:noWrap/>
            <w:vAlign w:val="bottom"/>
            <w:hideMark/>
          </w:tcPr>
          <w:p w14:paraId="567336AE" w14:textId="77777777" w:rsidR="00867576" w:rsidRPr="00AA00FA" w:rsidRDefault="00867576"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Percentage of residents</w:t>
            </w:r>
          </w:p>
        </w:tc>
      </w:tr>
      <w:tr w:rsidR="00867576" w:rsidRPr="00AA00FA" w14:paraId="126C91C9" w14:textId="77777777" w:rsidTr="00D6251D">
        <w:trPr>
          <w:trHeight w:val="300"/>
        </w:trPr>
        <w:tc>
          <w:tcPr>
            <w:tcW w:w="0" w:type="auto"/>
            <w:shd w:val="clear" w:color="auto" w:fill="auto"/>
            <w:noWrap/>
            <w:vAlign w:val="bottom"/>
            <w:hideMark/>
          </w:tcPr>
          <w:p w14:paraId="78A8C3E9"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0</w:t>
            </w:r>
          </w:p>
        </w:tc>
        <w:tc>
          <w:tcPr>
            <w:tcW w:w="0" w:type="auto"/>
            <w:shd w:val="clear" w:color="auto" w:fill="auto"/>
            <w:noWrap/>
            <w:vAlign w:val="bottom"/>
            <w:hideMark/>
          </w:tcPr>
          <w:p w14:paraId="7D70AB84"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417</w:t>
            </w:r>
          </w:p>
        </w:tc>
        <w:tc>
          <w:tcPr>
            <w:tcW w:w="2203" w:type="dxa"/>
            <w:shd w:val="clear" w:color="auto" w:fill="auto"/>
            <w:noWrap/>
            <w:vAlign w:val="bottom"/>
            <w:hideMark/>
          </w:tcPr>
          <w:p w14:paraId="6670DA1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22%</w:t>
            </w:r>
          </w:p>
        </w:tc>
      </w:tr>
      <w:tr w:rsidR="00867576" w:rsidRPr="00AA00FA" w14:paraId="33F2B2AF" w14:textId="77777777" w:rsidTr="00D6251D">
        <w:trPr>
          <w:trHeight w:val="300"/>
        </w:trPr>
        <w:tc>
          <w:tcPr>
            <w:tcW w:w="0" w:type="auto"/>
            <w:shd w:val="clear" w:color="auto" w:fill="auto"/>
            <w:noWrap/>
            <w:vAlign w:val="bottom"/>
            <w:hideMark/>
          </w:tcPr>
          <w:p w14:paraId="6A217A2C"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w:t>
            </w:r>
          </w:p>
        </w:tc>
        <w:tc>
          <w:tcPr>
            <w:tcW w:w="0" w:type="auto"/>
            <w:shd w:val="clear" w:color="auto" w:fill="auto"/>
            <w:noWrap/>
            <w:vAlign w:val="bottom"/>
            <w:hideMark/>
          </w:tcPr>
          <w:p w14:paraId="2158E5F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89</w:t>
            </w:r>
          </w:p>
        </w:tc>
        <w:tc>
          <w:tcPr>
            <w:tcW w:w="2203" w:type="dxa"/>
            <w:shd w:val="clear" w:color="auto" w:fill="auto"/>
            <w:noWrap/>
            <w:vAlign w:val="bottom"/>
            <w:hideMark/>
          </w:tcPr>
          <w:p w14:paraId="6A7C0C5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r>
      <w:tr w:rsidR="00867576" w:rsidRPr="00AA00FA" w14:paraId="2A2EE9C9" w14:textId="77777777" w:rsidTr="00D6251D">
        <w:trPr>
          <w:trHeight w:val="300"/>
        </w:trPr>
        <w:tc>
          <w:tcPr>
            <w:tcW w:w="0" w:type="auto"/>
            <w:shd w:val="clear" w:color="auto" w:fill="auto"/>
            <w:noWrap/>
            <w:vAlign w:val="bottom"/>
            <w:hideMark/>
          </w:tcPr>
          <w:p w14:paraId="00BDC330"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2</w:t>
            </w:r>
          </w:p>
        </w:tc>
        <w:tc>
          <w:tcPr>
            <w:tcW w:w="0" w:type="auto"/>
            <w:shd w:val="clear" w:color="auto" w:fill="auto"/>
            <w:noWrap/>
            <w:vAlign w:val="bottom"/>
            <w:hideMark/>
          </w:tcPr>
          <w:p w14:paraId="0AF5B33A"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70</w:t>
            </w:r>
          </w:p>
        </w:tc>
        <w:tc>
          <w:tcPr>
            <w:tcW w:w="2203" w:type="dxa"/>
            <w:shd w:val="clear" w:color="auto" w:fill="auto"/>
            <w:noWrap/>
            <w:vAlign w:val="bottom"/>
            <w:hideMark/>
          </w:tcPr>
          <w:p w14:paraId="0EE960B0"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331E0368" w14:textId="77777777" w:rsidTr="00D6251D">
        <w:trPr>
          <w:trHeight w:val="300"/>
        </w:trPr>
        <w:tc>
          <w:tcPr>
            <w:tcW w:w="0" w:type="auto"/>
            <w:shd w:val="clear" w:color="auto" w:fill="auto"/>
            <w:noWrap/>
            <w:vAlign w:val="bottom"/>
            <w:hideMark/>
          </w:tcPr>
          <w:p w14:paraId="64CB9BCC"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3</w:t>
            </w:r>
          </w:p>
        </w:tc>
        <w:tc>
          <w:tcPr>
            <w:tcW w:w="0" w:type="auto"/>
            <w:shd w:val="clear" w:color="auto" w:fill="auto"/>
            <w:noWrap/>
            <w:vAlign w:val="bottom"/>
            <w:hideMark/>
          </w:tcPr>
          <w:p w14:paraId="7224C626"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71</w:t>
            </w:r>
          </w:p>
        </w:tc>
        <w:tc>
          <w:tcPr>
            <w:tcW w:w="2203" w:type="dxa"/>
            <w:shd w:val="clear" w:color="auto" w:fill="auto"/>
            <w:noWrap/>
            <w:vAlign w:val="bottom"/>
            <w:hideMark/>
          </w:tcPr>
          <w:p w14:paraId="07D28AA8"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7FA0C141" w14:textId="77777777" w:rsidTr="00D6251D">
        <w:trPr>
          <w:trHeight w:val="300"/>
        </w:trPr>
        <w:tc>
          <w:tcPr>
            <w:tcW w:w="0" w:type="auto"/>
            <w:shd w:val="clear" w:color="auto" w:fill="auto"/>
            <w:noWrap/>
            <w:vAlign w:val="bottom"/>
            <w:hideMark/>
          </w:tcPr>
          <w:p w14:paraId="21758559"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4</w:t>
            </w:r>
          </w:p>
        </w:tc>
        <w:tc>
          <w:tcPr>
            <w:tcW w:w="0" w:type="auto"/>
            <w:shd w:val="clear" w:color="auto" w:fill="auto"/>
            <w:noWrap/>
            <w:vAlign w:val="bottom"/>
            <w:hideMark/>
          </w:tcPr>
          <w:p w14:paraId="348975A2"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74</w:t>
            </w:r>
          </w:p>
        </w:tc>
        <w:tc>
          <w:tcPr>
            <w:tcW w:w="2203" w:type="dxa"/>
            <w:shd w:val="clear" w:color="auto" w:fill="auto"/>
            <w:noWrap/>
            <w:vAlign w:val="bottom"/>
            <w:hideMark/>
          </w:tcPr>
          <w:p w14:paraId="18729A9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0421A18B" w14:textId="77777777" w:rsidTr="00D6251D">
        <w:trPr>
          <w:trHeight w:val="300"/>
        </w:trPr>
        <w:tc>
          <w:tcPr>
            <w:tcW w:w="0" w:type="auto"/>
            <w:shd w:val="clear" w:color="auto" w:fill="auto"/>
            <w:noWrap/>
            <w:vAlign w:val="bottom"/>
            <w:hideMark/>
          </w:tcPr>
          <w:p w14:paraId="5522E23C"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5</w:t>
            </w:r>
          </w:p>
        </w:tc>
        <w:tc>
          <w:tcPr>
            <w:tcW w:w="0" w:type="auto"/>
            <w:shd w:val="clear" w:color="auto" w:fill="auto"/>
            <w:noWrap/>
            <w:vAlign w:val="bottom"/>
            <w:hideMark/>
          </w:tcPr>
          <w:p w14:paraId="364DE8F2"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73</w:t>
            </w:r>
          </w:p>
        </w:tc>
        <w:tc>
          <w:tcPr>
            <w:tcW w:w="2203" w:type="dxa"/>
            <w:shd w:val="clear" w:color="auto" w:fill="auto"/>
            <w:noWrap/>
            <w:vAlign w:val="bottom"/>
            <w:hideMark/>
          </w:tcPr>
          <w:p w14:paraId="65EE5AE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760BFF3E" w14:textId="77777777" w:rsidTr="00D6251D">
        <w:trPr>
          <w:trHeight w:val="300"/>
        </w:trPr>
        <w:tc>
          <w:tcPr>
            <w:tcW w:w="0" w:type="auto"/>
            <w:shd w:val="clear" w:color="auto" w:fill="auto"/>
            <w:noWrap/>
            <w:vAlign w:val="bottom"/>
            <w:hideMark/>
          </w:tcPr>
          <w:p w14:paraId="193EF444"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6</w:t>
            </w:r>
          </w:p>
        </w:tc>
        <w:tc>
          <w:tcPr>
            <w:tcW w:w="0" w:type="auto"/>
            <w:shd w:val="clear" w:color="auto" w:fill="auto"/>
            <w:noWrap/>
            <w:vAlign w:val="bottom"/>
            <w:hideMark/>
          </w:tcPr>
          <w:p w14:paraId="1F2D92F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76</w:t>
            </w:r>
          </w:p>
        </w:tc>
        <w:tc>
          <w:tcPr>
            <w:tcW w:w="2203" w:type="dxa"/>
            <w:shd w:val="clear" w:color="auto" w:fill="auto"/>
            <w:noWrap/>
            <w:vAlign w:val="bottom"/>
            <w:hideMark/>
          </w:tcPr>
          <w:p w14:paraId="326C0BC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597CCAFA" w14:textId="77777777" w:rsidTr="00D6251D">
        <w:trPr>
          <w:trHeight w:val="300"/>
        </w:trPr>
        <w:tc>
          <w:tcPr>
            <w:tcW w:w="0" w:type="auto"/>
            <w:shd w:val="clear" w:color="auto" w:fill="auto"/>
            <w:noWrap/>
            <w:vAlign w:val="bottom"/>
            <w:hideMark/>
          </w:tcPr>
          <w:p w14:paraId="454BF1B2"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7</w:t>
            </w:r>
          </w:p>
        </w:tc>
        <w:tc>
          <w:tcPr>
            <w:tcW w:w="0" w:type="auto"/>
            <w:shd w:val="clear" w:color="auto" w:fill="auto"/>
            <w:noWrap/>
            <w:vAlign w:val="bottom"/>
            <w:hideMark/>
          </w:tcPr>
          <w:p w14:paraId="0D842364"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82</w:t>
            </w:r>
          </w:p>
        </w:tc>
        <w:tc>
          <w:tcPr>
            <w:tcW w:w="2203" w:type="dxa"/>
            <w:shd w:val="clear" w:color="auto" w:fill="auto"/>
            <w:noWrap/>
            <w:vAlign w:val="bottom"/>
            <w:hideMark/>
          </w:tcPr>
          <w:p w14:paraId="214E721F"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28C5E097" w14:textId="77777777" w:rsidTr="00D6251D">
        <w:trPr>
          <w:trHeight w:val="300"/>
        </w:trPr>
        <w:tc>
          <w:tcPr>
            <w:tcW w:w="0" w:type="auto"/>
            <w:shd w:val="clear" w:color="auto" w:fill="auto"/>
            <w:noWrap/>
            <w:vAlign w:val="bottom"/>
            <w:hideMark/>
          </w:tcPr>
          <w:p w14:paraId="2383D01C"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8</w:t>
            </w:r>
          </w:p>
        </w:tc>
        <w:tc>
          <w:tcPr>
            <w:tcW w:w="0" w:type="auto"/>
            <w:shd w:val="clear" w:color="auto" w:fill="auto"/>
            <w:noWrap/>
            <w:vAlign w:val="bottom"/>
            <w:hideMark/>
          </w:tcPr>
          <w:p w14:paraId="12D37C3F"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100</w:t>
            </w:r>
          </w:p>
        </w:tc>
        <w:tc>
          <w:tcPr>
            <w:tcW w:w="2203" w:type="dxa"/>
            <w:shd w:val="clear" w:color="auto" w:fill="auto"/>
            <w:noWrap/>
            <w:vAlign w:val="bottom"/>
            <w:hideMark/>
          </w:tcPr>
          <w:p w14:paraId="56522798"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r>
      <w:tr w:rsidR="00867576" w:rsidRPr="00AA00FA" w14:paraId="08707334" w14:textId="77777777" w:rsidTr="00D6251D">
        <w:trPr>
          <w:trHeight w:val="300"/>
        </w:trPr>
        <w:tc>
          <w:tcPr>
            <w:tcW w:w="0" w:type="auto"/>
            <w:shd w:val="clear" w:color="auto" w:fill="auto"/>
            <w:noWrap/>
            <w:vAlign w:val="bottom"/>
            <w:hideMark/>
          </w:tcPr>
          <w:p w14:paraId="4A45C9AF"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9</w:t>
            </w:r>
          </w:p>
        </w:tc>
        <w:tc>
          <w:tcPr>
            <w:tcW w:w="0" w:type="auto"/>
            <w:shd w:val="clear" w:color="auto" w:fill="auto"/>
            <w:noWrap/>
            <w:vAlign w:val="bottom"/>
            <w:hideMark/>
          </w:tcPr>
          <w:p w14:paraId="72572DB1"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97</w:t>
            </w:r>
          </w:p>
        </w:tc>
        <w:tc>
          <w:tcPr>
            <w:tcW w:w="2203" w:type="dxa"/>
            <w:shd w:val="clear" w:color="auto" w:fill="auto"/>
            <w:noWrap/>
            <w:vAlign w:val="bottom"/>
            <w:hideMark/>
          </w:tcPr>
          <w:p w14:paraId="1580C774"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r>
      <w:tr w:rsidR="00867576" w:rsidRPr="00AA00FA" w14:paraId="59836533" w14:textId="77777777" w:rsidTr="00D6251D">
        <w:trPr>
          <w:trHeight w:val="300"/>
        </w:trPr>
        <w:tc>
          <w:tcPr>
            <w:tcW w:w="0" w:type="auto"/>
            <w:shd w:val="clear" w:color="auto" w:fill="auto"/>
            <w:noWrap/>
            <w:vAlign w:val="bottom"/>
            <w:hideMark/>
          </w:tcPr>
          <w:p w14:paraId="5D003EFF"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10</w:t>
            </w:r>
          </w:p>
        </w:tc>
        <w:tc>
          <w:tcPr>
            <w:tcW w:w="0" w:type="auto"/>
            <w:shd w:val="clear" w:color="auto" w:fill="auto"/>
            <w:noWrap/>
            <w:vAlign w:val="bottom"/>
            <w:hideMark/>
          </w:tcPr>
          <w:p w14:paraId="6D7DA3CF"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95</w:t>
            </w:r>
          </w:p>
        </w:tc>
        <w:tc>
          <w:tcPr>
            <w:tcW w:w="2203" w:type="dxa"/>
            <w:shd w:val="clear" w:color="auto" w:fill="auto"/>
            <w:noWrap/>
            <w:vAlign w:val="bottom"/>
            <w:hideMark/>
          </w:tcPr>
          <w:p w14:paraId="080240FA"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r>
      <w:tr w:rsidR="00867576" w:rsidRPr="00AA00FA" w14:paraId="612975A7" w14:textId="77777777" w:rsidTr="00D6251D">
        <w:trPr>
          <w:trHeight w:val="300"/>
        </w:trPr>
        <w:tc>
          <w:tcPr>
            <w:tcW w:w="0" w:type="auto"/>
            <w:shd w:val="clear" w:color="auto" w:fill="auto"/>
            <w:noWrap/>
            <w:vAlign w:val="bottom"/>
            <w:hideMark/>
          </w:tcPr>
          <w:p w14:paraId="20CE4014"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11</w:t>
            </w:r>
          </w:p>
        </w:tc>
        <w:tc>
          <w:tcPr>
            <w:tcW w:w="0" w:type="auto"/>
            <w:shd w:val="clear" w:color="auto" w:fill="auto"/>
            <w:noWrap/>
            <w:vAlign w:val="bottom"/>
            <w:hideMark/>
          </w:tcPr>
          <w:p w14:paraId="237CFDFC"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156</w:t>
            </w:r>
          </w:p>
        </w:tc>
        <w:tc>
          <w:tcPr>
            <w:tcW w:w="2203" w:type="dxa"/>
            <w:shd w:val="clear" w:color="auto" w:fill="auto"/>
            <w:noWrap/>
            <w:vAlign w:val="bottom"/>
            <w:hideMark/>
          </w:tcPr>
          <w:p w14:paraId="0D28614D"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r>
      <w:tr w:rsidR="00867576" w:rsidRPr="00AA00FA" w14:paraId="4B1FB3F8" w14:textId="77777777" w:rsidTr="00D6251D">
        <w:trPr>
          <w:trHeight w:val="300"/>
        </w:trPr>
        <w:tc>
          <w:tcPr>
            <w:tcW w:w="0" w:type="auto"/>
            <w:shd w:val="clear" w:color="auto" w:fill="auto"/>
            <w:noWrap/>
            <w:vAlign w:val="bottom"/>
            <w:hideMark/>
          </w:tcPr>
          <w:p w14:paraId="0E9367BB"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12</w:t>
            </w:r>
          </w:p>
        </w:tc>
        <w:tc>
          <w:tcPr>
            <w:tcW w:w="0" w:type="auto"/>
            <w:shd w:val="clear" w:color="auto" w:fill="auto"/>
            <w:noWrap/>
            <w:vAlign w:val="bottom"/>
            <w:hideMark/>
          </w:tcPr>
          <w:p w14:paraId="47FF1F2A"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135</w:t>
            </w:r>
          </w:p>
        </w:tc>
        <w:tc>
          <w:tcPr>
            <w:tcW w:w="2203" w:type="dxa"/>
            <w:shd w:val="clear" w:color="auto" w:fill="auto"/>
            <w:noWrap/>
            <w:vAlign w:val="bottom"/>
            <w:hideMark/>
          </w:tcPr>
          <w:p w14:paraId="215B6ADF"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r>
      <w:tr w:rsidR="00867576" w:rsidRPr="00AA00FA" w14:paraId="70335BAF" w14:textId="77777777" w:rsidTr="00D6251D">
        <w:trPr>
          <w:trHeight w:val="300"/>
        </w:trPr>
        <w:tc>
          <w:tcPr>
            <w:tcW w:w="0" w:type="auto"/>
            <w:shd w:val="clear" w:color="auto" w:fill="auto"/>
            <w:noWrap/>
            <w:vAlign w:val="bottom"/>
            <w:hideMark/>
          </w:tcPr>
          <w:p w14:paraId="1A480B76"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13</w:t>
            </w:r>
          </w:p>
        </w:tc>
        <w:tc>
          <w:tcPr>
            <w:tcW w:w="0" w:type="auto"/>
            <w:shd w:val="clear" w:color="auto" w:fill="auto"/>
            <w:noWrap/>
            <w:vAlign w:val="bottom"/>
            <w:hideMark/>
          </w:tcPr>
          <w:p w14:paraId="58EC6397"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135</w:t>
            </w:r>
          </w:p>
        </w:tc>
        <w:tc>
          <w:tcPr>
            <w:tcW w:w="2203" w:type="dxa"/>
            <w:shd w:val="clear" w:color="auto" w:fill="auto"/>
            <w:noWrap/>
            <w:vAlign w:val="bottom"/>
            <w:hideMark/>
          </w:tcPr>
          <w:p w14:paraId="7FB57AC2"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r>
      <w:tr w:rsidR="00867576" w:rsidRPr="00AA00FA" w14:paraId="7ABC286F" w14:textId="77777777" w:rsidTr="00D6251D">
        <w:trPr>
          <w:trHeight w:val="300"/>
        </w:trPr>
        <w:tc>
          <w:tcPr>
            <w:tcW w:w="0" w:type="auto"/>
            <w:shd w:val="clear" w:color="auto" w:fill="auto"/>
            <w:noWrap/>
            <w:vAlign w:val="bottom"/>
            <w:hideMark/>
          </w:tcPr>
          <w:p w14:paraId="7D514879"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14</w:t>
            </w:r>
          </w:p>
        </w:tc>
        <w:tc>
          <w:tcPr>
            <w:tcW w:w="0" w:type="auto"/>
            <w:shd w:val="clear" w:color="auto" w:fill="auto"/>
            <w:noWrap/>
            <w:vAlign w:val="bottom"/>
            <w:hideMark/>
          </w:tcPr>
          <w:p w14:paraId="32564C8F"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71</w:t>
            </w:r>
          </w:p>
        </w:tc>
        <w:tc>
          <w:tcPr>
            <w:tcW w:w="2203" w:type="dxa"/>
            <w:shd w:val="clear" w:color="auto" w:fill="auto"/>
            <w:noWrap/>
            <w:vAlign w:val="bottom"/>
            <w:hideMark/>
          </w:tcPr>
          <w:p w14:paraId="33C3D481"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7F1347FC" w14:textId="77777777" w:rsidTr="00D6251D">
        <w:trPr>
          <w:trHeight w:val="300"/>
        </w:trPr>
        <w:tc>
          <w:tcPr>
            <w:tcW w:w="0" w:type="auto"/>
            <w:shd w:val="clear" w:color="auto" w:fill="auto"/>
            <w:noWrap/>
            <w:vAlign w:val="bottom"/>
            <w:hideMark/>
          </w:tcPr>
          <w:p w14:paraId="1F6826C8"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15</w:t>
            </w:r>
          </w:p>
        </w:tc>
        <w:tc>
          <w:tcPr>
            <w:tcW w:w="0" w:type="auto"/>
            <w:shd w:val="clear" w:color="auto" w:fill="auto"/>
            <w:noWrap/>
            <w:vAlign w:val="bottom"/>
            <w:hideMark/>
          </w:tcPr>
          <w:p w14:paraId="79A49541"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46</w:t>
            </w:r>
          </w:p>
        </w:tc>
        <w:tc>
          <w:tcPr>
            <w:tcW w:w="2203" w:type="dxa"/>
            <w:shd w:val="clear" w:color="auto" w:fill="auto"/>
            <w:noWrap/>
            <w:vAlign w:val="bottom"/>
            <w:hideMark/>
          </w:tcPr>
          <w:p w14:paraId="39FECD35"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r>
      <w:tr w:rsidR="00867576" w:rsidRPr="00AA00FA" w14:paraId="23AD2144" w14:textId="77777777" w:rsidTr="00D6251D">
        <w:trPr>
          <w:trHeight w:val="300"/>
        </w:trPr>
        <w:tc>
          <w:tcPr>
            <w:tcW w:w="0" w:type="auto"/>
            <w:shd w:val="clear" w:color="auto" w:fill="auto"/>
            <w:noWrap/>
            <w:vAlign w:val="bottom"/>
            <w:hideMark/>
          </w:tcPr>
          <w:p w14:paraId="21BD97AB"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16</w:t>
            </w:r>
          </w:p>
        </w:tc>
        <w:tc>
          <w:tcPr>
            <w:tcW w:w="0" w:type="auto"/>
            <w:shd w:val="clear" w:color="auto" w:fill="auto"/>
            <w:noWrap/>
            <w:vAlign w:val="bottom"/>
            <w:hideMark/>
          </w:tcPr>
          <w:p w14:paraId="01703E30"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18</w:t>
            </w:r>
          </w:p>
        </w:tc>
        <w:tc>
          <w:tcPr>
            <w:tcW w:w="2203" w:type="dxa"/>
            <w:shd w:val="clear" w:color="auto" w:fill="auto"/>
            <w:noWrap/>
            <w:vAlign w:val="bottom"/>
            <w:hideMark/>
          </w:tcPr>
          <w:p w14:paraId="4A0E5A5B"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867576" w:rsidRPr="00AA00FA" w14:paraId="1098F457" w14:textId="77777777" w:rsidTr="00D6251D">
        <w:trPr>
          <w:trHeight w:val="300"/>
        </w:trPr>
        <w:tc>
          <w:tcPr>
            <w:tcW w:w="0" w:type="auto"/>
            <w:shd w:val="clear" w:color="auto" w:fill="auto"/>
            <w:noWrap/>
            <w:vAlign w:val="bottom"/>
            <w:hideMark/>
          </w:tcPr>
          <w:p w14:paraId="43E1E23A"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Unknown</w:t>
            </w:r>
          </w:p>
        </w:tc>
        <w:tc>
          <w:tcPr>
            <w:tcW w:w="0" w:type="auto"/>
            <w:shd w:val="clear" w:color="auto" w:fill="auto"/>
            <w:noWrap/>
            <w:vAlign w:val="bottom"/>
            <w:hideMark/>
          </w:tcPr>
          <w:p w14:paraId="4BB0B192"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75</w:t>
            </w:r>
          </w:p>
        </w:tc>
        <w:tc>
          <w:tcPr>
            <w:tcW w:w="2203" w:type="dxa"/>
            <w:shd w:val="clear" w:color="auto" w:fill="auto"/>
            <w:noWrap/>
            <w:vAlign w:val="bottom"/>
            <w:hideMark/>
          </w:tcPr>
          <w:p w14:paraId="54991A76" w14:textId="77777777" w:rsidR="00867576" w:rsidRPr="00AA00FA" w:rsidRDefault="00867576" w:rsidP="00FB05DE">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2FD04D1B" w14:textId="77777777" w:rsidTr="00D6251D">
        <w:trPr>
          <w:trHeight w:val="300"/>
        </w:trPr>
        <w:tc>
          <w:tcPr>
            <w:tcW w:w="0" w:type="auto"/>
            <w:shd w:val="clear" w:color="auto" w:fill="auto"/>
            <w:noWrap/>
            <w:vAlign w:val="bottom"/>
            <w:hideMark/>
          </w:tcPr>
          <w:p w14:paraId="56E26E6B" w14:textId="77777777" w:rsidR="00867576" w:rsidRPr="00AA00FA" w:rsidRDefault="00867576" w:rsidP="00D14C87">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0" w:type="auto"/>
            <w:shd w:val="clear" w:color="auto" w:fill="auto"/>
            <w:noWrap/>
            <w:vAlign w:val="bottom"/>
            <w:hideMark/>
          </w:tcPr>
          <w:p w14:paraId="47B2DD48" w14:textId="77777777" w:rsidR="00867576" w:rsidRPr="00AA00FA" w:rsidRDefault="00867576"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1,880</w:t>
            </w:r>
          </w:p>
        </w:tc>
        <w:tc>
          <w:tcPr>
            <w:tcW w:w="2203" w:type="dxa"/>
            <w:shd w:val="clear" w:color="auto" w:fill="auto"/>
            <w:noWrap/>
            <w:vAlign w:val="bottom"/>
            <w:hideMark/>
          </w:tcPr>
          <w:p w14:paraId="33DFE7E7" w14:textId="77777777" w:rsidR="00867576" w:rsidRPr="00AA00FA" w:rsidRDefault="00867576"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w:t>
            </w:r>
          </w:p>
        </w:tc>
      </w:tr>
    </w:tbl>
    <w:p w14:paraId="652AC386" w14:textId="77777777" w:rsidR="00B3260C" w:rsidRDefault="00B3260C" w:rsidP="00FE46FD">
      <w:pPr>
        <w:pStyle w:val="Normal-nospacing"/>
      </w:pPr>
      <w:r>
        <w:lastRenderedPageBreak/>
        <w:fldChar w:fldCharType="begin"/>
      </w:r>
      <w:r>
        <w:instrText xml:space="preserve"> REF _Ref525223442 \h </w:instrText>
      </w:r>
      <w:r w:rsidR="00FE46FD">
        <w:instrText xml:space="preserve"> \* MERGEFORMAT </w:instrText>
      </w:r>
      <w:r>
        <w:fldChar w:fldCharType="separate"/>
      </w:r>
      <w:r w:rsidR="00EE18C8">
        <w:t xml:space="preserve">Table </w:t>
      </w:r>
      <w:r w:rsidR="00EE18C8">
        <w:rPr>
          <w:noProof/>
        </w:rPr>
        <w:t>10</w:t>
      </w:r>
      <w:r>
        <w:fldChar w:fldCharType="end"/>
      </w:r>
      <w:r>
        <w:t xml:space="preserve"> </w:t>
      </w:r>
      <w:r w:rsidR="009A7CC6">
        <w:t xml:space="preserve">shows </w:t>
      </w:r>
      <w:r>
        <w:t>that the largest group of residents (22%) were rated as unable to perform any of the tasks assessed. There is a fairly even distribution across the other scores, although fewer residents were rated with the highest score on all tasks. The other noticeable discrepancy is the unexpectedly higher number of residents scoring 11-13. Typically, these residents had some difficulty with activities such as a tandem stand with their eyes closed, standing on their toes or with their feet together, walking independently and standing from a sitting position without using their arms.</w:t>
      </w:r>
    </w:p>
    <w:p w14:paraId="349BC6CB" w14:textId="77777777" w:rsidR="00B3260C" w:rsidRDefault="00FF6332" w:rsidP="00FE46FD">
      <w:pPr>
        <w:pStyle w:val="Normal-nospacing"/>
      </w:pPr>
      <w:r>
        <w:t>Of the 75 ‘</w:t>
      </w:r>
      <w:r w:rsidR="00B3260C">
        <w:t>unknowns</w:t>
      </w:r>
      <w:r>
        <w:t>’</w:t>
      </w:r>
      <w:r w:rsidR="00B3260C">
        <w:t>, only 15 residents were not rated on any items at all. Typically for the others, just one score was missing. Every item was missing for at least one resident. However, the largest number of missing values was for the assessment of the resident’s ability to stand from a position of sitting on a chair, without using their arms to help them. The other frequently missing values were for the static balance items – standing unsupported or</w:t>
      </w:r>
      <w:r w:rsidR="00FB05DE">
        <w:t xml:space="preserve"> with feet together or on toes.</w:t>
      </w:r>
    </w:p>
    <w:p w14:paraId="57262ECA" w14:textId="77777777" w:rsidR="00B3260C" w:rsidRDefault="00B3260C" w:rsidP="0016396F">
      <w:pPr>
        <w:pStyle w:val="Heading3"/>
      </w:pPr>
      <w:r>
        <w:t>Functional hierarchy</w:t>
      </w:r>
    </w:p>
    <w:p w14:paraId="6EDDDB70" w14:textId="77777777" w:rsidR="00B3260C" w:rsidRDefault="00B3260C" w:rsidP="00FE46FD">
      <w:pPr>
        <w:pStyle w:val="Normal-nospacing"/>
      </w:pPr>
      <w:r>
        <w:t xml:space="preserve">As people age, they tend to lose functional </w:t>
      </w:r>
      <w:r w:rsidRPr="00A305E3">
        <w:t>abi</w:t>
      </w:r>
      <w:r>
        <w:t xml:space="preserve">lities in a predictable order. </w:t>
      </w:r>
      <w:r w:rsidRPr="00A305E3">
        <w:t xml:space="preserve">This means that a person who can function at a certain level on one particular task should also be able to carry out other related tasks. In addition, they are likely to be able to carry out </w:t>
      </w:r>
      <w:r w:rsidR="00926D62">
        <w:t>‘</w:t>
      </w:r>
      <w:r w:rsidRPr="00A305E3">
        <w:t>easier</w:t>
      </w:r>
      <w:r w:rsidR="00926D62">
        <w:t>’</w:t>
      </w:r>
      <w:r w:rsidRPr="00A305E3">
        <w:t xml:space="preserve"> tasks, or tasks t</w:t>
      </w:r>
      <w:r w:rsidR="00A47B5B">
        <w:t>hat are lower in the hierarchy.</w:t>
      </w:r>
    </w:p>
    <w:p w14:paraId="503852A5" w14:textId="77777777" w:rsidR="00B3260C" w:rsidRDefault="00B3260C" w:rsidP="00FE46FD">
      <w:pPr>
        <w:pStyle w:val="Normal-nospacing"/>
      </w:pPr>
      <w:r>
        <w:t>There is an expected</w:t>
      </w:r>
      <w:r w:rsidRPr="00A305E3">
        <w:t xml:space="preserve"> functional hierarchy</w:t>
      </w:r>
      <w:r>
        <w:t xml:space="preserve"> underlying the items in the DEMMI. The functional hierarchy inferred from the residents’ DEMMI assessment scores was com</w:t>
      </w:r>
      <w:r w:rsidR="00A47B5B">
        <w:t>pared to this expected pattern.</w:t>
      </w:r>
    </w:p>
    <w:p w14:paraId="1BC760A1" w14:textId="77777777" w:rsidR="00B3260C" w:rsidRDefault="00B3260C" w:rsidP="00FE46FD">
      <w:pPr>
        <w:pStyle w:val="Normal-nospacing"/>
      </w:pPr>
      <w:r>
        <w:t xml:space="preserve">The agreement between the functional hierarchy observed in the study population and that of the tool was quite high. The majority of residents who were rated as completely able to perform only one task were able to sit unsupported in a chair for ten seconds or more. This is also the </w:t>
      </w:r>
      <w:r w:rsidR="00926D62">
        <w:t>‘</w:t>
      </w:r>
      <w:r>
        <w:t>easiest</w:t>
      </w:r>
      <w:r w:rsidR="00926D62">
        <w:t>’</w:t>
      </w:r>
      <w:r>
        <w:t xml:space="preserve"> task assessed in the DEMMI. However, the next easiest task in the resident population was rolling onto their side in bed rather than forming a bridge in bed.</w:t>
      </w:r>
    </w:p>
    <w:p w14:paraId="4AD2CE6A" w14:textId="77777777" w:rsidR="00B3260C" w:rsidRDefault="00B3260C" w:rsidP="00FE46FD">
      <w:pPr>
        <w:pStyle w:val="Normal-nospacing"/>
      </w:pPr>
      <w:r>
        <w:t xml:space="preserve">If a resident was unable to do only one task independently it was most often standing from a sitting position on a chair without using their arms. This was different from the hardest item in the expected hierarchy, a tandem stand with eyes closed. However, the majority of residents who were not independent on two, three or four tasks conformed with the </w:t>
      </w:r>
      <w:r w:rsidR="00A47B5B">
        <w:t>expected functional hierarchy.</w:t>
      </w:r>
    </w:p>
    <w:p w14:paraId="14458EC1" w14:textId="77777777" w:rsidR="00B3260C" w:rsidRDefault="00B3260C" w:rsidP="0016396F">
      <w:pPr>
        <w:pStyle w:val="Heading3"/>
      </w:pPr>
      <w:r>
        <w:t>Pressure sore risk</w:t>
      </w:r>
    </w:p>
    <w:p w14:paraId="4B823836" w14:textId="77777777" w:rsidR="00AC2F3B" w:rsidRDefault="00B3260C" w:rsidP="00FE46FD">
      <w:pPr>
        <w:pStyle w:val="Normal-nospacing"/>
      </w:pPr>
      <w:r>
        <w:t xml:space="preserve">Further insight into the effect of mobility issues can be gained by looking at scores on the DEMMI with scores on the Braden tool. Bed mobility from the DEMMI (the sum of the three bed item scores) are tabulated with the Braden total score to give an indication of how the pressure sore risk changes with changing bed mobility in </w:t>
      </w:r>
      <w:r>
        <w:fldChar w:fldCharType="begin"/>
      </w:r>
      <w:r>
        <w:instrText xml:space="preserve"> REF _Ref525316779 \h </w:instrText>
      </w:r>
      <w:r w:rsidR="00FE46FD">
        <w:instrText xml:space="preserve"> \* MERGEFORMAT </w:instrText>
      </w:r>
      <w:r>
        <w:fldChar w:fldCharType="separate"/>
      </w:r>
      <w:r w:rsidR="00EE18C8">
        <w:t xml:space="preserve">Table </w:t>
      </w:r>
      <w:r w:rsidR="00EE18C8">
        <w:rPr>
          <w:noProof/>
        </w:rPr>
        <w:t>11</w:t>
      </w:r>
      <w:r>
        <w:fldChar w:fldCharType="end"/>
      </w:r>
      <w:r>
        <w:t>. Bed mobility rating ranges from 0 (unable to undertake any of the three tasks) to 4 (able to undertake all three tasks independently).</w:t>
      </w:r>
      <w:r w:rsidR="009A7CC6">
        <w:t xml:space="preserve"> Residents with greater bed mobility tend to have a lower risk of pressure injury.</w:t>
      </w:r>
      <w:r w:rsidR="00AC2F3B">
        <w:br w:type="page"/>
      </w:r>
    </w:p>
    <w:p w14:paraId="5DB34F00" w14:textId="77777777" w:rsidR="00B3260C" w:rsidRDefault="00B3260C" w:rsidP="00B3260C">
      <w:pPr>
        <w:pStyle w:val="Caption"/>
      </w:pPr>
      <w:bookmarkStart w:id="94" w:name="_Ref525316779"/>
      <w:bookmarkStart w:id="95" w:name="_Toc2065673"/>
      <w:r>
        <w:lastRenderedPageBreak/>
        <w:t xml:space="preserve">Table </w:t>
      </w:r>
      <w:r>
        <w:rPr>
          <w:noProof/>
        </w:rPr>
        <w:fldChar w:fldCharType="begin"/>
      </w:r>
      <w:r>
        <w:rPr>
          <w:noProof/>
        </w:rPr>
        <w:instrText xml:space="preserve"> SEQ Table \* ARABIC </w:instrText>
      </w:r>
      <w:r>
        <w:rPr>
          <w:noProof/>
        </w:rPr>
        <w:fldChar w:fldCharType="separate"/>
      </w:r>
      <w:r w:rsidR="00EE18C8">
        <w:rPr>
          <w:noProof/>
        </w:rPr>
        <w:t>11</w:t>
      </w:r>
      <w:r>
        <w:rPr>
          <w:noProof/>
        </w:rPr>
        <w:fldChar w:fldCharType="end"/>
      </w:r>
      <w:bookmarkEnd w:id="94"/>
      <w:r w:rsidR="00611842">
        <w:rPr>
          <w:noProof/>
        </w:rPr>
        <w:tab/>
      </w:r>
      <w:r>
        <w:t>Bed mobility and pressure sore risk (missing values excluded)</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ed mobility and pressure sore risk"/>
        <w:tblDescription w:val="Table 11 shows the bed mobility rating and average Braden score is linked to pressure sore risk. Statistics show a bed mobility rating of 4 also has a Braden total score of 20.7. The table should be read as a series of rows from left to right ('Bed mobility rating' then 'number of residents' then 'Average of Braden total score' then 'Standard Distribution of Braden total score')."/>
      </w:tblPr>
      <w:tblGrid>
        <w:gridCol w:w="2413"/>
        <w:gridCol w:w="2570"/>
        <w:gridCol w:w="2347"/>
        <w:gridCol w:w="1730"/>
      </w:tblGrid>
      <w:tr w:rsidR="00B3260C" w:rsidRPr="00AA00FA" w14:paraId="07584B51" w14:textId="77777777" w:rsidTr="00CF3EA1">
        <w:trPr>
          <w:trHeight w:val="300"/>
        </w:trPr>
        <w:tc>
          <w:tcPr>
            <w:tcW w:w="1331" w:type="pct"/>
            <w:shd w:val="clear" w:color="auto" w:fill="D9D9D9" w:themeFill="background1" w:themeFillShade="D9"/>
            <w:noWrap/>
            <w:vAlign w:val="bottom"/>
            <w:hideMark/>
          </w:tcPr>
          <w:p w14:paraId="42EA959B" w14:textId="77777777" w:rsidR="00B3260C" w:rsidRPr="00AA00FA" w:rsidRDefault="00B3260C" w:rsidP="00D14C87">
            <w:pPr>
              <w:spacing w:before="40" w:after="40"/>
              <w:rPr>
                <w:rFonts w:ascii="Calibri" w:hAnsi="Calibri" w:cs="Calibri"/>
                <w:b/>
                <w:color w:val="000000"/>
                <w:sz w:val="20"/>
                <w:szCs w:val="20"/>
              </w:rPr>
            </w:pPr>
            <w:r w:rsidRPr="00AA00FA">
              <w:rPr>
                <w:rFonts w:ascii="Calibri" w:hAnsi="Calibri" w:cs="Calibri"/>
                <w:b/>
                <w:color w:val="000000"/>
                <w:sz w:val="20"/>
                <w:szCs w:val="20"/>
              </w:rPr>
              <w:t>Bed mobility rating</w:t>
            </w:r>
          </w:p>
        </w:tc>
        <w:tc>
          <w:tcPr>
            <w:tcW w:w="1418" w:type="pct"/>
            <w:shd w:val="clear" w:color="auto" w:fill="D9D9D9" w:themeFill="background1" w:themeFillShade="D9"/>
            <w:noWrap/>
            <w:vAlign w:val="bottom"/>
            <w:hideMark/>
          </w:tcPr>
          <w:p w14:paraId="3C7A36A6"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Number of residents</w:t>
            </w:r>
          </w:p>
        </w:tc>
        <w:tc>
          <w:tcPr>
            <w:tcW w:w="1295" w:type="pct"/>
            <w:shd w:val="clear" w:color="auto" w:fill="D9D9D9" w:themeFill="background1" w:themeFillShade="D9"/>
            <w:noWrap/>
            <w:vAlign w:val="bottom"/>
            <w:hideMark/>
          </w:tcPr>
          <w:p w14:paraId="0DDF9B87" w14:textId="2F9DE6F7" w:rsidR="00B3260C" w:rsidRPr="00AA00FA" w:rsidRDefault="00B3260C" w:rsidP="00CF3EA1">
            <w:pPr>
              <w:spacing w:before="40" w:after="40"/>
              <w:jc w:val="right"/>
              <w:rPr>
                <w:rFonts w:ascii="Calibri" w:hAnsi="Calibri" w:cs="Calibri"/>
                <w:b/>
                <w:color w:val="000000"/>
                <w:sz w:val="20"/>
                <w:szCs w:val="20"/>
              </w:rPr>
            </w:pPr>
            <w:r w:rsidRPr="00AA00FA">
              <w:rPr>
                <w:rFonts w:ascii="Calibri" w:hAnsi="Calibri" w:cs="Calibri"/>
                <w:b/>
                <w:color w:val="000000"/>
                <w:sz w:val="20"/>
                <w:szCs w:val="20"/>
              </w:rPr>
              <w:t xml:space="preserve">Average of Braden </w:t>
            </w:r>
            <w:r w:rsidR="00CF3EA1">
              <w:rPr>
                <w:rFonts w:ascii="Calibri" w:hAnsi="Calibri" w:cs="Calibri"/>
                <w:b/>
                <w:color w:val="000000"/>
                <w:sz w:val="20"/>
                <w:szCs w:val="20"/>
              </w:rPr>
              <w:br/>
            </w:r>
            <w:r w:rsidRPr="00AA00FA">
              <w:rPr>
                <w:rFonts w:ascii="Calibri" w:hAnsi="Calibri" w:cs="Calibri"/>
                <w:b/>
                <w:color w:val="000000"/>
                <w:sz w:val="20"/>
                <w:szCs w:val="20"/>
              </w:rPr>
              <w:t>total score</w:t>
            </w:r>
          </w:p>
        </w:tc>
        <w:tc>
          <w:tcPr>
            <w:tcW w:w="955" w:type="pct"/>
            <w:shd w:val="clear" w:color="auto" w:fill="D9D9D9" w:themeFill="background1" w:themeFillShade="D9"/>
            <w:noWrap/>
            <w:vAlign w:val="bottom"/>
            <w:hideMark/>
          </w:tcPr>
          <w:p w14:paraId="77CCD019" w14:textId="271C4419" w:rsidR="00B3260C" w:rsidRPr="00AA00FA" w:rsidRDefault="00CF3EA1" w:rsidP="00CF3EA1">
            <w:pPr>
              <w:spacing w:before="40" w:after="40"/>
              <w:jc w:val="right"/>
              <w:rPr>
                <w:rFonts w:ascii="Calibri" w:hAnsi="Calibri" w:cs="Calibri"/>
                <w:b/>
                <w:color w:val="000000"/>
                <w:sz w:val="20"/>
                <w:szCs w:val="20"/>
              </w:rPr>
            </w:pPr>
            <w:r>
              <w:rPr>
                <w:rFonts w:ascii="Calibri" w:hAnsi="Calibri" w:cs="Calibri"/>
                <w:b/>
                <w:color w:val="000000"/>
                <w:sz w:val="20"/>
                <w:szCs w:val="20"/>
              </w:rPr>
              <w:t>SD</w:t>
            </w:r>
            <w:r w:rsidR="00B3260C" w:rsidRPr="00AA00FA">
              <w:rPr>
                <w:rFonts w:ascii="Calibri" w:hAnsi="Calibri" w:cs="Calibri"/>
                <w:b/>
                <w:color w:val="000000"/>
                <w:sz w:val="20"/>
                <w:szCs w:val="20"/>
              </w:rPr>
              <w:t xml:space="preserve"> of Braden </w:t>
            </w:r>
            <w:r>
              <w:rPr>
                <w:rFonts w:ascii="Calibri" w:hAnsi="Calibri" w:cs="Calibri"/>
                <w:b/>
                <w:color w:val="000000"/>
                <w:sz w:val="20"/>
                <w:szCs w:val="20"/>
              </w:rPr>
              <w:br/>
            </w:r>
            <w:r w:rsidR="00B3260C" w:rsidRPr="00AA00FA">
              <w:rPr>
                <w:rFonts w:ascii="Calibri" w:hAnsi="Calibri" w:cs="Calibri"/>
                <w:b/>
                <w:color w:val="000000"/>
                <w:sz w:val="20"/>
                <w:szCs w:val="20"/>
              </w:rPr>
              <w:t>total score</w:t>
            </w:r>
          </w:p>
        </w:tc>
      </w:tr>
      <w:tr w:rsidR="00B3260C" w:rsidRPr="00AA00FA" w14:paraId="010ACC4A" w14:textId="77777777" w:rsidTr="00CF3EA1">
        <w:trPr>
          <w:trHeight w:val="300"/>
        </w:trPr>
        <w:tc>
          <w:tcPr>
            <w:tcW w:w="1331" w:type="pct"/>
            <w:shd w:val="clear" w:color="auto" w:fill="auto"/>
            <w:noWrap/>
            <w:vAlign w:val="bottom"/>
            <w:hideMark/>
          </w:tcPr>
          <w:p w14:paraId="614E1C32" w14:textId="77777777" w:rsidR="00B3260C" w:rsidRPr="00AA00FA" w:rsidRDefault="00B3260C" w:rsidP="00D14C87">
            <w:pPr>
              <w:spacing w:before="40" w:after="40"/>
              <w:rPr>
                <w:rFonts w:ascii="Calibri" w:hAnsi="Calibri" w:cs="Calibri"/>
                <w:color w:val="000000"/>
                <w:sz w:val="20"/>
                <w:szCs w:val="20"/>
              </w:rPr>
            </w:pPr>
            <w:r w:rsidRPr="00AA00FA">
              <w:rPr>
                <w:rFonts w:ascii="Calibri" w:hAnsi="Calibri" w:cs="Calibri"/>
                <w:color w:val="000000"/>
                <w:sz w:val="20"/>
                <w:szCs w:val="20"/>
              </w:rPr>
              <w:t>0</w:t>
            </w:r>
          </w:p>
        </w:tc>
        <w:tc>
          <w:tcPr>
            <w:tcW w:w="1418" w:type="pct"/>
            <w:shd w:val="clear" w:color="auto" w:fill="auto"/>
            <w:noWrap/>
            <w:vAlign w:val="bottom"/>
            <w:hideMark/>
          </w:tcPr>
          <w:p w14:paraId="0C9C85BB"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512</w:t>
            </w:r>
          </w:p>
        </w:tc>
        <w:tc>
          <w:tcPr>
            <w:tcW w:w="1295" w:type="pct"/>
            <w:shd w:val="clear" w:color="auto" w:fill="auto"/>
            <w:noWrap/>
            <w:vAlign w:val="bottom"/>
            <w:hideMark/>
          </w:tcPr>
          <w:p w14:paraId="6BC3090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12.5</w:t>
            </w:r>
          </w:p>
        </w:tc>
        <w:tc>
          <w:tcPr>
            <w:tcW w:w="955" w:type="pct"/>
            <w:shd w:val="clear" w:color="auto" w:fill="auto"/>
            <w:noWrap/>
            <w:vAlign w:val="bottom"/>
            <w:hideMark/>
          </w:tcPr>
          <w:p w14:paraId="343F7225"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2.9</w:t>
            </w:r>
          </w:p>
        </w:tc>
      </w:tr>
      <w:tr w:rsidR="00B3260C" w:rsidRPr="00AA00FA" w14:paraId="3EC6348F" w14:textId="77777777" w:rsidTr="00CF3EA1">
        <w:trPr>
          <w:trHeight w:val="300"/>
        </w:trPr>
        <w:tc>
          <w:tcPr>
            <w:tcW w:w="1331" w:type="pct"/>
            <w:shd w:val="clear" w:color="auto" w:fill="auto"/>
            <w:noWrap/>
            <w:vAlign w:val="bottom"/>
            <w:hideMark/>
          </w:tcPr>
          <w:p w14:paraId="164BD401" w14:textId="77777777" w:rsidR="00B3260C" w:rsidRPr="00AA00FA" w:rsidRDefault="00B3260C" w:rsidP="00D14C87">
            <w:pPr>
              <w:spacing w:before="40" w:after="40"/>
              <w:rPr>
                <w:rFonts w:ascii="Calibri" w:hAnsi="Calibri" w:cs="Calibri"/>
                <w:color w:val="000000"/>
                <w:sz w:val="20"/>
                <w:szCs w:val="20"/>
              </w:rPr>
            </w:pPr>
            <w:r w:rsidRPr="00AA00FA">
              <w:rPr>
                <w:rFonts w:ascii="Calibri" w:hAnsi="Calibri" w:cs="Calibri"/>
                <w:color w:val="000000"/>
                <w:sz w:val="20"/>
                <w:szCs w:val="20"/>
              </w:rPr>
              <w:t>1</w:t>
            </w:r>
          </w:p>
        </w:tc>
        <w:tc>
          <w:tcPr>
            <w:tcW w:w="1418" w:type="pct"/>
            <w:shd w:val="clear" w:color="auto" w:fill="auto"/>
            <w:noWrap/>
            <w:vAlign w:val="bottom"/>
            <w:hideMark/>
          </w:tcPr>
          <w:p w14:paraId="7610E8C7"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166</w:t>
            </w:r>
          </w:p>
        </w:tc>
        <w:tc>
          <w:tcPr>
            <w:tcW w:w="1295" w:type="pct"/>
            <w:shd w:val="clear" w:color="auto" w:fill="auto"/>
            <w:noWrap/>
            <w:vAlign w:val="bottom"/>
            <w:hideMark/>
          </w:tcPr>
          <w:p w14:paraId="01BF0B67"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15.3</w:t>
            </w:r>
          </w:p>
        </w:tc>
        <w:tc>
          <w:tcPr>
            <w:tcW w:w="955" w:type="pct"/>
            <w:shd w:val="clear" w:color="auto" w:fill="auto"/>
            <w:noWrap/>
            <w:vAlign w:val="bottom"/>
            <w:hideMark/>
          </w:tcPr>
          <w:p w14:paraId="192515E8"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2.8</w:t>
            </w:r>
          </w:p>
        </w:tc>
      </w:tr>
      <w:tr w:rsidR="00B3260C" w:rsidRPr="00AA00FA" w14:paraId="69E654EB" w14:textId="77777777" w:rsidTr="00CF3EA1">
        <w:trPr>
          <w:trHeight w:val="300"/>
        </w:trPr>
        <w:tc>
          <w:tcPr>
            <w:tcW w:w="1331" w:type="pct"/>
            <w:shd w:val="clear" w:color="auto" w:fill="auto"/>
            <w:noWrap/>
            <w:vAlign w:val="bottom"/>
            <w:hideMark/>
          </w:tcPr>
          <w:p w14:paraId="54DB232C" w14:textId="77777777" w:rsidR="00B3260C" w:rsidRPr="00AA00FA" w:rsidRDefault="00B3260C" w:rsidP="00D14C87">
            <w:pPr>
              <w:spacing w:before="40" w:after="40"/>
              <w:rPr>
                <w:rFonts w:ascii="Calibri" w:hAnsi="Calibri" w:cs="Calibri"/>
                <w:color w:val="000000"/>
                <w:sz w:val="20"/>
                <w:szCs w:val="20"/>
              </w:rPr>
            </w:pPr>
            <w:r w:rsidRPr="00AA00FA">
              <w:rPr>
                <w:rFonts w:ascii="Calibri" w:hAnsi="Calibri" w:cs="Calibri"/>
                <w:color w:val="000000"/>
                <w:sz w:val="20"/>
                <w:szCs w:val="20"/>
              </w:rPr>
              <w:t>2</w:t>
            </w:r>
          </w:p>
        </w:tc>
        <w:tc>
          <w:tcPr>
            <w:tcW w:w="1418" w:type="pct"/>
            <w:shd w:val="clear" w:color="auto" w:fill="auto"/>
            <w:noWrap/>
            <w:vAlign w:val="bottom"/>
            <w:hideMark/>
          </w:tcPr>
          <w:p w14:paraId="75E124ED"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245</w:t>
            </w:r>
          </w:p>
        </w:tc>
        <w:tc>
          <w:tcPr>
            <w:tcW w:w="1295" w:type="pct"/>
            <w:shd w:val="clear" w:color="auto" w:fill="auto"/>
            <w:noWrap/>
            <w:vAlign w:val="bottom"/>
            <w:hideMark/>
          </w:tcPr>
          <w:p w14:paraId="59527F0C"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17.0</w:t>
            </w:r>
          </w:p>
        </w:tc>
        <w:tc>
          <w:tcPr>
            <w:tcW w:w="955" w:type="pct"/>
            <w:shd w:val="clear" w:color="auto" w:fill="auto"/>
            <w:noWrap/>
            <w:vAlign w:val="bottom"/>
            <w:hideMark/>
          </w:tcPr>
          <w:p w14:paraId="4CE0DF60"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2.6</w:t>
            </w:r>
          </w:p>
        </w:tc>
      </w:tr>
      <w:tr w:rsidR="00B3260C" w:rsidRPr="00AA00FA" w14:paraId="4CC02BD1" w14:textId="77777777" w:rsidTr="00CF3EA1">
        <w:trPr>
          <w:trHeight w:val="300"/>
        </w:trPr>
        <w:tc>
          <w:tcPr>
            <w:tcW w:w="1331" w:type="pct"/>
            <w:shd w:val="clear" w:color="auto" w:fill="auto"/>
            <w:noWrap/>
            <w:vAlign w:val="bottom"/>
            <w:hideMark/>
          </w:tcPr>
          <w:p w14:paraId="44549C8E" w14:textId="77777777" w:rsidR="00B3260C" w:rsidRPr="00AA00FA" w:rsidRDefault="00B3260C" w:rsidP="00D14C87">
            <w:pPr>
              <w:spacing w:before="40" w:after="40"/>
              <w:rPr>
                <w:rFonts w:ascii="Calibri" w:hAnsi="Calibri" w:cs="Calibri"/>
                <w:color w:val="000000"/>
                <w:sz w:val="20"/>
                <w:szCs w:val="20"/>
              </w:rPr>
            </w:pPr>
            <w:r w:rsidRPr="00AA00FA">
              <w:rPr>
                <w:rFonts w:ascii="Calibri" w:hAnsi="Calibri" w:cs="Calibri"/>
                <w:color w:val="000000"/>
                <w:sz w:val="20"/>
                <w:szCs w:val="20"/>
              </w:rPr>
              <w:t>3</w:t>
            </w:r>
          </w:p>
        </w:tc>
        <w:tc>
          <w:tcPr>
            <w:tcW w:w="1418" w:type="pct"/>
            <w:shd w:val="clear" w:color="auto" w:fill="auto"/>
            <w:noWrap/>
            <w:vAlign w:val="bottom"/>
            <w:hideMark/>
          </w:tcPr>
          <w:p w14:paraId="7D06BD9D"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375</w:t>
            </w:r>
          </w:p>
        </w:tc>
        <w:tc>
          <w:tcPr>
            <w:tcW w:w="1295" w:type="pct"/>
            <w:shd w:val="clear" w:color="auto" w:fill="auto"/>
            <w:noWrap/>
            <w:vAlign w:val="bottom"/>
            <w:hideMark/>
          </w:tcPr>
          <w:p w14:paraId="06A51B90"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18.3</w:t>
            </w:r>
          </w:p>
        </w:tc>
        <w:tc>
          <w:tcPr>
            <w:tcW w:w="955" w:type="pct"/>
            <w:shd w:val="clear" w:color="auto" w:fill="auto"/>
            <w:noWrap/>
            <w:vAlign w:val="bottom"/>
            <w:hideMark/>
          </w:tcPr>
          <w:p w14:paraId="071F099B"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2.6</w:t>
            </w:r>
          </w:p>
        </w:tc>
      </w:tr>
      <w:tr w:rsidR="00B3260C" w:rsidRPr="00AA00FA" w14:paraId="510E46C9" w14:textId="77777777" w:rsidTr="00CF3EA1">
        <w:trPr>
          <w:trHeight w:val="300"/>
        </w:trPr>
        <w:tc>
          <w:tcPr>
            <w:tcW w:w="1331" w:type="pct"/>
            <w:shd w:val="clear" w:color="auto" w:fill="auto"/>
            <w:noWrap/>
            <w:vAlign w:val="bottom"/>
            <w:hideMark/>
          </w:tcPr>
          <w:p w14:paraId="035DC6B9" w14:textId="77777777" w:rsidR="00B3260C" w:rsidRPr="00AA00FA" w:rsidRDefault="00B3260C" w:rsidP="00D14C87">
            <w:pPr>
              <w:spacing w:before="40" w:after="40"/>
              <w:rPr>
                <w:rFonts w:ascii="Calibri" w:hAnsi="Calibri" w:cs="Calibri"/>
                <w:color w:val="000000"/>
                <w:sz w:val="20"/>
                <w:szCs w:val="20"/>
              </w:rPr>
            </w:pPr>
            <w:r w:rsidRPr="00AA00FA">
              <w:rPr>
                <w:rFonts w:ascii="Calibri" w:hAnsi="Calibri" w:cs="Calibri"/>
                <w:color w:val="000000"/>
                <w:sz w:val="20"/>
                <w:szCs w:val="20"/>
              </w:rPr>
              <w:t>4</w:t>
            </w:r>
          </w:p>
        </w:tc>
        <w:tc>
          <w:tcPr>
            <w:tcW w:w="1418" w:type="pct"/>
            <w:shd w:val="clear" w:color="auto" w:fill="auto"/>
            <w:noWrap/>
            <w:vAlign w:val="bottom"/>
            <w:hideMark/>
          </w:tcPr>
          <w:p w14:paraId="3F9D59DC"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555</w:t>
            </w:r>
          </w:p>
        </w:tc>
        <w:tc>
          <w:tcPr>
            <w:tcW w:w="1295" w:type="pct"/>
            <w:shd w:val="clear" w:color="auto" w:fill="auto"/>
            <w:noWrap/>
            <w:vAlign w:val="bottom"/>
            <w:hideMark/>
          </w:tcPr>
          <w:p w14:paraId="128D1EAC"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20.7</w:t>
            </w:r>
          </w:p>
        </w:tc>
        <w:tc>
          <w:tcPr>
            <w:tcW w:w="955" w:type="pct"/>
            <w:shd w:val="clear" w:color="auto" w:fill="auto"/>
            <w:noWrap/>
            <w:vAlign w:val="bottom"/>
            <w:hideMark/>
          </w:tcPr>
          <w:p w14:paraId="4ADE667B"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2.0</w:t>
            </w:r>
          </w:p>
        </w:tc>
      </w:tr>
      <w:tr w:rsidR="00B3260C" w:rsidRPr="00AA00FA" w14:paraId="605D94B5" w14:textId="77777777" w:rsidTr="00CF3EA1">
        <w:trPr>
          <w:trHeight w:val="300"/>
        </w:trPr>
        <w:tc>
          <w:tcPr>
            <w:tcW w:w="1331" w:type="pct"/>
            <w:shd w:val="clear" w:color="auto" w:fill="auto"/>
            <w:noWrap/>
            <w:vAlign w:val="bottom"/>
            <w:hideMark/>
          </w:tcPr>
          <w:p w14:paraId="2BBE7F83" w14:textId="77777777" w:rsidR="00B3260C" w:rsidRPr="00AA00FA" w:rsidRDefault="00B3260C" w:rsidP="00D14C87">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1418" w:type="pct"/>
            <w:shd w:val="clear" w:color="auto" w:fill="auto"/>
            <w:noWrap/>
            <w:vAlign w:val="bottom"/>
            <w:hideMark/>
          </w:tcPr>
          <w:p w14:paraId="462E8D0C"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1,853</w:t>
            </w:r>
          </w:p>
        </w:tc>
        <w:tc>
          <w:tcPr>
            <w:tcW w:w="1295" w:type="pct"/>
            <w:shd w:val="clear" w:color="auto" w:fill="auto"/>
            <w:noWrap/>
            <w:vAlign w:val="bottom"/>
            <w:hideMark/>
          </w:tcPr>
          <w:p w14:paraId="02E5D1A4"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17.0</w:t>
            </w:r>
          </w:p>
        </w:tc>
        <w:tc>
          <w:tcPr>
            <w:tcW w:w="955" w:type="pct"/>
            <w:shd w:val="clear" w:color="auto" w:fill="auto"/>
            <w:noWrap/>
            <w:vAlign w:val="bottom"/>
            <w:hideMark/>
          </w:tcPr>
          <w:p w14:paraId="45A8309B"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4.1</w:t>
            </w:r>
          </w:p>
        </w:tc>
      </w:tr>
    </w:tbl>
    <w:p w14:paraId="011ED1E7" w14:textId="77777777" w:rsidR="00B3260C" w:rsidRDefault="00B3260C" w:rsidP="00534F50">
      <w:pPr>
        <w:pStyle w:val="Heading2"/>
      </w:pPr>
      <w:bookmarkStart w:id="96" w:name="_Toc2070324"/>
      <w:r>
        <w:t xml:space="preserve">The </w:t>
      </w:r>
      <w:r w:rsidR="00F52D18">
        <w:t>Australia</w:t>
      </w:r>
      <w:r w:rsidR="00B82914">
        <w:t>n</w:t>
      </w:r>
      <w:r w:rsidR="003B75B6">
        <w:t xml:space="preserve"> </w:t>
      </w:r>
      <w:r w:rsidR="00B82914">
        <w:t>M</w:t>
      </w:r>
      <w:r w:rsidR="00F52D18">
        <w:t xml:space="preserve">odified </w:t>
      </w:r>
      <w:r>
        <w:t>Functional Independence Measure (</w:t>
      </w:r>
      <w:r w:rsidR="00F52D18">
        <w:t>AM</w:t>
      </w:r>
      <w:r w:rsidR="00534F50">
        <w:t>-</w:t>
      </w:r>
      <w:r>
        <w:t>FIM)</w:t>
      </w:r>
      <w:bookmarkEnd w:id="96"/>
    </w:p>
    <w:p w14:paraId="16673ED9" w14:textId="77777777" w:rsidR="00B3260C" w:rsidRPr="00FE46FD" w:rsidRDefault="00B3260C" w:rsidP="00FE46FD">
      <w:pPr>
        <w:pStyle w:val="Normal-nospacing"/>
      </w:pPr>
      <w:r w:rsidRPr="00FE46FD">
        <w:t xml:space="preserve">The </w:t>
      </w:r>
      <w:r w:rsidR="00105817" w:rsidRPr="00FE46FD">
        <w:t>Australian</w:t>
      </w:r>
      <w:r w:rsidR="003B75B6" w:rsidRPr="00FE46FD">
        <w:t xml:space="preserve"> </w:t>
      </w:r>
      <w:r w:rsidR="00105817" w:rsidRPr="00FE46FD">
        <w:t>Modified Functional Independence Measure (AM-FIM)</w:t>
      </w:r>
      <w:r w:rsidRPr="00FE46FD">
        <w:t xml:space="preserve"> is designed to measure the care burden associated with physical and cognitive limitations. </w:t>
      </w:r>
      <w:r w:rsidR="00F52D18" w:rsidRPr="00FE46FD">
        <w:t xml:space="preserve">The original FIM </w:t>
      </w:r>
      <w:r w:rsidRPr="00FE46FD">
        <w:t xml:space="preserve">comprises 18 items, 13 of which measure physical function while the remaining five measure cognition. </w:t>
      </w:r>
      <w:r w:rsidR="00F52D18" w:rsidRPr="00FE46FD">
        <w:t xml:space="preserve">The AM-FIM used in this study removed the stairs item before analysis. The other difference in this study is that ratings are based on what a resident is </w:t>
      </w:r>
      <w:r w:rsidR="00F52D18" w:rsidRPr="00FE46FD">
        <w:rPr>
          <w:i/>
        </w:rPr>
        <w:t>capable</w:t>
      </w:r>
      <w:r w:rsidR="00F52D18" w:rsidRPr="00FE46FD">
        <w:t xml:space="preserve"> of doing (taking into account not only physical ability but also mental health, cognition and behaviour) rather</w:t>
      </w:r>
      <w:r w:rsidR="00AE7A80" w:rsidRPr="00FE46FD">
        <w:t xml:space="preserve"> than what they physically do. </w:t>
      </w:r>
      <w:r w:rsidRPr="00FE46FD">
        <w:t>Also collected with the</w:t>
      </w:r>
      <w:r w:rsidR="00F52D18" w:rsidRPr="00FE46FD">
        <w:t xml:space="preserve"> AM-</w:t>
      </w:r>
      <w:r w:rsidRPr="00FE46FD">
        <w:t>FIM scores was a flag indicating whether the resident c</w:t>
      </w:r>
      <w:r w:rsidR="009A7CC6" w:rsidRPr="00FE46FD">
        <w:t xml:space="preserve">ould </w:t>
      </w:r>
      <w:r w:rsidRPr="00FE46FD">
        <w:t>walk inde</w:t>
      </w:r>
      <w:r w:rsidR="00A47B5B">
        <w:t>pendently or uses a wheelchair.</w:t>
      </w:r>
    </w:p>
    <w:p w14:paraId="11E2B997" w14:textId="77777777" w:rsidR="00B3260C" w:rsidRPr="00FE46FD" w:rsidRDefault="00B3260C" w:rsidP="00FE46FD">
      <w:pPr>
        <w:pStyle w:val="Normal-nospacing"/>
      </w:pPr>
      <w:r w:rsidRPr="00FE46FD">
        <w:t>Often the totals of each of these subscales</w:t>
      </w:r>
      <w:r w:rsidR="009A7CC6" w:rsidRPr="00FE46FD">
        <w:t xml:space="preserve"> (</w:t>
      </w:r>
      <w:r w:rsidRPr="00FE46FD">
        <w:t xml:space="preserve">the </w:t>
      </w:r>
      <w:r w:rsidR="00F067AF" w:rsidRPr="00FE46FD">
        <w:t>Functional Independence Measure (</w:t>
      </w:r>
      <w:r w:rsidRPr="00FE46FD">
        <w:t>FIM</w:t>
      </w:r>
      <w:r w:rsidR="00F067AF" w:rsidRPr="00FE46FD">
        <w:t>)</w:t>
      </w:r>
      <w:r w:rsidRPr="00FE46FD">
        <w:t xml:space="preserve"> motor score and the FIM cognition score</w:t>
      </w:r>
      <w:r w:rsidR="009A7CC6" w:rsidRPr="00FE46FD">
        <w:t>)</w:t>
      </w:r>
      <w:r w:rsidRPr="00FE46FD">
        <w:t xml:space="preserve"> are used as an indication of a person’s functional independence. However, the items can be further subdivided into six </w:t>
      </w:r>
      <w:r w:rsidR="00F52D18" w:rsidRPr="00FE46FD">
        <w:t>subscales</w:t>
      </w:r>
      <w:r w:rsidRPr="00FE46FD">
        <w:t xml:space="preserve">, providing scores on self-care (eating, grooming, dressing upper body, dressing lower body and toileting), sphincter control (bladder and bowel management items), transfers (bed/chair/wheelchair, toilet and tub or shower), locomotion (walk or wheelchair), communication (comprehension and expression) and social cognition (social interaction, problem solving and memory). </w:t>
      </w:r>
      <w:r w:rsidR="009A7CC6" w:rsidRPr="00FE46FD">
        <w:t xml:space="preserve">Both </w:t>
      </w:r>
      <w:r w:rsidR="00F52D18" w:rsidRPr="00FE46FD">
        <w:t xml:space="preserve">items and </w:t>
      </w:r>
      <w:r w:rsidR="009A7CC6" w:rsidRPr="00FE46FD">
        <w:t>sub</w:t>
      </w:r>
      <w:r w:rsidR="00F52D18" w:rsidRPr="00FE46FD">
        <w:t>scales</w:t>
      </w:r>
      <w:r w:rsidR="009A7CC6" w:rsidRPr="00FE46FD">
        <w:t xml:space="preserve"> were used</w:t>
      </w:r>
      <w:r w:rsidR="00A47B5B">
        <w:t xml:space="preserve"> in the analysis for Study One.</w:t>
      </w:r>
    </w:p>
    <w:p w14:paraId="41F6A205" w14:textId="77777777" w:rsidR="00B3260C" w:rsidRPr="00FE46FD" w:rsidRDefault="00F52D18" w:rsidP="00FE46FD">
      <w:pPr>
        <w:pStyle w:val="Normal-nospacing"/>
      </w:pPr>
      <w:r w:rsidRPr="00FE46FD">
        <w:t>AM-</w:t>
      </w:r>
      <w:r w:rsidR="00B3260C" w:rsidRPr="00FE46FD">
        <w:t xml:space="preserve">FIM item scores range from 1, indicating complete dependence, to 7, indicating complete independence on the item. Because of the different number of items in each of the subscales, the ranges of their possible total scores also vary. Summary statistics of each of the </w:t>
      </w:r>
      <w:r w:rsidR="00B82914" w:rsidRPr="00FE46FD">
        <w:t>AM-</w:t>
      </w:r>
      <w:r w:rsidR="00B3260C" w:rsidRPr="00FE46FD">
        <w:t>FIM subscales are presented in</w:t>
      </w:r>
      <w:r w:rsidR="004F7B8C" w:rsidRPr="00FE46FD">
        <w:t xml:space="preserve"> Table 12</w:t>
      </w:r>
      <w:r w:rsidR="00FB05DE" w:rsidRPr="00FE46FD">
        <w:t>.</w:t>
      </w:r>
    </w:p>
    <w:p w14:paraId="2DB278F0" w14:textId="77777777" w:rsidR="00B3260C" w:rsidRDefault="00B3260C" w:rsidP="00B3260C">
      <w:pPr>
        <w:pStyle w:val="Caption"/>
      </w:pPr>
      <w:bookmarkStart w:id="97" w:name="_Ref525295474"/>
      <w:bookmarkStart w:id="98" w:name="_Toc2065674"/>
      <w:r>
        <w:t xml:space="preserve">Table </w:t>
      </w:r>
      <w:r>
        <w:rPr>
          <w:noProof/>
        </w:rPr>
        <w:fldChar w:fldCharType="begin"/>
      </w:r>
      <w:r>
        <w:rPr>
          <w:noProof/>
        </w:rPr>
        <w:instrText xml:space="preserve"> SEQ Table \* ARABIC </w:instrText>
      </w:r>
      <w:r>
        <w:rPr>
          <w:noProof/>
        </w:rPr>
        <w:fldChar w:fldCharType="separate"/>
      </w:r>
      <w:r w:rsidR="00EE18C8">
        <w:rPr>
          <w:noProof/>
        </w:rPr>
        <w:t>12</w:t>
      </w:r>
      <w:r>
        <w:rPr>
          <w:noProof/>
        </w:rPr>
        <w:fldChar w:fldCharType="end"/>
      </w:r>
      <w:bookmarkEnd w:id="97"/>
      <w:r w:rsidR="00611842">
        <w:rPr>
          <w:noProof/>
        </w:rPr>
        <w:tab/>
      </w:r>
      <w:r>
        <w:t xml:space="preserve">Summary statistics of </w:t>
      </w:r>
      <w:r w:rsidR="00B82914">
        <w:t>AM-</w:t>
      </w:r>
      <w:r>
        <w:t>FIM subscales</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statistics of AM-FIM subscales"/>
        <w:tblDescription w:val=" Table 12 presents summary statistics of each of the AM-FIM subscales. The table should be read as a series of rows from left to right ('AM-FIM subscale' then 'minimum score' then 'maximum score' then 'mean score' then 'median score' then 'standard deviation of scores')."/>
      </w:tblPr>
      <w:tblGrid>
        <w:gridCol w:w="2660"/>
        <w:gridCol w:w="1408"/>
        <w:gridCol w:w="1527"/>
        <w:gridCol w:w="1168"/>
        <w:gridCol w:w="1321"/>
        <w:gridCol w:w="1202"/>
      </w:tblGrid>
      <w:tr w:rsidR="00B3260C" w:rsidRPr="00AA00FA" w14:paraId="158B4131" w14:textId="77777777" w:rsidTr="00105817">
        <w:trPr>
          <w:trHeight w:val="300"/>
          <w:tblHeader/>
        </w:trPr>
        <w:tc>
          <w:tcPr>
            <w:tcW w:w="2660" w:type="dxa"/>
            <w:shd w:val="clear" w:color="auto" w:fill="D9D9D9" w:themeFill="background1" w:themeFillShade="D9"/>
            <w:noWrap/>
            <w:vAlign w:val="bottom"/>
            <w:hideMark/>
          </w:tcPr>
          <w:p w14:paraId="32D66C8D" w14:textId="66548715" w:rsidR="00B3260C" w:rsidRPr="005B6953" w:rsidRDefault="005B6953" w:rsidP="005B6953">
            <w:pPr>
              <w:spacing w:before="40" w:after="40"/>
              <w:rPr>
                <w:rFonts w:cstheme="minorHAnsi"/>
                <w:b/>
                <w:sz w:val="20"/>
                <w:szCs w:val="20"/>
              </w:rPr>
            </w:pPr>
            <w:r w:rsidRPr="005B6953">
              <w:rPr>
                <w:rFonts w:cstheme="minorHAnsi"/>
                <w:b/>
                <w:sz w:val="20"/>
                <w:szCs w:val="20"/>
              </w:rPr>
              <w:t xml:space="preserve">AM-FIM </w:t>
            </w:r>
            <w:r>
              <w:rPr>
                <w:rFonts w:cstheme="minorHAnsi"/>
                <w:b/>
                <w:sz w:val="20"/>
                <w:szCs w:val="20"/>
              </w:rPr>
              <w:t>subscale</w:t>
            </w:r>
          </w:p>
        </w:tc>
        <w:tc>
          <w:tcPr>
            <w:tcW w:w="1408" w:type="dxa"/>
            <w:shd w:val="clear" w:color="auto" w:fill="D9D9D9" w:themeFill="background1" w:themeFillShade="D9"/>
            <w:noWrap/>
            <w:vAlign w:val="bottom"/>
            <w:hideMark/>
          </w:tcPr>
          <w:p w14:paraId="670F1D22"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Minimum score</w:t>
            </w:r>
          </w:p>
        </w:tc>
        <w:tc>
          <w:tcPr>
            <w:tcW w:w="1527" w:type="dxa"/>
            <w:shd w:val="clear" w:color="auto" w:fill="D9D9D9" w:themeFill="background1" w:themeFillShade="D9"/>
            <w:noWrap/>
            <w:vAlign w:val="bottom"/>
            <w:hideMark/>
          </w:tcPr>
          <w:p w14:paraId="49DD9F3B"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Maximum score</w:t>
            </w:r>
          </w:p>
        </w:tc>
        <w:tc>
          <w:tcPr>
            <w:tcW w:w="1168" w:type="dxa"/>
            <w:shd w:val="clear" w:color="auto" w:fill="D9D9D9" w:themeFill="background1" w:themeFillShade="D9"/>
            <w:noWrap/>
            <w:vAlign w:val="bottom"/>
            <w:hideMark/>
          </w:tcPr>
          <w:p w14:paraId="56327A44"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Mean score</w:t>
            </w:r>
          </w:p>
        </w:tc>
        <w:tc>
          <w:tcPr>
            <w:tcW w:w="1321" w:type="dxa"/>
            <w:shd w:val="clear" w:color="auto" w:fill="D9D9D9" w:themeFill="background1" w:themeFillShade="D9"/>
            <w:noWrap/>
            <w:vAlign w:val="bottom"/>
            <w:hideMark/>
          </w:tcPr>
          <w:p w14:paraId="698968C1"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Median score</w:t>
            </w:r>
          </w:p>
        </w:tc>
        <w:tc>
          <w:tcPr>
            <w:tcW w:w="1202" w:type="dxa"/>
            <w:shd w:val="clear" w:color="auto" w:fill="D9D9D9" w:themeFill="background1" w:themeFillShade="D9"/>
            <w:noWrap/>
            <w:vAlign w:val="bottom"/>
            <w:hideMark/>
          </w:tcPr>
          <w:p w14:paraId="57849D16"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SD of scores</w:t>
            </w:r>
          </w:p>
        </w:tc>
      </w:tr>
      <w:tr w:rsidR="00B3260C" w:rsidRPr="00AA00FA" w14:paraId="6F4F3E09" w14:textId="77777777" w:rsidTr="00105817">
        <w:trPr>
          <w:trHeight w:val="300"/>
        </w:trPr>
        <w:tc>
          <w:tcPr>
            <w:tcW w:w="2660" w:type="dxa"/>
            <w:shd w:val="clear" w:color="auto" w:fill="auto"/>
            <w:noWrap/>
            <w:vAlign w:val="bottom"/>
            <w:hideMark/>
          </w:tcPr>
          <w:p w14:paraId="1A50B35E"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Motor</w:t>
            </w:r>
          </w:p>
        </w:tc>
        <w:tc>
          <w:tcPr>
            <w:tcW w:w="1408" w:type="dxa"/>
            <w:shd w:val="clear" w:color="auto" w:fill="auto"/>
            <w:noWrap/>
            <w:vAlign w:val="bottom"/>
            <w:hideMark/>
          </w:tcPr>
          <w:p w14:paraId="24FDEA54"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12</w:t>
            </w:r>
          </w:p>
        </w:tc>
        <w:tc>
          <w:tcPr>
            <w:tcW w:w="1527" w:type="dxa"/>
            <w:shd w:val="clear" w:color="auto" w:fill="auto"/>
            <w:noWrap/>
            <w:vAlign w:val="bottom"/>
            <w:hideMark/>
          </w:tcPr>
          <w:p w14:paraId="3C134F70"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84</w:t>
            </w:r>
          </w:p>
        </w:tc>
        <w:tc>
          <w:tcPr>
            <w:tcW w:w="1168" w:type="dxa"/>
            <w:shd w:val="clear" w:color="auto" w:fill="auto"/>
            <w:noWrap/>
            <w:vAlign w:val="bottom"/>
            <w:hideMark/>
          </w:tcPr>
          <w:p w14:paraId="4BDB5AF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43.2</w:t>
            </w:r>
          </w:p>
        </w:tc>
        <w:tc>
          <w:tcPr>
            <w:tcW w:w="1321" w:type="dxa"/>
            <w:shd w:val="clear" w:color="auto" w:fill="auto"/>
            <w:noWrap/>
            <w:vAlign w:val="bottom"/>
            <w:hideMark/>
          </w:tcPr>
          <w:p w14:paraId="393EC446"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43</w:t>
            </w:r>
          </w:p>
        </w:tc>
        <w:tc>
          <w:tcPr>
            <w:tcW w:w="1202" w:type="dxa"/>
            <w:shd w:val="clear" w:color="auto" w:fill="auto"/>
            <w:noWrap/>
            <w:vAlign w:val="bottom"/>
            <w:hideMark/>
          </w:tcPr>
          <w:p w14:paraId="37FC90E4"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21.8</w:t>
            </w:r>
          </w:p>
        </w:tc>
      </w:tr>
      <w:tr w:rsidR="00B3260C" w:rsidRPr="00AA00FA" w14:paraId="2294E5A8" w14:textId="77777777" w:rsidTr="00105817">
        <w:trPr>
          <w:trHeight w:val="300"/>
        </w:trPr>
        <w:tc>
          <w:tcPr>
            <w:tcW w:w="2660" w:type="dxa"/>
            <w:shd w:val="clear" w:color="auto" w:fill="auto"/>
            <w:noWrap/>
            <w:vAlign w:val="bottom"/>
            <w:hideMark/>
          </w:tcPr>
          <w:p w14:paraId="4E0BDCD9"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Self Care</w:t>
            </w:r>
          </w:p>
        </w:tc>
        <w:tc>
          <w:tcPr>
            <w:tcW w:w="1408" w:type="dxa"/>
            <w:shd w:val="clear" w:color="auto" w:fill="auto"/>
            <w:noWrap/>
            <w:vAlign w:val="bottom"/>
            <w:hideMark/>
          </w:tcPr>
          <w:p w14:paraId="38245B28"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c>
          <w:tcPr>
            <w:tcW w:w="1527" w:type="dxa"/>
            <w:shd w:val="clear" w:color="auto" w:fill="auto"/>
            <w:noWrap/>
            <w:vAlign w:val="bottom"/>
            <w:hideMark/>
          </w:tcPr>
          <w:p w14:paraId="65C9DDB4"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42</w:t>
            </w:r>
          </w:p>
        </w:tc>
        <w:tc>
          <w:tcPr>
            <w:tcW w:w="1168" w:type="dxa"/>
            <w:shd w:val="clear" w:color="auto" w:fill="auto"/>
            <w:noWrap/>
            <w:vAlign w:val="bottom"/>
            <w:hideMark/>
          </w:tcPr>
          <w:p w14:paraId="0C4B29D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21.5</w:t>
            </w:r>
          </w:p>
        </w:tc>
        <w:tc>
          <w:tcPr>
            <w:tcW w:w="1321" w:type="dxa"/>
            <w:shd w:val="clear" w:color="auto" w:fill="auto"/>
            <w:noWrap/>
            <w:vAlign w:val="bottom"/>
            <w:hideMark/>
          </w:tcPr>
          <w:p w14:paraId="3A91FD9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21</w:t>
            </w:r>
          </w:p>
        </w:tc>
        <w:tc>
          <w:tcPr>
            <w:tcW w:w="1202" w:type="dxa"/>
            <w:shd w:val="clear" w:color="auto" w:fill="auto"/>
            <w:noWrap/>
            <w:vAlign w:val="bottom"/>
            <w:hideMark/>
          </w:tcPr>
          <w:p w14:paraId="0DB98E4D"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10.5</w:t>
            </w:r>
          </w:p>
        </w:tc>
      </w:tr>
      <w:tr w:rsidR="00B3260C" w:rsidRPr="00AA00FA" w14:paraId="01CA0707" w14:textId="77777777" w:rsidTr="00105817">
        <w:trPr>
          <w:trHeight w:val="300"/>
        </w:trPr>
        <w:tc>
          <w:tcPr>
            <w:tcW w:w="2660" w:type="dxa"/>
            <w:shd w:val="clear" w:color="auto" w:fill="auto"/>
            <w:noWrap/>
            <w:vAlign w:val="bottom"/>
            <w:hideMark/>
          </w:tcPr>
          <w:p w14:paraId="453B3506"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Sphincter Control</w:t>
            </w:r>
          </w:p>
        </w:tc>
        <w:tc>
          <w:tcPr>
            <w:tcW w:w="1408" w:type="dxa"/>
            <w:shd w:val="clear" w:color="auto" w:fill="auto"/>
            <w:noWrap/>
            <w:vAlign w:val="bottom"/>
            <w:hideMark/>
          </w:tcPr>
          <w:p w14:paraId="0B6DFC9A"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c>
          <w:tcPr>
            <w:tcW w:w="1527" w:type="dxa"/>
            <w:shd w:val="clear" w:color="auto" w:fill="auto"/>
            <w:noWrap/>
            <w:vAlign w:val="bottom"/>
            <w:hideMark/>
          </w:tcPr>
          <w:p w14:paraId="1580561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c>
          <w:tcPr>
            <w:tcW w:w="1168" w:type="dxa"/>
            <w:shd w:val="clear" w:color="auto" w:fill="auto"/>
            <w:noWrap/>
            <w:vAlign w:val="bottom"/>
            <w:hideMark/>
          </w:tcPr>
          <w:p w14:paraId="7774A33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6.8</w:t>
            </w:r>
          </w:p>
        </w:tc>
        <w:tc>
          <w:tcPr>
            <w:tcW w:w="1321" w:type="dxa"/>
            <w:shd w:val="clear" w:color="auto" w:fill="auto"/>
            <w:noWrap/>
            <w:vAlign w:val="bottom"/>
            <w:hideMark/>
          </w:tcPr>
          <w:p w14:paraId="50A7ACBC"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c>
          <w:tcPr>
            <w:tcW w:w="1202" w:type="dxa"/>
            <w:shd w:val="clear" w:color="auto" w:fill="auto"/>
            <w:noWrap/>
            <w:vAlign w:val="bottom"/>
            <w:hideMark/>
          </w:tcPr>
          <w:p w14:paraId="4B9A8415"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4.1</w:t>
            </w:r>
          </w:p>
        </w:tc>
      </w:tr>
      <w:tr w:rsidR="00B3260C" w:rsidRPr="00AA00FA" w14:paraId="3F80C176" w14:textId="77777777" w:rsidTr="00105817">
        <w:trPr>
          <w:trHeight w:val="300"/>
        </w:trPr>
        <w:tc>
          <w:tcPr>
            <w:tcW w:w="2660" w:type="dxa"/>
            <w:shd w:val="clear" w:color="auto" w:fill="auto"/>
            <w:noWrap/>
            <w:vAlign w:val="bottom"/>
            <w:hideMark/>
          </w:tcPr>
          <w:p w14:paraId="3E7C5283"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Transfer</w:t>
            </w:r>
          </w:p>
        </w:tc>
        <w:tc>
          <w:tcPr>
            <w:tcW w:w="1408" w:type="dxa"/>
            <w:shd w:val="clear" w:color="auto" w:fill="auto"/>
            <w:noWrap/>
            <w:vAlign w:val="bottom"/>
            <w:hideMark/>
          </w:tcPr>
          <w:p w14:paraId="4276438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c>
          <w:tcPr>
            <w:tcW w:w="1527" w:type="dxa"/>
            <w:shd w:val="clear" w:color="auto" w:fill="auto"/>
            <w:noWrap/>
            <w:vAlign w:val="bottom"/>
            <w:hideMark/>
          </w:tcPr>
          <w:p w14:paraId="4E0A98DE"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21</w:t>
            </w:r>
          </w:p>
        </w:tc>
        <w:tc>
          <w:tcPr>
            <w:tcW w:w="1168" w:type="dxa"/>
            <w:shd w:val="clear" w:color="auto" w:fill="auto"/>
            <w:noWrap/>
            <w:vAlign w:val="bottom"/>
            <w:hideMark/>
          </w:tcPr>
          <w:p w14:paraId="07976746"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11.0</w:t>
            </w:r>
          </w:p>
        </w:tc>
        <w:tc>
          <w:tcPr>
            <w:tcW w:w="1321" w:type="dxa"/>
            <w:shd w:val="clear" w:color="auto" w:fill="auto"/>
            <w:noWrap/>
            <w:vAlign w:val="bottom"/>
            <w:hideMark/>
          </w:tcPr>
          <w:p w14:paraId="5661AE1D"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12</w:t>
            </w:r>
          </w:p>
        </w:tc>
        <w:tc>
          <w:tcPr>
            <w:tcW w:w="1202" w:type="dxa"/>
            <w:shd w:val="clear" w:color="auto" w:fill="auto"/>
            <w:noWrap/>
            <w:vAlign w:val="bottom"/>
            <w:hideMark/>
          </w:tcPr>
          <w:p w14:paraId="7C616586"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6.0</w:t>
            </w:r>
          </w:p>
        </w:tc>
      </w:tr>
      <w:tr w:rsidR="00B3260C" w:rsidRPr="00AA00FA" w14:paraId="22F44CA2" w14:textId="77777777" w:rsidTr="00105817">
        <w:trPr>
          <w:trHeight w:val="300"/>
        </w:trPr>
        <w:tc>
          <w:tcPr>
            <w:tcW w:w="2660" w:type="dxa"/>
            <w:shd w:val="clear" w:color="auto" w:fill="auto"/>
            <w:noWrap/>
            <w:vAlign w:val="bottom"/>
            <w:hideMark/>
          </w:tcPr>
          <w:p w14:paraId="498AA867"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Locomotion</w:t>
            </w:r>
          </w:p>
        </w:tc>
        <w:tc>
          <w:tcPr>
            <w:tcW w:w="1408" w:type="dxa"/>
            <w:shd w:val="clear" w:color="auto" w:fill="auto"/>
            <w:noWrap/>
            <w:vAlign w:val="bottom"/>
            <w:hideMark/>
          </w:tcPr>
          <w:p w14:paraId="676B5DC5"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1527" w:type="dxa"/>
            <w:shd w:val="clear" w:color="auto" w:fill="auto"/>
            <w:noWrap/>
            <w:vAlign w:val="bottom"/>
            <w:hideMark/>
          </w:tcPr>
          <w:p w14:paraId="1CF92D0E"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c>
          <w:tcPr>
            <w:tcW w:w="1168" w:type="dxa"/>
            <w:shd w:val="clear" w:color="auto" w:fill="auto"/>
            <w:noWrap/>
            <w:vAlign w:val="bottom"/>
            <w:hideMark/>
          </w:tcPr>
          <w:p w14:paraId="1E422770"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3.9</w:t>
            </w:r>
          </w:p>
        </w:tc>
        <w:tc>
          <w:tcPr>
            <w:tcW w:w="1321" w:type="dxa"/>
            <w:shd w:val="clear" w:color="auto" w:fill="auto"/>
            <w:noWrap/>
            <w:vAlign w:val="bottom"/>
            <w:hideMark/>
          </w:tcPr>
          <w:p w14:paraId="6AEFB3C0"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c>
          <w:tcPr>
            <w:tcW w:w="1202" w:type="dxa"/>
            <w:shd w:val="clear" w:color="auto" w:fill="auto"/>
            <w:noWrap/>
            <w:vAlign w:val="bottom"/>
            <w:hideMark/>
          </w:tcPr>
          <w:p w14:paraId="08CFB235"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2.2</w:t>
            </w:r>
          </w:p>
        </w:tc>
      </w:tr>
      <w:tr w:rsidR="00B3260C" w:rsidRPr="00AA00FA" w14:paraId="37152DA4" w14:textId="77777777" w:rsidTr="00105817">
        <w:trPr>
          <w:trHeight w:val="300"/>
        </w:trPr>
        <w:tc>
          <w:tcPr>
            <w:tcW w:w="2660" w:type="dxa"/>
            <w:shd w:val="clear" w:color="auto" w:fill="auto"/>
            <w:noWrap/>
            <w:vAlign w:val="bottom"/>
            <w:hideMark/>
          </w:tcPr>
          <w:p w14:paraId="112CB13B"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Cognition</w:t>
            </w:r>
          </w:p>
        </w:tc>
        <w:tc>
          <w:tcPr>
            <w:tcW w:w="1408" w:type="dxa"/>
            <w:shd w:val="clear" w:color="auto" w:fill="auto"/>
            <w:noWrap/>
            <w:vAlign w:val="bottom"/>
            <w:hideMark/>
          </w:tcPr>
          <w:p w14:paraId="7A97D7C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c>
          <w:tcPr>
            <w:tcW w:w="1527" w:type="dxa"/>
            <w:shd w:val="clear" w:color="auto" w:fill="auto"/>
            <w:noWrap/>
            <w:vAlign w:val="bottom"/>
            <w:hideMark/>
          </w:tcPr>
          <w:p w14:paraId="2E3D1794"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35</w:t>
            </w:r>
          </w:p>
        </w:tc>
        <w:tc>
          <w:tcPr>
            <w:tcW w:w="1168" w:type="dxa"/>
            <w:shd w:val="clear" w:color="auto" w:fill="auto"/>
            <w:noWrap/>
            <w:vAlign w:val="bottom"/>
            <w:hideMark/>
          </w:tcPr>
          <w:p w14:paraId="78BE4408"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19.6</w:t>
            </w:r>
          </w:p>
        </w:tc>
        <w:tc>
          <w:tcPr>
            <w:tcW w:w="1321" w:type="dxa"/>
            <w:shd w:val="clear" w:color="auto" w:fill="auto"/>
            <w:noWrap/>
            <w:vAlign w:val="bottom"/>
            <w:hideMark/>
          </w:tcPr>
          <w:p w14:paraId="3644DAB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19</w:t>
            </w:r>
          </w:p>
        </w:tc>
        <w:tc>
          <w:tcPr>
            <w:tcW w:w="1202" w:type="dxa"/>
            <w:shd w:val="clear" w:color="auto" w:fill="auto"/>
            <w:noWrap/>
            <w:vAlign w:val="bottom"/>
            <w:hideMark/>
          </w:tcPr>
          <w:p w14:paraId="0A88A456"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9.8</w:t>
            </w:r>
          </w:p>
        </w:tc>
      </w:tr>
      <w:tr w:rsidR="00B3260C" w:rsidRPr="00AA00FA" w14:paraId="2D8B1EB4" w14:textId="77777777" w:rsidTr="00105817">
        <w:trPr>
          <w:trHeight w:val="300"/>
        </w:trPr>
        <w:tc>
          <w:tcPr>
            <w:tcW w:w="2660" w:type="dxa"/>
            <w:shd w:val="clear" w:color="auto" w:fill="auto"/>
            <w:noWrap/>
            <w:vAlign w:val="bottom"/>
            <w:hideMark/>
          </w:tcPr>
          <w:p w14:paraId="4284C179"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lastRenderedPageBreak/>
              <w:t>AM-</w:t>
            </w:r>
            <w:r w:rsidR="00B3260C" w:rsidRPr="00AA00FA">
              <w:rPr>
                <w:rFonts w:ascii="Calibri" w:hAnsi="Calibri" w:cs="Calibri"/>
                <w:color w:val="000000"/>
                <w:sz w:val="20"/>
                <w:szCs w:val="20"/>
              </w:rPr>
              <w:t>FIM Communication</w:t>
            </w:r>
          </w:p>
        </w:tc>
        <w:tc>
          <w:tcPr>
            <w:tcW w:w="1408" w:type="dxa"/>
            <w:shd w:val="clear" w:color="auto" w:fill="auto"/>
            <w:noWrap/>
            <w:vAlign w:val="bottom"/>
            <w:hideMark/>
          </w:tcPr>
          <w:p w14:paraId="79FF1113"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c>
          <w:tcPr>
            <w:tcW w:w="1527" w:type="dxa"/>
            <w:shd w:val="clear" w:color="auto" w:fill="auto"/>
            <w:noWrap/>
            <w:vAlign w:val="bottom"/>
            <w:hideMark/>
          </w:tcPr>
          <w:p w14:paraId="493F091A"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c>
          <w:tcPr>
            <w:tcW w:w="1168" w:type="dxa"/>
            <w:shd w:val="clear" w:color="auto" w:fill="auto"/>
            <w:noWrap/>
            <w:vAlign w:val="bottom"/>
            <w:hideMark/>
          </w:tcPr>
          <w:p w14:paraId="124D0663"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8.5</w:t>
            </w:r>
          </w:p>
        </w:tc>
        <w:tc>
          <w:tcPr>
            <w:tcW w:w="1321" w:type="dxa"/>
            <w:shd w:val="clear" w:color="auto" w:fill="auto"/>
            <w:noWrap/>
            <w:vAlign w:val="bottom"/>
            <w:hideMark/>
          </w:tcPr>
          <w:p w14:paraId="2FFAB29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c>
          <w:tcPr>
            <w:tcW w:w="1202" w:type="dxa"/>
            <w:shd w:val="clear" w:color="auto" w:fill="auto"/>
            <w:noWrap/>
            <w:vAlign w:val="bottom"/>
            <w:hideMark/>
          </w:tcPr>
          <w:p w14:paraId="3FA16421"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4.1</w:t>
            </w:r>
          </w:p>
        </w:tc>
      </w:tr>
      <w:tr w:rsidR="00B3260C" w:rsidRPr="00AA00FA" w14:paraId="7D4113F2" w14:textId="77777777" w:rsidTr="00105817">
        <w:trPr>
          <w:trHeight w:val="300"/>
        </w:trPr>
        <w:tc>
          <w:tcPr>
            <w:tcW w:w="2660" w:type="dxa"/>
            <w:shd w:val="clear" w:color="auto" w:fill="auto"/>
            <w:noWrap/>
            <w:vAlign w:val="bottom"/>
            <w:hideMark/>
          </w:tcPr>
          <w:p w14:paraId="4D25BBA0" w14:textId="77777777" w:rsidR="00B3260C" w:rsidRPr="00AA00FA" w:rsidRDefault="00105817" w:rsidP="00D14C87">
            <w:pPr>
              <w:spacing w:before="40" w:after="40"/>
              <w:rPr>
                <w:rFonts w:ascii="Calibri" w:hAnsi="Calibri" w:cs="Calibri"/>
                <w:color w:val="000000"/>
                <w:sz w:val="20"/>
                <w:szCs w:val="20"/>
              </w:rPr>
            </w:pPr>
            <w:r>
              <w:rPr>
                <w:rFonts w:ascii="Calibri" w:hAnsi="Calibri" w:cs="Calibri"/>
                <w:color w:val="000000"/>
                <w:sz w:val="20"/>
                <w:szCs w:val="20"/>
              </w:rPr>
              <w:t>AM-</w:t>
            </w:r>
            <w:r w:rsidR="00B3260C" w:rsidRPr="00AA00FA">
              <w:rPr>
                <w:rFonts w:ascii="Calibri" w:hAnsi="Calibri" w:cs="Calibri"/>
                <w:color w:val="000000"/>
                <w:sz w:val="20"/>
                <w:szCs w:val="20"/>
              </w:rPr>
              <w:t>FIM Social Cognition</w:t>
            </w:r>
          </w:p>
        </w:tc>
        <w:tc>
          <w:tcPr>
            <w:tcW w:w="1408" w:type="dxa"/>
            <w:shd w:val="clear" w:color="auto" w:fill="auto"/>
            <w:noWrap/>
            <w:vAlign w:val="bottom"/>
            <w:hideMark/>
          </w:tcPr>
          <w:p w14:paraId="3B9BD9F8"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c>
          <w:tcPr>
            <w:tcW w:w="1527" w:type="dxa"/>
            <w:shd w:val="clear" w:color="auto" w:fill="auto"/>
            <w:noWrap/>
            <w:vAlign w:val="bottom"/>
            <w:hideMark/>
          </w:tcPr>
          <w:p w14:paraId="6505C7B3"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21</w:t>
            </w:r>
          </w:p>
        </w:tc>
        <w:tc>
          <w:tcPr>
            <w:tcW w:w="1168" w:type="dxa"/>
            <w:shd w:val="clear" w:color="auto" w:fill="auto"/>
            <w:noWrap/>
            <w:vAlign w:val="bottom"/>
            <w:hideMark/>
          </w:tcPr>
          <w:p w14:paraId="29CAF83E"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11.1</w:t>
            </w:r>
          </w:p>
        </w:tc>
        <w:tc>
          <w:tcPr>
            <w:tcW w:w="1321" w:type="dxa"/>
            <w:shd w:val="clear" w:color="auto" w:fill="auto"/>
            <w:noWrap/>
            <w:vAlign w:val="bottom"/>
            <w:hideMark/>
          </w:tcPr>
          <w:p w14:paraId="6AA230AC"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c>
          <w:tcPr>
            <w:tcW w:w="1202" w:type="dxa"/>
            <w:shd w:val="clear" w:color="auto" w:fill="auto"/>
            <w:noWrap/>
            <w:vAlign w:val="bottom"/>
            <w:hideMark/>
          </w:tcPr>
          <w:p w14:paraId="6B3221A1"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6.0</w:t>
            </w:r>
          </w:p>
        </w:tc>
      </w:tr>
      <w:tr w:rsidR="00B3260C" w:rsidRPr="00E74FA9" w14:paraId="0F766EFC" w14:textId="77777777" w:rsidTr="00105817">
        <w:trPr>
          <w:trHeight w:val="300"/>
        </w:trPr>
        <w:tc>
          <w:tcPr>
            <w:tcW w:w="2660" w:type="dxa"/>
            <w:shd w:val="clear" w:color="auto" w:fill="auto"/>
            <w:noWrap/>
            <w:vAlign w:val="bottom"/>
            <w:hideMark/>
          </w:tcPr>
          <w:p w14:paraId="44A731DC" w14:textId="77777777" w:rsidR="00B3260C" w:rsidRPr="00E74FA9" w:rsidRDefault="00105817" w:rsidP="00D14C87">
            <w:pPr>
              <w:spacing w:before="40" w:after="40"/>
              <w:rPr>
                <w:rFonts w:ascii="Calibri" w:hAnsi="Calibri" w:cs="Calibri"/>
                <w:b/>
                <w:color w:val="000000"/>
                <w:sz w:val="20"/>
                <w:szCs w:val="20"/>
              </w:rPr>
            </w:pPr>
            <w:r>
              <w:rPr>
                <w:rFonts w:ascii="Calibri" w:hAnsi="Calibri" w:cs="Calibri"/>
                <w:b/>
                <w:color w:val="000000"/>
                <w:sz w:val="20"/>
                <w:szCs w:val="20"/>
              </w:rPr>
              <w:t>AM-</w:t>
            </w:r>
            <w:r w:rsidR="00B3260C" w:rsidRPr="00E74FA9">
              <w:rPr>
                <w:rFonts w:ascii="Calibri" w:hAnsi="Calibri" w:cs="Calibri"/>
                <w:b/>
                <w:color w:val="000000"/>
                <w:sz w:val="20"/>
                <w:szCs w:val="20"/>
              </w:rPr>
              <w:t>FIM Total</w:t>
            </w:r>
          </w:p>
        </w:tc>
        <w:tc>
          <w:tcPr>
            <w:tcW w:w="1408" w:type="dxa"/>
            <w:shd w:val="clear" w:color="auto" w:fill="auto"/>
            <w:noWrap/>
            <w:vAlign w:val="bottom"/>
            <w:hideMark/>
          </w:tcPr>
          <w:p w14:paraId="5D30A401" w14:textId="77777777" w:rsidR="00B3260C" w:rsidRPr="00E74FA9" w:rsidRDefault="00B3260C" w:rsidP="00D14C87">
            <w:pPr>
              <w:spacing w:before="40" w:after="40"/>
              <w:jc w:val="right"/>
              <w:rPr>
                <w:rFonts w:ascii="Calibri" w:hAnsi="Calibri" w:cs="Calibri"/>
                <w:b/>
                <w:color w:val="000000"/>
                <w:sz w:val="20"/>
                <w:szCs w:val="20"/>
              </w:rPr>
            </w:pPr>
            <w:r w:rsidRPr="00E74FA9">
              <w:rPr>
                <w:rFonts w:ascii="Calibri" w:hAnsi="Calibri" w:cs="Calibri"/>
                <w:b/>
                <w:color w:val="000000"/>
                <w:sz w:val="20"/>
                <w:szCs w:val="20"/>
              </w:rPr>
              <w:t>17</w:t>
            </w:r>
          </w:p>
        </w:tc>
        <w:tc>
          <w:tcPr>
            <w:tcW w:w="1527" w:type="dxa"/>
            <w:shd w:val="clear" w:color="auto" w:fill="auto"/>
            <w:noWrap/>
            <w:vAlign w:val="bottom"/>
            <w:hideMark/>
          </w:tcPr>
          <w:p w14:paraId="2E10A776" w14:textId="77777777" w:rsidR="00B3260C" w:rsidRPr="00E74FA9" w:rsidRDefault="00B3260C" w:rsidP="00D14C87">
            <w:pPr>
              <w:spacing w:before="40" w:after="40"/>
              <w:jc w:val="right"/>
              <w:rPr>
                <w:rFonts w:ascii="Calibri" w:hAnsi="Calibri" w:cs="Calibri"/>
                <w:b/>
                <w:color w:val="000000"/>
                <w:sz w:val="20"/>
                <w:szCs w:val="20"/>
              </w:rPr>
            </w:pPr>
            <w:r w:rsidRPr="00E74FA9">
              <w:rPr>
                <w:rFonts w:ascii="Calibri" w:hAnsi="Calibri" w:cs="Calibri"/>
                <w:b/>
                <w:color w:val="000000"/>
                <w:sz w:val="20"/>
                <w:szCs w:val="20"/>
              </w:rPr>
              <w:t>119</w:t>
            </w:r>
          </w:p>
        </w:tc>
        <w:tc>
          <w:tcPr>
            <w:tcW w:w="1168" w:type="dxa"/>
            <w:shd w:val="clear" w:color="auto" w:fill="auto"/>
            <w:noWrap/>
            <w:vAlign w:val="bottom"/>
            <w:hideMark/>
          </w:tcPr>
          <w:p w14:paraId="4FF51F53" w14:textId="77777777" w:rsidR="00B3260C" w:rsidRPr="00E74FA9" w:rsidRDefault="00B3260C" w:rsidP="00D14C87">
            <w:pPr>
              <w:spacing w:before="40" w:after="40"/>
              <w:jc w:val="right"/>
              <w:rPr>
                <w:rFonts w:ascii="Calibri" w:hAnsi="Calibri" w:cs="Calibri"/>
                <w:b/>
                <w:color w:val="000000"/>
                <w:sz w:val="20"/>
                <w:szCs w:val="20"/>
              </w:rPr>
            </w:pPr>
            <w:r w:rsidRPr="00E74FA9">
              <w:rPr>
                <w:rFonts w:ascii="Calibri" w:hAnsi="Calibri" w:cs="Calibri"/>
                <w:b/>
                <w:color w:val="000000"/>
                <w:sz w:val="20"/>
                <w:szCs w:val="20"/>
              </w:rPr>
              <w:t>62.8</w:t>
            </w:r>
          </w:p>
        </w:tc>
        <w:tc>
          <w:tcPr>
            <w:tcW w:w="1321" w:type="dxa"/>
            <w:shd w:val="clear" w:color="auto" w:fill="auto"/>
            <w:noWrap/>
            <w:vAlign w:val="bottom"/>
            <w:hideMark/>
          </w:tcPr>
          <w:p w14:paraId="09BF9B9B" w14:textId="77777777" w:rsidR="00B3260C" w:rsidRPr="00E74FA9" w:rsidRDefault="00B3260C" w:rsidP="00D14C87">
            <w:pPr>
              <w:spacing w:before="40" w:after="40"/>
              <w:jc w:val="right"/>
              <w:rPr>
                <w:rFonts w:ascii="Calibri" w:hAnsi="Calibri" w:cs="Calibri"/>
                <w:b/>
                <w:color w:val="000000"/>
                <w:sz w:val="20"/>
                <w:szCs w:val="20"/>
              </w:rPr>
            </w:pPr>
            <w:r w:rsidRPr="00E74FA9">
              <w:rPr>
                <w:rFonts w:ascii="Calibri" w:hAnsi="Calibri" w:cs="Calibri"/>
                <w:b/>
                <w:color w:val="000000"/>
                <w:sz w:val="20"/>
                <w:szCs w:val="20"/>
              </w:rPr>
              <w:t>62</w:t>
            </w:r>
          </w:p>
        </w:tc>
        <w:tc>
          <w:tcPr>
            <w:tcW w:w="1202" w:type="dxa"/>
            <w:shd w:val="clear" w:color="auto" w:fill="auto"/>
            <w:noWrap/>
            <w:vAlign w:val="bottom"/>
            <w:hideMark/>
          </w:tcPr>
          <w:p w14:paraId="16C144BB" w14:textId="77777777" w:rsidR="00B3260C" w:rsidRPr="00E74FA9" w:rsidRDefault="00B3260C" w:rsidP="00D14C87">
            <w:pPr>
              <w:spacing w:before="40" w:after="40"/>
              <w:jc w:val="right"/>
              <w:rPr>
                <w:rFonts w:ascii="Calibri" w:hAnsi="Calibri" w:cs="Calibri"/>
                <w:b/>
                <w:color w:val="000000"/>
                <w:sz w:val="20"/>
                <w:szCs w:val="20"/>
              </w:rPr>
            </w:pPr>
            <w:r w:rsidRPr="00E74FA9">
              <w:rPr>
                <w:rFonts w:ascii="Calibri" w:hAnsi="Calibri" w:cs="Calibri"/>
                <w:b/>
                <w:color w:val="000000"/>
                <w:sz w:val="20"/>
                <w:szCs w:val="20"/>
              </w:rPr>
              <w:t>29.1</w:t>
            </w:r>
          </w:p>
        </w:tc>
      </w:tr>
    </w:tbl>
    <w:p w14:paraId="4D8C841A" w14:textId="77777777" w:rsidR="009A7CC6" w:rsidRDefault="00B3260C" w:rsidP="00AC2F3B">
      <w:pPr>
        <w:pStyle w:val="Normal-nospacing"/>
      </w:pPr>
      <w:r>
        <w:t xml:space="preserve">There was a reasonable spread of scores within each of the </w:t>
      </w:r>
      <w:r w:rsidR="00F52D18">
        <w:t>AM-</w:t>
      </w:r>
      <w:r>
        <w:t>FIM items. However, calculation of the subscales revealed some additional insight into the scoring. There are two subscales that comprise only two items – sphincter control and communication. For both these subscales there were far more even scores than odd scores (87% for sphincter cont</w:t>
      </w:r>
      <w:r w:rsidR="00161FF5">
        <w:t>rol and 85% for communication).</w:t>
      </w:r>
    </w:p>
    <w:p w14:paraId="22B4A905" w14:textId="77777777" w:rsidR="00B3260C" w:rsidRDefault="00B3260C" w:rsidP="00AC2F3B">
      <w:pPr>
        <w:pStyle w:val="Normal-nospacing"/>
      </w:pPr>
      <w:r>
        <w:t xml:space="preserve">This was also true, but to a lesser extent, for the transfer and social cognition subscales, which are both the sum of scores on three items. Closer inspection revealed that, in the majority of cases, the same score had been assigned for each item in the subscale. This could reflect the clinical reality. However it could also reflect difficulties </w:t>
      </w:r>
      <w:r w:rsidR="009A7CC6">
        <w:t>associated with the use of this tool</w:t>
      </w:r>
      <w:r>
        <w:t>.</w:t>
      </w:r>
    </w:p>
    <w:p w14:paraId="07C4FAEA" w14:textId="77777777" w:rsidR="00B3260C" w:rsidRDefault="00B3260C" w:rsidP="00534F50">
      <w:pPr>
        <w:pStyle w:val="Heading2"/>
      </w:pPr>
      <w:bookmarkStart w:id="99" w:name="_Toc2070325"/>
      <w:r>
        <w:t xml:space="preserve">Neuropsychiatric Inventory </w:t>
      </w:r>
      <w:r w:rsidR="00F067AF">
        <w:t>– Nursing Home v</w:t>
      </w:r>
      <w:r>
        <w:t>ersion (NPI-NH)</w:t>
      </w:r>
      <w:bookmarkEnd w:id="99"/>
    </w:p>
    <w:p w14:paraId="2ADA8B2C" w14:textId="77777777" w:rsidR="00B3260C" w:rsidRDefault="00B3260C" w:rsidP="00FE46FD">
      <w:pPr>
        <w:pStyle w:val="Normal-nospacing"/>
      </w:pPr>
      <w:r>
        <w:t>The NPI-NH is designed as a screening instrument to evaluate</w:t>
      </w:r>
      <w:r w:rsidR="00534F50">
        <w:t xml:space="preserve"> the </w:t>
      </w:r>
      <w:r w:rsidR="00F52D18">
        <w:t>mental health</w:t>
      </w:r>
      <w:r>
        <w:t xml:space="preserve"> symptoms of residents. The assessor records if any of </w:t>
      </w:r>
      <w:r w:rsidR="00534F50">
        <w:t>12</w:t>
      </w:r>
      <w:r>
        <w:t xml:space="preserve"> behaviours has been demonstrated by the resident. For each item, if the answer is yes, the frequency, severity and occupational disruptiveness are all rated for that behaviour. Frequency is rated from 1 (rarely) to 4 (very often); severity is rated </w:t>
      </w:r>
      <w:r w:rsidR="00B82914">
        <w:t xml:space="preserve">from </w:t>
      </w:r>
      <w:r>
        <w:t>1 (mild) to 3 (severe). Occupational disruptiveness is measuring the increased work, effort, time or distress for the caregiver that is caused by the resident’s behaviour and is rated from 0 (not at all) to 5 (very severely).</w:t>
      </w:r>
    </w:p>
    <w:p w14:paraId="1D19D840" w14:textId="77777777" w:rsidR="00B3260C" w:rsidRDefault="00B3260C" w:rsidP="00FE46FD">
      <w:pPr>
        <w:pStyle w:val="Normal-nospacing"/>
      </w:pPr>
      <w:r w:rsidRPr="001D1B79">
        <w:fldChar w:fldCharType="begin"/>
      </w:r>
      <w:r w:rsidRPr="001D1B79">
        <w:instrText xml:space="preserve"> REF _Ref525223547 \h  \* MERGEFORMAT </w:instrText>
      </w:r>
      <w:r w:rsidRPr="001D1B79">
        <w:fldChar w:fldCharType="separate"/>
      </w:r>
      <w:r w:rsidR="00EE18C8" w:rsidRPr="00374841">
        <w:t xml:space="preserve">Table </w:t>
      </w:r>
      <w:r w:rsidR="00EE18C8">
        <w:rPr>
          <w:noProof/>
        </w:rPr>
        <w:t>13</w:t>
      </w:r>
      <w:r w:rsidRPr="001D1B79">
        <w:fldChar w:fldCharType="end"/>
      </w:r>
      <w:r w:rsidRPr="001D1B79">
        <w:t xml:space="preserve"> </w:t>
      </w:r>
      <w:r>
        <w:t xml:space="preserve">presents summary statistics for </w:t>
      </w:r>
      <w:r w:rsidRPr="001D1B79">
        <w:t>the number of behaviours</w:t>
      </w:r>
      <w:r>
        <w:t xml:space="preserve"> which were recorded as being present on the NPI-NH. It can be seen that for 29% of residents, none of the identified behaviours was present while for a further 39% of residents, between one and three of the behaviours w</w:t>
      </w:r>
      <w:r w:rsidR="00161FF5">
        <w:t>ere recorded as being present.</w:t>
      </w:r>
    </w:p>
    <w:p w14:paraId="0389CABF" w14:textId="77777777" w:rsidR="00B3260C" w:rsidRDefault="00B3260C" w:rsidP="00B3260C">
      <w:pPr>
        <w:pStyle w:val="Caption"/>
      </w:pPr>
      <w:bookmarkStart w:id="100" w:name="_Ref525223547"/>
      <w:bookmarkStart w:id="101" w:name="_Toc2065675"/>
      <w:r w:rsidRPr="00374841">
        <w:t xml:space="preserve">Table </w:t>
      </w:r>
      <w:r>
        <w:rPr>
          <w:noProof/>
        </w:rPr>
        <w:fldChar w:fldCharType="begin"/>
      </w:r>
      <w:r>
        <w:rPr>
          <w:noProof/>
        </w:rPr>
        <w:instrText xml:space="preserve"> SEQ Table \* ARABIC </w:instrText>
      </w:r>
      <w:r>
        <w:rPr>
          <w:noProof/>
        </w:rPr>
        <w:fldChar w:fldCharType="separate"/>
      </w:r>
      <w:r w:rsidR="00EE18C8">
        <w:rPr>
          <w:noProof/>
        </w:rPr>
        <w:t>13</w:t>
      </w:r>
      <w:r>
        <w:rPr>
          <w:noProof/>
        </w:rPr>
        <w:fldChar w:fldCharType="end"/>
      </w:r>
      <w:bookmarkEnd w:id="100"/>
      <w:r w:rsidR="00FB05DE">
        <w:rPr>
          <w:noProof/>
        </w:rPr>
        <w:tab/>
      </w:r>
      <w:r>
        <w:t>Number of items recorded as present on the NPI-NH</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tems recorded as present on the NPI-NH"/>
        <w:tblDescription w:val="Table 13 shows summary statistics for the number of behaviours which were recorded as being present on the NPI-NH. For 29 percent of residents, none of the identified behaviours was present while for a further 39 percent of residents, between one and three of the behaviours were recorded as being present. The table is to be read as a series of rows from left to right ('number of items present' then 'number of residents' then 'percentage of residents')."/>
      </w:tblPr>
      <w:tblGrid>
        <w:gridCol w:w="1913"/>
        <w:gridCol w:w="1536"/>
        <w:gridCol w:w="2176"/>
      </w:tblGrid>
      <w:tr w:rsidR="00867576" w:rsidRPr="00AA00FA" w14:paraId="5A9F2308" w14:textId="77777777" w:rsidTr="00F52D18">
        <w:trPr>
          <w:trHeight w:val="300"/>
          <w:tblHeader/>
        </w:trPr>
        <w:tc>
          <w:tcPr>
            <w:tcW w:w="0" w:type="auto"/>
            <w:shd w:val="clear" w:color="auto" w:fill="D9D9D9" w:themeFill="background1" w:themeFillShade="D9"/>
            <w:noWrap/>
            <w:vAlign w:val="bottom"/>
            <w:hideMark/>
          </w:tcPr>
          <w:p w14:paraId="5833BD67" w14:textId="77777777" w:rsidR="00867576" w:rsidRPr="00AA00FA" w:rsidRDefault="00867576" w:rsidP="00D14C87">
            <w:pPr>
              <w:spacing w:before="40" w:after="40"/>
              <w:rPr>
                <w:rFonts w:ascii="Calibri" w:hAnsi="Calibri" w:cs="Calibri"/>
                <w:b/>
                <w:color w:val="000000"/>
                <w:sz w:val="20"/>
                <w:szCs w:val="20"/>
              </w:rPr>
            </w:pPr>
            <w:r w:rsidRPr="00AA00FA">
              <w:rPr>
                <w:rFonts w:ascii="Calibri" w:hAnsi="Calibri" w:cs="Calibri"/>
                <w:b/>
                <w:color w:val="000000"/>
                <w:sz w:val="20"/>
                <w:szCs w:val="20"/>
              </w:rPr>
              <w:t>No. of items present</w:t>
            </w:r>
          </w:p>
        </w:tc>
        <w:tc>
          <w:tcPr>
            <w:tcW w:w="0" w:type="auto"/>
            <w:shd w:val="clear" w:color="auto" w:fill="D9D9D9" w:themeFill="background1" w:themeFillShade="D9"/>
            <w:noWrap/>
            <w:vAlign w:val="bottom"/>
            <w:hideMark/>
          </w:tcPr>
          <w:p w14:paraId="53F60537" w14:textId="77777777" w:rsidR="00867576" w:rsidRPr="00AA00FA" w:rsidRDefault="00867576"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No. of residents</w:t>
            </w:r>
          </w:p>
        </w:tc>
        <w:tc>
          <w:tcPr>
            <w:tcW w:w="0" w:type="auto"/>
            <w:shd w:val="clear" w:color="auto" w:fill="D9D9D9" w:themeFill="background1" w:themeFillShade="D9"/>
            <w:noWrap/>
            <w:vAlign w:val="bottom"/>
            <w:hideMark/>
          </w:tcPr>
          <w:p w14:paraId="2032DEEE" w14:textId="77777777" w:rsidR="00867576" w:rsidRPr="00AA00FA" w:rsidRDefault="00867576"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Percentage of residents</w:t>
            </w:r>
          </w:p>
        </w:tc>
      </w:tr>
      <w:tr w:rsidR="00867576" w:rsidRPr="00AA00FA" w14:paraId="4B7937C5" w14:textId="77777777" w:rsidTr="00D6251D">
        <w:trPr>
          <w:trHeight w:val="300"/>
        </w:trPr>
        <w:tc>
          <w:tcPr>
            <w:tcW w:w="0" w:type="auto"/>
            <w:shd w:val="clear" w:color="auto" w:fill="auto"/>
            <w:noWrap/>
            <w:vAlign w:val="bottom"/>
            <w:hideMark/>
          </w:tcPr>
          <w:p w14:paraId="260FCA31"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0</w:t>
            </w:r>
          </w:p>
        </w:tc>
        <w:tc>
          <w:tcPr>
            <w:tcW w:w="0" w:type="auto"/>
            <w:shd w:val="clear" w:color="auto" w:fill="auto"/>
            <w:noWrap/>
            <w:vAlign w:val="bottom"/>
            <w:hideMark/>
          </w:tcPr>
          <w:p w14:paraId="46CC7CF0"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547</w:t>
            </w:r>
          </w:p>
        </w:tc>
        <w:tc>
          <w:tcPr>
            <w:tcW w:w="0" w:type="auto"/>
            <w:shd w:val="clear" w:color="auto" w:fill="auto"/>
            <w:noWrap/>
            <w:vAlign w:val="bottom"/>
            <w:hideMark/>
          </w:tcPr>
          <w:p w14:paraId="2DE1D370"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29%</w:t>
            </w:r>
          </w:p>
        </w:tc>
      </w:tr>
      <w:tr w:rsidR="00867576" w:rsidRPr="00AA00FA" w14:paraId="04674477" w14:textId="77777777" w:rsidTr="00D6251D">
        <w:trPr>
          <w:trHeight w:val="300"/>
        </w:trPr>
        <w:tc>
          <w:tcPr>
            <w:tcW w:w="0" w:type="auto"/>
            <w:shd w:val="clear" w:color="auto" w:fill="auto"/>
            <w:noWrap/>
            <w:vAlign w:val="bottom"/>
            <w:hideMark/>
          </w:tcPr>
          <w:p w14:paraId="045D505E"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w:t>
            </w:r>
          </w:p>
        </w:tc>
        <w:tc>
          <w:tcPr>
            <w:tcW w:w="0" w:type="auto"/>
            <w:shd w:val="clear" w:color="auto" w:fill="auto"/>
            <w:noWrap/>
            <w:vAlign w:val="bottom"/>
            <w:hideMark/>
          </w:tcPr>
          <w:p w14:paraId="0AE0EAC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277</w:t>
            </w:r>
          </w:p>
        </w:tc>
        <w:tc>
          <w:tcPr>
            <w:tcW w:w="0" w:type="auto"/>
            <w:shd w:val="clear" w:color="auto" w:fill="auto"/>
            <w:noWrap/>
            <w:vAlign w:val="bottom"/>
            <w:hideMark/>
          </w:tcPr>
          <w:p w14:paraId="719BE32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15%</w:t>
            </w:r>
          </w:p>
        </w:tc>
      </w:tr>
      <w:tr w:rsidR="00867576" w:rsidRPr="00AA00FA" w14:paraId="1CE2CCB9" w14:textId="77777777" w:rsidTr="00D6251D">
        <w:trPr>
          <w:trHeight w:val="300"/>
        </w:trPr>
        <w:tc>
          <w:tcPr>
            <w:tcW w:w="0" w:type="auto"/>
            <w:shd w:val="clear" w:color="auto" w:fill="auto"/>
            <w:noWrap/>
            <w:vAlign w:val="bottom"/>
            <w:hideMark/>
          </w:tcPr>
          <w:p w14:paraId="08BA3A50"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2</w:t>
            </w:r>
          </w:p>
        </w:tc>
        <w:tc>
          <w:tcPr>
            <w:tcW w:w="0" w:type="auto"/>
            <w:shd w:val="clear" w:color="auto" w:fill="auto"/>
            <w:noWrap/>
            <w:vAlign w:val="bottom"/>
            <w:hideMark/>
          </w:tcPr>
          <w:p w14:paraId="6B5BC190"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262</w:t>
            </w:r>
          </w:p>
        </w:tc>
        <w:tc>
          <w:tcPr>
            <w:tcW w:w="0" w:type="auto"/>
            <w:shd w:val="clear" w:color="auto" w:fill="auto"/>
            <w:noWrap/>
            <w:vAlign w:val="bottom"/>
            <w:hideMark/>
          </w:tcPr>
          <w:p w14:paraId="3A1D9B7D"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r>
      <w:tr w:rsidR="00867576" w:rsidRPr="00AA00FA" w14:paraId="061E3D16" w14:textId="77777777" w:rsidTr="00D6251D">
        <w:trPr>
          <w:trHeight w:val="300"/>
        </w:trPr>
        <w:tc>
          <w:tcPr>
            <w:tcW w:w="0" w:type="auto"/>
            <w:shd w:val="clear" w:color="auto" w:fill="auto"/>
            <w:noWrap/>
            <w:vAlign w:val="bottom"/>
            <w:hideMark/>
          </w:tcPr>
          <w:p w14:paraId="43D4A588"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3</w:t>
            </w:r>
          </w:p>
        </w:tc>
        <w:tc>
          <w:tcPr>
            <w:tcW w:w="0" w:type="auto"/>
            <w:shd w:val="clear" w:color="auto" w:fill="auto"/>
            <w:noWrap/>
            <w:vAlign w:val="bottom"/>
            <w:hideMark/>
          </w:tcPr>
          <w:p w14:paraId="4FDF2174"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189</w:t>
            </w:r>
          </w:p>
        </w:tc>
        <w:tc>
          <w:tcPr>
            <w:tcW w:w="0" w:type="auto"/>
            <w:shd w:val="clear" w:color="auto" w:fill="auto"/>
            <w:noWrap/>
            <w:vAlign w:val="bottom"/>
            <w:hideMark/>
          </w:tcPr>
          <w:p w14:paraId="3E13512F"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r>
      <w:tr w:rsidR="00867576" w:rsidRPr="00AA00FA" w14:paraId="41A0744E" w14:textId="77777777" w:rsidTr="00D6251D">
        <w:trPr>
          <w:trHeight w:val="300"/>
        </w:trPr>
        <w:tc>
          <w:tcPr>
            <w:tcW w:w="0" w:type="auto"/>
            <w:shd w:val="clear" w:color="auto" w:fill="auto"/>
            <w:noWrap/>
            <w:vAlign w:val="bottom"/>
            <w:hideMark/>
          </w:tcPr>
          <w:p w14:paraId="511A33A2"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4</w:t>
            </w:r>
          </w:p>
        </w:tc>
        <w:tc>
          <w:tcPr>
            <w:tcW w:w="0" w:type="auto"/>
            <w:shd w:val="clear" w:color="auto" w:fill="auto"/>
            <w:noWrap/>
            <w:vAlign w:val="bottom"/>
            <w:hideMark/>
          </w:tcPr>
          <w:p w14:paraId="753BA1F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158</w:t>
            </w:r>
          </w:p>
        </w:tc>
        <w:tc>
          <w:tcPr>
            <w:tcW w:w="0" w:type="auto"/>
            <w:shd w:val="clear" w:color="auto" w:fill="auto"/>
            <w:noWrap/>
            <w:vAlign w:val="bottom"/>
            <w:hideMark/>
          </w:tcPr>
          <w:p w14:paraId="0BC28CC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r>
      <w:tr w:rsidR="00867576" w:rsidRPr="00AA00FA" w14:paraId="44F3DB88" w14:textId="77777777" w:rsidTr="00D6251D">
        <w:trPr>
          <w:trHeight w:val="300"/>
        </w:trPr>
        <w:tc>
          <w:tcPr>
            <w:tcW w:w="0" w:type="auto"/>
            <w:shd w:val="clear" w:color="auto" w:fill="auto"/>
            <w:noWrap/>
            <w:vAlign w:val="bottom"/>
            <w:hideMark/>
          </w:tcPr>
          <w:p w14:paraId="439ABA63"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5</w:t>
            </w:r>
          </w:p>
        </w:tc>
        <w:tc>
          <w:tcPr>
            <w:tcW w:w="0" w:type="auto"/>
            <w:shd w:val="clear" w:color="auto" w:fill="auto"/>
            <w:noWrap/>
            <w:vAlign w:val="bottom"/>
            <w:hideMark/>
          </w:tcPr>
          <w:p w14:paraId="21ED50F1"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145</w:t>
            </w:r>
          </w:p>
        </w:tc>
        <w:tc>
          <w:tcPr>
            <w:tcW w:w="0" w:type="auto"/>
            <w:shd w:val="clear" w:color="auto" w:fill="auto"/>
            <w:noWrap/>
            <w:vAlign w:val="bottom"/>
            <w:hideMark/>
          </w:tcPr>
          <w:p w14:paraId="2846F36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r>
      <w:tr w:rsidR="00867576" w:rsidRPr="00AA00FA" w14:paraId="37DB7490" w14:textId="77777777" w:rsidTr="00D6251D">
        <w:trPr>
          <w:trHeight w:val="300"/>
        </w:trPr>
        <w:tc>
          <w:tcPr>
            <w:tcW w:w="0" w:type="auto"/>
            <w:shd w:val="clear" w:color="auto" w:fill="auto"/>
            <w:noWrap/>
            <w:vAlign w:val="bottom"/>
            <w:hideMark/>
          </w:tcPr>
          <w:p w14:paraId="5A39BD95"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6</w:t>
            </w:r>
          </w:p>
        </w:tc>
        <w:tc>
          <w:tcPr>
            <w:tcW w:w="0" w:type="auto"/>
            <w:shd w:val="clear" w:color="auto" w:fill="auto"/>
            <w:noWrap/>
            <w:vAlign w:val="bottom"/>
            <w:hideMark/>
          </w:tcPr>
          <w:p w14:paraId="742ADA6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95</w:t>
            </w:r>
          </w:p>
        </w:tc>
        <w:tc>
          <w:tcPr>
            <w:tcW w:w="0" w:type="auto"/>
            <w:shd w:val="clear" w:color="auto" w:fill="auto"/>
            <w:noWrap/>
            <w:vAlign w:val="bottom"/>
            <w:hideMark/>
          </w:tcPr>
          <w:p w14:paraId="2B09F3D1"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w:t>
            </w:r>
          </w:p>
        </w:tc>
      </w:tr>
      <w:tr w:rsidR="00867576" w:rsidRPr="00AA00FA" w14:paraId="3F40ED84" w14:textId="77777777" w:rsidTr="00D6251D">
        <w:trPr>
          <w:trHeight w:val="300"/>
        </w:trPr>
        <w:tc>
          <w:tcPr>
            <w:tcW w:w="0" w:type="auto"/>
            <w:shd w:val="clear" w:color="auto" w:fill="auto"/>
            <w:noWrap/>
            <w:vAlign w:val="bottom"/>
            <w:hideMark/>
          </w:tcPr>
          <w:p w14:paraId="791397C5"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7</w:t>
            </w:r>
          </w:p>
        </w:tc>
        <w:tc>
          <w:tcPr>
            <w:tcW w:w="0" w:type="auto"/>
            <w:shd w:val="clear" w:color="auto" w:fill="auto"/>
            <w:noWrap/>
            <w:vAlign w:val="bottom"/>
            <w:hideMark/>
          </w:tcPr>
          <w:p w14:paraId="7FB24A2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75</w:t>
            </w:r>
          </w:p>
        </w:tc>
        <w:tc>
          <w:tcPr>
            <w:tcW w:w="0" w:type="auto"/>
            <w:shd w:val="clear" w:color="auto" w:fill="auto"/>
            <w:noWrap/>
            <w:vAlign w:val="bottom"/>
            <w:hideMark/>
          </w:tcPr>
          <w:p w14:paraId="75D31E5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867576" w:rsidRPr="00AA00FA" w14:paraId="75104750" w14:textId="77777777" w:rsidTr="00D6251D">
        <w:trPr>
          <w:trHeight w:val="300"/>
        </w:trPr>
        <w:tc>
          <w:tcPr>
            <w:tcW w:w="0" w:type="auto"/>
            <w:shd w:val="clear" w:color="auto" w:fill="auto"/>
            <w:noWrap/>
            <w:vAlign w:val="bottom"/>
            <w:hideMark/>
          </w:tcPr>
          <w:p w14:paraId="38E4B40D"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8</w:t>
            </w:r>
          </w:p>
        </w:tc>
        <w:tc>
          <w:tcPr>
            <w:tcW w:w="0" w:type="auto"/>
            <w:shd w:val="clear" w:color="auto" w:fill="auto"/>
            <w:noWrap/>
            <w:vAlign w:val="bottom"/>
            <w:hideMark/>
          </w:tcPr>
          <w:p w14:paraId="38DC1B0F"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55</w:t>
            </w:r>
          </w:p>
        </w:tc>
        <w:tc>
          <w:tcPr>
            <w:tcW w:w="0" w:type="auto"/>
            <w:shd w:val="clear" w:color="auto" w:fill="auto"/>
            <w:noWrap/>
            <w:vAlign w:val="bottom"/>
            <w:hideMark/>
          </w:tcPr>
          <w:p w14:paraId="6F06DB1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r>
      <w:tr w:rsidR="00867576" w:rsidRPr="00AA00FA" w14:paraId="14346447" w14:textId="77777777" w:rsidTr="00D6251D">
        <w:trPr>
          <w:trHeight w:val="300"/>
        </w:trPr>
        <w:tc>
          <w:tcPr>
            <w:tcW w:w="0" w:type="auto"/>
            <w:shd w:val="clear" w:color="auto" w:fill="auto"/>
            <w:noWrap/>
            <w:vAlign w:val="bottom"/>
            <w:hideMark/>
          </w:tcPr>
          <w:p w14:paraId="0C8CC45F"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9</w:t>
            </w:r>
          </w:p>
        </w:tc>
        <w:tc>
          <w:tcPr>
            <w:tcW w:w="0" w:type="auto"/>
            <w:shd w:val="clear" w:color="auto" w:fill="auto"/>
            <w:noWrap/>
            <w:vAlign w:val="bottom"/>
            <w:hideMark/>
          </w:tcPr>
          <w:p w14:paraId="0F56312E"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22</w:t>
            </w:r>
          </w:p>
        </w:tc>
        <w:tc>
          <w:tcPr>
            <w:tcW w:w="0" w:type="auto"/>
            <w:shd w:val="clear" w:color="auto" w:fill="auto"/>
            <w:noWrap/>
            <w:vAlign w:val="bottom"/>
            <w:hideMark/>
          </w:tcPr>
          <w:p w14:paraId="78A95BD1"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867576" w:rsidRPr="00AA00FA" w14:paraId="187B8758" w14:textId="77777777" w:rsidTr="00D6251D">
        <w:trPr>
          <w:trHeight w:val="300"/>
        </w:trPr>
        <w:tc>
          <w:tcPr>
            <w:tcW w:w="0" w:type="auto"/>
            <w:shd w:val="clear" w:color="auto" w:fill="auto"/>
            <w:noWrap/>
            <w:vAlign w:val="bottom"/>
            <w:hideMark/>
          </w:tcPr>
          <w:p w14:paraId="38F7BB4E"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10</w:t>
            </w:r>
          </w:p>
        </w:tc>
        <w:tc>
          <w:tcPr>
            <w:tcW w:w="0" w:type="auto"/>
            <w:shd w:val="clear" w:color="auto" w:fill="auto"/>
            <w:noWrap/>
            <w:vAlign w:val="bottom"/>
            <w:hideMark/>
          </w:tcPr>
          <w:p w14:paraId="12D96C11"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17</w:t>
            </w:r>
          </w:p>
        </w:tc>
        <w:tc>
          <w:tcPr>
            <w:tcW w:w="0" w:type="auto"/>
            <w:shd w:val="clear" w:color="auto" w:fill="auto"/>
            <w:noWrap/>
            <w:vAlign w:val="bottom"/>
            <w:hideMark/>
          </w:tcPr>
          <w:p w14:paraId="3A137BA7"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867576" w:rsidRPr="00AA00FA" w14:paraId="62B612AF" w14:textId="77777777" w:rsidTr="00D6251D">
        <w:trPr>
          <w:trHeight w:val="300"/>
        </w:trPr>
        <w:tc>
          <w:tcPr>
            <w:tcW w:w="0" w:type="auto"/>
            <w:shd w:val="clear" w:color="auto" w:fill="auto"/>
            <w:noWrap/>
            <w:vAlign w:val="bottom"/>
            <w:hideMark/>
          </w:tcPr>
          <w:p w14:paraId="5603EDFE"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lastRenderedPageBreak/>
              <w:t>11</w:t>
            </w:r>
          </w:p>
        </w:tc>
        <w:tc>
          <w:tcPr>
            <w:tcW w:w="0" w:type="auto"/>
            <w:shd w:val="clear" w:color="auto" w:fill="auto"/>
            <w:noWrap/>
            <w:vAlign w:val="bottom"/>
            <w:hideMark/>
          </w:tcPr>
          <w:p w14:paraId="6FCE1DDC"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c>
          <w:tcPr>
            <w:tcW w:w="0" w:type="auto"/>
            <w:shd w:val="clear" w:color="auto" w:fill="auto"/>
            <w:noWrap/>
            <w:vAlign w:val="bottom"/>
            <w:hideMark/>
          </w:tcPr>
          <w:p w14:paraId="515C730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867576" w:rsidRPr="00AA00FA" w14:paraId="5E1D9475" w14:textId="77777777" w:rsidTr="00D6251D">
        <w:trPr>
          <w:trHeight w:val="300"/>
        </w:trPr>
        <w:tc>
          <w:tcPr>
            <w:tcW w:w="0" w:type="auto"/>
            <w:shd w:val="clear" w:color="auto" w:fill="auto"/>
            <w:noWrap/>
            <w:vAlign w:val="bottom"/>
            <w:hideMark/>
          </w:tcPr>
          <w:p w14:paraId="7DF7AB6C"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12</w:t>
            </w:r>
          </w:p>
        </w:tc>
        <w:tc>
          <w:tcPr>
            <w:tcW w:w="0" w:type="auto"/>
            <w:shd w:val="clear" w:color="auto" w:fill="auto"/>
            <w:noWrap/>
            <w:vAlign w:val="bottom"/>
            <w:hideMark/>
          </w:tcPr>
          <w:p w14:paraId="217844FF"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c>
          <w:tcPr>
            <w:tcW w:w="0" w:type="auto"/>
            <w:shd w:val="clear" w:color="auto" w:fill="auto"/>
            <w:noWrap/>
            <w:vAlign w:val="bottom"/>
            <w:hideMark/>
          </w:tcPr>
          <w:p w14:paraId="1DFBC0BB"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867576" w:rsidRPr="00AA00FA" w14:paraId="64AD60A0" w14:textId="77777777" w:rsidTr="00D6251D">
        <w:trPr>
          <w:trHeight w:val="300"/>
        </w:trPr>
        <w:tc>
          <w:tcPr>
            <w:tcW w:w="0" w:type="auto"/>
            <w:shd w:val="clear" w:color="auto" w:fill="auto"/>
            <w:noWrap/>
            <w:vAlign w:val="bottom"/>
            <w:hideMark/>
          </w:tcPr>
          <w:p w14:paraId="2FD53422" w14:textId="77777777" w:rsidR="00867576" w:rsidRPr="00AA00FA" w:rsidRDefault="00867576" w:rsidP="00D14C87">
            <w:pPr>
              <w:spacing w:before="40" w:after="40"/>
              <w:rPr>
                <w:rFonts w:ascii="Calibri" w:hAnsi="Calibri" w:cs="Calibri"/>
                <w:color w:val="000000"/>
                <w:sz w:val="20"/>
                <w:szCs w:val="20"/>
              </w:rPr>
            </w:pPr>
          </w:p>
        </w:tc>
        <w:tc>
          <w:tcPr>
            <w:tcW w:w="0" w:type="auto"/>
            <w:shd w:val="clear" w:color="auto" w:fill="auto"/>
            <w:noWrap/>
            <w:vAlign w:val="bottom"/>
            <w:hideMark/>
          </w:tcPr>
          <w:p w14:paraId="213DB7D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25</w:t>
            </w:r>
          </w:p>
        </w:tc>
        <w:tc>
          <w:tcPr>
            <w:tcW w:w="0" w:type="auto"/>
            <w:shd w:val="clear" w:color="auto" w:fill="auto"/>
            <w:noWrap/>
            <w:vAlign w:val="bottom"/>
            <w:hideMark/>
          </w:tcPr>
          <w:p w14:paraId="57C2BBD9"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867576" w:rsidRPr="00AA00FA" w14:paraId="4485C47A" w14:textId="77777777" w:rsidTr="00D6251D">
        <w:trPr>
          <w:trHeight w:val="300"/>
        </w:trPr>
        <w:tc>
          <w:tcPr>
            <w:tcW w:w="0" w:type="auto"/>
            <w:shd w:val="clear" w:color="auto" w:fill="auto"/>
            <w:noWrap/>
            <w:vAlign w:val="bottom"/>
            <w:hideMark/>
          </w:tcPr>
          <w:p w14:paraId="6A60D06F" w14:textId="77777777" w:rsidR="00867576" w:rsidRPr="00AA00FA" w:rsidRDefault="00867576" w:rsidP="00D14C87">
            <w:pPr>
              <w:spacing w:before="40" w:after="40"/>
              <w:rPr>
                <w:rFonts w:ascii="Calibri" w:hAnsi="Calibri" w:cs="Calibri"/>
                <w:color w:val="000000"/>
                <w:sz w:val="20"/>
                <w:szCs w:val="20"/>
              </w:rPr>
            </w:pPr>
            <w:r w:rsidRPr="00AA00FA">
              <w:rPr>
                <w:rFonts w:ascii="Calibri" w:hAnsi="Calibri" w:cs="Calibri"/>
                <w:color w:val="000000"/>
                <w:sz w:val="20"/>
                <w:szCs w:val="20"/>
              </w:rPr>
              <w:t>Unknown</w:t>
            </w:r>
          </w:p>
        </w:tc>
        <w:tc>
          <w:tcPr>
            <w:tcW w:w="0" w:type="auto"/>
            <w:shd w:val="clear" w:color="auto" w:fill="auto"/>
            <w:noWrap/>
            <w:vAlign w:val="bottom"/>
            <w:hideMark/>
          </w:tcPr>
          <w:p w14:paraId="1F292B4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c>
          <w:tcPr>
            <w:tcW w:w="0" w:type="auto"/>
            <w:shd w:val="clear" w:color="auto" w:fill="auto"/>
            <w:noWrap/>
            <w:vAlign w:val="bottom"/>
            <w:hideMark/>
          </w:tcPr>
          <w:p w14:paraId="096D6343" w14:textId="77777777" w:rsidR="00867576" w:rsidRPr="00AA00FA" w:rsidRDefault="00867576"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867576" w:rsidRPr="00AA00FA" w14:paraId="612CD872" w14:textId="77777777" w:rsidTr="00D6251D">
        <w:trPr>
          <w:trHeight w:val="300"/>
        </w:trPr>
        <w:tc>
          <w:tcPr>
            <w:tcW w:w="0" w:type="auto"/>
            <w:shd w:val="clear" w:color="auto" w:fill="auto"/>
            <w:noWrap/>
            <w:vAlign w:val="bottom"/>
            <w:hideMark/>
          </w:tcPr>
          <w:p w14:paraId="5ACF4C91" w14:textId="77777777" w:rsidR="00867576" w:rsidRPr="00AA00FA" w:rsidRDefault="00867576" w:rsidP="00D14C87">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0" w:type="auto"/>
            <w:shd w:val="clear" w:color="auto" w:fill="auto"/>
            <w:noWrap/>
            <w:vAlign w:val="bottom"/>
            <w:hideMark/>
          </w:tcPr>
          <w:p w14:paraId="5DB9451E" w14:textId="77777777" w:rsidR="00867576" w:rsidRPr="00AA00FA" w:rsidRDefault="00867576"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1,880</w:t>
            </w:r>
          </w:p>
        </w:tc>
        <w:tc>
          <w:tcPr>
            <w:tcW w:w="0" w:type="auto"/>
            <w:shd w:val="clear" w:color="auto" w:fill="auto"/>
            <w:noWrap/>
            <w:vAlign w:val="bottom"/>
            <w:hideMark/>
          </w:tcPr>
          <w:p w14:paraId="279D8610" w14:textId="77777777" w:rsidR="00867576" w:rsidRPr="00AA00FA" w:rsidRDefault="00867576"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w:t>
            </w:r>
          </w:p>
        </w:tc>
      </w:tr>
    </w:tbl>
    <w:p w14:paraId="107875F1" w14:textId="77777777" w:rsidR="00B3260C" w:rsidRDefault="00B3260C" w:rsidP="00FE46FD">
      <w:pPr>
        <w:pStyle w:val="Normal-nospacing"/>
      </w:pPr>
      <w:r>
        <w:t xml:space="preserve">Using this tool, for any behaviour that is recorded as being present, there are an additional three questions to answer </w:t>
      </w:r>
      <w:r w:rsidR="00557A41">
        <w:t>-</w:t>
      </w:r>
      <w:r>
        <w:t xml:space="preserve"> how often they occur, how severe they are and how disruptive they are. For the purpose of this study, the most relevant of these additional questions is the occupational disruptiveness as this is most likely to have an effect on the time required by staff to care for the resident.</w:t>
      </w:r>
    </w:p>
    <w:p w14:paraId="785160EF" w14:textId="77777777" w:rsidR="00B3260C" w:rsidRDefault="00B3260C" w:rsidP="00FE46FD">
      <w:pPr>
        <w:pStyle w:val="Normal-nospacing"/>
      </w:pPr>
      <w:r>
        <w:t xml:space="preserve">The prevalence of each of the behaviours assessed using the NPI-NH are presented in </w:t>
      </w:r>
      <w:r>
        <w:fldChar w:fldCharType="begin"/>
      </w:r>
      <w:r>
        <w:instrText xml:space="preserve"> REF _Ref525311938 \h </w:instrText>
      </w:r>
      <w:r w:rsidR="00FE46FD">
        <w:instrText xml:space="preserve"> \* MERGEFORMAT </w:instrText>
      </w:r>
      <w:r>
        <w:fldChar w:fldCharType="separate"/>
      </w:r>
      <w:r w:rsidR="00EE18C8">
        <w:t xml:space="preserve">Table </w:t>
      </w:r>
      <w:r w:rsidR="00EE18C8">
        <w:rPr>
          <w:noProof/>
        </w:rPr>
        <w:t>14</w:t>
      </w:r>
      <w:r>
        <w:fldChar w:fldCharType="end"/>
      </w:r>
      <w:r>
        <w:t>. Refusal to let others help or periods when the resident is noisy or uncooperative were assessed in item C and this was found to be the most prevalent behaviour at 43%, followed by ir</w:t>
      </w:r>
      <w:r w:rsidR="00FB05DE">
        <w:t>ritability (</w:t>
      </w:r>
      <w:r w:rsidR="00CD735B">
        <w:t>i</w:t>
      </w:r>
      <w:r w:rsidR="00FB05DE">
        <w:t>tem I, 35%).</w:t>
      </w:r>
    </w:p>
    <w:p w14:paraId="6500AE7A" w14:textId="77777777" w:rsidR="00B3260C" w:rsidRDefault="00B3260C" w:rsidP="00B3260C">
      <w:pPr>
        <w:pStyle w:val="Caption"/>
      </w:pPr>
      <w:bookmarkStart w:id="102" w:name="_Ref525311938"/>
      <w:bookmarkStart w:id="103" w:name="_Toc2065676"/>
      <w:r>
        <w:t xml:space="preserve">Table </w:t>
      </w:r>
      <w:r>
        <w:rPr>
          <w:noProof/>
        </w:rPr>
        <w:fldChar w:fldCharType="begin"/>
      </w:r>
      <w:r>
        <w:rPr>
          <w:noProof/>
        </w:rPr>
        <w:instrText xml:space="preserve"> SEQ Table \* ARABIC </w:instrText>
      </w:r>
      <w:r>
        <w:rPr>
          <w:noProof/>
        </w:rPr>
        <w:fldChar w:fldCharType="separate"/>
      </w:r>
      <w:r w:rsidR="00EE18C8">
        <w:rPr>
          <w:noProof/>
        </w:rPr>
        <w:t>14</w:t>
      </w:r>
      <w:r>
        <w:rPr>
          <w:noProof/>
        </w:rPr>
        <w:fldChar w:fldCharType="end"/>
      </w:r>
      <w:bookmarkEnd w:id="102"/>
      <w:r w:rsidR="00FB05DE">
        <w:rPr>
          <w:noProof/>
        </w:rPr>
        <w:tab/>
      </w:r>
      <w:r>
        <w:t>Number and percentage of residents with NPI-NH item present</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and percentage of residents with NPI-NH item present"/>
        <w:tblDescription w:val="Table 14 shows the prevalence of each of the behaviours assessed using the NPI-NH. The most prevalent behaviour was Agitation (item C) - 43 percent, followed by irritability (item I) - 35 percent. The table should be read as a series of rows from left to right ('Item on the NPI-NH' then 'number of residents with item present' then 'percentage of residents with item present')."/>
      </w:tblPr>
      <w:tblGrid>
        <w:gridCol w:w="1841"/>
        <w:gridCol w:w="3164"/>
        <w:gridCol w:w="3828"/>
      </w:tblGrid>
      <w:tr w:rsidR="00B3260C" w:rsidRPr="00AA00FA" w14:paraId="4B6E5C12" w14:textId="77777777" w:rsidTr="00B82914">
        <w:trPr>
          <w:trHeight w:val="227"/>
          <w:tblHeader/>
        </w:trPr>
        <w:tc>
          <w:tcPr>
            <w:tcW w:w="0" w:type="auto"/>
            <w:shd w:val="clear" w:color="auto" w:fill="D9D9D9" w:themeFill="background1" w:themeFillShade="D9"/>
            <w:vAlign w:val="bottom"/>
            <w:hideMark/>
          </w:tcPr>
          <w:p w14:paraId="66326FAF" w14:textId="77777777" w:rsidR="00B3260C" w:rsidRPr="00AA00FA" w:rsidRDefault="00B3260C" w:rsidP="00FB05DE">
            <w:pPr>
              <w:spacing w:before="40" w:after="40"/>
              <w:jc w:val="center"/>
              <w:rPr>
                <w:rFonts w:ascii="Calibri" w:hAnsi="Calibri" w:cs="Calibri"/>
                <w:b/>
                <w:color w:val="000000"/>
                <w:sz w:val="20"/>
                <w:szCs w:val="20"/>
              </w:rPr>
            </w:pPr>
            <w:r w:rsidRPr="00AA00FA">
              <w:rPr>
                <w:rFonts w:ascii="Calibri" w:hAnsi="Calibri" w:cs="Calibri"/>
                <w:b/>
                <w:color w:val="000000"/>
                <w:sz w:val="20"/>
                <w:szCs w:val="20"/>
              </w:rPr>
              <w:t>Item on the NPI-NH</w:t>
            </w:r>
          </w:p>
        </w:tc>
        <w:tc>
          <w:tcPr>
            <w:tcW w:w="3164" w:type="dxa"/>
            <w:shd w:val="clear" w:color="auto" w:fill="D9D9D9" w:themeFill="background1" w:themeFillShade="D9"/>
            <w:vAlign w:val="bottom"/>
            <w:hideMark/>
          </w:tcPr>
          <w:p w14:paraId="37F385F5" w14:textId="77777777" w:rsidR="00B3260C" w:rsidRPr="00AA00FA" w:rsidRDefault="00B3260C"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 xml:space="preserve">No. </w:t>
            </w:r>
            <w:r w:rsidR="00B82914">
              <w:rPr>
                <w:rFonts w:ascii="Calibri" w:hAnsi="Calibri" w:cs="Calibri"/>
                <w:b/>
                <w:color w:val="000000"/>
                <w:sz w:val="20"/>
                <w:szCs w:val="20"/>
              </w:rPr>
              <w:t xml:space="preserve">of </w:t>
            </w:r>
            <w:r w:rsidRPr="00AA00FA">
              <w:rPr>
                <w:rFonts w:ascii="Calibri" w:hAnsi="Calibri" w:cs="Calibri"/>
                <w:b/>
                <w:color w:val="000000"/>
                <w:sz w:val="20"/>
                <w:szCs w:val="20"/>
              </w:rPr>
              <w:t>residents with item present</w:t>
            </w:r>
          </w:p>
        </w:tc>
        <w:tc>
          <w:tcPr>
            <w:tcW w:w="3828" w:type="dxa"/>
            <w:shd w:val="clear" w:color="auto" w:fill="D9D9D9" w:themeFill="background1" w:themeFillShade="D9"/>
            <w:vAlign w:val="bottom"/>
            <w:hideMark/>
          </w:tcPr>
          <w:p w14:paraId="1466EBBD" w14:textId="77777777" w:rsidR="00B3260C" w:rsidRPr="00AA00FA" w:rsidRDefault="00B82914" w:rsidP="00D14C87">
            <w:pPr>
              <w:spacing w:before="40" w:after="40"/>
              <w:jc w:val="right"/>
              <w:rPr>
                <w:rFonts w:ascii="Calibri" w:hAnsi="Calibri" w:cs="Calibri"/>
                <w:b/>
                <w:color w:val="000000"/>
                <w:sz w:val="20"/>
                <w:szCs w:val="20"/>
              </w:rPr>
            </w:pPr>
            <w:r>
              <w:rPr>
                <w:rFonts w:ascii="Calibri" w:hAnsi="Calibri" w:cs="Calibri"/>
                <w:b/>
                <w:color w:val="000000"/>
                <w:sz w:val="20"/>
                <w:szCs w:val="20"/>
              </w:rPr>
              <w:t>Percentage of</w:t>
            </w:r>
            <w:r w:rsidR="00B3260C" w:rsidRPr="00AA00FA">
              <w:rPr>
                <w:rFonts w:ascii="Calibri" w:hAnsi="Calibri" w:cs="Calibri"/>
                <w:b/>
                <w:color w:val="000000"/>
                <w:sz w:val="20"/>
                <w:szCs w:val="20"/>
              </w:rPr>
              <w:t xml:space="preserve"> residents with item present</w:t>
            </w:r>
          </w:p>
        </w:tc>
      </w:tr>
      <w:tr w:rsidR="00B3260C" w:rsidRPr="00AA00FA" w14:paraId="7C00299F" w14:textId="77777777" w:rsidTr="00B82914">
        <w:trPr>
          <w:trHeight w:val="300"/>
        </w:trPr>
        <w:tc>
          <w:tcPr>
            <w:tcW w:w="0" w:type="auto"/>
            <w:shd w:val="clear" w:color="auto" w:fill="auto"/>
            <w:noWrap/>
            <w:vAlign w:val="bottom"/>
            <w:hideMark/>
          </w:tcPr>
          <w:p w14:paraId="63CEF109" w14:textId="08D4A298" w:rsidR="00B3260C" w:rsidRPr="00AA00FA" w:rsidRDefault="002C57BF" w:rsidP="00FB05DE">
            <w:pPr>
              <w:spacing w:before="40" w:after="40"/>
              <w:rPr>
                <w:rFonts w:ascii="Calibri" w:hAnsi="Calibri" w:cs="Calibri"/>
                <w:color w:val="000000"/>
                <w:sz w:val="20"/>
                <w:szCs w:val="20"/>
              </w:rPr>
            </w:pPr>
            <w:r>
              <w:rPr>
                <w:rFonts w:ascii="Calibri" w:hAnsi="Calibri" w:cs="Calibri"/>
                <w:color w:val="000000"/>
                <w:sz w:val="20"/>
                <w:szCs w:val="20"/>
              </w:rPr>
              <w:t>A Delusions</w:t>
            </w:r>
          </w:p>
        </w:tc>
        <w:tc>
          <w:tcPr>
            <w:tcW w:w="3164" w:type="dxa"/>
            <w:shd w:val="clear" w:color="auto" w:fill="auto"/>
            <w:noWrap/>
            <w:vAlign w:val="bottom"/>
            <w:hideMark/>
          </w:tcPr>
          <w:p w14:paraId="1501BF96"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309</w:t>
            </w:r>
          </w:p>
        </w:tc>
        <w:tc>
          <w:tcPr>
            <w:tcW w:w="3828" w:type="dxa"/>
            <w:shd w:val="clear" w:color="auto" w:fill="auto"/>
            <w:noWrap/>
            <w:vAlign w:val="bottom"/>
            <w:hideMark/>
          </w:tcPr>
          <w:p w14:paraId="7F1FA4BF"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16%</w:t>
            </w:r>
          </w:p>
        </w:tc>
      </w:tr>
      <w:tr w:rsidR="00B3260C" w:rsidRPr="00AA00FA" w14:paraId="5AEF5458" w14:textId="77777777" w:rsidTr="00B82914">
        <w:trPr>
          <w:trHeight w:val="300"/>
        </w:trPr>
        <w:tc>
          <w:tcPr>
            <w:tcW w:w="0" w:type="auto"/>
            <w:shd w:val="clear" w:color="auto" w:fill="auto"/>
            <w:noWrap/>
            <w:vAlign w:val="bottom"/>
            <w:hideMark/>
          </w:tcPr>
          <w:p w14:paraId="2D49AAE1"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B Hallucinations</w:t>
            </w:r>
          </w:p>
        </w:tc>
        <w:tc>
          <w:tcPr>
            <w:tcW w:w="3164" w:type="dxa"/>
            <w:shd w:val="clear" w:color="auto" w:fill="auto"/>
            <w:noWrap/>
            <w:vAlign w:val="bottom"/>
            <w:hideMark/>
          </w:tcPr>
          <w:p w14:paraId="7E2D45C9"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197</w:t>
            </w:r>
          </w:p>
        </w:tc>
        <w:tc>
          <w:tcPr>
            <w:tcW w:w="3828" w:type="dxa"/>
            <w:shd w:val="clear" w:color="auto" w:fill="auto"/>
            <w:noWrap/>
            <w:vAlign w:val="bottom"/>
            <w:hideMark/>
          </w:tcPr>
          <w:p w14:paraId="29DB3E3C"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10%</w:t>
            </w:r>
          </w:p>
        </w:tc>
      </w:tr>
      <w:tr w:rsidR="00B3260C" w:rsidRPr="00AA00FA" w14:paraId="44640404" w14:textId="77777777" w:rsidTr="00B82914">
        <w:trPr>
          <w:trHeight w:val="300"/>
        </w:trPr>
        <w:tc>
          <w:tcPr>
            <w:tcW w:w="0" w:type="auto"/>
            <w:shd w:val="clear" w:color="auto" w:fill="auto"/>
            <w:noWrap/>
            <w:vAlign w:val="bottom"/>
            <w:hideMark/>
          </w:tcPr>
          <w:p w14:paraId="2A8397ED"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C Agitation</w:t>
            </w:r>
          </w:p>
        </w:tc>
        <w:tc>
          <w:tcPr>
            <w:tcW w:w="3164" w:type="dxa"/>
            <w:shd w:val="clear" w:color="auto" w:fill="auto"/>
            <w:noWrap/>
            <w:vAlign w:val="bottom"/>
            <w:hideMark/>
          </w:tcPr>
          <w:p w14:paraId="15681E6A"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810</w:t>
            </w:r>
          </w:p>
        </w:tc>
        <w:tc>
          <w:tcPr>
            <w:tcW w:w="3828" w:type="dxa"/>
            <w:shd w:val="clear" w:color="auto" w:fill="auto"/>
            <w:noWrap/>
            <w:vAlign w:val="bottom"/>
            <w:hideMark/>
          </w:tcPr>
          <w:p w14:paraId="56638EA4"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43%</w:t>
            </w:r>
          </w:p>
        </w:tc>
      </w:tr>
      <w:tr w:rsidR="00B3260C" w:rsidRPr="00AA00FA" w14:paraId="1341E102" w14:textId="77777777" w:rsidTr="00B82914">
        <w:trPr>
          <w:trHeight w:val="300"/>
        </w:trPr>
        <w:tc>
          <w:tcPr>
            <w:tcW w:w="0" w:type="auto"/>
            <w:shd w:val="clear" w:color="auto" w:fill="auto"/>
            <w:noWrap/>
            <w:vAlign w:val="bottom"/>
            <w:hideMark/>
          </w:tcPr>
          <w:p w14:paraId="4BFAF082" w14:textId="77777777" w:rsidR="00B3260C" w:rsidRPr="00AA00FA" w:rsidRDefault="00303133" w:rsidP="00FB05DE">
            <w:pPr>
              <w:spacing w:before="40" w:after="40"/>
              <w:rPr>
                <w:rFonts w:ascii="Calibri" w:hAnsi="Calibri" w:cs="Calibri"/>
                <w:color w:val="000000"/>
                <w:sz w:val="20"/>
                <w:szCs w:val="20"/>
              </w:rPr>
            </w:pPr>
            <w:r>
              <w:rPr>
                <w:rFonts w:ascii="Calibri" w:hAnsi="Calibri" w:cs="Calibri"/>
                <w:color w:val="000000"/>
                <w:sz w:val="20"/>
                <w:szCs w:val="20"/>
              </w:rPr>
              <w:t>D Depression</w:t>
            </w:r>
          </w:p>
        </w:tc>
        <w:tc>
          <w:tcPr>
            <w:tcW w:w="3164" w:type="dxa"/>
            <w:shd w:val="clear" w:color="auto" w:fill="auto"/>
            <w:noWrap/>
            <w:vAlign w:val="bottom"/>
            <w:hideMark/>
          </w:tcPr>
          <w:p w14:paraId="74E98A0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651</w:t>
            </w:r>
          </w:p>
        </w:tc>
        <w:tc>
          <w:tcPr>
            <w:tcW w:w="3828" w:type="dxa"/>
            <w:shd w:val="clear" w:color="auto" w:fill="auto"/>
            <w:noWrap/>
            <w:vAlign w:val="bottom"/>
            <w:hideMark/>
          </w:tcPr>
          <w:p w14:paraId="3E606650"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35%</w:t>
            </w:r>
          </w:p>
        </w:tc>
      </w:tr>
      <w:tr w:rsidR="00B3260C" w:rsidRPr="00AA00FA" w14:paraId="3BED611A" w14:textId="77777777" w:rsidTr="00B82914">
        <w:trPr>
          <w:trHeight w:val="300"/>
        </w:trPr>
        <w:tc>
          <w:tcPr>
            <w:tcW w:w="0" w:type="auto"/>
            <w:shd w:val="clear" w:color="auto" w:fill="auto"/>
            <w:noWrap/>
            <w:vAlign w:val="bottom"/>
            <w:hideMark/>
          </w:tcPr>
          <w:p w14:paraId="6161CA50" w14:textId="77777777" w:rsidR="00B3260C" w:rsidRPr="00AA00FA" w:rsidRDefault="00303133" w:rsidP="00FB05DE">
            <w:pPr>
              <w:spacing w:before="40" w:after="40"/>
              <w:rPr>
                <w:rFonts w:ascii="Calibri" w:hAnsi="Calibri" w:cs="Calibri"/>
                <w:color w:val="000000"/>
                <w:sz w:val="20"/>
                <w:szCs w:val="20"/>
              </w:rPr>
            </w:pPr>
            <w:r>
              <w:rPr>
                <w:rFonts w:ascii="Calibri" w:hAnsi="Calibri" w:cs="Calibri"/>
                <w:color w:val="000000"/>
                <w:sz w:val="20"/>
                <w:szCs w:val="20"/>
              </w:rPr>
              <w:t>E Anxiety</w:t>
            </w:r>
          </w:p>
        </w:tc>
        <w:tc>
          <w:tcPr>
            <w:tcW w:w="3164" w:type="dxa"/>
            <w:shd w:val="clear" w:color="auto" w:fill="auto"/>
            <w:noWrap/>
            <w:vAlign w:val="bottom"/>
            <w:hideMark/>
          </w:tcPr>
          <w:p w14:paraId="7F9B4EED"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545</w:t>
            </w:r>
          </w:p>
        </w:tc>
        <w:tc>
          <w:tcPr>
            <w:tcW w:w="3828" w:type="dxa"/>
            <w:shd w:val="clear" w:color="auto" w:fill="auto"/>
            <w:noWrap/>
            <w:vAlign w:val="bottom"/>
            <w:hideMark/>
          </w:tcPr>
          <w:p w14:paraId="042FE19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29%</w:t>
            </w:r>
          </w:p>
        </w:tc>
      </w:tr>
      <w:tr w:rsidR="00B3260C" w:rsidRPr="00AA00FA" w14:paraId="3E0EF437" w14:textId="77777777" w:rsidTr="00B82914">
        <w:trPr>
          <w:trHeight w:val="300"/>
        </w:trPr>
        <w:tc>
          <w:tcPr>
            <w:tcW w:w="0" w:type="auto"/>
            <w:shd w:val="clear" w:color="auto" w:fill="auto"/>
            <w:noWrap/>
            <w:vAlign w:val="bottom"/>
            <w:hideMark/>
          </w:tcPr>
          <w:p w14:paraId="1CB2EBBA" w14:textId="77777777" w:rsidR="00B3260C" w:rsidRPr="00AA00FA" w:rsidRDefault="00303133" w:rsidP="00FB05DE">
            <w:pPr>
              <w:spacing w:before="40" w:after="40"/>
              <w:rPr>
                <w:rFonts w:ascii="Calibri" w:hAnsi="Calibri" w:cs="Calibri"/>
                <w:color w:val="000000"/>
                <w:sz w:val="20"/>
                <w:szCs w:val="20"/>
              </w:rPr>
            </w:pPr>
            <w:r>
              <w:rPr>
                <w:rFonts w:ascii="Calibri" w:hAnsi="Calibri" w:cs="Calibri"/>
                <w:color w:val="000000"/>
                <w:sz w:val="20"/>
                <w:szCs w:val="20"/>
              </w:rPr>
              <w:t>F Elation</w:t>
            </w:r>
          </w:p>
        </w:tc>
        <w:tc>
          <w:tcPr>
            <w:tcW w:w="3164" w:type="dxa"/>
            <w:shd w:val="clear" w:color="auto" w:fill="auto"/>
            <w:noWrap/>
            <w:vAlign w:val="bottom"/>
            <w:hideMark/>
          </w:tcPr>
          <w:p w14:paraId="170A0AC6"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40</w:t>
            </w:r>
          </w:p>
        </w:tc>
        <w:tc>
          <w:tcPr>
            <w:tcW w:w="3828" w:type="dxa"/>
            <w:shd w:val="clear" w:color="auto" w:fill="auto"/>
            <w:noWrap/>
            <w:vAlign w:val="bottom"/>
            <w:hideMark/>
          </w:tcPr>
          <w:p w14:paraId="774C1D5A"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w:t>
            </w:r>
          </w:p>
        </w:tc>
      </w:tr>
      <w:tr w:rsidR="00B3260C" w:rsidRPr="00AA00FA" w14:paraId="7CBD6E96" w14:textId="77777777" w:rsidTr="00B82914">
        <w:trPr>
          <w:trHeight w:val="300"/>
        </w:trPr>
        <w:tc>
          <w:tcPr>
            <w:tcW w:w="0" w:type="auto"/>
            <w:shd w:val="clear" w:color="auto" w:fill="auto"/>
            <w:noWrap/>
            <w:vAlign w:val="bottom"/>
            <w:hideMark/>
          </w:tcPr>
          <w:p w14:paraId="5EBBB8D2" w14:textId="77777777" w:rsidR="00557A41"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G Apathy</w:t>
            </w:r>
          </w:p>
        </w:tc>
        <w:tc>
          <w:tcPr>
            <w:tcW w:w="3164" w:type="dxa"/>
            <w:shd w:val="clear" w:color="auto" w:fill="auto"/>
            <w:noWrap/>
            <w:vAlign w:val="bottom"/>
            <w:hideMark/>
          </w:tcPr>
          <w:p w14:paraId="62AE3E2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428</w:t>
            </w:r>
          </w:p>
        </w:tc>
        <w:tc>
          <w:tcPr>
            <w:tcW w:w="3828" w:type="dxa"/>
            <w:shd w:val="clear" w:color="auto" w:fill="auto"/>
            <w:noWrap/>
            <w:vAlign w:val="bottom"/>
            <w:hideMark/>
          </w:tcPr>
          <w:p w14:paraId="51928321"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23%</w:t>
            </w:r>
          </w:p>
        </w:tc>
      </w:tr>
      <w:tr w:rsidR="00B3260C" w:rsidRPr="00AA00FA" w14:paraId="4D1FC899" w14:textId="77777777" w:rsidTr="00B82914">
        <w:trPr>
          <w:trHeight w:val="300"/>
        </w:trPr>
        <w:tc>
          <w:tcPr>
            <w:tcW w:w="0" w:type="auto"/>
            <w:shd w:val="clear" w:color="auto" w:fill="auto"/>
            <w:noWrap/>
            <w:vAlign w:val="bottom"/>
            <w:hideMark/>
          </w:tcPr>
          <w:p w14:paraId="0A487C63" w14:textId="77777777" w:rsidR="00B3260C" w:rsidRPr="00AA00FA" w:rsidRDefault="00303133" w:rsidP="00FB05DE">
            <w:pPr>
              <w:spacing w:before="40" w:after="40"/>
              <w:rPr>
                <w:rFonts w:ascii="Calibri" w:hAnsi="Calibri" w:cs="Calibri"/>
                <w:color w:val="000000"/>
                <w:sz w:val="20"/>
                <w:szCs w:val="20"/>
              </w:rPr>
            </w:pPr>
            <w:r>
              <w:rPr>
                <w:rFonts w:ascii="Calibri" w:hAnsi="Calibri" w:cs="Calibri"/>
                <w:color w:val="000000"/>
                <w:sz w:val="20"/>
                <w:szCs w:val="20"/>
              </w:rPr>
              <w:t>H Disinhibition</w:t>
            </w:r>
          </w:p>
        </w:tc>
        <w:tc>
          <w:tcPr>
            <w:tcW w:w="3164" w:type="dxa"/>
            <w:shd w:val="clear" w:color="auto" w:fill="auto"/>
            <w:noWrap/>
            <w:vAlign w:val="bottom"/>
            <w:hideMark/>
          </w:tcPr>
          <w:p w14:paraId="19D89A3D"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333</w:t>
            </w:r>
          </w:p>
        </w:tc>
        <w:tc>
          <w:tcPr>
            <w:tcW w:w="3828" w:type="dxa"/>
            <w:shd w:val="clear" w:color="auto" w:fill="auto"/>
            <w:noWrap/>
            <w:vAlign w:val="bottom"/>
            <w:hideMark/>
          </w:tcPr>
          <w:p w14:paraId="25A1D973"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18%</w:t>
            </w:r>
          </w:p>
        </w:tc>
      </w:tr>
      <w:tr w:rsidR="00B3260C" w:rsidRPr="00AA00FA" w14:paraId="204A7A2B" w14:textId="77777777" w:rsidTr="00B82914">
        <w:trPr>
          <w:trHeight w:val="300"/>
        </w:trPr>
        <w:tc>
          <w:tcPr>
            <w:tcW w:w="0" w:type="auto"/>
            <w:shd w:val="clear" w:color="auto" w:fill="auto"/>
            <w:noWrap/>
            <w:vAlign w:val="bottom"/>
            <w:hideMark/>
          </w:tcPr>
          <w:p w14:paraId="575F7BC8" w14:textId="77777777" w:rsidR="00B3260C" w:rsidRPr="00AA00FA" w:rsidRDefault="00303133" w:rsidP="00FB05DE">
            <w:pPr>
              <w:spacing w:before="40" w:after="40"/>
              <w:rPr>
                <w:rFonts w:ascii="Calibri" w:hAnsi="Calibri" w:cs="Calibri"/>
                <w:color w:val="000000"/>
                <w:sz w:val="20"/>
                <w:szCs w:val="20"/>
              </w:rPr>
            </w:pPr>
            <w:r>
              <w:rPr>
                <w:rFonts w:ascii="Calibri" w:hAnsi="Calibri" w:cs="Calibri"/>
                <w:color w:val="000000"/>
                <w:sz w:val="20"/>
                <w:szCs w:val="20"/>
              </w:rPr>
              <w:t>I Irritability</w:t>
            </w:r>
          </w:p>
        </w:tc>
        <w:tc>
          <w:tcPr>
            <w:tcW w:w="3164" w:type="dxa"/>
            <w:shd w:val="clear" w:color="auto" w:fill="auto"/>
            <w:noWrap/>
            <w:vAlign w:val="bottom"/>
            <w:hideMark/>
          </w:tcPr>
          <w:p w14:paraId="051C9E9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649</w:t>
            </w:r>
          </w:p>
        </w:tc>
        <w:tc>
          <w:tcPr>
            <w:tcW w:w="3828" w:type="dxa"/>
            <w:shd w:val="clear" w:color="auto" w:fill="auto"/>
            <w:noWrap/>
            <w:vAlign w:val="bottom"/>
            <w:hideMark/>
          </w:tcPr>
          <w:p w14:paraId="35FC04A2"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35%</w:t>
            </w:r>
          </w:p>
        </w:tc>
      </w:tr>
      <w:tr w:rsidR="00B3260C" w:rsidRPr="00AA00FA" w14:paraId="5B411993" w14:textId="77777777" w:rsidTr="00B82914">
        <w:trPr>
          <w:trHeight w:val="300"/>
        </w:trPr>
        <w:tc>
          <w:tcPr>
            <w:tcW w:w="0" w:type="auto"/>
            <w:shd w:val="clear" w:color="auto" w:fill="auto"/>
            <w:noWrap/>
            <w:vAlign w:val="bottom"/>
            <w:hideMark/>
          </w:tcPr>
          <w:p w14:paraId="643D89C1" w14:textId="77777777" w:rsidR="00B3260C" w:rsidRPr="00AA00FA" w:rsidRDefault="00303133" w:rsidP="00FB05DE">
            <w:pPr>
              <w:spacing w:before="40" w:after="40"/>
              <w:rPr>
                <w:rFonts w:ascii="Calibri" w:hAnsi="Calibri" w:cs="Calibri"/>
                <w:color w:val="000000"/>
                <w:sz w:val="20"/>
                <w:szCs w:val="20"/>
              </w:rPr>
            </w:pPr>
            <w:r>
              <w:rPr>
                <w:rFonts w:ascii="Calibri" w:hAnsi="Calibri" w:cs="Calibri"/>
                <w:color w:val="000000"/>
                <w:sz w:val="20"/>
                <w:szCs w:val="20"/>
              </w:rPr>
              <w:t>J Motor</w:t>
            </w:r>
          </w:p>
        </w:tc>
        <w:tc>
          <w:tcPr>
            <w:tcW w:w="3164" w:type="dxa"/>
            <w:shd w:val="clear" w:color="auto" w:fill="auto"/>
            <w:noWrap/>
            <w:vAlign w:val="bottom"/>
            <w:hideMark/>
          </w:tcPr>
          <w:p w14:paraId="27DA8B8E"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262</w:t>
            </w:r>
          </w:p>
        </w:tc>
        <w:tc>
          <w:tcPr>
            <w:tcW w:w="3828" w:type="dxa"/>
            <w:shd w:val="clear" w:color="auto" w:fill="auto"/>
            <w:noWrap/>
            <w:vAlign w:val="bottom"/>
            <w:hideMark/>
          </w:tcPr>
          <w:p w14:paraId="06288348"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r>
      <w:tr w:rsidR="00B3260C" w:rsidRPr="00AA00FA" w14:paraId="1A7DBB2F" w14:textId="77777777" w:rsidTr="00B82914">
        <w:trPr>
          <w:trHeight w:val="300"/>
        </w:trPr>
        <w:tc>
          <w:tcPr>
            <w:tcW w:w="0" w:type="auto"/>
            <w:shd w:val="clear" w:color="auto" w:fill="auto"/>
            <w:noWrap/>
            <w:vAlign w:val="bottom"/>
            <w:hideMark/>
          </w:tcPr>
          <w:p w14:paraId="6B7F13FC"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K Sleep</w:t>
            </w:r>
          </w:p>
        </w:tc>
        <w:tc>
          <w:tcPr>
            <w:tcW w:w="3164" w:type="dxa"/>
            <w:shd w:val="clear" w:color="auto" w:fill="auto"/>
            <w:noWrap/>
            <w:vAlign w:val="bottom"/>
            <w:hideMark/>
          </w:tcPr>
          <w:p w14:paraId="052EA6DB"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290</w:t>
            </w:r>
          </w:p>
        </w:tc>
        <w:tc>
          <w:tcPr>
            <w:tcW w:w="3828" w:type="dxa"/>
            <w:shd w:val="clear" w:color="auto" w:fill="auto"/>
            <w:noWrap/>
            <w:vAlign w:val="bottom"/>
            <w:hideMark/>
          </w:tcPr>
          <w:p w14:paraId="69C3E038"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15%</w:t>
            </w:r>
          </w:p>
        </w:tc>
      </w:tr>
      <w:tr w:rsidR="00B3260C" w:rsidRPr="00AA00FA" w14:paraId="160CEFE0" w14:textId="77777777" w:rsidTr="00B82914">
        <w:trPr>
          <w:trHeight w:val="300"/>
        </w:trPr>
        <w:tc>
          <w:tcPr>
            <w:tcW w:w="0" w:type="auto"/>
            <w:shd w:val="clear" w:color="auto" w:fill="auto"/>
            <w:noWrap/>
            <w:vAlign w:val="bottom"/>
            <w:hideMark/>
          </w:tcPr>
          <w:p w14:paraId="6482B0B2" w14:textId="77777777" w:rsidR="00B3260C" w:rsidRPr="00AA00FA" w:rsidRDefault="00B3260C" w:rsidP="00FB05DE">
            <w:pPr>
              <w:spacing w:before="40" w:after="40"/>
              <w:rPr>
                <w:rFonts w:ascii="Calibri" w:hAnsi="Calibri" w:cs="Calibri"/>
                <w:color w:val="000000"/>
                <w:sz w:val="20"/>
                <w:szCs w:val="20"/>
              </w:rPr>
            </w:pPr>
            <w:r w:rsidRPr="00AA00FA">
              <w:rPr>
                <w:rFonts w:ascii="Calibri" w:hAnsi="Calibri" w:cs="Calibri"/>
                <w:color w:val="000000"/>
                <w:sz w:val="20"/>
                <w:szCs w:val="20"/>
              </w:rPr>
              <w:t>L Appetite</w:t>
            </w:r>
          </w:p>
        </w:tc>
        <w:tc>
          <w:tcPr>
            <w:tcW w:w="3164" w:type="dxa"/>
            <w:shd w:val="clear" w:color="auto" w:fill="auto"/>
            <w:noWrap/>
            <w:vAlign w:val="bottom"/>
            <w:hideMark/>
          </w:tcPr>
          <w:p w14:paraId="04C18677"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261</w:t>
            </w:r>
          </w:p>
        </w:tc>
        <w:tc>
          <w:tcPr>
            <w:tcW w:w="3828" w:type="dxa"/>
            <w:shd w:val="clear" w:color="auto" w:fill="auto"/>
            <w:noWrap/>
            <w:vAlign w:val="bottom"/>
            <w:hideMark/>
          </w:tcPr>
          <w:p w14:paraId="0F5048FE" w14:textId="77777777" w:rsidR="00B3260C" w:rsidRPr="00AA00FA" w:rsidRDefault="00B3260C"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14%</w:t>
            </w:r>
          </w:p>
        </w:tc>
      </w:tr>
    </w:tbl>
    <w:p w14:paraId="095B0F50" w14:textId="77777777" w:rsidR="00FE46FD" w:rsidRDefault="00B3260C" w:rsidP="00FE46FD">
      <w:pPr>
        <w:pStyle w:val="Normal-nospacing"/>
      </w:pPr>
      <w:r>
        <w:t xml:space="preserve">To better understand the level of disruptiveness resulting from the residents’ behaviour, the occupational disruptiveness item was evaluated. For each resident, the number of items on the NPI-NH that were rated as present and moderately to extremely disruptive (3-6 on the occupational disruptiveness scale) was calculated. </w:t>
      </w:r>
      <w:r>
        <w:fldChar w:fldCharType="begin"/>
      </w:r>
      <w:r>
        <w:instrText xml:space="preserve"> REF _Ref525312621 \h </w:instrText>
      </w:r>
      <w:r w:rsidR="00FE46FD">
        <w:instrText xml:space="preserve"> \* MERGEFORMAT </w:instrText>
      </w:r>
      <w:r>
        <w:fldChar w:fldCharType="separate"/>
      </w:r>
      <w:r w:rsidR="00EE18C8">
        <w:t xml:space="preserve">Table </w:t>
      </w:r>
      <w:r w:rsidR="00EE18C8">
        <w:rPr>
          <w:noProof/>
        </w:rPr>
        <w:t>15</w:t>
      </w:r>
      <w:r>
        <w:fldChar w:fldCharType="end"/>
      </w:r>
      <w:r>
        <w:t xml:space="preserve"> presents a summary of these data.</w:t>
      </w:r>
      <w:r w:rsidR="00FE46FD">
        <w:br w:type="page"/>
      </w:r>
    </w:p>
    <w:p w14:paraId="0567269D" w14:textId="77777777" w:rsidR="00B3260C" w:rsidRDefault="00B3260C" w:rsidP="00FB05DE">
      <w:pPr>
        <w:pStyle w:val="Caption"/>
        <w:ind w:left="1440" w:hanging="1440"/>
      </w:pPr>
      <w:bookmarkStart w:id="104" w:name="_Ref525312621"/>
      <w:bookmarkStart w:id="105" w:name="_Toc2065677"/>
      <w:r>
        <w:lastRenderedPageBreak/>
        <w:t xml:space="preserve">Table </w:t>
      </w:r>
      <w:r>
        <w:rPr>
          <w:noProof/>
        </w:rPr>
        <w:fldChar w:fldCharType="begin"/>
      </w:r>
      <w:r>
        <w:rPr>
          <w:noProof/>
        </w:rPr>
        <w:instrText xml:space="preserve"> SEQ Table \* ARABIC </w:instrText>
      </w:r>
      <w:r>
        <w:rPr>
          <w:noProof/>
        </w:rPr>
        <w:fldChar w:fldCharType="separate"/>
      </w:r>
      <w:r w:rsidR="00EE18C8">
        <w:rPr>
          <w:noProof/>
        </w:rPr>
        <w:t>15</w:t>
      </w:r>
      <w:r>
        <w:rPr>
          <w:noProof/>
        </w:rPr>
        <w:fldChar w:fldCharType="end"/>
      </w:r>
      <w:bookmarkEnd w:id="104"/>
      <w:r w:rsidR="00FB05DE">
        <w:rPr>
          <w:noProof/>
        </w:rPr>
        <w:tab/>
      </w:r>
      <w:r>
        <w:t xml:space="preserve">Number of </w:t>
      </w:r>
      <w:r w:rsidRPr="00906F55">
        <w:t>NPI</w:t>
      </w:r>
      <w:r w:rsidR="00F067AF">
        <w:t>-NH</w:t>
      </w:r>
      <w:r w:rsidRPr="00906F55">
        <w:t xml:space="preserve"> item</w:t>
      </w:r>
      <w:r>
        <w:t>s present</w:t>
      </w:r>
      <w:r w:rsidRPr="00906F55">
        <w:t xml:space="preserve"> and </w:t>
      </w:r>
      <w:r>
        <w:t>moderately to extremely disruptive</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PI-NH items present and moderately to extremely disruptive "/>
        <w:tblDescription w:val="Table 15 shows the number of NPI-NH items and percentage of residents. The table should be read as a series of rows from left to right ('number of items' then 'number of residents' then 'percentage of residents'). "/>
      </w:tblPr>
      <w:tblGrid>
        <w:gridCol w:w="1246"/>
        <w:gridCol w:w="1536"/>
        <w:gridCol w:w="2176"/>
      </w:tblGrid>
      <w:tr w:rsidR="00CF26D2" w:rsidRPr="00AA00FA" w14:paraId="3ED7567E" w14:textId="77777777" w:rsidTr="00D6251D">
        <w:trPr>
          <w:trHeight w:val="300"/>
          <w:tblHeader/>
        </w:trPr>
        <w:tc>
          <w:tcPr>
            <w:tcW w:w="0" w:type="auto"/>
            <w:shd w:val="clear" w:color="auto" w:fill="D9D9D9" w:themeFill="background1" w:themeFillShade="D9"/>
            <w:noWrap/>
            <w:vAlign w:val="bottom"/>
            <w:hideMark/>
          </w:tcPr>
          <w:p w14:paraId="61411180" w14:textId="77777777" w:rsidR="00557A41" w:rsidRPr="00AA00FA" w:rsidRDefault="00557A41" w:rsidP="00D14C87">
            <w:pPr>
              <w:spacing w:before="40" w:after="40"/>
              <w:rPr>
                <w:rFonts w:ascii="Calibri" w:hAnsi="Calibri" w:cs="Calibri"/>
                <w:b/>
                <w:color w:val="000000"/>
                <w:sz w:val="20"/>
                <w:szCs w:val="20"/>
              </w:rPr>
            </w:pPr>
            <w:r w:rsidRPr="00AA00FA">
              <w:rPr>
                <w:rFonts w:ascii="Calibri" w:hAnsi="Calibri" w:cs="Calibri"/>
                <w:b/>
                <w:color w:val="000000"/>
                <w:sz w:val="20"/>
                <w:szCs w:val="20"/>
              </w:rPr>
              <w:t>No. of items</w:t>
            </w:r>
          </w:p>
        </w:tc>
        <w:tc>
          <w:tcPr>
            <w:tcW w:w="0" w:type="auto"/>
            <w:shd w:val="clear" w:color="auto" w:fill="D9D9D9" w:themeFill="background1" w:themeFillShade="D9"/>
            <w:noWrap/>
            <w:vAlign w:val="bottom"/>
            <w:hideMark/>
          </w:tcPr>
          <w:p w14:paraId="18494BBF" w14:textId="77777777" w:rsidR="00557A41" w:rsidRPr="00AA00FA" w:rsidRDefault="00557A41"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No. of residents</w:t>
            </w:r>
          </w:p>
        </w:tc>
        <w:tc>
          <w:tcPr>
            <w:tcW w:w="0" w:type="auto"/>
            <w:shd w:val="clear" w:color="auto" w:fill="D9D9D9" w:themeFill="background1" w:themeFillShade="D9"/>
            <w:noWrap/>
            <w:vAlign w:val="bottom"/>
            <w:hideMark/>
          </w:tcPr>
          <w:p w14:paraId="4EEB959C" w14:textId="77777777" w:rsidR="00557A41" w:rsidRPr="00AA00FA" w:rsidRDefault="00557A41" w:rsidP="00D14C87">
            <w:pPr>
              <w:spacing w:before="40" w:after="40"/>
              <w:jc w:val="right"/>
              <w:rPr>
                <w:rFonts w:ascii="Calibri" w:hAnsi="Calibri" w:cs="Calibri"/>
                <w:b/>
                <w:color w:val="000000"/>
                <w:sz w:val="20"/>
                <w:szCs w:val="20"/>
              </w:rPr>
            </w:pPr>
            <w:r w:rsidRPr="00AA00FA">
              <w:rPr>
                <w:rFonts w:ascii="Calibri" w:hAnsi="Calibri" w:cs="Calibri"/>
                <w:b/>
                <w:color w:val="000000"/>
                <w:sz w:val="20"/>
                <w:szCs w:val="20"/>
              </w:rPr>
              <w:t>Percentage of residents</w:t>
            </w:r>
          </w:p>
        </w:tc>
      </w:tr>
      <w:tr w:rsidR="00557A41" w:rsidRPr="00AA00FA" w14:paraId="51BF5BEC" w14:textId="77777777" w:rsidTr="00D6251D">
        <w:trPr>
          <w:trHeight w:val="300"/>
        </w:trPr>
        <w:tc>
          <w:tcPr>
            <w:tcW w:w="0" w:type="auto"/>
            <w:shd w:val="clear" w:color="auto" w:fill="auto"/>
            <w:noWrap/>
            <w:vAlign w:val="bottom"/>
            <w:hideMark/>
          </w:tcPr>
          <w:p w14:paraId="661DEAED"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0</w:t>
            </w:r>
          </w:p>
        </w:tc>
        <w:tc>
          <w:tcPr>
            <w:tcW w:w="0" w:type="auto"/>
            <w:shd w:val="clear" w:color="auto" w:fill="auto"/>
            <w:noWrap/>
            <w:vAlign w:val="bottom"/>
            <w:hideMark/>
          </w:tcPr>
          <w:p w14:paraId="24CA670F"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1,232</w:t>
            </w:r>
          </w:p>
        </w:tc>
        <w:tc>
          <w:tcPr>
            <w:tcW w:w="0" w:type="auto"/>
            <w:shd w:val="clear" w:color="auto" w:fill="auto"/>
            <w:noWrap/>
            <w:vAlign w:val="bottom"/>
            <w:hideMark/>
          </w:tcPr>
          <w:p w14:paraId="03E05F94"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66%</w:t>
            </w:r>
          </w:p>
        </w:tc>
      </w:tr>
      <w:tr w:rsidR="00557A41" w:rsidRPr="00AA00FA" w14:paraId="75ECB55B" w14:textId="77777777" w:rsidTr="00D6251D">
        <w:trPr>
          <w:trHeight w:val="300"/>
        </w:trPr>
        <w:tc>
          <w:tcPr>
            <w:tcW w:w="0" w:type="auto"/>
            <w:shd w:val="clear" w:color="auto" w:fill="auto"/>
            <w:noWrap/>
            <w:vAlign w:val="bottom"/>
            <w:hideMark/>
          </w:tcPr>
          <w:p w14:paraId="35365E8D"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1</w:t>
            </w:r>
          </w:p>
        </w:tc>
        <w:tc>
          <w:tcPr>
            <w:tcW w:w="0" w:type="auto"/>
            <w:shd w:val="clear" w:color="auto" w:fill="auto"/>
            <w:noWrap/>
            <w:vAlign w:val="bottom"/>
            <w:hideMark/>
          </w:tcPr>
          <w:p w14:paraId="01D61DB2"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223</w:t>
            </w:r>
          </w:p>
        </w:tc>
        <w:tc>
          <w:tcPr>
            <w:tcW w:w="0" w:type="auto"/>
            <w:shd w:val="clear" w:color="auto" w:fill="auto"/>
            <w:noWrap/>
            <w:vAlign w:val="bottom"/>
            <w:hideMark/>
          </w:tcPr>
          <w:p w14:paraId="0E3DDA4F"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12%</w:t>
            </w:r>
          </w:p>
        </w:tc>
      </w:tr>
      <w:tr w:rsidR="00557A41" w:rsidRPr="00AA00FA" w14:paraId="70547DE3" w14:textId="77777777" w:rsidTr="00D6251D">
        <w:trPr>
          <w:trHeight w:val="300"/>
        </w:trPr>
        <w:tc>
          <w:tcPr>
            <w:tcW w:w="0" w:type="auto"/>
            <w:shd w:val="clear" w:color="auto" w:fill="auto"/>
            <w:noWrap/>
            <w:vAlign w:val="bottom"/>
            <w:hideMark/>
          </w:tcPr>
          <w:p w14:paraId="14F65ECB"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2</w:t>
            </w:r>
          </w:p>
        </w:tc>
        <w:tc>
          <w:tcPr>
            <w:tcW w:w="0" w:type="auto"/>
            <w:shd w:val="clear" w:color="auto" w:fill="auto"/>
            <w:noWrap/>
            <w:vAlign w:val="bottom"/>
            <w:hideMark/>
          </w:tcPr>
          <w:p w14:paraId="4A9F599A"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130</w:t>
            </w:r>
          </w:p>
        </w:tc>
        <w:tc>
          <w:tcPr>
            <w:tcW w:w="0" w:type="auto"/>
            <w:shd w:val="clear" w:color="auto" w:fill="auto"/>
            <w:noWrap/>
            <w:vAlign w:val="bottom"/>
            <w:hideMark/>
          </w:tcPr>
          <w:p w14:paraId="5E3D4A33"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w:t>
            </w:r>
          </w:p>
        </w:tc>
      </w:tr>
      <w:tr w:rsidR="00557A41" w:rsidRPr="00AA00FA" w14:paraId="064B24B3" w14:textId="77777777" w:rsidTr="00D6251D">
        <w:trPr>
          <w:trHeight w:val="300"/>
        </w:trPr>
        <w:tc>
          <w:tcPr>
            <w:tcW w:w="0" w:type="auto"/>
            <w:shd w:val="clear" w:color="auto" w:fill="auto"/>
            <w:noWrap/>
            <w:vAlign w:val="bottom"/>
            <w:hideMark/>
          </w:tcPr>
          <w:p w14:paraId="746E54DD"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3</w:t>
            </w:r>
          </w:p>
        </w:tc>
        <w:tc>
          <w:tcPr>
            <w:tcW w:w="0" w:type="auto"/>
            <w:shd w:val="clear" w:color="auto" w:fill="auto"/>
            <w:noWrap/>
            <w:vAlign w:val="bottom"/>
            <w:hideMark/>
          </w:tcPr>
          <w:p w14:paraId="47BA959A"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109</w:t>
            </w:r>
          </w:p>
        </w:tc>
        <w:tc>
          <w:tcPr>
            <w:tcW w:w="0" w:type="auto"/>
            <w:shd w:val="clear" w:color="auto" w:fill="auto"/>
            <w:noWrap/>
            <w:vAlign w:val="bottom"/>
            <w:hideMark/>
          </w:tcPr>
          <w:p w14:paraId="5C09FD66"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6%</w:t>
            </w:r>
          </w:p>
        </w:tc>
      </w:tr>
      <w:tr w:rsidR="00557A41" w:rsidRPr="00AA00FA" w14:paraId="6E789ECA" w14:textId="77777777" w:rsidTr="00D6251D">
        <w:trPr>
          <w:trHeight w:val="300"/>
        </w:trPr>
        <w:tc>
          <w:tcPr>
            <w:tcW w:w="0" w:type="auto"/>
            <w:shd w:val="clear" w:color="auto" w:fill="auto"/>
            <w:noWrap/>
            <w:vAlign w:val="bottom"/>
            <w:hideMark/>
          </w:tcPr>
          <w:p w14:paraId="0BCB970F"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4</w:t>
            </w:r>
          </w:p>
        </w:tc>
        <w:tc>
          <w:tcPr>
            <w:tcW w:w="0" w:type="auto"/>
            <w:shd w:val="clear" w:color="auto" w:fill="auto"/>
            <w:noWrap/>
            <w:vAlign w:val="bottom"/>
            <w:hideMark/>
          </w:tcPr>
          <w:p w14:paraId="1C6EDE7D"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76</w:t>
            </w:r>
          </w:p>
        </w:tc>
        <w:tc>
          <w:tcPr>
            <w:tcW w:w="0" w:type="auto"/>
            <w:shd w:val="clear" w:color="auto" w:fill="auto"/>
            <w:noWrap/>
            <w:vAlign w:val="bottom"/>
            <w:hideMark/>
          </w:tcPr>
          <w:p w14:paraId="645A1230"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4%</w:t>
            </w:r>
          </w:p>
        </w:tc>
      </w:tr>
      <w:tr w:rsidR="00557A41" w:rsidRPr="00AA00FA" w14:paraId="0147006C" w14:textId="77777777" w:rsidTr="00D6251D">
        <w:trPr>
          <w:trHeight w:val="300"/>
        </w:trPr>
        <w:tc>
          <w:tcPr>
            <w:tcW w:w="0" w:type="auto"/>
            <w:shd w:val="clear" w:color="auto" w:fill="auto"/>
            <w:noWrap/>
            <w:vAlign w:val="bottom"/>
            <w:hideMark/>
          </w:tcPr>
          <w:p w14:paraId="2470A60B"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5</w:t>
            </w:r>
          </w:p>
        </w:tc>
        <w:tc>
          <w:tcPr>
            <w:tcW w:w="0" w:type="auto"/>
            <w:shd w:val="clear" w:color="auto" w:fill="auto"/>
            <w:noWrap/>
            <w:vAlign w:val="bottom"/>
            <w:hideMark/>
          </w:tcPr>
          <w:p w14:paraId="109EB4D0"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54</w:t>
            </w:r>
          </w:p>
        </w:tc>
        <w:tc>
          <w:tcPr>
            <w:tcW w:w="0" w:type="auto"/>
            <w:shd w:val="clear" w:color="auto" w:fill="auto"/>
            <w:noWrap/>
            <w:vAlign w:val="bottom"/>
            <w:hideMark/>
          </w:tcPr>
          <w:p w14:paraId="338B479C"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3%</w:t>
            </w:r>
          </w:p>
        </w:tc>
      </w:tr>
      <w:tr w:rsidR="00557A41" w:rsidRPr="00AA00FA" w14:paraId="37678AB4" w14:textId="77777777" w:rsidTr="00D6251D">
        <w:trPr>
          <w:trHeight w:val="300"/>
        </w:trPr>
        <w:tc>
          <w:tcPr>
            <w:tcW w:w="0" w:type="auto"/>
            <w:shd w:val="clear" w:color="auto" w:fill="auto"/>
            <w:noWrap/>
            <w:vAlign w:val="bottom"/>
            <w:hideMark/>
          </w:tcPr>
          <w:p w14:paraId="1BE7CD0F"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6</w:t>
            </w:r>
          </w:p>
        </w:tc>
        <w:tc>
          <w:tcPr>
            <w:tcW w:w="0" w:type="auto"/>
            <w:shd w:val="clear" w:color="auto" w:fill="auto"/>
            <w:noWrap/>
            <w:vAlign w:val="bottom"/>
            <w:hideMark/>
          </w:tcPr>
          <w:p w14:paraId="26B2772B"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24</w:t>
            </w:r>
          </w:p>
        </w:tc>
        <w:tc>
          <w:tcPr>
            <w:tcW w:w="0" w:type="auto"/>
            <w:shd w:val="clear" w:color="auto" w:fill="auto"/>
            <w:noWrap/>
            <w:vAlign w:val="bottom"/>
            <w:hideMark/>
          </w:tcPr>
          <w:p w14:paraId="27926CE0"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557A41" w:rsidRPr="00AA00FA" w14:paraId="2967A2C1" w14:textId="77777777" w:rsidTr="00D6251D">
        <w:trPr>
          <w:trHeight w:val="300"/>
        </w:trPr>
        <w:tc>
          <w:tcPr>
            <w:tcW w:w="0" w:type="auto"/>
            <w:shd w:val="clear" w:color="auto" w:fill="auto"/>
            <w:noWrap/>
            <w:vAlign w:val="bottom"/>
            <w:hideMark/>
          </w:tcPr>
          <w:p w14:paraId="1A40FBDD"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7</w:t>
            </w:r>
          </w:p>
        </w:tc>
        <w:tc>
          <w:tcPr>
            <w:tcW w:w="0" w:type="auto"/>
            <w:shd w:val="clear" w:color="auto" w:fill="auto"/>
            <w:noWrap/>
            <w:vAlign w:val="bottom"/>
            <w:hideMark/>
          </w:tcPr>
          <w:p w14:paraId="4A0B0E9F"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15</w:t>
            </w:r>
          </w:p>
        </w:tc>
        <w:tc>
          <w:tcPr>
            <w:tcW w:w="0" w:type="auto"/>
            <w:shd w:val="clear" w:color="auto" w:fill="auto"/>
            <w:noWrap/>
            <w:vAlign w:val="bottom"/>
            <w:hideMark/>
          </w:tcPr>
          <w:p w14:paraId="253CD297"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r>
      <w:tr w:rsidR="00557A41" w:rsidRPr="00AA00FA" w14:paraId="12D267DE" w14:textId="77777777" w:rsidTr="00D6251D">
        <w:trPr>
          <w:trHeight w:val="300"/>
        </w:trPr>
        <w:tc>
          <w:tcPr>
            <w:tcW w:w="0" w:type="auto"/>
            <w:shd w:val="clear" w:color="auto" w:fill="auto"/>
            <w:noWrap/>
            <w:vAlign w:val="bottom"/>
            <w:hideMark/>
          </w:tcPr>
          <w:p w14:paraId="07DB8CED"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8</w:t>
            </w:r>
          </w:p>
        </w:tc>
        <w:tc>
          <w:tcPr>
            <w:tcW w:w="0" w:type="auto"/>
            <w:shd w:val="clear" w:color="auto" w:fill="auto"/>
            <w:noWrap/>
            <w:vAlign w:val="bottom"/>
            <w:hideMark/>
          </w:tcPr>
          <w:p w14:paraId="0CBA062A"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c>
          <w:tcPr>
            <w:tcW w:w="0" w:type="auto"/>
            <w:shd w:val="clear" w:color="auto" w:fill="auto"/>
            <w:noWrap/>
            <w:vAlign w:val="bottom"/>
            <w:hideMark/>
          </w:tcPr>
          <w:p w14:paraId="578B3739"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557A41" w:rsidRPr="00AA00FA" w14:paraId="59C305F4" w14:textId="77777777" w:rsidTr="00D6251D">
        <w:trPr>
          <w:trHeight w:val="300"/>
        </w:trPr>
        <w:tc>
          <w:tcPr>
            <w:tcW w:w="0" w:type="auto"/>
            <w:shd w:val="clear" w:color="auto" w:fill="auto"/>
            <w:noWrap/>
            <w:vAlign w:val="bottom"/>
            <w:hideMark/>
          </w:tcPr>
          <w:p w14:paraId="2CE7612D"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9</w:t>
            </w:r>
          </w:p>
        </w:tc>
        <w:tc>
          <w:tcPr>
            <w:tcW w:w="0" w:type="auto"/>
            <w:shd w:val="clear" w:color="auto" w:fill="auto"/>
            <w:noWrap/>
            <w:vAlign w:val="bottom"/>
            <w:hideMark/>
          </w:tcPr>
          <w:p w14:paraId="4387D7A9"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8</w:t>
            </w:r>
          </w:p>
        </w:tc>
        <w:tc>
          <w:tcPr>
            <w:tcW w:w="0" w:type="auto"/>
            <w:shd w:val="clear" w:color="auto" w:fill="auto"/>
            <w:noWrap/>
            <w:vAlign w:val="bottom"/>
            <w:hideMark/>
          </w:tcPr>
          <w:p w14:paraId="4D693FD7"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557A41" w:rsidRPr="00AA00FA" w14:paraId="00EA9F09" w14:textId="77777777" w:rsidTr="00D6251D">
        <w:trPr>
          <w:trHeight w:val="300"/>
        </w:trPr>
        <w:tc>
          <w:tcPr>
            <w:tcW w:w="0" w:type="auto"/>
            <w:shd w:val="clear" w:color="auto" w:fill="auto"/>
            <w:noWrap/>
            <w:vAlign w:val="bottom"/>
            <w:hideMark/>
          </w:tcPr>
          <w:p w14:paraId="29C83C3B" w14:textId="77777777" w:rsidR="00557A41" w:rsidRPr="00AA00FA" w:rsidRDefault="00557A41" w:rsidP="00D14C87">
            <w:pPr>
              <w:spacing w:before="40" w:after="40"/>
              <w:rPr>
                <w:rFonts w:ascii="Calibri" w:hAnsi="Calibri" w:cs="Calibri"/>
                <w:color w:val="000000"/>
                <w:sz w:val="20"/>
                <w:szCs w:val="20"/>
              </w:rPr>
            </w:pPr>
            <w:r w:rsidRPr="00AA00FA">
              <w:rPr>
                <w:rFonts w:ascii="Calibri" w:hAnsi="Calibri" w:cs="Calibri"/>
                <w:color w:val="000000"/>
                <w:sz w:val="20"/>
                <w:szCs w:val="20"/>
              </w:rPr>
              <w:t>10</w:t>
            </w:r>
          </w:p>
        </w:tc>
        <w:tc>
          <w:tcPr>
            <w:tcW w:w="0" w:type="auto"/>
            <w:shd w:val="clear" w:color="auto" w:fill="auto"/>
            <w:noWrap/>
            <w:vAlign w:val="bottom"/>
            <w:hideMark/>
          </w:tcPr>
          <w:p w14:paraId="01BB6E11"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1</w:t>
            </w:r>
          </w:p>
        </w:tc>
        <w:tc>
          <w:tcPr>
            <w:tcW w:w="0" w:type="auto"/>
            <w:shd w:val="clear" w:color="auto" w:fill="auto"/>
            <w:noWrap/>
            <w:vAlign w:val="bottom"/>
            <w:hideMark/>
          </w:tcPr>
          <w:p w14:paraId="0E7A325C" w14:textId="77777777" w:rsidR="00557A41" w:rsidRPr="00AA00FA" w:rsidRDefault="00557A41" w:rsidP="00D14C87">
            <w:pPr>
              <w:spacing w:before="40" w:after="40"/>
              <w:jc w:val="right"/>
              <w:rPr>
                <w:rFonts w:ascii="Calibri" w:hAnsi="Calibri" w:cs="Calibri"/>
                <w:color w:val="000000"/>
                <w:sz w:val="20"/>
                <w:szCs w:val="20"/>
              </w:rPr>
            </w:pPr>
            <w:r w:rsidRPr="00AA00FA">
              <w:rPr>
                <w:rFonts w:ascii="Calibri" w:hAnsi="Calibri" w:cs="Calibri"/>
                <w:color w:val="000000"/>
                <w:sz w:val="20"/>
                <w:szCs w:val="20"/>
              </w:rPr>
              <w:t>0%</w:t>
            </w:r>
          </w:p>
        </w:tc>
      </w:tr>
      <w:tr w:rsidR="00557A41" w:rsidRPr="00AA00FA" w14:paraId="6710BF30" w14:textId="77777777" w:rsidTr="00D6251D">
        <w:trPr>
          <w:trHeight w:val="300"/>
        </w:trPr>
        <w:tc>
          <w:tcPr>
            <w:tcW w:w="0" w:type="auto"/>
            <w:shd w:val="clear" w:color="auto" w:fill="auto"/>
            <w:noWrap/>
            <w:vAlign w:val="bottom"/>
            <w:hideMark/>
          </w:tcPr>
          <w:p w14:paraId="43E3DBCF" w14:textId="77777777" w:rsidR="00557A41" w:rsidRPr="00AA00FA" w:rsidRDefault="00557A41" w:rsidP="00FB05DE">
            <w:pPr>
              <w:spacing w:before="40" w:after="40"/>
              <w:rPr>
                <w:rFonts w:ascii="Calibri" w:hAnsi="Calibri" w:cs="Calibri"/>
                <w:b/>
                <w:color w:val="000000"/>
                <w:sz w:val="20"/>
                <w:szCs w:val="20"/>
              </w:rPr>
            </w:pPr>
            <w:r w:rsidRPr="00AA00FA">
              <w:rPr>
                <w:rFonts w:ascii="Calibri" w:hAnsi="Calibri" w:cs="Calibri"/>
                <w:b/>
                <w:color w:val="000000"/>
                <w:sz w:val="20"/>
                <w:szCs w:val="20"/>
              </w:rPr>
              <w:t>All residents</w:t>
            </w:r>
          </w:p>
        </w:tc>
        <w:tc>
          <w:tcPr>
            <w:tcW w:w="0" w:type="auto"/>
            <w:shd w:val="clear" w:color="auto" w:fill="auto"/>
            <w:noWrap/>
            <w:vAlign w:val="bottom"/>
            <w:hideMark/>
          </w:tcPr>
          <w:p w14:paraId="17746F3E" w14:textId="77777777" w:rsidR="00557A41" w:rsidRPr="00AA00FA" w:rsidRDefault="00557A41"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1,880</w:t>
            </w:r>
          </w:p>
        </w:tc>
        <w:tc>
          <w:tcPr>
            <w:tcW w:w="0" w:type="auto"/>
            <w:shd w:val="clear" w:color="auto" w:fill="auto"/>
            <w:noWrap/>
            <w:vAlign w:val="bottom"/>
            <w:hideMark/>
          </w:tcPr>
          <w:p w14:paraId="68DC50B3" w14:textId="77777777" w:rsidR="00557A41" w:rsidRPr="00AA00FA" w:rsidRDefault="00557A41" w:rsidP="00FB05DE">
            <w:pPr>
              <w:spacing w:before="40" w:after="40"/>
              <w:jc w:val="right"/>
              <w:rPr>
                <w:rFonts w:ascii="Calibri" w:hAnsi="Calibri" w:cs="Calibri"/>
                <w:b/>
                <w:color w:val="000000"/>
                <w:sz w:val="20"/>
                <w:szCs w:val="20"/>
              </w:rPr>
            </w:pPr>
            <w:r w:rsidRPr="00AA00FA">
              <w:rPr>
                <w:rFonts w:ascii="Calibri" w:hAnsi="Calibri" w:cs="Calibri"/>
                <w:b/>
                <w:color w:val="000000"/>
                <w:sz w:val="20"/>
                <w:szCs w:val="20"/>
              </w:rPr>
              <w:t>100%</w:t>
            </w:r>
          </w:p>
        </w:tc>
      </w:tr>
    </w:tbl>
    <w:p w14:paraId="08837E51" w14:textId="77777777" w:rsidR="00B3260C" w:rsidRDefault="00B3260C" w:rsidP="00FE46FD">
      <w:pPr>
        <w:pStyle w:val="Normal-nospacing"/>
      </w:pPr>
      <w:r>
        <w:t>It can be seen that for two-thirds of residents, there were no behaviours that were considered to be associated with this level of disruption. However, 15% o</w:t>
      </w:r>
      <w:r w:rsidR="00CD735B">
        <w:t>f</w:t>
      </w:r>
      <w:r>
        <w:t xml:space="preserve"> residents could be regarded as highly disruptive, with three or more behaviours that were all rated as moderately to extremely disruptive.</w:t>
      </w:r>
    </w:p>
    <w:p w14:paraId="37918FCA" w14:textId="77777777" w:rsidR="00611842" w:rsidRDefault="00611842" w:rsidP="00534F50">
      <w:pPr>
        <w:pStyle w:val="Heading2"/>
      </w:pPr>
      <w:bookmarkStart w:id="106" w:name="_Toc2070326"/>
      <w:r>
        <w:t>Agreement between assessment tools</w:t>
      </w:r>
      <w:bookmarkEnd w:id="106"/>
    </w:p>
    <w:p w14:paraId="66461238" w14:textId="77777777" w:rsidR="00912C2B" w:rsidRDefault="00611842" w:rsidP="00FE46FD">
      <w:pPr>
        <w:pStyle w:val="Normal-nospacing"/>
      </w:pPr>
      <w:r>
        <w:t xml:space="preserve">Some domains are included in a number of different tools. However, each tool has a focus that is different from the others. In </w:t>
      </w:r>
      <w:r>
        <w:fldChar w:fldCharType="begin"/>
      </w:r>
      <w:r>
        <w:instrText xml:space="preserve"> REF _Ref525316076 \h </w:instrText>
      </w:r>
      <w:r w:rsidR="00FE46FD">
        <w:instrText xml:space="preserve"> \* MERGEFORMAT </w:instrText>
      </w:r>
      <w:r>
        <w:fldChar w:fldCharType="separate"/>
      </w:r>
      <w:r w:rsidR="00EE18C8">
        <w:t xml:space="preserve">Figure </w:t>
      </w:r>
      <w:r w:rsidR="00EE18C8">
        <w:rPr>
          <w:noProof/>
        </w:rPr>
        <w:t>3</w:t>
      </w:r>
      <w:r>
        <w:fldChar w:fldCharType="end"/>
      </w:r>
      <w:r>
        <w:t xml:space="preserve">, the </w:t>
      </w:r>
      <w:r w:rsidR="00105817">
        <w:t>AM-</w:t>
      </w:r>
      <w:r>
        <w:t>FIM motor score is plotted against the DEMMI total score. Valid scores were available for 1,793 residents. It can be seen that there was a positive relationship between both variables with high values on one most likely to correspond to high values on the other. However, it can also be seen that there was a lot of variability; for a given score on one of the tools, there was a considerable range of values on the oth</w:t>
      </w:r>
      <w:r w:rsidR="00912C2B">
        <w:t>er.</w:t>
      </w:r>
      <w:r w:rsidR="00E74FA9">
        <w:t xml:space="preserve"> </w:t>
      </w:r>
      <w:r w:rsidR="00F52D18">
        <w:t>This justifies th</w:t>
      </w:r>
      <w:r w:rsidR="00AE7A80">
        <w:t>e collection of both measures.</w:t>
      </w:r>
    </w:p>
    <w:p w14:paraId="2935E661" w14:textId="77777777" w:rsidR="00912C2B" w:rsidRDefault="00912C2B">
      <w:r>
        <w:br w:type="page"/>
      </w:r>
    </w:p>
    <w:p w14:paraId="13D3F0A1" w14:textId="77777777" w:rsidR="00611842" w:rsidRDefault="00611842" w:rsidP="00611842">
      <w:pPr>
        <w:pStyle w:val="Caption"/>
      </w:pPr>
      <w:bookmarkStart w:id="107" w:name="_Ref525316076"/>
      <w:bookmarkStart w:id="108" w:name="_Toc947240"/>
      <w:r>
        <w:lastRenderedPageBreak/>
        <w:t xml:space="preserve">Figure </w:t>
      </w:r>
      <w:r w:rsidR="00E77717">
        <w:rPr>
          <w:noProof/>
        </w:rPr>
        <w:fldChar w:fldCharType="begin"/>
      </w:r>
      <w:r w:rsidR="00E77717">
        <w:rPr>
          <w:noProof/>
        </w:rPr>
        <w:instrText xml:space="preserve"> SEQ Figure \* ARABIC </w:instrText>
      </w:r>
      <w:r w:rsidR="00E77717">
        <w:rPr>
          <w:noProof/>
        </w:rPr>
        <w:fldChar w:fldCharType="separate"/>
      </w:r>
      <w:r w:rsidR="00EE18C8">
        <w:rPr>
          <w:noProof/>
        </w:rPr>
        <w:t>3</w:t>
      </w:r>
      <w:r w:rsidR="00E77717">
        <w:rPr>
          <w:noProof/>
        </w:rPr>
        <w:fldChar w:fldCharType="end"/>
      </w:r>
      <w:bookmarkEnd w:id="107"/>
      <w:r w:rsidR="00905578">
        <w:tab/>
      </w:r>
      <w:r w:rsidR="00105817">
        <w:t>AM-</w:t>
      </w:r>
      <w:r>
        <w:t>FIM motor and DEMMI total score</w:t>
      </w:r>
      <w:bookmarkEnd w:id="108"/>
    </w:p>
    <w:p w14:paraId="44C31EB7" w14:textId="77777777" w:rsidR="004C1F0E" w:rsidRPr="004C1F0E" w:rsidRDefault="004C1F0E" w:rsidP="004C1F0E">
      <w:r>
        <w:rPr>
          <w:noProof/>
        </w:rPr>
        <w:drawing>
          <wp:inline distT="0" distB="0" distL="0" distR="0" wp14:anchorId="5075C33E" wp14:editId="50D00D45">
            <wp:extent cx="5759450" cy="3733800"/>
            <wp:effectExtent l="0" t="0" r="0" b="0"/>
            <wp:docPr id="3" name="Picture 3" descr="Figure 3 shows the AM-FIM motor score plotted against the DEMMI total score. Valid scores were available for 1,793 residents. There was a positive relationship between both variables." title="Figure 3 AM-FIM motor and DEMMI total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3733800"/>
                    </a:xfrm>
                    <a:prstGeom prst="rect">
                      <a:avLst/>
                    </a:prstGeom>
                  </pic:spPr>
                </pic:pic>
              </a:graphicData>
            </a:graphic>
          </wp:inline>
        </w:drawing>
      </w:r>
    </w:p>
    <w:p w14:paraId="0C7E1E3D" w14:textId="77777777" w:rsidR="00611842" w:rsidRDefault="00611842" w:rsidP="00FE46FD">
      <w:pPr>
        <w:pStyle w:val="Normal-nospacing"/>
      </w:pPr>
      <w:r>
        <w:t xml:space="preserve">It is also possible to compare the values of some item or subscale scores that measure comparable domains. Some examples are presented in </w:t>
      </w:r>
      <w:r>
        <w:fldChar w:fldCharType="begin"/>
      </w:r>
      <w:r>
        <w:instrText xml:space="preserve"> REF _Ref525318802 \h </w:instrText>
      </w:r>
      <w:r w:rsidR="00FE46FD">
        <w:instrText xml:space="preserve"> \* MERGEFORMAT </w:instrText>
      </w:r>
      <w:r>
        <w:fldChar w:fldCharType="separate"/>
      </w:r>
      <w:r w:rsidR="00EE18C8">
        <w:t xml:space="preserve">Table </w:t>
      </w:r>
      <w:r w:rsidR="00EE18C8">
        <w:rPr>
          <w:noProof/>
        </w:rPr>
        <w:t>16</w:t>
      </w:r>
      <w:r>
        <w:fldChar w:fldCharType="end"/>
      </w:r>
      <w:r>
        <w:t>. Many others are possible. However, the examples included here show the relationship between scores on different tools that relate to a similar domain as well as scores within a tool that reflect different levels of difficulty.</w:t>
      </w:r>
    </w:p>
    <w:p w14:paraId="5D5AAFC6" w14:textId="77777777" w:rsidR="00611842" w:rsidRDefault="00611842" w:rsidP="003C7E1A">
      <w:pPr>
        <w:pStyle w:val="Caption"/>
        <w:keepNext/>
      </w:pPr>
      <w:bookmarkStart w:id="109" w:name="_Ref525318802"/>
      <w:bookmarkStart w:id="110" w:name="_Toc2065678"/>
      <w:r>
        <w:t xml:space="preserve">Table </w:t>
      </w:r>
      <w:r>
        <w:rPr>
          <w:noProof/>
        </w:rPr>
        <w:fldChar w:fldCharType="begin"/>
      </w:r>
      <w:r>
        <w:rPr>
          <w:noProof/>
        </w:rPr>
        <w:instrText xml:space="preserve"> SEQ Table \* ARABIC </w:instrText>
      </w:r>
      <w:r>
        <w:rPr>
          <w:noProof/>
        </w:rPr>
        <w:fldChar w:fldCharType="separate"/>
      </w:r>
      <w:r w:rsidR="00EE18C8">
        <w:rPr>
          <w:noProof/>
        </w:rPr>
        <w:t>16</w:t>
      </w:r>
      <w:r>
        <w:rPr>
          <w:noProof/>
        </w:rPr>
        <w:fldChar w:fldCharType="end"/>
      </w:r>
      <w:bookmarkEnd w:id="109"/>
      <w:r>
        <w:rPr>
          <w:noProof/>
        </w:rPr>
        <w:tab/>
      </w:r>
      <w:r>
        <w:t>Examples of comparisons of scores</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s of comparisons of scores"/>
        <w:tblDescription w:val="Table 16 shows examples of comparison of the values of some item or subscale scores that measure comparable domains. The table should be read as a series of rows from left to right ('Criterion 1' then 'Criterion 2' then 'number of residents' then 'percentage of residents')."/>
      </w:tblPr>
      <w:tblGrid>
        <w:gridCol w:w="2066"/>
        <w:gridCol w:w="3169"/>
        <w:gridCol w:w="1536"/>
        <w:gridCol w:w="2176"/>
      </w:tblGrid>
      <w:tr w:rsidR="005D50B6" w:rsidRPr="00AA00FA" w14:paraId="6384DF37" w14:textId="77777777" w:rsidTr="00F812EE">
        <w:trPr>
          <w:trHeight w:val="300"/>
        </w:trPr>
        <w:tc>
          <w:tcPr>
            <w:tcW w:w="0" w:type="auto"/>
            <w:shd w:val="clear" w:color="auto" w:fill="D9D9D9" w:themeFill="background1" w:themeFillShade="D9"/>
            <w:noWrap/>
            <w:vAlign w:val="bottom"/>
            <w:hideMark/>
          </w:tcPr>
          <w:p w14:paraId="7B161FCF" w14:textId="69BF3D62" w:rsidR="005D50B6" w:rsidRPr="00AA00FA" w:rsidRDefault="001C4E1D" w:rsidP="00611842">
            <w:pPr>
              <w:spacing w:before="40" w:after="40"/>
              <w:rPr>
                <w:rFonts w:ascii="Calibri" w:hAnsi="Calibri" w:cs="Calibri"/>
                <w:b/>
                <w:color w:val="000000"/>
                <w:sz w:val="20"/>
                <w:szCs w:val="20"/>
              </w:rPr>
            </w:pPr>
            <w:r>
              <w:rPr>
                <w:rFonts w:ascii="Calibri" w:hAnsi="Calibri" w:cs="Calibri"/>
                <w:b/>
                <w:color w:val="000000"/>
                <w:sz w:val="20"/>
                <w:szCs w:val="20"/>
              </w:rPr>
              <w:t>Criterion 1</w:t>
            </w:r>
          </w:p>
        </w:tc>
        <w:tc>
          <w:tcPr>
            <w:tcW w:w="0" w:type="auto"/>
            <w:shd w:val="clear" w:color="auto" w:fill="D9D9D9" w:themeFill="background1" w:themeFillShade="D9"/>
            <w:vAlign w:val="bottom"/>
          </w:tcPr>
          <w:p w14:paraId="1ACF4316" w14:textId="0089481A" w:rsidR="005D50B6" w:rsidRPr="00AA00FA" w:rsidRDefault="001C4E1D" w:rsidP="00611842">
            <w:pPr>
              <w:spacing w:before="40" w:after="40"/>
              <w:rPr>
                <w:rFonts w:ascii="Calibri" w:hAnsi="Calibri" w:cs="Calibri"/>
                <w:b/>
                <w:color w:val="000000"/>
                <w:sz w:val="20"/>
                <w:szCs w:val="20"/>
              </w:rPr>
            </w:pPr>
            <w:r>
              <w:rPr>
                <w:rFonts w:ascii="Calibri" w:hAnsi="Calibri" w:cs="Calibri"/>
                <w:b/>
                <w:color w:val="000000"/>
                <w:sz w:val="20"/>
                <w:szCs w:val="20"/>
              </w:rPr>
              <w:t>Criterion 2</w:t>
            </w:r>
          </w:p>
        </w:tc>
        <w:tc>
          <w:tcPr>
            <w:tcW w:w="0" w:type="auto"/>
            <w:shd w:val="clear" w:color="auto" w:fill="D9D9D9" w:themeFill="background1" w:themeFillShade="D9"/>
            <w:noWrap/>
            <w:vAlign w:val="bottom"/>
            <w:hideMark/>
          </w:tcPr>
          <w:p w14:paraId="1C4D5246" w14:textId="77777777" w:rsidR="005D50B6" w:rsidRPr="00AA00FA" w:rsidRDefault="005D50B6" w:rsidP="00611842">
            <w:pPr>
              <w:spacing w:before="40" w:after="40"/>
              <w:jc w:val="right"/>
              <w:rPr>
                <w:rFonts w:ascii="Calibri" w:hAnsi="Calibri" w:cs="Calibri"/>
                <w:b/>
                <w:color w:val="000000"/>
                <w:sz w:val="20"/>
                <w:szCs w:val="20"/>
              </w:rPr>
            </w:pPr>
            <w:r w:rsidRPr="00AA00FA">
              <w:rPr>
                <w:rFonts w:ascii="Calibri" w:hAnsi="Calibri" w:cs="Calibri"/>
                <w:b/>
                <w:color w:val="000000"/>
                <w:sz w:val="20"/>
                <w:szCs w:val="20"/>
              </w:rPr>
              <w:t>No. of residents</w:t>
            </w:r>
          </w:p>
        </w:tc>
        <w:tc>
          <w:tcPr>
            <w:tcW w:w="0" w:type="auto"/>
            <w:shd w:val="clear" w:color="auto" w:fill="D9D9D9" w:themeFill="background1" w:themeFillShade="D9"/>
            <w:noWrap/>
            <w:vAlign w:val="bottom"/>
            <w:hideMark/>
          </w:tcPr>
          <w:p w14:paraId="5D5A1282" w14:textId="77777777" w:rsidR="005D50B6" w:rsidRPr="00AA00FA" w:rsidRDefault="005D50B6" w:rsidP="00611842">
            <w:pPr>
              <w:spacing w:before="40" w:after="40"/>
              <w:jc w:val="right"/>
              <w:rPr>
                <w:rFonts w:ascii="Calibri" w:hAnsi="Calibri" w:cs="Calibri"/>
                <w:b/>
                <w:color w:val="000000"/>
                <w:sz w:val="20"/>
                <w:szCs w:val="20"/>
              </w:rPr>
            </w:pPr>
            <w:r w:rsidRPr="00AA00FA">
              <w:rPr>
                <w:rFonts w:ascii="Calibri" w:hAnsi="Calibri" w:cs="Calibri"/>
                <w:b/>
                <w:color w:val="000000"/>
                <w:sz w:val="20"/>
                <w:szCs w:val="20"/>
              </w:rPr>
              <w:t>Percentage of residents</w:t>
            </w:r>
          </w:p>
        </w:tc>
      </w:tr>
      <w:tr w:rsidR="005D50B6" w:rsidRPr="00AA00FA" w14:paraId="00CFE373" w14:textId="77777777" w:rsidTr="00655C02">
        <w:trPr>
          <w:trHeight w:val="300"/>
        </w:trPr>
        <w:tc>
          <w:tcPr>
            <w:tcW w:w="0" w:type="auto"/>
            <w:shd w:val="clear" w:color="auto" w:fill="auto"/>
            <w:noWrap/>
            <w:hideMark/>
          </w:tcPr>
          <w:p w14:paraId="7B742096" w14:textId="77777777" w:rsidR="005D50B6" w:rsidRPr="00AA00FA" w:rsidRDefault="005D50B6" w:rsidP="00655C02">
            <w:pPr>
              <w:rPr>
                <w:rFonts w:ascii="Calibri" w:hAnsi="Calibri" w:cs="Calibri"/>
                <w:color w:val="000000"/>
                <w:sz w:val="20"/>
                <w:szCs w:val="20"/>
              </w:rPr>
            </w:pPr>
            <w:r w:rsidRPr="00AA00FA">
              <w:rPr>
                <w:rFonts w:ascii="Calibri" w:hAnsi="Calibri" w:cs="Calibri"/>
                <w:color w:val="000000"/>
                <w:sz w:val="20"/>
                <w:szCs w:val="20"/>
              </w:rPr>
              <w:t>RUG-ADL toileting = 1</w:t>
            </w:r>
          </w:p>
        </w:tc>
        <w:tc>
          <w:tcPr>
            <w:tcW w:w="0" w:type="auto"/>
            <w:shd w:val="clear" w:color="auto" w:fill="auto"/>
            <w:noWrap/>
            <w:vAlign w:val="bottom"/>
            <w:hideMark/>
          </w:tcPr>
          <w:p w14:paraId="31131201" w14:textId="77777777" w:rsidR="005D50B6" w:rsidRPr="00AA00FA" w:rsidRDefault="005D50B6" w:rsidP="00905578">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toileting &gt;=5</w:t>
            </w:r>
          </w:p>
        </w:tc>
        <w:tc>
          <w:tcPr>
            <w:tcW w:w="0" w:type="auto"/>
            <w:shd w:val="clear" w:color="auto" w:fill="auto"/>
            <w:noWrap/>
            <w:vAlign w:val="bottom"/>
            <w:hideMark/>
          </w:tcPr>
          <w:p w14:paraId="43A67F6A" w14:textId="77777777" w:rsidR="005D50B6" w:rsidRPr="00AA00FA" w:rsidRDefault="005D50B6" w:rsidP="00611842">
            <w:pPr>
              <w:jc w:val="right"/>
              <w:rPr>
                <w:rFonts w:ascii="Calibri" w:hAnsi="Calibri" w:cs="Calibri"/>
                <w:color w:val="000000"/>
                <w:sz w:val="20"/>
                <w:szCs w:val="20"/>
              </w:rPr>
            </w:pPr>
            <w:r w:rsidRPr="00AA00FA">
              <w:rPr>
                <w:rFonts w:ascii="Calibri" w:hAnsi="Calibri" w:cs="Calibri"/>
                <w:color w:val="000000"/>
                <w:sz w:val="20"/>
                <w:szCs w:val="20"/>
              </w:rPr>
              <w:t>435</w:t>
            </w:r>
          </w:p>
        </w:tc>
        <w:tc>
          <w:tcPr>
            <w:tcW w:w="0" w:type="auto"/>
            <w:shd w:val="clear" w:color="auto" w:fill="auto"/>
            <w:noWrap/>
            <w:vAlign w:val="bottom"/>
            <w:hideMark/>
          </w:tcPr>
          <w:p w14:paraId="6572D12F" w14:textId="77777777" w:rsidR="005D50B6" w:rsidRPr="00AA00FA" w:rsidRDefault="005D50B6" w:rsidP="00611842">
            <w:pPr>
              <w:jc w:val="right"/>
              <w:rPr>
                <w:rFonts w:ascii="Calibri" w:hAnsi="Calibri" w:cs="Calibri"/>
                <w:color w:val="000000"/>
                <w:sz w:val="20"/>
                <w:szCs w:val="20"/>
              </w:rPr>
            </w:pPr>
            <w:r w:rsidRPr="00AA00FA">
              <w:rPr>
                <w:rFonts w:ascii="Calibri" w:hAnsi="Calibri" w:cs="Calibri"/>
                <w:color w:val="000000"/>
                <w:sz w:val="20"/>
                <w:szCs w:val="20"/>
              </w:rPr>
              <w:t>82%</w:t>
            </w:r>
          </w:p>
        </w:tc>
      </w:tr>
      <w:tr w:rsidR="005D50B6" w:rsidRPr="00AA00FA" w14:paraId="68839404" w14:textId="77777777" w:rsidTr="00655C02">
        <w:trPr>
          <w:trHeight w:val="300"/>
        </w:trPr>
        <w:tc>
          <w:tcPr>
            <w:tcW w:w="0" w:type="auto"/>
            <w:shd w:val="clear" w:color="auto" w:fill="auto"/>
            <w:noWrap/>
            <w:hideMark/>
          </w:tcPr>
          <w:p w14:paraId="4255716B" w14:textId="77777777" w:rsidR="005D50B6" w:rsidRPr="00AA00FA" w:rsidRDefault="005D50B6" w:rsidP="005D50B6">
            <w:pPr>
              <w:rPr>
                <w:rFonts w:ascii="Calibri" w:hAnsi="Calibri" w:cs="Calibri"/>
                <w:color w:val="000000"/>
                <w:sz w:val="20"/>
                <w:szCs w:val="20"/>
              </w:rPr>
            </w:pPr>
            <w:r w:rsidRPr="00AA00FA">
              <w:rPr>
                <w:rFonts w:ascii="Calibri" w:hAnsi="Calibri" w:cs="Calibri"/>
                <w:color w:val="000000"/>
                <w:sz w:val="20"/>
                <w:szCs w:val="20"/>
              </w:rPr>
              <w:t>RUG-ADL toileting = 1</w:t>
            </w:r>
          </w:p>
        </w:tc>
        <w:tc>
          <w:tcPr>
            <w:tcW w:w="0" w:type="auto"/>
            <w:shd w:val="clear" w:color="auto" w:fill="auto"/>
            <w:noWrap/>
            <w:vAlign w:val="bottom"/>
            <w:hideMark/>
          </w:tcPr>
          <w:p w14:paraId="62ECEA04"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toileting &lt;=4</w:t>
            </w:r>
          </w:p>
        </w:tc>
        <w:tc>
          <w:tcPr>
            <w:tcW w:w="0" w:type="auto"/>
            <w:shd w:val="clear" w:color="auto" w:fill="auto"/>
            <w:noWrap/>
            <w:vAlign w:val="bottom"/>
            <w:hideMark/>
          </w:tcPr>
          <w:p w14:paraId="35DA8015"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97</w:t>
            </w:r>
          </w:p>
        </w:tc>
        <w:tc>
          <w:tcPr>
            <w:tcW w:w="0" w:type="auto"/>
            <w:shd w:val="clear" w:color="auto" w:fill="auto"/>
            <w:noWrap/>
            <w:vAlign w:val="bottom"/>
            <w:hideMark/>
          </w:tcPr>
          <w:p w14:paraId="1A707D4C"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18%</w:t>
            </w:r>
          </w:p>
        </w:tc>
      </w:tr>
      <w:tr w:rsidR="005D50B6" w:rsidRPr="00AA00FA" w14:paraId="105F367D" w14:textId="77777777" w:rsidTr="00655C02">
        <w:trPr>
          <w:trHeight w:val="300"/>
        </w:trPr>
        <w:tc>
          <w:tcPr>
            <w:tcW w:w="0" w:type="auto"/>
            <w:shd w:val="clear" w:color="auto" w:fill="auto"/>
            <w:noWrap/>
            <w:hideMark/>
          </w:tcPr>
          <w:p w14:paraId="1AD23B44" w14:textId="77777777" w:rsidR="005D50B6" w:rsidRPr="00AA00FA" w:rsidRDefault="005D50B6" w:rsidP="005D50B6">
            <w:pPr>
              <w:rPr>
                <w:rFonts w:ascii="Calibri" w:hAnsi="Calibri" w:cs="Calibri"/>
                <w:color w:val="000000"/>
                <w:sz w:val="20"/>
                <w:szCs w:val="20"/>
              </w:rPr>
            </w:pPr>
            <w:r w:rsidRPr="00AA00FA">
              <w:rPr>
                <w:rFonts w:ascii="Calibri" w:hAnsi="Calibri" w:cs="Calibri"/>
                <w:color w:val="000000"/>
                <w:sz w:val="20"/>
                <w:szCs w:val="20"/>
              </w:rPr>
              <w:t>RUG-ADL eating = 1</w:t>
            </w:r>
          </w:p>
        </w:tc>
        <w:tc>
          <w:tcPr>
            <w:tcW w:w="0" w:type="auto"/>
            <w:shd w:val="clear" w:color="auto" w:fill="auto"/>
            <w:noWrap/>
            <w:vAlign w:val="bottom"/>
            <w:hideMark/>
          </w:tcPr>
          <w:p w14:paraId="0E386311"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eating &gt;=5</w:t>
            </w:r>
          </w:p>
        </w:tc>
        <w:tc>
          <w:tcPr>
            <w:tcW w:w="0" w:type="auto"/>
            <w:shd w:val="clear" w:color="auto" w:fill="auto"/>
            <w:noWrap/>
            <w:vAlign w:val="bottom"/>
            <w:hideMark/>
          </w:tcPr>
          <w:p w14:paraId="243D41F8"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943</w:t>
            </w:r>
          </w:p>
        </w:tc>
        <w:tc>
          <w:tcPr>
            <w:tcW w:w="0" w:type="auto"/>
            <w:shd w:val="clear" w:color="auto" w:fill="auto"/>
            <w:noWrap/>
            <w:vAlign w:val="bottom"/>
            <w:hideMark/>
          </w:tcPr>
          <w:p w14:paraId="5D1882CF"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95%</w:t>
            </w:r>
          </w:p>
        </w:tc>
      </w:tr>
      <w:tr w:rsidR="005D50B6" w:rsidRPr="00AA00FA" w14:paraId="0F92317F" w14:textId="77777777" w:rsidTr="00655C02">
        <w:trPr>
          <w:trHeight w:val="300"/>
        </w:trPr>
        <w:tc>
          <w:tcPr>
            <w:tcW w:w="0" w:type="auto"/>
            <w:shd w:val="clear" w:color="auto" w:fill="auto"/>
            <w:noWrap/>
            <w:hideMark/>
          </w:tcPr>
          <w:p w14:paraId="2FBA137B" w14:textId="77777777" w:rsidR="005D50B6" w:rsidRPr="00AA00FA" w:rsidRDefault="005D50B6" w:rsidP="005D50B6">
            <w:pPr>
              <w:rPr>
                <w:rFonts w:ascii="Calibri" w:hAnsi="Calibri" w:cs="Calibri"/>
                <w:color w:val="000000"/>
                <w:sz w:val="20"/>
                <w:szCs w:val="20"/>
              </w:rPr>
            </w:pPr>
            <w:r w:rsidRPr="00AA00FA">
              <w:rPr>
                <w:rFonts w:ascii="Calibri" w:hAnsi="Calibri" w:cs="Calibri"/>
                <w:color w:val="000000"/>
                <w:sz w:val="20"/>
                <w:szCs w:val="20"/>
              </w:rPr>
              <w:t>RUG-ADL eating = 1</w:t>
            </w:r>
          </w:p>
        </w:tc>
        <w:tc>
          <w:tcPr>
            <w:tcW w:w="0" w:type="auto"/>
            <w:shd w:val="clear" w:color="auto" w:fill="auto"/>
            <w:noWrap/>
            <w:vAlign w:val="bottom"/>
            <w:hideMark/>
          </w:tcPr>
          <w:p w14:paraId="108A26C2"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eating &lt;=4</w:t>
            </w:r>
          </w:p>
        </w:tc>
        <w:tc>
          <w:tcPr>
            <w:tcW w:w="0" w:type="auto"/>
            <w:shd w:val="clear" w:color="auto" w:fill="auto"/>
            <w:noWrap/>
            <w:vAlign w:val="bottom"/>
            <w:hideMark/>
          </w:tcPr>
          <w:p w14:paraId="1EFDA87C"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52</w:t>
            </w:r>
          </w:p>
        </w:tc>
        <w:tc>
          <w:tcPr>
            <w:tcW w:w="0" w:type="auto"/>
            <w:shd w:val="clear" w:color="auto" w:fill="auto"/>
            <w:noWrap/>
            <w:vAlign w:val="bottom"/>
            <w:hideMark/>
          </w:tcPr>
          <w:p w14:paraId="043565E2"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5%</w:t>
            </w:r>
          </w:p>
        </w:tc>
      </w:tr>
      <w:tr w:rsidR="005D50B6" w:rsidRPr="00AA00FA" w14:paraId="78731B3D" w14:textId="77777777" w:rsidTr="00655C02">
        <w:trPr>
          <w:trHeight w:val="300"/>
        </w:trPr>
        <w:tc>
          <w:tcPr>
            <w:tcW w:w="0" w:type="auto"/>
            <w:shd w:val="clear" w:color="auto" w:fill="auto"/>
            <w:noWrap/>
            <w:hideMark/>
          </w:tcPr>
          <w:p w14:paraId="768196EC"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grooming &gt;=6</w:t>
            </w:r>
          </w:p>
        </w:tc>
        <w:tc>
          <w:tcPr>
            <w:tcW w:w="0" w:type="auto"/>
            <w:shd w:val="clear" w:color="auto" w:fill="auto"/>
            <w:noWrap/>
            <w:vAlign w:val="bottom"/>
            <w:hideMark/>
          </w:tcPr>
          <w:p w14:paraId="6487C801"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dressing upper body &gt;=6</w:t>
            </w:r>
          </w:p>
        </w:tc>
        <w:tc>
          <w:tcPr>
            <w:tcW w:w="0" w:type="auto"/>
            <w:shd w:val="clear" w:color="auto" w:fill="auto"/>
            <w:noWrap/>
            <w:vAlign w:val="bottom"/>
            <w:hideMark/>
          </w:tcPr>
          <w:p w14:paraId="4810BA56"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236</w:t>
            </w:r>
          </w:p>
        </w:tc>
        <w:tc>
          <w:tcPr>
            <w:tcW w:w="0" w:type="auto"/>
            <w:shd w:val="clear" w:color="auto" w:fill="auto"/>
            <w:noWrap/>
            <w:vAlign w:val="bottom"/>
            <w:hideMark/>
          </w:tcPr>
          <w:p w14:paraId="44C94544"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62%</w:t>
            </w:r>
          </w:p>
        </w:tc>
      </w:tr>
      <w:tr w:rsidR="005D50B6" w:rsidRPr="00AA00FA" w14:paraId="3EE9673B" w14:textId="77777777" w:rsidTr="00655C02">
        <w:trPr>
          <w:trHeight w:val="300"/>
        </w:trPr>
        <w:tc>
          <w:tcPr>
            <w:tcW w:w="0" w:type="auto"/>
            <w:shd w:val="clear" w:color="auto" w:fill="auto"/>
            <w:noWrap/>
            <w:hideMark/>
          </w:tcPr>
          <w:p w14:paraId="72E8F5AF"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grooming &gt;=6</w:t>
            </w:r>
          </w:p>
        </w:tc>
        <w:tc>
          <w:tcPr>
            <w:tcW w:w="0" w:type="auto"/>
            <w:shd w:val="clear" w:color="auto" w:fill="auto"/>
            <w:noWrap/>
            <w:vAlign w:val="bottom"/>
            <w:hideMark/>
          </w:tcPr>
          <w:p w14:paraId="6E262498"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dressing upper body &lt;=5</w:t>
            </w:r>
          </w:p>
        </w:tc>
        <w:tc>
          <w:tcPr>
            <w:tcW w:w="0" w:type="auto"/>
            <w:shd w:val="clear" w:color="auto" w:fill="auto"/>
            <w:noWrap/>
            <w:vAlign w:val="bottom"/>
            <w:hideMark/>
          </w:tcPr>
          <w:p w14:paraId="4856DC52"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145</w:t>
            </w:r>
          </w:p>
        </w:tc>
        <w:tc>
          <w:tcPr>
            <w:tcW w:w="0" w:type="auto"/>
            <w:shd w:val="clear" w:color="auto" w:fill="auto"/>
            <w:noWrap/>
            <w:vAlign w:val="bottom"/>
            <w:hideMark/>
          </w:tcPr>
          <w:p w14:paraId="474F0E6E"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38%</w:t>
            </w:r>
          </w:p>
        </w:tc>
      </w:tr>
      <w:tr w:rsidR="005D50B6" w:rsidRPr="00AA00FA" w14:paraId="18975C80" w14:textId="77777777" w:rsidTr="00655C02">
        <w:trPr>
          <w:trHeight w:val="300"/>
        </w:trPr>
        <w:tc>
          <w:tcPr>
            <w:tcW w:w="0" w:type="auto"/>
            <w:shd w:val="clear" w:color="auto" w:fill="auto"/>
            <w:noWrap/>
            <w:hideMark/>
          </w:tcPr>
          <w:p w14:paraId="1B2A1109"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grooming &lt;=3</w:t>
            </w:r>
          </w:p>
        </w:tc>
        <w:tc>
          <w:tcPr>
            <w:tcW w:w="0" w:type="auto"/>
            <w:shd w:val="clear" w:color="auto" w:fill="auto"/>
            <w:noWrap/>
            <w:vAlign w:val="bottom"/>
            <w:hideMark/>
          </w:tcPr>
          <w:p w14:paraId="37DC4E80"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dressing upper body &lt;=3</w:t>
            </w:r>
          </w:p>
        </w:tc>
        <w:tc>
          <w:tcPr>
            <w:tcW w:w="0" w:type="auto"/>
            <w:shd w:val="clear" w:color="auto" w:fill="auto"/>
            <w:noWrap/>
            <w:vAlign w:val="bottom"/>
            <w:hideMark/>
          </w:tcPr>
          <w:p w14:paraId="19BC623D"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918</w:t>
            </w:r>
          </w:p>
        </w:tc>
        <w:tc>
          <w:tcPr>
            <w:tcW w:w="0" w:type="auto"/>
            <w:shd w:val="clear" w:color="auto" w:fill="auto"/>
            <w:noWrap/>
            <w:vAlign w:val="bottom"/>
            <w:hideMark/>
          </w:tcPr>
          <w:p w14:paraId="6B117A8D"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98%</w:t>
            </w:r>
          </w:p>
        </w:tc>
      </w:tr>
      <w:tr w:rsidR="005D50B6" w:rsidRPr="00AA00FA" w14:paraId="7B433335" w14:textId="77777777" w:rsidTr="00655C02">
        <w:trPr>
          <w:trHeight w:val="300"/>
        </w:trPr>
        <w:tc>
          <w:tcPr>
            <w:tcW w:w="0" w:type="auto"/>
            <w:shd w:val="clear" w:color="auto" w:fill="auto"/>
            <w:noWrap/>
            <w:hideMark/>
          </w:tcPr>
          <w:p w14:paraId="01C455EC"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grooming &lt;=3</w:t>
            </w:r>
          </w:p>
        </w:tc>
        <w:tc>
          <w:tcPr>
            <w:tcW w:w="0" w:type="auto"/>
            <w:shd w:val="clear" w:color="auto" w:fill="auto"/>
            <w:noWrap/>
            <w:vAlign w:val="bottom"/>
            <w:hideMark/>
          </w:tcPr>
          <w:p w14:paraId="6420F3C8"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dressing upper body &gt;=4</w:t>
            </w:r>
          </w:p>
        </w:tc>
        <w:tc>
          <w:tcPr>
            <w:tcW w:w="0" w:type="auto"/>
            <w:shd w:val="clear" w:color="auto" w:fill="auto"/>
            <w:noWrap/>
            <w:vAlign w:val="bottom"/>
            <w:hideMark/>
          </w:tcPr>
          <w:p w14:paraId="5F353093"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16</w:t>
            </w:r>
          </w:p>
        </w:tc>
        <w:tc>
          <w:tcPr>
            <w:tcW w:w="0" w:type="auto"/>
            <w:shd w:val="clear" w:color="auto" w:fill="auto"/>
            <w:noWrap/>
            <w:vAlign w:val="bottom"/>
            <w:hideMark/>
          </w:tcPr>
          <w:p w14:paraId="16955DFB"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2%</w:t>
            </w:r>
          </w:p>
        </w:tc>
      </w:tr>
      <w:tr w:rsidR="005D50B6" w:rsidRPr="00AA00FA" w14:paraId="0EBA0181" w14:textId="77777777" w:rsidTr="00655C02">
        <w:trPr>
          <w:trHeight w:val="300"/>
        </w:trPr>
        <w:tc>
          <w:tcPr>
            <w:tcW w:w="0" w:type="auto"/>
            <w:shd w:val="clear" w:color="auto" w:fill="auto"/>
            <w:noWrap/>
            <w:hideMark/>
          </w:tcPr>
          <w:p w14:paraId="5C106DF7"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self-care &lt;=12</w:t>
            </w:r>
          </w:p>
        </w:tc>
        <w:tc>
          <w:tcPr>
            <w:tcW w:w="0" w:type="auto"/>
            <w:shd w:val="clear" w:color="auto" w:fill="auto"/>
            <w:noWrap/>
            <w:vAlign w:val="bottom"/>
            <w:hideMark/>
          </w:tcPr>
          <w:p w14:paraId="7D57845A"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transfers + locomotion&lt;=12</w:t>
            </w:r>
          </w:p>
        </w:tc>
        <w:tc>
          <w:tcPr>
            <w:tcW w:w="0" w:type="auto"/>
            <w:shd w:val="clear" w:color="auto" w:fill="auto"/>
            <w:noWrap/>
            <w:vAlign w:val="bottom"/>
            <w:hideMark/>
          </w:tcPr>
          <w:p w14:paraId="217D78EB"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436</w:t>
            </w:r>
          </w:p>
        </w:tc>
        <w:tc>
          <w:tcPr>
            <w:tcW w:w="0" w:type="auto"/>
            <w:shd w:val="clear" w:color="auto" w:fill="auto"/>
            <w:noWrap/>
            <w:vAlign w:val="bottom"/>
            <w:hideMark/>
          </w:tcPr>
          <w:p w14:paraId="65948B89"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92%</w:t>
            </w:r>
          </w:p>
        </w:tc>
      </w:tr>
      <w:tr w:rsidR="005D50B6" w:rsidRPr="00AA00FA" w14:paraId="6DC83180" w14:textId="77777777" w:rsidTr="00D6251D">
        <w:trPr>
          <w:trHeight w:val="300"/>
        </w:trPr>
        <w:tc>
          <w:tcPr>
            <w:tcW w:w="0" w:type="auto"/>
            <w:shd w:val="clear" w:color="auto" w:fill="auto"/>
            <w:noWrap/>
            <w:vAlign w:val="bottom"/>
            <w:hideMark/>
          </w:tcPr>
          <w:p w14:paraId="10D87993" w14:textId="77777777" w:rsidR="005D50B6" w:rsidRPr="00AA00FA" w:rsidRDefault="005D50B6" w:rsidP="005D50B6">
            <w:pPr>
              <w:jc w:val="right"/>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self-care &lt;=12</w:t>
            </w:r>
          </w:p>
        </w:tc>
        <w:tc>
          <w:tcPr>
            <w:tcW w:w="0" w:type="auto"/>
            <w:shd w:val="clear" w:color="auto" w:fill="auto"/>
            <w:noWrap/>
            <w:vAlign w:val="bottom"/>
            <w:hideMark/>
          </w:tcPr>
          <w:p w14:paraId="5BBCA95C" w14:textId="77777777" w:rsidR="005D50B6" w:rsidRPr="00AA00FA" w:rsidRDefault="005D50B6" w:rsidP="005D50B6">
            <w:pPr>
              <w:rPr>
                <w:rFonts w:ascii="Calibri" w:hAnsi="Calibri" w:cs="Calibri"/>
                <w:color w:val="000000"/>
                <w:sz w:val="20"/>
                <w:szCs w:val="20"/>
              </w:rPr>
            </w:pPr>
            <w:r>
              <w:rPr>
                <w:rFonts w:ascii="Calibri" w:hAnsi="Calibri" w:cs="Calibri"/>
                <w:color w:val="000000"/>
                <w:sz w:val="20"/>
                <w:szCs w:val="20"/>
              </w:rPr>
              <w:t>AM-</w:t>
            </w:r>
            <w:r w:rsidRPr="00AA00FA">
              <w:rPr>
                <w:rFonts w:ascii="Calibri" w:hAnsi="Calibri" w:cs="Calibri"/>
                <w:color w:val="000000"/>
                <w:sz w:val="20"/>
                <w:szCs w:val="20"/>
              </w:rPr>
              <w:t>FIM transfers + locomotion&gt;=13</w:t>
            </w:r>
          </w:p>
        </w:tc>
        <w:tc>
          <w:tcPr>
            <w:tcW w:w="0" w:type="auto"/>
            <w:shd w:val="clear" w:color="auto" w:fill="auto"/>
            <w:noWrap/>
            <w:vAlign w:val="bottom"/>
            <w:hideMark/>
          </w:tcPr>
          <w:p w14:paraId="6FBA07A9"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38</w:t>
            </w:r>
          </w:p>
        </w:tc>
        <w:tc>
          <w:tcPr>
            <w:tcW w:w="0" w:type="auto"/>
            <w:shd w:val="clear" w:color="auto" w:fill="auto"/>
            <w:noWrap/>
            <w:vAlign w:val="bottom"/>
            <w:hideMark/>
          </w:tcPr>
          <w:p w14:paraId="4EC4C50C" w14:textId="77777777" w:rsidR="005D50B6" w:rsidRPr="00AA00FA" w:rsidRDefault="005D50B6" w:rsidP="005D50B6">
            <w:pPr>
              <w:jc w:val="right"/>
              <w:rPr>
                <w:rFonts w:ascii="Calibri" w:hAnsi="Calibri" w:cs="Calibri"/>
                <w:color w:val="000000"/>
                <w:sz w:val="20"/>
                <w:szCs w:val="20"/>
              </w:rPr>
            </w:pPr>
            <w:r w:rsidRPr="00AA00FA">
              <w:rPr>
                <w:rFonts w:ascii="Calibri" w:hAnsi="Calibri" w:cs="Calibri"/>
                <w:color w:val="000000"/>
                <w:sz w:val="20"/>
                <w:szCs w:val="20"/>
              </w:rPr>
              <w:t>8%</w:t>
            </w:r>
          </w:p>
        </w:tc>
      </w:tr>
    </w:tbl>
    <w:p w14:paraId="341FFB07" w14:textId="77777777" w:rsidR="00611842" w:rsidRDefault="00FC238F" w:rsidP="005D50B6">
      <w:pPr>
        <w:pStyle w:val="Normal-nospacing"/>
        <w:spacing w:before="240"/>
      </w:pPr>
      <w:r>
        <w:t xml:space="preserve">In summary, </w:t>
      </w:r>
      <w:r w:rsidR="0087750A">
        <w:t xml:space="preserve">the descriptive analysis reported in this </w:t>
      </w:r>
      <w:r w:rsidR="00655C02">
        <w:t>s</w:t>
      </w:r>
      <w:r w:rsidR="0087750A">
        <w:t xml:space="preserve">ection highlighted </w:t>
      </w:r>
      <w:r w:rsidR="00610884">
        <w:t xml:space="preserve">considerable </w:t>
      </w:r>
      <w:r w:rsidR="0087750A">
        <w:t>clinical variability between Study One residents.</w:t>
      </w:r>
      <w:r w:rsidR="00440CC8">
        <w:t xml:space="preserve"> </w:t>
      </w:r>
      <w:r w:rsidR="00610884">
        <w:t xml:space="preserve">There was substantial variation </w:t>
      </w:r>
      <w:r w:rsidR="00440CC8">
        <w:t xml:space="preserve">across the range of values in each instrument and good consistency between </w:t>
      </w:r>
      <w:r w:rsidR="00610884">
        <w:t xml:space="preserve">those </w:t>
      </w:r>
      <w:r w:rsidR="00440CC8">
        <w:t xml:space="preserve">domains </w:t>
      </w:r>
      <w:r w:rsidR="00610884">
        <w:t xml:space="preserve">measured </w:t>
      </w:r>
      <w:r w:rsidR="00440CC8">
        <w:t xml:space="preserve">in </w:t>
      </w:r>
      <w:r w:rsidR="00440CC8">
        <w:lastRenderedPageBreak/>
        <w:t>several tools.</w:t>
      </w:r>
      <w:r w:rsidR="00610884">
        <w:t xml:space="preserve"> </w:t>
      </w:r>
      <w:r w:rsidR="0087750A">
        <w:t xml:space="preserve">These results indicated that the </w:t>
      </w:r>
      <w:r>
        <w:t xml:space="preserve">instruments included in the </w:t>
      </w:r>
      <w:r w:rsidRPr="008E60C4">
        <w:t>RUCS Assessment Tool</w:t>
      </w:r>
      <w:r w:rsidR="0087750A">
        <w:t xml:space="preserve"> </w:t>
      </w:r>
      <w:r>
        <w:t xml:space="preserve">were suitable </w:t>
      </w:r>
      <w:r w:rsidR="0087750A">
        <w:t xml:space="preserve">for </w:t>
      </w:r>
      <w:r w:rsidR="00440CC8">
        <w:t xml:space="preserve">use </w:t>
      </w:r>
      <w:r w:rsidR="00664157">
        <w:t xml:space="preserve">in the </w:t>
      </w:r>
      <w:r>
        <w:t>classification development p</w:t>
      </w:r>
      <w:r w:rsidR="00664157">
        <w:t>rocess</w:t>
      </w:r>
      <w:r w:rsidR="00610884">
        <w:t xml:space="preserve"> </w:t>
      </w:r>
      <w:r w:rsidR="00664157">
        <w:t>outlined in Section</w:t>
      </w:r>
      <w:r w:rsidR="009174E5">
        <w:t xml:space="preserve"> 6</w:t>
      </w:r>
      <w:r w:rsidR="005D50B6">
        <w:t>.</w:t>
      </w:r>
    </w:p>
    <w:p w14:paraId="49EE1B60" w14:textId="77777777" w:rsidR="00B82914" w:rsidRPr="00FE46FD" w:rsidRDefault="00B82914">
      <w:pPr>
        <w:rPr>
          <w:sz w:val="4"/>
          <w:szCs w:val="4"/>
        </w:rPr>
      </w:pPr>
    </w:p>
    <w:p w14:paraId="4E9D17ED" w14:textId="77777777" w:rsidR="00447245" w:rsidRDefault="00447245" w:rsidP="0016396F">
      <w:pPr>
        <w:pStyle w:val="Heading1"/>
      </w:pPr>
      <w:bookmarkStart w:id="111" w:name="_Toc2070327"/>
      <w:r>
        <w:t>Classification development</w:t>
      </w:r>
      <w:bookmarkEnd w:id="61"/>
      <w:bookmarkEnd w:id="111"/>
    </w:p>
    <w:p w14:paraId="7BABC812" w14:textId="77777777" w:rsidR="00B414AA" w:rsidRDefault="001433EF" w:rsidP="00BF5ADC">
      <w:pPr>
        <w:spacing w:before="120" w:after="120"/>
        <w:rPr>
          <w:rFonts w:eastAsiaTheme="minorHAnsi" w:cstheme="minorBidi"/>
          <w:lang w:eastAsia="en-US"/>
        </w:rPr>
      </w:pPr>
      <w:r>
        <w:rPr>
          <w:rFonts w:eastAsiaTheme="minorHAnsi" w:cstheme="minorBidi"/>
          <w:lang w:eastAsia="en-US"/>
        </w:rPr>
        <w:t xml:space="preserve">The final </w:t>
      </w:r>
      <w:r w:rsidR="00D93F9D">
        <w:rPr>
          <w:rFonts w:eastAsiaTheme="minorHAnsi" w:cstheme="minorBidi"/>
          <w:lang w:eastAsia="en-US"/>
        </w:rPr>
        <w:t xml:space="preserve">component </w:t>
      </w:r>
      <w:r>
        <w:rPr>
          <w:rFonts w:eastAsiaTheme="minorHAnsi" w:cstheme="minorBidi"/>
          <w:lang w:eastAsia="en-US"/>
        </w:rPr>
        <w:t xml:space="preserve">of Study One involved </w:t>
      </w:r>
      <w:r w:rsidR="00AF26D6">
        <w:rPr>
          <w:rFonts w:eastAsiaTheme="minorHAnsi" w:cstheme="minorBidi"/>
          <w:lang w:eastAsia="en-US"/>
        </w:rPr>
        <w:t xml:space="preserve">generating </w:t>
      </w:r>
      <w:r w:rsidR="00D93F9D">
        <w:rPr>
          <w:rFonts w:eastAsiaTheme="minorHAnsi" w:cstheme="minorBidi"/>
          <w:lang w:eastAsia="en-US"/>
        </w:rPr>
        <w:t xml:space="preserve">a </w:t>
      </w:r>
      <w:r w:rsidR="00AF26D6">
        <w:rPr>
          <w:rFonts w:eastAsiaTheme="minorHAnsi" w:cstheme="minorBidi"/>
          <w:lang w:eastAsia="en-US"/>
        </w:rPr>
        <w:t xml:space="preserve">set of classes suitable for </w:t>
      </w:r>
      <w:r>
        <w:rPr>
          <w:rFonts w:eastAsiaTheme="minorHAnsi" w:cstheme="minorBidi"/>
          <w:lang w:eastAsia="en-US"/>
        </w:rPr>
        <w:t>classif</w:t>
      </w:r>
      <w:r w:rsidR="00AF26D6">
        <w:rPr>
          <w:rFonts w:eastAsiaTheme="minorHAnsi" w:cstheme="minorBidi"/>
          <w:lang w:eastAsia="en-US"/>
        </w:rPr>
        <w:t xml:space="preserve">ying and </w:t>
      </w:r>
      <w:r w:rsidR="00CB3434">
        <w:rPr>
          <w:rFonts w:eastAsiaTheme="minorHAnsi" w:cstheme="minorBidi"/>
          <w:lang w:eastAsia="en-US"/>
        </w:rPr>
        <w:t xml:space="preserve">funding </w:t>
      </w:r>
      <w:r w:rsidR="0022175E">
        <w:rPr>
          <w:rFonts w:eastAsiaTheme="minorHAnsi" w:cstheme="minorBidi"/>
          <w:lang w:eastAsia="en-US"/>
        </w:rPr>
        <w:t xml:space="preserve">purposes </w:t>
      </w:r>
      <w:r w:rsidR="0048023E">
        <w:rPr>
          <w:rFonts w:eastAsiaTheme="minorHAnsi" w:cstheme="minorBidi"/>
          <w:lang w:eastAsia="en-US"/>
        </w:rPr>
        <w:t xml:space="preserve">across </w:t>
      </w:r>
      <w:r>
        <w:rPr>
          <w:rFonts w:eastAsiaTheme="minorHAnsi" w:cstheme="minorBidi"/>
          <w:lang w:eastAsia="en-US"/>
        </w:rPr>
        <w:t xml:space="preserve">the Australian </w:t>
      </w:r>
      <w:r w:rsidR="00F52D18">
        <w:rPr>
          <w:rFonts w:eastAsiaTheme="minorHAnsi" w:cstheme="minorBidi"/>
          <w:lang w:eastAsia="en-US"/>
        </w:rPr>
        <w:t xml:space="preserve">residential </w:t>
      </w:r>
      <w:r>
        <w:rPr>
          <w:rFonts w:eastAsiaTheme="minorHAnsi" w:cstheme="minorBidi"/>
          <w:lang w:eastAsia="en-US"/>
        </w:rPr>
        <w:t>aged care sector.</w:t>
      </w:r>
      <w:r w:rsidR="00D93F9D">
        <w:rPr>
          <w:rFonts w:eastAsiaTheme="minorHAnsi" w:cstheme="minorBidi"/>
          <w:lang w:eastAsia="en-US"/>
        </w:rPr>
        <w:t xml:space="preserve"> </w:t>
      </w:r>
      <w:r w:rsidR="00BC1445">
        <w:rPr>
          <w:rFonts w:eastAsiaTheme="minorHAnsi" w:cstheme="minorBidi"/>
          <w:lang w:eastAsia="en-US"/>
        </w:rPr>
        <w:t xml:space="preserve">This </w:t>
      </w:r>
      <w:r w:rsidR="00534F50">
        <w:rPr>
          <w:rFonts w:eastAsiaTheme="minorHAnsi" w:cstheme="minorBidi"/>
          <w:lang w:eastAsia="en-US"/>
        </w:rPr>
        <w:t>s</w:t>
      </w:r>
      <w:r w:rsidR="00BC1445">
        <w:rPr>
          <w:rFonts w:eastAsiaTheme="minorHAnsi" w:cstheme="minorBidi"/>
          <w:lang w:eastAsia="en-US"/>
        </w:rPr>
        <w:t xml:space="preserve">ection </w:t>
      </w:r>
      <w:r w:rsidR="00D93F9D">
        <w:rPr>
          <w:rFonts w:eastAsiaTheme="minorHAnsi" w:cstheme="minorBidi"/>
          <w:lang w:eastAsia="en-US"/>
        </w:rPr>
        <w:t xml:space="preserve">briefly </w:t>
      </w:r>
      <w:r>
        <w:rPr>
          <w:rFonts w:eastAsiaTheme="minorHAnsi" w:cstheme="minorBidi"/>
          <w:lang w:eastAsia="en-US"/>
        </w:rPr>
        <w:t>outlines</w:t>
      </w:r>
      <w:r w:rsidR="00D84F0E">
        <w:rPr>
          <w:rFonts w:eastAsiaTheme="minorHAnsi" w:cstheme="minorBidi"/>
          <w:lang w:eastAsia="en-US"/>
        </w:rPr>
        <w:t xml:space="preserve"> </w:t>
      </w:r>
      <w:r w:rsidR="00AF26D6">
        <w:rPr>
          <w:rFonts w:eastAsiaTheme="minorHAnsi" w:cstheme="minorBidi"/>
          <w:lang w:eastAsia="en-US"/>
        </w:rPr>
        <w:t xml:space="preserve">the </w:t>
      </w:r>
      <w:r w:rsidR="00C40265">
        <w:rPr>
          <w:rFonts w:eastAsiaTheme="minorHAnsi" w:cstheme="minorBidi"/>
          <w:lang w:eastAsia="en-US"/>
        </w:rPr>
        <w:t xml:space="preserve">key design </w:t>
      </w:r>
      <w:r w:rsidR="00AF26D6">
        <w:rPr>
          <w:rFonts w:eastAsiaTheme="minorHAnsi" w:cstheme="minorBidi"/>
          <w:lang w:eastAsia="en-US"/>
        </w:rPr>
        <w:t>issues</w:t>
      </w:r>
      <w:r w:rsidR="00F52D18">
        <w:rPr>
          <w:rFonts w:eastAsiaTheme="minorHAnsi" w:cstheme="minorBidi"/>
          <w:lang w:eastAsia="en-US"/>
        </w:rPr>
        <w:t xml:space="preserve"> and</w:t>
      </w:r>
      <w:r w:rsidR="00A97516">
        <w:rPr>
          <w:rFonts w:eastAsiaTheme="minorHAnsi" w:cstheme="minorBidi"/>
          <w:lang w:eastAsia="en-US"/>
        </w:rPr>
        <w:t xml:space="preserve"> the methods applied in the statistical analysis</w:t>
      </w:r>
      <w:r w:rsidR="00534F50">
        <w:rPr>
          <w:rFonts w:eastAsiaTheme="minorHAnsi" w:cstheme="minorBidi"/>
          <w:lang w:eastAsia="en-US"/>
        </w:rPr>
        <w:t>. I</w:t>
      </w:r>
      <w:r w:rsidR="00F52D18">
        <w:rPr>
          <w:rFonts w:eastAsiaTheme="minorHAnsi" w:cstheme="minorBidi"/>
          <w:lang w:eastAsia="en-US"/>
        </w:rPr>
        <w:t>t then</w:t>
      </w:r>
      <w:r w:rsidR="00A97516">
        <w:rPr>
          <w:rFonts w:eastAsiaTheme="minorHAnsi" w:cstheme="minorBidi"/>
          <w:lang w:eastAsia="en-US"/>
        </w:rPr>
        <w:t xml:space="preserve"> presents Version 1</w:t>
      </w:r>
      <w:r w:rsidR="00B82914">
        <w:rPr>
          <w:rFonts w:eastAsiaTheme="minorHAnsi" w:cstheme="minorBidi"/>
          <w:lang w:eastAsia="en-US"/>
        </w:rPr>
        <w:t>.0</w:t>
      </w:r>
      <w:r w:rsidR="00A97516">
        <w:rPr>
          <w:rFonts w:eastAsiaTheme="minorHAnsi" w:cstheme="minorBidi"/>
          <w:lang w:eastAsia="en-US"/>
        </w:rPr>
        <w:t xml:space="preserve"> of the AN-ACC.</w:t>
      </w:r>
    </w:p>
    <w:p w14:paraId="082746BD" w14:textId="77777777" w:rsidR="00D93F9D" w:rsidRPr="00D93F9D" w:rsidRDefault="00DD3925" w:rsidP="00534F50">
      <w:pPr>
        <w:pStyle w:val="Heading2"/>
        <w:rPr>
          <w:rFonts w:eastAsiaTheme="minorHAnsi" w:cstheme="minorBidi"/>
          <w:lang w:eastAsia="en-US"/>
        </w:rPr>
      </w:pPr>
      <w:bookmarkStart w:id="112" w:name="_Toc2070328"/>
      <w:r>
        <w:rPr>
          <w:lang w:eastAsia="en-US"/>
        </w:rPr>
        <w:t>D</w:t>
      </w:r>
      <w:r w:rsidR="00D93F9D">
        <w:rPr>
          <w:lang w:eastAsia="en-US"/>
        </w:rPr>
        <w:t>esign principles</w:t>
      </w:r>
      <w:bookmarkEnd w:id="112"/>
    </w:p>
    <w:p w14:paraId="65D17F39" w14:textId="77777777" w:rsidR="00447245" w:rsidRDefault="00447245" w:rsidP="00BF5ADC">
      <w:pPr>
        <w:spacing w:before="120" w:after="120"/>
        <w:rPr>
          <w:rFonts w:eastAsiaTheme="minorHAnsi" w:cstheme="minorBidi"/>
          <w:lang w:eastAsia="en-US"/>
        </w:rPr>
      </w:pPr>
      <w:r w:rsidRPr="000B762D">
        <w:rPr>
          <w:rFonts w:eastAsiaTheme="minorHAnsi" w:cstheme="minorBidi"/>
          <w:lang w:eastAsia="en-US"/>
        </w:rPr>
        <w:t xml:space="preserve">Developing a casemix classification is an iterative process that involves data analysis and clinical consultation. </w:t>
      </w:r>
      <w:r>
        <w:rPr>
          <w:rFonts w:eastAsiaTheme="minorHAnsi" w:cstheme="minorBidi"/>
          <w:lang w:eastAsia="en-US"/>
        </w:rPr>
        <w:t>The following underlying principles are used when developing a classification.</w:t>
      </w:r>
    </w:p>
    <w:p w14:paraId="310AA13F" w14:textId="77777777" w:rsidR="00447245" w:rsidRPr="000B762D" w:rsidRDefault="00447245" w:rsidP="00BF5ADC">
      <w:pPr>
        <w:spacing w:before="120" w:after="120"/>
        <w:rPr>
          <w:rFonts w:eastAsiaTheme="minorHAnsi" w:cstheme="minorBidi"/>
          <w:lang w:eastAsia="en-US"/>
        </w:rPr>
      </w:pPr>
      <w:r>
        <w:rPr>
          <w:rFonts w:eastAsiaTheme="minorHAnsi" w:cstheme="minorBidi"/>
          <w:lang w:eastAsia="en-US"/>
        </w:rPr>
        <w:t>Classes should be:</w:t>
      </w:r>
    </w:p>
    <w:p w14:paraId="7FD8CB2B" w14:textId="77777777" w:rsidR="00B82914" w:rsidRPr="002171DD" w:rsidRDefault="00655C02" w:rsidP="00B82914">
      <w:pPr>
        <w:pStyle w:val="Bullets"/>
        <w:rPr>
          <w:rFonts w:eastAsiaTheme="minorHAnsi"/>
          <w:lang w:eastAsia="en-US"/>
        </w:rPr>
      </w:pPr>
      <w:r>
        <w:rPr>
          <w:rFonts w:eastAsiaTheme="minorHAnsi"/>
          <w:lang w:eastAsia="en-US"/>
        </w:rPr>
        <w:t>b</w:t>
      </w:r>
      <w:r w:rsidR="00B82914" w:rsidRPr="000B762D">
        <w:rPr>
          <w:rFonts w:eastAsiaTheme="minorHAnsi"/>
          <w:lang w:eastAsia="en-US"/>
        </w:rPr>
        <w:t xml:space="preserve">ased on characteristics of the </w:t>
      </w:r>
      <w:r w:rsidR="00B82914">
        <w:rPr>
          <w:rFonts w:eastAsiaTheme="minorHAnsi"/>
          <w:lang w:eastAsia="en-US"/>
        </w:rPr>
        <w:t>resident rather than the care they receive</w:t>
      </w:r>
      <w:r>
        <w:rPr>
          <w:rFonts w:eastAsiaTheme="minorHAnsi"/>
          <w:lang w:eastAsia="en-US"/>
        </w:rPr>
        <w:t xml:space="preserve"> or the unit where they reside</w:t>
      </w:r>
    </w:p>
    <w:p w14:paraId="3AF7364B" w14:textId="77777777" w:rsidR="00447245" w:rsidRPr="000B762D" w:rsidRDefault="00655C02" w:rsidP="00CF26D2">
      <w:pPr>
        <w:pStyle w:val="Bullets"/>
        <w:rPr>
          <w:rFonts w:eastAsiaTheme="minorHAnsi"/>
          <w:lang w:eastAsia="en-US"/>
        </w:rPr>
      </w:pPr>
      <w:r>
        <w:rPr>
          <w:rFonts w:eastAsiaTheme="minorHAnsi"/>
          <w:lang w:eastAsia="en-US"/>
        </w:rPr>
        <w:t>c</w:t>
      </w:r>
      <w:r w:rsidR="00447245" w:rsidRPr="000B762D">
        <w:rPr>
          <w:rFonts w:eastAsiaTheme="minorHAnsi"/>
          <w:lang w:eastAsia="en-US"/>
        </w:rPr>
        <w:t xml:space="preserve">omprehensive, mutually exclusive and consistent so that </w:t>
      </w:r>
      <w:r w:rsidR="00F52D18">
        <w:rPr>
          <w:rFonts w:eastAsiaTheme="minorHAnsi"/>
          <w:lang w:eastAsia="en-US"/>
        </w:rPr>
        <w:t>each resident can be classified to o</w:t>
      </w:r>
      <w:r w:rsidR="00534F50">
        <w:rPr>
          <w:rFonts w:eastAsiaTheme="minorHAnsi"/>
          <w:lang w:eastAsia="en-US"/>
        </w:rPr>
        <w:t>ne, and only one, class</w:t>
      </w:r>
    </w:p>
    <w:p w14:paraId="38EAB6E2" w14:textId="77777777" w:rsidR="00447245" w:rsidRPr="0028705D" w:rsidRDefault="00655C02" w:rsidP="00CF26D2">
      <w:pPr>
        <w:pStyle w:val="Bullets"/>
        <w:rPr>
          <w:rFonts w:eastAsiaTheme="minorHAnsi"/>
          <w:lang w:eastAsia="en-US"/>
        </w:rPr>
      </w:pPr>
      <w:r>
        <w:rPr>
          <w:rFonts w:eastAsiaTheme="minorHAnsi"/>
          <w:lang w:eastAsia="en-US"/>
        </w:rPr>
        <w:t>c</w:t>
      </w:r>
      <w:r w:rsidR="00447245" w:rsidRPr="0028705D">
        <w:rPr>
          <w:rFonts w:eastAsiaTheme="minorHAnsi"/>
          <w:lang w:eastAsia="en-US"/>
        </w:rPr>
        <w:t>linically meaningful so tha</w:t>
      </w:r>
      <w:r>
        <w:rPr>
          <w:rFonts w:eastAsiaTheme="minorHAnsi"/>
          <w:lang w:eastAsia="en-US"/>
        </w:rPr>
        <w:t>t they make sense to clinicians</w:t>
      </w:r>
    </w:p>
    <w:p w14:paraId="1F76DB90" w14:textId="77777777" w:rsidR="0028705D" w:rsidRPr="00CF26D2" w:rsidRDefault="00655C02" w:rsidP="002171DD">
      <w:pPr>
        <w:pStyle w:val="Bullets"/>
        <w:rPr>
          <w:rFonts w:eastAsiaTheme="minorHAnsi"/>
          <w:lang w:eastAsia="en-US"/>
        </w:rPr>
      </w:pPr>
      <w:r>
        <w:rPr>
          <w:rFonts w:eastAsiaTheme="minorHAnsi"/>
          <w:lang w:eastAsia="en-US"/>
        </w:rPr>
        <w:t>r</w:t>
      </w:r>
      <w:r w:rsidR="00447245">
        <w:rPr>
          <w:rFonts w:eastAsiaTheme="minorHAnsi"/>
          <w:lang w:eastAsia="en-US"/>
        </w:rPr>
        <w:t>esource-use homogeneous so that</w:t>
      </w:r>
      <w:r w:rsidR="00F52D18">
        <w:rPr>
          <w:rFonts w:eastAsiaTheme="minorHAnsi"/>
          <w:lang w:eastAsia="en-US"/>
        </w:rPr>
        <w:t>,</w:t>
      </w:r>
      <w:r w:rsidR="00447245">
        <w:rPr>
          <w:rFonts w:eastAsiaTheme="minorHAnsi"/>
          <w:lang w:eastAsia="en-US"/>
        </w:rPr>
        <w:t xml:space="preserve"> within a class</w:t>
      </w:r>
      <w:r w:rsidR="00F52D18">
        <w:rPr>
          <w:rFonts w:eastAsiaTheme="minorHAnsi"/>
          <w:lang w:eastAsia="en-US"/>
        </w:rPr>
        <w:t>,</w:t>
      </w:r>
      <w:r w:rsidR="00447245" w:rsidRPr="000B762D">
        <w:rPr>
          <w:rFonts w:eastAsiaTheme="minorHAnsi"/>
          <w:lang w:eastAsia="en-US"/>
        </w:rPr>
        <w:t xml:space="preserve"> the cost of caring for </w:t>
      </w:r>
      <w:r w:rsidR="00447245">
        <w:rPr>
          <w:rFonts w:eastAsiaTheme="minorHAnsi"/>
          <w:lang w:eastAsia="en-US"/>
        </w:rPr>
        <w:t>resident</w:t>
      </w:r>
      <w:r w:rsidR="005D50B6">
        <w:rPr>
          <w:rFonts w:eastAsiaTheme="minorHAnsi"/>
          <w:lang w:eastAsia="en-US"/>
        </w:rPr>
        <w:t>s is roughly the same.</w:t>
      </w:r>
    </w:p>
    <w:p w14:paraId="2DD1E686" w14:textId="77777777" w:rsidR="00D93F9D" w:rsidRDefault="00447245" w:rsidP="00FE46FD">
      <w:pPr>
        <w:pStyle w:val="Normal-nospacing"/>
      </w:pPr>
      <w:r w:rsidRPr="0046547F">
        <w:t>In addition, the classification should be administratively and operationally feasible</w:t>
      </w:r>
      <w:r>
        <w:t xml:space="preserve">. It should be </w:t>
      </w:r>
      <w:r w:rsidRPr="0046547F">
        <w:t xml:space="preserve">flexible enough to allow improvements when required to accommodate changes in practice, technological advances or the identification of new cost drivers. Moreover, its application should not </w:t>
      </w:r>
      <w:r w:rsidR="00F52D18">
        <w:t>create perverse incentives</w:t>
      </w:r>
      <w:r w:rsidRPr="0046547F">
        <w:t>.</w:t>
      </w:r>
    </w:p>
    <w:p w14:paraId="688579E5" w14:textId="77777777" w:rsidR="00447245" w:rsidRDefault="00447245" w:rsidP="00FE46FD">
      <w:pPr>
        <w:pStyle w:val="Normal-nospacing"/>
        <w:rPr>
          <w:rFonts w:cstheme="minorBidi"/>
          <w:lang w:eastAsia="en-US"/>
        </w:rPr>
      </w:pPr>
      <w:r w:rsidRPr="00131B39">
        <w:rPr>
          <w:rFonts w:cstheme="minorBidi"/>
          <w:lang w:eastAsia="en-US"/>
        </w:rPr>
        <w:t>‘Classification and Regression Trees’ (CART) is an umbrella term that refers to a type of decision tree algorithm that can be used to generate classification or regression tree predictive models. The CART procedure predicts val</w:t>
      </w:r>
      <w:r w:rsidR="00F52D18">
        <w:rPr>
          <w:rFonts w:cstheme="minorBidi"/>
          <w:lang w:eastAsia="en-US"/>
        </w:rPr>
        <w:t>ues of the dependent variable (</w:t>
      </w:r>
      <w:r w:rsidRPr="00131B39">
        <w:rPr>
          <w:rFonts w:cstheme="minorBidi"/>
          <w:lang w:eastAsia="en-US"/>
        </w:rPr>
        <w:t xml:space="preserve">resource utilisation) based on the values of independent variables (resident characteristics). In this study, the CART regression tree algorithm was used to develop </w:t>
      </w:r>
      <w:r>
        <w:rPr>
          <w:rFonts w:cstheme="minorBidi"/>
          <w:lang w:eastAsia="en-US"/>
        </w:rPr>
        <w:t>a casemix classification</w:t>
      </w:r>
      <w:r w:rsidRPr="00131B39">
        <w:rPr>
          <w:rFonts w:cstheme="minorBidi"/>
          <w:lang w:eastAsia="en-US"/>
        </w:rPr>
        <w:t xml:space="preserve"> for residents</w:t>
      </w:r>
      <w:r>
        <w:rPr>
          <w:rFonts w:cstheme="minorBidi"/>
          <w:lang w:eastAsia="en-US"/>
        </w:rPr>
        <w:t xml:space="preserve"> of aged care facilities</w:t>
      </w:r>
      <w:r w:rsidRPr="00131B39">
        <w:rPr>
          <w:rFonts w:cstheme="minorBidi"/>
          <w:lang w:eastAsia="en-US"/>
        </w:rPr>
        <w:t xml:space="preserve">. The </w:t>
      </w:r>
      <w:r w:rsidR="00C1511F">
        <w:rPr>
          <w:rFonts w:cstheme="minorBidi"/>
          <w:lang w:eastAsia="en-US"/>
        </w:rPr>
        <w:t xml:space="preserve">primary </w:t>
      </w:r>
      <w:r w:rsidRPr="00131B39">
        <w:rPr>
          <w:rFonts w:cstheme="minorBidi"/>
          <w:lang w:eastAsia="en-US"/>
        </w:rPr>
        <w:t>statistical software package used to perform this analysis was SPSS.</w:t>
      </w:r>
    </w:p>
    <w:p w14:paraId="63A23083" w14:textId="77777777" w:rsidR="002171DD" w:rsidRPr="002171DD" w:rsidRDefault="002171DD" w:rsidP="00FE46FD">
      <w:pPr>
        <w:pStyle w:val="Normal-nospacing"/>
        <w:rPr>
          <w:rFonts w:cstheme="minorBidi"/>
          <w:lang w:eastAsia="en-US"/>
        </w:rPr>
      </w:pPr>
      <w:r w:rsidRPr="008845F7">
        <w:rPr>
          <w:rFonts w:cstheme="minorBidi"/>
          <w:lang w:eastAsia="en-US"/>
        </w:rPr>
        <w:t>The performance of a casemix classification can be assessed by the reduction in variation (RIV)</w:t>
      </w:r>
      <w:r w:rsidR="00824F3A">
        <w:rPr>
          <w:rFonts w:cstheme="minorBidi"/>
          <w:lang w:eastAsia="en-US"/>
        </w:rPr>
        <w:t xml:space="preserve"> </w:t>
      </w:r>
      <w:r w:rsidRPr="008845F7">
        <w:rPr>
          <w:rFonts w:cstheme="minorBidi"/>
          <w:lang w:eastAsia="en-US"/>
        </w:rPr>
        <w:t>or</w:t>
      </w:r>
      <w:r w:rsidR="00D7532D">
        <w:rPr>
          <w:rFonts w:cstheme="minorBidi"/>
          <w:lang w:eastAsia="en-US"/>
        </w:rPr>
        <w:t xml:space="preserve"> </w:t>
      </w:r>
      <m:oMath>
        <m:sSup>
          <m:sSupPr>
            <m:ctrlPr>
              <w:rPr>
                <w:rFonts w:ascii="Cambria Math" w:hAnsi="Cambria Math" w:cstheme="minorBidi"/>
                <w:i/>
                <w:lang w:eastAsia="en-US"/>
              </w:rPr>
            </m:ctrlPr>
          </m:sSupPr>
          <m:e>
            <m:r>
              <w:rPr>
                <w:rFonts w:ascii="Cambria Math" w:hAnsi="Cambria Math" w:cstheme="minorBidi"/>
                <w:lang w:eastAsia="en-US"/>
              </w:rPr>
              <m:t>R</m:t>
            </m:r>
          </m:e>
          <m:sup>
            <m:r>
              <w:rPr>
                <w:rFonts w:ascii="Cambria Math" w:hAnsi="Cambria Math" w:cstheme="minorBidi"/>
                <w:lang w:eastAsia="en-US"/>
              </w:rPr>
              <m:t>2</m:t>
            </m:r>
          </m:sup>
        </m:sSup>
      </m:oMath>
      <w:r w:rsidRPr="008845F7">
        <w:rPr>
          <w:rFonts w:cstheme="minorBidi"/>
          <w:lang w:eastAsia="en-US"/>
        </w:rPr>
        <w:t>. The RIV is the proportion of the variation in the dependent variable (resource utilisation) that is predicted by the classification model.</w:t>
      </w:r>
      <w:r w:rsidR="00F528A2">
        <w:rPr>
          <w:rFonts w:cstheme="minorBidi"/>
          <w:lang w:eastAsia="en-US"/>
        </w:rPr>
        <w:t xml:space="preserve"> </w:t>
      </w:r>
      <w:r w:rsidRPr="008845F7">
        <w:rPr>
          <w:rFonts w:cstheme="minorBidi"/>
          <w:lang w:eastAsia="en-US"/>
        </w:rPr>
        <w:t>A high RIV indicates that the classification ‘explains’ a high proportion of the variation in the dependent variable, and is considered better than a classification with a low RIV. The RIV should not be the only measure used to evaluate the performance of a classification model since it must also be clinically sensible.</w:t>
      </w:r>
    </w:p>
    <w:p w14:paraId="602C0820" w14:textId="77777777" w:rsidR="00C40265" w:rsidRPr="00547B4B" w:rsidRDefault="00C40265" w:rsidP="00FE46FD">
      <w:pPr>
        <w:pStyle w:val="Normal-nospacing"/>
      </w:pPr>
      <w:r>
        <w:lastRenderedPageBreak/>
        <w:t>Relative value units (RVUs) measure the relative resource utilisation between different resident groups. The RVU is based on the mean resource utilisation for each class of the classification. An RVU of 1 is given to the overall mean resource utilisation for all residents, and the RVU of each class is calculated as relative to the overall mean. For example, a class with an RVU of 2 indicates that the class has twice the resource utilisation when compared to the overall mean, and a class with an RVU of 0.5 has half the resource utilisation.</w:t>
      </w:r>
    </w:p>
    <w:p w14:paraId="14409B1B" w14:textId="442031B3" w:rsidR="00C40265" w:rsidRPr="00FD01BF" w:rsidRDefault="00C40265" w:rsidP="00534F50">
      <w:pPr>
        <w:pStyle w:val="Heading2"/>
      </w:pPr>
      <w:bookmarkStart w:id="113" w:name="_Toc2070329"/>
      <w:r>
        <w:t>Classification development approach</w:t>
      </w:r>
      <w:bookmarkEnd w:id="113"/>
    </w:p>
    <w:p w14:paraId="0D8B085E" w14:textId="77777777" w:rsidR="002106A8" w:rsidRDefault="00C40265" w:rsidP="0016396F">
      <w:pPr>
        <w:pStyle w:val="Heading3"/>
      </w:pPr>
      <w:r>
        <w:t>The unit of counting</w:t>
      </w:r>
    </w:p>
    <w:p w14:paraId="29CCC269" w14:textId="77777777" w:rsidR="00447245" w:rsidRDefault="00447245" w:rsidP="00FE46FD">
      <w:pPr>
        <w:pStyle w:val="Normal-nospacing"/>
      </w:pPr>
      <w:r w:rsidRPr="002F1423">
        <w:t>The unit of counting used for the class</w:t>
      </w:r>
      <w:r w:rsidR="00AF26D6">
        <w:t xml:space="preserve"> finding </w:t>
      </w:r>
      <w:r w:rsidRPr="002F1423">
        <w:t xml:space="preserve">was the average </w:t>
      </w:r>
      <w:r w:rsidR="00C40265">
        <w:t xml:space="preserve">number of </w:t>
      </w:r>
      <w:r>
        <w:t xml:space="preserve">minutes </w:t>
      </w:r>
      <w:r w:rsidRPr="002F1423">
        <w:t xml:space="preserve">of individual care </w:t>
      </w:r>
      <w:r>
        <w:t xml:space="preserve">received </w:t>
      </w:r>
      <w:r w:rsidRPr="002F1423">
        <w:t xml:space="preserve">per resident per day. </w:t>
      </w:r>
      <w:r>
        <w:t>Minutes of i</w:t>
      </w:r>
      <w:r w:rsidRPr="002F1423">
        <w:t xml:space="preserve">ndividual care was </w:t>
      </w:r>
      <w:r>
        <w:t xml:space="preserve">collected as part of </w:t>
      </w:r>
      <w:r w:rsidRPr="002F1423">
        <w:t xml:space="preserve">the </w:t>
      </w:r>
      <w:r w:rsidR="00A05BD0">
        <w:t xml:space="preserve">service </w:t>
      </w:r>
      <w:r w:rsidRPr="002F1423">
        <w:t>utilisation data collection</w:t>
      </w:r>
      <w:r>
        <w:t xml:space="preserve"> </w:t>
      </w:r>
      <w:r w:rsidRPr="002F1423">
        <w:t xml:space="preserve">and was readily available for analysis. It was considered an appropriate proxy for cost per resident per day given that care staff salaries are the </w:t>
      </w:r>
      <w:r w:rsidR="00A05BD0">
        <w:t xml:space="preserve">largest </w:t>
      </w:r>
      <w:r w:rsidRPr="002F1423">
        <w:t xml:space="preserve">contributor to the costs of </w:t>
      </w:r>
      <w:r w:rsidR="00A05BD0">
        <w:t xml:space="preserve">operating </w:t>
      </w:r>
      <w:r w:rsidR="005D50B6">
        <w:t>aged care facilities.</w:t>
      </w:r>
    </w:p>
    <w:p w14:paraId="2F4AFBD4" w14:textId="77777777" w:rsidR="00447245" w:rsidRDefault="00447245" w:rsidP="0016396F">
      <w:pPr>
        <w:pStyle w:val="Heading3"/>
      </w:pPr>
      <w:bookmarkStart w:id="114" w:name="_Toc528685418"/>
      <w:r>
        <w:t>Resident characteristics of interest</w:t>
      </w:r>
      <w:bookmarkEnd w:id="114"/>
    </w:p>
    <w:p w14:paraId="6AABCB01" w14:textId="77777777" w:rsidR="00447245" w:rsidRDefault="00447245" w:rsidP="00B414AA">
      <w:pPr>
        <w:spacing w:before="120" w:after="120"/>
        <w:rPr>
          <w:rFonts w:eastAsiaTheme="minorHAnsi" w:cstheme="minorBidi"/>
          <w:lang w:eastAsia="en-US"/>
        </w:rPr>
      </w:pPr>
      <w:r>
        <w:rPr>
          <w:rFonts w:eastAsiaTheme="minorHAnsi" w:cstheme="minorBidi"/>
          <w:lang w:eastAsia="en-US"/>
        </w:rPr>
        <w:t xml:space="preserve">The resident characteristics of interest (or independent variables) considered for classification development </w:t>
      </w:r>
      <w:r w:rsidR="009553D8">
        <w:rPr>
          <w:rFonts w:eastAsiaTheme="minorHAnsi" w:cstheme="minorBidi"/>
          <w:lang w:eastAsia="en-US"/>
        </w:rPr>
        <w:t xml:space="preserve">were drawn from the resident assessment instrument and </w:t>
      </w:r>
      <w:r>
        <w:rPr>
          <w:rFonts w:eastAsiaTheme="minorHAnsi" w:cstheme="minorBidi"/>
          <w:lang w:eastAsia="en-US"/>
        </w:rPr>
        <w:t>include</w:t>
      </w:r>
      <w:r w:rsidR="009553D8">
        <w:rPr>
          <w:rFonts w:eastAsiaTheme="minorHAnsi" w:cstheme="minorBidi"/>
          <w:lang w:eastAsia="en-US"/>
        </w:rPr>
        <w:t>d</w:t>
      </w:r>
      <w:r>
        <w:rPr>
          <w:rFonts w:eastAsiaTheme="minorHAnsi" w:cstheme="minorBidi"/>
          <w:lang w:eastAsia="en-US"/>
        </w:rPr>
        <w:t>:</w:t>
      </w:r>
    </w:p>
    <w:p w14:paraId="5B97E125" w14:textId="77777777" w:rsidR="00447245" w:rsidRDefault="000B4675" w:rsidP="00CF26D2">
      <w:pPr>
        <w:pStyle w:val="Bullets"/>
        <w:rPr>
          <w:rFonts w:eastAsiaTheme="minorHAnsi"/>
          <w:lang w:eastAsia="en-US"/>
        </w:rPr>
      </w:pPr>
      <w:r>
        <w:rPr>
          <w:rFonts w:eastAsiaTheme="minorHAnsi"/>
          <w:lang w:eastAsia="en-US"/>
        </w:rPr>
        <w:t>a</w:t>
      </w:r>
      <w:r w:rsidR="00534F50">
        <w:rPr>
          <w:rFonts w:eastAsiaTheme="minorHAnsi"/>
          <w:lang w:eastAsia="en-US"/>
        </w:rPr>
        <w:t>ge</w:t>
      </w:r>
    </w:p>
    <w:p w14:paraId="6CA524FA" w14:textId="77777777" w:rsidR="00447245" w:rsidRDefault="000B4675" w:rsidP="00CF26D2">
      <w:pPr>
        <w:pStyle w:val="Bullets"/>
        <w:rPr>
          <w:rFonts w:eastAsiaTheme="minorHAnsi"/>
          <w:lang w:eastAsia="en-US"/>
        </w:rPr>
      </w:pPr>
      <w:r>
        <w:rPr>
          <w:rFonts w:eastAsiaTheme="minorHAnsi"/>
          <w:lang w:eastAsia="en-US"/>
        </w:rPr>
        <w:t>t</w:t>
      </w:r>
      <w:r w:rsidR="00447245">
        <w:rPr>
          <w:rFonts w:eastAsiaTheme="minorHAnsi"/>
          <w:lang w:eastAsia="en-US"/>
        </w:rPr>
        <w:t>ime in care (&lt; 3 months, 3-6 months, &gt;6 months)</w:t>
      </w:r>
    </w:p>
    <w:p w14:paraId="1688712D" w14:textId="77777777" w:rsidR="00447245" w:rsidRDefault="00447245" w:rsidP="00CF26D2">
      <w:pPr>
        <w:pStyle w:val="Bullets"/>
        <w:rPr>
          <w:rFonts w:eastAsiaTheme="minorHAnsi"/>
          <w:lang w:eastAsia="en-US"/>
        </w:rPr>
      </w:pPr>
      <w:r>
        <w:rPr>
          <w:rFonts w:eastAsiaTheme="minorHAnsi"/>
          <w:lang w:eastAsia="en-US"/>
        </w:rPr>
        <w:t>Indigenous status</w:t>
      </w:r>
    </w:p>
    <w:p w14:paraId="0B6A839F" w14:textId="77777777" w:rsidR="00447245" w:rsidRDefault="000B4675" w:rsidP="00CF26D2">
      <w:pPr>
        <w:pStyle w:val="Bullets"/>
        <w:rPr>
          <w:rFonts w:eastAsiaTheme="minorHAnsi"/>
          <w:lang w:eastAsia="en-US"/>
        </w:rPr>
      </w:pPr>
      <w:r>
        <w:rPr>
          <w:rFonts w:eastAsiaTheme="minorHAnsi"/>
          <w:lang w:eastAsia="en-US"/>
        </w:rPr>
        <w:t>o</w:t>
      </w:r>
      <w:r w:rsidR="00447245">
        <w:rPr>
          <w:rFonts w:eastAsiaTheme="minorHAnsi"/>
          <w:lang w:eastAsia="en-US"/>
        </w:rPr>
        <w:t xml:space="preserve">besity </w:t>
      </w:r>
      <w:r w:rsidR="007258E0">
        <w:rPr>
          <w:rFonts w:eastAsiaTheme="minorHAnsi"/>
          <w:lang w:eastAsia="en-US"/>
        </w:rPr>
        <w:t>flag</w:t>
      </w:r>
    </w:p>
    <w:p w14:paraId="10482E0D" w14:textId="77777777" w:rsidR="00447245" w:rsidRDefault="000B4675" w:rsidP="00CF26D2">
      <w:pPr>
        <w:pStyle w:val="Bullets"/>
        <w:rPr>
          <w:rFonts w:eastAsiaTheme="minorHAnsi"/>
          <w:lang w:eastAsia="en-US"/>
        </w:rPr>
      </w:pPr>
      <w:r>
        <w:rPr>
          <w:rFonts w:eastAsiaTheme="minorHAnsi"/>
          <w:lang w:eastAsia="en-US"/>
        </w:rPr>
        <w:t>t</w:t>
      </w:r>
      <w:r w:rsidR="00447245">
        <w:rPr>
          <w:rFonts w:eastAsiaTheme="minorHAnsi"/>
          <w:lang w:eastAsia="en-US"/>
        </w:rPr>
        <w:t>echnical nursing requirements (individual items)</w:t>
      </w:r>
    </w:p>
    <w:p w14:paraId="3C1B608B" w14:textId="77777777" w:rsidR="00447245" w:rsidRDefault="00447245" w:rsidP="00CF26D2">
      <w:pPr>
        <w:pStyle w:val="Bullets"/>
        <w:rPr>
          <w:rFonts w:eastAsiaTheme="minorHAnsi"/>
          <w:lang w:eastAsia="en-US"/>
        </w:rPr>
      </w:pPr>
      <w:r>
        <w:rPr>
          <w:rFonts w:eastAsiaTheme="minorHAnsi"/>
          <w:lang w:eastAsia="en-US"/>
        </w:rPr>
        <w:t>AKPS score</w:t>
      </w:r>
    </w:p>
    <w:p w14:paraId="01539AB4" w14:textId="77777777" w:rsidR="00447245" w:rsidRDefault="00447245" w:rsidP="00CF26D2">
      <w:pPr>
        <w:pStyle w:val="Bullets"/>
        <w:rPr>
          <w:rFonts w:eastAsiaTheme="minorHAnsi"/>
          <w:lang w:eastAsia="en-US"/>
        </w:rPr>
      </w:pPr>
      <w:r>
        <w:rPr>
          <w:rFonts w:eastAsiaTheme="minorHAnsi"/>
          <w:lang w:eastAsia="en-US"/>
        </w:rPr>
        <w:t>Rockwood score</w:t>
      </w:r>
    </w:p>
    <w:p w14:paraId="7F629592" w14:textId="77777777" w:rsidR="00447245" w:rsidRDefault="000B4675" w:rsidP="00CF26D2">
      <w:pPr>
        <w:pStyle w:val="Bullets"/>
        <w:rPr>
          <w:rFonts w:eastAsiaTheme="minorHAnsi"/>
          <w:lang w:eastAsia="en-US"/>
        </w:rPr>
      </w:pPr>
      <w:r>
        <w:rPr>
          <w:rFonts w:eastAsiaTheme="minorHAnsi"/>
          <w:lang w:eastAsia="en-US"/>
        </w:rPr>
        <w:t>f</w:t>
      </w:r>
      <w:r w:rsidR="00447245">
        <w:rPr>
          <w:rFonts w:eastAsiaTheme="minorHAnsi"/>
          <w:lang w:eastAsia="en-US"/>
        </w:rPr>
        <w:t>alls in the last 12 months flag</w:t>
      </w:r>
    </w:p>
    <w:p w14:paraId="04110C5D" w14:textId="77777777" w:rsidR="00447245" w:rsidRDefault="000B4675" w:rsidP="00CF26D2">
      <w:pPr>
        <w:pStyle w:val="Bullets"/>
        <w:rPr>
          <w:rFonts w:eastAsiaTheme="minorHAnsi"/>
          <w:lang w:eastAsia="en-US"/>
        </w:rPr>
      </w:pPr>
      <w:r>
        <w:rPr>
          <w:rFonts w:eastAsiaTheme="minorHAnsi"/>
          <w:lang w:eastAsia="en-US"/>
        </w:rPr>
        <w:t>w</w:t>
      </w:r>
      <w:r w:rsidR="00447245">
        <w:rPr>
          <w:rFonts w:eastAsiaTheme="minorHAnsi"/>
          <w:lang w:eastAsia="en-US"/>
        </w:rPr>
        <w:t>eight loss flag</w:t>
      </w:r>
    </w:p>
    <w:p w14:paraId="1D13F047" w14:textId="77777777" w:rsidR="00447245" w:rsidRDefault="00F52D18" w:rsidP="00CF26D2">
      <w:pPr>
        <w:pStyle w:val="Bullets"/>
        <w:rPr>
          <w:rFonts w:eastAsiaTheme="minorHAnsi"/>
          <w:lang w:eastAsia="en-US"/>
        </w:rPr>
      </w:pPr>
      <w:r>
        <w:rPr>
          <w:rFonts w:eastAsiaTheme="minorHAnsi"/>
          <w:lang w:eastAsia="en-US"/>
        </w:rPr>
        <w:t>AM-</w:t>
      </w:r>
      <w:r w:rsidR="00447245">
        <w:rPr>
          <w:rFonts w:eastAsiaTheme="minorHAnsi"/>
          <w:lang w:eastAsia="en-US"/>
        </w:rPr>
        <w:t>FIM scores (including individual items and all subscales)</w:t>
      </w:r>
    </w:p>
    <w:p w14:paraId="20F598E1" w14:textId="77777777" w:rsidR="00447245" w:rsidRDefault="00447245" w:rsidP="00CF26D2">
      <w:pPr>
        <w:pStyle w:val="Bullets"/>
        <w:rPr>
          <w:rFonts w:eastAsiaTheme="minorHAnsi"/>
          <w:lang w:eastAsia="en-US"/>
        </w:rPr>
      </w:pPr>
      <w:r>
        <w:rPr>
          <w:rFonts w:eastAsiaTheme="minorHAnsi"/>
          <w:lang w:eastAsia="en-US"/>
        </w:rPr>
        <w:t>NPI-NH (including individual items and a disruptiveness measure)</w:t>
      </w:r>
    </w:p>
    <w:p w14:paraId="08F6B55A" w14:textId="77777777" w:rsidR="00447245" w:rsidRDefault="00F52D18" w:rsidP="00CF26D2">
      <w:pPr>
        <w:pStyle w:val="Bullets"/>
        <w:rPr>
          <w:rFonts w:eastAsiaTheme="minorHAnsi"/>
          <w:lang w:eastAsia="en-US"/>
        </w:rPr>
      </w:pPr>
      <w:r>
        <w:rPr>
          <w:rFonts w:eastAsiaTheme="minorHAnsi"/>
          <w:lang w:eastAsia="en-US"/>
        </w:rPr>
        <w:t>modified</w:t>
      </w:r>
      <w:r w:rsidR="00447245">
        <w:rPr>
          <w:rFonts w:eastAsiaTheme="minorHAnsi"/>
          <w:lang w:eastAsia="en-US"/>
        </w:rPr>
        <w:t xml:space="preserve"> DEMMI total</w:t>
      </w:r>
    </w:p>
    <w:p w14:paraId="7B97E75A" w14:textId="77777777" w:rsidR="00447245" w:rsidRDefault="00447245" w:rsidP="00CF26D2">
      <w:pPr>
        <w:pStyle w:val="Bullets"/>
        <w:rPr>
          <w:rFonts w:eastAsiaTheme="minorHAnsi"/>
          <w:lang w:eastAsia="en-US"/>
        </w:rPr>
      </w:pPr>
      <w:r>
        <w:rPr>
          <w:rFonts w:eastAsiaTheme="minorHAnsi"/>
          <w:lang w:eastAsia="en-US"/>
        </w:rPr>
        <w:t>RUG</w:t>
      </w:r>
      <w:r w:rsidR="00F52D18">
        <w:rPr>
          <w:rFonts w:eastAsiaTheme="minorHAnsi"/>
          <w:lang w:eastAsia="en-US"/>
        </w:rPr>
        <w:t>-ADL</w:t>
      </w:r>
      <w:r>
        <w:rPr>
          <w:rFonts w:eastAsiaTheme="minorHAnsi"/>
          <w:lang w:eastAsia="en-US"/>
        </w:rPr>
        <w:t xml:space="preserve"> (including individual items and total)</w:t>
      </w:r>
    </w:p>
    <w:p w14:paraId="0D93679A" w14:textId="77777777" w:rsidR="00447245" w:rsidRPr="00131B39" w:rsidRDefault="00447245" w:rsidP="00CF26D2">
      <w:pPr>
        <w:pStyle w:val="Bullets"/>
        <w:rPr>
          <w:rFonts w:eastAsiaTheme="minorHAnsi"/>
          <w:lang w:eastAsia="en-US"/>
        </w:rPr>
      </w:pPr>
      <w:r>
        <w:rPr>
          <w:rFonts w:eastAsiaTheme="minorHAnsi"/>
          <w:lang w:eastAsia="en-US"/>
        </w:rPr>
        <w:t>Braden scores (individual items and total)</w:t>
      </w:r>
      <w:r w:rsidR="003F465D">
        <w:rPr>
          <w:rFonts w:eastAsiaTheme="minorHAnsi"/>
          <w:lang w:eastAsia="en-US"/>
        </w:rPr>
        <w:t>.</w:t>
      </w:r>
    </w:p>
    <w:p w14:paraId="6AFA34D1" w14:textId="77777777" w:rsidR="00447245" w:rsidRPr="008845F7" w:rsidRDefault="00447245" w:rsidP="00B414AA">
      <w:pPr>
        <w:spacing w:before="120" w:after="120"/>
      </w:pPr>
      <w:r w:rsidRPr="006D5BF5">
        <w:t xml:space="preserve">For the lower branches </w:t>
      </w:r>
      <w:r w:rsidR="006D5BF5">
        <w:t>in t</w:t>
      </w:r>
      <w:r w:rsidRPr="006D5BF5">
        <w:t>he classification</w:t>
      </w:r>
      <w:r w:rsidR="006D5BF5">
        <w:t xml:space="preserve">, </w:t>
      </w:r>
      <w:r w:rsidRPr="006D5BF5">
        <w:t xml:space="preserve">multiple linear regression analysis was used to </w:t>
      </w:r>
      <w:r w:rsidR="006D5BF5">
        <w:t xml:space="preserve">identify </w:t>
      </w:r>
      <w:r w:rsidRPr="006D5BF5">
        <w:t>variables</w:t>
      </w:r>
      <w:r w:rsidR="006D5BF5">
        <w:t xml:space="preserve"> to </w:t>
      </w:r>
      <w:r w:rsidRPr="006D5BF5">
        <w:t>in</w:t>
      </w:r>
      <w:r w:rsidR="006D5BF5">
        <w:t xml:space="preserve">clude in </w:t>
      </w:r>
      <w:r w:rsidRPr="006D5BF5">
        <w:t xml:space="preserve">the classification. </w:t>
      </w:r>
      <w:r w:rsidR="002171DD" w:rsidRPr="006D5BF5">
        <w:t>For this analysis, all variables in the resident assessment tool were considered contender variables. Independent variables that produced statistically significant regression models were used to create the new predictor variables. One of the benefits of using these new predictor variables was that they take into account the combined effect of a number of compounding factors at once.</w:t>
      </w:r>
    </w:p>
    <w:p w14:paraId="1BC926C5" w14:textId="77777777" w:rsidR="00447245" w:rsidRPr="008845F7" w:rsidRDefault="00447245" w:rsidP="0016396F">
      <w:pPr>
        <w:pStyle w:val="Heading3"/>
      </w:pPr>
      <w:bookmarkStart w:id="115" w:name="_Toc528685419"/>
      <w:r w:rsidRPr="008845F7">
        <w:lastRenderedPageBreak/>
        <w:t xml:space="preserve">Classification development </w:t>
      </w:r>
      <w:r w:rsidR="00896D6B" w:rsidRPr="008845F7">
        <w:t>analysis</w:t>
      </w:r>
    </w:p>
    <w:p w14:paraId="0EE11C53" w14:textId="77777777" w:rsidR="00447245" w:rsidRDefault="00447245" w:rsidP="00FE46FD">
      <w:pPr>
        <w:pStyle w:val="Normal-nospacing"/>
      </w:pPr>
      <w:r>
        <w:t>A test-retest methodology was used to determine the stability and reliability of the classification model. Test-retest reliability is often used to establish how closely in agreement successive measurements are when using the same instrument (in this case the classification model). The classification was developed using approximately half the dataset (55%) and then retested on the second half of the dataset.</w:t>
      </w:r>
      <w:r w:rsidRPr="00695A70">
        <w:t xml:space="preserve"> </w:t>
      </w:r>
      <w:r>
        <w:t xml:space="preserve">The RVU for each class was calculated using the entire dataset so that the statistical </w:t>
      </w:r>
      <w:r w:rsidR="005D50B6">
        <w:t>power of the RVU was maximised.</w:t>
      </w:r>
    </w:p>
    <w:p w14:paraId="6D085DF0" w14:textId="77777777" w:rsidR="00447245" w:rsidRDefault="00447245" w:rsidP="00FE46FD">
      <w:pPr>
        <w:pStyle w:val="Normal-nospacing"/>
      </w:pPr>
      <w:r>
        <w:t>Two main models were considered in the classification development process</w:t>
      </w:r>
      <w:r w:rsidR="005202C8">
        <w:t>;</w:t>
      </w:r>
      <w:r>
        <w:t xml:space="preserve"> a clinical model and a purely statistical model. The clinical model included domains of interest that were likely to be clinically important (as advised by the clinical panel</w:t>
      </w:r>
      <w:r w:rsidR="005202C8">
        <w:t>s</w:t>
      </w:r>
      <w:r>
        <w:t xml:space="preserve">). The statistical model was driven </w:t>
      </w:r>
      <w:r w:rsidR="00BC1445">
        <w:t xml:space="preserve">purely </w:t>
      </w:r>
      <w:r>
        <w:t xml:space="preserve">by the underlying data. These two classifications were developed and then assessed based on how well </w:t>
      </w:r>
      <w:r w:rsidR="00BC1445">
        <w:t xml:space="preserve">each </w:t>
      </w:r>
      <w:r>
        <w:t>met the evaluation criteria and how the</w:t>
      </w:r>
      <w:r w:rsidR="005D50B6">
        <w:t>y performed in the test-retest.</w:t>
      </w:r>
    </w:p>
    <w:p w14:paraId="7508AC75" w14:textId="77777777" w:rsidR="00C40265" w:rsidRDefault="00447245" w:rsidP="00FE46FD">
      <w:pPr>
        <w:pStyle w:val="Normal-nospacing"/>
      </w:pPr>
      <w:r>
        <w:t xml:space="preserve">Based on these results, </w:t>
      </w:r>
      <w:r w:rsidR="00C40265">
        <w:t xml:space="preserve">a </w:t>
      </w:r>
      <w:r w:rsidR="00BC1445">
        <w:t xml:space="preserve">combined </w:t>
      </w:r>
      <w:r>
        <w:t xml:space="preserve">clinical </w:t>
      </w:r>
      <w:r w:rsidR="00BC1445">
        <w:t xml:space="preserve">advisory panel was </w:t>
      </w:r>
      <w:r w:rsidR="008428D1">
        <w:t xml:space="preserve">reconvened and </w:t>
      </w:r>
      <w:r>
        <w:t xml:space="preserve">presented with a </w:t>
      </w:r>
      <w:r w:rsidR="00BC1445">
        <w:t xml:space="preserve">proposed </w:t>
      </w:r>
      <w:r>
        <w:t xml:space="preserve">classification for review. The panel provided feedback and advised on </w:t>
      </w:r>
      <w:r w:rsidR="00BC1445">
        <w:t xml:space="preserve">a set of </w:t>
      </w:r>
      <w:r>
        <w:t xml:space="preserve">suggested </w:t>
      </w:r>
      <w:r w:rsidR="008428D1">
        <w:t>refinements</w:t>
      </w:r>
      <w:r>
        <w:t xml:space="preserve">. The panel </w:t>
      </w:r>
      <w:r w:rsidR="008428D1">
        <w:t xml:space="preserve">then endorsed </w:t>
      </w:r>
      <w:r w:rsidR="00BC1445">
        <w:t xml:space="preserve">the </w:t>
      </w:r>
      <w:r>
        <w:t xml:space="preserve">final </w:t>
      </w:r>
      <w:r w:rsidR="00BC1445">
        <w:t xml:space="preserve">recommended </w:t>
      </w:r>
      <w:r>
        <w:t>classification.</w:t>
      </w:r>
    </w:p>
    <w:p w14:paraId="68CCF079" w14:textId="77777777" w:rsidR="00447245" w:rsidRDefault="00DD3925" w:rsidP="00534F50">
      <w:pPr>
        <w:pStyle w:val="Heading2"/>
      </w:pPr>
      <w:bookmarkStart w:id="116" w:name="_Toc528685421"/>
      <w:bookmarkStart w:id="117" w:name="_Toc2070330"/>
      <w:bookmarkEnd w:id="115"/>
      <w:r>
        <w:t>Results – a</w:t>
      </w:r>
      <w:r w:rsidR="00447245">
        <w:t>nalysis of resource utilisation drivers</w:t>
      </w:r>
      <w:bookmarkEnd w:id="116"/>
      <w:bookmarkEnd w:id="117"/>
    </w:p>
    <w:p w14:paraId="1932486C" w14:textId="77777777" w:rsidR="00447245" w:rsidRDefault="00447245" w:rsidP="00BF5ADC">
      <w:pPr>
        <w:spacing w:before="120" w:after="120"/>
      </w:pPr>
      <w:r>
        <w:t xml:space="preserve">The CART procedure was performed on 1,042 records, producing a regression tree with a binary split for </w:t>
      </w:r>
      <w:r w:rsidR="003F465D">
        <w:t xml:space="preserve">each variable of interest. The </w:t>
      </w:r>
      <w:r>
        <w:t xml:space="preserve">RIV for each variable was calculated to determine the most influential resource utilisation drivers. The results are </w:t>
      </w:r>
      <w:r w:rsidR="00BF5ADC">
        <w:t xml:space="preserve">shown </w:t>
      </w:r>
      <w:r>
        <w:t xml:space="preserve">in </w:t>
      </w:r>
      <w:r w:rsidR="00C62BD9">
        <w:fldChar w:fldCharType="begin"/>
      </w:r>
      <w:r w:rsidR="00C62BD9">
        <w:instrText xml:space="preserve"> REF _Ref528851823 \h </w:instrText>
      </w:r>
      <w:r w:rsidR="00C62BD9">
        <w:fldChar w:fldCharType="separate"/>
      </w:r>
      <w:r w:rsidR="00EE18C8">
        <w:t xml:space="preserve">Table </w:t>
      </w:r>
      <w:r w:rsidR="00EE18C8">
        <w:rPr>
          <w:noProof/>
        </w:rPr>
        <w:t>17</w:t>
      </w:r>
      <w:r w:rsidR="00C62BD9">
        <w:fldChar w:fldCharType="end"/>
      </w:r>
      <w:r>
        <w:t>.</w:t>
      </w:r>
    </w:p>
    <w:p w14:paraId="39111161" w14:textId="77777777" w:rsidR="00447245" w:rsidRDefault="00C62BD9" w:rsidP="00C62BD9">
      <w:pPr>
        <w:pStyle w:val="Caption"/>
      </w:pPr>
      <w:bookmarkStart w:id="118" w:name="_Ref528851823"/>
      <w:bookmarkStart w:id="119" w:name="_Toc2065679"/>
      <w:r>
        <w:t xml:space="preserve">Table </w:t>
      </w:r>
      <w:r w:rsidR="00831BE1">
        <w:rPr>
          <w:noProof/>
        </w:rPr>
        <w:fldChar w:fldCharType="begin"/>
      </w:r>
      <w:r w:rsidR="00831BE1">
        <w:rPr>
          <w:noProof/>
        </w:rPr>
        <w:instrText xml:space="preserve"> SEQ Table \* ARABIC </w:instrText>
      </w:r>
      <w:r w:rsidR="00831BE1">
        <w:rPr>
          <w:noProof/>
        </w:rPr>
        <w:fldChar w:fldCharType="separate"/>
      </w:r>
      <w:r w:rsidR="00EE18C8">
        <w:rPr>
          <w:noProof/>
        </w:rPr>
        <w:t>17</w:t>
      </w:r>
      <w:r w:rsidR="00831BE1">
        <w:rPr>
          <w:noProof/>
        </w:rPr>
        <w:fldChar w:fldCharType="end"/>
      </w:r>
      <w:bookmarkEnd w:id="118"/>
      <w:r w:rsidR="00FB05DE">
        <w:rPr>
          <w:noProof/>
        </w:rPr>
        <w:tab/>
      </w:r>
      <w:r>
        <w:t>RIV of independent variables</w:t>
      </w:r>
      <w:bookmarkEnd w:id="119"/>
    </w:p>
    <w:tbl>
      <w:tblPr>
        <w:tblStyle w:val="TableGrid"/>
        <w:tblW w:w="0" w:type="auto"/>
        <w:tblLook w:val="04A0" w:firstRow="1" w:lastRow="0" w:firstColumn="1" w:lastColumn="0" w:noHBand="0" w:noVBand="1"/>
        <w:tblCaption w:val="RIV of independent variables"/>
        <w:tblDescription w:val="In table 17, the RIV for each variable was calculated to determine the most influential resource utilisation drivers. This table should be read as a series of rows from left to right ('Independent variable' then 'number' then 'binary split' then 'RIV)."/>
      </w:tblPr>
      <w:tblGrid>
        <w:gridCol w:w="2023"/>
        <w:gridCol w:w="622"/>
        <w:gridCol w:w="4271"/>
        <w:gridCol w:w="672"/>
      </w:tblGrid>
      <w:tr w:rsidR="00447245" w:rsidRPr="00AA00FA" w14:paraId="5F41CA2B" w14:textId="77777777" w:rsidTr="008428D1">
        <w:trPr>
          <w:tblHeader/>
        </w:trPr>
        <w:tc>
          <w:tcPr>
            <w:tcW w:w="0" w:type="auto"/>
            <w:shd w:val="clear" w:color="auto" w:fill="D9D9D9" w:themeFill="background1" w:themeFillShade="D9"/>
          </w:tcPr>
          <w:p w14:paraId="5ED48E47" w14:textId="77777777" w:rsidR="00447245" w:rsidRPr="00AA00FA" w:rsidRDefault="00447245" w:rsidP="00FB05DE">
            <w:pPr>
              <w:spacing w:before="40" w:after="40"/>
              <w:rPr>
                <w:b/>
                <w:sz w:val="20"/>
                <w:szCs w:val="20"/>
              </w:rPr>
            </w:pPr>
            <w:r w:rsidRPr="00AA00FA">
              <w:rPr>
                <w:b/>
                <w:sz w:val="20"/>
                <w:szCs w:val="20"/>
              </w:rPr>
              <w:t>Independent Variable</w:t>
            </w:r>
          </w:p>
        </w:tc>
        <w:tc>
          <w:tcPr>
            <w:tcW w:w="0" w:type="auto"/>
            <w:shd w:val="clear" w:color="auto" w:fill="D9D9D9" w:themeFill="background1" w:themeFillShade="D9"/>
          </w:tcPr>
          <w:p w14:paraId="1B63240B" w14:textId="77777777" w:rsidR="00447245" w:rsidRPr="00AA00FA" w:rsidRDefault="00447245" w:rsidP="00FB05DE">
            <w:pPr>
              <w:spacing w:before="40" w:after="40"/>
              <w:rPr>
                <w:b/>
                <w:sz w:val="20"/>
                <w:szCs w:val="20"/>
              </w:rPr>
            </w:pPr>
            <w:r w:rsidRPr="00AA00FA">
              <w:rPr>
                <w:b/>
                <w:sz w:val="20"/>
                <w:szCs w:val="20"/>
              </w:rPr>
              <w:t>N</w:t>
            </w:r>
          </w:p>
        </w:tc>
        <w:tc>
          <w:tcPr>
            <w:tcW w:w="0" w:type="auto"/>
            <w:shd w:val="clear" w:color="auto" w:fill="D9D9D9" w:themeFill="background1" w:themeFillShade="D9"/>
          </w:tcPr>
          <w:p w14:paraId="456A8333" w14:textId="77777777" w:rsidR="00447245" w:rsidRPr="00AA00FA" w:rsidRDefault="00447245" w:rsidP="00FB05DE">
            <w:pPr>
              <w:spacing w:before="40" w:after="40"/>
              <w:rPr>
                <w:b/>
                <w:sz w:val="20"/>
                <w:szCs w:val="20"/>
              </w:rPr>
            </w:pPr>
            <w:r w:rsidRPr="00AA00FA">
              <w:rPr>
                <w:b/>
                <w:sz w:val="20"/>
                <w:szCs w:val="20"/>
              </w:rPr>
              <w:t>Binary split</w:t>
            </w:r>
          </w:p>
        </w:tc>
        <w:tc>
          <w:tcPr>
            <w:tcW w:w="0" w:type="auto"/>
            <w:shd w:val="clear" w:color="auto" w:fill="D9D9D9" w:themeFill="background1" w:themeFillShade="D9"/>
          </w:tcPr>
          <w:p w14:paraId="22382720" w14:textId="77777777" w:rsidR="00447245" w:rsidRPr="00AA00FA" w:rsidRDefault="00447245" w:rsidP="00FB05DE">
            <w:pPr>
              <w:spacing w:before="40" w:after="40"/>
              <w:rPr>
                <w:b/>
                <w:sz w:val="20"/>
                <w:szCs w:val="20"/>
              </w:rPr>
            </w:pPr>
            <w:r w:rsidRPr="00AA00FA">
              <w:rPr>
                <w:b/>
                <w:sz w:val="20"/>
                <w:szCs w:val="20"/>
              </w:rPr>
              <w:t>RIV</w:t>
            </w:r>
          </w:p>
        </w:tc>
      </w:tr>
      <w:tr w:rsidR="00447245" w:rsidRPr="00AA00FA" w14:paraId="76FBCCEB" w14:textId="77777777" w:rsidTr="00D6251D">
        <w:tc>
          <w:tcPr>
            <w:tcW w:w="0" w:type="auto"/>
          </w:tcPr>
          <w:p w14:paraId="79F5C1C3" w14:textId="77777777" w:rsidR="00447245" w:rsidRPr="00AA00FA" w:rsidRDefault="00105817" w:rsidP="00FB05DE">
            <w:pPr>
              <w:spacing w:before="40" w:after="40"/>
              <w:rPr>
                <w:sz w:val="20"/>
                <w:szCs w:val="20"/>
              </w:rPr>
            </w:pPr>
            <w:r>
              <w:rPr>
                <w:sz w:val="20"/>
                <w:szCs w:val="20"/>
              </w:rPr>
              <w:t>AM-</w:t>
            </w:r>
            <w:r w:rsidR="00447245" w:rsidRPr="00AA00FA">
              <w:rPr>
                <w:sz w:val="20"/>
                <w:szCs w:val="20"/>
              </w:rPr>
              <w:t>FIM Motor</w:t>
            </w:r>
          </w:p>
        </w:tc>
        <w:tc>
          <w:tcPr>
            <w:tcW w:w="0" w:type="auto"/>
          </w:tcPr>
          <w:p w14:paraId="6417567D" w14:textId="77777777" w:rsidR="00447245" w:rsidRPr="00AA00FA" w:rsidRDefault="00447245" w:rsidP="00FB05DE">
            <w:pPr>
              <w:spacing w:before="40" w:after="40"/>
              <w:rPr>
                <w:sz w:val="20"/>
                <w:szCs w:val="20"/>
              </w:rPr>
            </w:pPr>
            <w:r w:rsidRPr="00AA00FA">
              <w:rPr>
                <w:sz w:val="20"/>
                <w:szCs w:val="20"/>
              </w:rPr>
              <w:t>1025</w:t>
            </w:r>
          </w:p>
        </w:tc>
        <w:tc>
          <w:tcPr>
            <w:tcW w:w="0" w:type="auto"/>
          </w:tcPr>
          <w:p w14:paraId="6E5DF4F7" w14:textId="77777777" w:rsidR="00447245" w:rsidRPr="00662D67" w:rsidRDefault="00105817" w:rsidP="00FB05DE">
            <w:pPr>
              <w:spacing w:before="40" w:after="40"/>
              <w:rPr>
                <w:sz w:val="20"/>
                <w:szCs w:val="20"/>
                <w:lang w:val="pt-PT"/>
              </w:rPr>
            </w:pPr>
            <w:r w:rsidRPr="00662D67">
              <w:rPr>
                <w:sz w:val="20"/>
                <w:szCs w:val="20"/>
                <w:lang w:val="pt-PT"/>
              </w:rPr>
              <w:t>AM-</w:t>
            </w:r>
            <w:r w:rsidR="00447245" w:rsidRPr="00662D67">
              <w:rPr>
                <w:sz w:val="20"/>
                <w:szCs w:val="20"/>
                <w:lang w:val="pt-PT"/>
              </w:rPr>
              <w:t xml:space="preserve">FIM Motor &lt;= 31 , </w:t>
            </w:r>
            <w:r w:rsidRPr="00662D67">
              <w:rPr>
                <w:sz w:val="20"/>
                <w:szCs w:val="20"/>
                <w:lang w:val="pt-PT"/>
              </w:rPr>
              <w:t>AM-</w:t>
            </w:r>
            <w:r w:rsidR="00447245" w:rsidRPr="00662D67">
              <w:rPr>
                <w:sz w:val="20"/>
                <w:szCs w:val="20"/>
                <w:lang w:val="pt-PT"/>
              </w:rPr>
              <w:t>FIM Motor &gt;= 32</w:t>
            </w:r>
          </w:p>
        </w:tc>
        <w:tc>
          <w:tcPr>
            <w:tcW w:w="0" w:type="auto"/>
          </w:tcPr>
          <w:p w14:paraId="258B95BA" w14:textId="77777777" w:rsidR="00447245" w:rsidRPr="00AA00FA" w:rsidRDefault="00447245" w:rsidP="00FB05DE">
            <w:pPr>
              <w:spacing w:before="40" w:after="40"/>
              <w:rPr>
                <w:sz w:val="20"/>
                <w:szCs w:val="20"/>
              </w:rPr>
            </w:pPr>
            <w:r w:rsidRPr="00AA00FA">
              <w:rPr>
                <w:sz w:val="20"/>
                <w:szCs w:val="20"/>
              </w:rPr>
              <w:t>0.389</w:t>
            </w:r>
          </w:p>
        </w:tc>
      </w:tr>
      <w:tr w:rsidR="00447245" w:rsidRPr="00AA00FA" w14:paraId="33F9D975" w14:textId="77777777" w:rsidTr="00D6251D">
        <w:tc>
          <w:tcPr>
            <w:tcW w:w="0" w:type="auto"/>
          </w:tcPr>
          <w:p w14:paraId="34F15719" w14:textId="77777777" w:rsidR="00447245" w:rsidRPr="00AA00FA" w:rsidRDefault="00447245" w:rsidP="00FB05DE">
            <w:pPr>
              <w:spacing w:before="40" w:after="40"/>
              <w:rPr>
                <w:sz w:val="20"/>
                <w:szCs w:val="20"/>
              </w:rPr>
            </w:pPr>
            <w:r w:rsidRPr="00AA00FA">
              <w:rPr>
                <w:sz w:val="20"/>
                <w:szCs w:val="20"/>
              </w:rPr>
              <w:t>Raw DEMMI</w:t>
            </w:r>
          </w:p>
        </w:tc>
        <w:tc>
          <w:tcPr>
            <w:tcW w:w="0" w:type="auto"/>
          </w:tcPr>
          <w:p w14:paraId="29A71A26" w14:textId="77777777" w:rsidR="00447245" w:rsidRPr="00AA00FA" w:rsidRDefault="00447245" w:rsidP="00FB05DE">
            <w:pPr>
              <w:spacing w:before="40" w:after="40"/>
              <w:rPr>
                <w:sz w:val="20"/>
                <w:szCs w:val="20"/>
              </w:rPr>
            </w:pPr>
            <w:r w:rsidRPr="00AA00FA">
              <w:rPr>
                <w:sz w:val="20"/>
                <w:szCs w:val="20"/>
              </w:rPr>
              <w:t>993</w:t>
            </w:r>
          </w:p>
        </w:tc>
        <w:tc>
          <w:tcPr>
            <w:tcW w:w="0" w:type="auto"/>
          </w:tcPr>
          <w:p w14:paraId="0AA2E2E6" w14:textId="77777777" w:rsidR="00447245" w:rsidRPr="00AA00FA" w:rsidRDefault="00447245" w:rsidP="00FB05DE">
            <w:pPr>
              <w:spacing w:before="40" w:after="40"/>
              <w:rPr>
                <w:sz w:val="20"/>
                <w:szCs w:val="20"/>
              </w:rPr>
            </w:pPr>
            <w:r w:rsidRPr="00AA00FA">
              <w:rPr>
                <w:sz w:val="20"/>
                <w:szCs w:val="20"/>
              </w:rPr>
              <w:t>Raw DEMMI &lt;= 3, Raw DEMMI &gt;= 4</w:t>
            </w:r>
          </w:p>
        </w:tc>
        <w:tc>
          <w:tcPr>
            <w:tcW w:w="0" w:type="auto"/>
          </w:tcPr>
          <w:p w14:paraId="25E742C9" w14:textId="77777777" w:rsidR="00447245" w:rsidRPr="00AA00FA" w:rsidRDefault="00447245" w:rsidP="00FB05DE">
            <w:pPr>
              <w:spacing w:before="40" w:after="40"/>
              <w:rPr>
                <w:sz w:val="20"/>
                <w:szCs w:val="20"/>
              </w:rPr>
            </w:pPr>
            <w:r w:rsidRPr="00AA00FA">
              <w:rPr>
                <w:sz w:val="20"/>
                <w:szCs w:val="20"/>
              </w:rPr>
              <w:t>0.381</w:t>
            </w:r>
          </w:p>
        </w:tc>
      </w:tr>
      <w:tr w:rsidR="00447245" w:rsidRPr="00AA00FA" w14:paraId="1838C165" w14:textId="77777777" w:rsidTr="00D6251D">
        <w:tc>
          <w:tcPr>
            <w:tcW w:w="0" w:type="auto"/>
          </w:tcPr>
          <w:p w14:paraId="13183F70" w14:textId="77777777" w:rsidR="00447245" w:rsidRPr="00AA00FA" w:rsidRDefault="00447245" w:rsidP="00FB05DE">
            <w:pPr>
              <w:spacing w:before="40" w:after="40"/>
              <w:rPr>
                <w:sz w:val="20"/>
                <w:szCs w:val="20"/>
              </w:rPr>
            </w:pPr>
            <w:r w:rsidRPr="00AA00FA">
              <w:rPr>
                <w:sz w:val="20"/>
                <w:szCs w:val="20"/>
              </w:rPr>
              <w:t>RUG</w:t>
            </w:r>
            <w:r w:rsidR="008428D1">
              <w:rPr>
                <w:sz w:val="20"/>
                <w:szCs w:val="20"/>
              </w:rPr>
              <w:t>-ADL</w:t>
            </w:r>
          </w:p>
        </w:tc>
        <w:tc>
          <w:tcPr>
            <w:tcW w:w="0" w:type="auto"/>
          </w:tcPr>
          <w:p w14:paraId="24466EAD" w14:textId="77777777" w:rsidR="00447245" w:rsidRPr="00AA00FA" w:rsidRDefault="00447245" w:rsidP="00FB05DE">
            <w:pPr>
              <w:spacing w:before="40" w:after="40"/>
              <w:rPr>
                <w:sz w:val="20"/>
                <w:szCs w:val="20"/>
              </w:rPr>
            </w:pPr>
            <w:r w:rsidRPr="00AA00FA">
              <w:rPr>
                <w:sz w:val="20"/>
                <w:szCs w:val="20"/>
              </w:rPr>
              <w:t>1036</w:t>
            </w:r>
          </w:p>
        </w:tc>
        <w:tc>
          <w:tcPr>
            <w:tcW w:w="0" w:type="auto"/>
          </w:tcPr>
          <w:p w14:paraId="3D10A529" w14:textId="77777777" w:rsidR="00447245" w:rsidRPr="00AA00FA" w:rsidRDefault="00447245" w:rsidP="00FB05DE">
            <w:pPr>
              <w:spacing w:before="40" w:after="40"/>
              <w:rPr>
                <w:sz w:val="20"/>
                <w:szCs w:val="20"/>
              </w:rPr>
            </w:pPr>
            <w:r w:rsidRPr="00AA00FA">
              <w:rPr>
                <w:sz w:val="20"/>
                <w:szCs w:val="20"/>
              </w:rPr>
              <w:t>RUG &lt;= 13, RUG &gt;= 14</w:t>
            </w:r>
          </w:p>
        </w:tc>
        <w:tc>
          <w:tcPr>
            <w:tcW w:w="0" w:type="auto"/>
          </w:tcPr>
          <w:p w14:paraId="429CE638" w14:textId="77777777" w:rsidR="00447245" w:rsidRPr="00AA00FA" w:rsidRDefault="00447245" w:rsidP="00FB05DE">
            <w:pPr>
              <w:spacing w:before="40" w:after="40"/>
              <w:rPr>
                <w:sz w:val="20"/>
                <w:szCs w:val="20"/>
              </w:rPr>
            </w:pPr>
            <w:r w:rsidRPr="00AA00FA">
              <w:rPr>
                <w:sz w:val="20"/>
                <w:szCs w:val="20"/>
              </w:rPr>
              <w:t>0.367</w:t>
            </w:r>
          </w:p>
        </w:tc>
      </w:tr>
      <w:tr w:rsidR="00447245" w:rsidRPr="00AA00FA" w14:paraId="7D4FDDFC" w14:textId="77777777" w:rsidTr="00D6251D">
        <w:tc>
          <w:tcPr>
            <w:tcW w:w="0" w:type="auto"/>
          </w:tcPr>
          <w:p w14:paraId="54600B5E" w14:textId="77777777" w:rsidR="00447245" w:rsidRPr="00AA00FA" w:rsidRDefault="00447245" w:rsidP="00FB05DE">
            <w:pPr>
              <w:spacing w:before="40" w:after="40"/>
              <w:rPr>
                <w:sz w:val="20"/>
                <w:szCs w:val="20"/>
              </w:rPr>
            </w:pPr>
            <w:r w:rsidRPr="00AA00FA">
              <w:rPr>
                <w:sz w:val="20"/>
                <w:szCs w:val="20"/>
              </w:rPr>
              <w:t>Braden</w:t>
            </w:r>
          </w:p>
        </w:tc>
        <w:tc>
          <w:tcPr>
            <w:tcW w:w="0" w:type="auto"/>
          </w:tcPr>
          <w:p w14:paraId="03A10086" w14:textId="77777777" w:rsidR="00447245" w:rsidRPr="00AA00FA" w:rsidRDefault="00447245" w:rsidP="00FB05DE">
            <w:pPr>
              <w:spacing w:before="40" w:after="40"/>
              <w:rPr>
                <w:sz w:val="20"/>
                <w:szCs w:val="20"/>
              </w:rPr>
            </w:pPr>
            <w:r w:rsidRPr="00AA00FA">
              <w:rPr>
                <w:sz w:val="20"/>
                <w:szCs w:val="20"/>
              </w:rPr>
              <w:t>1030</w:t>
            </w:r>
          </w:p>
        </w:tc>
        <w:tc>
          <w:tcPr>
            <w:tcW w:w="0" w:type="auto"/>
          </w:tcPr>
          <w:p w14:paraId="529DD352" w14:textId="77777777" w:rsidR="00447245" w:rsidRPr="00AA00FA" w:rsidRDefault="00447245" w:rsidP="00FB05DE">
            <w:pPr>
              <w:spacing w:before="40" w:after="40"/>
              <w:rPr>
                <w:sz w:val="20"/>
                <w:szCs w:val="20"/>
              </w:rPr>
            </w:pPr>
            <w:r w:rsidRPr="00AA00FA">
              <w:rPr>
                <w:sz w:val="20"/>
                <w:szCs w:val="20"/>
              </w:rPr>
              <w:t>Braden &lt;= 15, Braden &gt;= 16</w:t>
            </w:r>
          </w:p>
        </w:tc>
        <w:tc>
          <w:tcPr>
            <w:tcW w:w="0" w:type="auto"/>
          </w:tcPr>
          <w:p w14:paraId="0BC0C4F0" w14:textId="77777777" w:rsidR="00447245" w:rsidRPr="00AA00FA" w:rsidRDefault="00447245" w:rsidP="00FB05DE">
            <w:pPr>
              <w:spacing w:before="40" w:after="40"/>
              <w:rPr>
                <w:sz w:val="20"/>
                <w:szCs w:val="20"/>
              </w:rPr>
            </w:pPr>
            <w:r w:rsidRPr="00AA00FA">
              <w:rPr>
                <w:sz w:val="20"/>
                <w:szCs w:val="20"/>
              </w:rPr>
              <w:t>0.315</w:t>
            </w:r>
          </w:p>
        </w:tc>
      </w:tr>
      <w:tr w:rsidR="00447245" w:rsidRPr="00AA00FA" w14:paraId="6F585052" w14:textId="77777777" w:rsidTr="00D6251D">
        <w:tc>
          <w:tcPr>
            <w:tcW w:w="0" w:type="auto"/>
          </w:tcPr>
          <w:p w14:paraId="7C041297" w14:textId="77777777" w:rsidR="00447245" w:rsidRPr="00AA00FA" w:rsidRDefault="00447245" w:rsidP="00FB05DE">
            <w:pPr>
              <w:spacing w:before="40" w:after="40"/>
              <w:rPr>
                <w:sz w:val="20"/>
                <w:szCs w:val="20"/>
              </w:rPr>
            </w:pPr>
            <w:r w:rsidRPr="00AA00FA">
              <w:rPr>
                <w:sz w:val="20"/>
                <w:szCs w:val="20"/>
              </w:rPr>
              <w:t>Rockwood</w:t>
            </w:r>
          </w:p>
        </w:tc>
        <w:tc>
          <w:tcPr>
            <w:tcW w:w="0" w:type="auto"/>
          </w:tcPr>
          <w:p w14:paraId="434A2969" w14:textId="77777777" w:rsidR="00447245" w:rsidRPr="00AA00FA" w:rsidRDefault="00447245" w:rsidP="00FB05DE">
            <w:pPr>
              <w:spacing w:before="40" w:after="40"/>
              <w:rPr>
                <w:sz w:val="20"/>
                <w:szCs w:val="20"/>
              </w:rPr>
            </w:pPr>
            <w:r w:rsidRPr="00AA00FA">
              <w:rPr>
                <w:sz w:val="20"/>
                <w:szCs w:val="20"/>
              </w:rPr>
              <w:t>1030</w:t>
            </w:r>
          </w:p>
        </w:tc>
        <w:tc>
          <w:tcPr>
            <w:tcW w:w="0" w:type="auto"/>
          </w:tcPr>
          <w:p w14:paraId="0F23730B" w14:textId="77777777" w:rsidR="00447245" w:rsidRPr="00AA00FA" w:rsidRDefault="00447245" w:rsidP="00FB05DE">
            <w:pPr>
              <w:spacing w:before="40" w:after="40"/>
              <w:rPr>
                <w:sz w:val="20"/>
                <w:szCs w:val="20"/>
              </w:rPr>
            </w:pPr>
            <w:r w:rsidRPr="00AA00FA">
              <w:rPr>
                <w:sz w:val="20"/>
                <w:szCs w:val="20"/>
              </w:rPr>
              <w:t>Rockwood &lt;= 6, Rockwood &gt;= 7</w:t>
            </w:r>
          </w:p>
        </w:tc>
        <w:tc>
          <w:tcPr>
            <w:tcW w:w="0" w:type="auto"/>
          </w:tcPr>
          <w:p w14:paraId="5E0134ED" w14:textId="77777777" w:rsidR="00447245" w:rsidRPr="00AA00FA" w:rsidRDefault="00447245" w:rsidP="00FB05DE">
            <w:pPr>
              <w:spacing w:before="40" w:after="40"/>
              <w:rPr>
                <w:sz w:val="20"/>
                <w:szCs w:val="20"/>
              </w:rPr>
            </w:pPr>
            <w:r w:rsidRPr="00AA00FA">
              <w:rPr>
                <w:sz w:val="20"/>
                <w:szCs w:val="20"/>
              </w:rPr>
              <w:t>0.305</w:t>
            </w:r>
          </w:p>
        </w:tc>
      </w:tr>
      <w:tr w:rsidR="00447245" w:rsidRPr="00AA00FA" w14:paraId="56E825A0" w14:textId="77777777" w:rsidTr="00D6251D">
        <w:tc>
          <w:tcPr>
            <w:tcW w:w="0" w:type="auto"/>
          </w:tcPr>
          <w:p w14:paraId="2A0E4D08" w14:textId="77777777" w:rsidR="00447245" w:rsidRPr="00AA00FA" w:rsidRDefault="00447245" w:rsidP="00FB05DE">
            <w:pPr>
              <w:spacing w:before="40" w:after="40"/>
              <w:rPr>
                <w:sz w:val="20"/>
                <w:szCs w:val="20"/>
              </w:rPr>
            </w:pPr>
            <w:r w:rsidRPr="00AA00FA">
              <w:rPr>
                <w:sz w:val="20"/>
                <w:szCs w:val="20"/>
              </w:rPr>
              <w:t>AKPS</w:t>
            </w:r>
          </w:p>
        </w:tc>
        <w:tc>
          <w:tcPr>
            <w:tcW w:w="0" w:type="auto"/>
          </w:tcPr>
          <w:p w14:paraId="01ADED79" w14:textId="77777777" w:rsidR="00447245" w:rsidRPr="00AA00FA" w:rsidRDefault="00447245" w:rsidP="00FB05DE">
            <w:pPr>
              <w:spacing w:before="40" w:after="40"/>
              <w:rPr>
                <w:sz w:val="20"/>
                <w:szCs w:val="20"/>
              </w:rPr>
            </w:pPr>
            <w:r w:rsidRPr="00AA00FA">
              <w:rPr>
                <w:sz w:val="20"/>
                <w:szCs w:val="20"/>
              </w:rPr>
              <w:t>1035</w:t>
            </w:r>
          </w:p>
        </w:tc>
        <w:tc>
          <w:tcPr>
            <w:tcW w:w="0" w:type="auto"/>
          </w:tcPr>
          <w:p w14:paraId="087BEBF7" w14:textId="77777777" w:rsidR="00447245" w:rsidRPr="00AA00FA" w:rsidRDefault="00447245" w:rsidP="00FB05DE">
            <w:pPr>
              <w:spacing w:before="40" w:after="40"/>
              <w:rPr>
                <w:sz w:val="20"/>
                <w:szCs w:val="20"/>
              </w:rPr>
            </w:pPr>
            <w:r w:rsidRPr="00AA00FA">
              <w:rPr>
                <w:sz w:val="20"/>
                <w:szCs w:val="20"/>
              </w:rPr>
              <w:t>AKPS &lt;= 50, AKPS &gt;= 60</w:t>
            </w:r>
          </w:p>
        </w:tc>
        <w:tc>
          <w:tcPr>
            <w:tcW w:w="0" w:type="auto"/>
          </w:tcPr>
          <w:p w14:paraId="15180E45" w14:textId="77777777" w:rsidR="00447245" w:rsidRPr="00AA00FA" w:rsidRDefault="00447245" w:rsidP="00FB05DE">
            <w:pPr>
              <w:spacing w:before="40" w:after="40"/>
              <w:rPr>
                <w:sz w:val="20"/>
                <w:szCs w:val="20"/>
              </w:rPr>
            </w:pPr>
            <w:r w:rsidRPr="00AA00FA">
              <w:rPr>
                <w:sz w:val="20"/>
                <w:szCs w:val="20"/>
              </w:rPr>
              <w:t>0.199</w:t>
            </w:r>
          </w:p>
        </w:tc>
      </w:tr>
      <w:tr w:rsidR="00447245" w:rsidRPr="00AA00FA" w14:paraId="683969FC" w14:textId="77777777" w:rsidTr="00D6251D">
        <w:tc>
          <w:tcPr>
            <w:tcW w:w="0" w:type="auto"/>
          </w:tcPr>
          <w:p w14:paraId="22F86167" w14:textId="77777777" w:rsidR="00447245" w:rsidRPr="00AA00FA" w:rsidRDefault="00105817" w:rsidP="00FB05DE">
            <w:pPr>
              <w:spacing w:before="40" w:after="40"/>
              <w:rPr>
                <w:sz w:val="20"/>
                <w:szCs w:val="20"/>
              </w:rPr>
            </w:pPr>
            <w:r>
              <w:rPr>
                <w:sz w:val="20"/>
                <w:szCs w:val="20"/>
              </w:rPr>
              <w:t>AM-</w:t>
            </w:r>
            <w:r w:rsidR="00447245" w:rsidRPr="00AA00FA">
              <w:rPr>
                <w:sz w:val="20"/>
                <w:szCs w:val="20"/>
              </w:rPr>
              <w:t>FIM Cognition</w:t>
            </w:r>
          </w:p>
        </w:tc>
        <w:tc>
          <w:tcPr>
            <w:tcW w:w="0" w:type="auto"/>
          </w:tcPr>
          <w:p w14:paraId="2DBD685D" w14:textId="77777777" w:rsidR="00447245" w:rsidRPr="00AA00FA" w:rsidRDefault="00447245" w:rsidP="00FB05DE">
            <w:pPr>
              <w:spacing w:before="40" w:after="40"/>
              <w:rPr>
                <w:sz w:val="20"/>
                <w:szCs w:val="20"/>
              </w:rPr>
            </w:pPr>
            <w:r w:rsidRPr="00AA00FA">
              <w:rPr>
                <w:sz w:val="20"/>
                <w:szCs w:val="20"/>
              </w:rPr>
              <w:t>1029</w:t>
            </w:r>
          </w:p>
        </w:tc>
        <w:tc>
          <w:tcPr>
            <w:tcW w:w="0" w:type="auto"/>
          </w:tcPr>
          <w:p w14:paraId="56597740" w14:textId="77777777" w:rsidR="00447245" w:rsidRPr="00AA00FA" w:rsidRDefault="00105817" w:rsidP="00FB05DE">
            <w:pPr>
              <w:spacing w:before="40" w:after="40"/>
              <w:rPr>
                <w:sz w:val="20"/>
                <w:szCs w:val="20"/>
              </w:rPr>
            </w:pPr>
            <w:r>
              <w:rPr>
                <w:sz w:val="20"/>
                <w:szCs w:val="20"/>
              </w:rPr>
              <w:t>AM-</w:t>
            </w:r>
            <w:r w:rsidR="00447245" w:rsidRPr="00AA00FA">
              <w:rPr>
                <w:sz w:val="20"/>
                <w:szCs w:val="20"/>
              </w:rPr>
              <w:t xml:space="preserve">FIM Cognition &lt;= 12, </w:t>
            </w:r>
            <w:r>
              <w:rPr>
                <w:sz w:val="20"/>
                <w:szCs w:val="20"/>
              </w:rPr>
              <w:t>AM-</w:t>
            </w:r>
            <w:r w:rsidR="00447245" w:rsidRPr="00AA00FA">
              <w:rPr>
                <w:sz w:val="20"/>
                <w:szCs w:val="20"/>
              </w:rPr>
              <w:t>FIM Cognition &gt;= 13</w:t>
            </w:r>
          </w:p>
        </w:tc>
        <w:tc>
          <w:tcPr>
            <w:tcW w:w="0" w:type="auto"/>
          </w:tcPr>
          <w:p w14:paraId="4140A652" w14:textId="77777777" w:rsidR="00447245" w:rsidRPr="00AA00FA" w:rsidRDefault="00447245" w:rsidP="00FB05DE">
            <w:pPr>
              <w:spacing w:before="40" w:after="40"/>
              <w:rPr>
                <w:sz w:val="20"/>
                <w:szCs w:val="20"/>
              </w:rPr>
            </w:pPr>
            <w:r w:rsidRPr="00AA00FA">
              <w:rPr>
                <w:sz w:val="20"/>
                <w:szCs w:val="20"/>
              </w:rPr>
              <w:t>0.156</w:t>
            </w:r>
          </w:p>
        </w:tc>
      </w:tr>
      <w:tr w:rsidR="00447245" w:rsidRPr="00AA00FA" w14:paraId="3BF2247D" w14:textId="77777777" w:rsidTr="00D6251D">
        <w:tc>
          <w:tcPr>
            <w:tcW w:w="0" w:type="auto"/>
          </w:tcPr>
          <w:p w14:paraId="7DA3CC59" w14:textId="77777777" w:rsidR="00447245" w:rsidRPr="00AA00FA" w:rsidRDefault="00447245" w:rsidP="003311DD">
            <w:pPr>
              <w:spacing w:before="40" w:after="40"/>
              <w:rPr>
                <w:sz w:val="20"/>
                <w:szCs w:val="20"/>
              </w:rPr>
            </w:pPr>
            <w:r w:rsidRPr="00AA00FA">
              <w:rPr>
                <w:sz w:val="20"/>
                <w:szCs w:val="20"/>
              </w:rPr>
              <w:t>Complex Wound M</w:t>
            </w:r>
            <w:r w:rsidR="003311DD">
              <w:rPr>
                <w:sz w:val="20"/>
                <w:szCs w:val="20"/>
              </w:rPr>
              <w:t>gt</w:t>
            </w:r>
          </w:p>
        </w:tc>
        <w:tc>
          <w:tcPr>
            <w:tcW w:w="0" w:type="auto"/>
          </w:tcPr>
          <w:p w14:paraId="0FE37071" w14:textId="77777777" w:rsidR="00447245" w:rsidRPr="00AA00FA" w:rsidRDefault="00447245" w:rsidP="00FB05DE">
            <w:pPr>
              <w:spacing w:before="40" w:after="40"/>
              <w:rPr>
                <w:sz w:val="20"/>
                <w:szCs w:val="20"/>
              </w:rPr>
            </w:pPr>
            <w:r w:rsidRPr="00AA00FA">
              <w:rPr>
                <w:sz w:val="20"/>
                <w:szCs w:val="20"/>
              </w:rPr>
              <w:t>1034</w:t>
            </w:r>
          </w:p>
        </w:tc>
        <w:tc>
          <w:tcPr>
            <w:tcW w:w="0" w:type="auto"/>
          </w:tcPr>
          <w:p w14:paraId="235D4724" w14:textId="77777777" w:rsidR="00447245" w:rsidRPr="00AA00FA" w:rsidRDefault="00447245" w:rsidP="00FB05DE">
            <w:pPr>
              <w:spacing w:before="40" w:after="40"/>
              <w:rPr>
                <w:sz w:val="20"/>
                <w:szCs w:val="20"/>
              </w:rPr>
            </w:pPr>
            <w:r w:rsidRPr="00AA00FA">
              <w:rPr>
                <w:sz w:val="20"/>
                <w:szCs w:val="20"/>
              </w:rPr>
              <w:t>CWM=0, CWM = 1</w:t>
            </w:r>
          </w:p>
        </w:tc>
        <w:tc>
          <w:tcPr>
            <w:tcW w:w="0" w:type="auto"/>
          </w:tcPr>
          <w:p w14:paraId="4C7EEA5F" w14:textId="77777777" w:rsidR="00447245" w:rsidRPr="00AA00FA" w:rsidRDefault="00447245" w:rsidP="00FB05DE">
            <w:pPr>
              <w:spacing w:before="40" w:after="40"/>
              <w:rPr>
                <w:sz w:val="20"/>
                <w:szCs w:val="20"/>
              </w:rPr>
            </w:pPr>
            <w:r w:rsidRPr="00AA00FA">
              <w:rPr>
                <w:sz w:val="20"/>
                <w:szCs w:val="20"/>
              </w:rPr>
              <w:t>0.022</w:t>
            </w:r>
          </w:p>
        </w:tc>
      </w:tr>
      <w:tr w:rsidR="00447245" w:rsidRPr="00AA00FA" w14:paraId="5E40EF2B" w14:textId="77777777" w:rsidTr="00D6251D">
        <w:tc>
          <w:tcPr>
            <w:tcW w:w="0" w:type="auto"/>
          </w:tcPr>
          <w:p w14:paraId="536EB16A" w14:textId="77777777" w:rsidR="00447245" w:rsidRPr="00AA00FA" w:rsidRDefault="00447245" w:rsidP="00FB05DE">
            <w:pPr>
              <w:spacing w:before="40" w:after="40"/>
              <w:rPr>
                <w:sz w:val="20"/>
                <w:szCs w:val="20"/>
              </w:rPr>
            </w:pPr>
            <w:r w:rsidRPr="00AA00FA">
              <w:rPr>
                <w:sz w:val="20"/>
                <w:szCs w:val="20"/>
              </w:rPr>
              <w:t>Disruptiveness</w:t>
            </w:r>
          </w:p>
        </w:tc>
        <w:tc>
          <w:tcPr>
            <w:tcW w:w="0" w:type="auto"/>
          </w:tcPr>
          <w:p w14:paraId="58991FD3" w14:textId="77777777" w:rsidR="00447245" w:rsidRPr="00AA00FA" w:rsidRDefault="00447245" w:rsidP="00FB05DE">
            <w:pPr>
              <w:spacing w:before="40" w:after="40"/>
              <w:rPr>
                <w:sz w:val="20"/>
                <w:szCs w:val="20"/>
              </w:rPr>
            </w:pPr>
            <w:r w:rsidRPr="00AA00FA">
              <w:rPr>
                <w:sz w:val="20"/>
                <w:szCs w:val="20"/>
              </w:rPr>
              <w:t>1000</w:t>
            </w:r>
          </w:p>
        </w:tc>
        <w:tc>
          <w:tcPr>
            <w:tcW w:w="0" w:type="auto"/>
          </w:tcPr>
          <w:p w14:paraId="0566C636" w14:textId="77777777" w:rsidR="00447245" w:rsidRPr="00AA00FA" w:rsidRDefault="00447245" w:rsidP="00FB05DE">
            <w:pPr>
              <w:spacing w:before="40" w:after="40"/>
              <w:rPr>
                <w:sz w:val="20"/>
                <w:szCs w:val="20"/>
              </w:rPr>
            </w:pPr>
            <w:r w:rsidRPr="00AA00FA">
              <w:rPr>
                <w:sz w:val="20"/>
                <w:szCs w:val="20"/>
              </w:rPr>
              <w:t>Disruptiveness&lt;=1, Disruptiveness = 2</w:t>
            </w:r>
          </w:p>
        </w:tc>
        <w:tc>
          <w:tcPr>
            <w:tcW w:w="0" w:type="auto"/>
          </w:tcPr>
          <w:p w14:paraId="52CEAFF3" w14:textId="77777777" w:rsidR="00447245" w:rsidRPr="00AA00FA" w:rsidRDefault="00447245" w:rsidP="00FB05DE">
            <w:pPr>
              <w:spacing w:before="40" w:after="40"/>
              <w:rPr>
                <w:sz w:val="20"/>
                <w:szCs w:val="20"/>
              </w:rPr>
            </w:pPr>
            <w:r w:rsidRPr="00AA00FA">
              <w:rPr>
                <w:sz w:val="20"/>
                <w:szCs w:val="20"/>
              </w:rPr>
              <w:t>0.020</w:t>
            </w:r>
          </w:p>
        </w:tc>
      </w:tr>
      <w:tr w:rsidR="00447245" w:rsidRPr="00AA00FA" w14:paraId="3687DC87" w14:textId="77777777" w:rsidTr="00D6251D">
        <w:tc>
          <w:tcPr>
            <w:tcW w:w="0" w:type="auto"/>
          </w:tcPr>
          <w:p w14:paraId="7C24220E" w14:textId="77777777" w:rsidR="00447245" w:rsidRPr="00AA00FA" w:rsidRDefault="00447245" w:rsidP="00FB05DE">
            <w:pPr>
              <w:spacing w:before="40" w:after="40"/>
              <w:rPr>
                <w:sz w:val="20"/>
                <w:szCs w:val="20"/>
              </w:rPr>
            </w:pPr>
            <w:r w:rsidRPr="00AA00FA">
              <w:rPr>
                <w:sz w:val="20"/>
                <w:szCs w:val="20"/>
              </w:rPr>
              <w:t>Weight Loss</w:t>
            </w:r>
          </w:p>
        </w:tc>
        <w:tc>
          <w:tcPr>
            <w:tcW w:w="0" w:type="auto"/>
          </w:tcPr>
          <w:p w14:paraId="113B6056" w14:textId="77777777" w:rsidR="00447245" w:rsidRPr="00AA00FA" w:rsidRDefault="00447245" w:rsidP="00FB05DE">
            <w:pPr>
              <w:spacing w:before="40" w:after="40"/>
              <w:rPr>
                <w:sz w:val="20"/>
                <w:szCs w:val="20"/>
              </w:rPr>
            </w:pPr>
            <w:r w:rsidRPr="00AA00FA">
              <w:rPr>
                <w:sz w:val="20"/>
                <w:szCs w:val="20"/>
              </w:rPr>
              <w:t>975</w:t>
            </w:r>
          </w:p>
        </w:tc>
        <w:tc>
          <w:tcPr>
            <w:tcW w:w="0" w:type="auto"/>
          </w:tcPr>
          <w:p w14:paraId="2DEB706D" w14:textId="77777777" w:rsidR="00447245" w:rsidRPr="00AA00FA" w:rsidRDefault="00447245" w:rsidP="00FB05DE">
            <w:pPr>
              <w:spacing w:before="40" w:after="40"/>
              <w:rPr>
                <w:sz w:val="20"/>
                <w:szCs w:val="20"/>
              </w:rPr>
            </w:pPr>
            <w:r w:rsidRPr="00AA00FA">
              <w:rPr>
                <w:sz w:val="20"/>
                <w:szCs w:val="20"/>
              </w:rPr>
              <w:t>Weight Loss = 0, Weight Loss = 1</w:t>
            </w:r>
          </w:p>
        </w:tc>
        <w:tc>
          <w:tcPr>
            <w:tcW w:w="0" w:type="auto"/>
          </w:tcPr>
          <w:p w14:paraId="3C44CD61" w14:textId="77777777" w:rsidR="00447245" w:rsidRPr="00AA00FA" w:rsidRDefault="00447245" w:rsidP="00FB05DE">
            <w:pPr>
              <w:spacing w:before="40" w:after="40"/>
              <w:rPr>
                <w:sz w:val="20"/>
                <w:szCs w:val="20"/>
              </w:rPr>
            </w:pPr>
            <w:r w:rsidRPr="00AA00FA">
              <w:rPr>
                <w:sz w:val="20"/>
                <w:szCs w:val="20"/>
              </w:rPr>
              <w:t>0.016</w:t>
            </w:r>
          </w:p>
        </w:tc>
      </w:tr>
      <w:tr w:rsidR="00447245" w:rsidRPr="00AA00FA" w14:paraId="7ABEF508" w14:textId="77777777" w:rsidTr="00D6251D">
        <w:tc>
          <w:tcPr>
            <w:tcW w:w="0" w:type="auto"/>
          </w:tcPr>
          <w:p w14:paraId="1523FC2A" w14:textId="77777777" w:rsidR="00447245" w:rsidRPr="00AA00FA" w:rsidRDefault="00447245" w:rsidP="00FB05DE">
            <w:pPr>
              <w:spacing w:before="40" w:after="40"/>
              <w:rPr>
                <w:sz w:val="20"/>
                <w:szCs w:val="20"/>
              </w:rPr>
            </w:pPr>
            <w:r w:rsidRPr="00AA00FA">
              <w:rPr>
                <w:sz w:val="20"/>
                <w:szCs w:val="20"/>
              </w:rPr>
              <w:t>Daily Injections</w:t>
            </w:r>
          </w:p>
        </w:tc>
        <w:tc>
          <w:tcPr>
            <w:tcW w:w="0" w:type="auto"/>
          </w:tcPr>
          <w:p w14:paraId="208D97EC" w14:textId="77777777" w:rsidR="00447245" w:rsidRPr="00AA00FA" w:rsidRDefault="00447245" w:rsidP="00FB05DE">
            <w:pPr>
              <w:spacing w:before="40" w:after="40"/>
              <w:rPr>
                <w:sz w:val="20"/>
                <w:szCs w:val="20"/>
              </w:rPr>
            </w:pPr>
            <w:r w:rsidRPr="00AA00FA">
              <w:rPr>
                <w:sz w:val="20"/>
                <w:szCs w:val="20"/>
              </w:rPr>
              <w:t>1035</w:t>
            </w:r>
          </w:p>
        </w:tc>
        <w:tc>
          <w:tcPr>
            <w:tcW w:w="0" w:type="auto"/>
          </w:tcPr>
          <w:p w14:paraId="730A0934" w14:textId="77777777" w:rsidR="00447245" w:rsidRPr="00AA00FA" w:rsidRDefault="00447245" w:rsidP="00FB05DE">
            <w:pPr>
              <w:spacing w:before="40" w:after="40"/>
              <w:rPr>
                <w:sz w:val="20"/>
                <w:szCs w:val="20"/>
              </w:rPr>
            </w:pPr>
            <w:r w:rsidRPr="00AA00FA">
              <w:rPr>
                <w:sz w:val="20"/>
                <w:szCs w:val="20"/>
              </w:rPr>
              <w:t>Daily Injections = 0, Daily Injections = 1</w:t>
            </w:r>
          </w:p>
        </w:tc>
        <w:tc>
          <w:tcPr>
            <w:tcW w:w="0" w:type="auto"/>
          </w:tcPr>
          <w:p w14:paraId="6310133D" w14:textId="77777777" w:rsidR="00447245" w:rsidRPr="00AA00FA" w:rsidRDefault="00447245" w:rsidP="00FB05DE">
            <w:pPr>
              <w:spacing w:before="40" w:after="40"/>
              <w:rPr>
                <w:sz w:val="20"/>
                <w:szCs w:val="20"/>
              </w:rPr>
            </w:pPr>
            <w:r w:rsidRPr="00AA00FA">
              <w:rPr>
                <w:sz w:val="20"/>
                <w:szCs w:val="20"/>
              </w:rPr>
              <w:t>0.008</w:t>
            </w:r>
          </w:p>
        </w:tc>
      </w:tr>
      <w:tr w:rsidR="00447245" w:rsidRPr="00AA00FA" w14:paraId="5BBDE3FB" w14:textId="77777777" w:rsidTr="00D6251D">
        <w:tc>
          <w:tcPr>
            <w:tcW w:w="0" w:type="auto"/>
          </w:tcPr>
          <w:p w14:paraId="0ACB2700" w14:textId="77777777" w:rsidR="00447245" w:rsidRPr="00AA00FA" w:rsidRDefault="00447245" w:rsidP="00FB05DE">
            <w:pPr>
              <w:spacing w:before="40" w:after="40"/>
              <w:rPr>
                <w:sz w:val="20"/>
                <w:szCs w:val="20"/>
              </w:rPr>
            </w:pPr>
            <w:r w:rsidRPr="00AA00FA">
              <w:rPr>
                <w:sz w:val="20"/>
                <w:szCs w:val="20"/>
              </w:rPr>
              <w:t>Agitation</w:t>
            </w:r>
          </w:p>
        </w:tc>
        <w:tc>
          <w:tcPr>
            <w:tcW w:w="0" w:type="auto"/>
          </w:tcPr>
          <w:p w14:paraId="2EA3DE7A" w14:textId="77777777" w:rsidR="00447245" w:rsidRPr="00AA00FA" w:rsidRDefault="00447245" w:rsidP="00FB05DE">
            <w:pPr>
              <w:spacing w:before="40" w:after="40"/>
              <w:rPr>
                <w:sz w:val="20"/>
                <w:szCs w:val="20"/>
              </w:rPr>
            </w:pPr>
            <w:r w:rsidRPr="00AA00FA">
              <w:rPr>
                <w:sz w:val="20"/>
                <w:szCs w:val="20"/>
              </w:rPr>
              <w:t>1024</w:t>
            </w:r>
          </w:p>
        </w:tc>
        <w:tc>
          <w:tcPr>
            <w:tcW w:w="0" w:type="auto"/>
          </w:tcPr>
          <w:p w14:paraId="5F9ABFFE" w14:textId="77777777" w:rsidR="00447245" w:rsidRPr="00AA00FA" w:rsidRDefault="00447245" w:rsidP="00FB05DE">
            <w:pPr>
              <w:spacing w:before="40" w:after="40"/>
              <w:rPr>
                <w:sz w:val="20"/>
                <w:szCs w:val="20"/>
              </w:rPr>
            </w:pPr>
            <w:r w:rsidRPr="00AA00FA">
              <w:rPr>
                <w:sz w:val="20"/>
                <w:szCs w:val="20"/>
              </w:rPr>
              <w:t>Agitation = 0, Agitation = 1</w:t>
            </w:r>
          </w:p>
        </w:tc>
        <w:tc>
          <w:tcPr>
            <w:tcW w:w="0" w:type="auto"/>
          </w:tcPr>
          <w:p w14:paraId="4EC44CAA" w14:textId="77777777" w:rsidR="00447245" w:rsidRPr="00AA00FA" w:rsidRDefault="00447245" w:rsidP="00FB05DE">
            <w:pPr>
              <w:spacing w:before="40" w:after="40"/>
              <w:rPr>
                <w:sz w:val="20"/>
                <w:szCs w:val="20"/>
              </w:rPr>
            </w:pPr>
            <w:r w:rsidRPr="00AA00FA">
              <w:rPr>
                <w:sz w:val="20"/>
                <w:szCs w:val="20"/>
              </w:rPr>
              <w:t>0.007</w:t>
            </w:r>
          </w:p>
        </w:tc>
      </w:tr>
      <w:tr w:rsidR="00447245" w:rsidRPr="00AA00FA" w14:paraId="253A9F27" w14:textId="77777777" w:rsidTr="00D6251D">
        <w:tc>
          <w:tcPr>
            <w:tcW w:w="0" w:type="auto"/>
          </w:tcPr>
          <w:p w14:paraId="1EE0064D" w14:textId="77777777" w:rsidR="00447245" w:rsidRPr="00AA00FA" w:rsidRDefault="00447245" w:rsidP="00FB05DE">
            <w:pPr>
              <w:spacing w:before="40" w:after="40"/>
              <w:rPr>
                <w:sz w:val="20"/>
                <w:szCs w:val="20"/>
              </w:rPr>
            </w:pPr>
            <w:r w:rsidRPr="00AA00FA">
              <w:rPr>
                <w:sz w:val="20"/>
                <w:szCs w:val="20"/>
              </w:rPr>
              <w:t>Falls in last 12 months</w:t>
            </w:r>
          </w:p>
        </w:tc>
        <w:tc>
          <w:tcPr>
            <w:tcW w:w="0" w:type="auto"/>
          </w:tcPr>
          <w:p w14:paraId="135E83F4" w14:textId="77777777" w:rsidR="00447245" w:rsidRPr="00AA00FA" w:rsidRDefault="00447245" w:rsidP="00FB05DE">
            <w:pPr>
              <w:spacing w:before="40" w:after="40"/>
              <w:rPr>
                <w:sz w:val="20"/>
                <w:szCs w:val="20"/>
              </w:rPr>
            </w:pPr>
            <w:r w:rsidRPr="00AA00FA">
              <w:rPr>
                <w:sz w:val="20"/>
                <w:szCs w:val="20"/>
              </w:rPr>
              <w:t>995</w:t>
            </w:r>
          </w:p>
        </w:tc>
        <w:tc>
          <w:tcPr>
            <w:tcW w:w="0" w:type="auto"/>
          </w:tcPr>
          <w:p w14:paraId="2BF8E229" w14:textId="77777777" w:rsidR="00447245" w:rsidRPr="00AA00FA" w:rsidRDefault="00447245" w:rsidP="00FB05DE">
            <w:pPr>
              <w:spacing w:before="40" w:after="40"/>
              <w:rPr>
                <w:sz w:val="20"/>
                <w:szCs w:val="20"/>
              </w:rPr>
            </w:pPr>
            <w:r w:rsidRPr="00AA00FA">
              <w:rPr>
                <w:sz w:val="20"/>
                <w:szCs w:val="20"/>
              </w:rPr>
              <w:t>Falls = 0, Falls = 1</w:t>
            </w:r>
          </w:p>
        </w:tc>
        <w:tc>
          <w:tcPr>
            <w:tcW w:w="0" w:type="auto"/>
          </w:tcPr>
          <w:p w14:paraId="0609136B" w14:textId="77777777" w:rsidR="00447245" w:rsidRPr="00AA00FA" w:rsidRDefault="00447245" w:rsidP="00FB05DE">
            <w:pPr>
              <w:spacing w:before="40" w:after="40"/>
              <w:rPr>
                <w:sz w:val="20"/>
                <w:szCs w:val="20"/>
              </w:rPr>
            </w:pPr>
            <w:r w:rsidRPr="00AA00FA">
              <w:rPr>
                <w:sz w:val="20"/>
                <w:szCs w:val="20"/>
              </w:rPr>
              <w:t>0.002</w:t>
            </w:r>
          </w:p>
        </w:tc>
      </w:tr>
      <w:tr w:rsidR="00447245" w:rsidRPr="00AA00FA" w14:paraId="2DB9E7B7" w14:textId="77777777" w:rsidTr="00D6251D">
        <w:tc>
          <w:tcPr>
            <w:tcW w:w="0" w:type="auto"/>
          </w:tcPr>
          <w:p w14:paraId="54F8663F" w14:textId="77777777" w:rsidR="00447245" w:rsidRPr="00AA00FA" w:rsidRDefault="00447245" w:rsidP="00FB05DE">
            <w:pPr>
              <w:spacing w:before="40" w:after="40"/>
              <w:rPr>
                <w:sz w:val="20"/>
                <w:szCs w:val="20"/>
              </w:rPr>
            </w:pPr>
            <w:r w:rsidRPr="00AA00FA">
              <w:rPr>
                <w:sz w:val="20"/>
                <w:szCs w:val="20"/>
              </w:rPr>
              <w:t>Time in Care</w:t>
            </w:r>
          </w:p>
        </w:tc>
        <w:tc>
          <w:tcPr>
            <w:tcW w:w="0" w:type="auto"/>
          </w:tcPr>
          <w:p w14:paraId="587758E0" w14:textId="77777777" w:rsidR="00447245" w:rsidRPr="00AA00FA" w:rsidRDefault="00447245" w:rsidP="00FB05DE">
            <w:pPr>
              <w:spacing w:before="40" w:after="40"/>
              <w:rPr>
                <w:sz w:val="20"/>
                <w:szCs w:val="20"/>
              </w:rPr>
            </w:pPr>
            <w:r w:rsidRPr="00AA00FA">
              <w:rPr>
                <w:sz w:val="20"/>
                <w:szCs w:val="20"/>
              </w:rPr>
              <w:t>1033</w:t>
            </w:r>
          </w:p>
        </w:tc>
        <w:tc>
          <w:tcPr>
            <w:tcW w:w="0" w:type="auto"/>
          </w:tcPr>
          <w:p w14:paraId="759968FB" w14:textId="77777777" w:rsidR="00447245" w:rsidRPr="00AA00FA" w:rsidRDefault="00447245" w:rsidP="00FB05DE">
            <w:pPr>
              <w:spacing w:before="40" w:after="40"/>
              <w:rPr>
                <w:sz w:val="20"/>
                <w:szCs w:val="20"/>
              </w:rPr>
            </w:pPr>
            <w:r w:rsidRPr="00AA00FA">
              <w:rPr>
                <w:sz w:val="20"/>
                <w:szCs w:val="20"/>
              </w:rPr>
              <w:t>Time in care &lt;=180 days, Time in care &gt; 180 days</w:t>
            </w:r>
          </w:p>
        </w:tc>
        <w:tc>
          <w:tcPr>
            <w:tcW w:w="0" w:type="auto"/>
          </w:tcPr>
          <w:p w14:paraId="195D5CB2" w14:textId="77777777" w:rsidR="00447245" w:rsidRPr="00AA00FA" w:rsidRDefault="00447245" w:rsidP="00FB05DE">
            <w:pPr>
              <w:spacing w:before="40" w:after="40"/>
              <w:rPr>
                <w:sz w:val="20"/>
                <w:szCs w:val="20"/>
              </w:rPr>
            </w:pPr>
            <w:r w:rsidRPr="00AA00FA">
              <w:rPr>
                <w:sz w:val="20"/>
                <w:szCs w:val="20"/>
              </w:rPr>
              <w:t>0.002</w:t>
            </w:r>
          </w:p>
        </w:tc>
      </w:tr>
    </w:tbl>
    <w:p w14:paraId="4FFB2328" w14:textId="77777777" w:rsidR="00FE46FD" w:rsidRDefault="00FE46FD" w:rsidP="005D50B6">
      <w:pPr>
        <w:spacing w:before="120"/>
      </w:pPr>
      <w:bookmarkStart w:id="120" w:name="_Toc528685422"/>
      <w:r>
        <w:t>The analysis of the binary split of the independent variables showed that function, mobility and activities of daily living produced the largest RIV. This indicates that these characteristics are the most important resource utilisation drivers for aged care residents.</w:t>
      </w:r>
    </w:p>
    <w:p w14:paraId="7080A0E7" w14:textId="77777777" w:rsidR="008428D1" w:rsidRPr="00534F50" w:rsidRDefault="008428D1" w:rsidP="00534F50">
      <w:pPr>
        <w:pStyle w:val="Normal-nospacing"/>
      </w:pPr>
      <w:r w:rsidRPr="008428D1">
        <w:lastRenderedPageBreak/>
        <w:t xml:space="preserve">None of </w:t>
      </w:r>
      <w:r>
        <w:t>the other assessment items proved to be a high level predictor of a resident’s resource needs.</w:t>
      </w:r>
      <w:r w:rsidR="00602049">
        <w:t xml:space="preserve"> The </w:t>
      </w:r>
      <w:r w:rsidR="00BD283C">
        <w:t xml:space="preserve">final </w:t>
      </w:r>
      <w:r w:rsidR="0050333E">
        <w:t xml:space="preserve">output of </w:t>
      </w:r>
      <w:r w:rsidR="00602049">
        <w:t>the analys</w:t>
      </w:r>
      <w:r w:rsidR="0050333E">
        <w:t>e</w:t>
      </w:r>
      <w:r w:rsidR="00602049">
        <w:t xml:space="preserve">s described in this </w:t>
      </w:r>
      <w:r w:rsidR="00655C02">
        <w:t>s</w:t>
      </w:r>
      <w:r w:rsidR="00602049">
        <w:t xml:space="preserve">ection </w:t>
      </w:r>
      <w:r w:rsidR="00E329D9">
        <w:t>was a draft AN-ACC Version 1.0.</w:t>
      </w:r>
    </w:p>
    <w:p w14:paraId="11A9A2ED" w14:textId="77777777" w:rsidR="00447245" w:rsidRDefault="00447245" w:rsidP="00534F50">
      <w:pPr>
        <w:pStyle w:val="Heading2"/>
      </w:pPr>
      <w:bookmarkStart w:id="121" w:name="_Toc2070331"/>
      <w:r>
        <w:t>Clinical panel recommendations</w:t>
      </w:r>
      <w:bookmarkEnd w:id="120"/>
      <w:bookmarkEnd w:id="121"/>
      <w:r>
        <w:t xml:space="preserve"> </w:t>
      </w:r>
    </w:p>
    <w:p w14:paraId="33DC0BE1" w14:textId="77777777" w:rsidR="007032A6" w:rsidRDefault="00602049" w:rsidP="00FE46FD">
      <w:pPr>
        <w:pStyle w:val="Normal-nospacing"/>
      </w:pPr>
      <w:r>
        <w:t xml:space="preserve">AN-ACC Version 1.0 was </w:t>
      </w:r>
      <w:r w:rsidR="00447245">
        <w:t xml:space="preserve">presented to a clinical </w:t>
      </w:r>
      <w:r w:rsidR="00BF5ADC">
        <w:t xml:space="preserve">advisory </w:t>
      </w:r>
      <w:r w:rsidR="00447245">
        <w:t>panel compris</w:t>
      </w:r>
      <w:r w:rsidR="00BF5ADC">
        <w:t>ing</w:t>
      </w:r>
      <w:r w:rsidR="0050333E">
        <w:t xml:space="preserve"> </w:t>
      </w:r>
      <w:r w:rsidR="00447245">
        <w:t>representatives from</w:t>
      </w:r>
      <w:r w:rsidR="00BF5ADC">
        <w:t xml:space="preserve"> each of </w:t>
      </w:r>
      <w:r w:rsidR="00447245">
        <w:t>the four panels convened for the assessment tool</w:t>
      </w:r>
      <w:r w:rsidR="0050333E">
        <w:t xml:space="preserve"> </w:t>
      </w:r>
      <w:r w:rsidR="00447245">
        <w:t>development.</w:t>
      </w:r>
      <w:r w:rsidR="0050333E">
        <w:t xml:space="preserve"> </w:t>
      </w:r>
      <w:r>
        <w:t>T</w:t>
      </w:r>
      <w:r w:rsidRPr="00602049">
        <w:t>h</w:t>
      </w:r>
      <w:r>
        <w:t>is</w:t>
      </w:r>
      <w:r w:rsidRPr="00602049">
        <w:t xml:space="preserve"> panel </w:t>
      </w:r>
      <w:r w:rsidR="007032A6">
        <w:t xml:space="preserve">was asked to </w:t>
      </w:r>
      <w:r w:rsidRPr="00602049">
        <w:t xml:space="preserve">review </w:t>
      </w:r>
      <w:r>
        <w:t xml:space="preserve">the </w:t>
      </w:r>
      <w:r w:rsidRPr="00602049">
        <w:t xml:space="preserve">draft classification and </w:t>
      </w:r>
      <w:r w:rsidR="007032A6">
        <w:t xml:space="preserve">provide advice on </w:t>
      </w:r>
      <w:r w:rsidR="00275AE6">
        <w:t xml:space="preserve">several specific </w:t>
      </w:r>
      <w:r w:rsidR="00E329D9">
        <w:t>issues.</w:t>
      </w:r>
    </w:p>
    <w:p w14:paraId="1BC08FE8" w14:textId="77777777" w:rsidR="0050333E" w:rsidRDefault="00275AE6" w:rsidP="00FE46FD">
      <w:pPr>
        <w:pStyle w:val="Normal-nospacing"/>
      </w:pPr>
      <w:r>
        <w:t xml:space="preserve">Advice was sought on </w:t>
      </w:r>
      <w:r w:rsidR="0050333E" w:rsidRPr="00CB4FAE">
        <w:t xml:space="preserve">whether changes were required in response to the assessor feedback that had been received on the </w:t>
      </w:r>
      <w:r w:rsidR="003F2818">
        <w:t>AM-</w:t>
      </w:r>
      <w:r w:rsidR="0050333E" w:rsidRPr="00CB4FAE">
        <w:t>FIM and NPI-NH. There was support to substitute the NPI-NH with the Behaviour Resource Utilisation Assessment (BRUA) if analysis on the Study Four resident reassessment data (which would incorporate both the NPI-NH and the BRUA) indicated that this was appropriate.</w:t>
      </w:r>
    </w:p>
    <w:p w14:paraId="455D709A" w14:textId="77777777" w:rsidR="0050333E" w:rsidRDefault="0050333E" w:rsidP="00FE46FD">
      <w:pPr>
        <w:pStyle w:val="Normal-nospacing"/>
      </w:pPr>
      <w:r>
        <w:t>This subsequently occurred and thus the final version of the classification presented in the next section incorporates t</w:t>
      </w:r>
      <w:r w:rsidR="00E329D9">
        <w:t>he BRUA rather than the NPI-NH.</w:t>
      </w:r>
    </w:p>
    <w:p w14:paraId="2CB59C10" w14:textId="77777777" w:rsidR="0050333E" w:rsidRDefault="0050333E" w:rsidP="00FE46FD">
      <w:pPr>
        <w:pStyle w:val="Normal-nospacing"/>
      </w:pPr>
      <w:r w:rsidRPr="00CB4FAE">
        <w:t xml:space="preserve">The clinical panel </w:t>
      </w:r>
      <w:r w:rsidR="00BD283C">
        <w:t xml:space="preserve">also </w:t>
      </w:r>
      <w:r w:rsidRPr="00CB4FAE">
        <w:t xml:space="preserve">recommended that the seven point scale should be retained in the </w:t>
      </w:r>
      <w:r w:rsidR="003F2818">
        <w:t>AM-</w:t>
      </w:r>
      <w:r w:rsidRPr="00CB4FAE">
        <w:t>FIM</w:t>
      </w:r>
      <w:r>
        <w:t>. H</w:t>
      </w:r>
      <w:r w:rsidRPr="00CB4FAE">
        <w:t>owever</w:t>
      </w:r>
      <w:r>
        <w:t>,</w:t>
      </w:r>
      <w:r w:rsidRPr="00CB4FAE">
        <w:t xml:space="preserve"> it was recommended to investigate the impact of aggregating the scores in future refinements. They recommended that it was appropriate to excl</w:t>
      </w:r>
      <w:r>
        <w:t>ude the stair item from the FIM</w:t>
      </w:r>
      <w:r w:rsidRPr="00CB4FAE">
        <w:t>. There was agreement that residents should continue to be assessed using an approach of ‘can do’ rather than ‘do do’ as this supported the provision of care that is adapted for each resident.</w:t>
      </w:r>
      <w:r>
        <w:t xml:space="preserve"> The result is that the AM-FIM instrument was adopted in the final version.</w:t>
      </w:r>
    </w:p>
    <w:p w14:paraId="4E30DCAA" w14:textId="77777777" w:rsidR="00447245" w:rsidRDefault="00B56BB2" w:rsidP="00FE46FD">
      <w:pPr>
        <w:pStyle w:val="Normal-nospacing"/>
      </w:pPr>
      <w:r>
        <w:t>The clinical panel noted that c</w:t>
      </w:r>
      <w:r w:rsidR="00447245">
        <w:t xml:space="preserve">ognition and behaviour do not appear as strong cost drivers in the classification </w:t>
      </w:r>
      <w:r w:rsidR="00AE7A80">
        <w:t xml:space="preserve">when measured individually. </w:t>
      </w:r>
      <w:r w:rsidR="008428D1">
        <w:t xml:space="preserve">However, </w:t>
      </w:r>
      <w:r w:rsidR="00447245">
        <w:t>these domains drive cost through ADL needs and so the resource utilisation is reflected in these measures.</w:t>
      </w:r>
      <w:r w:rsidR="00AE7A80">
        <w:t xml:space="preserve"> </w:t>
      </w:r>
      <w:r w:rsidR="008428D1">
        <w:t xml:space="preserve">Residents with cognitive impairments and challenging behaviours do not have the </w:t>
      </w:r>
      <w:r w:rsidR="00AE7A80">
        <w:t xml:space="preserve">capacity to perform ADL tasks. </w:t>
      </w:r>
      <w:r w:rsidR="008428D1">
        <w:t>ADL scores are thus a proxy for cognition and behaviour as well as resident’s underlying diagnosis (e.g. dementia)</w:t>
      </w:r>
      <w:r>
        <w:t>.</w:t>
      </w:r>
    </w:p>
    <w:p w14:paraId="438E5135" w14:textId="77777777" w:rsidR="007032A6" w:rsidRDefault="008E664B" w:rsidP="00FE46FD">
      <w:pPr>
        <w:pStyle w:val="Normal-nospacing"/>
      </w:pPr>
      <w:r>
        <w:t xml:space="preserve">In relation to palliative care, the clinical panel recommended that the proposed </w:t>
      </w:r>
      <w:r w:rsidR="00447245" w:rsidRPr="007032A6">
        <w:t xml:space="preserve">class should be retained with a cost weight to be </w:t>
      </w:r>
      <w:r w:rsidR="007032A6" w:rsidRPr="007032A6">
        <w:t xml:space="preserve">imputed given the lack of study </w:t>
      </w:r>
      <w:r w:rsidR="00447245" w:rsidRPr="007032A6">
        <w:t>data available.</w:t>
      </w:r>
      <w:r w:rsidR="007032A6" w:rsidRPr="007032A6">
        <w:t xml:space="preserve"> </w:t>
      </w:r>
      <w:r>
        <w:t>I</w:t>
      </w:r>
      <w:r w:rsidR="003F465D">
        <w:t>t</w:t>
      </w:r>
      <w:r>
        <w:t xml:space="preserve"> further recommended that th</w:t>
      </w:r>
      <w:r w:rsidR="00447245" w:rsidRPr="007032A6">
        <w:t>e criteria for the palliative class should be revised to an AKPS score of 40 or less</w:t>
      </w:r>
      <w:r w:rsidR="007032A6" w:rsidRPr="007032A6">
        <w:t xml:space="preserve"> (th</w:t>
      </w:r>
      <w:r w:rsidR="00D335F5">
        <w:t>e context for this recommendation i</w:t>
      </w:r>
      <w:r w:rsidR="007032A6" w:rsidRPr="007032A6">
        <w:t xml:space="preserve">s </w:t>
      </w:r>
      <w:r w:rsidR="00D335F5">
        <w:t xml:space="preserve">provided in </w:t>
      </w:r>
      <w:r w:rsidR="007032A6" w:rsidRPr="007032A6">
        <w:t>Section 6.5).</w:t>
      </w:r>
      <w:r>
        <w:t xml:space="preserve"> </w:t>
      </w:r>
      <w:bookmarkStart w:id="122" w:name="_Toc528685423"/>
      <w:r>
        <w:t>Finally, the clinical panel recommended that i</w:t>
      </w:r>
      <w:r w:rsidR="007032A6">
        <w:t>t was appropriate to include a history of falls as a variable in the classification as this was a recognised cost driver.</w:t>
      </w:r>
    </w:p>
    <w:p w14:paraId="45CE23DD" w14:textId="77777777" w:rsidR="00A97516" w:rsidRDefault="00D06E8D" w:rsidP="00FE46FD">
      <w:pPr>
        <w:pStyle w:val="Normal-nospacing"/>
      </w:pPr>
      <w:r>
        <w:t>S</w:t>
      </w:r>
      <w:r w:rsidR="00D335F5">
        <w:t>ubject to the changes outlined above</w:t>
      </w:r>
      <w:r w:rsidR="0061203A">
        <w:t xml:space="preserve"> being incorporated into the classification</w:t>
      </w:r>
      <w:r w:rsidR="00D335F5">
        <w:t xml:space="preserve">, </w:t>
      </w:r>
      <w:r>
        <w:t xml:space="preserve">the clinical panel </w:t>
      </w:r>
      <w:r w:rsidR="0061203A">
        <w:t xml:space="preserve">unanimously </w:t>
      </w:r>
      <w:r>
        <w:t xml:space="preserve">endorsed </w:t>
      </w:r>
      <w:r w:rsidR="008E664B" w:rsidRPr="00B56BB2">
        <w:t>AN-ACC Version 1.0</w:t>
      </w:r>
      <w:r w:rsidR="00E329D9">
        <w:t>.</w:t>
      </w:r>
    </w:p>
    <w:p w14:paraId="1042A550" w14:textId="77777777" w:rsidR="00447245" w:rsidRDefault="00447245" w:rsidP="00D06E8D">
      <w:pPr>
        <w:pStyle w:val="Heading2"/>
      </w:pPr>
      <w:bookmarkStart w:id="123" w:name="_Toc2070332"/>
      <w:r>
        <w:t xml:space="preserve">Overview of </w:t>
      </w:r>
      <w:r w:rsidR="005A1FD0">
        <w:t xml:space="preserve">the </w:t>
      </w:r>
      <w:r>
        <w:t>AN-ACC</w:t>
      </w:r>
      <w:bookmarkEnd w:id="122"/>
      <w:bookmarkEnd w:id="123"/>
    </w:p>
    <w:p w14:paraId="67CCA13D" w14:textId="77777777" w:rsidR="00447245" w:rsidRPr="00215369" w:rsidRDefault="00447245" w:rsidP="00FE46FD">
      <w:pPr>
        <w:pStyle w:val="Normal-nospacing"/>
        <w:rPr>
          <w:b/>
          <w:bCs/>
          <w:szCs w:val="18"/>
        </w:rPr>
      </w:pPr>
      <w:r>
        <w:t xml:space="preserve">The AN-ACC </w:t>
      </w:r>
      <w:r w:rsidR="00F569A9">
        <w:t xml:space="preserve">Version 1.0 </w:t>
      </w:r>
      <w:r>
        <w:t xml:space="preserve">is </w:t>
      </w:r>
      <w:r w:rsidR="008428D1">
        <w:t xml:space="preserve">a </w:t>
      </w:r>
      <w:r>
        <w:t xml:space="preserve">branching classification that can be used to classify aged care residents into resource homogenous groups based on their individual characteristics. </w:t>
      </w:r>
      <w:r w:rsidR="005A1FD0">
        <w:t xml:space="preserve">The structure of </w:t>
      </w:r>
      <w:r>
        <w:t>AN-ACC</w:t>
      </w:r>
      <w:r w:rsidR="008428D1">
        <w:t xml:space="preserve"> Version 1.0</w:t>
      </w:r>
      <w:r>
        <w:t xml:space="preserve"> is </w:t>
      </w:r>
      <w:r w:rsidR="00A97516">
        <w:t xml:space="preserve">shown </w:t>
      </w:r>
      <w:r>
        <w:t>in</w:t>
      </w:r>
      <w:r w:rsidR="003944F9">
        <w:t xml:space="preserve"> </w:t>
      </w:r>
      <w:r w:rsidR="00A442AE">
        <w:fldChar w:fldCharType="begin"/>
      </w:r>
      <w:r w:rsidR="00A442AE">
        <w:instrText xml:space="preserve"> REF _Ref530158132 \h </w:instrText>
      </w:r>
      <w:r w:rsidR="00FE46FD">
        <w:instrText xml:space="preserve"> \* MERGEFORMAT </w:instrText>
      </w:r>
      <w:r w:rsidR="00A442AE">
        <w:fldChar w:fldCharType="separate"/>
      </w:r>
      <w:r w:rsidR="00EE18C8">
        <w:t xml:space="preserve">Figure </w:t>
      </w:r>
      <w:r w:rsidR="00EE18C8">
        <w:rPr>
          <w:noProof/>
        </w:rPr>
        <w:t>4</w:t>
      </w:r>
      <w:r w:rsidR="00A442AE">
        <w:fldChar w:fldCharType="end"/>
      </w:r>
      <w:r w:rsidR="00A442AE">
        <w:t xml:space="preserve"> </w:t>
      </w:r>
      <w:r w:rsidR="003944F9">
        <w:t xml:space="preserve">and </w:t>
      </w:r>
      <w:r w:rsidR="003944F9">
        <w:fldChar w:fldCharType="begin"/>
      </w:r>
      <w:r w:rsidR="003944F9">
        <w:instrText xml:space="preserve"> REF _Ref530155264 \h </w:instrText>
      </w:r>
      <w:r w:rsidR="00FE46FD">
        <w:instrText xml:space="preserve"> \* MERGEFORMAT </w:instrText>
      </w:r>
      <w:r w:rsidR="003944F9">
        <w:fldChar w:fldCharType="separate"/>
      </w:r>
      <w:r w:rsidR="00EE18C8">
        <w:t xml:space="preserve">Figure </w:t>
      </w:r>
      <w:r w:rsidR="00EE18C8">
        <w:rPr>
          <w:noProof/>
        </w:rPr>
        <w:t>5</w:t>
      </w:r>
      <w:r w:rsidR="003944F9">
        <w:fldChar w:fldCharType="end"/>
      </w:r>
      <w:r w:rsidR="00E329D9">
        <w:t>.</w:t>
      </w:r>
    </w:p>
    <w:p w14:paraId="30527D53" w14:textId="77777777" w:rsidR="006855DE" w:rsidRDefault="00447245" w:rsidP="00FE46FD">
      <w:pPr>
        <w:pStyle w:val="Normal-nospacing"/>
      </w:pPr>
      <w:r>
        <w:lastRenderedPageBreak/>
        <w:t xml:space="preserve">The AN-ACC </w:t>
      </w:r>
      <w:r w:rsidR="008428D1">
        <w:t xml:space="preserve">Version 1.0 </w:t>
      </w:r>
      <w:r>
        <w:t>has thirteen classes</w:t>
      </w:r>
      <w:r w:rsidR="006855DE">
        <w:t>:</w:t>
      </w:r>
      <w:r>
        <w:t xml:space="preserve"> one class for residential aged care admission for pall</w:t>
      </w:r>
      <w:r w:rsidR="00A97516">
        <w:t>iative care</w:t>
      </w:r>
      <w:r w:rsidR="006855DE">
        <w:t xml:space="preserve"> and twelve classes based on the results of a clinically informed regression tree model. There are three main branches to the classification, defi</w:t>
      </w:r>
      <w:r w:rsidR="00E329D9">
        <w:t>ned by the resident’s mobility.</w:t>
      </w:r>
    </w:p>
    <w:p w14:paraId="679E9CA9" w14:textId="77777777" w:rsidR="0053559D" w:rsidRDefault="0053559D" w:rsidP="00FE46FD">
      <w:pPr>
        <w:pStyle w:val="Normal-nospacing"/>
      </w:pPr>
      <w:r>
        <w:t>Each branch has classes defined by whether or not a resid</w:t>
      </w:r>
      <w:r w:rsidR="00AE7A80">
        <w:t xml:space="preserve">ent has </w:t>
      </w:r>
      <w:r w:rsidR="003F465D">
        <w:t>‘</w:t>
      </w:r>
      <w:r w:rsidR="00AE7A80">
        <w:t>compounding factors</w:t>
      </w:r>
      <w:r w:rsidR="003F465D">
        <w:t>’</w:t>
      </w:r>
      <w:r w:rsidR="00AE7A80">
        <w:t xml:space="preserve">. </w:t>
      </w:r>
      <w:r>
        <w:t xml:space="preserve">Behind each of these sits a statistical model that weighs combinations of scores on </w:t>
      </w:r>
      <w:r w:rsidR="00AE7A80">
        <w:t>other items in the assessment.</w:t>
      </w:r>
    </w:p>
    <w:p w14:paraId="4AECF27C" w14:textId="77777777" w:rsidR="007258E0" w:rsidRDefault="007258E0" w:rsidP="00FE46FD">
      <w:pPr>
        <w:pStyle w:val="Normal-nospacing"/>
      </w:pPr>
      <w:r>
        <w:t>These compounding factors are based on multiple regression equations that take into consideration a number of independent variables.</w:t>
      </w:r>
    </w:p>
    <w:p w14:paraId="7F1F58E2" w14:textId="77777777" w:rsidR="0053559D" w:rsidRDefault="00447245" w:rsidP="00FE46FD">
      <w:pPr>
        <w:pStyle w:val="Normal-nospacing"/>
      </w:pPr>
      <w:r>
        <w:t xml:space="preserve">The independent branch has two classes and splits on whether the resident has compounding factors. </w:t>
      </w:r>
      <w:r w:rsidR="0053559D">
        <w:t xml:space="preserve">The compounding factors in the independent branch include the RUG-ADL, </w:t>
      </w:r>
      <w:r w:rsidR="003F2818">
        <w:t>AM-</w:t>
      </w:r>
      <w:r w:rsidR="0053559D">
        <w:t>FIM cognition, AKPS, daily injections and behaviour</w:t>
      </w:r>
      <w:r w:rsidR="003F465D">
        <w:t>.</w:t>
      </w:r>
    </w:p>
    <w:p w14:paraId="70A1CE22" w14:textId="77777777" w:rsidR="00FE2273" w:rsidRDefault="00447245" w:rsidP="00FE46FD">
      <w:pPr>
        <w:pStyle w:val="Normal-nospacing"/>
      </w:pPr>
      <w:r>
        <w:t xml:space="preserve">The assisted mobility branch has five classes and splits on cognition and then on whether the resident has compounding factors. The compounding factors in the mobility assisted branch include the Braden activity score, RUG-ADL, </w:t>
      </w:r>
      <w:r w:rsidR="003F2818">
        <w:t>AM-</w:t>
      </w:r>
      <w:r>
        <w:t xml:space="preserve">FIM motor, </w:t>
      </w:r>
      <w:r w:rsidR="003F2818">
        <w:t>AM-</w:t>
      </w:r>
      <w:r>
        <w:t xml:space="preserve">FIM social cognition, </w:t>
      </w:r>
      <w:r w:rsidR="003F2818">
        <w:t>AM-</w:t>
      </w:r>
      <w:r>
        <w:t>FIM communication, AKPS,</w:t>
      </w:r>
      <w:r w:rsidRPr="00EA7926">
        <w:t xml:space="preserve"> </w:t>
      </w:r>
      <w:r>
        <w:t>Rockwood score, disruptiveness, falls in the last 12 months, daily injections</w:t>
      </w:r>
      <w:r w:rsidR="00E329D9">
        <w:t>, and complex wound management.</w:t>
      </w:r>
    </w:p>
    <w:p w14:paraId="0A6DEE42" w14:textId="77777777" w:rsidR="00447245" w:rsidRDefault="0053559D" w:rsidP="00FE46FD">
      <w:pPr>
        <w:pStyle w:val="Normal-nospacing"/>
      </w:pPr>
      <w:r>
        <w:t xml:space="preserve">The not mobile branch has five classes and splits on function and pressure sore risk, along with compounding factors for the lower branches. </w:t>
      </w:r>
      <w:r w:rsidR="00447245">
        <w:t xml:space="preserve">The compounding factors in the not mobile branch include the Braden total, </w:t>
      </w:r>
      <w:r w:rsidR="003F2818">
        <w:t>AM-</w:t>
      </w:r>
      <w:r w:rsidR="00447245">
        <w:t xml:space="preserve">FIM eat, </w:t>
      </w:r>
      <w:r w:rsidR="003F2818">
        <w:t>AM-</w:t>
      </w:r>
      <w:r w:rsidR="00447245">
        <w:t>FIM transfer, disruptiveness, falls in the last 12 months, obesity flag, daily injections,</w:t>
      </w:r>
      <w:r w:rsidR="00F16ECA">
        <w:t xml:space="preserve"> and complex wound management.</w:t>
      </w:r>
    </w:p>
    <w:p w14:paraId="365A0FDA" w14:textId="77777777" w:rsidR="006855DE" w:rsidRPr="00480331" w:rsidRDefault="006855DE" w:rsidP="00FE46FD">
      <w:pPr>
        <w:pStyle w:val="Normal-nospacing"/>
      </w:pPr>
      <w:r w:rsidRPr="00F569A9">
        <w:t xml:space="preserve">The </w:t>
      </w:r>
      <w:r w:rsidR="00F569A9" w:rsidRPr="00F569A9">
        <w:t xml:space="preserve">single </w:t>
      </w:r>
      <w:r w:rsidRPr="00F569A9">
        <w:t>palliative care class</w:t>
      </w:r>
      <w:r w:rsidR="00F569A9" w:rsidRPr="00F569A9">
        <w:t xml:space="preserve"> </w:t>
      </w:r>
      <w:r w:rsidR="00F569A9">
        <w:t xml:space="preserve">is </w:t>
      </w:r>
      <w:r w:rsidR="00F569A9" w:rsidRPr="00F569A9">
        <w:t xml:space="preserve">included in the classification </w:t>
      </w:r>
      <w:r w:rsidR="00F569A9">
        <w:t xml:space="preserve">based on clinical advice that residents </w:t>
      </w:r>
      <w:r w:rsidR="0070555D">
        <w:t>admitted for palliative care are</w:t>
      </w:r>
      <w:r w:rsidR="00F569A9">
        <w:t xml:space="preserve"> clinically discrete and require significant </w:t>
      </w:r>
      <w:r w:rsidR="0070555D">
        <w:t xml:space="preserve">levels of </w:t>
      </w:r>
      <w:r w:rsidR="00F569A9">
        <w:t xml:space="preserve">additional resources. </w:t>
      </w:r>
      <w:r w:rsidR="0070555D">
        <w:t xml:space="preserve">As </w:t>
      </w:r>
      <w:r w:rsidR="00F569A9">
        <w:t xml:space="preserve">insufficient data were available to </w:t>
      </w:r>
      <w:r w:rsidR="0070555D">
        <w:t xml:space="preserve">calculate a cost for this group of </w:t>
      </w:r>
      <w:r w:rsidR="00F569A9">
        <w:t>residents</w:t>
      </w:r>
      <w:r w:rsidR="0070555D">
        <w:t>, a relative val</w:t>
      </w:r>
      <w:r w:rsidR="00E329D9">
        <w:t>ue for this class was imputed.</w:t>
      </w:r>
    </w:p>
    <w:p w14:paraId="381EE8AD" w14:textId="77777777" w:rsidR="0005696C" w:rsidRDefault="0005696C">
      <w:bookmarkStart w:id="124" w:name="_Ref528851874"/>
      <w:r>
        <w:br w:type="page"/>
      </w:r>
    </w:p>
    <w:p w14:paraId="14D0FD75" w14:textId="77777777" w:rsidR="00B82914" w:rsidRDefault="00B82914" w:rsidP="00B82914">
      <w:pPr>
        <w:pStyle w:val="Caption"/>
      </w:pPr>
      <w:bookmarkStart w:id="125" w:name="_Ref530158132"/>
      <w:bookmarkStart w:id="126" w:name="_Toc947241"/>
      <w:bookmarkStart w:id="127" w:name="_Ref529888422"/>
      <w:bookmarkEnd w:id="124"/>
      <w:r>
        <w:lastRenderedPageBreak/>
        <w:t xml:space="preserve">Figure </w:t>
      </w:r>
      <w:r w:rsidR="00022FFE">
        <w:rPr>
          <w:noProof/>
        </w:rPr>
        <w:fldChar w:fldCharType="begin"/>
      </w:r>
      <w:r w:rsidR="00022FFE">
        <w:rPr>
          <w:noProof/>
        </w:rPr>
        <w:instrText xml:space="preserve"> SEQ Figure \* ARABIC </w:instrText>
      </w:r>
      <w:r w:rsidR="00022FFE">
        <w:rPr>
          <w:noProof/>
        </w:rPr>
        <w:fldChar w:fldCharType="separate"/>
      </w:r>
      <w:r w:rsidR="00EE18C8">
        <w:rPr>
          <w:noProof/>
        </w:rPr>
        <w:t>4</w:t>
      </w:r>
      <w:r w:rsidR="00022FFE">
        <w:rPr>
          <w:noProof/>
        </w:rPr>
        <w:fldChar w:fldCharType="end"/>
      </w:r>
      <w:bookmarkEnd w:id="125"/>
      <w:r>
        <w:tab/>
      </w:r>
      <w:r w:rsidRPr="00B82914">
        <w:t>The Australian National Aged Care Classification (AN-ACC)</w:t>
      </w:r>
      <w:r>
        <w:t xml:space="preserve"> Version 1.0</w:t>
      </w:r>
      <w:bookmarkEnd w:id="126"/>
    </w:p>
    <w:p w14:paraId="3098255B" w14:textId="77777777" w:rsidR="00E329D9" w:rsidRPr="00E329D9" w:rsidRDefault="00E329D9" w:rsidP="00E329D9">
      <w:r>
        <w:rPr>
          <w:noProof/>
        </w:rPr>
        <w:drawing>
          <wp:inline distT="0" distB="0" distL="0" distR="0" wp14:anchorId="4E64C179" wp14:editId="0A5F240A">
            <wp:extent cx="5759450" cy="6657340"/>
            <wp:effectExtent l="0" t="0" r="0" b="0"/>
            <wp:docPr id="7" name="Picture 7" descr="Figure 4 shows the structure of AN-ACC Version 1.0." title="Figure 4 The Australian National Aged Care Classification (AN-ACC) Vers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6657340"/>
                    </a:xfrm>
                    <a:prstGeom prst="rect">
                      <a:avLst/>
                    </a:prstGeom>
                  </pic:spPr>
                </pic:pic>
              </a:graphicData>
            </a:graphic>
          </wp:inline>
        </w:drawing>
      </w:r>
    </w:p>
    <w:p w14:paraId="00CB60F6" w14:textId="77777777" w:rsidR="00CB2592" w:rsidRDefault="00CB2592" w:rsidP="0007469A">
      <w:pPr>
        <w:pStyle w:val="Caption"/>
        <w:spacing w:before="1920" w:after="0"/>
      </w:pPr>
      <w:bookmarkStart w:id="128" w:name="_Ref530155264"/>
      <w:bookmarkStart w:id="129" w:name="_Toc947242"/>
    </w:p>
    <w:p w14:paraId="57DDE235" w14:textId="53FF361A" w:rsidR="00E74FA9" w:rsidRDefault="00E74FA9" w:rsidP="0007469A">
      <w:pPr>
        <w:pStyle w:val="Caption"/>
        <w:spacing w:before="1920" w:after="0"/>
      </w:pPr>
      <w:r>
        <w:lastRenderedPageBreak/>
        <w:t xml:space="preserve">Figure </w:t>
      </w:r>
      <w:r w:rsidR="000B56B0">
        <w:rPr>
          <w:noProof/>
        </w:rPr>
        <w:fldChar w:fldCharType="begin"/>
      </w:r>
      <w:r w:rsidR="000B56B0">
        <w:rPr>
          <w:noProof/>
        </w:rPr>
        <w:instrText xml:space="preserve"> SEQ Figure \* ARABIC </w:instrText>
      </w:r>
      <w:r w:rsidR="000B56B0">
        <w:rPr>
          <w:noProof/>
        </w:rPr>
        <w:fldChar w:fldCharType="separate"/>
      </w:r>
      <w:r w:rsidR="00EE18C8">
        <w:rPr>
          <w:noProof/>
        </w:rPr>
        <w:t>5</w:t>
      </w:r>
      <w:r w:rsidR="000B56B0">
        <w:rPr>
          <w:noProof/>
        </w:rPr>
        <w:fldChar w:fldCharType="end"/>
      </w:r>
      <w:bookmarkEnd w:id="127"/>
      <w:bookmarkEnd w:id="128"/>
      <w:r>
        <w:tab/>
      </w:r>
      <w:r w:rsidRPr="00E74FA9">
        <w:t xml:space="preserve">The Australian National Aged Care Classification (AN-ACC) </w:t>
      </w:r>
      <w:r w:rsidR="00B82914" w:rsidRPr="00B82914">
        <w:t>Version 1.0</w:t>
      </w:r>
      <w:r w:rsidR="00B82914">
        <w:t xml:space="preserve"> </w:t>
      </w:r>
      <w:r w:rsidRPr="00B82914">
        <w:t>(</w:t>
      </w:r>
      <w:r w:rsidRPr="00E74FA9">
        <w:t>technical description)</w:t>
      </w:r>
      <w:bookmarkEnd w:id="129"/>
    </w:p>
    <w:p w14:paraId="75689D83" w14:textId="2C16B71B" w:rsidR="00447245" w:rsidRDefault="0007469A" w:rsidP="00C77BA3">
      <w:r>
        <w:rPr>
          <w:noProof/>
        </w:rPr>
        <w:drawing>
          <wp:inline distT="0" distB="0" distL="0" distR="0" wp14:anchorId="50B3EFA8" wp14:editId="21FDDB99">
            <wp:extent cx="5373730" cy="8101511"/>
            <wp:effectExtent l="0" t="0" r="0" b="0"/>
            <wp:docPr id="5" name="Picture 5" descr="Figure 5 shows he structure of AN-ACC Version 1.0 with the inclusion of technical description." title="Figure 5 The Australian National Aged Care Classification (AN-ACC) Version 1.0 (technica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6356" cy="8120546"/>
                    </a:xfrm>
                    <a:prstGeom prst="rect">
                      <a:avLst/>
                    </a:prstGeom>
                  </pic:spPr>
                </pic:pic>
              </a:graphicData>
            </a:graphic>
          </wp:inline>
        </w:drawing>
      </w:r>
    </w:p>
    <w:p w14:paraId="496FB189" w14:textId="77777777" w:rsidR="00447245" w:rsidRPr="007171CE" w:rsidRDefault="00447245" w:rsidP="00655C02">
      <w:pPr>
        <w:pStyle w:val="Heading3"/>
      </w:pPr>
      <w:bookmarkStart w:id="130" w:name="_Toc528685424"/>
      <w:r w:rsidRPr="007171CE">
        <w:lastRenderedPageBreak/>
        <w:t>Performance of the AN-ACC V</w:t>
      </w:r>
      <w:r w:rsidR="00215369" w:rsidRPr="007171CE">
        <w:t xml:space="preserve">ersion </w:t>
      </w:r>
      <w:r w:rsidRPr="007171CE">
        <w:t>1</w:t>
      </w:r>
      <w:bookmarkEnd w:id="130"/>
      <w:r w:rsidR="00B82914">
        <w:t>.0</w:t>
      </w:r>
    </w:p>
    <w:p w14:paraId="5CFAB3DA" w14:textId="77777777" w:rsidR="002171DD" w:rsidRDefault="002171DD" w:rsidP="00FE46FD">
      <w:pPr>
        <w:pStyle w:val="Normal-nospacing"/>
      </w:pPr>
      <w:bookmarkStart w:id="131" w:name="_Ref528855804"/>
      <w:r w:rsidRPr="008845F7">
        <w:t xml:space="preserve">The AN-ACC </w:t>
      </w:r>
      <w:r w:rsidR="007171CE">
        <w:t xml:space="preserve">comprises </w:t>
      </w:r>
      <w:r w:rsidRPr="008845F7">
        <w:t>thirteen classes, which is considered an appropriate number</w:t>
      </w:r>
      <w:r w:rsidR="007258E0">
        <w:t>.</w:t>
      </w:r>
      <w:r w:rsidRPr="008845F7">
        <w:t xml:space="preserve"> A classification with too many classes has the potential of becoming unstable</w:t>
      </w:r>
      <w:r w:rsidR="007171CE">
        <w:t xml:space="preserve">, while having </w:t>
      </w:r>
      <w:r w:rsidRPr="008845F7">
        <w:t>too few classes</w:t>
      </w:r>
      <w:r w:rsidR="007171CE">
        <w:t xml:space="preserve"> risks the classification not being clinically meaningful.</w:t>
      </w:r>
    </w:p>
    <w:p w14:paraId="18D29F4B" w14:textId="3925AFEE" w:rsidR="002171DD" w:rsidRPr="008845F7" w:rsidRDefault="002171DD" w:rsidP="00FE46FD">
      <w:pPr>
        <w:pStyle w:val="Normal-nospacing"/>
      </w:pPr>
      <w:r w:rsidRPr="008845F7">
        <w:t xml:space="preserve">The number of records within each of the classes </w:t>
      </w:r>
      <w:r w:rsidR="007171CE">
        <w:t xml:space="preserve">is </w:t>
      </w:r>
      <w:r w:rsidRPr="008845F7">
        <w:t>sufficiently large, which indicates that the classification has adequate statistical power. The smallest of the development classes contains 41 records, and as a rule of thumb the minimum should be no less than 30.</w:t>
      </w:r>
    </w:p>
    <w:p w14:paraId="6335C5B4" w14:textId="20B03F3E" w:rsidR="002171DD" w:rsidRPr="008845F7" w:rsidRDefault="002171DD" w:rsidP="00FE46FD">
      <w:pPr>
        <w:pStyle w:val="Normal-nospacing"/>
      </w:pPr>
      <w:r w:rsidRPr="008845F7">
        <w:t xml:space="preserve">Overall, there is a </w:t>
      </w:r>
      <w:r w:rsidR="00534F50">
        <w:t>five</w:t>
      </w:r>
      <w:r w:rsidRPr="008845F7">
        <w:t>fold difference between the highest and lowest class in terms of relative cost (as reflected by the RVUs). The high variability between the classes indicates that the classification is good at differentiating between residents wit</w:t>
      </w:r>
      <w:r w:rsidR="00C77BA3">
        <w:t>h different needs.</w:t>
      </w:r>
    </w:p>
    <w:p w14:paraId="20EE72D8" w14:textId="64A8A55D" w:rsidR="002171DD" w:rsidRPr="008845F7" w:rsidRDefault="002171DD" w:rsidP="00FE46FD">
      <w:pPr>
        <w:pStyle w:val="Normal-nospacing"/>
      </w:pPr>
      <w:r w:rsidRPr="008845F7">
        <w:t xml:space="preserve">The coefficient of variation (CV) of each of the individual classes is relatively small when compared to the CV of the dependent variable. This indicates that each class is </w:t>
      </w:r>
      <w:r w:rsidR="00C77BA3">
        <w:t>relatively resource homogenous.</w:t>
      </w:r>
    </w:p>
    <w:p w14:paraId="76B883E2" w14:textId="77777777" w:rsidR="002171DD" w:rsidRPr="008845F7" w:rsidRDefault="002171DD" w:rsidP="00FE46FD">
      <w:pPr>
        <w:pStyle w:val="Normal-nospacing"/>
      </w:pPr>
      <w:r w:rsidRPr="008845F7">
        <w:t xml:space="preserve">The development classification model has an RIV of 0.52, which means that 52% of the variation in resource utilisation is ‘explained’ by the classification. The RIV of the development classification is </w:t>
      </w:r>
      <w:r w:rsidR="007258E0">
        <w:t>very</w:t>
      </w:r>
      <w:r w:rsidRPr="008845F7">
        <w:t xml:space="preserve"> high in comparison to the ACFI model which has an RIV of 0.20.</w:t>
      </w:r>
    </w:p>
    <w:p w14:paraId="1FA876E1" w14:textId="77777777" w:rsidR="002171DD" w:rsidRPr="008845F7" w:rsidRDefault="007258E0" w:rsidP="00FE46FD">
      <w:pPr>
        <w:pStyle w:val="Normal-nospacing"/>
      </w:pPr>
      <w:r>
        <w:t>When tested using the same method t</w:t>
      </w:r>
      <w:r w:rsidR="002171DD" w:rsidRPr="008845F7">
        <w:t xml:space="preserve">he results of the test re-test analysis </w:t>
      </w:r>
      <w:r w:rsidR="00FE2273">
        <w:t xml:space="preserve">as shown </w:t>
      </w:r>
      <w:r w:rsidR="002171DD" w:rsidRPr="008845F7">
        <w:t xml:space="preserve">in </w:t>
      </w:r>
      <w:r w:rsidR="00FE2273">
        <w:fldChar w:fldCharType="begin"/>
      </w:r>
      <w:r w:rsidR="00FE2273">
        <w:instrText xml:space="preserve"> REF _Ref529208972 \h </w:instrText>
      </w:r>
      <w:r w:rsidR="00FE46FD">
        <w:instrText xml:space="preserve"> \* MERGEFORMAT </w:instrText>
      </w:r>
      <w:r w:rsidR="00FE2273">
        <w:fldChar w:fldCharType="separate"/>
      </w:r>
      <w:r w:rsidR="00EE18C8" w:rsidRPr="008845F7">
        <w:t xml:space="preserve">Figure </w:t>
      </w:r>
      <w:r w:rsidR="00EE18C8">
        <w:rPr>
          <w:noProof/>
        </w:rPr>
        <w:t>6</w:t>
      </w:r>
      <w:r w:rsidR="00FE2273">
        <w:fldChar w:fldCharType="end"/>
      </w:r>
      <w:r w:rsidR="00FE2273">
        <w:t xml:space="preserve"> indicate </w:t>
      </w:r>
      <w:r w:rsidR="002171DD" w:rsidRPr="008845F7">
        <w:t xml:space="preserve">that each class in the test group has a similar RVU when compared to the re-test group. The test dataset has an RIV of 0.52 and the re-test dataset has an RIV of 0.48. </w:t>
      </w:r>
      <w:r w:rsidR="007171CE">
        <w:t xml:space="preserve">As </w:t>
      </w:r>
      <w:r w:rsidR="002171DD" w:rsidRPr="008845F7">
        <w:t xml:space="preserve">the difference between the test and re-test RIVs is small, the classification model can be considered </w:t>
      </w:r>
      <w:r w:rsidR="007171CE">
        <w:t xml:space="preserve">to be </w:t>
      </w:r>
      <w:r w:rsidR="002171DD" w:rsidRPr="008845F7">
        <w:t>very reliable.</w:t>
      </w:r>
    </w:p>
    <w:p w14:paraId="1CE5604B" w14:textId="77777777" w:rsidR="00DE2EE3" w:rsidRDefault="00DE2EE3" w:rsidP="00DE2EE3">
      <w:pPr>
        <w:pStyle w:val="Caption"/>
      </w:pPr>
      <w:bookmarkStart w:id="132" w:name="_Ref529208972"/>
      <w:bookmarkStart w:id="133" w:name="_Toc947243"/>
      <w:r w:rsidRPr="008845F7">
        <w:t xml:space="preserve">Figure </w:t>
      </w:r>
      <w:r w:rsidR="00E77717">
        <w:rPr>
          <w:noProof/>
        </w:rPr>
        <w:fldChar w:fldCharType="begin"/>
      </w:r>
      <w:r w:rsidR="00E77717">
        <w:rPr>
          <w:noProof/>
        </w:rPr>
        <w:instrText xml:space="preserve"> SEQ Figure \* ARABIC </w:instrText>
      </w:r>
      <w:r w:rsidR="00E77717">
        <w:rPr>
          <w:noProof/>
        </w:rPr>
        <w:fldChar w:fldCharType="separate"/>
      </w:r>
      <w:r w:rsidR="00EE18C8">
        <w:rPr>
          <w:noProof/>
        </w:rPr>
        <w:t>6</w:t>
      </w:r>
      <w:r w:rsidR="00E77717">
        <w:rPr>
          <w:noProof/>
        </w:rPr>
        <w:fldChar w:fldCharType="end"/>
      </w:r>
      <w:bookmarkEnd w:id="131"/>
      <w:bookmarkEnd w:id="132"/>
      <w:r w:rsidR="00CF26D2" w:rsidRPr="008845F7">
        <w:rPr>
          <w:noProof/>
        </w:rPr>
        <w:tab/>
      </w:r>
      <w:r w:rsidRPr="008845F7">
        <w:t>Result</w:t>
      </w:r>
      <w:r w:rsidR="00905578" w:rsidRPr="008845F7">
        <w:t>s</w:t>
      </w:r>
      <w:r w:rsidRPr="008845F7">
        <w:t xml:space="preserve"> of the test re-test analysis</w:t>
      </w:r>
      <w:bookmarkEnd w:id="133"/>
    </w:p>
    <w:p w14:paraId="26ABECD2" w14:textId="77777777" w:rsidR="00447245" w:rsidRDefault="005031D8" w:rsidP="00447245">
      <w:pPr>
        <w:rPr>
          <w:rFonts w:ascii="Calibri" w:eastAsiaTheme="majorEastAsia" w:hAnsi="Calibri" w:cstheme="majorBidi"/>
          <w:b/>
          <w:bCs/>
          <w:sz w:val="28"/>
          <w:szCs w:val="28"/>
        </w:rPr>
      </w:pPr>
      <w:r>
        <w:rPr>
          <w:rFonts w:ascii="Calibri" w:eastAsiaTheme="majorEastAsia" w:hAnsi="Calibri" w:cstheme="majorBidi"/>
          <w:b/>
          <w:bCs/>
          <w:noProof/>
          <w:sz w:val="28"/>
          <w:szCs w:val="28"/>
        </w:rPr>
        <w:drawing>
          <wp:inline distT="0" distB="0" distL="0" distR="0" wp14:anchorId="5EE766EE" wp14:editId="69873882">
            <wp:extent cx="5228438" cy="3224463"/>
            <wp:effectExtent l="0" t="0" r="0" b="0"/>
            <wp:docPr id="2" name="Picture 2" descr="When tested using the same method the results of the test re-test analysis as shown in Figure 6 indicate that each class in the test group has a similar RVU when compared to the re-test group." title="Figure 6 Results of the test re-tes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1666" b="2619"/>
                    <a:stretch/>
                  </pic:blipFill>
                  <pic:spPr bwMode="auto">
                    <a:xfrm>
                      <a:off x="0" y="0"/>
                      <a:ext cx="5236721" cy="3229571"/>
                    </a:xfrm>
                    <a:prstGeom prst="rect">
                      <a:avLst/>
                    </a:prstGeom>
                    <a:noFill/>
                    <a:ln>
                      <a:noFill/>
                    </a:ln>
                    <a:extLst>
                      <a:ext uri="{53640926-AAD7-44D8-BBD7-CCE9431645EC}">
                        <a14:shadowObscured xmlns:a14="http://schemas.microsoft.com/office/drawing/2010/main"/>
                      </a:ext>
                    </a:extLst>
                  </pic:spPr>
                </pic:pic>
              </a:graphicData>
            </a:graphic>
          </wp:inline>
        </w:drawing>
      </w:r>
    </w:p>
    <w:p w14:paraId="2CA90A62" w14:textId="77777777" w:rsidR="00534F50" w:rsidRDefault="00534F50">
      <w:pPr>
        <w:rPr>
          <w:rFonts w:ascii="Calibri" w:eastAsiaTheme="majorEastAsia" w:hAnsi="Calibri" w:cstheme="majorBidi"/>
          <w:b/>
          <w:bCs/>
          <w:sz w:val="28"/>
          <w:szCs w:val="28"/>
        </w:rPr>
      </w:pPr>
      <w:r>
        <w:br w:type="page"/>
      </w:r>
    </w:p>
    <w:p w14:paraId="6C002020" w14:textId="77777777" w:rsidR="001E157E" w:rsidRDefault="001E157E" w:rsidP="001E157E">
      <w:pPr>
        <w:pStyle w:val="Heading1"/>
        <w:ind w:left="431" w:hanging="431"/>
      </w:pPr>
      <w:bookmarkStart w:id="134" w:name="_Toc2070333"/>
      <w:r w:rsidRPr="00237053">
        <w:lastRenderedPageBreak/>
        <w:t>Discussion</w:t>
      </w:r>
      <w:bookmarkEnd w:id="134"/>
    </w:p>
    <w:p w14:paraId="5BDD5340" w14:textId="7586B9E8" w:rsidR="001E157E" w:rsidRDefault="001E157E" w:rsidP="00FE46FD">
      <w:pPr>
        <w:pStyle w:val="Normal-nospacing"/>
      </w:pPr>
      <w:r w:rsidRPr="00C15558">
        <w:t>Th</w:t>
      </w:r>
      <w:r>
        <w:t>e RUCS is a</w:t>
      </w:r>
      <w:r w:rsidR="00534F50">
        <w:t xml:space="preserve"> significant </w:t>
      </w:r>
      <w:r>
        <w:t>national study commissioned by the Department to inform funding reforms for the Australian residential aged care sector. Study One of RUCS</w:t>
      </w:r>
      <w:r w:rsidR="007258E0">
        <w:t xml:space="preserve"> has not only develope</w:t>
      </w:r>
      <w:r w:rsidR="00AE7A80">
        <w:t>d a new funding classification</w:t>
      </w:r>
      <w:r w:rsidR="00534F50">
        <w:t>, i</w:t>
      </w:r>
      <w:r w:rsidR="007258E0">
        <w:t>t has also</w:t>
      </w:r>
      <w:r>
        <w:t xml:space="preserve"> provided a unique opportunity to generate findings about the clinical profile of residents in Australian care homes and the cost of pro</w:t>
      </w:r>
      <w:r w:rsidR="00C77BA3">
        <w:t>viding care to those residents.</w:t>
      </w:r>
    </w:p>
    <w:p w14:paraId="54CFA02E" w14:textId="77777777" w:rsidR="001E157E" w:rsidRPr="000A41A8" w:rsidRDefault="001E157E" w:rsidP="00534F50">
      <w:pPr>
        <w:pStyle w:val="Heading2"/>
      </w:pPr>
      <w:bookmarkStart w:id="135" w:name="_Toc2070334"/>
      <w:r>
        <w:t>Key findings</w:t>
      </w:r>
      <w:bookmarkEnd w:id="135"/>
    </w:p>
    <w:p w14:paraId="3C40EE10" w14:textId="77777777" w:rsidR="001E157E" w:rsidRDefault="001E157E" w:rsidP="00FE46FD">
      <w:pPr>
        <w:pStyle w:val="Normal-nospacing"/>
      </w:pPr>
      <w:r w:rsidRPr="00B547E2">
        <w:t xml:space="preserve">This report </w:t>
      </w:r>
      <w:r>
        <w:t xml:space="preserve">has </w:t>
      </w:r>
      <w:r w:rsidRPr="00B547E2">
        <w:t>outline</w:t>
      </w:r>
      <w:r>
        <w:t>d</w:t>
      </w:r>
      <w:r w:rsidRPr="00B547E2">
        <w:t xml:space="preserve"> the goals, methodology and results of </w:t>
      </w:r>
      <w:r>
        <w:t>Study One. A comprehensive, prospective data collection was completed across 30 facilities in three distinct geographical regions. The study involved 1,877 resident assessments and 315,029 staff time activity records collected by 1,600 staff. It represent</w:t>
      </w:r>
      <w:r w:rsidR="007258E0">
        <w:t>s</w:t>
      </w:r>
      <w:r>
        <w:t xml:space="preserve"> the most significant data collection in the Australian residen</w:t>
      </w:r>
      <w:r w:rsidR="00AE7A80">
        <w:t>tial aged care sector to date.</w:t>
      </w:r>
    </w:p>
    <w:p w14:paraId="21F99E20" w14:textId="2AC2D39E" w:rsidR="001E157E" w:rsidRDefault="001E157E" w:rsidP="00FE46FD">
      <w:pPr>
        <w:pStyle w:val="Normal-nospacing"/>
      </w:pPr>
      <w:r>
        <w:t xml:space="preserve">The clinical profile of study residents </w:t>
      </w:r>
      <w:r w:rsidRPr="00942D6B">
        <w:t xml:space="preserve">supports the </w:t>
      </w:r>
      <w:r>
        <w:t xml:space="preserve">hypothesis that </w:t>
      </w:r>
      <w:r w:rsidRPr="00942D6B">
        <w:t xml:space="preserve">costs are driven by care burden associated with end of life needs, frailty, </w:t>
      </w:r>
      <w:r w:rsidR="00DD2DE3">
        <w:t xml:space="preserve">mobility, </w:t>
      </w:r>
      <w:r w:rsidRPr="00942D6B">
        <w:t>functional decline, cognition, behaviour and technical nursing needs</w:t>
      </w:r>
      <w:r>
        <w:t>. The staff time data collection found that close to 50% of staff time was spent delivering care tailored to the specific needs of the resident, while the remaining 50% was spent delivering shared care across all residents. This finding supports a funding model that comprises a fixed per diem price for the costs of shared care and a variable price per day fo</w:t>
      </w:r>
      <w:r w:rsidR="00C77BA3">
        <w:t>r the costs of individual care.</w:t>
      </w:r>
    </w:p>
    <w:p w14:paraId="003401F4" w14:textId="6B7D4226" w:rsidR="001E157E" w:rsidRDefault="001E157E" w:rsidP="00FE46FD">
      <w:pPr>
        <w:pStyle w:val="Normal-nospacing"/>
      </w:pPr>
      <w:r w:rsidRPr="00B547E2">
        <w:t>A casemix classification</w:t>
      </w:r>
      <w:r>
        <w:t>, the Australian National Aged Care Classification (AN-ACC)</w:t>
      </w:r>
      <w:r w:rsidR="00534F50">
        <w:t>,</w:t>
      </w:r>
      <w:r>
        <w:t xml:space="preserve"> has been </w:t>
      </w:r>
      <w:r w:rsidRPr="00B547E2">
        <w:t>developed</w:t>
      </w:r>
      <w:r w:rsidR="00364B2B">
        <w:t xml:space="preserve">. </w:t>
      </w:r>
      <w:r w:rsidR="007258E0">
        <w:t>Version 1.0</w:t>
      </w:r>
      <w:r>
        <w:t xml:space="preserve"> comprises 13 classes and explains 50% of the variance in the cost of individual care</w:t>
      </w:r>
      <w:r w:rsidRPr="001E157E">
        <w:t>.</w:t>
      </w:r>
      <w:r>
        <w:t xml:space="preserve"> The statistical and clinical performance of the classification is considered more than sufficient for it to be adopted in a funding context.</w:t>
      </w:r>
      <w:r w:rsidR="00505ED6">
        <w:t xml:space="preserve"> This result compares </w:t>
      </w:r>
      <w:r w:rsidR="00CA0E0D">
        <w:t>favourably with related casemix classifications such as the Australian National Subacute and Non‐acute Patient Classification which explains 55% of the variation in cost and comprises 83 classes</w:t>
      </w:r>
      <w:r w:rsidR="00116DD8">
        <w:t>.</w:t>
      </w:r>
      <w:r w:rsidR="00CA0E0D">
        <w:rPr>
          <w:rStyle w:val="FootnoteReference"/>
        </w:rPr>
        <w:footnoteReference w:id="2"/>
      </w:r>
    </w:p>
    <w:p w14:paraId="663B9653" w14:textId="51F19215" w:rsidR="001E157E" w:rsidRDefault="001E157E" w:rsidP="00FE46FD">
      <w:pPr>
        <w:pStyle w:val="Normal-nospacing"/>
      </w:pPr>
      <w:r>
        <w:t>The AN-ACC comprises three main branches:</w:t>
      </w:r>
      <w:r w:rsidRPr="006E256F">
        <w:t xml:space="preserve"> </w:t>
      </w:r>
      <w:r>
        <w:t>the ‘independent</w:t>
      </w:r>
      <w:r w:rsidR="00364B2B">
        <w:t xml:space="preserve"> mobility</w:t>
      </w:r>
      <w:r>
        <w:t xml:space="preserve">’ branch which has two classes and splits on whether the resident has compounding factors; the ‘assisted mobility’ branch </w:t>
      </w:r>
      <w:r w:rsidR="00926D62">
        <w:t xml:space="preserve">which </w:t>
      </w:r>
      <w:r>
        <w:t xml:space="preserve">has five classes and splits on cognition and then on whether the resident has compounding factors; and the ‘not mobile’ branch </w:t>
      </w:r>
      <w:r w:rsidR="00926D62">
        <w:t xml:space="preserve">which </w:t>
      </w:r>
      <w:r>
        <w:t xml:space="preserve">has five classes and splits on function and pressure sore risk, and then whether the resident has compounding factors. In addition, </w:t>
      </w:r>
      <w:r w:rsidR="00364B2B">
        <w:t>there is a</w:t>
      </w:r>
      <w:r>
        <w:t xml:space="preserve"> single class for resident</w:t>
      </w:r>
      <w:r w:rsidR="00C77BA3">
        <w:t>s admitted for palliative care.</w:t>
      </w:r>
    </w:p>
    <w:p w14:paraId="1702E033" w14:textId="3B52A986" w:rsidR="001E157E" w:rsidRDefault="001E157E" w:rsidP="00FE46FD">
      <w:pPr>
        <w:pStyle w:val="Normal-nospacing"/>
      </w:pPr>
      <w:r>
        <w:t xml:space="preserve">The compounding factors in AN-ACC are based on multiple regression equations that reflect the relative cost of the independent variables in the classification. These include the RUG-ADL, </w:t>
      </w:r>
      <w:r w:rsidR="003F2818">
        <w:t>AM-</w:t>
      </w:r>
      <w:r>
        <w:t>FIM (sub-scales), AKPS, Rockwood score, Braden total, disruptiveness, daily injections, behaviour, falls in the last 12 months, daily injections</w:t>
      </w:r>
      <w:r w:rsidR="00C77BA3">
        <w:t>, and complex wound management.</w:t>
      </w:r>
    </w:p>
    <w:p w14:paraId="645FB18F" w14:textId="33E9DA5F" w:rsidR="001E157E" w:rsidRDefault="001E157E" w:rsidP="00FE46FD">
      <w:pPr>
        <w:pStyle w:val="Normal-nospacing"/>
      </w:pPr>
      <w:r>
        <w:lastRenderedPageBreak/>
        <w:t xml:space="preserve">Cost relativities have been calculated for each AN-ACC class that range from 0.37 (Class 2) to 1.95 (Class 13). That is, there is a </w:t>
      </w:r>
      <w:r w:rsidR="00534F50">
        <w:t>five</w:t>
      </w:r>
      <w:r w:rsidR="00364B2B">
        <w:t>fold</w:t>
      </w:r>
      <w:r>
        <w:t xml:space="preserve"> variation in cost between the least a</w:t>
      </w:r>
      <w:r w:rsidR="00C77BA3">
        <w:t>nd most expensive AN-ACC class.</w:t>
      </w:r>
    </w:p>
    <w:p w14:paraId="462B9B28" w14:textId="2D19C450" w:rsidR="001E157E" w:rsidRDefault="001E157E" w:rsidP="00534F50">
      <w:pPr>
        <w:pStyle w:val="Heading2"/>
      </w:pPr>
      <w:bookmarkStart w:id="136" w:name="_Toc2070335"/>
      <w:r>
        <w:t>External resident assessments</w:t>
      </w:r>
      <w:bookmarkEnd w:id="136"/>
    </w:p>
    <w:p w14:paraId="11EC3011" w14:textId="50D116CD" w:rsidR="001E157E" w:rsidRDefault="001E157E" w:rsidP="001E157E">
      <w:pPr>
        <w:spacing w:before="120" w:after="120"/>
      </w:pPr>
      <w:r>
        <w:t xml:space="preserve">One of the key issues considered as part of Study One was </w:t>
      </w:r>
      <w:r w:rsidR="00FC5880">
        <w:t xml:space="preserve">the use of </w:t>
      </w:r>
      <w:r>
        <w:t>an external resident assessment. A key part of the rationale for using this approach in Study One was to assess its suitability for routine implementation across the sector. Study One assessments were completed by a team of registered nurses with at least five years’ expe</w:t>
      </w:r>
      <w:r w:rsidR="00C77BA3">
        <w:t>rience in the aged care sector.</w:t>
      </w:r>
    </w:p>
    <w:p w14:paraId="2CFCAA2F" w14:textId="77777777" w:rsidR="001B42E9" w:rsidRDefault="001B42E9" w:rsidP="001B42E9">
      <w:pPr>
        <w:spacing w:before="120" w:after="120"/>
      </w:pPr>
      <w:r>
        <w:t>Overall, the overwhelming finding emerging from Study One was that the RUCS Assessment Tool can effectively be completed by suitab</w:t>
      </w:r>
      <w:r w:rsidR="0062674A">
        <w:t xml:space="preserve">ly qualified external assessors, </w:t>
      </w:r>
      <w:r>
        <w:t>generally in less than one hour. This finding supports the proposed approach of assessment for funding purposes being separated from assessme</w:t>
      </w:r>
      <w:r w:rsidR="00AE7A80">
        <w:t>nt for care planning purposes.</w:t>
      </w:r>
    </w:p>
    <w:p w14:paraId="741994C7" w14:textId="77777777" w:rsidR="003D0ED0" w:rsidRPr="00621E5F" w:rsidRDefault="003D0ED0" w:rsidP="00534F50">
      <w:pPr>
        <w:pStyle w:val="Heading2"/>
      </w:pPr>
      <w:bookmarkStart w:id="137" w:name="_Toc2070336"/>
      <w:bookmarkStart w:id="138" w:name="_Ref528835073"/>
      <w:bookmarkStart w:id="139" w:name="_Ref528854960"/>
      <w:bookmarkStart w:id="140" w:name="_Ref528588774"/>
      <w:bookmarkStart w:id="141" w:name="_Toc468967310"/>
      <w:bookmarkStart w:id="142" w:name="_Ref468108265"/>
      <w:bookmarkEnd w:id="34"/>
      <w:r w:rsidRPr="00621E5F">
        <w:t xml:space="preserve">Implications for routine </w:t>
      </w:r>
      <w:r w:rsidR="0068301A" w:rsidRPr="00621E5F">
        <w:t>data collection</w:t>
      </w:r>
      <w:bookmarkEnd w:id="137"/>
    </w:p>
    <w:p w14:paraId="146D8FFB" w14:textId="77777777" w:rsidR="00E40D54" w:rsidRDefault="0068301A" w:rsidP="00E40D54">
      <w:pPr>
        <w:spacing w:before="120" w:after="120"/>
      </w:pPr>
      <w:r>
        <w:t xml:space="preserve">Implementation of any classification, particularly one that will underpin a funding model, requires that the variables </w:t>
      </w:r>
      <w:r w:rsidR="007F2559">
        <w:t xml:space="preserve">used </w:t>
      </w:r>
      <w:r>
        <w:t>to assign a class are collected on a</w:t>
      </w:r>
      <w:r w:rsidR="00E40D54">
        <w:t xml:space="preserve"> </w:t>
      </w:r>
      <w:r w:rsidR="004D44FA">
        <w:t>r</w:t>
      </w:r>
      <w:r>
        <w:t>outine basis</w:t>
      </w:r>
      <w:r w:rsidR="00116DD8">
        <w:t>.</w:t>
      </w:r>
      <w:r w:rsidR="00FC5880">
        <w:rPr>
          <w:rStyle w:val="FootnoteReference"/>
        </w:rPr>
        <w:footnoteReference w:id="3"/>
      </w:r>
      <w:r w:rsidR="00F044A8">
        <w:t xml:space="preserve"> </w:t>
      </w:r>
      <w:r w:rsidR="00E40D54">
        <w:t xml:space="preserve">In Section 1 </w:t>
      </w:r>
      <w:r w:rsidR="00655C02">
        <w:t xml:space="preserve">it is </w:t>
      </w:r>
      <w:r w:rsidR="00E40D54">
        <w:t xml:space="preserve">noted that while </w:t>
      </w:r>
      <w:r w:rsidR="00F044A8">
        <w:t xml:space="preserve">implementing a new classification for the aged care sector </w:t>
      </w:r>
      <w:r w:rsidR="00E40D54">
        <w:t>may impact on workforce and infrastructure</w:t>
      </w:r>
      <w:r w:rsidR="00F044A8">
        <w:t xml:space="preserve">, </w:t>
      </w:r>
      <w:r w:rsidR="00E40D54">
        <w:t>it would deliver benefits that far outweigh short term re</w:t>
      </w:r>
      <w:r w:rsidR="00364B2B">
        <w:t>sourcing concerns. The results of this study confirm this.</w:t>
      </w:r>
    </w:p>
    <w:p w14:paraId="4A39430F" w14:textId="77777777" w:rsidR="00DC1551" w:rsidRPr="0062674A" w:rsidRDefault="00DC1551" w:rsidP="00534F50">
      <w:pPr>
        <w:pStyle w:val="Heading2"/>
      </w:pPr>
      <w:bookmarkStart w:id="143" w:name="_Toc2070337"/>
      <w:r w:rsidRPr="0062674A">
        <w:t>Conclusion</w:t>
      </w:r>
      <w:bookmarkEnd w:id="143"/>
      <w:r w:rsidRPr="0062674A">
        <w:t xml:space="preserve"> </w:t>
      </w:r>
    </w:p>
    <w:p w14:paraId="11CE7D1B" w14:textId="0BD69264" w:rsidR="00D50735" w:rsidRDefault="00DC1551" w:rsidP="00534F50">
      <w:pPr>
        <w:pStyle w:val="Normal-nospacing"/>
      </w:pPr>
      <w:r>
        <w:t xml:space="preserve">The purpose of this </w:t>
      </w:r>
      <w:r w:rsidR="00D50735">
        <w:t>study was to develop a new, fit-for-purpose classification for the Australian residential aged care sector.</w:t>
      </w:r>
      <w:r w:rsidR="0062674A">
        <w:t xml:space="preserve"> </w:t>
      </w:r>
      <w:r w:rsidR="00364B2B">
        <w:t>The</w:t>
      </w:r>
      <w:r w:rsidR="00D50735">
        <w:t xml:space="preserve"> development of </w:t>
      </w:r>
      <w:r w:rsidR="004D44FA">
        <w:t xml:space="preserve">AN-ACC </w:t>
      </w:r>
      <w:r w:rsidR="00D50735">
        <w:t xml:space="preserve">reflects the successful attainment of this goal. AN-ACC </w:t>
      </w:r>
      <w:r w:rsidR="004D44FA">
        <w:t>represents a clear</w:t>
      </w:r>
      <w:r w:rsidR="0062674A">
        <w:t xml:space="preserve"> alternative to the current ACFI model</w:t>
      </w:r>
      <w:r w:rsidR="00C77BA3">
        <w:t>.</w:t>
      </w:r>
    </w:p>
    <w:p w14:paraId="39A22271" w14:textId="77777777" w:rsidR="00D50735" w:rsidRDefault="00D50735" w:rsidP="00534F50">
      <w:pPr>
        <w:pStyle w:val="Normal-nospacing"/>
      </w:pPr>
      <w:r>
        <w:t xml:space="preserve">The AN-ACC classes are based on the </w:t>
      </w:r>
      <w:r w:rsidR="00E53859">
        <w:t xml:space="preserve">current </w:t>
      </w:r>
      <w:r>
        <w:t xml:space="preserve">clinical profile and cost structures of residents in Australian residential aged care facilities. A classification that reflects both current care practices and cost structures has not been previously available in this sector. This in itself represents a significant development </w:t>
      </w:r>
      <w:r w:rsidR="00666F8C">
        <w:t>for</w:t>
      </w:r>
      <w:r w:rsidR="00AE7A80">
        <w:t xml:space="preserve"> the sector.</w:t>
      </w:r>
    </w:p>
    <w:p w14:paraId="1C101448" w14:textId="77777777" w:rsidR="00FE46FD" w:rsidRDefault="00FE46FD">
      <w:pPr>
        <w:rPr>
          <w:rFonts w:eastAsiaTheme="minorHAnsi" w:cstheme="minorHAnsi"/>
          <w:lang w:eastAsia="zh-CN" w:bidi="th-TH"/>
        </w:rPr>
      </w:pPr>
      <w:r>
        <w:br w:type="page"/>
      </w:r>
    </w:p>
    <w:p w14:paraId="2FE6CFB8" w14:textId="5503F97D" w:rsidR="0089294C" w:rsidRDefault="00E53859" w:rsidP="0089294C">
      <w:pPr>
        <w:pStyle w:val="Normal-nospacing"/>
      </w:pPr>
      <w:r>
        <w:lastRenderedPageBreak/>
        <w:t>Importantly, t</w:t>
      </w:r>
      <w:r w:rsidR="00D50735">
        <w:t xml:space="preserve">he implementation of AN-ACC </w:t>
      </w:r>
      <w:r>
        <w:t>presents an opportunity to continue building a better understanding of care residents’ needs and the factors that drive the costs associated with meeting those needs. The implications of implementing AN-ACC are wide-ranging in terms of measuring quality and outcomes in meaningful ways. Naturally, for this to be achieve</w:t>
      </w:r>
      <w:r w:rsidR="00B82914">
        <w:t>d</w:t>
      </w:r>
      <w:r>
        <w:t>, there will need to be further development work to refine the classification and to ensure it continues to reflect current practices and cost structures.</w:t>
      </w:r>
    </w:p>
    <w:p w14:paraId="44BB9D36" w14:textId="68164C65" w:rsidR="00C83E5E" w:rsidRDefault="0089294C" w:rsidP="0089294C">
      <w:pPr>
        <w:pStyle w:val="Normal-nospacing"/>
      </w:pPr>
      <w:r>
        <w:t xml:space="preserve">This report has presented the first version of AN-ACC. </w:t>
      </w:r>
      <w:r w:rsidR="00C83E5E">
        <w:t xml:space="preserve">The subsequent volumes in this series will </w:t>
      </w:r>
      <w:r>
        <w:t xml:space="preserve">outline </w:t>
      </w:r>
      <w:r w:rsidR="00077739">
        <w:t xml:space="preserve">a </w:t>
      </w:r>
      <w:r>
        <w:t xml:space="preserve">proposed </w:t>
      </w:r>
      <w:r w:rsidR="00077739">
        <w:t xml:space="preserve">funding model </w:t>
      </w:r>
      <w:r>
        <w:t xml:space="preserve">that addresses the set of related issues that will be critical to ensuring that AN-ACC Version 1.0 can be implemented in a meaningful and sustainable </w:t>
      </w:r>
      <w:bookmarkStart w:id="144" w:name="_Ref529308031"/>
      <w:r>
        <w:t>way for th</w:t>
      </w:r>
      <w:r w:rsidR="00C77BA3">
        <w:t>e residential aged care sector.</w:t>
      </w:r>
    </w:p>
    <w:p w14:paraId="6C8AF283" w14:textId="77777777" w:rsidR="00534F50" w:rsidRDefault="00534F50">
      <w:pPr>
        <w:rPr>
          <w:rFonts w:ascii="Calibri" w:eastAsiaTheme="majorEastAsia" w:hAnsi="Calibri" w:cstheme="majorBidi"/>
          <w:b/>
          <w:bCs/>
          <w:sz w:val="28"/>
          <w:szCs w:val="28"/>
        </w:rPr>
      </w:pPr>
      <w:r>
        <w:br w:type="page"/>
      </w:r>
    </w:p>
    <w:p w14:paraId="298679E3" w14:textId="77777777" w:rsidR="00CF61F8" w:rsidRDefault="007929AA" w:rsidP="0016396F">
      <w:pPr>
        <w:pStyle w:val="Heading1"/>
        <w:numPr>
          <w:ilvl w:val="0"/>
          <w:numId w:val="0"/>
        </w:numPr>
        <w:rPr>
          <w:noProof/>
        </w:rPr>
      </w:pPr>
      <w:bookmarkStart w:id="145" w:name="_Ref530148731"/>
      <w:bookmarkStart w:id="146" w:name="_Toc2070338"/>
      <w:bookmarkStart w:id="147" w:name="_Ref531355389"/>
      <w:r>
        <w:lastRenderedPageBreak/>
        <w:t xml:space="preserve">Appendix </w:t>
      </w:r>
      <w:bookmarkEnd w:id="138"/>
      <w:bookmarkEnd w:id="139"/>
      <w:bookmarkEnd w:id="144"/>
      <w:bookmarkEnd w:id="145"/>
      <w:r w:rsidR="00590592" w:rsidRPr="00E83BCA">
        <w:rPr>
          <w:noProof/>
        </w:rPr>
        <w:fldChar w:fldCharType="begin"/>
      </w:r>
      <w:r w:rsidR="00590592" w:rsidRPr="00E83BCA">
        <w:rPr>
          <w:noProof/>
        </w:rPr>
        <w:instrText xml:space="preserve"> SEQ Appendix \* ARABIC </w:instrText>
      </w:r>
      <w:r w:rsidR="00590592" w:rsidRPr="00E83BCA">
        <w:rPr>
          <w:noProof/>
        </w:rPr>
        <w:fldChar w:fldCharType="separate"/>
      </w:r>
      <w:r w:rsidR="00EE18C8">
        <w:rPr>
          <w:noProof/>
        </w:rPr>
        <w:t>1</w:t>
      </w:r>
      <w:bookmarkEnd w:id="146"/>
      <w:r w:rsidR="00590592" w:rsidRPr="00E83BCA">
        <w:rPr>
          <w:noProof/>
        </w:rPr>
        <w:fldChar w:fldCharType="end"/>
      </w:r>
      <w:bookmarkEnd w:id="147"/>
    </w:p>
    <w:p w14:paraId="26FEBB54" w14:textId="77777777" w:rsidR="006B2BE4" w:rsidRPr="000B42C6" w:rsidRDefault="006B2BE4" w:rsidP="006B2BE4">
      <w:pPr>
        <w:pStyle w:val="Heading2"/>
        <w:numPr>
          <w:ilvl w:val="0"/>
          <w:numId w:val="0"/>
        </w:numPr>
      </w:pPr>
      <w:bookmarkStart w:id="148" w:name="_Toc533150125"/>
      <w:bookmarkStart w:id="149" w:name="_Toc535335037"/>
      <w:bookmarkStart w:id="150" w:name="_Toc2070339"/>
      <w:r w:rsidRPr="000B42C6">
        <w:t>The RUCS reports</w:t>
      </w:r>
      <w:bookmarkEnd w:id="148"/>
      <w:bookmarkEnd w:id="149"/>
      <w:bookmarkEnd w:id="150"/>
    </w:p>
    <w:p w14:paraId="15655265" w14:textId="77777777" w:rsidR="006B2BE4" w:rsidRPr="000B42C6" w:rsidRDefault="006B2BE4" w:rsidP="006B2BE4">
      <w:r w:rsidRPr="000B42C6">
        <w:t>Given the complexity of RUCS, it has been written up in a series of reports as follows:</w:t>
      </w:r>
    </w:p>
    <w:p w14:paraId="6B16AE1A" w14:textId="38877F57" w:rsidR="006B2BE4" w:rsidRPr="004F455E" w:rsidRDefault="006B2BE4" w:rsidP="009E07BD">
      <w:pPr>
        <w:pStyle w:val="Bullets"/>
        <w:rPr>
          <w:b/>
        </w:rPr>
      </w:pPr>
      <w:bookmarkStart w:id="151" w:name="_Toc533150126"/>
      <w:r w:rsidRPr="004F455E">
        <w:rPr>
          <w:b/>
        </w:rPr>
        <w:t xml:space="preserve">Report </w:t>
      </w:r>
      <w:r w:rsidR="00856DCB" w:rsidRPr="004F455E">
        <w:rPr>
          <w:b/>
        </w:rPr>
        <w:t>1</w:t>
      </w:r>
      <w:r w:rsidRPr="004F455E">
        <w:rPr>
          <w:b/>
        </w:rPr>
        <w:t>: The Australian National Aged Care Classification (AN-ACC)</w:t>
      </w:r>
      <w:bookmarkEnd w:id="151"/>
    </w:p>
    <w:p w14:paraId="60220B3D" w14:textId="7E3C7722" w:rsidR="006B2BE4" w:rsidRPr="000B42C6" w:rsidRDefault="006B2BE4" w:rsidP="006B2BE4">
      <w:pPr>
        <w:pStyle w:val="Bullet"/>
        <w:numPr>
          <w:ilvl w:val="0"/>
          <w:numId w:val="0"/>
        </w:numPr>
        <w:ind w:left="357"/>
      </w:pPr>
      <w:r w:rsidRPr="000B42C6">
        <w:t xml:space="preserve">Report </w:t>
      </w:r>
      <w:r w:rsidR="00856DCB">
        <w:t>1</w:t>
      </w:r>
      <w:r w:rsidRPr="000B42C6">
        <w:t xml:space="preserve"> covers the design and conduct of the study undertaken to develop the AN-ACC Version 1</w:t>
      </w:r>
      <w:r w:rsidR="00683615">
        <w:t>.0</w:t>
      </w:r>
      <w:r w:rsidR="004F455E">
        <w:t xml:space="preserve"> (Study One)</w:t>
      </w:r>
      <w:r w:rsidRPr="000B42C6">
        <w:t>. It covers the design and use of the AN-ACC assessment tool and the resource utilisation study undertaken to develop AN-ACC Version 1</w:t>
      </w:r>
      <w:r w:rsidR="00683615">
        <w:t>.0</w:t>
      </w:r>
      <w:r w:rsidRPr="000B42C6">
        <w:t>, including the preparation and analysis of the data collection. It discusses the results, the classification development process and key outcomes including the statistical an</w:t>
      </w:r>
      <w:r w:rsidR="00C77BA3">
        <w:t>alysis and clinical validation.</w:t>
      </w:r>
    </w:p>
    <w:p w14:paraId="1515FD4D" w14:textId="5C1A2311" w:rsidR="006B2BE4" w:rsidRPr="004F455E" w:rsidRDefault="006B2BE4" w:rsidP="009E07BD">
      <w:pPr>
        <w:pStyle w:val="Bullets"/>
        <w:rPr>
          <w:b/>
        </w:rPr>
      </w:pPr>
      <w:bookmarkStart w:id="152" w:name="_Toc533150127"/>
      <w:r w:rsidRPr="004F455E">
        <w:rPr>
          <w:b/>
        </w:rPr>
        <w:t xml:space="preserve">Report </w:t>
      </w:r>
      <w:r w:rsidR="00856DCB" w:rsidRPr="004F455E">
        <w:rPr>
          <w:b/>
        </w:rPr>
        <w:t>2</w:t>
      </w:r>
      <w:r w:rsidRPr="004F455E">
        <w:rPr>
          <w:b/>
        </w:rPr>
        <w:t>: The AN-ACC assessment model</w:t>
      </w:r>
      <w:bookmarkEnd w:id="152"/>
    </w:p>
    <w:p w14:paraId="07A33A29" w14:textId="50631C38" w:rsidR="006B2BE4" w:rsidRPr="000B42C6" w:rsidRDefault="006B2BE4" w:rsidP="006B2BE4">
      <w:pPr>
        <w:pStyle w:val="Bullet"/>
        <w:numPr>
          <w:ilvl w:val="0"/>
          <w:numId w:val="0"/>
        </w:numPr>
        <w:ind w:left="357"/>
      </w:pPr>
      <w:r w:rsidRPr="000B42C6">
        <w:t xml:space="preserve">Report </w:t>
      </w:r>
      <w:r w:rsidR="00856DCB">
        <w:t>2</w:t>
      </w:r>
      <w:r w:rsidRPr="000B42C6">
        <w:t xml:space="preserve"> presents detailed findings relating to the external assessment tool and assessment process</w:t>
      </w:r>
      <w:r w:rsidR="009A3D40">
        <w:t xml:space="preserve"> (</w:t>
      </w:r>
      <w:r w:rsidR="00A93A61">
        <w:t>informed by Studies One, Three and</w:t>
      </w:r>
      <w:r w:rsidR="00683615">
        <w:t xml:space="preserve"> Four</w:t>
      </w:r>
      <w:r w:rsidR="009A3D40">
        <w:t>).</w:t>
      </w:r>
      <w:r w:rsidR="00D07E77">
        <w:t xml:space="preserve"> </w:t>
      </w:r>
      <w:r w:rsidRPr="000B42C6">
        <w:t>This includes the development of the assessment tool using expert clinical panels and a summary of feedback from assessors regarding the use of the tool and the suitability of individual instruments. The skills and competencies required for the assessment workforce and other implications for implementation of the external assessment model are considered as well as triggers and protocols for reassessment.</w:t>
      </w:r>
    </w:p>
    <w:p w14:paraId="1BFAD970" w14:textId="77777777" w:rsidR="006B2BE4" w:rsidRPr="004F455E" w:rsidRDefault="006B2BE4" w:rsidP="009E07BD">
      <w:pPr>
        <w:pStyle w:val="Bullets"/>
        <w:rPr>
          <w:b/>
        </w:rPr>
      </w:pPr>
      <w:bookmarkStart w:id="153" w:name="_Toc533150128"/>
      <w:r w:rsidRPr="004F455E">
        <w:rPr>
          <w:b/>
        </w:rPr>
        <w:t xml:space="preserve">Report </w:t>
      </w:r>
      <w:r w:rsidR="00856DCB" w:rsidRPr="004F455E">
        <w:rPr>
          <w:b/>
        </w:rPr>
        <w:t>3</w:t>
      </w:r>
      <w:r w:rsidRPr="004F455E">
        <w:rPr>
          <w:b/>
        </w:rPr>
        <w:t>: Structural and individual costs of residential aged care services in Australia</w:t>
      </w:r>
      <w:bookmarkEnd w:id="153"/>
    </w:p>
    <w:p w14:paraId="01746D6A" w14:textId="62A35E6A" w:rsidR="006B2BE4" w:rsidRPr="000B42C6" w:rsidRDefault="006B2BE4" w:rsidP="006B2BE4">
      <w:pPr>
        <w:pStyle w:val="Bullet"/>
        <w:numPr>
          <w:ilvl w:val="0"/>
          <w:numId w:val="0"/>
        </w:numPr>
        <w:ind w:left="357"/>
      </w:pPr>
      <w:r w:rsidRPr="000B42C6">
        <w:t xml:space="preserve">Report </w:t>
      </w:r>
      <w:r w:rsidR="00856DCB">
        <w:t>3</w:t>
      </w:r>
      <w:r w:rsidRPr="000B42C6">
        <w:t xml:space="preserve"> presents the analysis and findings of Study Two which identified the proportions of total care costs that are fixed (including shared care) and variable (relating to individualised resident care). The analysis focused on the differences in fixed costs between different types of facilities, characterised by ownership, size, remotene</w:t>
      </w:r>
      <w:r w:rsidR="00D07E77">
        <w:t xml:space="preserve">ss and service specialisation. </w:t>
      </w:r>
      <w:r w:rsidRPr="000B42C6">
        <w:t>It includes an analysis of the drivers of fixed care costs.</w:t>
      </w:r>
    </w:p>
    <w:p w14:paraId="6A96392C" w14:textId="445F2B08" w:rsidR="006B2BE4" w:rsidRPr="004F455E" w:rsidRDefault="006B2BE4" w:rsidP="009E07BD">
      <w:pPr>
        <w:pStyle w:val="Bullets"/>
        <w:rPr>
          <w:b/>
        </w:rPr>
      </w:pPr>
      <w:bookmarkStart w:id="154" w:name="_Toc533150129"/>
      <w:r w:rsidRPr="004F455E">
        <w:rPr>
          <w:b/>
        </w:rPr>
        <w:t xml:space="preserve">Report </w:t>
      </w:r>
      <w:r w:rsidR="00856DCB" w:rsidRPr="004F455E">
        <w:rPr>
          <w:b/>
        </w:rPr>
        <w:t>4</w:t>
      </w:r>
      <w:r w:rsidRPr="004F455E">
        <w:rPr>
          <w:b/>
        </w:rPr>
        <w:t>: Modelling the impact of the AN-ACC in Australia</w:t>
      </w:r>
      <w:bookmarkEnd w:id="154"/>
    </w:p>
    <w:p w14:paraId="201C39A2" w14:textId="77777777" w:rsidR="006B2BE4" w:rsidRPr="000B42C6" w:rsidRDefault="006B2BE4" w:rsidP="006B2BE4">
      <w:pPr>
        <w:pStyle w:val="Bullet"/>
        <w:numPr>
          <w:ilvl w:val="0"/>
          <w:numId w:val="0"/>
        </w:numPr>
        <w:ind w:left="357"/>
      </w:pPr>
      <w:r w:rsidRPr="000B42C6">
        <w:t xml:space="preserve">Report </w:t>
      </w:r>
      <w:r w:rsidR="00856DCB">
        <w:t>4</w:t>
      </w:r>
      <w:r w:rsidRPr="000B42C6">
        <w:t xml:space="preserve"> presents an analysis of modelling the introduction of the AN-ACC across Australia. This is based on the findings of Study Three. The sampling and assessment data collection process and the casemix of residents in aged care across Australia are described. The focus of this report is on modelling the introduction of the AN-ACC to replace the ACFI.</w:t>
      </w:r>
    </w:p>
    <w:p w14:paraId="75DBC953" w14:textId="7EFD1DBA" w:rsidR="006B2BE4" w:rsidRPr="004F455E" w:rsidRDefault="006B2BE4" w:rsidP="009E07BD">
      <w:pPr>
        <w:pStyle w:val="Bullets"/>
        <w:rPr>
          <w:b/>
        </w:rPr>
      </w:pPr>
      <w:bookmarkStart w:id="155" w:name="_Toc533150130"/>
      <w:r w:rsidRPr="004F455E">
        <w:rPr>
          <w:b/>
        </w:rPr>
        <w:t xml:space="preserve">Report </w:t>
      </w:r>
      <w:r w:rsidR="00856DCB" w:rsidRPr="004F455E">
        <w:rPr>
          <w:b/>
        </w:rPr>
        <w:t>5</w:t>
      </w:r>
      <w:r w:rsidRPr="004F455E">
        <w:rPr>
          <w:b/>
        </w:rPr>
        <w:t>: AN-ACC: A funding model for the residential aged care sector</w:t>
      </w:r>
      <w:bookmarkEnd w:id="155"/>
    </w:p>
    <w:p w14:paraId="0BC76E51" w14:textId="77DF4019" w:rsidR="006B2BE4" w:rsidRPr="000B42C6" w:rsidRDefault="006B2BE4" w:rsidP="006B2BE4">
      <w:pPr>
        <w:pStyle w:val="Bullet"/>
        <w:numPr>
          <w:ilvl w:val="0"/>
          <w:numId w:val="0"/>
        </w:numPr>
        <w:ind w:left="357"/>
      </w:pPr>
      <w:r w:rsidRPr="000B42C6">
        <w:t xml:space="preserve">Report </w:t>
      </w:r>
      <w:r w:rsidR="00856DCB">
        <w:t>5</w:t>
      </w:r>
      <w:r w:rsidRPr="000B42C6">
        <w:t xml:space="preserve"> presents the design of a new funding model based on the AN-ACC.  It includes a consideration of other payment issues such as existing payment supplements, a discussion of incentives in funding model design and key issues </w:t>
      </w:r>
      <w:r w:rsidR="00D07E77">
        <w:t>in implementing the new model.</w:t>
      </w:r>
    </w:p>
    <w:p w14:paraId="7CDFC1F5" w14:textId="77777777" w:rsidR="006B2BE4" w:rsidRPr="004F455E" w:rsidRDefault="006B2BE4" w:rsidP="009E07BD">
      <w:pPr>
        <w:pStyle w:val="Bullets"/>
        <w:rPr>
          <w:b/>
        </w:rPr>
      </w:pPr>
      <w:bookmarkStart w:id="156" w:name="_Toc533150131"/>
      <w:r w:rsidRPr="004F455E">
        <w:rPr>
          <w:b/>
        </w:rPr>
        <w:t xml:space="preserve">Report </w:t>
      </w:r>
      <w:r w:rsidR="00856DCB" w:rsidRPr="004F455E">
        <w:rPr>
          <w:b/>
        </w:rPr>
        <w:t>6</w:t>
      </w:r>
      <w:r w:rsidRPr="004F455E">
        <w:rPr>
          <w:b/>
        </w:rPr>
        <w:t>: AN-ACC: A national classification and funding model for residential aged care: synthesis and consolidated recommendations</w:t>
      </w:r>
      <w:bookmarkEnd w:id="156"/>
    </w:p>
    <w:p w14:paraId="2F20DE79" w14:textId="77777777" w:rsidR="006B2BE4" w:rsidRPr="000B42C6" w:rsidRDefault="006B2BE4" w:rsidP="006B2BE4">
      <w:pPr>
        <w:pStyle w:val="Bullet"/>
        <w:numPr>
          <w:ilvl w:val="0"/>
          <w:numId w:val="0"/>
        </w:numPr>
        <w:ind w:left="357"/>
      </w:pPr>
      <w:r w:rsidRPr="000B42C6">
        <w:t>This report syntheses and consolidates the findings presented in other reports and provides a consolidated set of recommendations.</w:t>
      </w:r>
    </w:p>
    <w:p w14:paraId="1B039536" w14:textId="77777777" w:rsidR="006B2BE4" w:rsidRPr="004F455E" w:rsidRDefault="006B2BE4" w:rsidP="009E07BD">
      <w:pPr>
        <w:pStyle w:val="Bullets"/>
        <w:rPr>
          <w:b/>
        </w:rPr>
      </w:pPr>
      <w:bookmarkStart w:id="157" w:name="_Toc533150132"/>
      <w:r w:rsidRPr="004F455E">
        <w:rPr>
          <w:b/>
        </w:rPr>
        <w:lastRenderedPageBreak/>
        <w:t xml:space="preserve">Report </w:t>
      </w:r>
      <w:r w:rsidR="00856DCB" w:rsidRPr="004F455E">
        <w:rPr>
          <w:b/>
        </w:rPr>
        <w:t>7</w:t>
      </w:r>
      <w:r w:rsidRPr="004F455E">
        <w:rPr>
          <w:b/>
        </w:rPr>
        <w:t>: AN-ACC Technical appendices</w:t>
      </w:r>
      <w:bookmarkEnd w:id="157"/>
    </w:p>
    <w:p w14:paraId="737FF681" w14:textId="77777777" w:rsidR="006B2BE4" w:rsidRPr="000B42C6" w:rsidRDefault="006B2BE4" w:rsidP="006B2BE4">
      <w:pPr>
        <w:pStyle w:val="Bullet"/>
        <w:numPr>
          <w:ilvl w:val="0"/>
          <w:numId w:val="0"/>
        </w:numPr>
        <w:ind w:left="357"/>
      </w:pPr>
      <w:r w:rsidRPr="000B42C6">
        <w:t>This report is a series of technical appendices that contain detailed data for reference purposes.</w:t>
      </w:r>
    </w:p>
    <w:p w14:paraId="0F20B46B" w14:textId="77777777" w:rsidR="006B2BE4" w:rsidRDefault="006B2BE4">
      <w:r>
        <w:br w:type="page"/>
      </w:r>
    </w:p>
    <w:p w14:paraId="74B62297" w14:textId="77777777" w:rsidR="006B2BE4" w:rsidRDefault="006B2BE4" w:rsidP="006B2BE4">
      <w:pPr>
        <w:pStyle w:val="Heading1"/>
        <w:numPr>
          <w:ilvl w:val="0"/>
          <w:numId w:val="0"/>
        </w:numPr>
        <w:rPr>
          <w:noProof/>
        </w:rPr>
      </w:pPr>
      <w:bookmarkStart w:id="158" w:name="_Toc2070340"/>
      <w:bookmarkStart w:id="159" w:name="_Ref535396620"/>
      <w:r w:rsidRPr="00E83BCA">
        <w:lastRenderedPageBreak/>
        <w:t xml:space="preserve">Appendix </w:t>
      </w:r>
      <w:r w:rsidRPr="00E83BCA">
        <w:rPr>
          <w:noProof/>
        </w:rPr>
        <w:fldChar w:fldCharType="begin"/>
      </w:r>
      <w:r w:rsidRPr="00E83BCA">
        <w:rPr>
          <w:noProof/>
        </w:rPr>
        <w:instrText xml:space="preserve"> SEQ Appendix \* ARABIC </w:instrText>
      </w:r>
      <w:r w:rsidRPr="00E83BCA">
        <w:rPr>
          <w:noProof/>
        </w:rPr>
        <w:fldChar w:fldCharType="separate"/>
      </w:r>
      <w:r w:rsidR="00EE18C8">
        <w:rPr>
          <w:noProof/>
        </w:rPr>
        <w:t>2</w:t>
      </w:r>
      <w:bookmarkEnd w:id="158"/>
      <w:r w:rsidRPr="00E83BCA">
        <w:rPr>
          <w:noProof/>
        </w:rPr>
        <w:fldChar w:fldCharType="end"/>
      </w:r>
      <w:bookmarkEnd w:id="159"/>
    </w:p>
    <w:p w14:paraId="0A5A0421" w14:textId="77777777" w:rsidR="007929AA" w:rsidRDefault="003B4A65" w:rsidP="00CF61F8">
      <w:pPr>
        <w:pStyle w:val="Heading2"/>
        <w:numPr>
          <w:ilvl w:val="0"/>
          <w:numId w:val="0"/>
        </w:numPr>
      </w:pPr>
      <w:bookmarkStart w:id="160" w:name="_Toc2070341"/>
      <w:r>
        <w:t xml:space="preserve">Study One </w:t>
      </w:r>
      <w:r w:rsidR="00B82914">
        <w:t>p</w:t>
      </w:r>
      <w:r w:rsidR="00CE320E">
        <w:t>articipating</w:t>
      </w:r>
      <w:r w:rsidR="00F04AD3">
        <w:t xml:space="preserve"> </w:t>
      </w:r>
      <w:r w:rsidR="00B82914">
        <w:t>f</w:t>
      </w:r>
      <w:r w:rsidR="00F04AD3">
        <w:t>acilities</w:t>
      </w:r>
      <w:bookmarkEnd w:id="160"/>
    </w:p>
    <w:tbl>
      <w:tblPr>
        <w:tblStyle w:val="TableGrid"/>
        <w:tblW w:w="0" w:type="auto"/>
        <w:tblLook w:val="04A0" w:firstRow="1" w:lastRow="0" w:firstColumn="1" w:lastColumn="0" w:noHBand="0" w:noVBand="1"/>
        <w:tblCaption w:val="Study One participating facilities"/>
        <w:tblDescription w:val="This table shows a list of facilities that participated in Study One, their geographical location, and data collection month. The table should be read as a series of rows from left to right ('Facility name' then 'location' then 'collection month')."/>
      </w:tblPr>
      <w:tblGrid>
        <w:gridCol w:w="4997"/>
        <w:gridCol w:w="2312"/>
        <w:gridCol w:w="1751"/>
      </w:tblGrid>
      <w:tr w:rsidR="00F04AD3" w14:paraId="3B331A98" w14:textId="77777777" w:rsidTr="00237C47">
        <w:trPr>
          <w:tblHeader/>
        </w:trPr>
        <w:tc>
          <w:tcPr>
            <w:tcW w:w="5353" w:type="dxa"/>
            <w:shd w:val="clear" w:color="auto" w:fill="D9D9D9" w:themeFill="background1" w:themeFillShade="D9"/>
          </w:tcPr>
          <w:p w14:paraId="3A5D1079" w14:textId="77777777" w:rsidR="00F04AD3" w:rsidRPr="00CF61F8" w:rsidRDefault="00F04AD3" w:rsidP="00FB05DE">
            <w:pPr>
              <w:spacing w:before="40" w:after="40"/>
              <w:rPr>
                <w:rFonts w:ascii="Calibri" w:eastAsiaTheme="majorEastAsia" w:hAnsi="Calibri" w:cstheme="majorBidi"/>
                <w:b/>
                <w:bCs/>
                <w:szCs w:val="28"/>
              </w:rPr>
            </w:pPr>
            <w:r w:rsidRPr="00CF61F8">
              <w:rPr>
                <w:rFonts w:ascii="Calibri" w:eastAsiaTheme="majorEastAsia" w:hAnsi="Calibri" w:cstheme="majorBidi"/>
                <w:b/>
                <w:bCs/>
                <w:szCs w:val="28"/>
              </w:rPr>
              <w:t>Facility Name</w:t>
            </w:r>
          </w:p>
        </w:tc>
        <w:tc>
          <w:tcPr>
            <w:tcW w:w="2410" w:type="dxa"/>
            <w:shd w:val="clear" w:color="auto" w:fill="D9D9D9" w:themeFill="background1" w:themeFillShade="D9"/>
          </w:tcPr>
          <w:p w14:paraId="1F4DCB6C" w14:textId="77777777" w:rsidR="00F04AD3" w:rsidRPr="00CF61F8" w:rsidRDefault="00F04AD3" w:rsidP="00FB05DE">
            <w:pPr>
              <w:spacing w:before="40" w:after="40"/>
              <w:rPr>
                <w:rFonts w:ascii="Calibri" w:eastAsiaTheme="majorEastAsia" w:hAnsi="Calibri" w:cstheme="majorBidi"/>
                <w:b/>
                <w:bCs/>
                <w:szCs w:val="28"/>
              </w:rPr>
            </w:pPr>
            <w:r w:rsidRPr="00CF61F8">
              <w:rPr>
                <w:rFonts w:ascii="Calibri" w:eastAsiaTheme="majorEastAsia" w:hAnsi="Calibri" w:cstheme="majorBidi"/>
                <w:b/>
                <w:bCs/>
                <w:szCs w:val="28"/>
              </w:rPr>
              <w:t>Location</w:t>
            </w:r>
          </w:p>
        </w:tc>
        <w:tc>
          <w:tcPr>
            <w:tcW w:w="1807" w:type="dxa"/>
            <w:shd w:val="clear" w:color="auto" w:fill="D9D9D9" w:themeFill="background1" w:themeFillShade="D9"/>
          </w:tcPr>
          <w:p w14:paraId="0681C36F" w14:textId="77777777" w:rsidR="00F04AD3" w:rsidRPr="00CF61F8" w:rsidRDefault="00F04AD3" w:rsidP="00FB05DE">
            <w:pPr>
              <w:spacing w:before="40" w:after="40"/>
              <w:rPr>
                <w:rFonts w:ascii="Calibri" w:eastAsiaTheme="majorEastAsia" w:hAnsi="Calibri" w:cstheme="majorBidi"/>
                <w:b/>
                <w:bCs/>
                <w:szCs w:val="28"/>
              </w:rPr>
            </w:pPr>
            <w:r w:rsidRPr="00CF61F8">
              <w:rPr>
                <w:rFonts w:ascii="Calibri" w:eastAsiaTheme="majorEastAsia" w:hAnsi="Calibri" w:cstheme="majorBidi"/>
                <w:b/>
                <w:bCs/>
                <w:szCs w:val="28"/>
              </w:rPr>
              <w:t>Collection Month</w:t>
            </w:r>
          </w:p>
        </w:tc>
      </w:tr>
      <w:tr w:rsidR="00F04AD3" w14:paraId="7995EE64" w14:textId="77777777" w:rsidTr="00CE320E">
        <w:tc>
          <w:tcPr>
            <w:tcW w:w="5353" w:type="dxa"/>
          </w:tcPr>
          <w:p w14:paraId="32900592" w14:textId="77777777" w:rsidR="00F04AD3" w:rsidRPr="00CF61F8" w:rsidRDefault="00F04AD3" w:rsidP="00FB05DE">
            <w:pPr>
              <w:spacing w:before="40" w:after="40"/>
            </w:pPr>
            <w:r w:rsidRPr="00CF61F8">
              <w:t>Anglican Care Scenic Lodge Merewether</w:t>
            </w:r>
          </w:p>
        </w:tc>
        <w:tc>
          <w:tcPr>
            <w:tcW w:w="2410" w:type="dxa"/>
          </w:tcPr>
          <w:p w14:paraId="5A328F66" w14:textId="77777777" w:rsidR="00F04AD3" w:rsidRPr="00CF61F8" w:rsidRDefault="00F04AD3" w:rsidP="00FB05DE">
            <w:pPr>
              <w:spacing w:before="40" w:after="40"/>
            </w:pPr>
            <w:r w:rsidRPr="00CF61F8">
              <w:t>Hunter, NSW</w:t>
            </w:r>
          </w:p>
        </w:tc>
        <w:tc>
          <w:tcPr>
            <w:tcW w:w="1807" w:type="dxa"/>
          </w:tcPr>
          <w:p w14:paraId="60B42255" w14:textId="77777777" w:rsidR="00F04AD3" w:rsidRPr="00CF61F8" w:rsidRDefault="00F04AD3" w:rsidP="00FB05DE">
            <w:pPr>
              <w:spacing w:before="40" w:after="40"/>
            </w:pPr>
            <w:r w:rsidRPr="00CF61F8">
              <w:t>March 2018</w:t>
            </w:r>
          </w:p>
        </w:tc>
      </w:tr>
      <w:tr w:rsidR="00F04AD3" w14:paraId="0B64325F" w14:textId="77777777" w:rsidTr="00CE320E">
        <w:tc>
          <w:tcPr>
            <w:tcW w:w="5353" w:type="dxa"/>
          </w:tcPr>
          <w:p w14:paraId="07E77887" w14:textId="77777777" w:rsidR="00F04AD3" w:rsidRPr="00CF61F8" w:rsidRDefault="00F04AD3" w:rsidP="00FB05DE">
            <w:pPr>
              <w:spacing w:before="40" w:after="40"/>
            </w:pPr>
            <w:r w:rsidRPr="00CF61F8">
              <w:t>Mayfield Aged Care</w:t>
            </w:r>
          </w:p>
        </w:tc>
        <w:tc>
          <w:tcPr>
            <w:tcW w:w="2410" w:type="dxa"/>
          </w:tcPr>
          <w:p w14:paraId="560792CE" w14:textId="77777777" w:rsidR="00F04AD3" w:rsidRPr="00CF61F8" w:rsidRDefault="00F04AD3" w:rsidP="00FB05DE">
            <w:pPr>
              <w:spacing w:before="40" w:after="40"/>
            </w:pPr>
            <w:r w:rsidRPr="00CF61F8">
              <w:t>Hunter, NSW</w:t>
            </w:r>
          </w:p>
        </w:tc>
        <w:tc>
          <w:tcPr>
            <w:tcW w:w="1807" w:type="dxa"/>
          </w:tcPr>
          <w:p w14:paraId="7B97D8C7" w14:textId="77777777" w:rsidR="00F04AD3" w:rsidRPr="00CF61F8" w:rsidRDefault="00F04AD3" w:rsidP="00FB05DE">
            <w:pPr>
              <w:spacing w:before="40" w:after="40"/>
            </w:pPr>
            <w:r w:rsidRPr="00CF61F8">
              <w:t>March 2018</w:t>
            </w:r>
          </w:p>
        </w:tc>
      </w:tr>
      <w:tr w:rsidR="00F04AD3" w14:paraId="6B8BA4C4" w14:textId="77777777" w:rsidTr="00CE320E">
        <w:tc>
          <w:tcPr>
            <w:tcW w:w="5353" w:type="dxa"/>
          </w:tcPr>
          <w:p w14:paraId="1DED2587" w14:textId="77777777" w:rsidR="00F04AD3" w:rsidRPr="00CF61F8" w:rsidRDefault="00F04AD3" w:rsidP="00FB05DE">
            <w:pPr>
              <w:spacing w:before="40" w:after="40"/>
            </w:pPr>
            <w:r w:rsidRPr="00CF61F8">
              <w:t>BUPA Cardiff</w:t>
            </w:r>
          </w:p>
        </w:tc>
        <w:tc>
          <w:tcPr>
            <w:tcW w:w="2410" w:type="dxa"/>
          </w:tcPr>
          <w:p w14:paraId="2DC57CAB" w14:textId="77777777" w:rsidR="00F04AD3" w:rsidRPr="00CF61F8" w:rsidRDefault="00F04AD3" w:rsidP="00FB05DE">
            <w:pPr>
              <w:spacing w:before="40" w:after="40"/>
            </w:pPr>
            <w:r w:rsidRPr="00CF61F8">
              <w:t>Hunter, NSW</w:t>
            </w:r>
          </w:p>
        </w:tc>
        <w:tc>
          <w:tcPr>
            <w:tcW w:w="1807" w:type="dxa"/>
          </w:tcPr>
          <w:p w14:paraId="0C4C70AF" w14:textId="77777777" w:rsidR="00F04AD3" w:rsidRPr="00CF61F8" w:rsidRDefault="00F04AD3" w:rsidP="00FB05DE">
            <w:pPr>
              <w:spacing w:before="40" w:after="40"/>
            </w:pPr>
            <w:r w:rsidRPr="00CF61F8">
              <w:t>March 2018</w:t>
            </w:r>
          </w:p>
        </w:tc>
      </w:tr>
      <w:tr w:rsidR="00F04AD3" w14:paraId="129CD236" w14:textId="77777777" w:rsidTr="00CE320E">
        <w:tc>
          <w:tcPr>
            <w:tcW w:w="5353" w:type="dxa"/>
          </w:tcPr>
          <w:p w14:paraId="673CE012" w14:textId="77777777" w:rsidR="00F04AD3" w:rsidRPr="00CF61F8" w:rsidRDefault="00F04AD3" w:rsidP="00FB05DE">
            <w:pPr>
              <w:spacing w:before="40" w:after="40"/>
            </w:pPr>
            <w:r w:rsidRPr="00CF61F8">
              <w:t>Calvary St Joseph's Retirement Community</w:t>
            </w:r>
          </w:p>
        </w:tc>
        <w:tc>
          <w:tcPr>
            <w:tcW w:w="2410" w:type="dxa"/>
          </w:tcPr>
          <w:p w14:paraId="256D0FE5" w14:textId="77777777" w:rsidR="00F04AD3" w:rsidRPr="00CF61F8" w:rsidRDefault="00F04AD3" w:rsidP="00FB05DE">
            <w:pPr>
              <w:spacing w:before="40" w:after="40"/>
            </w:pPr>
            <w:r w:rsidRPr="00CF61F8">
              <w:t>Hunter, NSW</w:t>
            </w:r>
          </w:p>
        </w:tc>
        <w:tc>
          <w:tcPr>
            <w:tcW w:w="1807" w:type="dxa"/>
          </w:tcPr>
          <w:p w14:paraId="6407999C" w14:textId="77777777" w:rsidR="00F04AD3" w:rsidRPr="00CF61F8" w:rsidRDefault="00F04AD3" w:rsidP="00FB05DE">
            <w:pPr>
              <w:spacing w:before="40" w:after="40"/>
            </w:pPr>
            <w:r w:rsidRPr="00CF61F8">
              <w:t>March 2018</w:t>
            </w:r>
          </w:p>
        </w:tc>
      </w:tr>
      <w:tr w:rsidR="00F04AD3" w14:paraId="5255B6EE" w14:textId="77777777" w:rsidTr="00CE320E">
        <w:tc>
          <w:tcPr>
            <w:tcW w:w="5353" w:type="dxa"/>
          </w:tcPr>
          <w:p w14:paraId="2539219C" w14:textId="77777777" w:rsidR="00F04AD3" w:rsidRPr="00CF61F8" w:rsidRDefault="00F04AD3" w:rsidP="00FB05DE">
            <w:pPr>
              <w:spacing w:before="40" w:after="40"/>
            </w:pPr>
            <w:r w:rsidRPr="00CF61F8">
              <w:t>RFBI Hawkins Masonic Village - Jacaranda House</w:t>
            </w:r>
          </w:p>
        </w:tc>
        <w:tc>
          <w:tcPr>
            <w:tcW w:w="2410" w:type="dxa"/>
          </w:tcPr>
          <w:p w14:paraId="1BCB15CC" w14:textId="77777777" w:rsidR="00F04AD3" w:rsidRPr="00CF61F8" w:rsidRDefault="00F04AD3" w:rsidP="00FB05DE">
            <w:pPr>
              <w:spacing w:before="40" w:after="40"/>
            </w:pPr>
            <w:r w:rsidRPr="00CF61F8">
              <w:t>Hunter, NSW</w:t>
            </w:r>
          </w:p>
        </w:tc>
        <w:tc>
          <w:tcPr>
            <w:tcW w:w="1807" w:type="dxa"/>
          </w:tcPr>
          <w:p w14:paraId="590FE875" w14:textId="77777777" w:rsidR="00F04AD3" w:rsidRPr="00CF61F8" w:rsidRDefault="00F04AD3" w:rsidP="00FB05DE">
            <w:pPr>
              <w:spacing w:before="40" w:after="40"/>
            </w:pPr>
            <w:r w:rsidRPr="00CF61F8">
              <w:t>March 2018</w:t>
            </w:r>
          </w:p>
        </w:tc>
      </w:tr>
      <w:tr w:rsidR="00F04AD3" w14:paraId="605B1E88" w14:textId="77777777" w:rsidTr="00CE320E">
        <w:tc>
          <w:tcPr>
            <w:tcW w:w="5353" w:type="dxa"/>
          </w:tcPr>
          <w:p w14:paraId="3D57ADEA" w14:textId="77777777" w:rsidR="00F04AD3" w:rsidRPr="00CF61F8" w:rsidRDefault="00F04AD3" w:rsidP="00FB05DE">
            <w:pPr>
              <w:spacing w:before="40" w:after="40"/>
            </w:pPr>
            <w:r w:rsidRPr="00CF61F8">
              <w:t>Calvary Cooinda Retirement Community</w:t>
            </w:r>
          </w:p>
        </w:tc>
        <w:tc>
          <w:tcPr>
            <w:tcW w:w="2410" w:type="dxa"/>
          </w:tcPr>
          <w:p w14:paraId="67B7C199" w14:textId="77777777" w:rsidR="00F04AD3" w:rsidRPr="00CF61F8" w:rsidRDefault="00F04AD3" w:rsidP="00FB05DE">
            <w:pPr>
              <w:spacing w:before="40" w:after="40"/>
            </w:pPr>
            <w:r w:rsidRPr="00CF61F8">
              <w:t>Hunter, NSW</w:t>
            </w:r>
          </w:p>
        </w:tc>
        <w:tc>
          <w:tcPr>
            <w:tcW w:w="1807" w:type="dxa"/>
          </w:tcPr>
          <w:p w14:paraId="0F8AF163" w14:textId="77777777" w:rsidR="00F04AD3" w:rsidRPr="00CF61F8" w:rsidRDefault="00F04AD3" w:rsidP="00FB05DE">
            <w:pPr>
              <w:spacing w:before="40" w:after="40"/>
            </w:pPr>
            <w:r w:rsidRPr="00CF61F8">
              <w:t>March 2018</w:t>
            </w:r>
          </w:p>
        </w:tc>
      </w:tr>
      <w:tr w:rsidR="00F04AD3" w14:paraId="5B33F3CD" w14:textId="77777777" w:rsidTr="00CE320E">
        <w:tc>
          <w:tcPr>
            <w:tcW w:w="5353" w:type="dxa"/>
          </w:tcPr>
          <w:p w14:paraId="22AF30C2" w14:textId="77777777" w:rsidR="00F04AD3" w:rsidRPr="00CF61F8" w:rsidRDefault="00F04AD3" w:rsidP="00FB05DE">
            <w:pPr>
              <w:spacing w:before="40" w:after="40"/>
            </w:pPr>
            <w:r w:rsidRPr="00CF61F8">
              <w:t>RFBI Hawkins Masonic Village - Grevillea House</w:t>
            </w:r>
          </w:p>
        </w:tc>
        <w:tc>
          <w:tcPr>
            <w:tcW w:w="2410" w:type="dxa"/>
          </w:tcPr>
          <w:p w14:paraId="35EE44CA" w14:textId="77777777" w:rsidR="00F04AD3" w:rsidRPr="00CF61F8" w:rsidRDefault="00F04AD3" w:rsidP="00FB05DE">
            <w:pPr>
              <w:spacing w:before="40" w:after="40"/>
            </w:pPr>
            <w:r w:rsidRPr="00CF61F8">
              <w:t>Hunter, NSW</w:t>
            </w:r>
          </w:p>
        </w:tc>
        <w:tc>
          <w:tcPr>
            <w:tcW w:w="1807" w:type="dxa"/>
          </w:tcPr>
          <w:p w14:paraId="10D1C9B6" w14:textId="77777777" w:rsidR="00F04AD3" w:rsidRPr="00CF61F8" w:rsidRDefault="00F04AD3" w:rsidP="00FB05DE">
            <w:pPr>
              <w:spacing w:before="40" w:after="40"/>
            </w:pPr>
            <w:r w:rsidRPr="00CF61F8">
              <w:t>April 2018</w:t>
            </w:r>
          </w:p>
        </w:tc>
      </w:tr>
      <w:tr w:rsidR="00F04AD3" w14:paraId="25C00B87" w14:textId="77777777" w:rsidTr="00CE320E">
        <w:tc>
          <w:tcPr>
            <w:tcW w:w="5353" w:type="dxa"/>
          </w:tcPr>
          <w:p w14:paraId="731CF183" w14:textId="77777777" w:rsidR="00F04AD3" w:rsidRPr="00CF61F8" w:rsidRDefault="00F04AD3" w:rsidP="00FB05DE">
            <w:pPr>
              <w:spacing w:before="40" w:after="40"/>
            </w:pPr>
            <w:r w:rsidRPr="00CF61F8">
              <w:t>BUPA Waratah</w:t>
            </w:r>
          </w:p>
        </w:tc>
        <w:tc>
          <w:tcPr>
            <w:tcW w:w="2410" w:type="dxa"/>
          </w:tcPr>
          <w:p w14:paraId="386A19F6" w14:textId="77777777" w:rsidR="00F04AD3" w:rsidRPr="00CF61F8" w:rsidRDefault="00F04AD3" w:rsidP="00FB05DE">
            <w:pPr>
              <w:spacing w:before="40" w:after="40"/>
            </w:pPr>
            <w:r w:rsidRPr="00CF61F8">
              <w:t>Hunter, NSW</w:t>
            </w:r>
          </w:p>
        </w:tc>
        <w:tc>
          <w:tcPr>
            <w:tcW w:w="1807" w:type="dxa"/>
          </w:tcPr>
          <w:p w14:paraId="5972D772" w14:textId="77777777" w:rsidR="00F04AD3" w:rsidRPr="00CF61F8" w:rsidRDefault="00F04AD3" w:rsidP="00FB05DE">
            <w:pPr>
              <w:spacing w:before="40" w:after="40"/>
            </w:pPr>
            <w:r w:rsidRPr="00CF61F8">
              <w:t>April 2018</w:t>
            </w:r>
          </w:p>
        </w:tc>
      </w:tr>
      <w:tr w:rsidR="00F04AD3" w14:paraId="278B221D" w14:textId="77777777" w:rsidTr="00CE320E">
        <w:tc>
          <w:tcPr>
            <w:tcW w:w="5353" w:type="dxa"/>
          </w:tcPr>
          <w:p w14:paraId="53870F16" w14:textId="77777777" w:rsidR="00F04AD3" w:rsidRPr="00CF61F8" w:rsidRDefault="00F04AD3" w:rsidP="00FB05DE">
            <w:pPr>
              <w:spacing w:before="40" w:after="40"/>
            </w:pPr>
            <w:r w:rsidRPr="00CF61F8">
              <w:t>Calvary Tanilba Shores Retirement Community</w:t>
            </w:r>
          </w:p>
        </w:tc>
        <w:tc>
          <w:tcPr>
            <w:tcW w:w="2410" w:type="dxa"/>
          </w:tcPr>
          <w:p w14:paraId="7F5A9F0C" w14:textId="77777777" w:rsidR="00F04AD3" w:rsidRPr="00CF61F8" w:rsidRDefault="00F04AD3" w:rsidP="00FB05DE">
            <w:pPr>
              <w:spacing w:before="40" w:after="40"/>
            </w:pPr>
            <w:r w:rsidRPr="00CF61F8">
              <w:t>Hunter, NSW</w:t>
            </w:r>
          </w:p>
        </w:tc>
        <w:tc>
          <w:tcPr>
            <w:tcW w:w="1807" w:type="dxa"/>
          </w:tcPr>
          <w:p w14:paraId="52948A51" w14:textId="77777777" w:rsidR="00F04AD3" w:rsidRPr="00CF61F8" w:rsidRDefault="00F04AD3" w:rsidP="00FB05DE">
            <w:pPr>
              <w:spacing w:before="40" w:after="40"/>
            </w:pPr>
            <w:r w:rsidRPr="00CF61F8">
              <w:t>May 2018</w:t>
            </w:r>
          </w:p>
        </w:tc>
      </w:tr>
      <w:tr w:rsidR="00F04AD3" w14:paraId="48DD293C" w14:textId="77777777" w:rsidTr="00CE320E">
        <w:tc>
          <w:tcPr>
            <w:tcW w:w="5353" w:type="dxa"/>
          </w:tcPr>
          <w:p w14:paraId="1FA88076" w14:textId="77777777" w:rsidR="00F04AD3" w:rsidRPr="00CF61F8" w:rsidRDefault="00F04AD3" w:rsidP="00FB05DE">
            <w:pPr>
              <w:spacing w:before="40" w:after="40"/>
            </w:pPr>
            <w:r w:rsidRPr="00CF61F8">
              <w:t>Calvary Nazareth Retirement Community</w:t>
            </w:r>
          </w:p>
        </w:tc>
        <w:tc>
          <w:tcPr>
            <w:tcW w:w="2410" w:type="dxa"/>
          </w:tcPr>
          <w:p w14:paraId="1E55051D" w14:textId="77777777" w:rsidR="00F04AD3" w:rsidRPr="00CF61F8" w:rsidRDefault="00F04AD3" w:rsidP="00FB05DE">
            <w:pPr>
              <w:spacing w:before="40" w:after="40"/>
            </w:pPr>
            <w:r w:rsidRPr="00CF61F8">
              <w:t>Hunter, NSW</w:t>
            </w:r>
          </w:p>
        </w:tc>
        <w:tc>
          <w:tcPr>
            <w:tcW w:w="1807" w:type="dxa"/>
          </w:tcPr>
          <w:p w14:paraId="3EB1DFA2" w14:textId="77777777" w:rsidR="00F04AD3" w:rsidRPr="00CF61F8" w:rsidRDefault="00F04AD3" w:rsidP="00FB05DE">
            <w:pPr>
              <w:spacing w:before="40" w:after="40"/>
            </w:pPr>
            <w:r w:rsidRPr="00CF61F8">
              <w:t>June 2018</w:t>
            </w:r>
          </w:p>
        </w:tc>
      </w:tr>
      <w:tr w:rsidR="00F04AD3" w14:paraId="6758EA81" w14:textId="77777777" w:rsidTr="00CE320E">
        <w:tc>
          <w:tcPr>
            <w:tcW w:w="5353" w:type="dxa"/>
          </w:tcPr>
          <w:p w14:paraId="6783C567" w14:textId="77777777" w:rsidR="00F04AD3" w:rsidRPr="00CF61F8" w:rsidRDefault="00F04AD3" w:rsidP="00FB05DE">
            <w:pPr>
              <w:spacing w:before="40" w:after="40"/>
            </w:pPr>
            <w:r w:rsidRPr="00CF61F8">
              <w:t>The Eunice Seddon Home</w:t>
            </w:r>
          </w:p>
        </w:tc>
        <w:tc>
          <w:tcPr>
            <w:tcW w:w="2410" w:type="dxa"/>
          </w:tcPr>
          <w:p w14:paraId="4538DBC1" w14:textId="77777777" w:rsidR="00F04AD3" w:rsidRPr="00CF61F8" w:rsidRDefault="00F04AD3" w:rsidP="00FB05DE">
            <w:pPr>
              <w:spacing w:before="40" w:after="40"/>
            </w:pPr>
            <w:r w:rsidRPr="00CF61F8">
              <w:t>Melbourne, VIC</w:t>
            </w:r>
          </w:p>
        </w:tc>
        <w:tc>
          <w:tcPr>
            <w:tcW w:w="1807" w:type="dxa"/>
          </w:tcPr>
          <w:p w14:paraId="31536510" w14:textId="77777777" w:rsidR="00F04AD3" w:rsidRPr="00CF61F8" w:rsidRDefault="00F04AD3" w:rsidP="00FB05DE">
            <w:pPr>
              <w:spacing w:before="40" w:after="40"/>
            </w:pPr>
            <w:r w:rsidRPr="00CF61F8">
              <w:t>April 2018</w:t>
            </w:r>
          </w:p>
        </w:tc>
      </w:tr>
      <w:tr w:rsidR="00F04AD3" w14:paraId="399EFBC8" w14:textId="77777777" w:rsidTr="00CE320E">
        <w:tc>
          <w:tcPr>
            <w:tcW w:w="5353" w:type="dxa"/>
          </w:tcPr>
          <w:p w14:paraId="592952F1" w14:textId="77777777" w:rsidR="00F04AD3" w:rsidRPr="00CF61F8" w:rsidRDefault="00F04AD3" w:rsidP="00FB05DE">
            <w:pPr>
              <w:spacing w:before="40" w:after="40"/>
            </w:pPr>
            <w:r w:rsidRPr="00CF61F8">
              <w:t>Baptcare Peninsula View Community</w:t>
            </w:r>
          </w:p>
        </w:tc>
        <w:tc>
          <w:tcPr>
            <w:tcW w:w="2410" w:type="dxa"/>
          </w:tcPr>
          <w:p w14:paraId="215FDFF6" w14:textId="77777777" w:rsidR="00F04AD3" w:rsidRPr="00CF61F8" w:rsidRDefault="00F04AD3" w:rsidP="00FB05DE">
            <w:pPr>
              <w:spacing w:before="40" w:after="40"/>
            </w:pPr>
            <w:r w:rsidRPr="00CF61F8">
              <w:t>Melbourne, VIC</w:t>
            </w:r>
          </w:p>
        </w:tc>
        <w:tc>
          <w:tcPr>
            <w:tcW w:w="1807" w:type="dxa"/>
          </w:tcPr>
          <w:p w14:paraId="761FB63B" w14:textId="77777777" w:rsidR="00F04AD3" w:rsidRPr="00CF61F8" w:rsidRDefault="00F04AD3" w:rsidP="00FB05DE">
            <w:pPr>
              <w:spacing w:before="40" w:after="40"/>
            </w:pPr>
            <w:r w:rsidRPr="00CF61F8">
              <w:t>April 2018</w:t>
            </w:r>
          </w:p>
        </w:tc>
      </w:tr>
      <w:tr w:rsidR="00F04AD3" w14:paraId="10A0BA3C" w14:textId="77777777" w:rsidTr="00CE320E">
        <w:tc>
          <w:tcPr>
            <w:tcW w:w="5353" w:type="dxa"/>
          </w:tcPr>
          <w:p w14:paraId="232DF55C" w14:textId="77777777" w:rsidR="00F04AD3" w:rsidRPr="00CF61F8" w:rsidRDefault="00F04AD3" w:rsidP="00FB05DE">
            <w:pPr>
              <w:spacing w:before="40" w:after="40"/>
            </w:pPr>
            <w:r w:rsidRPr="00CF61F8">
              <w:t>Benetas Broughton Hall</w:t>
            </w:r>
          </w:p>
        </w:tc>
        <w:tc>
          <w:tcPr>
            <w:tcW w:w="2410" w:type="dxa"/>
          </w:tcPr>
          <w:p w14:paraId="352A8BC3" w14:textId="77777777" w:rsidR="00F04AD3" w:rsidRPr="00CF61F8" w:rsidRDefault="00F04AD3" w:rsidP="00FB05DE">
            <w:pPr>
              <w:spacing w:before="40" w:after="40"/>
            </w:pPr>
            <w:r w:rsidRPr="00CF61F8">
              <w:t>Melbourne, VIC</w:t>
            </w:r>
          </w:p>
        </w:tc>
        <w:tc>
          <w:tcPr>
            <w:tcW w:w="1807" w:type="dxa"/>
          </w:tcPr>
          <w:p w14:paraId="3C407A4D" w14:textId="77777777" w:rsidR="00F04AD3" w:rsidRPr="00CF61F8" w:rsidRDefault="00F04AD3" w:rsidP="00FB05DE">
            <w:pPr>
              <w:spacing w:before="40" w:after="40"/>
            </w:pPr>
            <w:r w:rsidRPr="00CF61F8">
              <w:t>April 2018</w:t>
            </w:r>
          </w:p>
        </w:tc>
      </w:tr>
      <w:tr w:rsidR="00F04AD3" w14:paraId="05C11BC9" w14:textId="77777777" w:rsidTr="00CE320E">
        <w:tc>
          <w:tcPr>
            <w:tcW w:w="5353" w:type="dxa"/>
          </w:tcPr>
          <w:p w14:paraId="0115569C" w14:textId="77777777" w:rsidR="00F04AD3" w:rsidRPr="00CF61F8" w:rsidRDefault="00F04AD3" w:rsidP="00FB05DE">
            <w:pPr>
              <w:spacing w:before="40" w:after="40"/>
            </w:pPr>
            <w:r w:rsidRPr="00CF61F8">
              <w:t>BUPA Templestowe</w:t>
            </w:r>
          </w:p>
        </w:tc>
        <w:tc>
          <w:tcPr>
            <w:tcW w:w="2410" w:type="dxa"/>
          </w:tcPr>
          <w:p w14:paraId="2AA844BD" w14:textId="77777777" w:rsidR="00F04AD3" w:rsidRPr="00CF61F8" w:rsidRDefault="00F04AD3" w:rsidP="00FB05DE">
            <w:pPr>
              <w:spacing w:before="40" w:after="40"/>
            </w:pPr>
            <w:r w:rsidRPr="00CF61F8">
              <w:t>Melbourne, VIC</w:t>
            </w:r>
          </w:p>
        </w:tc>
        <w:tc>
          <w:tcPr>
            <w:tcW w:w="1807" w:type="dxa"/>
          </w:tcPr>
          <w:p w14:paraId="1461C4A1" w14:textId="77777777" w:rsidR="00F04AD3" w:rsidRPr="00CF61F8" w:rsidRDefault="00F04AD3" w:rsidP="00FB05DE">
            <w:pPr>
              <w:spacing w:before="40" w:after="40"/>
            </w:pPr>
            <w:r w:rsidRPr="00CF61F8">
              <w:t>April 2018</w:t>
            </w:r>
          </w:p>
        </w:tc>
      </w:tr>
      <w:tr w:rsidR="00F04AD3" w14:paraId="78AD4583" w14:textId="77777777" w:rsidTr="00CE320E">
        <w:tc>
          <w:tcPr>
            <w:tcW w:w="5353" w:type="dxa"/>
          </w:tcPr>
          <w:p w14:paraId="5C53AE32" w14:textId="77777777" w:rsidR="00F04AD3" w:rsidRPr="00CF61F8" w:rsidRDefault="00F04AD3" w:rsidP="00FB05DE">
            <w:pPr>
              <w:spacing w:before="40" w:after="40"/>
            </w:pPr>
            <w:r w:rsidRPr="00CF61F8">
              <w:t>Eden Park Residential Aged Care</w:t>
            </w:r>
          </w:p>
        </w:tc>
        <w:tc>
          <w:tcPr>
            <w:tcW w:w="2410" w:type="dxa"/>
          </w:tcPr>
          <w:p w14:paraId="114E90E4" w14:textId="77777777" w:rsidR="00F04AD3" w:rsidRPr="00CF61F8" w:rsidRDefault="00F04AD3" w:rsidP="00FB05DE">
            <w:pPr>
              <w:spacing w:before="40" w:after="40"/>
            </w:pPr>
            <w:r w:rsidRPr="00CF61F8">
              <w:t>Melbourne, VIC</w:t>
            </w:r>
          </w:p>
        </w:tc>
        <w:tc>
          <w:tcPr>
            <w:tcW w:w="1807" w:type="dxa"/>
          </w:tcPr>
          <w:p w14:paraId="0E193906" w14:textId="77777777" w:rsidR="00F04AD3" w:rsidRPr="00CF61F8" w:rsidRDefault="00F04AD3" w:rsidP="00FB05DE">
            <w:pPr>
              <w:spacing w:before="40" w:after="40"/>
            </w:pPr>
            <w:r w:rsidRPr="00CF61F8">
              <w:t>April 2018</w:t>
            </w:r>
          </w:p>
        </w:tc>
      </w:tr>
      <w:tr w:rsidR="00F04AD3" w14:paraId="20D07AFD" w14:textId="77777777" w:rsidTr="00CE320E">
        <w:tc>
          <w:tcPr>
            <w:tcW w:w="5353" w:type="dxa"/>
          </w:tcPr>
          <w:p w14:paraId="2A50A47C" w14:textId="77777777" w:rsidR="00F04AD3" w:rsidRPr="00CF61F8" w:rsidRDefault="00F04AD3" w:rsidP="00FB05DE">
            <w:pPr>
              <w:spacing w:before="40" w:after="40"/>
            </w:pPr>
            <w:r w:rsidRPr="00CF61F8">
              <w:t>Rosebrook Aged Care</w:t>
            </w:r>
          </w:p>
        </w:tc>
        <w:tc>
          <w:tcPr>
            <w:tcW w:w="2410" w:type="dxa"/>
          </w:tcPr>
          <w:p w14:paraId="72C2E01E" w14:textId="77777777" w:rsidR="00F04AD3" w:rsidRPr="00CF61F8" w:rsidRDefault="00F04AD3" w:rsidP="00FB05DE">
            <w:pPr>
              <w:spacing w:before="40" w:after="40"/>
            </w:pPr>
            <w:r w:rsidRPr="00CF61F8">
              <w:t>Melbourne, VIC</w:t>
            </w:r>
          </w:p>
        </w:tc>
        <w:tc>
          <w:tcPr>
            <w:tcW w:w="1807" w:type="dxa"/>
          </w:tcPr>
          <w:p w14:paraId="391CCC25" w14:textId="77777777" w:rsidR="00F04AD3" w:rsidRPr="00CF61F8" w:rsidRDefault="00F04AD3" w:rsidP="00FB05DE">
            <w:pPr>
              <w:spacing w:before="40" w:after="40"/>
            </w:pPr>
            <w:r w:rsidRPr="00CF61F8">
              <w:t>April 2018</w:t>
            </w:r>
          </w:p>
        </w:tc>
      </w:tr>
      <w:tr w:rsidR="00F04AD3" w14:paraId="2ECE075B" w14:textId="77777777" w:rsidTr="00CE320E">
        <w:tc>
          <w:tcPr>
            <w:tcW w:w="5353" w:type="dxa"/>
          </w:tcPr>
          <w:p w14:paraId="790B03B0" w14:textId="77777777" w:rsidR="00F04AD3" w:rsidRPr="00CF61F8" w:rsidRDefault="00F04AD3" w:rsidP="00FB05DE">
            <w:pPr>
              <w:spacing w:before="40" w:after="40"/>
            </w:pPr>
            <w:r w:rsidRPr="00CF61F8">
              <w:t>Doutta Galla Lynch's Bridge</w:t>
            </w:r>
          </w:p>
        </w:tc>
        <w:tc>
          <w:tcPr>
            <w:tcW w:w="2410" w:type="dxa"/>
          </w:tcPr>
          <w:p w14:paraId="36997797" w14:textId="77777777" w:rsidR="00F04AD3" w:rsidRPr="00CF61F8" w:rsidRDefault="00F04AD3" w:rsidP="00FB05DE">
            <w:pPr>
              <w:spacing w:before="40" w:after="40"/>
            </w:pPr>
            <w:r w:rsidRPr="00CF61F8">
              <w:t>Melbourne, VIC</w:t>
            </w:r>
          </w:p>
        </w:tc>
        <w:tc>
          <w:tcPr>
            <w:tcW w:w="1807" w:type="dxa"/>
          </w:tcPr>
          <w:p w14:paraId="388DB10D" w14:textId="77777777" w:rsidR="00F04AD3" w:rsidRPr="00CF61F8" w:rsidRDefault="00F04AD3" w:rsidP="00FB05DE">
            <w:pPr>
              <w:spacing w:before="40" w:after="40"/>
            </w:pPr>
            <w:r w:rsidRPr="00CF61F8">
              <w:t>April 2018</w:t>
            </w:r>
          </w:p>
        </w:tc>
      </w:tr>
      <w:tr w:rsidR="00F04AD3" w14:paraId="7233AEAB" w14:textId="77777777" w:rsidTr="00CE320E">
        <w:tc>
          <w:tcPr>
            <w:tcW w:w="5353" w:type="dxa"/>
          </w:tcPr>
          <w:p w14:paraId="30FCFA69" w14:textId="77777777" w:rsidR="00F04AD3" w:rsidRPr="00CF61F8" w:rsidRDefault="00F04AD3" w:rsidP="00FB05DE">
            <w:pPr>
              <w:spacing w:before="40" w:after="40"/>
            </w:pPr>
            <w:r w:rsidRPr="00CF61F8">
              <w:t>The Ashley</w:t>
            </w:r>
          </w:p>
        </w:tc>
        <w:tc>
          <w:tcPr>
            <w:tcW w:w="2410" w:type="dxa"/>
          </w:tcPr>
          <w:p w14:paraId="741F6B81" w14:textId="77777777" w:rsidR="00F04AD3" w:rsidRPr="00CF61F8" w:rsidRDefault="00F04AD3" w:rsidP="00FB05DE">
            <w:pPr>
              <w:spacing w:before="40" w:after="40"/>
            </w:pPr>
            <w:r w:rsidRPr="00CF61F8">
              <w:t>Melbourne, VIC</w:t>
            </w:r>
          </w:p>
        </w:tc>
        <w:tc>
          <w:tcPr>
            <w:tcW w:w="1807" w:type="dxa"/>
          </w:tcPr>
          <w:p w14:paraId="746C1A23" w14:textId="77777777" w:rsidR="00F04AD3" w:rsidRPr="00CF61F8" w:rsidRDefault="00F04AD3" w:rsidP="00FB05DE">
            <w:pPr>
              <w:spacing w:before="40" w:after="40"/>
            </w:pPr>
            <w:r w:rsidRPr="00CF61F8">
              <w:t>May 2018</w:t>
            </w:r>
          </w:p>
        </w:tc>
      </w:tr>
      <w:tr w:rsidR="00F04AD3" w14:paraId="6E4FC893" w14:textId="77777777" w:rsidTr="00CE320E">
        <w:tc>
          <w:tcPr>
            <w:tcW w:w="5353" w:type="dxa"/>
          </w:tcPr>
          <w:p w14:paraId="43C0BCFF" w14:textId="77777777" w:rsidR="00F04AD3" w:rsidRPr="00CF61F8" w:rsidRDefault="00F04AD3" w:rsidP="00FB05DE">
            <w:pPr>
              <w:spacing w:before="40" w:after="40"/>
            </w:pPr>
            <w:r w:rsidRPr="00CF61F8">
              <w:t>Little Sisters of the Poor, St Joseph's Home</w:t>
            </w:r>
          </w:p>
        </w:tc>
        <w:tc>
          <w:tcPr>
            <w:tcW w:w="2410" w:type="dxa"/>
          </w:tcPr>
          <w:p w14:paraId="541F6B9C" w14:textId="77777777" w:rsidR="00F04AD3" w:rsidRPr="00CF61F8" w:rsidRDefault="00F04AD3" w:rsidP="00FB05DE">
            <w:pPr>
              <w:spacing w:before="40" w:after="40"/>
            </w:pPr>
            <w:r w:rsidRPr="00CF61F8">
              <w:t>Melbourne, VIC</w:t>
            </w:r>
          </w:p>
        </w:tc>
        <w:tc>
          <w:tcPr>
            <w:tcW w:w="1807" w:type="dxa"/>
          </w:tcPr>
          <w:p w14:paraId="54702BDE" w14:textId="77777777" w:rsidR="00F04AD3" w:rsidRPr="00CF61F8" w:rsidRDefault="00F04AD3" w:rsidP="00FB05DE">
            <w:pPr>
              <w:spacing w:before="40" w:after="40"/>
            </w:pPr>
            <w:r w:rsidRPr="00CF61F8">
              <w:t>May 2018</w:t>
            </w:r>
          </w:p>
        </w:tc>
      </w:tr>
      <w:tr w:rsidR="00F04AD3" w14:paraId="1C54A325" w14:textId="77777777" w:rsidTr="00CE320E">
        <w:tc>
          <w:tcPr>
            <w:tcW w:w="5353" w:type="dxa"/>
          </w:tcPr>
          <w:p w14:paraId="05CEA2F2" w14:textId="77777777" w:rsidR="00F04AD3" w:rsidRPr="00CF61F8" w:rsidRDefault="00F04AD3" w:rsidP="00FB05DE">
            <w:pPr>
              <w:spacing w:before="40" w:after="40"/>
            </w:pPr>
            <w:r w:rsidRPr="00CF61F8">
              <w:t>Doncaster Melaleuca Lodge</w:t>
            </w:r>
          </w:p>
        </w:tc>
        <w:tc>
          <w:tcPr>
            <w:tcW w:w="2410" w:type="dxa"/>
          </w:tcPr>
          <w:p w14:paraId="634DD4FC" w14:textId="77777777" w:rsidR="00F04AD3" w:rsidRPr="00CF61F8" w:rsidRDefault="00F04AD3" w:rsidP="00FB05DE">
            <w:pPr>
              <w:spacing w:before="40" w:after="40"/>
            </w:pPr>
            <w:r w:rsidRPr="00CF61F8">
              <w:t>Melbourne, VIC</w:t>
            </w:r>
          </w:p>
        </w:tc>
        <w:tc>
          <w:tcPr>
            <w:tcW w:w="1807" w:type="dxa"/>
          </w:tcPr>
          <w:p w14:paraId="3BF0B4CB" w14:textId="77777777" w:rsidR="00F04AD3" w:rsidRPr="00CF61F8" w:rsidRDefault="00F04AD3" w:rsidP="00FB05DE">
            <w:pPr>
              <w:spacing w:before="40" w:after="40"/>
            </w:pPr>
            <w:r w:rsidRPr="00CF61F8">
              <w:t>May 2018</w:t>
            </w:r>
          </w:p>
        </w:tc>
      </w:tr>
      <w:tr w:rsidR="00F04AD3" w14:paraId="2568A25F" w14:textId="77777777" w:rsidTr="00CE320E">
        <w:tc>
          <w:tcPr>
            <w:tcW w:w="5353" w:type="dxa"/>
          </w:tcPr>
          <w:p w14:paraId="76037C48" w14:textId="77777777" w:rsidR="00F04AD3" w:rsidRPr="00CF61F8" w:rsidRDefault="00F04AD3" w:rsidP="00FB05DE">
            <w:pPr>
              <w:spacing w:before="40" w:after="40"/>
            </w:pPr>
            <w:r w:rsidRPr="00CF61F8">
              <w:t>Bolton Clarke Farnorha</w:t>
            </w:r>
          </w:p>
        </w:tc>
        <w:tc>
          <w:tcPr>
            <w:tcW w:w="2410" w:type="dxa"/>
          </w:tcPr>
          <w:p w14:paraId="7EC3DF0C" w14:textId="77777777" w:rsidR="00F04AD3" w:rsidRPr="00CF61F8" w:rsidRDefault="00F04AD3" w:rsidP="00FB05DE">
            <w:pPr>
              <w:spacing w:before="40" w:after="40"/>
            </w:pPr>
            <w:r w:rsidRPr="00CF61F8">
              <w:t>North QLD, QLD</w:t>
            </w:r>
          </w:p>
        </w:tc>
        <w:tc>
          <w:tcPr>
            <w:tcW w:w="1807" w:type="dxa"/>
          </w:tcPr>
          <w:p w14:paraId="3B50CA2B" w14:textId="77777777" w:rsidR="00F04AD3" w:rsidRPr="00CF61F8" w:rsidRDefault="00F04AD3" w:rsidP="00FB05DE">
            <w:pPr>
              <w:spacing w:before="40" w:after="40"/>
            </w:pPr>
            <w:r w:rsidRPr="00CF61F8">
              <w:t>May 2018</w:t>
            </w:r>
          </w:p>
        </w:tc>
      </w:tr>
      <w:tr w:rsidR="00F04AD3" w14:paraId="6D57E36C" w14:textId="77777777" w:rsidTr="00CE320E">
        <w:tc>
          <w:tcPr>
            <w:tcW w:w="5353" w:type="dxa"/>
          </w:tcPr>
          <w:p w14:paraId="3A29ECAE" w14:textId="77777777" w:rsidR="00F04AD3" w:rsidRPr="00CF61F8" w:rsidRDefault="00F04AD3" w:rsidP="00FB05DE">
            <w:pPr>
              <w:spacing w:before="40" w:after="40"/>
            </w:pPr>
            <w:r w:rsidRPr="00CF61F8">
              <w:t>BUPA Aged Care Cairns</w:t>
            </w:r>
          </w:p>
        </w:tc>
        <w:tc>
          <w:tcPr>
            <w:tcW w:w="2410" w:type="dxa"/>
          </w:tcPr>
          <w:p w14:paraId="7569A4B4" w14:textId="77777777" w:rsidR="00F04AD3" w:rsidRPr="00CF61F8" w:rsidRDefault="00F04AD3" w:rsidP="00FB05DE">
            <w:pPr>
              <w:spacing w:before="40" w:after="40"/>
            </w:pPr>
            <w:r w:rsidRPr="00CF61F8">
              <w:t>North QLD, QLD</w:t>
            </w:r>
          </w:p>
        </w:tc>
        <w:tc>
          <w:tcPr>
            <w:tcW w:w="1807" w:type="dxa"/>
          </w:tcPr>
          <w:p w14:paraId="70E070E5" w14:textId="77777777" w:rsidR="00F04AD3" w:rsidRPr="00CF61F8" w:rsidRDefault="00F04AD3" w:rsidP="00FB05DE">
            <w:pPr>
              <w:spacing w:before="40" w:after="40"/>
            </w:pPr>
            <w:r w:rsidRPr="00CF61F8">
              <w:t>May 2018</w:t>
            </w:r>
          </w:p>
        </w:tc>
      </w:tr>
      <w:tr w:rsidR="00F04AD3" w14:paraId="3B1F4BA7" w14:textId="77777777" w:rsidTr="00CE320E">
        <w:tc>
          <w:tcPr>
            <w:tcW w:w="5353" w:type="dxa"/>
          </w:tcPr>
          <w:p w14:paraId="5FBC852B" w14:textId="77777777" w:rsidR="00F04AD3" w:rsidRPr="00CF61F8" w:rsidRDefault="00F04AD3" w:rsidP="00FB05DE">
            <w:pPr>
              <w:spacing w:before="40" w:after="40"/>
            </w:pPr>
            <w:r w:rsidRPr="00CF61F8">
              <w:t>Canossa Home</w:t>
            </w:r>
          </w:p>
        </w:tc>
        <w:tc>
          <w:tcPr>
            <w:tcW w:w="2410" w:type="dxa"/>
          </w:tcPr>
          <w:p w14:paraId="5E4DA1DA" w14:textId="77777777" w:rsidR="00F04AD3" w:rsidRPr="00CF61F8" w:rsidRDefault="00F04AD3" w:rsidP="00FB05DE">
            <w:pPr>
              <w:spacing w:before="40" w:after="40"/>
            </w:pPr>
            <w:r w:rsidRPr="00CF61F8">
              <w:t>North QLD, QLD</w:t>
            </w:r>
          </w:p>
        </w:tc>
        <w:tc>
          <w:tcPr>
            <w:tcW w:w="1807" w:type="dxa"/>
          </w:tcPr>
          <w:p w14:paraId="6347233A" w14:textId="77777777" w:rsidR="00F04AD3" w:rsidRPr="00CF61F8" w:rsidRDefault="00F04AD3" w:rsidP="00FB05DE">
            <w:pPr>
              <w:spacing w:before="40" w:after="40"/>
            </w:pPr>
            <w:r w:rsidRPr="00CF61F8">
              <w:t>May 2018</w:t>
            </w:r>
          </w:p>
        </w:tc>
      </w:tr>
      <w:tr w:rsidR="00F04AD3" w14:paraId="5FAB3AE3" w14:textId="77777777" w:rsidTr="00CE320E">
        <w:tc>
          <w:tcPr>
            <w:tcW w:w="5353" w:type="dxa"/>
          </w:tcPr>
          <w:p w14:paraId="3AA60881" w14:textId="77777777" w:rsidR="00F04AD3" w:rsidRPr="00CF61F8" w:rsidRDefault="00F04AD3" w:rsidP="00FB05DE">
            <w:pPr>
              <w:spacing w:before="40" w:after="40"/>
            </w:pPr>
            <w:r w:rsidRPr="00CF61F8">
              <w:t>Carinya Home for the Aged</w:t>
            </w:r>
          </w:p>
        </w:tc>
        <w:tc>
          <w:tcPr>
            <w:tcW w:w="2410" w:type="dxa"/>
          </w:tcPr>
          <w:p w14:paraId="0EA1179B" w14:textId="77777777" w:rsidR="00F04AD3" w:rsidRPr="00CF61F8" w:rsidRDefault="00F04AD3" w:rsidP="00FB05DE">
            <w:pPr>
              <w:spacing w:before="40" w:after="40"/>
            </w:pPr>
            <w:r w:rsidRPr="00CF61F8">
              <w:t>North QLD, QLD</w:t>
            </w:r>
          </w:p>
        </w:tc>
        <w:tc>
          <w:tcPr>
            <w:tcW w:w="1807" w:type="dxa"/>
          </w:tcPr>
          <w:p w14:paraId="55134782" w14:textId="77777777" w:rsidR="00F04AD3" w:rsidRPr="00CF61F8" w:rsidRDefault="00F04AD3" w:rsidP="00FB05DE">
            <w:pPr>
              <w:spacing w:before="40" w:after="40"/>
            </w:pPr>
            <w:r w:rsidRPr="00CF61F8">
              <w:t>May 2018</w:t>
            </w:r>
          </w:p>
        </w:tc>
      </w:tr>
      <w:tr w:rsidR="00F04AD3" w14:paraId="7C7D81AC" w14:textId="77777777" w:rsidTr="00CE320E">
        <w:tc>
          <w:tcPr>
            <w:tcW w:w="5353" w:type="dxa"/>
          </w:tcPr>
          <w:p w14:paraId="46FF0F8D" w14:textId="77777777" w:rsidR="00F04AD3" w:rsidRPr="00CF61F8" w:rsidRDefault="00F04AD3" w:rsidP="00FB05DE">
            <w:pPr>
              <w:spacing w:before="40" w:after="40"/>
            </w:pPr>
            <w:r w:rsidRPr="00CF61F8">
              <w:t>Loreto Nursing Home</w:t>
            </w:r>
          </w:p>
        </w:tc>
        <w:tc>
          <w:tcPr>
            <w:tcW w:w="2410" w:type="dxa"/>
          </w:tcPr>
          <w:p w14:paraId="42045C14" w14:textId="77777777" w:rsidR="00F04AD3" w:rsidRPr="00CF61F8" w:rsidRDefault="00F04AD3" w:rsidP="00FB05DE">
            <w:pPr>
              <w:spacing w:before="40" w:after="40"/>
            </w:pPr>
            <w:r w:rsidRPr="00CF61F8">
              <w:t>North QLD, QLD</w:t>
            </w:r>
          </w:p>
        </w:tc>
        <w:tc>
          <w:tcPr>
            <w:tcW w:w="1807" w:type="dxa"/>
          </w:tcPr>
          <w:p w14:paraId="3C4D4C86" w14:textId="77777777" w:rsidR="00F04AD3" w:rsidRPr="00CF61F8" w:rsidRDefault="00F04AD3" w:rsidP="00FB05DE">
            <w:pPr>
              <w:spacing w:before="40" w:after="40"/>
            </w:pPr>
            <w:r w:rsidRPr="00CF61F8">
              <w:t>May 2018</w:t>
            </w:r>
          </w:p>
        </w:tc>
      </w:tr>
      <w:tr w:rsidR="00F04AD3" w14:paraId="428D829C" w14:textId="77777777" w:rsidTr="00CE320E">
        <w:tc>
          <w:tcPr>
            <w:tcW w:w="5353" w:type="dxa"/>
          </w:tcPr>
          <w:p w14:paraId="75E4B13F" w14:textId="77777777" w:rsidR="00F04AD3" w:rsidRPr="00CF61F8" w:rsidRDefault="00F04AD3" w:rsidP="00FB05DE">
            <w:pPr>
              <w:spacing w:before="40" w:after="40"/>
            </w:pPr>
            <w:r w:rsidRPr="00CF61F8">
              <w:t>Lower Burdekin Home for the aged Ayr</w:t>
            </w:r>
          </w:p>
        </w:tc>
        <w:tc>
          <w:tcPr>
            <w:tcW w:w="2410" w:type="dxa"/>
          </w:tcPr>
          <w:p w14:paraId="6170B133" w14:textId="77777777" w:rsidR="00F04AD3" w:rsidRPr="00CF61F8" w:rsidRDefault="00F04AD3" w:rsidP="00FB05DE">
            <w:pPr>
              <w:spacing w:before="40" w:after="40"/>
            </w:pPr>
            <w:r w:rsidRPr="00CF61F8">
              <w:t>North QLD, QLD</w:t>
            </w:r>
          </w:p>
        </w:tc>
        <w:tc>
          <w:tcPr>
            <w:tcW w:w="1807" w:type="dxa"/>
          </w:tcPr>
          <w:p w14:paraId="3B4AE059" w14:textId="77777777" w:rsidR="00F04AD3" w:rsidRPr="00CF61F8" w:rsidRDefault="00F04AD3" w:rsidP="00FB05DE">
            <w:pPr>
              <w:spacing w:before="40" w:after="40"/>
            </w:pPr>
            <w:r w:rsidRPr="00CF61F8">
              <w:t>May 2018</w:t>
            </w:r>
          </w:p>
        </w:tc>
      </w:tr>
      <w:tr w:rsidR="00F04AD3" w14:paraId="76B070D4" w14:textId="77777777" w:rsidTr="00CE320E">
        <w:tc>
          <w:tcPr>
            <w:tcW w:w="5353" w:type="dxa"/>
          </w:tcPr>
          <w:p w14:paraId="49D87110" w14:textId="77777777" w:rsidR="00F04AD3" w:rsidRPr="00CF61F8" w:rsidRDefault="00F04AD3" w:rsidP="00FB05DE">
            <w:pPr>
              <w:spacing w:before="40" w:after="40"/>
            </w:pPr>
            <w:r w:rsidRPr="00CF61F8">
              <w:t>Mutkin Residential Aged Care</w:t>
            </w:r>
          </w:p>
        </w:tc>
        <w:tc>
          <w:tcPr>
            <w:tcW w:w="2410" w:type="dxa"/>
          </w:tcPr>
          <w:p w14:paraId="0F765D37" w14:textId="77777777" w:rsidR="00F04AD3" w:rsidRPr="00CF61F8" w:rsidRDefault="00F04AD3" w:rsidP="00FB05DE">
            <w:pPr>
              <w:spacing w:before="40" w:after="40"/>
            </w:pPr>
            <w:r w:rsidRPr="00CF61F8">
              <w:t>North QLD, QLD</w:t>
            </w:r>
          </w:p>
        </w:tc>
        <w:tc>
          <w:tcPr>
            <w:tcW w:w="1807" w:type="dxa"/>
          </w:tcPr>
          <w:p w14:paraId="4AE2B7C2" w14:textId="77777777" w:rsidR="00F04AD3" w:rsidRPr="00CF61F8" w:rsidRDefault="00F04AD3" w:rsidP="00FB05DE">
            <w:pPr>
              <w:spacing w:before="40" w:after="40"/>
            </w:pPr>
            <w:r w:rsidRPr="00CF61F8">
              <w:t>May 2018</w:t>
            </w:r>
          </w:p>
        </w:tc>
      </w:tr>
      <w:tr w:rsidR="00F04AD3" w14:paraId="629B8094" w14:textId="77777777" w:rsidTr="00CE320E">
        <w:tc>
          <w:tcPr>
            <w:tcW w:w="5353" w:type="dxa"/>
          </w:tcPr>
          <w:p w14:paraId="69E56FAC" w14:textId="77777777" w:rsidR="00F04AD3" w:rsidRPr="00CF61F8" w:rsidRDefault="00F04AD3" w:rsidP="00FB05DE">
            <w:pPr>
              <w:spacing w:before="40" w:after="40"/>
            </w:pPr>
            <w:r w:rsidRPr="00CF61F8">
              <w:t>The Good Shepherd Hostel</w:t>
            </w:r>
          </w:p>
        </w:tc>
        <w:tc>
          <w:tcPr>
            <w:tcW w:w="2410" w:type="dxa"/>
          </w:tcPr>
          <w:p w14:paraId="21FA00AA" w14:textId="77777777" w:rsidR="00F04AD3" w:rsidRPr="00CF61F8" w:rsidRDefault="00F04AD3" w:rsidP="00FB05DE">
            <w:pPr>
              <w:spacing w:before="40" w:after="40"/>
            </w:pPr>
            <w:r w:rsidRPr="00CF61F8">
              <w:t>North QLD, QLD</w:t>
            </w:r>
          </w:p>
        </w:tc>
        <w:tc>
          <w:tcPr>
            <w:tcW w:w="1807" w:type="dxa"/>
          </w:tcPr>
          <w:p w14:paraId="0EF831CF" w14:textId="77777777" w:rsidR="00F04AD3" w:rsidRPr="00CF61F8" w:rsidRDefault="00F04AD3" w:rsidP="00FB05DE">
            <w:pPr>
              <w:spacing w:before="40" w:after="40"/>
            </w:pPr>
            <w:r w:rsidRPr="00CF61F8">
              <w:t>May 2018</w:t>
            </w:r>
          </w:p>
        </w:tc>
      </w:tr>
      <w:tr w:rsidR="00F04AD3" w14:paraId="357BEDD9" w14:textId="77777777" w:rsidTr="00CE320E">
        <w:tc>
          <w:tcPr>
            <w:tcW w:w="5353" w:type="dxa"/>
          </w:tcPr>
          <w:p w14:paraId="02A09851" w14:textId="77777777" w:rsidR="00F04AD3" w:rsidRPr="00CF61F8" w:rsidRDefault="00F04AD3" w:rsidP="00FB05DE">
            <w:pPr>
              <w:spacing w:before="40" w:after="40"/>
            </w:pPr>
            <w:r w:rsidRPr="00CF61F8">
              <w:t>Tully &amp; District Nursing Home</w:t>
            </w:r>
          </w:p>
        </w:tc>
        <w:tc>
          <w:tcPr>
            <w:tcW w:w="2410" w:type="dxa"/>
          </w:tcPr>
          <w:p w14:paraId="66001A24" w14:textId="77777777" w:rsidR="00F04AD3" w:rsidRPr="00CF61F8" w:rsidRDefault="00F04AD3" w:rsidP="00FB05DE">
            <w:pPr>
              <w:spacing w:before="40" w:after="40"/>
            </w:pPr>
            <w:r w:rsidRPr="00CF61F8">
              <w:t>North QLD, QLD</w:t>
            </w:r>
          </w:p>
        </w:tc>
        <w:tc>
          <w:tcPr>
            <w:tcW w:w="1807" w:type="dxa"/>
          </w:tcPr>
          <w:p w14:paraId="2CF7B232" w14:textId="77777777" w:rsidR="00F04AD3" w:rsidRPr="00CF61F8" w:rsidRDefault="00F04AD3" w:rsidP="00FB05DE">
            <w:pPr>
              <w:spacing w:before="40" w:after="40"/>
            </w:pPr>
            <w:r w:rsidRPr="00CF61F8">
              <w:t>May 2018</w:t>
            </w:r>
          </w:p>
        </w:tc>
      </w:tr>
      <w:tr w:rsidR="00F04AD3" w14:paraId="10FE0A42" w14:textId="77777777" w:rsidTr="00CE320E">
        <w:tc>
          <w:tcPr>
            <w:tcW w:w="5353" w:type="dxa"/>
          </w:tcPr>
          <w:p w14:paraId="6E6074D2" w14:textId="77777777" w:rsidR="00F04AD3" w:rsidRPr="00CF61F8" w:rsidRDefault="00F04AD3" w:rsidP="00FB05DE">
            <w:pPr>
              <w:spacing w:before="40" w:after="40"/>
            </w:pPr>
            <w:r w:rsidRPr="00CF61F8">
              <w:t>Warrina Innisfail</w:t>
            </w:r>
          </w:p>
        </w:tc>
        <w:tc>
          <w:tcPr>
            <w:tcW w:w="2410" w:type="dxa"/>
          </w:tcPr>
          <w:p w14:paraId="056E9813" w14:textId="77777777" w:rsidR="00F04AD3" w:rsidRPr="00CF61F8" w:rsidRDefault="00F04AD3" w:rsidP="00FB05DE">
            <w:pPr>
              <w:spacing w:before="40" w:after="40"/>
            </w:pPr>
            <w:r w:rsidRPr="00CF61F8">
              <w:t>North QLD, QLD</w:t>
            </w:r>
          </w:p>
        </w:tc>
        <w:tc>
          <w:tcPr>
            <w:tcW w:w="1807" w:type="dxa"/>
          </w:tcPr>
          <w:p w14:paraId="7ECCC712" w14:textId="77777777" w:rsidR="00F04AD3" w:rsidRPr="00CF61F8" w:rsidRDefault="00F04AD3" w:rsidP="00FB05DE">
            <w:pPr>
              <w:spacing w:before="40" w:after="40"/>
            </w:pPr>
            <w:r w:rsidRPr="00CF61F8">
              <w:t>May 2018</w:t>
            </w:r>
          </w:p>
        </w:tc>
      </w:tr>
    </w:tbl>
    <w:p w14:paraId="7CDC3E3F" w14:textId="77777777" w:rsidR="00CF61F8" w:rsidRDefault="00F04AD3" w:rsidP="0016396F">
      <w:pPr>
        <w:pStyle w:val="Heading1"/>
        <w:numPr>
          <w:ilvl w:val="0"/>
          <w:numId w:val="0"/>
        </w:numPr>
        <w:rPr>
          <w:noProof/>
        </w:rPr>
      </w:pPr>
      <w:bookmarkStart w:id="161" w:name="_Appendix_2:_RUCS"/>
      <w:bookmarkStart w:id="162" w:name="_Ref528855003"/>
      <w:bookmarkStart w:id="163" w:name="_Ref530138976"/>
      <w:bookmarkStart w:id="164" w:name="_Ref531355405"/>
      <w:bookmarkStart w:id="165" w:name="_Ref535396738"/>
      <w:bookmarkStart w:id="166" w:name="_Toc2070342"/>
      <w:bookmarkStart w:id="167" w:name="_Ref528842911"/>
      <w:bookmarkStart w:id="168" w:name="_Ref528840410"/>
      <w:bookmarkEnd w:id="161"/>
      <w:r w:rsidRPr="00E83BCA">
        <w:lastRenderedPageBreak/>
        <w:t xml:space="preserve">Appendix </w:t>
      </w:r>
      <w:bookmarkEnd w:id="162"/>
      <w:bookmarkEnd w:id="163"/>
      <w:bookmarkEnd w:id="164"/>
      <w:r w:rsidR="009A4502">
        <w:rPr>
          <w:noProof/>
        </w:rPr>
        <w:t>3</w:t>
      </w:r>
      <w:bookmarkEnd w:id="165"/>
      <w:bookmarkEnd w:id="166"/>
    </w:p>
    <w:p w14:paraId="284CE08A" w14:textId="77777777" w:rsidR="00DD45AC" w:rsidRDefault="00184F60" w:rsidP="00CF61F8">
      <w:pPr>
        <w:pStyle w:val="Heading2"/>
        <w:numPr>
          <w:ilvl w:val="0"/>
          <w:numId w:val="0"/>
        </w:numPr>
      </w:pPr>
      <w:bookmarkStart w:id="169" w:name="_Ref535396731"/>
      <w:bookmarkStart w:id="170" w:name="_Toc2070343"/>
      <w:bookmarkEnd w:id="167"/>
      <w:bookmarkEnd w:id="168"/>
      <w:r>
        <w:t xml:space="preserve">Extract from </w:t>
      </w:r>
      <w:r w:rsidR="007C7912">
        <w:t xml:space="preserve">RUCS </w:t>
      </w:r>
      <w:r w:rsidR="00B82914">
        <w:t>s</w:t>
      </w:r>
      <w:r>
        <w:t xml:space="preserve">ervice </w:t>
      </w:r>
      <w:r w:rsidR="00B82914">
        <w:t>u</w:t>
      </w:r>
      <w:r>
        <w:t xml:space="preserve">tilisation </w:t>
      </w:r>
      <w:r w:rsidR="00B82914">
        <w:t>d</w:t>
      </w:r>
      <w:r>
        <w:t xml:space="preserve">ata </w:t>
      </w:r>
      <w:r w:rsidR="00B82914">
        <w:t>g</w:t>
      </w:r>
      <w:r>
        <w:t>uide</w:t>
      </w:r>
      <w:bookmarkEnd w:id="169"/>
      <w:bookmarkEnd w:id="170"/>
    </w:p>
    <w:p w14:paraId="284EC61B" w14:textId="77777777" w:rsidR="00184F60" w:rsidRPr="007830F8" w:rsidRDefault="00184F60" w:rsidP="00184F60">
      <w:pPr>
        <w:spacing w:before="360" w:after="240"/>
        <w:rPr>
          <w:b/>
        </w:rPr>
      </w:pPr>
      <w:r w:rsidRPr="007830F8">
        <w:rPr>
          <w:b/>
        </w:rPr>
        <w:t>Business rules for capturing individual care</w:t>
      </w:r>
    </w:p>
    <w:p w14:paraId="7112C795" w14:textId="77777777" w:rsidR="003127DE" w:rsidRDefault="003127DE" w:rsidP="003127DE">
      <w:pPr>
        <w:autoSpaceDE w:val="0"/>
        <w:autoSpaceDN w:val="0"/>
        <w:adjustRightInd w:val="0"/>
        <w:rPr>
          <w:rFonts w:ascii="Calibri" w:hAnsi="Calibri" w:cs="Calibri"/>
          <w:color w:val="000000"/>
        </w:rPr>
      </w:pPr>
      <w:r>
        <w:rPr>
          <w:rFonts w:ascii="Calibri" w:hAnsi="Calibri" w:cs="Calibri"/>
          <w:color w:val="000000"/>
        </w:rPr>
        <w:t>To ensure consistency of the data collection across all facilities</w:t>
      </w:r>
      <w:r w:rsidR="00F6761E">
        <w:rPr>
          <w:rFonts w:ascii="Calibri" w:hAnsi="Calibri" w:cs="Calibri"/>
          <w:color w:val="000000"/>
        </w:rPr>
        <w:t xml:space="preserve">, </w:t>
      </w:r>
      <w:r>
        <w:rPr>
          <w:rFonts w:ascii="Calibri" w:hAnsi="Calibri" w:cs="Calibri"/>
          <w:color w:val="000000"/>
        </w:rPr>
        <w:t>the following business rules should be followed in capturing time spent delivering individual care:</w:t>
      </w:r>
    </w:p>
    <w:p w14:paraId="787F8DCB" w14:textId="77777777" w:rsidR="003127DE" w:rsidRDefault="003127DE" w:rsidP="00184F60">
      <w:pPr>
        <w:pStyle w:val="Bullets"/>
      </w:pPr>
      <w:r>
        <w:t>Record individual care activities in real time wherever possible.</w:t>
      </w:r>
      <w:r w:rsidR="00F6761E">
        <w:t xml:space="preserve"> </w:t>
      </w:r>
      <w:r>
        <w:t>Use time blocks where it is not practical to record in real time.</w:t>
      </w:r>
    </w:p>
    <w:p w14:paraId="506FAFE3" w14:textId="77777777" w:rsidR="003127DE" w:rsidRDefault="003127DE" w:rsidP="00824F3A">
      <w:pPr>
        <w:pStyle w:val="Bullets"/>
      </w:pPr>
      <w:r>
        <w:t>If you are doing multiple ‘individual’ care activities at the same time, use the ‘combined care’ activity code. This is most likely to occur in the resident’s room.</w:t>
      </w:r>
    </w:p>
    <w:p w14:paraId="67BB7D24" w14:textId="77777777" w:rsidR="003127DE" w:rsidRDefault="003127DE" w:rsidP="00184F60">
      <w:pPr>
        <w:pStyle w:val="Bullets"/>
      </w:pPr>
      <w:r>
        <w:t>Individual time includes face‐to‐face time and indirect time such as case management.</w:t>
      </w:r>
    </w:p>
    <w:p w14:paraId="1EBCBA94" w14:textId="77777777" w:rsidR="003127DE" w:rsidRDefault="003127DE" w:rsidP="00824F3A">
      <w:pPr>
        <w:pStyle w:val="Bullets"/>
      </w:pPr>
      <w:r>
        <w:t>If more than one staff member is providing ‘individual’ care to a resident at the same time,</w:t>
      </w:r>
      <w:r w:rsidR="00824F3A">
        <w:t xml:space="preserve"> </w:t>
      </w:r>
      <w:r>
        <w:t>each should record their time separately.</w:t>
      </w:r>
    </w:p>
    <w:p w14:paraId="494E73D7" w14:textId="77777777" w:rsidR="003127DE" w:rsidRDefault="003127DE" w:rsidP="00824F3A">
      <w:pPr>
        <w:pStyle w:val="Bullets"/>
      </w:pPr>
      <w:r>
        <w:t>If more than one resident is participating in an activity, record the total time and each</w:t>
      </w:r>
      <w:r w:rsidR="00824F3A">
        <w:t xml:space="preserve"> </w:t>
      </w:r>
      <w:r>
        <w:t>resident involved.</w:t>
      </w:r>
    </w:p>
    <w:p w14:paraId="61BEE229" w14:textId="77777777" w:rsidR="00184F60" w:rsidRPr="00D07E77" w:rsidRDefault="003127DE" w:rsidP="00184F60">
      <w:pPr>
        <w:pStyle w:val="Bullets"/>
        <w:autoSpaceDE w:val="0"/>
        <w:autoSpaceDN w:val="0"/>
        <w:adjustRightInd w:val="0"/>
        <w:rPr>
          <w:rFonts w:ascii="Calibri-Bold" w:hAnsi="Calibri-Bold" w:cs="Calibri-Bold"/>
          <w:b/>
          <w:bCs/>
        </w:rPr>
      </w:pPr>
      <w:r>
        <w:t>Some individual care activities are only undertaken by nurses</w:t>
      </w:r>
      <w:r w:rsidRPr="00D07E77">
        <w:t>.</w:t>
      </w:r>
      <w:bookmarkStart w:id="171" w:name="_Ref528855511"/>
    </w:p>
    <w:p w14:paraId="72F71DAD" w14:textId="77777777" w:rsidR="00184F60" w:rsidRPr="007830F8" w:rsidRDefault="00184F60" w:rsidP="00184F60">
      <w:pPr>
        <w:rPr>
          <w:b/>
        </w:rPr>
      </w:pPr>
    </w:p>
    <w:p w14:paraId="0D3A6D70" w14:textId="77777777" w:rsidR="00184F60" w:rsidRPr="007830F8" w:rsidRDefault="00184F60" w:rsidP="00184F60">
      <w:pPr>
        <w:rPr>
          <w:b/>
        </w:rPr>
      </w:pPr>
      <w:r w:rsidRPr="007830F8">
        <w:rPr>
          <w:b/>
        </w:rPr>
        <w:t>The individual care activities where staff time should be captured.</w:t>
      </w:r>
    </w:p>
    <w:p w14:paraId="15851145" w14:textId="7B257C95" w:rsidR="00184F60" w:rsidRDefault="00184F60" w:rsidP="00184F60">
      <w:pPr>
        <w:spacing w:before="240"/>
      </w:pPr>
      <w:r>
        <w:fldChar w:fldCharType="begin"/>
      </w:r>
      <w:r>
        <w:instrText xml:space="preserve"> REF _Ref506743450 \h </w:instrText>
      </w:r>
      <w:r>
        <w:fldChar w:fldCharType="separate"/>
      </w:r>
      <w:r w:rsidR="00EE18C8">
        <w:t xml:space="preserve">Table </w:t>
      </w:r>
      <w:r w:rsidR="00EE18C8">
        <w:rPr>
          <w:noProof/>
        </w:rPr>
        <w:t>18</w:t>
      </w:r>
      <w:r>
        <w:fldChar w:fldCharType="end"/>
      </w:r>
      <w:r w:rsidRPr="00873ADA">
        <w:t xml:space="preserve"> provides a guide to the types of activities that should be captured</w:t>
      </w:r>
      <w:r>
        <w:t xml:space="preserve"> under each of the general care activity categories. These are activities that may be undertak</w:t>
      </w:r>
      <w:r w:rsidR="00D07E77">
        <w:t>en by any member of care staff.</w:t>
      </w:r>
    </w:p>
    <w:p w14:paraId="2CF444A8" w14:textId="77777777" w:rsidR="00184F60" w:rsidRDefault="00184F60" w:rsidP="00184F60">
      <w:pPr>
        <w:spacing w:before="240"/>
      </w:pPr>
      <w:r>
        <w:t>These activities are listed as examples only and not intended to be an exhaustive list. If you are confident that a service you provide is individual care and you cannot decide under which category it should be captured, capture it under the category that is the closest fit initially (so that we don’t miss the opportunity to capture that time) and contact your site coordinator or cluster coordinator for advice.</w:t>
      </w:r>
    </w:p>
    <w:p w14:paraId="31FAAA89" w14:textId="77777777" w:rsidR="00184F60" w:rsidRDefault="00184F60" w:rsidP="00184F60">
      <w:pPr>
        <w:pStyle w:val="Caption"/>
      </w:pPr>
      <w:bookmarkStart w:id="172" w:name="_Ref506743450"/>
      <w:bookmarkStart w:id="173" w:name="_Toc2065680"/>
      <w:r>
        <w:t xml:space="preserve">Table </w:t>
      </w:r>
      <w:r w:rsidR="00A9029A">
        <w:rPr>
          <w:noProof/>
        </w:rPr>
        <w:fldChar w:fldCharType="begin"/>
      </w:r>
      <w:r w:rsidR="00A9029A">
        <w:rPr>
          <w:noProof/>
        </w:rPr>
        <w:instrText xml:space="preserve"> SEQ Table \* ARABIC </w:instrText>
      </w:r>
      <w:r w:rsidR="00A9029A">
        <w:rPr>
          <w:noProof/>
        </w:rPr>
        <w:fldChar w:fldCharType="separate"/>
      </w:r>
      <w:r w:rsidR="00EE18C8">
        <w:rPr>
          <w:noProof/>
        </w:rPr>
        <w:t>18</w:t>
      </w:r>
      <w:r w:rsidR="00A9029A">
        <w:rPr>
          <w:noProof/>
        </w:rPr>
        <w:fldChar w:fldCharType="end"/>
      </w:r>
      <w:bookmarkEnd w:id="172"/>
      <w:r w:rsidR="00F16ECA">
        <w:rPr>
          <w:noProof/>
        </w:rPr>
        <w:tab/>
      </w:r>
      <w:r>
        <w:t>Individual general care activities</w:t>
      </w:r>
      <w:bookmarkEnd w:id="173"/>
    </w:p>
    <w:tbl>
      <w:tblPr>
        <w:tblStyle w:val="TableGrid"/>
        <w:tblW w:w="0" w:type="auto"/>
        <w:tblLook w:val="04A0" w:firstRow="1" w:lastRow="0" w:firstColumn="1" w:lastColumn="0" w:noHBand="0" w:noVBand="1"/>
        <w:tblCaption w:val="Individual general care activities"/>
        <w:tblDescription w:val="Table 18 lists the types of activities that should be captured under each of the general care activity categories. These are activities that may be undertaken by any member of care staff. This table should be read as a series of rows from left to right ('General care activities' then 'examples')."/>
      </w:tblPr>
      <w:tblGrid>
        <w:gridCol w:w="2500"/>
        <w:gridCol w:w="6560"/>
      </w:tblGrid>
      <w:tr w:rsidR="00350D10" w:rsidRPr="00534F50" w14:paraId="5CE1CDD3" w14:textId="77777777" w:rsidTr="00E67BD0">
        <w:trPr>
          <w:tblHeader/>
        </w:trPr>
        <w:tc>
          <w:tcPr>
            <w:tcW w:w="2547" w:type="dxa"/>
            <w:shd w:val="clear" w:color="auto" w:fill="D9D9D9" w:themeFill="background1" w:themeFillShade="D9"/>
          </w:tcPr>
          <w:p w14:paraId="786D2AE0" w14:textId="77777777" w:rsidR="00350D10" w:rsidRPr="00534F50" w:rsidRDefault="00350D10" w:rsidP="00E67BD0">
            <w:pPr>
              <w:spacing w:before="40" w:after="40"/>
              <w:rPr>
                <w:rFonts w:eastAsia="Calibri"/>
                <w:b/>
                <w:sz w:val="20"/>
                <w:szCs w:val="20"/>
              </w:rPr>
            </w:pPr>
            <w:r w:rsidRPr="00534F50">
              <w:rPr>
                <w:rFonts w:eastAsia="Calibri"/>
                <w:b/>
                <w:sz w:val="20"/>
                <w:szCs w:val="20"/>
              </w:rPr>
              <w:t>General care activities</w:t>
            </w:r>
          </w:p>
        </w:tc>
        <w:tc>
          <w:tcPr>
            <w:tcW w:w="6797" w:type="dxa"/>
            <w:shd w:val="clear" w:color="auto" w:fill="D9D9D9" w:themeFill="background1" w:themeFillShade="D9"/>
          </w:tcPr>
          <w:p w14:paraId="0F12BCCD" w14:textId="77777777" w:rsidR="00350D10" w:rsidRPr="00534F50" w:rsidRDefault="00350D10" w:rsidP="00E67BD0">
            <w:pPr>
              <w:spacing w:before="40" w:after="40"/>
              <w:rPr>
                <w:rFonts w:eastAsia="Calibri"/>
                <w:b/>
                <w:sz w:val="20"/>
                <w:szCs w:val="20"/>
              </w:rPr>
            </w:pPr>
            <w:r w:rsidRPr="00534F50">
              <w:rPr>
                <w:rFonts w:eastAsia="Calibri"/>
                <w:b/>
                <w:sz w:val="20"/>
                <w:szCs w:val="20"/>
              </w:rPr>
              <w:t>Examples</w:t>
            </w:r>
          </w:p>
        </w:tc>
      </w:tr>
      <w:tr w:rsidR="00350D10" w:rsidRPr="00534F50" w14:paraId="14F3E8D6" w14:textId="77777777" w:rsidTr="00350D10">
        <w:tc>
          <w:tcPr>
            <w:tcW w:w="2547" w:type="dxa"/>
          </w:tcPr>
          <w:p w14:paraId="5DA2112F" w14:textId="77777777" w:rsidR="00350D10" w:rsidRPr="00534F50" w:rsidRDefault="00350D10" w:rsidP="00E67BD0">
            <w:pPr>
              <w:spacing w:before="40" w:after="40"/>
              <w:rPr>
                <w:rFonts w:eastAsia="Calibri"/>
                <w:sz w:val="20"/>
                <w:szCs w:val="20"/>
              </w:rPr>
            </w:pPr>
            <w:r w:rsidRPr="00534F50">
              <w:rPr>
                <w:rFonts w:eastAsia="Calibri"/>
                <w:sz w:val="20"/>
                <w:szCs w:val="20"/>
              </w:rPr>
              <w:t>Combined care in the residents room</w:t>
            </w:r>
          </w:p>
        </w:tc>
        <w:tc>
          <w:tcPr>
            <w:tcW w:w="6797" w:type="dxa"/>
          </w:tcPr>
          <w:p w14:paraId="2D7A29BE" w14:textId="4B54F228" w:rsidR="00350D10" w:rsidRPr="00534F50" w:rsidRDefault="00350D10" w:rsidP="00E67BD0">
            <w:pPr>
              <w:spacing w:before="40" w:after="40"/>
              <w:rPr>
                <w:rFonts w:eastAsia="Calibri"/>
                <w:sz w:val="20"/>
                <w:szCs w:val="20"/>
              </w:rPr>
            </w:pPr>
            <w:r w:rsidRPr="00534F50">
              <w:rPr>
                <w:rFonts w:eastAsia="Calibri"/>
                <w:sz w:val="20"/>
                <w:szCs w:val="20"/>
              </w:rPr>
              <w:t>When you enter the resident’s room to provide a number of individual care services together or consecutively the total time may be ca</w:t>
            </w:r>
            <w:r w:rsidR="00D07E77">
              <w:rPr>
                <w:rFonts w:eastAsia="Calibri"/>
                <w:sz w:val="20"/>
                <w:szCs w:val="20"/>
              </w:rPr>
              <w:t>ptured under this one activity.</w:t>
            </w:r>
          </w:p>
          <w:p w14:paraId="42A0268E" w14:textId="77777777" w:rsidR="00350D10" w:rsidRPr="00534F50" w:rsidRDefault="00350D10" w:rsidP="00FE46FD">
            <w:pPr>
              <w:spacing w:before="40" w:after="40"/>
              <w:rPr>
                <w:rFonts w:eastAsia="Calibri"/>
                <w:sz w:val="20"/>
                <w:szCs w:val="20"/>
              </w:rPr>
            </w:pPr>
            <w:r w:rsidRPr="00534F50">
              <w:rPr>
                <w:rFonts w:eastAsia="Calibri"/>
                <w:sz w:val="20"/>
                <w:szCs w:val="20"/>
              </w:rPr>
              <w:t>For example, you may assist the resident to move to their bathroom, and then assist with showering and dressing – after which you may attend to some pressure area care.</w:t>
            </w:r>
          </w:p>
        </w:tc>
      </w:tr>
      <w:tr w:rsidR="00350D10" w:rsidRPr="00534F50" w14:paraId="3EEDE9E4" w14:textId="77777777" w:rsidTr="00350D10">
        <w:tc>
          <w:tcPr>
            <w:tcW w:w="2547" w:type="dxa"/>
          </w:tcPr>
          <w:p w14:paraId="22997EF6" w14:textId="1CE4E741" w:rsidR="00350D10" w:rsidRPr="00534F50" w:rsidRDefault="00350D10" w:rsidP="00E67BD0">
            <w:pPr>
              <w:spacing w:before="40" w:after="40"/>
              <w:rPr>
                <w:rFonts w:eastAsia="Calibri"/>
                <w:sz w:val="20"/>
                <w:szCs w:val="20"/>
              </w:rPr>
            </w:pPr>
            <w:r w:rsidRPr="00534F50">
              <w:rPr>
                <w:rFonts w:eastAsia="Calibri"/>
                <w:sz w:val="20"/>
                <w:szCs w:val="20"/>
              </w:rPr>
              <w:t>Personal care/hygiene</w:t>
            </w:r>
          </w:p>
        </w:tc>
        <w:tc>
          <w:tcPr>
            <w:tcW w:w="6797" w:type="dxa"/>
          </w:tcPr>
          <w:p w14:paraId="75A87915" w14:textId="77777777" w:rsidR="00350D10" w:rsidRPr="00534F50" w:rsidRDefault="00350D10" w:rsidP="00E67BD0">
            <w:pPr>
              <w:spacing w:before="40" w:after="40"/>
              <w:rPr>
                <w:rFonts w:eastAsia="Calibri"/>
                <w:sz w:val="20"/>
                <w:szCs w:val="20"/>
              </w:rPr>
            </w:pPr>
            <w:r w:rsidRPr="00534F50">
              <w:rPr>
                <w:rFonts w:eastAsia="Calibri"/>
                <w:sz w:val="20"/>
                <w:szCs w:val="20"/>
              </w:rPr>
              <w:t>Routine hygiene (e.g. daily shower or wash)</w:t>
            </w:r>
          </w:p>
          <w:p w14:paraId="5B3A130A" w14:textId="77777777" w:rsidR="00350D10" w:rsidRPr="00534F50" w:rsidRDefault="00350D10" w:rsidP="00E67BD0">
            <w:pPr>
              <w:spacing w:before="40" w:after="40"/>
              <w:rPr>
                <w:rFonts w:eastAsia="Calibri"/>
                <w:sz w:val="20"/>
                <w:szCs w:val="20"/>
              </w:rPr>
            </w:pPr>
            <w:r w:rsidRPr="00534F50">
              <w:rPr>
                <w:rFonts w:eastAsia="Calibri"/>
                <w:sz w:val="20"/>
                <w:szCs w:val="20"/>
              </w:rPr>
              <w:t>Continence related hygiene (e.g. shower or wash following pad change).</w:t>
            </w:r>
          </w:p>
          <w:p w14:paraId="5DF93C93" w14:textId="77777777" w:rsidR="00350D10" w:rsidRPr="00534F50" w:rsidRDefault="00350D10" w:rsidP="00E67BD0">
            <w:pPr>
              <w:spacing w:before="40" w:after="40"/>
              <w:rPr>
                <w:rFonts w:eastAsia="Calibri"/>
                <w:sz w:val="20"/>
                <w:szCs w:val="20"/>
              </w:rPr>
            </w:pPr>
            <w:r w:rsidRPr="00534F50">
              <w:rPr>
                <w:rFonts w:eastAsia="Calibri"/>
                <w:sz w:val="20"/>
                <w:szCs w:val="20"/>
              </w:rPr>
              <w:t>Shaving or personal grooming where the resident is unable to complete those tasks.</w:t>
            </w:r>
          </w:p>
          <w:p w14:paraId="3D95BA5B" w14:textId="56936ADA" w:rsidR="00350D10" w:rsidRPr="00534F50" w:rsidRDefault="00350D10" w:rsidP="00E67BD0">
            <w:pPr>
              <w:spacing w:before="40" w:after="40"/>
              <w:rPr>
                <w:rFonts w:eastAsia="Calibri"/>
                <w:sz w:val="20"/>
                <w:szCs w:val="20"/>
              </w:rPr>
            </w:pPr>
            <w:r w:rsidRPr="00534F50">
              <w:rPr>
                <w:rFonts w:eastAsia="Calibri"/>
                <w:sz w:val="20"/>
                <w:szCs w:val="20"/>
              </w:rPr>
              <w:t>Atte</w:t>
            </w:r>
            <w:r w:rsidR="00D07E77">
              <w:rPr>
                <w:rFonts w:eastAsia="Calibri"/>
                <w:sz w:val="20"/>
                <w:szCs w:val="20"/>
              </w:rPr>
              <w:t>ntion to oral hygiene.</w:t>
            </w:r>
          </w:p>
          <w:p w14:paraId="341AFE90" w14:textId="7D6CE244" w:rsidR="00350D10" w:rsidRPr="00534F50" w:rsidRDefault="00350D10" w:rsidP="00E67BD0">
            <w:pPr>
              <w:spacing w:before="40" w:after="40"/>
              <w:rPr>
                <w:rFonts w:eastAsia="Calibri"/>
                <w:sz w:val="20"/>
                <w:szCs w:val="20"/>
              </w:rPr>
            </w:pPr>
            <w:r w:rsidRPr="00534F50">
              <w:rPr>
                <w:rFonts w:eastAsia="Calibri"/>
                <w:sz w:val="20"/>
                <w:szCs w:val="20"/>
              </w:rPr>
              <w:lastRenderedPageBreak/>
              <w:t>Dressing a resident or prov</w:t>
            </w:r>
            <w:r w:rsidR="00D07E77">
              <w:rPr>
                <w:rFonts w:eastAsia="Calibri"/>
                <w:sz w:val="20"/>
                <w:szCs w:val="20"/>
              </w:rPr>
              <w:t>iding assistance with dressing.</w:t>
            </w:r>
          </w:p>
          <w:p w14:paraId="0AA4BB6C" w14:textId="3FA7B77B" w:rsidR="00350D10" w:rsidRPr="00534F50" w:rsidRDefault="00350D10" w:rsidP="00E67BD0">
            <w:pPr>
              <w:spacing w:before="40" w:after="40"/>
              <w:rPr>
                <w:rFonts w:eastAsia="Calibri"/>
                <w:sz w:val="20"/>
                <w:szCs w:val="20"/>
              </w:rPr>
            </w:pPr>
            <w:r w:rsidRPr="00534F50">
              <w:rPr>
                <w:rFonts w:eastAsia="Calibri"/>
                <w:sz w:val="20"/>
                <w:szCs w:val="20"/>
              </w:rPr>
              <w:t>Toiletin</w:t>
            </w:r>
            <w:r w:rsidR="00D07E77">
              <w:rPr>
                <w:rFonts w:eastAsia="Calibri"/>
                <w:sz w:val="20"/>
                <w:szCs w:val="20"/>
              </w:rPr>
              <w:t>g and assisting with toileting.</w:t>
            </w:r>
          </w:p>
          <w:p w14:paraId="6CB6E14B" w14:textId="5E550392" w:rsidR="00350D10" w:rsidRPr="00534F50" w:rsidRDefault="00350D10" w:rsidP="00FE46FD">
            <w:pPr>
              <w:spacing w:before="40" w:after="40"/>
              <w:rPr>
                <w:rFonts w:eastAsia="Calibri"/>
                <w:sz w:val="20"/>
                <w:szCs w:val="20"/>
              </w:rPr>
            </w:pPr>
            <w:r w:rsidRPr="00534F50">
              <w:rPr>
                <w:rFonts w:eastAsia="Calibri"/>
                <w:sz w:val="20"/>
                <w:szCs w:val="20"/>
              </w:rPr>
              <w:t>Emptying/</w:t>
            </w:r>
            <w:r w:rsidR="00D07E77">
              <w:rPr>
                <w:rFonts w:eastAsia="Calibri"/>
                <w:sz w:val="20"/>
                <w:szCs w:val="20"/>
              </w:rPr>
              <w:t>changing stoma or catheter bag.</w:t>
            </w:r>
          </w:p>
        </w:tc>
      </w:tr>
      <w:tr w:rsidR="00350D10" w:rsidRPr="00534F50" w14:paraId="41E06E25" w14:textId="77777777" w:rsidTr="00350D10">
        <w:tc>
          <w:tcPr>
            <w:tcW w:w="2547" w:type="dxa"/>
          </w:tcPr>
          <w:p w14:paraId="589E6E12" w14:textId="3CB0D75E" w:rsidR="00350D10" w:rsidRPr="00534F50" w:rsidRDefault="00350D10" w:rsidP="00E67BD0">
            <w:pPr>
              <w:spacing w:before="40" w:after="40"/>
              <w:rPr>
                <w:rFonts w:eastAsia="Calibri"/>
                <w:sz w:val="20"/>
                <w:szCs w:val="20"/>
              </w:rPr>
            </w:pPr>
            <w:r w:rsidRPr="00534F50">
              <w:rPr>
                <w:rFonts w:eastAsia="Calibri"/>
                <w:sz w:val="20"/>
                <w:szCs w:val="20"/>
              </w:rPr>
              <w:lastRenderedPageBreak/>
              <w:t>Assistance with mobility</w:t>
            </w:r>
          </w:p>
        </w:tc>
        <w:tc>
          <w:tcPr>
            <w:tcW w:w="6797" w:type="dxa"/>
          </w:tcPr>
          <w:p w14:paraId="50F18ED1" w14:textId="77777777" w:rsidR="00350D10" w:rsidRPr="00534F50" w:rsidRDefault="00350D10" w:rsidP="00E67BD0">
            <w:pPr>
              <w:spacing w:before="40" w:after="40"/>
              <w:rPr>
                <w:rFonts w:eastAsia="Calibri"/>
                <w:sz w:val="20"/>
                <w:szCs w:val="20"/>
              </w:rPr>
            </w:pPr>
            <w:r w:rsidRPr="00534F50">
              <w:rPr>
                <w:rFonts w:eastAsia="Calibri"/>
                <w:sz w:val="20"/>
                <w:szCs w:val="20"/>
              </w:rPr>
              <w:t>Assisting a resident with transfer to and from a bed or a chair.</w:t>
            </w:r>
          </w:p>
          <w:p w14:paraId="5E00BF71" w14:textId="038473C1" w:rsidR="00350D10" w:rsidRPr="00534F50" w:rsidRDefault="00350D10" w:rsidP="00E67BD0">
            <w:pPr>
              <w:spacing w:before="40" w:after="40"/>
              <w:rPr>
                <w:rFonts w:eastAsia="Calibri"/>
                <w:sz w:val="20"/>
                <w:szCs w:val="20"/>
              </w:rPr>
            </w:pPr>
            <w:r w:rsidRPr="00534F50">
              <w:rPr>
                <w:rFonts w:eastAsia="Calibri"/>
                <w:sz w:val="20"/>
                <w:szCs w:val="20"/>
              </w:rPr>
              <w:t xml:space="preserve">Transferring a resident to or from the dining room, lounge </w:t>
            </w:r>
            <w:r w:rsidR="00D07E77">
              <w:rPr>
                <w:rFonts w:eastAsia="Calibri"/>
                <w:sz w:val="20"/>
                <w:szCs w:val="20"/>
              </w:rPr>
              <w:t>or other parts of the facility.</w:t>
            </w:r>
          </w:p>
          <w:p w14:paraId="5DBD31E2" w14:textId="77777777" w:rsidR="00350D10" w:rsidRPr="00534F50" w:rsidRDefault="00350D10" w:rsidP="00E67BD0">
            <w:pPr>
              <w:spacing w:before="40" w:after="40"/>
              <w:rPr>
                <w:rFonts w:eastAsia="Calibri"/>
                <w:sz w:val="20"/>
                <w:szCs w:val="20"/>
              </w:rPr>
            </w:pPr>
            <w:r w:rsidRPr="00534F50">
              <w:rPr>
                <w:rFonts w:eastAsia="Calibri"/>
                <w:sz w:val="20"/>
                <w:szCs w:val="20"/>
              </w:rPr>
              <w:t>Assistance with mobility outside the facility as required.</w:t>
            </w:r>
          </w:p>
          <w:p w14:paraId="3E2F9128" w14:textId="238D47DB" w:rsidR="00350D10" w:rsidRPr="00534F50" w:rsidRDefault="00350D10" w:rsidP="00FE46FD">
            <w:pPr>
              <w:spacing w:before="40" w:after="40"/>
              <w:rPr>
                <w:rFonts w:eastAsia="Calibri"/>
                <w:sz w:val="20"/>
                <w:szCs w:val="20"/>
              </w:rPr>
            </w:pPr>
            <w:r w:rsidRPr="00534F50">
              <w:rPr>
                <w:rFonts w:eastAsia="Calibri"/>
                <w:sz w:val="20"/>
                <w:szCs w:val="20"/>
              </w:rPr>
              <w:t xml:space="preserve">Assisting the resident with the </w:t>
            </w:r>
            <w:r w:rsidR="00D07E77">
              <w:rPr>
                <w:rFonts w:eastAsia="Calibri"/>
                <w:sz w:val="20"/>
                <w:szCs w:val="20"/>
              </w:rPr>
              <w:t>operation of a mobility device.</w:t>
            </w:r>
          </w:p>
        </w:tc>
      </w:tr>
      <w:tr w:rsidR="00350D10" w:rsidRPr="00534F50" w14:paraId="7A578EA3" w14:textId="77777777" w:rsidTr="00350D10">
        <w:tc>
          <w:tcPr>
            <w:tcW w:w="2547" w:type="dxa"/>
          </w:tcPr>
          <w:p w14:paraId="25312D5C" w14:textId="1E77F8C4" w:rsidR="00350D10" w:rsidRPr="00534F50" w:rsidRDefault="00350D10" w:rsidP="00E67BD0">
            <w:pPr>
              <w:spacing w:before="40" w:after="40"/>
              <w:rPr>
                <w:rFonts w:eastAsia="Calibri"/>
                <w:sz w:val="20"/>
                <w:szCs w:val="20"/>
              </w:rPr>
            </w:pPr>
            <w:r w:rsidRPr="00534F50">
              <w:rPr>
                <w:rFonts w:eastAsia="Calibri"/>
                <w:sz w:val="20"/>
                <w:szCs w:val="20"/>
              </w:rPr>
              <w:t>Assistance with feeding</w:t>
            </w:r>
          </w:p>
        </w:tc>
        <w:tc>
          <w:tcPr>
            <w:tcW w:w="6797" w:type="dxa"/>
          </w:tcPr>
          <w:p w14:paraId="6AA5EF99" w14:textId="77777777" w:rsidR="00350D10" w:rsidRPr="00534F50" w:rsidRDefault="00350D10" w:rsidP="00E67BD0">
            <w:pPr>
              <w:spacing w:before="40" w:after="40"/>
              <w:rPr>
                <w:rFonts w:eastAsia="Calibri"/>
                <w:sz w:val="20"/>
                <w:szCs w:val="20"/>
              </w:rPr>
            </w:pPr>
            <w:r w:rsidRPr="00534F50">
              <w:rPr>
                <w:rFonts w:eastAsia="Calibri"/>
                <w:sz w:val="20"/>
                <w:szCs w:val="20"/>
              </w:rPr>
              <w:t>Assisting a resident with eating and drinking. This includes sitting with the residents and either delivering the food to their mouth or continually prompting them to feed themselves and chew and swallow the food.</w:t>
            </w:r>
          </w:p>
          <w:p w14:paraId="7AE59DDD" w14:textId="77777777" w:rsidR="00350D10" w:rsidRPr="00534F50" w:rsidRDefault="00350D10" w:rsidP="00E67BD0">
            <w:pPr>
              <w:spacing w:before="40" w:after="40"/>
              <w:rPr>
                <w:rFonts w:eastAsia="Calibri"/>
                <w:sz w:val="20"/>
                <w:szCs w:val="20"/>
              </w:rPr>
            </w:pPr>
            <w:r w:rsidRPr="00534F50">
              <w:rPr>
                <w:rFonts w:eastAsia="Calibri"/>
                <w:sz w:val="20"/>
                <w:szCs w:val="20"/>
              </w:rPr>
              <w:t>This activity is to be captured for residents with either cognitive issues or physical difficulties with chewing and swallowing, for example due to stroke.</w:t>
            </w:r>
          </w:p>
          <w:p w14:paraId="55E62CF5" w14:textId="77777777" w:rsidR="00350D10" w:rsidRPr="00534F50" w:rsidRDefault="00350D10" w:rsidP="00FE46FD">
            <w:pPr>
              <w:spacing w:before="40" w:after="40"/>
              <w:rPr>
                <w:rFonts w:eastAsia="Calibri"/>
                <w:sz w:val="20"/>
                <w:szCs w:val="20"/>
              </w:rPr>
            </w:pPr>
            <w:r w:rsidRPr="00534F50">
              <w:rPr>
                <w:rFonts w:eastAsia="Calibri"/>
                <w:b/>
                <w:i/>
                <w:sz w:val="20"/>
                <w:szCs w:val="20"/>
              </w:rPr>
              <w:t>Do not capture</w:t>
            </w:r>
            <w:r w:rsidRPr="00534F50">
              <w:rPr>
                <w:rFonts w:eastAsia="Calibri"/>
                <w:sz w:val="20"/>
                <w:szCs w:val="20"/>
              </w:rPr>
              <w:t xml:space="preserve"> time spent preparing meals and cutting-up or mashing food to make it easier for the resident to feed themselves.</w:t>
            </w:r>
          </w:p>
        </w:tc>
      </w:tr>
      <w:tr w:rsidR="00350D10" w:rsidRPr="00534F50" w14:paraId="4ED6DF22" w14:textId="77777777" w:rsidTr="00350D10">
        <w:tc>
          <w:tcPr>
            <w:tcW w:w="2547" w:type="dxa"/>
          </w:tcPr>
          <w:p w14:paraId="0C08090A" w14:textId="77777777" w:rsidR="00350D10" w:rsidRPr="00534F50" w:rsidRDefault="00350D10" w:rsidP="00E67BD0">
            <w:pPr>
              <w:spacing w:before="40" w:after="40"/>
              <w:rPr>
                <w:rFonts w:eastAsia="Calibri"/>
                <w:sz w:val="20"/>
                <w:szCs w:val="20"/>
              </w:rPr>
            </w:pPr>
            <w:r w:rsidRPr="00534F50">
              <w:rPr>
                <w:rFonts w:eastAsia="Calibri"/>
                <w:sz w:val="20"/>
                <w:szCs w:val="20"/>
              </w:rPr>
              <w:t>Pre</w:t>
            </w:r>
            <w:r w:rsidR="00F16ECA" w:rsidRPr="00534F50">
              <w:rPr>
                <w:rFonts w:eastAsia="Calibri"/>
                <w:sz w:val="20"/>
                <w:szCs w:val="20"/>
              </w:rPr>
              <w:t>ssure area/skin care</w:t>
            </w:r>
          </w:p>
        </w:tc>
        <w:tc>
          <w:tcPr>
            <w:tcW w:w="6797" w:type="dxa"/>
          </w:tcPr>
          <w:p w14:paraId="2B4F87FF" w14:textId="77777777" w:rsidR="00350D10" w:rsidRPr="00534F50" w:rsidRDefault="00350D10" w:rsidP="00E67BD0">
            <w:pPr>
              <w:spacing w:before="40" w:after="40"/>
              <w:rPr>
                <w:rFonts w:eastAsia="Calibri"/>
                <w:sz w:val="20"/>
                <w:szCs w:val="20"/>
              </w:rPr>
            </w:pPr>
            <w:r w:rsidRPr="00534F50">
              <w:rPr>
                <w:rFonts w:eastAsia="Calibri"/>
                <w:sz w:val="20"/>
                <w:szCs w:val="20"/>
              </w:rPr>
              <w:t>Care to existing pressure areas or wounds not requiring complex management.</w:t>
            </w:r>
          </w:p>
          <w:p w14:paraId="2521006E" w14:textId="77777777" w:rsidR="00350D10" w:rsidRPr="00534F50" w:rsidRDefault="00350D10" w:rsidP="00E67BD0">
            <w:pPr>
              <w:spacing w:before="40" w:after="40"/>
              <w:rPr>
                <w:rFonts w:eastAsia="Calibri"/>
                <w:sz w:val="20"/>
                <w:szCs w:val="20"/>
              </w:rPr>
            </w:pPr>
            <w:r w:rsidRPr="00534F50">
              <w:rPr>
                <w:rFonts w:eastAsia="Calibri"/>
                <w:sz w:val="20"/>
                <w:szCs w:val="20"/>
              </w:rPr>
              <w:t>Repositioning residents in a bed or chair where they have mobility issues and have or are at risk of developing pressure areas.</w:t>
            </w:r>
          </w:p>
          <w:p w14:paraId="7E1A37AD" w14:textId="0ADD8544" w:rsidR="00350D10" w:rsidRPr="00534F50" w:rsidRDefault="00350D10" w:rsidP="00FE46FD">
            <w:pPr>
              <w:spacing w:before="40" w:after="40"/>
              <w:rPr>
                <w:rFonts w:eastAsia="Calibri"/>
                <w:sz w:val="20"/>
                <w:szCs w:val="20"/>
              </w:rPr>
            </w:pPr>
            <w:r w:rsidRPr="00534F50">
              <w:rPr>
                <w:rFonts w:eastAsia="Calibri"/>
                <w:b/>
                <w:i/>
                <w:sz w:val="20"/>
                <w:szCs w:val="20"/>
              </w:rPr>
              <w:t>Do not capture</w:t>
            </w:r>
            <w:r w:rsidRPr="00534F50">
              <w:rPr>
                <w:rFonts w:eastAsia="Calibri"/>
                <w:sz w:val="20"/>
                <w:szCs w:val="20"/>
              </w:rPr>
              <w:t xml:space="preserve"> general skin care and the application of moisturiser to maintain skin integrity. This is an activity that would be generally undertaken for most o</w:t>
            </w:r>
            <w:r w:rsidR="00D07E77">
              <w:rPr>
                <w:rFonts w:eastAsia="Calibri"/>
                <w:sz w:val="20"/>
                <w:szCs w:val="20"/>
              </w:rPr>
              <w:t>r all of the residents in care.</w:t>
            </w:r>
          </w:p>
        </w:tc>
      </w:tr>
      <w:tr w:rsidR="00350D10" w:rsidRPr="00534F50" w14:paraId="02F84E74" w14:textId="77777777" w:rsidTr="00350D10">
        <w:tc>
          <w:tcPr>
            <w:tcW w:w="2547" w:type="dxa"/>
          </w:tcPr>
          <w:p w14:paraId="243AFBC9" w14:textId="77777777" w:rsidR="00350D10" w:rsidRPr="00534F50" w:rsidRDefault="00350D10" w:rsidP="00E67BD0">
            <w:pPr>
              <w:spacing w:before="40" w:after="40"/>
              <w:rPr>
                <w:rFonts w:eastAsia="Calibri"/>
                <w:sz w:val="20"/>
                <w:szCs w:val="20"/>
              </w:rPr>
            </w:pPr>
            <w:r w:rsidRPr="00534F50">
              <w:rPr>
                <w:rFonts w:eastAsia="Calibri"/>
                <w:sz w:val="20"/>
                <w:szCs w:val="20"/>
              </w:rPr>
              <w:t>Assessment and/or care planning</w:t>
            </w:r>
          </w:p>
        </w:tc>
        <w:tc>
          <w:tcPr>
            <w:tcW w:w="6797" w:type="dxa"/>
          </w:tcPr>
          <w:p w14:paraId="05DA1F19" w14:textId="665E8235" w:rsidR="00350D10" w:rsidRPr="00534F50" w:rsidRDefault="00350D10" w:rsidP="00E67BD0">
            <w:pPr>
              <w:spacing w:before="40" w:after="40"/>
              <w:rPr>
                <w:rFonts w:eastAsia="Calibri" w:cstheme="minorHAnsi"/>
                <w:sz w:val="20"/>
                <w:szCs w:val="20"/>
              </w:rPr>
            </w:pPr>
            <w:r w:rsidRPr="00534F50">
              <w:rPr>
                <w:rFonts w:eastAsia="Calibri" w:cstheme="minorHAnsi"/>
                <w:sz w:val="20"/>
                <w:szCs w:val="20"/>
              </w:rPr>
              <w:t>This could involve a number of different types of activities, particularly those activities that are undertaken when a resident</w:t>
            </w:r>
            <w:r w:rsidR="00D07E77">
              <w:rPr>
                <w:rFonts w:eastAsia="Calibri" w:cstheme="minorHAnsi"/>
                <w:sz w:val="20"/>
                <w:szCs w:val="20"/>
              </w:rPr>
              <w:t xml:space="preserve"> first arrives in the facility.</w:t>
            </w:r>
          </w:p>
          <w:p w14:paraId="1BE7A3BA" w14:textId="31D9E1A2" w:rsidR="00350D10" w:rsidRPr="00534F50" w:rsidRDefault="00D07E77" w:rsidP="00E67BD0">
            <w:pPr>
              <w:spacing w:before="40" w:after="40"/>
              <w:rPr>
                <w:rFonts w:eastAsia="Calibri" w:cstheme="minorHAnsi"/>
                <w:sz w:val="20"/>
                <w:szCs w:val="20"/>
              </w:rPr>
            </w:pPr>
            <w:r>
              <w:rPr>
                <w:rFonts w:eastAsia="Calibri" w:cstheme="minorHAnsi"/>
                <w:sz w:val="20"/>
                <w:szCs w:val="20"/>
              </w:rPr>
              <w:t>This may include;</w:t>
            </w:r>
          </w:p>
          <w:p w14:paraId="2080DF67" w14:textId="77777777" w:rsidR="00350D10" w:rsidRPr="00534F50" w:rsidRDefault="00350D10" w:rsidP="00534F50">
            <w:pPr>
              <w:pStyle w:val="ListParagraph"/>
              <w:numPr>
                <w:ilvl w:val="0"/>
                <w:numId w:val="10"/>
              </w:numPr>
              <w:spacing w:before="40" w:after="40"/>
              <w:ind w:left="0" w:firstLine="0"/>
              <w:contextualSpacing w:val="0"/>
              <w:rPr>
                <w:rFonts w:cstheme="minorHAnsi"/>
                <w:sz w:val="20"/>
                <w:szCs w:val="20"/>
              </w:rPr>
            </w:pPr>
            <w:r w:rsidRPr="00534F50">
              <w:rPr>
                <w:rFonts w:cstheme="minorHAnsi"/>
                <w:sz w:val="20"/>
                <w:szCs w:val="20"/>
              </w:rPr>
              <w:t xml:space="preserve">Physical assessment and measurement (weight </w:t>
            </w:r>
            <w:r w:rsidR="00824F3A" w:rsidRPr="00534F50">
              <w:rPr>
                <w:rFonts w:cstheme="minorHAnsi"/>
                <w:sz w:val="20"/>
                <w:szCs w:val="20"/>
              </w:rPr>
              <w:t>etc.</w:t>
            </w:r>
            <w:r w:rsidRPr="00534F50">
              <w:rPr>
                <w:rFonts w:cstheme="minorHAnsi"/>
                <w:sz w:val="20"/>
                <w:szCs w:val="20"/>
              </w:rPr>
              <w:t>).</w:t>
            </w:r>
          </w:p>
          <w:p w14:paraId="0B073B2D" w14:textId="77777777" w:rsidR="00350D10" w:rsidRPr="00534F50" w:rsidRDefault="00350D10" w:rsidP="00534F50">
            <w:pPr>
              <w:pStyle w:val="ListParagraph"/>
              <w:numPr>
                <w:ilvl w:val="0"/>
                <w:numId w:val="10"/>
              </w:numPr>
              <w:spacing w:before="40" w:after="40"/>
              <w:ind w:left="0" w:firstLine="0"/>
              <w:contextualSpacing w:val="0"/>
              <w:rPr>
                <w:rFonts w:cstheme="minorHAnsi"/>
                <w:sz w:val="20"/>
                <w:szCs w:val="20"/>
              </w:rPr>
            </w:pPr>
            <w:r w:rsidRPr="00534F50">
              <w:rPr>
                <w:rFonts w:cstheme="minorHAnsi"/>
                <w:sz w:val="20"/>
                <w:szCs w:val="20"/>
              </w:rPr>
              <w:t>Speaking with families and carers to obtain a resident history.</w:t>
            </w:r>
          </w:p>
          <w:p w14:paraId="2F75EF23" w14:textId="77777777" w:rsidR="00350D10" w:rsidRPr="00534F50" w:rsidRDefault="00350D10" w:rsidP="00534F50">
            <w:pPr>
              <w:pStyle w:val="ListParagraph"/>
              <w:numPr>
                <w:ilvl w:val="0"/>
                <w:numId w:val="10"/>
              </w:numPr>
              <w:spacing w:before="40" w:after="40"/>
              <w:ind w:left="0" w:firstLine="0"/>
              <w:contextualSpacing w:val="0"/>
              <w:rPr>
                <w:rFonts w:cstheme="minorHAnsi"/>
                <w:sz w:val="20"/>
                <w:szCs w:val="20"/>
              </w:rPr>
            </w:pPr>
            <w:r w:rsidRPr="00534F50">
              <w:rPr>
                <w:rFonts w:cstheme="minorHAnsi"/>
                <w:sz w:val="20"/>
                <w:szCs w:val="20"/>
              </w:rPr>
              <w:t>Consulting with the multidisciplinary care team regarding an individual resident.</w:t>
            </w:r>
          </w:p>
          <w:p w14:paraId="5A63D79F" w14:textId="77777777" w:rsidR="00350D10" w:rsidRPr="00534F50" w:rsidRDefault="00350D10" w:rsidP="00534F50">
            <w:pPr>
              <w:pStyle w:val="ListParagraph"/>
              <w:numPr>
                <w:ilvl w:val="0"/>
                <w:numId w:val="10"/>
              </w:numPr>
              <w:spacing w:before="40" w:after="40"/>
              <w:ind w:left="0" w:firstLine="0"/>
              <w:contextualSpacing w:val="0"/>
              <w:rPr>
                <w:rFonts w:cstheme="minorHAnsi"/>
                <w:sz w:val="20"/>
                <w:szCs w:val="20"/>
              </w:rPr>
            </w:pPr>
            <w:r w:rsidRPr="00534F50">
              <w:rPr>
                <w:rFonts w:cstheme="minorHAnsi"/>
                <w:sz w:val="20"/>
                <w:szCs w:val="20"/>
              </w:rPr>
              <w:t>The development of an individualised care plan.</w:t>
            </w:r>
          </w:p>
          <w:p w14:paraId="4353DAA9" w14:textId="15FEAB83" w:rsidR="00350D10" w:rsidRPr="00534F50" w:rsidRDefault="00350D10" w:rsidP="00FE46FD">
            <w:pPr>
              <w:pStyle w:val="ListParagraph"/>
              <w:numPr>
                <w:ilvl w:val="0"/>
                <w:numId w:val="10"/>
              </w:numPr>
              <w:spacing w:before="40" w:after="40"/>
              <w:ind w:left="0" w:firstLine="0"/>
              <w:contextualSpacing w:val="0"/>
              <w:rPr>
                <w:rFonts w:eastAsia="Calibri" w:cstheme="minorHAnsi"/>
                <w:sz w:val="20"/>
                <w:szCs w:val="20"/>
              </w:rPr>
            </w:pPr>
            <w:r w:rsidRPr="00534F50">
              <w:rPr>
                <w:rFonts w:cstheme="minorHAnsi"/>
                <w:sz w:val="20"/>
                <w:szCs w:val="20"/>
              </w:rPr>
              <w:t>Developing a plan for re-ablement or a strategy to address acute problems and behavioural issues for a resident.</w:t>
            </w:r>
          </w:p>
        </w:tc>
      </w:tr>
      <w:tr w:rsidR="00350D10" w:rsidRPr="00534F50" w14:paraId="5130BFC1" w14:textId="77777777" w:rsidTr="00350D10">
        <w:tc>
          <w:tcPr>
            <w:tcW w:w="2547" w:type="dxa"/>
          </w:tcPr>
          <w:p w14:paraId="0AE66F71" w14:textId="77777777" w:rsidR="00350D10" w:rsidRPr="00534F50" w:rsidRDefault="00350D10" w:rsidP="00E67BD0">
            <w:pPr>
              <w:spacing w:before="40" w:after="40"/>
              <w:rPr>
                <w:rFonts w:eastAsia="Calibri"/>
                <w:sz w:val="20"/>
                <w:szCs w:val="20"/>
              </w:rPr>
            </w:pPr>
            <w:r w:rsidRPr="00534F50">
              <w:rPr>
                <w:rFonts w:eastAsia="Calibri"/>
                <w:sz w:val="20"/>
                <w:szCs w:val="20"/>
              </w:rPr>
              <w:t>Assistance with oral medication</w:t>
            </w:r>
          </w:p>
        </w:tc>
        <w:tc>
          <w:tcPr>
            <w:tcW w:w="6797" w:type="dxa"/>
          </w:tcPr>
          <w:p w14:paraId="454DF77A" w14:textId="77777777" w:rsidR="00350D10" w:rsidRPr="00534F50" w:rsidRDefault="00350D10" w:rsidP="00E67BD0">
            <w:pPr>
              <w:spacing w:before="40" w:after="40"/>
              <w:rPr>
                <w:rFonts w:eastAsia="Calibri"/>
                <w:sz w:val="20"/>
                <w:szCs w:val="20"/>
              </w:rPr>
            </w:pPr>
            <w:r w:rsidRPr="00534F50">
              <w:rPr>
                <w:rFonts w:eastAsia="Calibri"/>
                <w:sz w:val="20"/>
                <w:szCs w:val="20"/>
              </w:rPr>
              <w:t>The preparation and delivery of oral medications where the resident is not able to manage themselves, either for cognitive or physical reasons. This involves the staying with the resident and prompting them to swallow the tablet and/or supervising them to ensure the medication has been taken.</w:t>
            </w:r>
          </w:p>
          <w:p w14:paraId="5B1BE158" w14:textId="77777777" w:rsidR="00350D10" w:rsidRPr="00534F50" w:rsidRDefault="00350D10" w:rsidP="00E67BD0">
            <w:pPr>
              <w:spacing w:before="40" w:after="40"/>
              <w:rPr>
                <w:rFonts w:eastAsia="Calibri"/>
                <w:sz w:val="20"/>
                <w:szCs w:val="20"/>
              </w:rPr>
            </w:pPr>
            <w:r w:rsidRPr="00534F50">
              <w:rPr>
                <w:rFonts w:eastAsia="Calibri"/>
                <w:sz w:val="20"/>
                <w:szCs w:val="20"/>
              </w:rPr>
              <w:t>When tablets are crushed and added to food which is then spooned into the mouth as part of the meal, this should be captured as ‘assistance with feeding’.</w:t>
            </w:r>
          </w:p>
          <w:p w14:paraId="57A0DC50" w14:textId="77777777" w:rsidR="00350D10" w:rsidRPr="00534F50" w:rsidRDefault="00350D10" w:rsidP="00FE46FD">
            <w:pPr>
              <w:spacing w:before="40" w:after="40"/>
              <w:rPr>
                <w:rFonts w:eastAsia="Calibri"/>
                <w:sz w:val="20"/>
                <w:szCs w:val="20"/>
              </w:rPr>
            </w:pPr>
            <w:r w:rsidRPr="00534F50">
              <w:rPr>
                <w:rFonts w:eastAsia="Calibri"/>
                <w:b/>
                <w:i/>
                <w:sz w:val="20"/>
                <w:szCs w:val="20"/>
              </w:rPr>
              <w:t>Do not capture</w:t>
            </w:r>
            <w:r w:rsidRPr="00534F50">
              <w:rPr>
                <w:rFonts w:eastAsia="Calibri"/>
                <w:sz w:val="20"/>
                <w:szCs w:val="20"/>
              </w:rPr>
              <w:t xml:space="preserve"> the delivery of medications where a resident is able to manage taking those medications themselves as </w:t>
            </w:r>
            <w:r w:rsidR="00F16ECA" w:rsidRPr="00534F50">
              <w:rPr>
                <w:rFonts w:eastAsia="Calibri"/>
                <w:sz w:val="20"/>
                <w:szCs w:val="20"/>
              </w:rPr>
              <w:t>this is a shared care activity.</w:t>
            </w:r>
          </w:p>
        </w:tc>
      </w:tr>
      <w:tr w:rsidR="00350D10" w:rsidRPr="00534F50" w14:paraId="15E2CE9C" w14:textId="77777777" w:rsidTr="00350D10">
        <w:tc>
          <w:tcPr>
            <w:tcW w:w="2547" w:type="dxa"/>
          </w:tcPr>
          <w:p w14:paraId="56392F05" w14:textId="77777777" w:rsidR="00350D10" w:rsidRPr="00534F50" w:rsidRDefault="00350D10" w:rsidP="00E67BD0">
            <w:pPr>
              <w:spacing w:before="40" w:after="40"/>
              <w:rPr>
                <w:rFonts w:eastAsia="Calibri"/>
                <w:sz w:val="20"/>
                <w:szCs w:val="20"/>
              </w:rPr>
            </w:pPr>
            <w:r w:rsidRPr="00534F50">
              <w:rPr>
                <w:rFonts w:eastAsia="Calibri"/>
                <w:sz w:val="20"/>
                <w:szCs w:val="20"/>
              </w:rPr>
              <w:t>Re-ablement / therapies</w:t>
            </w:r>
          </w:p>
        </w:tc>
        <w:tc>
          <w:tcPr>
            <w:tcW w:w="6797" w:type="dxa"/>
          </w:tcPr>
          <w:p w14:paraId="6ACDBFD6" w14:textId="3D14ABC9" w:rsidR="00350D10" w:rsidRPr="00534F50" w:rsidRDefault="00350D10" w:rsidP="00E67BD0">
            <w:pPr>
              <w:spacing w:before="40" w:after="40"/>
              <w:rPr>
                <w:rFonts w:eastAsia="Calibri"/>
                <w:sz w:val="20"/>
                <w:szCs w:val="20"/>
              </w:rPr>
            </w:pPr>
            <w:r w:rsidRPr="00534F50">
              <w:rPr>
                <w:rFonts w:eastAsia="Calibri"/>
                <w:sz w:val="20"/>
                <w:szCs w:val="20"/>
              </w:rPr>
              <w:t>Time with an individual or group of residents in physical therapy sessions that improve or mai</w:t>
            </w:r>
            <w:r w:rsidR="00D07E77">
              <w:rPr>
                <w:rFonts w:eastAsia="Calibri"/>
                <w:sz w:val="20"/>
                <w:szCs w:val="20"/>
              </w:rPr>
              <w:t>ntain ADL function or mobility.</w:t>
            </w:r>
          </w:p>
          <w:p w14:paraId="72455998" w14:textId="77777777" w:rsidR="00350D10" w:rsidRPr="00534F50" w:rsidRDefault="00350D10" w:rsidP="00E67BD0">
            <w:pPr>
              <w:spacing w:before="40" w:after="40"/>
              <w:rPr>
                <w:rFonts w:eastAsia="Calibri"/>
                <w:sz w:val="20"/>
                <w:szCs w:val="20"/>
              </w:rPr>
            </w:pPr>
            <w:r w:rsidRPr="00534F50">
              <w:rPr>
                <w:rFonts w:eastAsia="Calibri"/>
                <w:sz w:val="20"/>
                <w:szCs w:val="20"/>
              </w:rPr>
              <w:t>May include passive and active exercises or craft sessions etc.</w:t>
            </w:r>
          </w:p>
          <w:p w14:paraId="698B08F0" w14:textId="77777777" w:rsidR="00350D10" w:rsidRPr="00534F50" w:rsidRDefault="00350D10" w:rsidP="00FE46FD">
            <w:pPr>
              <w:spacing w:before="40" w:after="40"/>
              <w:rPr>
                <w:rFonts w:eastAsia="Calibri"/>
                <w:sz w:val="20"/>
                <w:szCs w:val="20"/>
              </w:rPr>
            </w:pPr>
            <w:r w:rsidRPr="00534F50">
              <w:rPr>
                <w:rFonts w:eastAsia="Calibri"/>
                <w:sz w:val="20"/>
                <w:szCs w:val="20"/>
              </w:rPr>
              <w:t>This could involve multiple residents in one time allocation and, if so, should be captured against each resident.</w:t>
            </w:r>
          </w:p>
        </w:tc>
      </w:tr>
      <w:tr w:rsidR="00350D10" w:rsidRPr="00534F50" w14:paraId="314AD65C" w14:textId="77777777" w:rsidTr="00350D10">
        <w:tc>
          <w:tcPr>
            <w:tcW w:w="2547" w:type="dxa"/>
          </w:tcPr>
          <w:p w14:paraId="391CEDF8" w14:textId="77777777" w:rsidR="00350D10" w:rsidRPr="00534F50" w:rsidRDefault="00350D10" w:rsidP="00E67BD0">
            <w:pPr>
              <w:spacing w:before="40" w:after="40"/>
              <w:rPr>
                <w:rFonts w:eastAsia="Calibri"/>
                <w:sz w:val="20"/>
                <w:szCs w:val="20"/>
              </w:rPr>
            </w:pPr>
            <w:r w:rsidRPr="00534F50">
              <w:rPr>
                <w:rFonts w:eastAsia="Calibri"/>
                <w:sz w:val="20"/>
                <w:szCs w:val="20"/>
              </w:rPr>
              <w:t>Social activities/talking with resident</w:t>
            </w:r>
          </w:p>
        </w:tc>
        <w:tc>
          <w:tcPr>
            <w:tcW w:w="6797" w:type="dxa"/>
          </w:tcPr>
          <w:p w14:paraId="25E21EE2" w14:textId="4F2CDA92" w:rsidR="00350D10" w:rsidRPr="00534F50" w:rsidRDefault="00350D10" w:rsidP="00E67BD0">
            <w:pPr>
              <w:spacing w:before="40" w:after="40"/>
              <w:rPr>
                <w:rFonts w:eastAsia="Calibri"/>
                <w:sz w:val="20"/>
                <w:szCs w:val="20"/>
              </w:rPr>
            </w:pPr>
            <w:r w:rsidRPr="00534F50">
              <w:rPr>
                <w:rFonts w:eastAsia="Calibri"/>
                <w:sz w:val="20"/>
                <w:szCs w:val="20"/>
              </w:rPr>
              <w:t>Time spent in socially and m</w:t>
            </w:r>
            <w:r w:rsidR="00D07E77">
              <w:rPr>
                <w:rFonts w:eastAsia="Calibri"/>
                <w:sz w:val="20"/>
                <w:szCs w:val="20"/>
              </w:rPr>
              <w:t>entally stimulating activities.</w:t>
            </w:r>
          </w:p>
          <w:p w14:paraId="6EC78B22" w14:textId="77777777" w:rsidR="00350D10" w:rsidRPr="00534F50" w:rsidRDefault="00350D10" w:rsidP="00E67BD0">
            <w:pPr>
              <w:spacing w:before="40" w:after="40"/>
              <w:rPr>
                <w:rFonts w:eastAsia="Calibri"/>
                <w:sz w:val="20"/>
                <w:szCs w:val="20"/>
              </w:rPr>
            </w:pPr>
            <w:r w:rsidRPr="00534F50">
              <w:rPr>
                <w:rFonts w:eastAsia="Calibri"/>
                <w:sz w:val="20"/>
                <w:szCs w:val="20"/>
              </w:rPr>
              <w:lastRenderedPageBreak/>
              <w:t>Emotional support and a calming conversation or counselling for residents with mental health or behavioural issues is included.</w:t>
            </w:r>
          </w:p>
          <w:p w14:paraId="783178AE" w14:textId="77777777" w:rsidR="00350D10" w:rsidRPr="00534F50" w:rsidRDefault="00350D10" w:rsidP="00E67BD0">
            <w:pPr>
              <w:spacing w:before="40" w:after="40"/>
              <w:rPr>
                <w:rFonts w:eastAsia="Calibri"/>
                <w:sz w:val="20"/>
                <w:szCs w:val="20"/>
              </w:rPr>
            </w:pPr>
            <w:r w:rsidRPr="00534F50">
              <w:rPr>
                <w:rFonts w:eastAsia="Calibri"/>
                <w:sz w:val="20"/>
                <w:szCs w:val="20"/>
              </w:rPr>
              <w:t>This could involve multiple residents in one time allocation and, if so, should be captured against each resident.</w:t>
            </w:r>
          </w:p>
          <w:p w14:paraId="1CEFA99E" w14:textId="77777777" w:rsidR="00350D10" w:rsidRPr="00534F50" w:rsidRDefault="00350D10" w:rsidP="00FE46FD">
            <w:pPr>
              <w:spacing w:before="40" w:after="40"/>
              <w:rPr>
                <w:rFonts w:eastAsia="Calibri"/>
                <w:sz w:val="20"/>
                <w:szCs w:val="20"/>
              </w:rPr>
            </w:pPr>
            <w:r w:rsidRPr="00534F50">
              <w:rPr>
                <w:rFonts w:eastAsia="Calibri"/>
                <w:b/>
                <w:i/>
                <w:sz w:val="20"/>
                <w:szCs w:val="20"/>
              </w:rPr>
              <w:t>Do not capture</w:t>
            </w:r>
            <w:r w:rsidRPr="00534F50">
              <w:rPr>
                <w:rFonts w:eastAsia="Calibri"/>
                <w:sz w:val="20"/>
                <w:szCs w:val="20"/>
              </w:rPr>
              <w:t xml:space="preserve"> general day-to-day conversations and communication with the resident. If you are talking with the resident at the same time as you are undertaking another one of the activities listed above, capture the time against the specific activity.</w:t>
            </w:r>
          </w:p>
        </w:tc>
      </w:tr>
    </w:tbl>
    <w:p w14:paraId="1F0E5799" w14:textId="77777777" w:rsidR="00350D10" w:rsidRPr="00350D10" w:rsidRDefault="00350D10" w:rsidP="00350D10"/>
    <w:p w14:paraId="044349B3" w14:textId="77777777" w:rsidR="00184F60" w:rsidRPr="007830F8" w:rsidRDefault="00184F60" w:rsidP="00184F60">
      <w:r w:rsidRPr="007830F8">
        <w:rPr>
          <w:b/>
        </w:rPr>
        <w:t>Nursing care activities where staff time should be captured</w:t>
      </w:r>
    </w:p>
    <w:p w14:paraId="246F0596" w14:textId="77777777" w:rsidR="00CF3CA6" w:rsidRDefault="00184F60" w:rsidP="00184F60">
      <w:pPr>
        <w:spacing w:before="240"/>
      </w:pPr>
      <w:r>
        <w:fldChar w:fldCharType="begin"/>
      </w:r>
      <w:r>
        <w:instrText xml:space="preserve"> REF _Ref506744368 \h </w:instrText>
      </w:r>
      <w:r>
        <w:fldChar w:fldCharType="separate"/>
      </w:r>
      <w:r w:rsidR="00EE18C8">
        <w:t xml:space="preserve">Table </w:t>
      </w:r>
      <w:r w:rsidR="00EE18C8">
        <w:rPr>
          <w:noProof/>
        </w:rPr>
        <w:t>19</w:t>
      </w:r>
      <w:r>
        <w:fldChar w:fldCharType="end"/>
      </w:r>
      <w:r w:rsidRPr="00873ADA">
        <w:t xml:space="preserve"> </w:t>
      </w:r>
      <w:r>
        <w:t>includes a list of the care activities for medical conditions that would usually be undertaken by staff with nursing training. In some circumstances personal care workers will undertake these tasks under the guidance of trained nursing staff and/or following a prescribed protocol. If this is the case the care worker carrying out the task should capture the time taken against the appropriate activity type.</w:t>
      </w:r>
    </w:p>
    <w:p w14:paraId="52360FC0" w14:textId="77777777" w:rsidR="00184F60" w:rsidRPr="00D07E77" w:rsidRDefault="00184F60" w:rsidP="00F16ECA">
      <w:pPr>
        <w:pStyle w:val="Caption"/>
        <w:keepNext/>
        <w:spacing w:before="240"/>
      </w:pPr>
      <w:bookmarkStart w:id="174" w:name="_Ref506744368"/>
      <w:bookmarkStart w:id="175" w:name="_Toc2065681"/>
      <w:r w:rsidRPr="00D07E77">
        <w:t xml:space="preserve">Table </w:t>
      </w:r>
      <w:r w:rsidR="00A9029A" w:rsidRPr="00D07E77">
        <w:rPr>
          <w:noProof/>
        </w:rPr>
        <w:fldChar w:fldCharType="begin"/>
      </w:r>
      <w:r w:rsidR="00A9029A" w:rsidRPr="00D07E77">
        <w:rPr>
          <w:noProof/>
        </w:rPr>
        <w:instrText xml:space="preserve"> SEQ Table \* ARABIC </w:instrText>
      </w:r>
      <w:r w:rsidR="00A9029A" w:rsidRPr="00D07E77">
        <w:rPr>
          <w:noProof/>
        </w:rPr>
        <w:fldChar w:fldCharType="separate"/>
      </w:r>
      <w:r w:rsidR="00EE18C8" w:rsidRPr="00D07E77">
        <w:rPr>
          <w:noProof/>
        </w:rPr>
        <w:t>19</w:t>
      </w:r>
      <w:r w:rsidR="00A9029A" w:rsidRPr="00D07E77">
        <w:rPr>
          <w:noProof/>
        </w:rPr>
        <w:fldChar w:fldCharType="end"/>
      </w:r>
      <w:bookmarkEnd w:id="174"/>
      <w:r w:rsidR="00F16ECA" w:rsidRPr="00D07E77">
        <w:rPr>
          <w:noProof/>
        </w:rPr>
        <w:tab/>
      </w:r>
      <w:r w:rsidRPr="00D07E77">
        <w:t>Individual nursing care activities</w:t>
      </w:r>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nursing care activities"/>
        <w:tblDescription w:val="Table 19 provides list of the care activities for medical conditions that would usually be undertaken by staff with nursing training. This table should be read as a series of rows from left to right ('Technical nursing care item' then 'description of examples')."/>
      </w:tblPr>
      <w:tblGrid>
        <w:gridCol w:w="2547"/>
        <w:gridCol w:w="6469"/>
      </w:tblGrid>
      <w:tr w:rsidR="00184F60" w:rsidRPr="00534F50" w14:paraId="499B23F0" w14:textId="77777777" w:rsidTr="00E67BD0">
        <w:trPr>
          <w:tblHeader/>
        </w:trPr>
        <w:tc>
          <w:tcPr>
            <w:tcW w:w="2547" w:type="dxa"/>
            <w:shd w:val="clear" w:color="auto" w:fill="D9D9D9" w:themeFill="background1" w:themeFillShade="D9"/>
          </w:tcPr>
          <w:p w14:paraId="7F0724CB" w14:textId="77777777" w:rsidR="00184F60" w:rsidRPr="00534F50" w:rsidRDefault="00184F60" w:rsidP="00E67BD0">
            <w:pPr>
              <w:spacing w:before="40" w:after="40"/>
              <w:rPr>
                <w:rFonts w:eastAsia="Calibri"/>
                <w:b/>
                <w:sz w:val="20"/>
                <w:szCs w:val="20"/>
              </w:rPr>
            </w:pPr>
            <w:r w:rsidRPr="00534F50">
              <w:rPr>
                <w:rFonts w:eastAsia="Calibri"/>
                <w:b/>
                <w:sz w:val="20"/>
                <w:szCs w:val="20"/>
              </w:rPr>
              <w:t xml:space="preserve">Technical nursing care </w:t>
            </w:r>
          </w:p>
        </w:tc>
        <w:tc>
          <w:tcPr>
            <w:tcW w:w="6469" w:type="dxa"/>
            <w:shd w:val="clear" w:color="auto" w:fill="D9D9D9" w:themeFill="background1" w:themeFillShade="D9"/>
          </w:tcPr>
          <w:p w14:paraId="501B7D1A" w14:textId="77777777" w:rsidR="00184F60" w:rsidRPr="00534F50" w:rsidRDefault="00184F60" w:rsidP="00E67BD0">
            <w:pPr>
              <w:spacing w:before="40" w:after="40"/>
              <w:rPr>
                <w:rFonts w:eastAsia="Calibri"/>
                <w:b/>
                <w:sz w:val="20"/>
                <w:szCs w:val="20"/>
              </w:rPr>
            </w:pPr>
            <w:r w:rsidRPr="00534F50">
              <w:rPr>
                <w:rFonts w:eastAsia="Calibri"/>
                <w:b/>
                <w:sz w:val="20"/>
                <w:szCs w:val="20"/>
              </w:rPr>
              <w:t>Description of examples</w:t>
            </w:r>
          </w:p>
        </w:tc>
      </w:tr>
      <w:tr w:rsidR="00184F60" w:rsidRPr="00534F50" w14:paraId="2A64C5E5" w14:textId="77777777" w:rsidTr="00350D10">
        <w:tc>
          <w:tcPr>
            <w:tcW w:w="2547" w:type="dxa"/>
            <w:shd w:val="clear" w:color="auto" w:fill="auto"/>
          </w:tcPr>
          <w:p w14:paraId="5FBE91B1" w14:textId="77777777" w:rsidR="00184F60" w:rsidRPr="00534F50" w:rsidRDefault="00184F60" w:rsidP="00E67BD0">
            <w:pPr>
              <w:spacing w:before="40" w:after="40"/>
              <w:rPr>
                <w:rFonts w:eastAsia="Calibri"/>
                <w:sz w:val="20"/>
                <w:szCs w:val="20"/>
              </w:rPr>
            </w:pPr>
            <w:r w:rsidRPr="00534F50">
              <w:rPr>
                <w:rFonts w:eastAsia="Calibri"/>
                <w:sz w:val="20"/>
                <w:szCs w:val="20"/>
              </w:rPr>
              <w:t>Oxygen</w:t>
            </w:r>
          </w:p>
        </w:tc>
        <w:tc>
          <w:tcPr>
            <w:tcW w:w="6469" w:type="dxa"/>
            <w:shd w:val="clear" w:color="auto" w:fill="auto"/>
          </w:tcPr>
          <w:p w14:paraId="2CE81589" w14:textId="34E3F8B2" w:rsidR="00184F60" w:rsidRPr="00534F50" w:rsidRDefault="00184F60" w:rsidP="00E67BD0">
            <w:pPr>
              <w:spacing w:before="40" w:after="40"/>
              <w:rPr>
                <w:rFonts w:eastAsia="Calibri"/>
                <w:sz w:val="20"/>
                <w:szCs w:val="20"/>
              </w:rPr>
            </w:pPr>
            <w:r w:rsidRPr="00534F50">
              <w:rPr>
                <w:rFonts w:eastAsia="Calibri"/>
                <w:sz w:val="20"/>
                <w:szCs w:val="20"/>
              </w:rPr>
              <w:t>Monitor</w:t>
            </w:r>
            <w:r w:rsidR="00D07E77">
              <w:rPr>
                <w:rFonts w:eastAsia="Calibri"/>
                <w:sz w:val="20"/>
                <w:szCs w:val="20"/>
              </w:rPr>
              <w:t>ing usage and supply of oxygen.</w:t>
            </w:r>
          </w:p>
          <w:p w14:paraId="5E8EE144" w14:textId="77777777" w:rsidR="00184F60" w:rsidRPr="00534F50" w:rsidRDefault="00184F60" w:rsidP="00E67BD0">
            <w:pPr>
              <w:spacing w:before="40" w:after="40"/>
              <w:rPr>
                <w:rFonts w:eastAsia="Calibri"/>
                <w:sz w:val="20"/>
                <w:szCs w:val="20"/>
              </w:rPr>
            </w:pPr>
            <w:r w:rsidRPr="00534F50">
              <w:rPr>
                <w:rFonts w:eastAsia="Calibri"/>
                <w:sz w:val="20"/>
                <w:szCs w:val="20"/>
              </w:rPr>
              <w:t>Maintaining airways (suctioning).</w:t>
            </w:r>
          </w:p>
        </w:tc>
      </w:tr>
      <w:tr w:rsidR="00184F60" w:rsidRPr="00534F50" w14:paraId="40296EA3" w14:textId="77777777" w:rsidTr="00350D10">
        <w:tc>
          <w:tcPr>
            <w:tcW w:w="2547" w:type="dxa"/>
            <w:shd w:val="clear" w:color="auto" w:fill="auto"/>
          </w:tcPr>
          <w:p w14:paraId="7708B403" w14:textId="77777777" w:rsidR="00184F60" w:rsidRPr="00534F50" w:rsidRDefault="00184F60" w:rsidP="00E67BD0">
            <w:pPr>
              <w:spacing w:before="40" w:after="40"/>
              <w:rPr>
                <w:rFonts w:eastAsia="Calibri"/>
                <w:sz w:val="20"/>
                <w:szCs w:val="20"/>
              </w:rPr>
            </w:pPr>
            <w:r w:rsidRPr="00534F50">
              <w:rPr>
                <w:rFonts w:eastAsia="Calibri"/>
                <w:sz w:val="20"/>
                <w:szCs w:val="20"/>
              </w:rPr>
              <w:t>Enteral feeding</w:t>
            </w:r>
          </w:p>
        </w:tc>
        <w:tc>
          <w:tcPr>
            <w:tcW w:w="6469" w:type="dxa"/>
            <w:shd w:val="clear" w:color="auto" w:fill="auto"/>
          </w:tcPr>
          <w:p w14:paraId="23EEBE6B" w14:textId="72BFE15C" w:rsidR="00184F60" w:rsidRPr="00534F50" w:rsidRDefault="00184F60" w:rsidP="00E67BD0">
            <w:pPr>
              <w:spacing w:before="40" w:after="40"/>
              <w:rPr>
                <w:rFonts w:eastAsia="Calibri"/>
                <w:sz w:val="20"/>
                <w:szCs w:val="20"/>
              </w:rPr>
            </w:pPr>
            <w:r w:rsidRPr="00534F50">
              <w:rPr>
                <w:rFonts w:eastAsia="Calibri"/>
                <w:sz w:val="20"/>
                <w:szCs w:val="20"/>
              </w:rPr>
              <w:t>Care of the stoma for</w:t>
            </w:r>
            <w:r w:rsidRPr="00534F50">
              <w:rPr>
                <w:sz w:val="20"/>
                <w:szCs w:val="20"/>
              </w:rPr>
              <w:t xml:space="preserve"> </w:t>
            </w:r>
            <w:r w:rsidR="00D07E77">
              <w:rPr>
                <w:rFonts w:eastAsia="Calibri"/>
                <w:sz w:val="20"/>
                <w:szCs w:val="20"/>
              </w:rPr>
              <w:t>PEG tubes and J tubes.</w:t>
            </w:r>
          </w:p>
          <w:p w14:paraId="190BD4EF" w14:textId="77777777" w:rsidR="00184F60" w:rsidRPr="00534F50" w:rsidRDefault="00184F60" w:rsidP="00E67BD0">
            <w:pPr>
              <w:spacing w:before="40" w:after="40"/>
              <w:rPr>
                <w:rFonts w:eastAsia="Calibri"/>
                <w:sz w:val="20"/>
                <w:szCs w:val="20"/>
              </w:rPr>
            </w:pPr>
            <w:r w:rsidRPr="00534F50">
              <w:rPr>
                <w:rFonts w:eastAsia="Calibri"/>
                <w:sz w:val="20"/>
                <w:szCs w:val="20"/>
              </w:rPr>
              <w:t>Ensuring the feeding tube flows freely.</w:t>
            </w:r>
          </w:p>
          <w:p w14:paraId="75F481EE" w14:textId="77777777" w:rsidR="00184F60" w:rsidRPr="00534F50" w:rsidRDefault="00184F60" w:rsidP="00E67BD0">
            <w:pPr>
              <w:spacing w:before="40" w:after="40"/>
              <w:rPr>
                <w:rFonts w:eastAsia="Calibri"/>
                <w:sz w:val="20"/>
                <w:szCs w:val="20"/>
              </w:rPr>
            </w:pPr>
            <w:r w:rsidRPr="00534F50">
              <w:rPr>
                <w:rFonts w:eastAsia="Calibri"/>
                <w:sz w:val="20"/>
                <w:szCs w:val="20"/>
              </w:rPr>
              <w:t>Monitoring of hydration and bowel movements.</w:t>
            </w:r>
          </w:p>
        </w:tc>
      </w:tr>
      <w:tr w:rsidR="00184F60" w:rsidRPr="00534F50" w14:paraId="3430F228" w14:textId="77777777" w:rsidTr="00350D10">
        <w:tc>
          <w:tcPr>
            <w:tcW w:w="2547" w:type="dxa"/>
            <w:shd w:val="clear" w:color="auto" w:fill="auto"/>
          </w:tcPr>
          <w:p w14:paraId="108641B4" w14:textId="77777777" w:rsidR="00184F60" w:rsidRPr="00534F50" w:rsidRDefault="00184F60" w:rsidP="00E67BD0">
            <w:pPr>
              <w:spacing w:before="40" w:after="40"/>
              <w:rPr>
                <w:rFonts w:eastAsia="Calibri"/>
                <w:sz w:val="20"/>
                <w:szCs w:val="20"/>
              </w:rPr>
            </w:pPr>
            <w:r w:rsidRPr="00534F50">
              <w:rPr>
                <w:rFonts w:eastAsia="Calibri"/>
                <w:sz w:val="20"/>
                <w:szCs w:val="20"/>
              </w:rPr>
              <w:t>Tracheostomy care</w:t>
            </w:r>
          </w:p>
        </w:tc>
        <w:tc>
          <w:tcPr>
            <w:tcW w:w="6469" w:type="dxa"/>
            <w:shd w:val="clear" w:color="auto" w:fill="auto"/>
          </w:tcPr>
          <w:p w14:paraId="09934BBE" w14:textId="77777777" w:rsidR="00184F60" w:rsidRPr="00534F50" w:rsidRDefault="00184F60" w:rsidP="00E67BD0">
            <w:pPr>
              <w:spacing w:before="40" w:after="40"/>
              <w:rPr>
                <w:rFonts w:eastAsia="Calibri"/>
                <w:sz w:val="20"/>
                <w:szCs w:val="20"/>
              </w:rPr>
            </w:pPr>
            <w:r w:rsidRPr="00534F50">
              <w:rPr>
                <w:rFonts w:eastAsia="Calibri"/>
                <w:sz w:val="20"/>
                <w:szCs w:val="20"/>
              </w:rPr>
              <w:t>Care of the stoma, keeping it clean and removing discharge or mucous to reduce risk of infection.</w:t>
            </w:r>
          </w:p>
          <w:p w14:paraId="72CD7816" w14:textId="77777777" w:rsidR="00184F60" w:rsidRPr="00534F50" w:rsidRDefault="00184F60" w:rsidP="00E67BD0">
            <w:pPr>
              <w:spacing w:before="40" w:after="40"/>
              <w:rPr>
                <w:rFonts w:eastAsia="Calibri"/>
                <w:sz w:val="20"/>
                <w:szCs w:val="20"/>
              </w:rPr>
            </w:pPr>
            <w:r w:rsidRPr="00534F50">
              <w:rPr>
                <w:rFonts w:eastAsia="Calibri"/>
                <w:sz w:val="20"/>
                <w:szCs w:val="20"/>
              </w:rPr>
              <w:t>Maintaining skin integrity around the stoma and under the tape.</w:t>
            </w:r>
          </w:p>
          <w:p w14:paraId="4F84C972" w14:textId="77777777" w:rsidR="00184F60" w:rsidRPr="00534F50" w:rsidRDefault="00184F60" w:rsidP="00E67BD0">
            <w:pPr>
              <w:spacing w:before="40" w:after="40"/>
              <w:rPr>
                <w:rFonts w:eastAsia="Calibri"/>
                <w:sz w:val="20"/>
                <w:szCs w:val="20"/>
              </w:rPr>
            </w:pPr>
            <w:r w:rsidRPr="00534F50">
              <w:rPr>
                <w:rFonts w:eastAsia="Calibri"/>
                <w:sz w:val="20"/>
                <w:szCs w:val="20"/>
              </w:rPr>
              <w:t>Ensuring the tube is correctly positioned and secured and free of obstruction.</w:t>
            </w:r>
          </w:p>
        </w:tc>
      </w:tr>
      <w:tr w:rsidR="00184F60" w:rsidRPr="00534F50" w14:paraId="11231BA3" w14:textId="77777777" w:rsidTr="00350D10">
        <w:tc>
          <w:tcPr>
            <w:tcW w:w="2547" w:type="dxa"/>
            <w:shd w:val="clear" w:color="auto" w:fill="auto"/>
          </w:tcPr>
          <w:p w14:paraId="54C6B6E8" w14:textId="77777777" w:rsidR="00184F60" w:rsidRPr="00534F50" w:rsidRDefault="00184F60" w:rsidP="00E67BD0">
            <w:pPr>
              <w:spacing w:before="40" w:after="40"/>
              <w:rPr>
                <w:rFonts w:eastAsia="Calibri"/>
                <w:sz w:val="20"/>
                <w:szCs w:val="20"/>
              </w:rPr>
            </w:pPr>
            <w:r w:rsidRPr="00534F50">
              <w:rPr>
                <w:rFonts w:eastAsia="Calibri"/>
                <w:sz w:val="20"/>
                <w:szCs w:val="20"/>
              </w:rPr>
              <w:t>Catheter care</w:t>
            </w:r>
          </w:p>
        </w:tc>
        <w:tc>
          <w:tcPr>
            <w:tcW w:w="6469" w:type="dxa"/>
            <w:shd w:val="clear" w:color="auto" w:fill="auto"/>
          </w:tcPr>
          <w:p w14:paraId="6663BBF8" w14:textId="77777777" w:rsidR="00184F60" w:rsidRPr="00534F50" w:rsidRDefault="00184F60" w:rsidP="00E67BD0">
            <w:pPr>
              <w:spacing w:before="40" w:after="40"/>
              <w:rPr>
                <w:rFonts w:eastAsia="Calibri"/>
                <w:sz w:val="20"/>
                <w:szCs w:val="20"/>
              </w:rPr>
            </w:pPr>
            <w:r w:rsidRPr="00534F50">
              <w:rPr>
                <w:rFonts w:eastAsia="Calibri"/>
                <w:sz w:val="20"/>
                <w:szCs w:val="20"/>
              </w:rPr>
              <w:t>Ensuring urine is flowing freely (no kinks or blockages in tubing).</w:t>
            </w:r>
          </w:p>
          <w:p w14:paraId="1B2F0332" w14:textId="77777777" w:rsidR="00184F60" w:rsidRPr="00534F50" w:rsidRDefault="00184F60" w:rsidP="00E67BD0">
            <w:pPr>
              <w:spacing w:before="40" w:after="40"/>
              <w:rPr>
                <w:rFonts w:eastAsia="Calibri"/>
                <w:sz w:val="20"/>
                <w:szCs w:val="20"/>
              </w:rPr>
            </w:pPr>
            <w:r w:rsidRPr="00534F50">
              <w:rPr>
                <w:rFonts w:eastAsia="Calibri"/>
                <w:sz w:val="20"/>
                <w:szCs w:val="20"/>
              </w:rPr>
              <w:t>Maintaining catheter hygiene.</w:t>
            </w:r>
          </w:p>
          <w:p w14:paraId="759A506E" w14:textId="77777777" w:rsidR="00184F60" w:rsidRPr="00534F50" w:rsidRDefault="00184F60" w:rsidP="00E67BD0">
            <w:pPr>
              <w:spacing w:before="40" w:after="40"/>
              <w:rPr>
                <w:rFonts w:eastAsia="Calibri"/>
                <w:sz w:val="20"/>
                <w:szCs w:val="20"/>
              </w:rPr>
            </w:pPr>
            <w:r w:rsidRPr="00534F50">
              <w:rPr>
                <w:rFonts w:eastAsia="Calibri"/>
                <w:sz w:val="20"/>
                <w:szCs w:val="20"/>
              </w:rPr>
              <w:t>Changing the catheter.</w:t>
            </w:r>
          </w:p>
          <w:p w14:paraId="3C0C7FCD" w14:textId="77777777" w:rsidR="00184F60" w:rsidRPr="00534F50" w:rsidRDefault="00184F60" w:rsidP="00E67BD0">
            <w:pPr>
              <w:spacing w:before="40" w:after="40"/>
              <w:rPr>
                <w:rFonts w:eastAsia="Calibri"/>
                <w:sz w:val="20"/>
                <w:szCs w:val="20"/>
              </w:rPr>
            </w:pPr>
            <w:r w:rsidRPr="00534F50">
              <w:rPr>
                <w:rFonts w:eastAsia="Calibri"/>
                <w:sz w:val="20"/>
                <w:szCs w:val="20"/>
              </w:rPr>
              <w:t>Securing catheter to prevent pulling, breaking and blockage.</w:t>
            </w:r>
          </w:p>
          <w:p w14:paraId="468FAE6B" w14:textId="77777777" w:rsidR="00184F60" w:rsidRPr="00534F50" w:rsidRDefault="00184F60" w:rsidP="00E67BD0">
            <w:pPr>
              <w:spacing w:before="40" w:after="40"/>
              <w:rPr>
                <w:rFonts w:eastAsia="Calibri"/>
                <w:sz w:val="20"/>
                <w:szCs w:val="20"/>
              </w:rPr>
            </w:pPr>
            <w:r w:rsidRPr="00534F50">
              <w:rPr>
                <w:rFonts w:eastAsia="Calibri"/>
                <w:sz w:val="20"/>
                <w:szCs w:val="20"/>
              </w:rPr>
              <w:t>Care of the stoma for suprapubic catheters.</w:t>
            </w:r>
          </w:p>
        </w:tc>
      </w:tr>
      <w:tr w:rsidR="00184F60" w:rsidRPr="00534F50" w14:paraId="0A4A8ECC" w14:textId="77777777" w:rsidTr="00350D10">
        <w:tc>
          <w:tcPr>
            <w:tcW w:w="2547" w:type="dxa"/>
            <w:shd w:val="clear" w:color="auto" w:fill="auto"/>
          </w:tcPr>
          <w:p w14:paraId="0AE7EAC0" w14:textId="77777777" w:rsidR="00184F60" w:rsidRPr="00534F50" w:rsidRDefault="00184F60" w:rsidP="00E67BD0">
            <w:pPr>
              <w:spacing w:before="40" w:after="40"/>
              <w:rPr>
                <w:rFonts w:eastAsia="Calibri"/>
                <w:sz w:val="20"/>
                <w:szCs w:val="20"/>
              </w:rPr>
            </w:pPr>
            <w:r w:rsidRPr="00534F50">
              <w:rPr>
                <w:rFonts w:eastAsia="Calibri"/>
                <w:sz w:val="20"/>
                <w:szCs w:val="20"/>
              </w:rPr>
              <w:t>Stoma care</w:t>
            </w:r>
          </w:p>
        </w:tc>
        <w:tc>
          <w:tcPr>
            <w:tcW w:w="6469" w:type="dxa"/>
            <w:shd w:val="clear" w:color="auto" w:fill="auto"/>
          </w:tcPr>
          <w:p w14:paraId="7E257381" w14:textId="77777777" w:rsidR="00184F60" w:rsidRPr="00534F50" w:rsidRDefault="00184F60" w:rsidP="00E67BD0">
            <w:pPr>
              <w:spacing w:before="40" w:after="40"/>
              <w:rPr>
                <w:rFonts w:eastAsia="Calibri"/>
                <w:sz w:val="20"/>
                <w:szCs w:val="20"/>
              </w:rPr>
            </w:pPr>
            <w:r w:rsidRPr="00534F50">
              <w:rPr>
                <w:rFonts w:eastAsia="Calibri"/>
                <w:sz w:val="20"/>
                <w:szCs w:val="20"/>
              </w:rPr>
              <w:t>Checking and maintaining skin integrity around the stoma.</w:t>
            </w:r>
          </w:p>
          <w:p w14:paraId="7DCD1F0F" w14:textId="77777777" w:rsidR="00184F60" w:rsidRPr="00534F50" w:rsidRDefault="00184F60" w:rsidP="00E67BD0">
            <w:pPr>
              <w:spacing w:before="40" w:after="40"/>
              <w:rPr>
                <w:rFonts w:eastAsia="Calibri"/>
                <w:sz w:val="20"/>
                <w:szCs w:val="20"/>
              </w:rPr>
            </w:pPr>
            <w:r w:rsidRPr="00534F50">
              <w:rPr>
                <w:rFonts w:eastAsia="Calibri"/>
                <w:sz w:val="20"/>
                <w:szCs w:val="20"/>
              </w:rPr>
              <w:t>Keeping the stoma area clean and dry.</w:t>
            </w:r>
          </w:p>
          <w:p w14:paraId="412D84C0" w14:textId="77777777" w:rsidR="00184F60" w:rsidRPr="00534F50" w:rsidRDefault="00184F60" w:rsidP="00E67BD0">
            <w:pPr>
              <w:spacing w:before="40" w:after="40"/>
              <w:rPr>
                <w:rFonts w:eastAsia="Calibri"/>
                <w:sz w:val="20"/>
                <w:szCs w:val="20"/>
              </w:rPr>
            </w:pPr>
            <w:r w:rsidRPr="00534F50">
              <w:rPr>
                <w:rFonts w:eastAsia="Calibri"/>
                <w:sz w:val="20"/>
                <w:szCs w:val="20"/>
              </w:rPr>
              <w:t>Ensuring that the appropriate sized bag has been fitted to reduce the risk of leakage and skin integrity issues.</w:t>
            </w:r>
          </w:p>
        </w:tc>
      </w:tr>
      <w:tr w:rsidR="00184F60" w:rsidRPr="00534F50" w14:paraId="0149181C" w14:textId="77777777" w:rsidTr="00350D10">
        <w:tc>
          <w:tcPr>
            <w:tcW w:w="2547" w:type="dxa"/>
            <w:shd w:val="clear" w:color="auto" w:fill="auto"/>
          </w:tcPr>
          <w:p w14:paraId="6954E1CD" w14:textId="77777777" w:rsidR="00184F60" w:rsidRPr="00534F50" w:rsidRDefault="00184F60" w:rsidP="00E67BD0">
            <w:pPr>
              <w:spacing w:before="40" w:after="40"/>
              <w:rPr>
                <w:rFonts w:eastAsia="Calibri"/>
                <w:sz w:val="20"/>
                <w:szCs w:val="20"/>
              </w:rPr>
            </w:pPr>
            <w:r w:rsidRPr="00534F50">
              <w:rPr>
                <w:rFonts w:eastAsia="Calibri"/>
                <w:sz w:val="20"/>
                <w:szCs w:val="20"/>
              </w:rPr>
              <w:t>Peritoneal dialysis</w:t>
            </w:r>
          </w:p>
        </w:tc>
        <w:tc>
          <w:tcPr>
            <w:tcW w:w="6469" w:type="dxa"/>
            <w:shd w:val="clear" w:color="auto" w:fill="auto"/>
          </w:tcPr>
          <w:p w14:paraId="7867706D" w14:textId="00AA90B4" w:rsidR="00184F60" w:rsidRPr="00534F50" w:rsidRDefault="00184F60" w:rsidP="00E67BD0">
            <w:pPr>
              <w:spacing w:before="40" w:after="40"/>
              <w:rPr>
                <w:rFonts w:eastAsia="Calibri"/>
                <w:sz w:val="20"/>
                <w:szCs w:val="20"/>
              </w:rPr>
            </w:pPr>
            <w:r w:rsidRPr="00534F50">
              <w:rPr>
                <w:rFonts w:eastAsia="Calibri"/>
                <w:sz w:val="20"/>
                <w:szCs w:val="20"/>
              </w:rPr>
              <w:t>Taking regular observations (tempe</w:t>
            </w:r>
            <w:r w:rsidR="00D07E77">
              <w:rPr>
                <w:rFonts w:eastAsia="Calibri"/>
                <w:sz w:val="20"/>
                <w:szCs w:val="20"/>
              </w:rPr>
              <w:t>rature, pulse, blood pressure).</w:t>
            </w:r>
          </w:p>
          <w:p w14:paraId="33510893" w14:textId="48D9C6E8" w:rsidR="00184F60" w:rsidRPr="00534F50" w:rsidRDefault="00184F60" w:rsidP="00E67BD0">
            <w:pPr>
              <w:spacing w:before="40" w:after="40"/>
              <w:rPr>
                <w:rFonts w:eastAsia="Calibri"/>
                <w:sz w:val="20"/>
                <w:szCs w:val="20"/>
              </w:rPr>
            </w:pPr>
            <w:r w:rsidRPr="00534F50">
              <w:rPr>
                <w:rFonts w:eastAsia="Calibri"/>
                <w:sz w:val="20"/>
                <w:szCs w:val="20"/>
              </w:rPr>
              <w:t>Me</w:t>
            </w:r>
            <w:r w:rsidR="00D07E77">
              <w:rPr>
                <w:rFonts w:eastAsia="Calibri"/>
                <w:sz w:val="20"/>
                <w:szCs w:val="20"/>
              </w:rPr>
              <w:t>asuring weight and girth daily.</w:t>
            </w:r>
          </w:p>
          <w:p w14:paraId="46C2B65C" w14:textId="398F1849" w:rsidR="00184F60" w:rsidRPr="00534F50" w:rsidRDefault="00184F60" w:rsidP="00E67BD0">
            <w:pPr>
              <w:spacing w:before="40" w:after="40"/>
              <w:rPr>
                <w:rFonts w:eastAsia="Calibri"/>
                <w:sz w:val="20"/>
                <w:szCs w:val="20"/>
              </w:rPr>
            </w:pPr>
            <w:r w:rsidRPr="00534F50">
              <w:rPr>
                <w:rFonts w:eastAsia="Calibri"/>
                <w:sz w:val="20"/>
                <w:szCs w:val="20"/>
              </w:rPr>
              <w:t>Monitoring hydration and nutriti</w:t>
            </w:r>
            <w:r w:rsidR="00D07E77">
              <w:rPr>
                <w:rFonts w:eastAsia="Calibri"/>
                <w:sz w:val="20"/>
                <w:szCs w:val="20"/>
              </w:rPr>
              <w:t>onal intake and urinary output.</w:t>
            </w:r>
          </w:p>
          <w:p w14:paraId="36DAC1C9" w14:textId="77777777" w:rsidR="00184F60" w:rsidRPr="00534F50" w:rsidRDefault="00184F60" w:rsidP="00E67BD0">
            <w:pPr>
              <w:spacing w:before="40" w:after="40"/>
              <w:rPr>
                <w:rFonts w:eastAsia="Calibri"/>
                <w:sz w:val="20"/>
                <w:szCs w:val="20"/>
              </w:rPr>
            </w:pPr>
            <w:r w:rsidRPr="00534F50">
              <w:rPr>
                <w:rFonts w:eastAsia="Calibri"/>
                <w:sz w:val="20"/>
                <w:szCs w:val="20"/>
              </w:rPr>
              <w:t>Undertaking daily urinalysis.</w:t>
            </w:r>
          </w:p>
        </w:tc>
      </w:tr>
      <w:tr w:rsidR="00184F60" w:rsidRPr="00534F50" w14:paraId="2CF3FA98" w14:textId="77777777" w:rsidTr="00350D10">
        <w:tc>
          <w:tcPr>
            <w:tcW w:w="2547" w:type="dxa"/>
            <w:shd w:val="clear" w:color="auto" w:fill="auto"/>
          </w:tcPr>
          <w:p w14:paraId="6C2EA6B6" w14:textId="77777777" w:rsidR="00184F60" w:rsidRPr="00534F50" w:rsidRDefault="00184F60" w:rsidP="00E67BD0">
            <w:pPr>
              <w:spacing w:before="40" w:after="40"/>
              <w:rPr>
                <w:rFonts w:eastAsia="Calibri"/>
                <w:sz w:val="20"/>
                <w:szCs w:val="20"/>
              </w:rPr>
            </w:pPr>
            <w:r w:rsidRPr="00534F50">
              <w:rPr>
                <w:rFonts w:eastAsia="Calibri"/>
                <w:sz w:val="20"/>
                <w:szCs w:val="20"/>
              </w:rPr>
              <w:t>Daily injections</w:t>
            </w:r>
          </w:p>
        </w:tc>
        <w:tc>
          <w:tcPr>
            <w:tcW w:w="6469" w:type="dxa"/>
            <w:shd w:val="clear" w:color="auto" w:fill="auto"/>
          </w:tcPr>
          <w:p w14:paraId="54BE8B54" w14:textId="09CDA438" w:rsidR="00184F60" w:rsidRPr="00534F50" w:rsidRDefault="00184F60" w:rsidP="00E67BD0">
            <w:pPr>
              <w:spacing w:before="40" w:after="40"/>
              <w:rPr>
                <w:rFonts w:eastAsia="Calibri"/>
                <w:sz w:val="20"/>
                <w:szCs w:val="20"/>
              </w:rPr>
            </w:pPr>
            <w:r w:rsidRPr="00534F50">
              <w:rPr>
                <w:rFonts w:eastAsia="Calibri"/>
                <w:sz w:val="20"/>
                <w:szCs w:val="20"/>
              </w:rPr>
              <w:t>Depending on medication may require one or two staff to check medication and oversee administration. Monitor injection site/s and re-site if appropriate. Monitor the resident t</w:t>
            </w:r>
            <w:r w:rsidR="00D07E77">
              <w:rPr>
                <w:rFonts w:eastAsia="Calibri"/>
                <w:sz w:val="20"/>
                <w:szCs w:val="20"/>
              </w:rPr>
              <w:t>o detect any adverse reactions.</w:t>
            </w:r>
          </w:p>
        </w:tc>
      </w:tr>
      <w:tr w:rsidR="00184F60" w:rsidRPr="00534F50" w14:paraId="3E8EEF4D" w14:textId="77777777" w:rsidTr="00350D10">
        <w:tc>
          <w:tcPr>
            <w:tcW w:w="2547" w:type="dxa"/>
            <w:shd w:val="clear" w:color="auto" w:fill="auto"/>
          </w:tcPr>
          <w:p w14:paraId="26E17455" w14:textId="77777777" w:rsidR="00184F60" w:rsidRPr="00534F50" w:rsidRDefault="00184F60" w:rsidP="00E67BD0">
            <w:pPr>
              <w:spacing w:before="40" w:after="40"/>
              <w:rPr>
                <w:rFonts w:eastAsia="Calibri"/>
                <w:sz w:val="20"/>
                <w:szCs w:val="20"/>
              </w:rPr>
            </w:pPr>
            <w:r w:rsidRPr="00534F50">
              <w:rPr>
                <w:rFonts w:eastAsia="Calibri"/>
                <w:sz w:val="20"/>
                <w:szCs w:val="20"/>
              </w:rPr>
              <w:lastRenderedPageBreak/>
              <w:t>Complex wound management</w:t>
            </w:r>
          </w:p>
        </w:tc>
        <w:tc>
          <w:tcPr>
            <w:tcW w:w="6469" w:type="dxa"/>
            <w:shd w:val="clear" w:color="auto" w:fill="auto"/>
          </w:tcPr>
          <w:p w14:paraId="3238B5EC" w14:textId="77777777" w:rsidR="00184F60" w:rsidRPr="00534F50" w:rsidRDefault="00184F60" w:rsidP="00E67BD0">
            <w:pPr>
              <w:spacing w:before="40" w:after="40"/>
              <w:rPr>
                <w:rFonts w:eastAsia="Calibri"/>
                <w:sz w:val="20"/>
                <w:szCs w:val="20"/>
              </w:rPr>
            </w:pPr>
            <w:r w:rsidRPr="00534F50">
              <w:rPr>
                <w:rFonts w:eastAsia="Calibri"/>
                <w:sz w:val="20"/>
                <w:szCs w:val="20"/>
              </w:rPr>
              <w:t>Management of a wound/s that is/are slow to heal due to exudate, comorbidities,</w:t>
            </w:r>
            <w:r w:rsidRPr="00534F50">
              <w:rPr>
                <w:sz w:val="20"/>
                <w:szCs w:val="20"/>
              </w:rPr>
              <w:t xml:space="preserve"> </w:t>
            </w:r>
            <w:r w:rsidRPr="00534F50">
              <w:rPr>
                <w:rFonts w:eastAsia="Calibri"/>
                <w:sz w:val="20"/>
                <w:szCs w:val="20"/>
              </w:rPr>
              <w:t>infection or polypharmacy.</w:t>
            </w:r>
          </w:p>
          <w:p w14:paraId="44A7FECB" w14:textId="77777777" w:rsidR="00184F60" w:rsidRPr="00534F50" w:rsidRDefault="00184F60" w:rsidP="00E67BD0">
            <w:pPr>
              <w:spacing w:before="40" w:after="40"/>
              <w:rPr>
                <w:rFonts w:eastAsia="Calibri"/>
                <w:sz w:val="20"/>
                <w:szCs w:val="20"/>
              </w:rPr>
            </w:pPr>
            <w:r w:rsidRPr="00534F50">
              <w:rPr>
                <w:rFonts w:eastAsia="Calibri"/>
                <w:sz w:val="20"/>
                <w:szCs w:val="20"/>
              </w:rPr>
              <w:t>Provision of frequent wound care and additional monitoring of skin integrity for complex wounds.</w:t>
            </w:r>
          </w:p>
          <w:p w14:paraId="7BE68656" w14:textId="77777777" w:rsidR="00184F60" w:rsidRPr="00534F50" w:rsidRDefault="00184F60" w:rsidP="00E67BD0">
            <w:pPr>
              <w:spacing w:before="40" w:after="40"/>
              <w:rPr>
                <w:rFonts w:eastAsia="Calibri"/>
                <w:sz w:val="20"/>
                <w:szCs w:val="20"/>
              </w:rPr>
            </w:pPr>
            <w:r w:rsidRPr="00534F50">
              <w:rPr>
                <w:rFonts w:eastAsia="Calibri"/>
                <w:sz w:val="20"/>
                <w:szCs w:val="20"/>
              </w:rPr>
              <w:t>Use of protective dressings and frames to promote healing.</w:t>
            </w:r>
          </w:p>
          <w:p w14:paraId="55BC9437" w14:textId="77777777" w:rsidR="00184F60" w:rsidRPr="00534F50" w:rsidRDefault="00184F60" w:rsidP="00E67BD0">
            <w:pPr>
              <w:spacing w:before="40" w:after="40"/>
              <w:rPr>
                <w:rFonts w:eastAsia="Calibri"/>
                <w:sz w:val="20"/>
                <w:szCs w:val="20"/>
              </w:rPr>
            </w:pPr>
            <w:r w:rsidRPr="00534F50">
              <w:rPr>
                <w:rFonts w:eastAsia="Calibri"/>
                <w:sz w:val="20"/>
                <w:szCs w:val="20"/>
              </w:rPr>
              <w:t>Ensuing nutrition levels are maintained to promote skin health.</w:t>
            </w:r>
          </w:p>
        </w:tc>
      </w:tr>
    </w:tbl>
    <w:p w14:paraId="077ABA55" w14:textId="77777777" w:rsidR="00184F60" w:rsidRPr="007830F8" w:rsidRDefault="00184F60" w:rsidP="00237C47">
      <w:pPr>
        <w:spacing w:before="240"/>
      </w:pPr>
      <w:r w:rsidRPr="007830F8">
        <w:rPr>
          <w:b/>
        </w:rPr>
        <w:t>Shared activities where the staff time should not be captured</w:t>
      </w:r>
    </w:p>
    <w:p w14:paraId="0A4B0B6D" w14:textId="77777777" w:rsidR="00184F60" w:rsidRDefault="00184F60" w:rsidP="00184F60">
      <w:pPr>
        <w:spacing w:before="240"/>
      </w:pPr>
      <w:r>
        <w:fldChar w:fldCharType="begin"/>
      </w:r>
      <w:r>
        <w:instrText xml:space="preserve"> REF _Ref506744936 \h </w:instrText>
      </w:r>
      <w:r>
        <w:fldChar w:fldCharType="separate"/>
      </w:r>
      <w:r w:rsidR="00EE18C8">
        <w:t xml:space="preserve">Table </w:t>
      </w:r>
      <w:r w:rsidR="00EE18C8">
        <w:rPr>
          <w:noProof/>
        </w:rPr>
        <w:t>20</w:t>
      </w:r>
      <w:r>
        <w:fldChar w:fldCharType="end"/>
      </w:r>
      <w:r w:rsidRPr="00873ADA">
        <w:t xml:space="preserve"> </w:t>
      </w:r>
      <w:r>
        <w:t>includes a list of care activities that are considered shared care for the purposes of the RUCS. These activities are generally provided across the facility, are services that each resident has the opportunity to receive, or are the care management tasks that benefit every resident, however indirectly.</w:t>
      </w:r>
    </w:p>
    <w:p w14:paraId="7C01FF14" w14:textId="77777777" w:rsidR="00184F60" w:rsidRDefault="00184F60" w:rsidP="00184F60">
      <w:pPr>
        <w:pStyle w:val="Caption"/>
        <w:spacing w:before="240"/>
      </w:pPr>
      <w:bookmarkStart w:id="176" w:name="_Ref506744936"/>
      <w:bookmarkStart w:id="177" w:name="_Toc2065682"/>
      <w:r>
        <w:t xml:space="preserve">Table </w:t>
      </w:r>
      <w:r w:rsidR="00A9029A">
        <w:rPr>
          <w:noProof/>
        </w:rPr>
        <w:fldChar w:fldCharType="begin"/>
      </w:r>
      <w:r w:rsidR="00A9029A">
        <w:rPr>
          <w:noProof/>
        </w:rPr>
        <w:instrText xml:space="preserve"> SEQ Table \* ARABIC </w:instrText>
      </w:r>
      <w:r w:rsidR="00A9029A">
        <w:rPr>
          <w:noProof/>
        </w:rPr>
        <w:fldChar w:fldCharType="separate"/>
      </w:r>
      <w:r w:rsidR="00EE18C8">
        <w:rPr>
          <w:noProof/>
        </w:rPr>
        <w:t>20</w:t>
      </w:r>
      <w:r w:rsidR="00A9029A">
        <w:rPr>
          <w:noProof/>
        </w:rPr>
        <w:fldChar w:fldCharType="end"/>
      </w:r>
      <w:bookmarkEnd w:id="176"/>
      <w:r w:rsidR="00F16ECA">
        <w:rPr>
          <w:noProof/>
        </w:rPr>
        <w:tab/>
      </w:r>
      <w:r>
        <w:t>Shared care activities</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hared care activities"/>
        <w:tblDescription w:val="Table 20 lists care activities that are considered shared care for the purposes of the RUCS. This table should be read as a series of rows from left to right ('shared activity category' then 'description of examples')."/>
      </w:tblPr>
      <w:tblGrid>
        <w:gridCol w:w="2660"/>
        <w:gridCol w:w="6356"/>
      </w:tblGrid>
      <w:tr w:rsidR="00184F60" w:rsidRPr="00534F50" w14:paraId="586F6374" w14:textId="77777777" w:rsidTr="00FE46FD">
        <w:trPr>
          <w:tblHeader/>
        </w:trPr>
        <w:tc>
          <w:tcPr>
            <w:tcW w:w="2660" w:type="dxa"/>
            <w:shd w:val="clear" w:color="auto" w:fill="D9D9D9" w:themeFill="background1" w:themeFillShade="D9"/>
          </w:tcPr>
          <w:p w14:paraId="73A3A217" w14:textId="77777777" w:rsidR="00184F60" w:rsidRPr="00534F50" w:rsidRDefault="00184F60" w:rsidP="00E67BD0">
            <w:pPr>
              <w:spacing w:before="40" w:after="40"/>
              <w:rPr>
                <w:rFonts w:eastAsia="Calibri"/>
                <w:b/>
                <w:sz w:val="20"/>
                <w:szCs w:val="20"/>
              </w:rPr>
            </w:pPr>
            <w:r w:rsidRPr="00534F50">
              <w:rPr>
                <w:rFonts w:eastAsia="Calibri"/>
                <w:b/>
                <w:sz w:val="20"/>
                <w:szCs w:val="20"/>
              </w:rPr>
              <w:t>Shared activity category</w:t>
            </w:r>
          </w:p>
        </w:tc>
        <w:tc>
          <w:tcPr>
            <w:tcW w:w="6356" w:type="dxa"/>
            <w:shd w:val="clear" w:color="auto" w:fill="D9D9D9" w:themeFill="background1" w:themeFillShade="D9"/>
          </w:tcPr>
          <w:p w14:paraId="678E480F" w14:textId="77777777" w:rsidR="00184F60" w:rsidRPr="00534F50" w:rsidRDefault="00184F60" w:rsidP="00E67BD0">
            <w:pPr>
              <w:spacing w:before="40" w:after="40"/>
              <w:rPr>
                <w:rFonts w:eastAsia="Calibri"/>
                <w:b/>
                <w:sz w:val="20"/>
                <w:szCs w:val="20"/>
              </w:rPr>
            </w:pPr>
            <w:r w:rsidRPr="00534F50">
              <w:rPr>
                <w:rFonts w:eastAsia="Calibri"/>
                <w:b/>
                <w:sz w:val="20"/>
                <w:szCs w:val="20"/>
              </w:rPr>
              <w:t>Description of examples</w:t>
            </w:r>
          </w:p>
        </w:tc>
      </w:tr>
      <w:tr w:rsidR="00184F60" w:rsidRPr="00534F50" w14:paraId="5424CEE7" w14:textId="77777777" w:rsidTr="00FE46FD">
        <w:tc>
          <w:tcPr>
            <w:tcW w:w="2660" w:type="dxa"/>
            <w:shd w:val="clear" w:color="auto" w:fill="auto"/>
          </w:tcPr>
          <w:p w14:paraId="44474A95" w14:textId="77777777" w:rsidR="00184F60" w:rsidRPr="00534F50" w:rsidRDefault="00184F60" w:rsidP="00E67BD0">
            <w:pPr>
              <w:spacing w:before="40" w:after="40"/>
              <w:rPr>
                <w:rFonts w:eastAsia="Calibri"/>
                <w:sz w:val="20"/>
                <w:szCs w:val="20"/>
              </w:rPr>
            </w:pPr>
            <w:r w:rsidRPr="00534F50">
              <w:rPr>
                <w:rFonts w:eastAsia="Calibri"/>
                <w:sz w:val="20"/>
                <w:szCs w:val="20"/>
              </w:rPr>
              <w:t>Administration</w:t>
            </w:r>
          </w:p>
        </w:tc>
        <w:tc>
          <w:tcPr>
            <w:tcW w:w="6356" w:type="dxa"/>
            <w:shd w:val="clear" w:color="auto" w:fill="auto"/>
          </w:tcPr>
          <w:p w14:paraId="7E05101D" w14:textId="77777777" w:rsidR="00184F60" w:rsidRPr="00534F50" w:rsidRDefault="00184F60" w:rsidP="00E67BD0">
            <w:pPr>
              <w:spacing w:before="40" w:after="40"/>
              <w:rPr>
                <w:rFonts w:eastAsia="Calibri"/>
                <w:sz w:val="20"/>
                <w:szCs w:val="20"/>
              </w:rPr>
            </w:pPr>
            <w:r w:rsidRPr="00534F50">
              <w:rPr>
                <w:rFonts w:eastAsia="Calibri"/>
                <w:sz w:val="20"/>
                <w:szCs w:val="20"/>
              </w:rPr>
              <w:t>Facility management</w:t>
            </w:r>
          </w:p>
          <w:p w14:paraId="23482E82" w14:textId="77777777" w:rsidR="00184F60" w:rsidRPr="00534F50" w:rsidRDefault="00184F60" w:rsidP="00E67BD0">
            <w:pPr>
              <w:spacing w:before="40" w:after="40"/>
              <w:rPr>
                <w:rFonts w:eastAsia="Calibri"/>
                <w:sz w:val="20"/>
                <w:szCs w:val="20"/>
              </w:rPr>
            </w:pPr>
            <w:r w:rsidRPr="00534F50">
              <w:rPr>
                <w:rFonts w:eastAsia="Calibri"/>
                <w:sz w:val="20"/>
                <w:szCs w:val="20"/>
              </w:rPr>
              <w:t>Staff training</w:t>
            </w:r>
          </w:p>
          <w:p w14:paraId="232D0260" w14:textId="77777777" w:rsidR="00184F60" w:rsidRPr="00534F50" w:rsidRDefault="00184F60" w:rsidP="00E67BD0">
            <w:pPr>
              <w:spacing w:before="40" w:after="40"/>
              <w:rPr>
                <w:rFonts w:eastAsia="Calibri"/>
                <w:sz w:val="20"/>
                <w:szCs w:val="20"/>
              </w:rPr>
            </w:pPr>
            <w:r w:rsidRPr="00534F50">
              <w:rPr>
                <w:rFonts w:eastAsia="Calibri"/>
                <w:sz w:val="20"/>
                <w:szCs w:val="20"/>
              </w:rPr>
              <w:t>Meetings</w:t>
            </w:r>
          </w:p>
          <w:p w14:paraId="10C0EBDA" w14:textId="77777777" w:rsidR="00184F60" w:rsidRPr="00534F50" w:rsidRDefault="00184F60" w:rsidP="00E67BD0">
            <w:pPr>
              <w:spacing w:before="40" w:after="40"/>
              <w:rPr>
                <w:rFonts w:eastAsia="Calibri"/>
                <w:sz w:val="20"/>
                <w:szCs w:val="20"/>
              </w:rPr>
            </w:pPr>
            <w:r w:rsidRPr="00534F50">
              <w:rPr>
                <w:rFonts w:eastAsia="Calibri"/>
                <w:sz w:val="20"/>
                <w:szCs w:val="20"/>
              </w:rPr>
              <w:t>Governance activities</w:t>
            </w:r>
          </w:p>
        </w:tc>
      </w:tr>
      <w:tr w:rsidR="00184F60" w:rsidRPr="00534F50" w14:paraId="61647EE1" w14:textId="77777777" w:rsidTr="00FE46FD">
        <w:tc>
          <w:tcPr>
            <w:tcW w:w="2660" w:type="dxa"/>
            <w:shd w:val="clear" w:color="auto" w:fill="auto"/>
          </w:tcPr>
          <w:p w14:paraId="2322636A" w14:textId="77777777" w:rsidR="00184F60" w:rsidRPr="00534F50" w:rsidRDefault="00184F60" w:rsidP="00E67BD0">
            <w:pPr>
              <w:spacing w:before="40" w:after="40"/>
              <w:rPr>
                <w:rFonts w:eastAsia="Calibri"/>
                <w:sz w:val="20"/>
                <w:szCs w:val="20"/>
              </w:rPr>
            </w:pPr>
            <w:r w:rsidRPr="00534F50">
              <w:rPr>
                <w:rFonts w:eastAsia="Calibri"/>
                <w:sz w:val="20"/>
                <w:szCs w:val="20"/>
              </w:rPr>
              <w:t xml:space="preserve">General resident care </w:t>
            </w:r>
          </w:p>
        </w:tc>
        <w:tc>
          <w:tcPr>
            <w:tcW w:w="6356" w:type="dxa"/>
            <w:shd w:val="clear" w:color="auto" w:fill="auto"/>
          </w:tcPr>
          <w:p w14:paraId="794C97C5" w14:textId="77777777" w:rsidR="00184F60" w:rsidRPr="00534F50" w:rsidRDefault="00184F60" w:rsidP="00E67BD0">
            <w:pPr>
              <w:spacing w:before="40" w:after="40"/>
              <w:rPr>
                <w:rFonts w:eastAsia="Calibri"/>
                <w:sz w:val="20"/>
                <w:szCs w:val="20"/>
              </w:rPr>
            </w:pPr>
            <w:r w:rsidRPr="00534F50">
              <w:rPr>
                <w:rFonts w:eastAsia="Calibri"/>
                <w:sz w:val="20"/>
                <w:szCs w:val="20"/>
              </w:rPr>
              <w:t>Waking residents and bed making routine.</w:t>
            </w:r>
          </w:p>
          <w:p w14:paraId="0A675E99" w14:textId="356282E2" w:rsidR="00184F60" w:rsidRPr="00534F50" w:rsidRDefault="00184F60" w:rsidP="00E67BD0">
            <w:pPr>
              <w:spacing w:before="40" w:after="40"/>
              <w:rPr>
                <w:rFonts w:eastAsia="Calibri"/>
                <w:sz w:val="20"/>
                <w:szCs w:val="20"/>
              </w:rPr>
            </w:pPr>
            <w:r w:rsidRPr="00534F50">
              <w:rPr>
                <w:rFonts w:eastAsia="Calibri"/>
                <w:sz w:val="20"/>
                <w:szCs w:val="20"/>
              </w:rPr>
              <w:t>Travel time between episode</w:t>
            </w:r>
            <w:r w:rsidR="007627BF">
              <w:rPr>
                <w:rFonts w:eastAsia="Calibri"/>
                <w:sz w:val="20"/>
                <w:szCs w:val="20"/>
              </w:rPr>
              <w:t>s of individual care provision.</w:t>
            </w:r>
          </w:p>
          <w:p w14:paraId="3AA4DB24" w14:textId="60A7AFA7" w:rsidR="00184F60" w:rsidRPr="00534F50" w:rsidRDefault="00184F60" w:rsidP="00E67BD0">
            <w:pPr>
              <w:spacing w:before="40" w:after="40"/>
              <w:rPr>
                <w:rFonts w:eastAsia="Calibri"/>
                <w:sz w:val="20"/>
                <w:szCs w:val="20"/>
              </w:rPr>
            </w:pPr>
            <w:r w:rsidRPr="00534F50">
              <w:rPr>
                <w:rFonts w:eastAsia="Calibri"/>
                <w:sz w:val="20"/>
                <w:szCs w:val="20"/>
              </w:rPr>
              <w:t>General assistance with skin care and grooming where the residents i</w:t>
            </w:r>
            <w:r w:rsidR="00237C47">
              <w:rPr>
                <w:rFonts w:eastAsia="Calibri"/>
                <w:sz w:val="20"/>
                <w:szCs w:val="20"/>
              </w:rPr>
              <w:t>s able to complete these tasks.</w:t>
            </w:r>
          </w:p>
          <w:p w14:paraId="6177B976" w14:textId="77777777" w:rsidR="00184F60" w:rsidRPr="00534F50" w:rsidRDefault="00184F60" w:rsidP="00E67BD0">
            <w:pPr>
              <w:spacing w:before="40" w:after="40"/>
              <w:rPr>
                <w:rFonts w:eastAsia="Calibri"/>
                <w:sz w:val="20"/>
                <w:szCs w:val="20"/>
              </w:rPr>
            </w:pPr>
            <w:r w:rsidRPr="00534F50">
              <w:rPr>
                <w:rFonts w:eastAsia="Calibri"/>
                <w:sz w:val="20"/>
                <w:szCs w:val="20"/>
              </w:rPr>
              <w:t>Helping resident with a single item of clothing (</w:t>
            </w:r>
            <w:r w:rsidR="00824F3A" w:rsidRPr="00534F50">
              <w:rPr>
                <w:rFonts w:eastAsia="Calibri"/>
                <w:sz w:val="20"/>
                <w:szCs w:val="20"/>
              </w:rPr>
              <w:t>i.e.</w:t>
            </w:r>
            <w:r w:rsidRPr="00534F50">
              <w:rPr>
                <w:rFonts w:eastAsia="Calibri"/>
                <w:sz w:val="20"/>
                <w:szCs w:val="20"/>
              </w:rPr>
              <w:t xml:space="preserve"> putting on a cardigan or shoes).</w:t>
            </w:r>
          </w:p>
          <w:p w14:paraId="4912C559" w14:textId="77777777" w:rsidR="00184F60" w:rsidRPr="00534F50" w:rsidRDefault="00184F60" w:rsidP="00E67BD0">
            <w:pPr>
              <w:spacing w:before="40" w:after="40"/>
              <w:rPr>
                <w:rFonts w:eastAsia="Calibri"/>
                <w:sz w:val="20"/>
                <w:szCs w:val="20"/>
              </w:rPr>
            </w:pPr>
            <w:r w:rsidRPr="00534F50">
              <w:rPr>
                <w:rFonts w:eastAsia="Calibri"/>
                <w:sz w:val="20"/>
                <w:szCs w:val="20"/>
              </w:rPr>
              <w:t>The delivery of meals, either to the resident in their room, dining room or elsewhere, and clearing away afterwards.</w:t>
            </w:r>
          </w:p>
          <w:p w14:paraId="7029CD3B" w14:textId="20A7D616" w:rsidR="00184F60" w:rsidRPr="00534F50" w:rsidRDefault="00184F60" w:rsidP="00E67BD0">
            <w:pPr>
              <w:spacing w:before="40" w:after="40"/>
              <w:rPr>
                <w:rFonts w:eastAsia="Calibri"/>
                <w:sz w:val="20"/>
                <w:szCs w:val="20"/>
              </w:rPr>
            </w:pPr>
            <w:r w:rsidRPr="00534F50">
              <w:rPr>
                <w:rFonts w:eastAsia="Calibri"/>
                <w:sz w:val="20"/>
                <w:szCs w:val="20"/>
              </w:rPr>
              <w:t>Generally talking with the resident about how they are feeling,</w:t>
            </w:r>
            <w:r w:rsidR="00237C47">
              <w:rPr>
                <w:rFonts w:eastAsia="Calibri"/>
                <w:sz w:val="20"/>
                <w:szCs w:val="20"/>
              </w:rPr>
              <w:t xml:space="preserve"> exchanging ‘pleasantries’ etc.</w:t>
            </w:r>
          </w:p>
          <w:p w14:paraId="0EB351D7" w14:textId="77777777" w:rsidR="00184F60" w:rsidRPr="00534F50" w:rsidRDefault="00184F60" w:rsidP="00E67BD0">
            <w:pPr>
              <w:spacing w:before="40" w:after="40"/>
              <w:rPr>
                <w:rFonts w:eastAsia="Calibri"/>
                <w:sz w:val="20"/>
                <w:szCs w:val="20"/>
              </w:rPr>
            </w:pPr>
            <w:r w:rsidRPr="00534F50">
              <w:rPr>
                <w:rFonts w:eastAsia="Calibri"/>
                <w:sz w:val="20"/>
                <w:szCs w:val="20"/>
              </w:rPr>
              <w:t>General supervision of dining room, activities room or other area.</w:t>
            </w:r>
          </w:p>
          <w:p w14:paraId="10574CE5" w14:textId="77777777" w:rsidR="00184F60" w:rsidRPr="00534F50" w:rsidRDefault="00184F60" w:rsidP="00E67BD0">
            <w:pPr>
              <w:spacing w:before="40" w:after="40"/>
              <w:rPr>
                <w:rFonts w:eastAsia="Calibri"/>
                <w:sz w:val="20"/>
                <w:szCs w:val="20"/>
              </w:rPr>
            </w:pPr>
            <w:r w:rsidRPr="00534F50">
              <w:rPr>
                <w:rFonts w:eastAsia="Calibri"/>
                <w:sz w:val="20"/>
                <w:szCs w:val="20"/>
              </w:rPr>
              <w:t>Night staff supervision of the facility and providing some care as required.</w:t>
            </w:r>
          </w:p>
          <w:p w14:paraId="002DB1FB" w14:textId="77777777" w:rsidR="00184F60" w:rsidRPr="00534F50" w:rsidRDefault="00184F60" w:rsidP="00E67BD0">
            <w:pPr>
              <w:spacing w:before="40" w:after="40"/>
              <w:rPr>
                <w:rFonts w:eastAsia="Calibri"/>
                <w:sz w:val="20"/>
                <w:szCs w:val="20"/>
              </w:rPr>
            </w:pPr>
            <w:r w:rsidRPr="00534F50">
              <w:rPr>
                <w:rFonts w:eastAsia="Calibri"/>
                <w:sz w:val="20"/>
                <w:szCs w:val="20"/>
              </w:rPr>
              <w:t>Managing stocks and supplies and general tidying, both within the resident’s room and in the facility generally.</w:t>
            </w:r>
          </w:p>
          <w:p w14:paraId="741193EA" w14:textId="09090273" w:rsidR="00184F60" w:rsidRPr="00534F50" w:rsidRDefault="00237C47" w:rsidP="00E67BD0">
            <w:pPr>
              <w:spacing w:before="40" w:after="40"/>
              <w:rPr>
                <w:rFonts w:eastAsia="Calibri"/>
                <w:sz w:val="20"/>
                <w:szCs w:val="20"/>
              </w:rPr>
            </w:pPr>
            <w:r>
              <w:rPr>
                <w:rFonts w:eastAsia="Calibri"/>
                <w:sz w:val="20"/>
                <w:szCs w:val="20"/>
              </w:rPr>
              <w:t>Care of the deceased.</w:t>
            </w:r>
          </w:p>
        </w:tc>
      </w:tr>
      <w:tr w:rsidR="00184F60" w:rsidRPr="00534F50" w14:paraId="089F338F" w14:textId="77777777" w:rsidTr="00FE46FD">
        <w:tc>
          <w:tcPr>
            <w:tcW w:w="2660" w:type="dxa"/>
            <w:shd w:val="clear" w:color="auto" w:fill="auto"/>
          </w:tcPr>
          <w:p w14:paraId="6764642A" w14:textId="77777777" w:rsidR="00184F60" w:rsidRPr="00534F50" w:rsidRDefault="00184F60" w:rsidP="00E67BD0">
            <w:pPr>
              <w:spacing w:before="40" w:after="40"/>
              <w:rPr>
                <w:rFonts w:eastAsia="Calibri"/>
                <w:sz w:val="20"/>
                <w:szCs w:val="20"/>
              </w:rPr>
            </w:pPr>
            <w:r w:rsidRPr="00534F50">
              <w:rPr>
                <w:rFonts w:eastAsia="Calibri"/>
                <w:sz w:val="20"/>
                <w:szCs w:val="20"/>
              </w:rPr>
              <w:t>Infection control</w:t>
            </w:r>
          </w:p>
        </w:tc>
        <w:tc>
          <w:tcPr>
            <w:tcW w:w="6356" w:type="dxa"/>
            <w:shd w:val="clear" w:color="auto" w:fill="auto"/>
          </w:tcPr>
          <w:p w14:paraId="116384B7" w14:textId="77777777" w:rsidR="00184F60" w:rsidRPr="00534F50" w:rsidRDefault="00184F60" w:rsidP="00E67BD0">
            <w:pPr>
              <w:spacing w:before="40" w:after="40"/>
              <w:rPr>
                <w:rFonts w:eastAsia="Calibri"/>
                <w:sz w:val="20"/>
                <w:szCs w:val="20"/>
              </w:rPr>
            </w:pPr>
            <w:r w:rsidRPr="00534F50">
              <w:rPr>
                <w:rFonts w:eastAsia="Calibri"/>
                <w:sz w:val="20"/>
                <w:szCs w:val="20"/>
              </w:rPr>
              <w:t>Managing personal infection control, including PPE and handwashing.</w:t>
            </w:r>
          </w:p>
          <w:p w14:paraId="31E711B6" w14:textId="77777777" w:rsidR="00184F60" w:rsidRPr="00534F50" w:rsidRDefault="00184F60" w:rsidP="00E67BD0">
            <w:pPr>
              <w:spacing w:before="40" w:after="40"/>
              <w:rPr>
                <w:rFonts w:eastAsia="Calibri"/>
                <w:sz w:val="20"/>
                <w:szCs w:val="20"/>
              </w:rPr>
            </w:pPr>
            <w:r w:rsidRPr="00534F50">
              <w:rPr>
                <w:rFonts w:eastAsia="Calibri"/>
                <w:sz w:val="20"/>
                <w:szCs w:val="20"/>
              </w:rPr>
              <w:t>Coordinating services around current infection control issues.</w:t>
            </w:r>
          </w:p>
        </w:tc>
      </w:tr>
      <w:tr w:rsidR="00184F60" w:rsidRPr="00534F50" w14:paraId="2CB73350" w14:textId="77777777" w:rsidTr="00FE46FD">
        <w:tc>
          <w:tcPr>
            <w:tcW w:w="2660" w:type="dxa"/>
            <w:shd w:val="clear" w:color="auto" w:fill="auto"/>
          </w:tcPr>
          <w:p w14:paraId="5E89B084" w14:textId="77777777" w:rsidR="00184F60" w:rsidRPr="00534F50" w:rsidRDefault="00184F60" w:rsidP="00E67BD0">
            <w:pPr>
              <w:spacing w:before="40" w:after="40"/>
              <w:rPr>
                <w:rFonts w:eastAsia="Calibri"/>
                <w:sz w:val="20"/>
                <w:szCs w:val="20"/>
              </w:rPr>
            </w:pPr>
            <w:r w:rsidRPr="00534F50">
              <w:rPr>
                <w:rFonts w:eastAsia="Calibri"/>
                <w:sz w:val="20"/>
                <w:szCs w:val="20"/>
              </w:rPr>
              <w:t xml:space="preserve">Care communication </w:t>
            </w:r>
          </w:p>
        </w:tc>
        <w:tc>
          <w:tcPr>
            <w:tcW w:w="6356" w:type="dxa"/>
            <w:shd w:val="clear" w:color="auto" w:fill="auto"/>
          </w:tcPr>
          <w:p w14:paraId="6345A14D" w14:textId="77777777" w:rsidR="00184F60" w:rsidRPr="00534F50" w:rsidRDefault="00184F60" w:rsidP="00E67BD0">
            <w:pPr>
              <w:spacing w:before="40" w:after="40"/>
              <w:rPr>
                <w:rFonts w:eastAsia="Calibri"/>
                <w:sz w:val="20"/>
                <w:szCs w:val="20"/>
              </w:rPr>
            </w:pPr>
            <w:r w:rsidRPr="00534F50">
              <w:rPr>
                <w:rFonts w:eastAsia="Calibri"/>
                <w:sz w:val="20"/>
                <w:szCs w:val="20"/>
              </w:rPr>
              <w:t>Routine care documentation and maintenance of clinical records.</w:t>
            </w:r>
          </w:p>
          <w:p w14:paraId="0149EFA7" w14:textId="30A57F99" w:rsidR="00184F60" w:rsidRPr="00534F50" w:rsidRDefault="00184F60" w:rsidP="00E67BD0">
            <w:pPr>
              <w:spacing w:before="40" w:after="40"/>
              <w:rPr>
                <w:rFonts w:eastAsia="Calibri"/>
                <w:sz w:val="20"/>
                <w:szCs w:val="20"/>
              </w:rPr>
            </w:pPr>
            <w:r w:rsidRPr="00534F50">
              <w:rPr>
                <w:rFonts w:eastAsia="Calibri"/>
                <w:sz w:val="20"/>
                <w:szCs w:val="20"/>
              </w:rPr>
              <w:t xml:space="preserve">Regular communication within the care team or external </w:t>
            </w:r>
            <w:r w:rsidR="00237C47">
              <w:rPr>
                <w:rFonts w:eastAsia="Calibri"/>
                <w:sz w:val="20"/>
                <w:szCs w:val="20"/>
              </w:rPr>
              <w:t>care providers about residents.</w:t>
            </w:r>
          </w:p>
          <w:p w14:paraId="0C7B83A2" w14:textId="77777777" w:rsidR="00184F60" w:rsidRPr="00534F50" w:rsidRDefault="00184F60" w:rsidP="00E67BD0">
            <w:pPr>
              <w:spacing w:before="40" w:after="40"/>
              <w:rPr>
                <w:rFonts w:eastAsia="Calibri"/>
                <w:sz w:val="20"/>
                <w:szCs w:val="20"/>
              </w:rPr>
            </w:pPr>
            <w:r w:rsidRPr="00534F50">
              <w:rPr>
                <w:rFonts w:eastAsia="Calibri"/>
                <w:sz w:val="20"/>
                <w:szCs w:val="20"/>
              </w:rPr>
              <w:t>Providing assistance at routine GP visits.</w:t>
            </w:r>
          </w:p>
          <w:p w14:paraId="79758689" w14:textId="77777777" w:rsidR="00184F60" w:rsidRPr="00534F50" w:rsidRDefault="00184F60" w:rsidP="00E67BD0">
            <w:pPr>
              <w:spacing w:before="40" w:after="40"/>
              <w:rPr>
                <w:rFonts w:eastAsia="Calibri"/>
                <w:sz w:val="20"/>
                <w:szCs w:val="20"/>
              </w:rPr>
            </w:pPr>
            <w:r w:rsidRPr="00534F50">
              <w:rPr>
                <w:rFonts w:eastAsia="Calibri"/>
                <w:sz w:val="20"/>
                <w:szCs w:val="20"/>
              </w:rPr>
              <w:t>General communication with the family about the st</w:t>
            </w:r>
            <w:r w:rsidR="00F16ECA" w:rsidRPr="00534F50">
              <w:rPr>
                <w:rFonts w:eastAsia="Calibri"/>
                <w:sz w:val="20"/>
                <w:szCs w:val="20"/>
              </w:rPr>
              <w:t>atus/ welfare of the resident.</w:t>
            </w:r>
          </w:p>
        </w:tc>
      </w:tr>
      <w:bookmarkEnd w:id="140"/>
      <w:bookmarkEnd w:id="141"/>
      <w:bookmarkEnd w:id="142"/>
      <w:bookmarkEnd w:id="171"/>
    </w:tbl>
    <w:p w14:paraId="0B3857C3" w14:textId="77777777" w:rsidR="00184F60" w:rsidRDefault="00184F60" w:rsidP="007627BF"/>
    <w:sectPr w:rsidR="00184F60" w:rsidSect="008E3191">
      <w:footerReference w:type="default" r:id="rId22"/>
      <w:pgSz w:w="11906" w:h="16838"/>
      <w:pgMar w:top="757"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B69DF" w14:textId="77777777" w:rsidR="001845EB" w:rsidRDefault="001845EB" w:rsidP="00625E8D">
      <w:r>
        <w:separator/>
      </w:r>
    </w:p>
    <w:p w14:paraId="70995B63" w14:textId="77777777" w:rsidR="001845EB" w:rsidRDefault="001845EB"/>
    <w:p w14:paraId="4653DAD4" w14:textId="77777777" w:rsidR="001845EB" w:rsidRDefault="001845EB"/>
  </w:endnote>
  <w:endnote w:type="continuationSeparator" w:id="0">
    <w:p w14:paraId="5E070598" w14:textId="77777777" w:rsidR="001845EB" w:rsidRDefault="001845EB" w:rsidP="00625E8D">
      <w:r>
        <w:continuationSeparator/>
      </w:r>
    </w:p>
    <w:p w14:paraId="4E6E7B59" w14:textId="77777777" w:rsidR="001845EB" w:rsidRDefault="001845EB"/>
    <w:p w14:paraId="7F7EEB15" w14:textId="77777777" w:rsidR="001845EB" w:rsidRDefault="00184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632E" w14:textId="5B5AB5DC" w:rsidR="001845EB" w:rsidRPr="006E49DF" w:rsidRDefault="001845EB" w:rsidP="006E49DF">
    <w:pPr>
      <w:pStyle w:val="Footer"/>
    </w:pPr>
    <w:r w:rsidRPr="006E49D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0890" w14:textId="3C9D8C09" w:rsidR="001845EB" w:rsidRPr="00992D00" w:rsidRDefault="001845EB" w:rsidP="00992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CFD9" w14:textId="77777777" w:rsidR="001845EB" w:rsidRPr="00502540" w:rsidRDefault="001845EB" w:rsidP="006E49DF">
    <w:pPr>
      <w:pStyle w:val="Footer"/>
      <w:rPr>
        <w:sz w:val="18"/>
      </w:rPr>
    </w:pPr>
  </w:p>
  <w:p w14:paraId="4A8278B8" w14:textId="77777777" w:rsidR="001845EB" w:rsidRPr="00502540" w:rsidRDefault="001845EB" w:rsidP="00975A35">
    <w:pPr>
      <w:pStyle w:val="Footer"/>
      <w:pBdr>
        <w:top w:val="single" w:sz="4" w:space="1" w:color="auto"/>
      </w:pBdr>
      <w:rPr>
        <w:sz w:val="6"/>
        <w:szCs w:val="4"/>
      </w:rPr>
    </w:pPr>
  </w:p>
  <w:p w14:paraId="0A5E103A" w14:textId="77777777" w:rsidR="001845EB" w:rsidRPr="00502540" w:rsidRDefault="001845EB" w:rsidP="006E49DF">
    <w:pPr>
      <w:pStyle w:val="Footer"/>
      <w:tabs>
        <w:tab w:val="right" w:pos="9356"/>
      </w:tabs>
      <w:rPr>
        <w:sz w:val="14"/>
        <w:szCs w:val="12"/>
      </w:rPr>
    </w:pPr>
  </w:p>
  <w:p w14:paraId="55A12B54" w14:textId="77777777" w:rsidR="001845EB" w:rsidRPr="00502540" w:rsidRDefault="001845EB" w:rsidP="00975A35">
    <w:pPr>
      <w:pStyle w:val="Footer"/>
      <w:tabs>
        <w:tab w:val="right" w:pos="9214"/>
      </w:tabs>
      <w:rPr>
        <w:sz w:val="22"/>
        <w:szCs w:val="20"/>
      </w:rPr>
    </w:pPr>
    <w:r w:rsidRPr="00502540">
      <w:rPr>
        <w:sz w:val="22"/>
        <w:szCs w:val="20"/>
      </w:rPr>
      <w:t>Report 1: The Australian National Aged Care Classification (AN-ACC)</w:t>
    </w:r>
    <w:r w:rsidRPr="00502540">
      <w:rPr>
        <w:sz w:val="22"/>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4A3F" w14:textId="77777777" w:rsidR="001845EB" w:rsidRPr="00502540" w:rsidRDefault="001845EB" w:rsidP="00502540">
    <w:pPr>
      <w:pStyle w:val="Footer"/>
      <w:rPr>
        <w:sz w:val="18"/>
      </w:rPr>
    </w:pPr>
  </w:p>
  <w:p w14:paraId="3D1A1965" w14:textId="77777777" w:rsidR="001845EB" w:rsidRPr="00502540" w:rsidRDefault="001845EB" w:rsidP="00502540">
    <w:pPr>
      <w:pStyle w:val="Footer"/>
      <w:pBdr>
        <w:top w:val="single" w:sz="4" w:space="1" w:color="auto"/>
      </w:pBdr>
      <w:rPr>
        <w:sz w:val="6"/>
        <w:szCs w:val="4"/>
      </w:rPr>
    </w:pPr>
  </w:p>
  <w:p w14:paraId="2D4D0E9C" w14:textId="77777777" w:rsidR="001845EB" w:rsidRPr="00502540" w:rsidRDefault="001845EB" w:rsidP="00502540">
    <w:pPr>
      <w:pStyle w:val="Footer"/>
      <w:tabs>
        <w:tab w:val="right" w:pos="9356"/>
      </w:tabs>
      <w:rPr>
        <w:sz w:val="14"/>
        <w:szCs w:val="12"/>
      </w:rPr>
    </w:pPr>
  </w:p>
  <w:p w14:paraId="00364520" w14:textId="4379380E" w:rsidR="001845EB" w:rsidRPr="00044B87" w:rsidRDefault="001845EB" w:rsidP="00502540">
    <w:pPr>
      <w:pStyle w:val="Footer"/>
      <w:jc w:val="right"/>
      <w:rPr>
        <w:sz w:val="22"/>
        <w:szCs w:val="22"/>
      </w:rPr>
    </w:pPr>
    <w:r w:rsidRPr="00044B87">
      <w:rPr>
        <w:sz w:val="22"/>
        <w:szCs w:val="22"/>
      </w:rPr>
      <w:t>Report 1: The Australian National Aged Care Classification (AN-ACC)</w:t>
    </w:r>
    <w:r w:rsidRPr="00044B87">
      <w:rPr>
        <w:sz w:val="22"/>
        <w:szCs w:val="22"/>
      </w:rPr>
      <w:tab/>
      <w:t xml:space="preserve">Page </w:t>
    </w:r>
    <w:sdt>
      <w:sdtPr>
        <w:rPr>
          <w:sz w:val="22"/>
          <w:szCs w:val="22"/>
        </w:rPr>
        <w:id w:val="-732621101"/>
        <w:docPartObj>
          <w:docPartGallery w:val="Page Numbers (Bottom of Page)"/>
          <w:docPartUnique/>
        </w:docPartObj>
      </w:sdtPr>
      <w:sdtEndPr>
        <w:rPr>
          <w:noProof/>
        </w:rPr>
      </w:sdtEndPr>
      <w:sdtContent>
        <w:r w:rsidRPr="00044B87">
          <w:rPr>
            <w:sz w:val="22"/>
            <w:szCs w:val="22"/>
          </w:rPr>
          <w:fldChar w:fldCharType="begin"/>
        </w:r>
        <w:r w:rsidRPr="00044B87">
          <w:rPr>
            <w:sz w:val="22"/>
            <w:szCs w:val="22"/>
          </w:rPr>
          <w:instrText xml:space="preserve"> PAGE   \* MERGEFORMAT </w:instrText>
        </w:r>
        <w:r w:rsidRPr="00044B87">
          <w:rPr>
            <w:sz w:val="22"/>
            <w:szCs w:val="22"/>
          </w:rPr>
          <w:fldChar w:fldCharType="separate"/>
        </w:r>
        <w:r w:rsidR="00E84B13">
          <w:rPr>
            <w:noProof/>
            <w:sz w:val="22"/>
            <w:szCs w:val="22"/>
          </w:rPr>
          <w:t>iv</w:t>
        </w:r>
        <w:r w:rsidRPr="00044B87">
          <w:rPr>
            <w:noProof/>
            <w:sz w:val="22"/>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9B5A" w14:textId="77777777" w:rsidR="001845EB" w:rsidRPr="00EC06D8" w:rsidRDefault="001845EB" w:rsidP="006E49DF">
    <w:pPr>
      <w:pStyle w:val="Footer"/>
      <w:rPr>
        <w:sz w:val="22"/>
        <w:szCs w:val="22"/>
      </w:rPr>
    </w:pPr>
  </w:p>
  <w:p w14:paraId="08128B52" w14:textId="77777777" w:rsidR="001845EB" w:rsidRDefault="001845EB" w:rsidP="00CB2592">
    <w:pPr>
      <w:pStyle w:val="Footer"/>
      <w:pBdr>
        <w:top w:val="single" w:sz="4" w:space="1" w:color="auto"/>
      </w:pBdr>
      <w:tabs>
        <w:tab w:val="right" w:pos="9214"/>
      </w:tabs>
      <w:rPr>
        <w:sz w:val="22"/>
        <w:szCs w:val="22"/>
      </w:rPr>
    </w:pPr>
    <w:r w:rsidRPr="00EC06D8">
      <w:rPr>
        <w:sz w:val="22"/>
        <w:szCs w:val="22"/>
      </w:rPr>
      <w:t>Report 1: The Australian National Ag</w:t>
    </w:r>
    <w:r>
      <w:rPr>
        <w:sz w:val="22"/>
        <w:szCs w:val="22"/>
      </w:rPr>
      <w:t>ed Care Classification (AN-ACC)</w:t>
    </w:r>
  </w:p>
  <w:p w14:paraId="5398C5BA" w14:textId="003F2FC1" w:rsidR="001845EB" w:rsidRPr="00EC06D8" w:rsidRDefault="001845EB" w:rsidP="00CB2592">
    <w:pPr>
      <w:pStyle w:val="Footer"/>
      <w:tabs>
        <w:tab w:val="right" w:pos="9214"/>
      </w:tabs>
      <w:jc w:val="right"/>
      <w:rPr>
        <w:sz w:val="22"/>
        <w:szCs w:val="22"/>
      </w:rPr>
    </w:pPr>
    <w:r w:rsidRPr="00EC06D8">
      <w:rPr>
        <w:sz w:val="22"/>
        <w:szCs w:val="22"/>
      </w:rPr>
      <w:t xml:space="preserve">Page </w:t>
    </w:r>
    <w:r w:rsidRPr="00EC06D8">
      <w:rPr>
        <w:sz w:val="22"/>
        <w:szCs w:val="22"/>
      </w:rPr>
      <w:fldChar w:fldCharType="begin"/>
    </w:r>
    <w:r w:rsidRPr="00EC06D8">
      <w:rPr>
        <w:sz w:val="22"/>
        <w:szCs w:val="22"/>
      </w:rPr>
      <w:instrText xml:space="preserve"> PAGE   \* MERGEFORMAT </w:instrText>
    </w:r>
    <w:r w:rsidRPr="00EC06D8">
      <w:rPr>
        <w:sz w:val="22"/>
        <w:szCs w:val="22"/>
      </w:rPr>
      <w:fldChar w:fldCharType="separate"/>
    </w:r>
    <w:r w:rsidR="00E84B13">
      <w:rPr>
        <w:noProof/>
        <w:sz w:val="22"/>
        <w:szCs w:val="22"/>
      </w:rPr>
      <w:t>10</w:t>
    </w:r>
    <w:r w:rsidRPr="00EC06D8">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1FC0" w14:textId="77777777" w:rsidR="001845EB" w:rsidRDefault="001845EB" w:rsidP="00625E8D">
      <w:r>
        <w:separator/>
      </w:r>
    </w:p>
    <w:p w14:paraId="3273EE5B" w14:textId="77777777" w:rsidR="001845EB" w:rsidRDefault="001845EB"/>
    <w:p w14:paraId="248BD83A" w14:textId="77777777" w:rsidR="001845EB" w:rsidRDefault="001845EB"/>
  </w:footnote>
  <w:footnote w:type="continuationSeparator" w:id="0">
    <w:p w14:paraId="37B8D062" w14:textId="77777777" w:rsidR="001845EB" w:rsidRDefault="001845EB" w:rsidP="00625E8D">
      <w:r>
        <w:continuationSeparator/>
      </w:r>
    </w:p>
    <w:p w14:paraId="481F21E8" w14:textId="77777777" w:rsidR="001845EB" w:rsidRDefault="001845EB"/>
    <w:p w14:paraId="6D64A71B" w14:textId="77777777" w:rsidR="001845EB" w:rsidRDefault="001845EB"/>
  </w:footnote>
  <w:footnote w:id="1">
    <w:p w14:paraId="797A103D" w14:textId="77777777" w:rsidR="001845EB" w:rsidRPr="00856DCB" w:rsidRDefault="001845EB" w:rsidP="00534F50">
      <w:pPr>
        <w:rPr>
          <w:rFonts w:cstheme="minorHAnsi"/>
          <w:sz w:val="16"/>
          <w:szCs w:val="16"/>
        </w:rPr>
      </w:pPr>
      <w:r>
        <w:rPr>
          <w:rStyle w:val="FootnoteReference"/>
        </w:rPr>
        <w:footnoteRef/>
      </w:r>
      <w:r w:rsidRPr="00181384">
        <w:rPr>
          <w:lang w:val="pt-PT"/>
        </w:rPr>
        <w:t xml:space="preserve"> </w:t>
      </w:r>
      <w:r w:rsidRPr="00856DCB">
        <w:rPr>
          <w:rFonts w:cstheme="minorHAnsi"/>
          <w:sz w:val="16"/>
          <w:szCs w:val="16"/>
          <w:lang w:val="pt-PT"/>
        </w:rPr>
        <w:t xml:space="preserve">McNamee J, Poulos C, Seraji H et al. </w:t>
      </w:r>
      <w:r w:rsidRPr="00856DCB">
        <w:rPr>
          <w:rFonts w:cstheme="minorHAnsi"/>
          <w:sz w:val="16"/>
          <w:szCs w:val="16"/>
        </w:rPr>
        <w:t xml:space="preserve">(2017) </w:t>
      </w:r>
      <w:r w:rsidRPr="00856DCB">
        <w:rPr>
          <w:rFonts w:cstheme="minorHAnsi"/>
          <w:i/>
          <w:sz w:val="16"/>
          <w:szCs w:val="16"/>
        </w:rPr>
        <w:t xml:space="preserve">Alternative Aged Care Assessment, Classification System and Funding Models Final Report. </w:t>
      </w:r>
      <w:r w:rsidRPr="00856DCB">
        <w:rPr>
          <w:rFonts w:cstheme="minorHAnsi"/>
          <w:sz w:val="16"/>
          <w:szCs w:val="16"/>
        </w:rPr>
        <w:t>Centre for Health Service Development, Australian Health Services Research Institute, University of Wollongong.</w:t>
      </w:r>
    </w:p>
  </w:footnote>
  <w:footnote w:id="2">
    <w:p w14:paraId="5ACDF842" w14:textId="77777777" w:rsidR="001845EB" w:rsidRDefault="001845EB">
      <w:pPr>
        <w:pStyle w:val="FootnoteText"/>
      </w:pPr>
      <w:r>
        <w:rPr>
          <w:rStyle w:val="FootnoteReference"/>
        </w:rPr>
        <w:footnoteRef/>
      </w:r>
      <w:r>
        <w:t xml:space="preserve"> Green J, Gordon R, Blanchard M, Kobel C and Eagar K (2014) </w:t>
      </w:r>
      <w:r w:rsidRPr="00FC5880">
        <w:rPr>
          <w:i/>
        </w:rPr>
        <w:t>Development of AN-SNAP version 4: final report</w:t>
      </w:r>
      <w:r>
        <w:t xml:space="preserve"> Australian Health Services Research Institute, University of Wollongong, Australia.</w:t>
      </w:r>
    </w:p>
  </w:footnote>
  <w:footnote w:id="3">
    <w:p w14:paraId="2AB9DECF" w14:textId="77777777" w:rsidR="001845EB" w:rsidRDefault="001845EB">
      <w:pPr>
        <w:pStyle w:val="FootnoteText"/>
      </w:pPr>
      <w:r>
        <w:rPr>
          <w:rStyle w:val="FootnoteReference"/>
        </w:rPr>
        <w:footnoteRef/>
      </w:r>
      <w:r>
        <w:t xml:space="preserve"> Green J, Gordon R, Blanchard M, Kobel C and Eagar K (2014) </w:t>
      </w:r>
      <w:r w:rsidRPr="00FC5880">
        <w:rPr>
          <w:i/>
        </w:rPr>
        <w:t>Development of AN-SNAP version 4: final report</w:t>
      </w:r>
      <w:r>
        <w:t xml:space="preserve"> Australian Health Services Research Institute, University of Wollongong,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071C" w14:textId="77777777" w:rsidR="001845EB" w:rsidRDefault="001845EB" w:rsidP="00163E9A">
    <w:pPr>
      <w:pStyle w:val="Header"/>
      <w:ind w:left="-567" w:firstLine="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A358" w14:textId="77777777" w:rsidR="001845EB" w:rsidRDefault="001845EB" w:rsidP="00163E9A">
    <w:pPr>
      <w:pStyle w:val="Header"/>
      <w:ind w:left="-567" w:firstLine="42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1975" w14:textId="39DDCB8A" w:rsidR="001845EB" w:rsidRDefault="001845EB" w:rsidP="00CB2592">
    <w:pPr>
      <w:pStyle w:val="Footer"/>
      <w:jc w:val="right"/>
      <w:rPr>
        <w:sz w:val="20"/>
        <w:szCs w:val="20"/>
      </w:rPr>
    </w:pPr>
    <w:r w:rsidRPr="00684B6F">
      <w:rPr>
        <w:noProof/>
        <w:sz w:val="24"/>
      </w:rPr>
      <w:drawing>
        <wp:inline distT="0" distB="0" distL="0" distR="0" wp14:anchorId="7A0615AB" wp14:editId="567A467E">
          <wp:extent cx="800100" cy="374650"/>
          <wp:effectExtent l="0" t="0" r="0" b="6350"/>
          <wp:docPr id="12" name="Picture 8" descr="Ahsri_Logo_Short" title="AHS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hsri_Logo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p>
  <w:p w14:paraId="0CD64F98" w14:textId="77777777" w:rsidR="001845EB" w:rsidRPr="00CB2592" w:rsidRDefault="001845EB" w:rsidP="00CB2592">
    <w:pPr>
      <w:pStyle w:val="Footer"/>
      <w:pBdr>
        <w:top w:val="single" w:sz="4" w:space="1" w:color="auto"/>
      </w:pBd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26C24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5C456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346D7"/>
    <w:multiLevelType w:val="hybridMultilevel"/>
    <w:tmpl w:val="C9DC7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44077"/>
    <w:multiLevelType w:val="hybridMultilevel"/>
    <w:tmpl w:val="910627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1440B0"/>
    <w:multiLevelType w:val="hybridMultilevel"/>
    <w:tmpl w:val="ACA6CD92"/>
    <w:lvl w:ilvl="0" w:tplc="24A67BD0">
      <w:start w:val="1"/>
      <w:numFmt w:val="bullet"/>
      <w:lvlText w:val=""/>
      <w:lvlJc w:val="left"/>
      <w:pPr>
        <w:tabs>
          <w:tab w:val="num" w:pos="720"/>
        </w:tabs>
        <w:ind w:left="720" w:hanging="360"/>
      </w:pPr>
      <w:rPr>
        <w:rFonts w:ascii="Wingdings" w:hAnsi="Wingdings" w:hint="default"/>
      </w:rPr>
    </w:lvl>
    <w:lvl w:ilvl="1" w:tplc="52AE6A1E" w:tentative="1">
      <w:start w:val="1"/>
      <w:numFmt w:val="bullet"/>
      <w:lvlText w:val=""/>
      <w:lvlJc w:val="left"/>
      <w:pPr>
        <w:tabs>
          <w:tab w:val="num" w:pos="1440"/>
        </w:tabs>
        <w:ind w:left="1440" w:hanging="360"/>
      </w:pPr>
      <w:rPr>
        <w:rFonts w:ascii="Wingdings" w:hAnsi="Wingdings" w:hint="default"/>
      </w:rPr>
    </w:lvl>
    <w:lvl w:ilvl="2" w:tplc="83B0781E" w:tentative="1">
      <w:start w:val="1"/>
      <w:numFmt w:val="bullet"/>
      <w:lvlText w:val=""/>
      <w:lvlJc w:val="left"/>
      <w:pPr>
        <w:tabs>
          <w:tab w:val="num" w:pos="2160"/>
        </w:tabs>
        <w:ind w:left="2160" w:hanging="360"/>
      </w:pPr>
      <w:rPr>
        <w:rFonts w:ascii="Wingdings" w:hAnsi="Wingdings" w:hint="default"/>
      </w:rPr>
    </w:lvl>
    <w:lvl w:ilvl="3" w:tplc="B106B010" w:tentative="1">
      <w:start w:val="1"/>
      <w:numFmt w:val="bullet"/>
      <w:lvlText w:val=""/>
      <w:lvlJc w:val="left"/>
      <w:pPr>
        <w:tabs>
          <w:tab w:val="num" w:pos="2880"/>
        </w:tabs>
        <w:ind w:left="2880" w:hanging="360"/>
      </w:pPr>
      <w:rPr>
        <w:rFonts w:ascii="Wingdings" w:hAnsi="Wingdings" w:hint="default"/>
      </w:rPr>
    </w:lvl>
    <w:lvl w:ilvl="4" w:tplc="06DA322E" w:tentative="1">
      <w:start w:val="1"/>
      <w:numFmt w:val="bullet"/>
      <w:lvlText w:val=""/>
      <w:lvlJc w:val="left"/>
      <w:pPr>
        <w:tabs>
          <w:tab w:val="num" w:pos="3600"/>
        </w:tabs>
        <w:ind w:left="3600" w:hanging="360"/>
      </w:pPr>
      <w:rPr>
        <w:rFonts w:ascii="Wingdings" w:hAnsi="Wingdings" w:hint="default"/>
      </w:rPr>
    </w:lvl>
    <w:lvl w:ilvl="5" w:tplc="83643D58" w:tentative="1">
      <w:start w:val="1"/>
      <w:numFmt w:val="bullet"/>
      <w:lvlText w:val=""/>
      <w:lvlJc w:val="left"/>
      <w:pPr>
        <w:tabs>
          <w:tab w:val="num" w:pos="4320"/>
        </w:tabs>
        <w:ind w:left="4320" w:hanging="360"/>
      </w:pPr>
      <w:rPr>
        <w:rFonts w:ascii="Wingdings" w:hAnsi="Wingdings" w:hint="default"/>
      </w:rPr>
    </w:lvl>
    <w:lvl w:ilvl="6" w:tplc="CB1ED74E" w:tentative="1">
      <w:start w:val="1"/>
      <w:numFmt w:val="bullet"/>
      <w:lvlText w:val=""/>
      <w:lvlJc w:val="left"/>
      <w:pPr>
        <w:tabs>
          <w:tab w:val="num" w:pos="5040"/>
        </w:tabs>
        <w:ind w:left="5040" w:hanging="360"/>
      </w:pPr>
      <w:rPr>
        <w:rFonts w:ascii="Wingdings" w:hAnsi="Wingdings" w:hint="default"/>
      </w:rPr>
    </w:lvl>
    <w:lvl w:ilvl="7" w:tplc="580AF3C8" w:tentative="1">
      <w:start w:val="1"/>
      <w:numFmt w:val="bullet"/>
      <w:lvlText w:val=""/>
      <w:lvlJc w:val="left"/>
      <w:pPr>
        <w:tabs>
          <w:tab w:val="num" w:pos="5760"/>
        </w:tabs>
        <w:ind w:left="5760" w:hanging="360"/>
      </w:pPr>
      <w:rPr>
        <w:rFonts w:ascii="Wingdings" w:hAnsi="Wingdings" w:hint="default"/>
      </w:rPr>
    </w:lvl>
    <w:lvl w:ilvl="8" w:tplc="05EEB8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6" w15:restartNumberingAfterBreak="0">
    <w:nsid w:val="0DEF408E"/>
    <w:multiLevelType w:val="hybridMultilevel"/>
    <w:tmpl w:val="718A57F8"/>
    <w:lvl w:ilvl="0" w:tplc="36F482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67341"/>
    <w:multiLevelType w:val="singleLevel"/>
    <w:tmpl w:val="1854A824"/>
    <w:lvl w:ilvl="0">
      <w:start w:val="1"/>
      <w:numFmt w:val="bullet"/>
      <w:pStyle w:val="1AutoList1"/>
      <w:lvlText w:val=""/>
      <w:lvlJc w:val="left"/>
      <w:pPr>
        <w:tabs>
          <w:tab w:val="num" w:pos="360"/>
        </w:tabs>
        <w:ind w:left="360" w:hanging="360"/>
      </w:pPr>
      <w:rPr>
        <w:rFonts w:ascii="Wingdings" w:hAnsi="Wingdings" w:hint="default"/>
      </w:rPr>
    </w:lvl>
  </w:abstractNum>
  <w:abstractNum w:abstractNumId="8" w15:restartNumberingAfterBreak="0">
    <w:nsid w:val="139C0A4D"/>
    <w:multiLevelType w:val="hybridMultilevel"/>
    <w:tmpl w:val="9C2A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C208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FA387C"/>
    <w:multiLevelType w:val="hybridMultilevel"/>
    <w:tmpl w:val="83B2AEF2"/>
    <w:lvl w:ilvl="0" w:tplc="5E52D374">
      <w:start w:val="1"/>
      <w:numFmt w:val="bullet"/>
      <w:lvlText w:val=""/>
      <w:lvlJc w:val="left"/>
      <w:pPr>
        <w:ind w:left="502" w:hanging="502"/>
      </w:pPr>
      <w:rPr>
        <w:rFonts w:ascii="Wingdings" w:hAnsi="Wingdings"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261331"/>
    <w:multiLevelType w:val="multilevel"/>
    <w:tmpl w:val="B3485072"/>
    <w:lvl w:ilvl="0">
      <w:start w:val="1"/>
      <w:numFmt w:val="decimal"/>
      <w:pStyle w:val="Heading1"/>
      <w:lvlText w:val="%1"/>
      <w:lvlJc w:val="left"/>
      <w:pPr>
        <w:ind w:left="432" w:hanging="432"/>
      </w:pPr>
    </w:lvl>
    <w:lvl w:ilvl="1">
      <w:start w:val="1"/>
      <w:numFmt w:val="decimal"/>
      <w:pStyle w:val="Heading2"/>
      <w:lvlText w:val="%1.%2"/>
      <w:lvlJc w:val="left"/>
      <w:pPr>
        <w:ind w:left="3837" w:hanging="576"/>
      </w:pPr>
    </w:lvl>
    <w:lvl w:ilvl="2">
      <w:start w:val="1"/>
      <w:numFmt w:val="decimal"/>
      <w:pStyle w:val="Heading3"/>
      <w:lvlText w:val="%1.%2.%3"/>
      <w:lvlJc w:val="left"/>
      <w:pPr>
        <w:ind w:left="-131" w:hanging="720"/>
      </w:pPr>
    </w:lvl>
    <w:lvl w:ilvl="3">
      <w:start w:val="1"/>
      <w:numFmt w:val="decimal"/>
      <w:pStyle w:val="Heading4"/>
      <w:lvlText w:val="%1.%2.%3.%4"/>
      <w:lvlJc w:val="left"/>
      <w:pPr>
        <w:ind w:left="13" w:hanging="864"/>
      </w:pPr>
    </w:lvl>
    <w:lvl w:ilvl="4">
      <w:start w:val="1"/>
      <w:numFmt w:val="decimal"/>
      <w:pStyle w:val="Heading5"/>
      <w:lvlText w:val="%1.%2.%3.%4.%5"/>
      <w:lvlJc w:val="left"/>
      <w:pPr>
        <w:ind w:left="157" w:hanging="1008"/>
      </w:pPr>
    </w:lvl>
    <w:lvl w:ilvl="5">
      <w:start w:val="1"/>
      <w:numFmt w:val="decimal"/>
      <w:pStyle w:val="Heading6"/>
      <w:lvlText w:val="%1.%2.%3.%4.%5.%6"/>
      <w:lvlJc w:val="left"/>
      <w:pPr>
        <w:ind w:left="301" w:hanging="1152"/>
      </w:pPr>
    </w:lvl>
    <w:lvl w:ilvl="6">
      <w:start w:val="1"/>
      <w:numFmt w:val="decimal"/>
      <w:pStyle w:val="Heading7"/>
      <w:lvlText w:val="%1.%2.%3.%4.%5.%6.%7"/>
      <w:lvlJc w:val="left"/>
      <w:pPr>
        <w:ind w:left="445" w:hanging="1296"/>
      </w:pPr>
    </w:lvl>
    <w:lvl w:ilvl="7">
      <w:start w:val="1"/>
      <w:numFmt w:val="decimal"/>
      <w:pStyle w:val="Heading8"/>
      <w:lvlText w:val="%1.%2.%3.%4.%5.%6.%7.%8"/>
      <w:lvlJc w:val="left"/>
      <w:pPr>
        <w:ind w:left="589" w:hanging="1440"/>
      </w:pPr>
    </w:lvl>
    <w:lvl w:ilvl="8">
      <w:start w:val="1"/>
      <w:numFmt w:val="decimal"/>
      <w:pStyle w:val="Heading9"/>
      <w:lvlText w:val="%1.%2.%3.%4.%5.%6.%7.%8.%9"/>
      <w:lvlJc w:val="left"/>
      <w:pPr>
        <w:ind w:left="733" w:hanging="1584"/>
      </w:pPr>
    </w:lvl>
  </w:abstractNum>
  <w:abstractNum w:abstractNumId="12" w15:restartNumberingAfterBreak="0">
    <w:nsid w:val="2D221F24"/>
    <w:multiLevelType w:val="hybridMultilevel"/>
    <w:tmpl w:val="C3227C1A"/>
    <w:lvl w:ilvl="0" w:tplc="96DAB25A">
      <w:start w:val="1"/>
      <w:numFmt w:val="bullet"/>
      <w:pStyle w:val="Bullets"/>
      <w:lvlText w:val=""/>
      <w:lvlJc w:val="left"/>
      <w:pPr>
        <w:ind w:left="372" w:hanging="372"/>
      </w:pPr>
      <w:rPr>
        <w:rFonts w:ascii="Wingdings" w:hAnsi="Wingdings"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13" w15:restartNumberingAfterBreak="0">
    <w:nsid w:val="2F9B7A2A"/>
    <w:multiLevelType w:val="hybridMultilevel"/>
    <w:tmpl w:val="FBF0B3E6"/>
    <w:lvl w:ilvl="0" w:tplc="1BA60A98">
      <w:start w:val="1"/>
      <w:numFmt w:val="bullet"/>
      <w:lvlText w:val=""/>
      <w:lvlJc w:val="left"/>
      <w:pPr>
        <w:tabs>
          <w:tab w:val="num" w:pos="720"/>
        </w:tabs>
        <w:ind w:left="720" w:hanging="360"/>
      </w:pPr>
      <w:rPr>
        <w:rFonts w:ascii="Wingdings" w:hAnsi="Wingdings" w:hint="default"/>
      </w:rPr>
    </w:lvl>
    <w:lvl w:ilvl="1" w:tplc="EA7EA4A8" w:tentative="1">
      <w:start w:val="1"/>
      <w:numFmt w:val="bullet"/>
      <w:lvlText w:val=""/>
      <w:lvlJc w:val="left"/>
      <w:pPr>
        <w:tabs>
          <w:tab w:val="num" w:pos="1440"/>
        </w:tabs>
        <w:ind w:left="1440" w:hanging="360"/>
      </w:pPr>
      <w:rPr>
        <w:rFonts w:ascii="Wingdings" w:hAnsi="Wingdings" w:hint="default"/>
      </w:rPr>
    </w:lvl>
    <w:lvl w:ilvl="2" w:tplc="2DE660CC" w:tentative="1">
      <w:start w:val="1"/>
      <w:numFmt w:val="bullet"/>
      <w:lvlText w:val=""/>
      <w:lvlJc w:val="left"/>
      <w:pPr>
        <w:tabs>
          <w:tab w:val="num" w:pos="2160"/>
        </w:tabs>
        <w:ind w:left="2160" w:hanging="360"/>
      </w:pPr>
      <w:rPr>
        <w:rFonts w:ascii="Wingdings" w:hAnsi="Wingdings" w:hint="default"/>
      </w:rPr>
    </w:lvl>
    <w:lvl w:ilvl="3" w:tplc="EA0455C6" w:tentative="1">
      <w:start w:val="1"/>
      <w:numFmt w:val="bullet"/>
      <w:lvlText w:val=""/>
      <w:lvlJc w:val="left"/>
      <w:pPr>
        <w:tabs>
          <w:tab w:val="num" w:pos="2880"/>
        </w:tabs>
        <w:ind w:left="2880" w:hanging="360"/>
      </w:pPr>
      <w:rPr>
        <w:rFonts w:ascii="Wingdings" w:hAnsi="Wingdings" w:hint="default"/>
      </w:rPr>
    </w:lvl>
    <w:lvl w:ilvl="4" w:tplc="02B40156" w:tentative="1">
      <w:start w:val="1"/>
      <w:numFmt w:val="bullet"/>
      <w:lvlText w:val=""/>
      <w:lvlJc w:val="left"/>
      <w:pPr>
        <w:tabs>
          <w:tab w:val="num" w:pos="3600"/>
        </w:tabs>
        <w:ind w:left="3600" w:hanging="360"/>
      </w:pPr>
      <w:rPr>
        <w:rFonts w:ascii="Wingdings" w:hAnsi="Wingdings" w:hint="default"/>
      </w:rPr>
    </w:lvl>
    <w:lvl w:ilvl="5" w:tplc="86CE199C" w:tentative="1">
      <w:start w:val="1"/>
      <w:numFmt w:val="bullet"/>
      <w:lvlText w:val=""/>
      <w:lvlJc w:val="left"/>
      <w:pPr>
        <w:tabs>
          <w:tab w:val="num" w:pos="4320"/>
        </w:tabs>
        <w:ind w:left="4320" w:hanging="360"/>
      </w:pPr>
      <w:rPr>
        <w:rFonts w:ascii="Wingdings" w:hAnsi="Wingdings" w:hint="default"/>
      </w:rPr>
    </w:lvl>
    <w:lvl w:ilvl="6" w:tplc="E80E16BA" w:tentative="1">
      <w:start w:val="1"/>
      <w:numFmt w:val="bullet"/>
      <w:lvlText w:val=""/>
      <w:lvlJc w:val="left"/>
      <w:pPr>
        <w:tabs>
          <w:tab w:val="num" w:pos="5040"/>
        </w:tabs>
        <w:ind w:left="5040" w:hanging="360"/>
      </w:pPr>
      <w:rPr>
        <w:rFonts w:ascii="Wingdings" w:hAnsi="Wingdings" w:hint="default"/>
      </w:rPr>
    </w:lvl>
    <w:lvl w:ilvl="7" w:tplc="2DAC87CE" w:tentative="1">
      <w:start w:val="1"/>
      <w:numFmt w:val="bullet"/>
      <w:lvlText w:val=""/>
      <w:lvlJc w:val="left"/>
      <w:pPr>
        <w:tabs>
          <w:tab w:val="num" w:pos="5760"/>
        </w:tabs>
        <w:ind w:left="5760" w:hanging="360"/>
      </w:pPr>
      <w:rPr>
        <w:rFonts w:ascii="Wingdings" w:hAnsi="Wingdings" w:hint="default"/>
      </w:rPr>
    </w:lvl>
    <w:lvl w:ilvl="8" w:tplc="8916A1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82779"/>
    <w:multiLevelType w:val="hybridMultilevel"/>
    <w:tmpl w:val="52946268"/>
    <w:lvl w:ilvl="0" w:tplc="24A67BD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2B2205"/>
    <w:multiLevelType w:val="hybridMultilevel"/>
    <w:tmpl w:val="252A3D7E"/>
    <w:lvl w:ilvl="0" w:tplc="36F482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21FC5"/>
    <w:multiLevelType w:val="hybridMultilevel"/>
    <w:tmpl w:val="1D6A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045334"/>
    <w:multiLevelType w:val="hybridMultilevel"/>
    <w:tmpl w:val="8996DB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4D0B7445"/>
    <w:multiLevelType w:val="hybridMultilevel"/>
    <w:tmpl w:val="AE824EAA"/>
    <w:lvl w:ilvl="0" w:tplc="E9A27344">
      <w:start w:val="1"/>
      <w:numFmt w:val="decimal"/>
      <w:lvlText w:val="Report %1:"/>
      <w:lvlJc w:val="left"/>
      <w:pPr>
        <w:ind w:left="8014" w:hanging="360"/>
      </w:pPr>
      <w:rPr>
        <w:rFonts w:hint="default"/>
      </w:rPr>
    </w:lvl>
    <w:lvl w:ilvl="1" w:tplc="0C090019" w:tentative="1">
      <w:start w:val="1"/>
      <w:numFmt w:val="lowerLetter"/>
      <w:lvlText w:val="%2."/>
      <w:lvlJc w:val="left"/>
      <w:pPr>
        <w:ind w:left="8734" w:hanging="360"/>
      </w:pPr>
    </w:lvl>
    <w:lvl w:ilvl="2" w:tplc="0C09001B" w:tentative="1">
      <w:start w:val="1"/>
      <w:numFmt w:val="lowerRoman"/>
      <w:lvlText w:val="%3."/>
      <w:lvlJc w:val="right"/>
      <w:pPr>
        <w:ind w:left="9454" w:hanging="180"/>
      </w:pPr>
    </w:lvl>
    <w:lvl w:ilvl="3" w:tplc="0C09000F" w:tentative="1">
      <w:start w:val="1"/>
      <w:numFmt w:val="decimal"/>
      <w:lvlText w:val="%4."/>
      <w:lvlJc w:val="left"/>
      <w:pPr>
        <w:ind w:left="10174" w:hanging="360"/>
      </w:pPr>
    </w:lvl>
    <w:lvl w:ilvl="4" w:tplc="0C090019" w:tentative="1">
      <w:start w:val="1"/>
      <w:numFmt w:val="lowerLetter"/>
      <w:lvlText w:val="%5."/>
      <w:lvlJc w:val="left"/>
      <w:pPr>
        <w:ind w:left="10894" w:hanging="360"/>
      </w:pPr>
    </w:lvl>
    <w:lvl w:ilvl="5" w:tplc="0C09001B" w:tentative="1">
      <w:start w:val="1"/>
      <w:numFmt w:val="lowerRoman"/>
      <w:lvlText w:val="%6."/>
      <w:lvlJc w:val="right"/>
      <w:pPr>
        <w:ind w:left="11614" w:hanging="180"/>
      </w:pPr>
    </w:lvl>
    <w:lvl w:ilvl="6" w:tplc="0C09000F" w:tentative="1">
      <w:start w:val="1"/>
      <w:numFmt w:val="decimal"/>
      <w:lvlText w:val="%7."/>
      <w:lvlJc w:val="left"/>
      <w:pPr>
        <w:ind w:left="12334" w:hanging="360"/>
      </w:pPr>
    </w:lvl>
    <w:lvl w:ilvl="7" w:tplc="0C090019" w:tentative="1">
      <w:start w:val="1"/>
      <w:numFmt w:val="lowerLetter"/>
      <w:lvlText w:val="%8."/>
      <w:lvlJc w:val="left"/>
      <w:pPr>
        <w:ind w:left="13054" w:hanging="360"/>
      </w:pPr>
    </w:lvl>
    <w:lvl w:ilvl="8" w:tplc="0C09001B" w:tentative="1">
      <w:start w:val="1"/>
      <w:numFmt w:val="lowerRoman"/>
      <w:lvlText w:val="%9."/>
      <w:lvlJc w:val="right"/>
      <w:pPr>
        <w:ind w:left="13774" w:hanging="180"/>
      </w:pPr>
    </w:lvl>
  </w:abstractNum>
  <w:abstractNum w:abstractNumId="19" w15:restartNumberingAfterBreak="0">
    <w:nsid w:val="50825B68"/>
    <w:multiLevelType w:val="hybridMultilevel"/>
    <w:tmpl w:val="7F0ECF34"/>
    <w:lvl w:ilvl="0" w:tplc="A6384F7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286F53"/>
    <w:multiLevelType w:val="hybridMultilevel"/>
    <w:tmpl w:val="2C90F506"/>
    <w:lvl w:ilvl="0" w:tplc="A038F3C8">
      <w:start w:val="1"/>
      <w:numFmt w:val="lowerLetter"/>
      <w:pStyle w:val="CCS-NumericNumberedList"/>
      <w:lvlText w:val="%1)"/>
      <w:lvlJc w:val="left"/>
      <w:pPr>
        <w:ind w:left="360" w:hanging="360"/>
      </w:pPr>
      <w:rPr>
        <w:rFonts w:hint="default"/>
      </w:rPr>
    </w:lvl>
    <w:lvl w:ilvl="1" w:tplc="F41A5474" w:tentative="1">
      <w:start w:val="1"/>
      <w:numFmt w:val="lowerLetter"/>
      <w:lvlText w:val="%2."/>
      <w:lvlJc w:val="left"/>
      <w:pPr>
        <w:ind w:left="1080" w:hanging="360"/>
      </w:pPr>
    </w:lvl>
    <w:lvl w:ilvl="2" w:tplc="3678FA12" w:tentative="1">
      <w:start w:val="1"/>
      <w:numFmt w:val="lowerRoman"/>
      <w:lvlText w:val="%3."/>
      <w:lvlJc w:val="right"/>
      <w:pPr>
        <w:ind w:left="1800" w:hanging="180"/>
      </w:pPr>
    </w:lvl>
    <w:lvl w:ilvl="3" w:tplc="06D8D3D4" w:tentative="1">
      <w:start w:val="1"/>
      <w:numFmt w:val="decimal"/>
      <w:lvlText w:val="%4."/>
      <w:lvlJc w:val="left"/>
      <w:pPr>
        <w:ind w:left="2520" w:hanging="360"/>
      </w:pPr>
    </w:lvl>
    <w:lvl w:ilvl="4" w:tplc="F7C4D3AC" w:tentative="1">
      <w:start w:val="1"/>
      <w:numFmt w:val="lowerLetter"/>
      <w:lvlText w:val="%5."/>
      <w:lvlJc w:val="left"/>
      <w:pPr>
        <w:ind w:left="3240" w:hanging="360"/>
      </w:pPr>
    </w:lvl>
    <w:lvl w:ilvl="5" w:tplc="EC263354" w:tentative="1">
      <w:start w:val="1"/>
      <w:numFmt w:val="lowerRoman"/>
      <w:lvlText w:val="%6."/>
      <w:lvlJc w:val="right"/>
      <w:pPr>
        <w:ind w:left="3960" w:hanging="180"/>
      </w:pPr>
    </w:lvl>
    <w:lvl w:ilvl="6" w:tplc="6DDAB9AE" w:tentative="1">
      <w:start w:val="1"/>
      <w:numFmt w:val="decimal"/>
      <w:lvlText w:val="%7."/>
      <w:lvlJc w:val="left"/>
      <w:pPr>
        <w:ind w:left="4680" w:hanging="360"/>
      </w:pPr>
    </w:lvl>
    <w:lvl w:ilvl="7" w:tplc="BB460B5C" w:tentative="1">
      <w:start w:val="1"/>
      <w:numFmt w:val="lowerLetter"/>
      <w:lvlText w:val="%8."/>
      <w:lvlJc w:val="left"/>
      <w:pPr>
        <w:ind w:left="5400" w:hanging="360"/>
      </w:pPr>
    </w:lvl>
    <w:lvl w:ilvl="8" w:tplc="29BA4FE2" w:tentative="1">
      <w:start w:val="1"/>
      <w:numFmt w:val="lowerRoman"/>
      <w:lvlText w:val="%9."/>
      <w:lvlJc w:val="right"/>
      <w:pPr>
        <w:ind w:left="6120" w:hanging="180"/>
      </w:pPr>
    </w:lvl>
  </w:abstractNum>
  <w:abstractNum w:abstractNumId="21" w15:restartNumberingAfterBreak="0">
    <w:nsid w:val="648A59F5"/>
    <w:multiLevelType w:val="hybridMultilevel"/>
    <w:tmpl w:val="2870D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D23E40"/>
    <w:multiLevelType w:val="hybridMultilevel"/>
    <w:tmpl w:val="A41EA4A4"/>
    <w:lvl w:ilvl="0" w:tplc="B4FCBC04">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1658CE"/>
    <w:multiLevelType w:val="hybridMultilevel"/>
    <w:tmpl w:val="33D4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B0F0B"/>
    <w:multiLevelType w:val="singleLevel"/>
    <w:tmpl w:val="32D6C89A"/>
    <w:lvl w:ilvl="0">
      <w:start w:val="1"/>
      <w:numFmt w:val="bullet"/>
      <w:pStyle w:val="1BulletList"/>
      <w:lvlText w:val=""/>
      <w:lvlJc w:val="left"/>
      <w:pPr>
        <w:tabs>
          <w:tab w:val="num" w:pos="360"/>
        </w:tabs>
        <w:ind w:left="360" w:hanging="360"/>
      </w:pPr>
      <w:rPr>
        <w:rFonts w:ascii="Wingdings" w:hAnsi="Wingdings" w:hint="default"/>
      </w:rPr>
    </w:lvl>
  </w:abstractNum>
  <w:abstractNum w:abstractNumId="25" w15:restartNumberingAfterBreak="0">
    <w:nsid w:val="74083973"/>
    <w:multiLevelType w:val="hybridMultilevel"/>
    <w:tmpl w:val="758025B8"/>
    <w:lvl w:ilvl="0" w:tplc="616E43EA">
      <w:start w:val="1"/>
      <w:numFmt w:val="bullet"/>
      <w:lvlText w:val=""/>
      <w:lvlJc w:val="left"/>
      <w:pPr>
        <w:tabs>
          <w:tab w:val="num" w:pos="720"/>
        </w:tabs>
        <w:ind w:left="720" w:hanging="360"/>
      </w:pPr>
      <w:rPr>
        <w:rFonts w:ascii="Wingdings" w:hAnsi="Wingdings" w:hint="default"/>
      </w:rPr>
    </w:lvl>
    <w:lvl w:ilvl="1" w:tplc="B31A941E" w:tentative="1">
      <w:start w:val="1"/>
      <w:numFmt w:val="bullet"/>
      <w:lvlText w:val=""/>
      <w:lvlJc w:val="left"/>
      <w:pPr>
        <w:tabs>
          <w:tab w:val="num" w:pos="1440"/>
        </w:tabs>
        <w:ind w:left="1440" w:hanging="360"/>
      </w:pPr>
      <w:rPr>
        <w:rFonts w:ascii="Wingdings" w:hAnsi="Wingdings" w:hint="default"/>
      </w:rPr>
    </w:lvl>
    <w:lvl w:ilvl="2" w:tplc="B7060E16" w:tentative="1">
      <w:start w:val="1"/>
      <w:numFmt w:val="bullet"/>
      <w:lvlText w:val=""/>
      <w:lvlJc w:val="left"/>
      <w:pPr>
        <w:tabs>
          <w:tab w:val="num" w:pos="2160"/>
        </w:tabs>
        <w:ind w:left="2160" w:hanging="360"/>
      </w:pPr>
      <w:rPr>
        <w:rFonts w:ascii="Wingdings" w:hAnsi="Wingdings" w:hint="default"/>
      </w:rPr>
    </w:lvl>
    <w:lvl w:ilvl="3" w:tplc="BF7A4C24" w:tentative="1">
      <w:start w:val="1"/>
      <w:numFmt w:val="bullet"/>
      <w:lvlText w:val=""/>
      <w:lvlJc w:val="left"/>
      <w:pPr>
        <w:tabs>
          <w:tab w:val="num" w:pos="2880"/>
        </w:tabs>
        <w:ind w:left="2880" w:hanging="360"/>
      </w:pPr>
      <w:rPr>
        <w:rFonts w:ascii="Wingdings" w:hAnsi="Wingdings" w:hint="default"/>
      </w:rPr>
    </w:lvl>
    <w:lvl w:ilvl="4" w:tplc="5B36C2D8" w:tentative="1">
      <w:start w:val="1"/>
      <w:numFmt w:val="bullet"/>
      <w:lvlText w:val=""/>
      <w:lvlJc w:val="left"/>
      <w:pPr>
        <w:tabs>
          <w:tab w:val="num" w:pos="3600"/>
        </w:tabs>
        <w:ind w:left="3600" w:hanging="360"/>
      </w:pPr>
      <w:rPr>
        <w:rFonts w:ascii="Wingdings" w:hAnsi="Wingdings" w:hint="default"/>
      </w:rPr>
    </w:lvl>
    <w:lvl w:ilvl="5" w:tplc="4A086CB8" w:tentative="1">
      <w:start w:val="1"/>
      <w:numFmt w:val="bullet"/>
      <w:lvlText w:val=""/>
      <w:lvlJc w:val="left"/>
      <w:pPr>
        <w:tabs>
          <w:tab w:val="num" w:pos="4320"/>
        </w:tabs>
        <w:ind w:left="4320" w:hanging="360"/>
      </w:pPr>
      <w:rPr>
        <w:rFonts w:ascii="Wingdings" w:hAnsi="Wingdings" w:hint="default"/>
      </w:rPr>
    </w:lvl>
    <w:lvl w:ilvl="6" w:tplc="42A2AB24" w:tentative="1">
      <w:start w:val="1"/>
      <w:numFmt w:val="bullet"/>
      <w:lvlText w:val=""/>
      <w:lvlJc w:val="left"/>
      <w:pPr>
        <w:tabs>
          <w:tab w:val="num" w:pos="5040"/>
        </w:tabs>
        <w:ind w:left="5040" w:hanging="360"/>
      </w:pPr>
      <w:rPr>
        <w:rFonts w:ascii="Wingdings" w:hAnsi="Wingdings" w:hint="default"/>
      </w:rPr>
    </w:lvl>
    <w:lvl w:ilvl="7" w:tplc="188639C6" w:tentative="1">
      <w:start w:val="1"/>
      <w:numFmt w:val="bullet"/>
      <w:lvlText w:val=""/>
      <w:lvlJc w:val="left"/>
      <w:pPr>
        <w:tabs>
          <w:tab w:val="num" w:pos="5760"/>
        </w:tabs>
        <w:ind w:left="5760" w:hanging="360"/>
      </w:pPr>
      <w:rPr>
        <w:rFonts w:ascii="Wingdings" w:hAnsi="Wingdings" w:hint="default"/>
      </w:rPr>
    </w:lvl>
    <w:lvl w:ilvl="8" w:tplc="AAB0CC3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E55AD"/>
    <w:multiLevelType w:val="hybridMultilevel"/>
    <w:tmpl w:val="CD828D02"/>
    <w:lvl w:ilvl="0" w:tplc="24A67BD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num>
  <w:num w:numId="5">
    <w:abstractNumId w:val="11"/>
  </w:num>
  <w:num w:numId="6">
    <w:abstractNumId w:val="1"/>
  </w:num>
  <w:num w:numId="7">
    <w:abstractNumId w:val="18"/>
  </w:num>
  <w:num w:numId="8">
    <w:abstractNumId w:val="20"/>
  </w:num>
  <w:num w:numId="9">
    <w:abstractNumId w:val="19"/>
  </w:num>
  <w:num w:numId="10">
    <w:abstractNumId w:val="16"/>
  </w:num>
  <w:num w:numId="11">
    <w:abstractNumId w:val="0"/>
  </w:num>
  <w:num w:numId="12">
    <w:abstractNumId w:val="8"/>
  </w:num>
  <w:num w:numId="13">
    <w:abstractNumId w:val="23"/>
  </w:num>
  <w:num w:numId="14">
    <w:abstractNumId w:val="2"/>
  </w:num>
  <w:num w:numId="15">
    <w:abstractNumId w:val="3"/>
  </w:num>
  <w:num w:numId="16">
    <w:abstractNumId w:val="4"/>
  </w:num>
  <w:num w:numId="17">
    <w:abstractNumId w:val="25"/>
  </w:num>
  <w:num w:numId="18">
    <w:abstractNumId w:val="13"/>
  </w:num>
  <w:num w:numId="19">
    <w:abstractNumId w:val="22"/>
  </w:num>
  <w:num w:numId="20">
    <w:abstractNumId w:val="14"/>
  </w:num>
  <w:num w:numId="21">
    <w:abstractNumId w:val="26"/>
  </w:num>
  <w:num w:numId="22">
    <w:abstractNumId w:val="1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15"/>
  </w:num>
  <w:num w:numId="27">
    <w:abstractNumId w:val="12"/>
  </w:num>
  <w:num w:numId="28">
    <w:abstractNumId w:val="9"/>
  </w:num>
  <w:num w:numId="29">
    <w:abstractNumId w:val="1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prasewy50eeeeexpapftfmr0drvfdaxttt&quot;&gt;Aged Care Funding 26_oct&lt;record-ids&gt;&lt;item&gt;2332&lt;/item&gt;&lt;item&gt;6557&lt;/item&gt;&lt;item&gt;6566&lt;/item&gt;&lt;item&gt;6579&lt;/item&gt;&lt;item&gt;6581&lt;/item&gt;&lt;item&gt;6582&lt;/item&gt;&lt;item&gt;6628&lt;/item&gt;&lt;item&gt;6634&lt;/item&gt;&lt;item&gt;6636&lt;/item&gt;&lt;item&gt;6638&lt;/item&gt;&lt;item&gt;6639&lt;/item&gt;&lt;item&gt;6640&lt;/item&gt;&lt;item&gt;6641&lt;/item&gt;&lt;item&gt;6642&lt;/item&gt;&lt;item&gt;6646&lt;/item&gt;&lt;item&gt;6669&lt;/item&gt;&lt;item&gt;6670&lt;/item&gt;&lt;item&gt;6671&lt;/item&gt;&lt;item&gt;6672&lt;/item&gt;&lt;item&gt;6673&lt;/item&gt;&lt;item&gt;6674&lt;/item&gt;&lt;item&gt;6675&lt;/item&gt;&lt;item&gt;6676&lt;/item&gt;&lt;item&gt;6677&lt;/item&gt;&lt;item&gt;6678&lt;/item&gt;&lt;item&gt;6679&lt;/item&gt;&lt;item&gt;6680&lt;/item&gt;&lt;item&gt;6681&lt;/item&gt;&lt;item&gt;6682&lt;/item&gt;&lt;item&gt;6683&lt;/item&gt;&lt;item&gt;6684&lt;/item&gt;&lt;item&gt;6685&lt;/item&gt;&lt;item&gt;6686&lt;/item&gt;&lt;item&gt;6687&lt;/item&gt;&lt;item&gt;6688&lt;/item&gt;&lt;item&gt;6689&lt;/item&gt;&lt;item&gt;6690&lt;/item&gt;&lt;item&gt;6691&lt;/item&gt;&lt;item&gt;6694&lt;/item&gt;&lt;item&gt;6695&lt;/item&gt;&lt;item&gt;6702&lt;/item&gt;&lt;item&gt;6704&lt;/item&gt;&lt;item&gt;6706&lt;/item&gt;&lt;item&gt;6707&lt;/item&gt;&lt;item&gt;6709&lt;/item&gt;&lt;item&gt;6710&lt;/item&gt;&lt;item&gt;6711&lt;/item&gt;&lt;item&gt;6712&lt;/item&gt;&lt;item&gt;6713&lt;/item&gt;&lt;item&gt;6714&lt;/item&gt;&lt;item&gt;6715&lt;/item&gt;&lt;item&gt;6726&lt;/item&gt;&lt;item&gt;6728&lt;/item&gt;&lt;item&gt;6731&lt;/item&gt;&lt;item&gt;6732&lt;/item&gt;&lt;/record-ids&gt;&lt;/item&gt;&lt;/Libraries&gt;"/>
  </w:docVars>
  <w:rsids>
    <w:rsidRoot w:val="000B46BA"/>
    <w:rsid w:val="000000CE"/>
    <w:rsid w:val="0000366F"/>
    <w:rsid w:val="00004D35"/>
    <w:rsid w:val="0000628A"/>
    <w:rsid w:val="00007336"/>
    <w:rsid w:val="000076A6"/>
    <w:rsid w:val="000101DF"/>
    <w:rsid w:val="00011498"/>
    <w:rsid w:val="000122CB"/>
    <w:rsid w:val="000138E3"/>
    <w:rsid w:val="000142F5"/>
    <w:rsid w:val="00014BAB"/>
    <w:rsid w:val="000150EC"/>
    <w:rsid w:val="0001566D"/>
    <w:rsid w:val="00016584"/>
    <w:rsid w:val="000165FB"/>
    <w:rsid w:val="00017B68"/>
    <w:rsid w:val="0002034A"/>
    <w:rsid w:val="00021A08"/>
    <w:rsid w:val="000222BC"/>
    <w:rsid w:val="000226AB"/>
    <w:rsid w:val="00022FFE"/>
    <w:rsid w:val="00023035"/>
    <w:rsid w:val="00023E7B"/>
    <w:rsid w:val="0002445A"/>
    <w:rsid w:val="00024AA3"/>
    <w:rsid w:val="000251DD"/>
    <w:rsid w:val="0002520E"/>
    <w:rsid w:val="00026652"/>
    <w:rsid w:val="00026E58"/>
    <w:rsid w:val="00027C97"/>
    <w:rsid w:val="000305B7"/>
    <w:rsid w:val="00031CF3"/>
    <w:rsid w:val="00031F7C"/>
    <w:rsid w:val="000329DE"/>
    <w:rsid w:val="00032FB3"/>
    <w:rsid w:val="000330A6"/>
    <w:rsid w:val="00033371"/>
    <w:rsid w:val="00033583"/>
    <w:rsid w:val="00034ADD"/>
    <w:rsid w:val="000354F6"/>
    <w:rsid w:val="000355D0"/>
    <w:rsid w:val="000375C6"/>
    <w:rsid w:val="0003787A"/>
    <w:rsid w:val="000400CA"/>
    <w:rsid w:val="00041952"/>
    <w:rsid w:val="000421E7"/>
    <w:rsid w:val="000423E6"/>
    <w:rsid w:val="0004375C"/>
    <w:rsid w:val="000444FB"/>
    <w:rsid w:val="00044B87"/>
    <w:rsid w:val="00046A09"/>
    <w:rsid w:val="00046BF9"/>
    <w:rsid w:val="00046CB5"/>
    <w:rsid w:val="00046EBD"/>
    <w:rsid w:val="000473C5"/>
    <w:rsid w:val="00047563"/>
    <w:rsid w:val="00050264"/>
    <w:rsid w:val="00050E2D"/>
    <w:rsid w:val="000511DC"/>
    <w:rsid w:val="0005136D"/>
    <w:rsid w:val="00051905"/>
    <w:rsid w:val="0005266D"/>
    <w:rsid w:val="0005498B"/>
    <w:rsid w:val="000559FD"/>
    <w:rsid w:val="00055F86"/>
    <w:rsid w:val="0005696C"/>
    <w:rsid w:val="00056D20"/>
    <w:rsid w:val="00057FB5"/>
    <w:rsid w:val="00062314"/>
    <w:rsid w:val="00064D9A"/>
    <w:rsid w:val="0006627D"/>
    <w:rsid w:val="00067645"/>
    <w:rsid w:val="000678B9"/>
    <w:rsid w:val="00067DB5"/>
    <w:rsid w:val="00070608"/>
    <w:rsid w:val="00071362"/>
    <w:rsid w:val="00071EDA"/>
    <w:rsid w:val="00072323"/>
    <w:rsid w:val="00072C94"/>
    <w:rsid w:val="00072EF3"/>
    <w:rsid w:val="000732E0"/>
    <w:rsid w:val="00074536"/>
    <w:rsid w:val="000745EA"/>
    <w:rsid w:val="0007469A"/>
    <w:rsid w:val="000747A5"/>
    <w:rsid w:val="000750D0"/>
    <w:rsid w:val="00075473"/>
    <w:rsid w:val="000765A6"/>
    <w:rsid w:val="00076C02"/>
    <w:rsid w:val="00077739"/>
    <w:rsid w:val="00080370"/>
    <w:rsid w:val="000809BA"/>
    <w:rsid w:val="00080D96"/>
    <w:rsid w:val="00082258"/>
    <w:rsid w:val="0008396E"/>
    <w:rsid w:val="00084CA9"/>
    <w:rsid w:val="00085394"/>
    <w:rsid w:val="00086A59"/>
    <w:rsid w:val="0009043A"/>
    <w:rsid w:val="0009066F"/>
    <w:rsid w:val="000917B2"/>
    <w:rsid w:val="00091BE1"/>
    <w:rsid w:val="0009233A"/>
    <w:rsid w:val="000932F1"/>
    <w:rsid w:val="000937CF"/>
    <w:rsid w:val="00094D73"/>
    <w:rsid w:val="00094D88"/>
    <w:rsid w:val="00094F66"/>
    <w:rsid w:val="00094FCE"/>
    <w:rsid w:val="00097B5A"/>
    <w:rsid w:val="000A065D"/>
    <w:rsid w:val="000A11C9"/>
    <w:rsid w:val="000A1CD3"/>
    <w:rsid w:val="000A6240"/>
    <w:rsid w:val="000B0394"/>
    <w:rsid w:val="000B0A40"/>
    <w:rsid w:val="000B0BA3"/>
    <w:rsid w:val="000B1E7D"/>
    <w:rsid w:val="000B30E4"/>
    <w:rsid w:val="000B33A4"/>
    <w:rsid w:val="000B33FD"/>
    <w:rsid w:val="000B3C15"/>
    <w:rsid w:val="000B3D2E"/>
    <w:rsid w:val="000B4675"/>
    <w:rsid w:val="000B46BA"/>
    <w:rsid w:val="000B55ED"/>
    <w:rsid w:val="000B56B0"/>
    <w:rsid w:val="000B72CA"/>
    <w:rsid w:val="000B7B3F"/>
    <w:rsid w:val="000B7F4E"/>
    <w:rsid w:val="000C10AA"/>
    <w:rsid w:val="000C14FE"/>
    <w:rsid w:val="000C2445"/>
    <w:rsid w:val="000C2CE5"/>
    <w:rsid w:val="000C2F0D"/>
    <w:rsid w:val="000C34A0"/>
    <w:rsid w:val="000C3553"/>
    <w:rsid w:val="000C46D3"/>
    <w:rsid w:val="000C4885"/>
    <w:rsid w:val="000C5600"/>
    <w:rsid w:val="000C6692"/>
    <w:rsid w:val="000C6931"/>
    <w:rsid w:val="000C6E5B"/>
    <w:rsid w:val="000C7C68"/>
    <w:rsid w:val="000C7F2F"/>
    <w:rsid w:val="000D043D"/>
    <w:rsid w:val="000D0894"/>
    <w:rsid w:val="000D1A67"/>
    <w:rsid w:val="000D1E20"/>
    <w:rsid w:val="000D49ED"/>
    <w:rsid w:val="000D533F"/>
    <w:rsid w:val="000D5BAA"/>
    <w:rsid w:val="000D70BB"/>
    <w:rsid w:val="000D75A8"/>
    <w:rsid w:val="000E0595"/>
    <w:rsid w:val="000E0D12"/>
    <w:rsid w:val="000E0EE9"/>
    <w:rsid w:val="000E255F"/>
    <w:rsid w:val="000E2DFC"/>
    <w:rsid w:val="000E2E57"/>
    <w:rsid w:val="000E37DC"/>
    <w:rsid w:val="000E4FCB"/>
    <w:rsid w:val="000E5062"/>
    <w:rsid w:val="000E5857"/>
    <w:rsid w:val="000E6707"/>
    <w:rsid w:val="000E7149"/>
    <w:rsid w:val="000E7F2E"/>
    <w:rsid w:val="000F1BD8"/>
    <w:rsid w:val="000F1DD5"/>
    <w:rsid w:val="000F2AD8"/>
    <w:rsid w:val="000F2D73"/>
    <w:rsid w:val="000F37C0"/>
    <w:rsid w:val="000F38C1"/>
    <w:rsid w:val="000F5653"/>
    <w:rsid w:val="000F58F1"/>
    <w:rsid w:val="000F5D77"/>
    <w:rsid w:val="000F602D"/>
    <w:rsid w:val="000F654C"/>
    <w:rsid w:val="000F6A20"/>
    <w:rsid w:val="000F71AD"/>
    <w:rsid w:val="000F7469"/>
    <w:rsid w:val="000F7740"/>
    <w:rsid w:val="000F7F94"/>
    <w:rsid w:val="00100685"/>
    <w:rsid w:val="0010097A"/>
    <w:rsid w:val="00100A40"/>
    <w:rsid w:val="001035AF"/>
    <w:rsid w:val="00105817"/>
    <w:rsid w:val="001064BF"/>
    <w:rsid w:val="00106EF7"/>
    <w:rsid w:val="0010706C"/>
    <w:rsid w:val="0010766B"/>
    <w:rsid w:val="00110EE7"/>
    <w:rsid w:val="00111E70"/>
    <w:rsid w:val="001124DF"/>
    <w:rsid w:val="001125E5"/>
    <w:rsid w:val="001131C7"/>
    <w:rsid w:val="00113A92"/>
    <w:rsid w:val="00113E82"/>
    <w:rsid w:val="00116A3F"/>
    <w:rsid w:val="00116DD8"/>
    <w:rsid w:val="0012078B"/>
    <w:rsid w:val="00121A37"/>
    <w:rsid w:val="0012319C"/>
    <w:rsid w:val="00123ACD"/>
    <w:rsid w:val="00123BFB"/>
    <w:rsid w:val="00123C7D"/>
    <w:rsid w:val="00123C99"/>
    <w:rsid w:val="00124039"/>
    <w:rsid w:val="00125790"/>
    <w:rsid w:val="00126520"/>
    <w:rsid w:val="00126D1B"/>
    <w:rsid w:val="001276D1"/>
    <w:rsid w:val="00127D16"/>
    <w:rsid w:val="00130D28"/>
    <w:rsid w:val="00131091"/>
    <w:rsid w:val="00131998"/>
    <w:rsid w:val="00132716"/>
    <w:rsid w:val="00132ABB"/>
    <w:rsid w:val="00132EA7"/>
    <w:rsid w:val="00133015"/>
    <w:rsid w:val="00133EF0"/>
    <w:rsid w:val="001355D8"/>
    <w:rsid w:val="00136D35"/>
    <w:rsid w:val="00137428"/>
    <w:rsid w:val="00140421"/>
    <w:rsid w:val="001406E9"/>
    <w:rsid w:val="00140B0A"/>
    <w:rsid w:val="00140ED6"/>
    <w:rsid w:val="001415CB"/>
    <w:rsid w:val="00141A7B"/>
    <w:rsid w:val="00141D56"/>
    <w:rsid w:val="001427CB"/>
    <w:rsid w:val="00142E8B"/>
    <w:rsid w:val="001433DC"/>
    <w:rsid w:val="001433EF"/>
    <w:rsid w:val="0014356B"/>
    <w:rsid w:val="001440B0"/>
    <w:rsid w:val="0014439A"/>
    <w:rsid w:val="00145273"/>
    <w:rsid w:val="00145CEA"/>
    <w:rsid w:val="00147130"/>
    <w:rsid w:val="00147410"/>
    <w:rsid w:val="00147AD1"/>
    <w:rsid w:val="0015199F"/>
    <w:rsid w:val="00152C5B"/>
    <w:rsid w:val="00152DFA"/>
    <w:rsid w:val="001549F4"/>
    <w:rsid w:val="00154EDA"/>
    <w:rsid w:val="00156801"/>
    <w:rsid w:val="0015750F"/>
    <w:rsid w:val="00161095"/>
    <w:rsid w:val="00161263"/>
    <w:rsid w:val="00161767"/>
    <w:rsid w:val="00161FF5"/>
    <w:rsid w:val="001627D3"/>
    <w:rsid w:val="0016396F"/>
    <w:rsid w:val="001639A5"/>
    <w:rsid w:val="00163DDD"/>
    <w:rsid w:val="00163E9A"/>
    <w:rsid w:val="0016767B"/>
    <w:rsid w:val="00167732"/>
    <w:rsid w:val="00170583"/>
    <w:rsid w:val="001712C7"/>
    <w:rsid w:val="00172CBA"/>
    <w:rsid w:val="00172F3D"/>
    <w:rsid w:val="001732D8"/>
    <w:rsid w:val="00173AF2"/>
    <w:rsid w:val="00173CE7"/>
    <w:rsid w:val="00174464"/>
    <w:rsid w:val="00175215"/>
    <w:rsid w:val="00177421"/>
    <w:rsid w:val="00180F4E"/>
    <w:rsid w:val="00181384"/>
    <w:rsid w:val="00181B7D"/>
    <w:rsid w:val="0018256F"/>
    <w:rsid w:val="001825D1"/>
    <w:rsid w:val="001827CD"/>
    <w:rsid w:val="0018369B"/>
    <w:rsid w:val="00184460"/>
    <w:rsid w:val="001845EB"/>
    <w:rsid w:val="00184D20"/>
    <w:rsid w:val="00184D2E"/>
    <w:rsid w:val="00184F60"/>
    <w:rsid w:val="001858E8"/>
    <w:rsid w:val="00185F46"/>
    <w:rsid w:val="001860A6"/>
    <w:rsid w:val="001861BA"/>
    <w:rsid w:val="00186289"/>
    <w:rsid w:val="00186993"/>
    <w:rsid w:val="00187632"/>
    <w:rsid w:val="00190048"/>
    <w:rsid w:val="00192AEF"/>
    <w:rsid w:val="001933AB"/>
    <w:rsid w:val="001938DC"/>
    <w:rsid w:val="0019529E"/>
    <w:rsid w:val="001957D3"/>
    <w:rsid w:val="00195858"/>
    <w:rsid w:val="00195C6C"/>
    <w:rsid w:val="00196DCE"/>
    <w:rsid w:val="0019727F"/>
    <w:rsid w:val="001974B8"/>
    <w:rsid w:val="001A0005"/>
    <w:rsid w:val="001A0502"/>
    <w:rsid w:val="001A0851"/>
    <w:rsid w:val="001A4DCA"/>
    <w:rsid w:val="001A4E10"/>
    <w:rsid w:val="001A53F8"/>
    <w:rsid w:val="001A55D8"/>
    <w:rsid w:val="001A57DC"/>
    <w:rsid w:val="001A59B2"/>
    <w:rsid w:val="001A73A9"/>
    <w:rsid w:val="001A7873"/>
    <w:rsid w:val="001B0634"/>
    <w:rsid w:val="001B2608"/>
    <w:rsid w:val="001B2A2B"/>
    <w:rsid w:val="001B3DA2"/>
    <w:rsid w:val="001B4227"/>
    <w:rsid w:val="001B42E9"/>
    <w:rsid w:val="001B542C"/>
    <w:rsid w:val="001B57ED"/>
    <w:rsid w:val="001B5F8F"/>
    <w:rsid w:val="001B6E14"/>
    <w:rsid w:val="001B74DB"/>
    <w:rsid w:val="001B7725"/>
    <w:rsid w:val="001C1798"/>
    <w:rsid w:val="001C20AD"/>
    <w:rsid w:val="001C319C"/>
    <w:rsid w:val="001C3BBE"/>
    <w:rsid w:val="001C4420"/>
    <w:rsid w:val="001C4E1D"/>
    <w:rsid w:val="001C68D5"/>
    <w:rsid w:val="001C6F05"/>
    <w:rsid w:val="001C7D35"/>
    <w:rsid w:val="001D163F"/>
    <w:rsid w:val="001D2B62"/>
    <w:rsid w:val="001D3270"/>
    <w:rsid w:val="001D41F0"/>
    <w:rsid w:val="001D45BA"/>
    <w:rsid w:val="001D4958"/>
    <w:rsid w:val="001D79FF"/>
    <w:rsid w:val="001E0BF9"/>
    <w:rsid w:val="001E117F"/>
    <w:rsid w:val="001E157E"/>
    <w:rsid w:val="001E1B68"/>
    <w:rsid w:val="001E2122"/>
    <w:rsid w:val="001E3432"/>
    <w:rsid w:val="001E3DB2"/>
    <w:rsid w:val="001E5E80"/>
    <w:rsid w:val="001E5FC5"/>
    <w:rsid w:val="001E6833"/>
    <w:rsid w:val="001E71A7"/>
    <w:rsid w:val="001E72B1"/>
    <w:rsid w:val="001E73B5"/>
    <w:rsid w:val="001F01D8"/>
    <w:rsid w:val="001F06D5"/>
    <w:rsid w:val="001F08ED"/>
    <w:rsid w:val="001F0B61"/>
    <w:rsid w:val="001F152E"/>
    <w:rsid w:val="001F158C"/>
    <w:rsid w:val="001F1FA5"/>
    <w:rsid w:val="001F2343"/>
    <w:rsid w:val="001F29C4"/>
    <w:rsid w:val="001F38A2"/>
    <w:rsid w:val="001F3AA0"/>
    <w:rsid w:val="001F3B39"/>
    <w:rsid w:val="001F3D5A"/>
    <w:rsid w:val="001F3F83"/>
    <w:rsid w:val="001F46F5"/>
    <w:rsid w:val="001F4A60"/>
    <w:rsid w:val="001F4FAE"/>
    <w:rsid w:val="001F579A"/>
    <w:rsid w:val="001F5811"/>
    <w:rsid w:val="001F6870"/>
    <w:rsid w:val="001F6C4D"/>
    <w:rsid w:val="001F7521"/>
    <w:rsid w:val="00200006"/>
    <w:rsid w:val="0020027C"/>
    <w:rsid w:val="00200922"/>
    <w:rsid w:val="00201488"/>
    <w:rsid w:val="002017D3"/>
    <w:rsid w:val="002024AF"/>
    <w:rsid w:val="002024F1"/>
    <w:rsid w:val="00204C1F"/>
    <w:rsid w:val="002054B9"/>
    <w:rsid w:val="002061CF"/>
    <w:rsid w:val="0020624F"/>
    <w:rsid w:val="00206D90"/>
    <w:rsid w:val="0020777E"/>
    <w:rsid w:val="002106A8"/>
    <w:rsid w:val="002129B6"/>
    <w:rsid w:val="002137AC"/>
    <w:rsid w:val="00215369"/>
    <w:rsid w:val="00216B4D"/>
    <w:rsid w:val="002171DD"/>
    <w:rsid w:val="0022007B"/>
    <w:rsid w:val="00221744"/>
    <w:rsid w:val="0022175E"/>
    <w:rsid w:val="002217DF"/>
    <w:rsid w:val="00221E4E"/>
    <w:rsid w:val="002231CE"/>
    <w:rsid w:val="0022449D"/>
    <w:rsid w:val="002245D9"/>
    <w:rsid w:val="00224D05"/>
    <w:rsid w:val="00225378"/>
    <w:rsid w:val="00226FBB"/>
    <w:rsid w:val="00227055"/>
    <w:rsid w:val="00232085"/>
    <w:rsid w:val="002322A4"/>
    <w:rsid w:val="002324D5"/>
    <w:rsid w:val="00232DA7"/>
    <w:rsid w:val="00233DB4"/>
    <w:rsid w:val="00233FFA"/>
    <w:rsid w:val="002345E0"/>
    <w:rsid w:val="0023517C"/>
    <w:rsid w:val="002358C1"/>
    <w:rsid w:val="002364E9"/>
    <w:rsid w:val="00236BCC"/>
    <w:rsid w:val="002371AD"/>
    <w:rsid w:val="00237238"/>
    <w:rsid w:val="00237C47"/>
    <w:rsid w:val="002413C3"/>
    <w:rsid w:val="00242933"/>
    <w:rsid w:val="00242CA4"/>
    <w:rsid w:val="00245117"/>
    <w:rsid w:val="00246807"/>
    <w:rsid w:val="0024709B"/>
    <w:rsid w:val="0025026F"/>
    <w:rsid w:val="00250952"/>
    <w:rsid w:val="00251305"/>
    <w:rsid w:val="002516CD"/>
    <w:rsid w:val="002516E2"/>
    <w:rsid w:val="00252686"/>
    <w:rsid w:val="00252A52"/>
    <w:rsid w:val="00252BBB"/>
    <w:rsid w:val="00253A5A"/>
    <w:rsid w:val="00254AC9"/>
    <w:rsid w:val="00254BDD"/>
    <w:rsid w:val="002550DB"/>
    <w:rsid w:val="00255458"/>
    <w:rsid w:val="0025591D"/>
    <w:rsid w:val="00255D6E"/>
    <w:rsid w:val="00257045"/>
    <w:rsid w:val="00261475"/>
    <w:rsid w:val="00261D27"/>
    <w:rsid w:val="002623ED"/>
    <w:rsid w:val="00262B7A"/>
    <w:rsid w:val="00263226"/>
    <w:rsid w:val="002640E7"/>
    <w:rsid w:val="0026451F"/>
    <w:rsid w:val="002650DC"/>
    <w:rsid w:val="00265B58"/>
    <w:rsid w:val="0026666C"/>
    <w:rsid w:val="00266DE1"/>
    <w:rsid w:val="00267323"/>
    <w:rsid w:val="00267554"/>
    <w:rsid w:val="002703E8"/>
    <w:rsid w:val="002708F2"/>
    <w:rsid w:val="002710C7"/>
    <w:rsid w:val="002711A1"/>
    <w:rsid w:val="002714AE"/>
    <w:rsid w:val="002727B9"/>
    <w:rsid w:val="00272BB1"/>
    <w:rsid w:val="00273D51"/>
    <w:rsid w:val="002740F2"/>
    <w:rsid w:val="00274DC1"/>
    <w:rsid w:val="00275AE6"/>
    <w:rsid w:val="002821DC"/>
    <w:rsid w:val="00282B33"/>
    <w:rsid w:val="00282E75"/>
    <w:rsid w:val="00283172"/>
    <w:rsid w:val="0028577D"/>
    <w:rsid w:val="0028655F"/>
    <w:rsid w:val="0028705D"/>
    <w:rsid w:val="002872CA"/>
    <w:rsid w:val="00287A56"/>
    <w:rsid w:val="00291669"/>
    <w:rsid w:val="0029178B"/>
    <w:rsid w:val="00291BA4"/>
    <w:rsid w:val="00292F9D"/>
    <w:rsid w:val="00293CBD"/>
    <w:rsid w:val="0029466F"/>
    <w:rsid w:val="00296ADB"/>
    <w:rsid w:val="002A1E80"/>
    <w:rsid w:val="002A214E"/>
    <w:rsid w:val="002A229B"/>
    <w:rsid w:val="002A2498"/>
    <w:rsid w:val="002A36F6"/>
    <w:rsid w:val="002A3AFC"/>
    <w:rsid w:val="002A593D"/>
    <w:rsid w:val="002A6A43"/>
    <w:rsid w:val="002A6F59"/>
    <w:rsid w:val="002A7699"/>
    <w:rsid w:val="002A773C"/>
    <w:rsid w:val="002A7924"/>
    <w:rsid w:val="002B2583"/>
    <w:rsid w:val="002B267E"/>
    <w:rsid w:val="002B2ED5"/>
    <w:rsid w:val="002B3079"/>
    <w:rsid w:val="002B3B65"/>
    <w:rsid w:val="002B3C58"/>
    <w:rsid w:val="002B3D05"/>
    <w:rsid w:val="002B6466"/>
    <w:rsid w:val="002C18E7"/>
    <w:rsid w:val="002C1FFD"/>
    <w:rsid w:val="002C2F52"/>
    <w:rsid w:val="002C3128"/>
    <w:rsid w:val="002C3468"/>
    <w:rsid w:val="002C3791"/>
    <w:rsid w:val="002C3E03"/>
    <w:rsid w:val="002C475D"/>
    <w:rsid w:val="002C4D98"/>
    <w:rsid w:val="002C5103"/>
    <w:rsid w:val="002C57BF"/>
    <w:rsid w:val="002C6388"/>
    <w:rsid w:val="002C7E63"/>
    <w:rsid w:val="002D0BDA"/>
    <w:rsid w:val="002D154F"/>
    <w:rsid w:val="002D1BA2"/>
    <w:rsid w:val="002D1E31"/>
    <w:rsid w:val="002D2A82"/>
    <w:rsid w:val="002D35A5"/>
    <w:rsid w:val="002D518E"/>
    <w:rsid w:val="002D72EE"/>
    <w:rsid w:val="002D7420"/>
    <w:rsid w:val="002E0A03"/>
    <w:rsid w:val="002E22EF"/>
    <w:rsid w:val="002E27E5"/>
    <w:rsid w:val="002E3385"/>
    <w:rsid w:val="002E4B7B"/>
    <w:rsid w:val="002E68E7"/>
    <w:rsid w:val="002E6A77"/>
    <w:rsid w:val="002E7C61"/>
    <w:rsid w:val="002F0001"/>
    <w:rsid w:val="002F035F"/>
    <w:rsid w:val="002F23F9"/>
    <w:rsid w:val="002F240C"/>
    <w:rsid w:val="002F2BE1"/>
    <w:rsid w:val="002F2F33"/>
    <w:rsid w:val="002F4F8F"/>
    <w:rsid w:val="002F6AFD"/>
    <w:rsid w:val="00300D03"/>
    <w:rsid w:val="00300F41"/>
    <w:rsid w:val="003013DB"/>
    <w:rsid w:val="00301D6F"/>
    <w:rsid w:val="00302DED"/>
    <w:rsid w:val="00303133"/>
    <w:rsid w:val="00303D15"/>
    <w:rsid w:val="00303E9B"/>
    <w:rsid w:val="0030463E"/>
    <w:rsid w:val="00304AA8"/>
    <w:rsid w:val="0030506D"/>
    <w:rsid w:val="00305DFB"/>
    <w:rsid w:val="003064DB"/>
    <w:rsid w:val="003066AA"/>
    <w:rsid w:val="003104D1"/>
    <w:rsid w:val="00310651"/>
    <w:rsid w:val="00310A7E"/>
    <w:rsid w:val="00310FDC"/>
    <w:rsid w:val="00311A94"/>
    <w:rsid w:val="00311D93"/>
    <w:rsid w:val="0031226D"/>
    <w:rsid w:val="0031273F"/>
    <w:rsid w:val="003127DE"/>
    <w:rsid w:val="00313306"/>
    <w:rsid w:val="00314475"/>
    <w:rsid w:val="0031447D"/>
    <w:rsid w:val="00314697"/>
    <w:rsid w:val="003150CD"/>
    <w:rsid w:val="003152F5"/>
    <w:rsid w:val="00315E16"/>
    <w:rsid w:val="00316DDC"/>
    <w:rsid w:val="00316EDB"/>
    <w:rsid w:val="0031702B"/>
    <w:rsid w:val="00317077"/>
    <w:rsid w:val="003171DC"/>
    <w:rsid w:val="003204E7"/>
    <w:rsid w:val="00321273"/>
    <w:rsid w:val="00321290"/>
    <w:rsid w:val="003213EF"/>
    <w:rsid w:val="003216F0"/>
    <w:rsid w:val="00321E09"/>
    <w:rsid w:val="003233D2"/>
    <w:rsid w:val="003248BF"/>
    <w:rsid w:val="00326813"/>
    <w:rsid w:val="00326FAA"/>
    <w:rsid w:val="00327296"/>
    <w:rsid w:val="003272D7"/>
    <w:rsid w:val="0033047C"/>
    <w:rsid w:val="003311DD"/>
    <w:rsid w:val="0033174F"/>
    <w:rsid w:val="0033199D"/>
    <w:rsid w:val="00331E8B"/>
    <w:rsid w:val="0033263C"/>
    <w:rsid w:val="00334864"/>
    <w:rsid w:val="00334F70"/>
    <w:rsid w:val="00337AF4"/>
    <w:rsid w:val="00337BE6"/>
    <w:rsid w:val="00337E34"/>
    <w:rsid w:val="00340357"/>
    <w:rsid w:val="00341F72"/>
    <w:rsid w:val="003423BB"/>
    <w:rsid w:val="00343A31"/>
    <w:rsid w:val="0034418A"/>
    <w:rsid w:val="00344F0D"/>
    <w:rsid w:val="00345147"/>
    <w:rsid w:val="003478B4"/>
    <w:rsid w:val="003479DF"/>
    <w:rsid w:val="0035068A"/>
    <w:rsid w:val="00350D10"/>
    <w:rsid w:val="00351481"/>
    <w:rsid w:val="00351B0F"/>
    <w:rsid w:val="003530F3"/>
    <w:rsid w:val="00353473"/>
    <w:rsid w:val="00353F75"/>
    <w:rsid w:val="00354F49"/>
    <w:rsid w:val="003578BB"/>
    <w:rsid w:val="00361827"/>
    <w:rsid w:val="003631AA"/>
    <w:rsid w:val="00363B63"/>
    <w:rsid w:val="00364B2B"/>
    <w:rsid w:val="00365345"/>
    <w:rsid w:val="00367118"/>
    <w:rsid w:val="00367867"/>
    <w:rsid w:val="00367EAF"/>
    <w:rsid w:val="003703B6"/>
    <w:rsid w:val="0037216C"/>
    <w:rsid w:val="0037355A"/>
    <w:rsid w:val="00373B91"/>
    <w:rsid w:val="00373CD9"/>
    <w:rsid w:val="003753EE"/>
    <w:rsid w:val="00375C9E"/>
    <w:rsid w:val="00375E7F"/>
    <w:rsid w:val="00376F6A"/>
    <w:rsid w:val="003775EA"/>
    <w:rsid w:val="003778E3"/>
    <w:rsid w:val="00377ADF"/>
    <w:rsid w:val="003802C2"/>
    <w:rsid w:val="0038046C"/>
    <w:rsid w:val="00380562"/>
    <w:rsid w:val="0038056A"/>
    <w:rsid w:val="003819A4"/>
    <w:rsid w:val="0038205D"/>
    <w:rsid w:val="003834FB"/>
    <w:rsid w:val="003921CD"/>
    <w:rsid w:val="0039265E"/>
    <w:rsid w:val="00393704"/>
    <w:rsid w:val="00393F6B"/>
    <w:rsid w:val="003944F9"/>
    <w:rsid w:val="003954D2"/>
    <w:rsid w:val="00395785"/>
    <w:rsid w:val="00395A13"/>
    <w:rsid w:val="00395DC0"/>
    <w:rsid w:val="0039662B"/>
    <w:rsid w:val="00396F7A"/>
    <w:rsid w:val="00397992"/>
    <w:rsid w:val="00397F02"/>
    <w:rsid w:val="003A050D"/>
    <w:rsid w:val="003A0772"/>
    <w:rsid w:val="003A0B87"/>
    <w:rsid w:val="003A0C6F"/>
    <w:rsid w:val="003A0F24"/>
    <w:rsid w:val="003A5373"/>
    <w:rsid w:val="003A5E44"/>
    <w:rsid w:val="003A7BF5"/>
    <w:rsid w:val="003B073A"/>
    <w:rsid w:val="003B13E3"/>
    <w:rsid w:val="003B177B"/>
    <w:rsid w:val="003B2267"/>
    <w:rsid w:val="003B3907"/>
    <w:rsid w:val="003B480C"/>
    <w:rsid w:val="003B4A65"/>
    <w:rsid w:val="003B4B43"/>
    <w:rsid w:val="003B4E0C"/>
    <w:rsid w:val="003B62FE"/>
    <w:rsid w:val="003B642E"/>
    <w:rsid w:val="003B6A0C"/>
    <w:rsid w:val="003B75B6"/>
    <w:rsid w:val="003B764D"/>
    <w:rsid w:val="003B76E0"/>
    <w:rsid w:val="003B77BF"/>
    <w:rsid w:val="003B7AAC"/>
    <w:rsid w:val="003B7ACB"/>
    <w:rsid w:val="003B7BAA"/>
    <w:rsid w:val="003B7F84"/>
    <w:rsid w:val="003C062C"/>
    <w:rsid w:val="003C0D05"/>
    <w:rsid w:val="003C1F9B"/>
    <w:rsid w:val="003C31B7"/>
    <w:rsid w:val="003C6186"/>
    <w:rsid w:val="003C63E0"/>
    <w:rsid w:val="003C64FD"/>
    <w:rsid w:val="003C6FBE"/>
    <w:rsid w:val="003C7485"/>
    <w:rsid w:val="003C7E1A"/>
    <w:rsid w:val="003C7F33"/>
    <w:rsid w:val="003D0A48"/>
    <w:rsid w:val="003D0D34"/>
    <w:rsid w:val="003D0ED0"/>
    <w:rsid w:val="003D182F"/>
    <w:rsid w:val="003D2310"/>
    <w:rsid w:val="003D2687"/>
    <w:rsid w:val="003D26DD"/>
    <w:rsid w:val="003D2D53"/>
    <w:rsid w:val="003D2E19"/>
    <w:rsid w:val="003D38F1"/>
    <w:rsid w:val="003D4391"/>
    <w:rsid w:val="003D4B07"/>
    <w:rsid w:val="003D4B11"/>
    <w:rsid w:val="003D5252"/>
    <w:rsid w:val="003D5CA3"/>
    <w:rsid w:val="003D696F"/>
    <w:rsid w:val="003E054E"/>
    <w:rsid w:val="003E0D33"/>
    <w:rsid w:val="003E3A41"/>
    <w:rsid w:val="003E5092"/>
    <w:rsid w:val="003E63A6"/>
    <w:rsid w:val="003E67ED"/>
    <w:rsid w:val="003F00D8"/>
    <w:rsid w:val="003F028F"/>
    <w:rsid w:val="003F2104"/>
    <w:rsid w:val="003F231B"/>
    <w:rsid w:val="003F2818"/>
    <w:rsid w:val="003F465D"/>
    <w:rsid w:val="003F50DD"/>
    <w:rsid w:val="003F64F0"/>
    <w:rsid w:val="003F7CF3"/>
    <w:rsid w:val="004008E5"/>
    <w:rsid w:val="00401BB4"/>
    <w:rsid w:val="00401BD8"/>
    <w:rsid w:val="004027B6"/>
    <w:rsid w:val="004027DB"/>
    <w:rsid w:val="00402C53"/>
    <w:rsid w:val="00402CDF"/>
    <w:rsid w:val="004030C5"/>
    <w:rsid w:val="00403CFF"/>
    <w:rsid w:val="004040D4"/>
    <w:rsid w:val="00404FC5"/>
    <w:rsid w:val="00405ADF"/>
    <w:rsid w:val="004064F2"/>
    <w:rsid w:val="004067B9"/>
    <w:rsid w:val="00410276"/>
    <w:rsid w:val="00411702"/>
    <w:rsid w:val="004134C3"/>
    <w:rsid w:val="00413A97"/>
    <w:rsid w:val="00414341"/>
    <w:rsid w:val="00414770"/>
    <w:rsid w:val="00415F71"/>
    <w:rsid w:val="004161B4"/>
    <w:rsid w:val="004173C0"/>
    <w:rsid w:val="0042164D"/>
    <w:rsid w:val="00422122"/>
    <w:rsid w:val="004237AF"/>
    <w:rsid w:val="00423DD1"/>
    <w:rsid w:val="00424411"/>
    <w:rsid w:val="00424692"/>
    <w:rsid w:val="004256CC"/>
    <w:rsid w:val="00426BE6"/>
    <w:rsid w:val="00430BD0"/>
    <w:rsid w:val="004319AC"/>
    <w:rsid w:val="00431A9F"/>
    <w:rsid w:val="0043296F"/>
    <w:rsid w:val="00432CD6"/>
    <w:rsid w:val="00433D5D"/>
    <w:rsid w:val="00434D22"/>
    <w:rsid w:val="00434FE1"/>
    <w:rsid w:val="004368EE"/>
    <w:rsid w:val="00436E01"/>
    <w:rsid w:val="00436FB1"/>
    <w:rsid w:val="00437A70"/>
    <w:rsid w:val="00440B2B"/>
    <w:rsid w:val="00440CC8"/>
    <w:rsid w:val="00440F79"/>
    <w:rsid w:val="004422F4"/>
    <w:rsid w:val="00442B55"/>
    <w:rsid w:val="00444B69"/>
    <w:rsid w:val="00444EAA"/>
    <w:rsid w:val="004455B9"/>
    <w:rsid w:val="00446FB3"/>
    <w:rsid w:val="00447245"/>
    <w:rsid w:val="0044779F"/>
    <w:rsid w:val="00450D68"/>
    <w:rsid w:val="004511E4"/>
    <w:rsid w:val="004522F7"/>
    <w:rsid w:val="004530D9"/>
    <w:rsid w:val="00453C7B"/>
    <w:rsid w:val="0045686C"/>
    <w:rsid w:val="00457B76"/>
    <w:rsid w:val="00457DB6"/>
    <w:rsid w:val="004602B8"/>
    <w:rsid w:val="00460B7A"/>
    <w:rsid w:val="004621BC"/>
    <w:rsid w:val="00463A50"/>
    <w:rsid w:val="00464532"/>
    <w:rsid w:val="004656F0"/>
    <w:rsid w:val="0046706F"/>
    <w:rsid w:val="004709EF"/>
    <w:rsid w:val="004717D2"/>
    <w:rsid w:val="00472731"/>
    <w:rsid w:val="0047305E"/>
    <w:rsid w:val="00473CBA"/>
    <w:rsid w:val="00473FAD"/>
    <w:rsid w:val="00474BD9"/>
    <w:rsid w:val="00474EAC"/>
    <w:rsid w:val="00475350"/>
    <w:rsid w:val="0047553F"/>
    <w:rsid w:val="004766C1"/>
    <w:rsid w:val="00476D16"/>
    <w:rsid w:val="00476FDD"/>
    <w:rsid w:val="004774E8"/>
    <w:rsid w:val="00477AD7"/>
    <w:rsid w:val="00477F64"/>
    <w:rsid w:val="0048023E"/>
    <w:rsid w:val="004805BE"/>
    <w:rsid w:val="00480B59"/>
    <w:rsid w:val="004812E0"/>
    <w:rsid w:val="00481797"/>
    <w:rsid w:val="00481C78"/>
    <w:rsid w:val="00482401"/>
    <w:rsid w:val="00482F12"/>
    <w:rsid w:val="00483208"/>
    <w:rsid w:val="004846CF"/>
    <w:rsid w:val="004853F7"/>
    <w:rsid w:val="00485509"/>
    <w:rsid w:val="00487551"/>
    <w:rsid w:val="00490A9F"/>
    <w:rsid w:val="004920C9"/>
    <w:rsid w:val="004921DA"/>
    <w:rsid w:val="0049299F"/>
    <w:rsid w:val="004929BE"/>
    <w:rsid w:val="00495113"/>
    <w:rsid w:val="00495175"/>
    <w:rsid w:val="00495AD7"/>
    <w:rsid w:val="00496AAF"/>
    <w:rsid w:val="00496D79"/>
    <w:rsid w:val="00496EAD"/>
    <w:rsid w:val="0049756B"/>
    <w:rsid w:val="0049765D"/>
    <w:rsid w:val="004A1D49"/>
    <w:rsid w:val="004A26AB"/>
    <w:rsid w:val="004A4056"/>
    <w:rsid w:val="004A4C50"/>
    <w:rsid w:val="004A5FC9"/>
    <w:rsid w:val="004A6F3C"/>
    <w:rsid w:val="004A7B99"/>
    <w:rsid w:val="004B030F"/>
    <w:rsid w:val="004B0525"/>
    <w:rsid w:val="004B0BC7"/>
    <w:rsid w:val="004B185F"/>
    <w:rsid w:val="004B1AE4"/>
    <w:rsid w:val="004B29B1"/>
    <w:rsid w:val="004B67E4"/>
    <w:rsid w:val="004B6BCD"/>
    <w:rsid w:val="004B70A6"/>
    <w:rsid w:val="004B76C0"/>
    <w:rsid w:val="004B7817"/>
    <w:rsid w:val="004B7E26"/>
    <w:rsid w:val="004C0545"/>
    <w:rsid w:val="004C081C"/>
    <w:rsid w:val="004C1F0E"/>
    <w:rsid w:val="004C21EC"/>
    <w:rsid w:val="004C40D0"/>
    <w:rsid w:val="004C514B"/>
    <w:rsid w:val="004C64AF"/>
    <w:rsid w:val="004C6591"/>
    <w:rsid w:val="004C6944"/>
    <w:rsid w:val="004C6ED7"/>
    <w:rsid w:val="004C6F2F"/>
    <w:rsid w:val="004C7B43"/>
    <w:rsid w:val="004D053E"/>
    <w:rsid w:val="004D0D14"/>
    <w:rsid w:val="004D22AF"/>
    <w:rsid w:val="004D2CBE"/>
    <w:rsid w:val="004D44FA"/>
    <w:rsid w:val="004D4D80"/>
    <w:rsid w:val="004D4FD0"/>
    <w:rsid w:val="004D56CE"/>
    <w:rsid w:val="004D5B1A"/>
    <w:rsid w:val="004D5DF8"/>
    <w:rsid w:val="004D5F10"/>
    <w:rsid w:val="004D62A0"/>
    <w:rsid w:val="004D6C29"/>
    <w:rsid w:val="004D7026"/>
    <w:rsid w:val="004D7B63"/>
    <w:rsid w:val="004E0414"/>
    <w:rsid w:val="004E312D"/>
    <w:rsid w:val="004E359D"/>
    <w:rsid w:val="004E36B1"/>
    <w:rsid w:val="004E6AE5"/>
    <w:rsid w:val="004E7192"/>
    <w:rsid w:val="004E7745"/>
    <w:rsid w:val="004E7CC4"/>
    <w:rsid w:val="004E7DB3"/>
    <w:rsid w:val="004F00D5"/>
    <w:rsid w:val="004F06E0"/>
    <w:rsid w:val="004F097A"/>
    <w:rsid w:val="004F2BE2"/>
    <w:rsid w:val="004F3B17"/>
    <w:rsid w:val="004F3B7C"/>
    <w:rsid w:val="004F3E04"/>
    <w:rsid w:val="004F4065"/>
    <w:rsid w:val="004F455E"/>
    <w:rsid w:val="004F6900"/>
    <w:rsid w:val="004F7857"/>
    <w:rsid w:val="004F7AFC"/>
    <w:rsid w:val="004F7B8C"/>
    <w:rsid w:val="00500412"/>
    <w:rsid w:val="00502540"/>
    <w:rsid w:val="00502543"/>
    <w:rsid w:val="005031D8"/>
    <w:rsid w:val="0050333E"/>
    <w:rsid w:val="00503B49"/>
    <w:rsid w:val="00505ED6"/>
    <w:rsid w:val="00506CC5"/>
    <w:rsid w:val="005074B8"/>
    <w:rsid w:val="005079F6"/>
    <w:rsid w:val="005101AE"/>
    <w:rsid w:val="00510949"/>
    <w:rsid w:val="00510C86"/>
    <w:rsid w:val="00511482"/>
    <w:rsid w:val="0051335D"/>
    <w:rsid w:val="00513954"/>
    <w:rsid w:val="00513C33"/>
    <w:rsid w:val="00514E45"/>
    <w:rsid w:val="005157D1"/>
    <w:rsid w:val="005158D4"/>
    <w:rsid w:val="00515B43"/>
    <w:rsid w:val="0051622D"/>
    <w:rsid w:val="005164BE"/>
    <w:rsid w:val="005169A9"/>
    <w:rsid w:val="00517207"/>
    <w:rsid w:val="00517735"/>
    <w:rsid w:val="005202C8"/>
    <w:rsid w:val="005213E9"/>
    <w:rsid w:val="00523E3B"/>
    <w:rsid w:val="005252CA"/>
    <w:rsid w:val="00525C76"/>
    <w:rsid w:val="005260D6"/>
    <w:rsid w:val="00526559"/>
    <w:rsid w:val="00527271"/>
    <w:rsid w:val="00527574"/>
    <w:rsid w:val="00527717"/>
    <w:rsid w:val="005279F9"/>
    <w:rsid w:val="00531976"/>
    <w:rsid w:val="00531AE4"/>
    <w:rsid w:val="00531D65"/>
    <w:rsid w:val="0053206C"/>
    <w:rsid w:val="00532DB1"/>
    <w:rsid w:val="00533BD6"/>
    <w:rsid w:val="00534C15"/>
    <w:rsid w:val="00534F50"/>
    <w:rsid w:val="0053537A"/>
    <w:rsid w:val="0053559D"/>
    <w:rsid w:val="00536BDB"/>
    <w:rsid w:val="00540567"/>
    <w:rsid w:val="00540600"/>
    <w:rsid w:val="00540964"/>
    <w:rsid w:val="00540E8D"/>
    <w:rsid w:val="00541397"/>
    <w:rsid w:val="00541A6E"/>
    <w:rsid w:val="005425B3"/>
    <w:rsid w:val="0054266A"/>
    <w:rsid w:val="005426D7"/>
    <w:rsid w:val="005441D1"/>
    <w:rsid w:val="0054605B"/>
    <w:rsid w:val="00546604"/>
    <w:rsid w:val="00546913"/>
    <w:rsid w:val="00546CD3"/>
    <w:rsid w:val="00547B17"/>
    <w:rsid w:val="005505B8"/>
    <w:rsid w:val="005510A3"/>
    <w:rsid w:val="00552B64"/>
    <w:rsid w:val="00553304"/>
    <w:rsid w:val="00553B6A"/>
    <w:rsid w:val="00553CAE"/>
    <w:rsid w:val="005542E9"/>
    <w:rsid w:val="00555822"/>
    <w:rsid w:val="00556770"/>
    <w:rsid w:val="00556B4F"/>
    <w:rsid w:val="005571E3"/>
    <w:rsid w:val="00557A41"/>
    <w:rsid w:val="00560710"/>
    <w:rsid w:val="00560CF4"/>
    <w:rsid w:val="00561CE0"/>
    <w:rsid w:val="00561FC6"/>
    <w:rsid w:val="0056283A"/>
    <w:rsid w:val="00562EE2"/>
    <w:rsid w:val="00564621"/>
    <w:rsid w:val="00564EBD"/>
    <w:rsid w:val="00566574"/>
    <w:rsid w:val="00567327"/>
    <w:rsid w:val="005679DF"/>
    <w:rsid w:val="00570754"/>
    <w:rsid w:val="00570ABE"/>
    <w:rsid w:val="00570C33"/>
    <w:rsid w:val="00570D1C"/>
    <w:rsid w:val="00571941"/>
    <w:rsid w:val="00573127"/>
    <w:rsid w:val="00573BAD"/>
    <w:rsid w:val="00574C88"/>
    <w:rsid w:val="0057673C"/>
    <w:rsid w:val="00576ACB"/>
    <w:rsid w:val="00581FFC"/>
    <w:rsid w:val="0058259F"/>
    <w:rsid w:val="00582C95"/>
    <w:rsid w:val="0058326C"/>
    <w:rsid w:val="00584CB0"/>
    <w:rsid w:val="0058576A"/>
    <w:rsid w:val="00586C05"/>
    <w:rsid w:val="00590592"/>
    <w:rsid w:val="00590C67"/>
    <w:rsid w:val="00591192"/>
    <w:rsid w:val="0059268B"/>
    <w:rsid w:val="0059398C"/>
    <w:rsid w:val="00593B5C"/>
    <w:rsid w:val="0059443F"/>
    <w:rsid w:val="005955C2"/>
    <w:rsid w:val="00595A82"/>
    <w:rsid w:val="00595E3E"/>
    <w:rsid w:val="00595E43"/>
    <w:rsid w:val="00595FEF"/>
    <w:rsid w:val="0059600A"/>
    <w:rsid w:val="005962C5"/>
    <w:rsid w:val="0059632B"/>
    <w:rsid w:val="005968B3"/>
    <w:rsid w:val="00596AF4"/>
    <w:rsid w:val="00596EC9"/>
    <w:rsid w:val="00597C5A"/>
    <w:rsid w:val="00597DE8"/>
    <w:rsid w:val="005A1E50"/>
    <w:rsid w:val="005A1FD0"/>
    <w:rsid w:val="005A2566"/>
    <w:rsid w:val="005A2ABB"/>
    <w:rsid w:val="005A38CC"/>
    <w:rsid w:val="005A3F8C"/>
    <w:rsid w:val="005A4528"/>
    <w:rsid w:val="005A4593"/>
    <w:rsid w:val="005A4EA2"/>
    <w:rsid w:val="005A527E"/>
    <w:rsid w:val="005A5360"/>
    <w:rsid w:val="005A5AF9"/>
    <w:rsid w:val="005A5CCF"/>
    <w:rsid w:val="005A5DFD"/>
    <w:rsid w:val="005A5F70"/>
    <w:rsid w:val="005A672D"/>
    <w:rsid w:val="005A6C57"/>
    <w:rsid w:val="005A6E75"/>
    <w:rsid w:val="005A72DF"/>
    <w:rsid w:val="005A74F0"/>
    <w:rsid w:val="005B10E5"/>
    <w:rsid w:val="005B2234"/>
    <w:rsid w:val="005B2297"/>
    <w:rsid w:val="005B303E"/>
    <w:rsid w:val="005B468D"/>
    <w:rsid w:val="005B4C69"/>
    <w:rsid w:val="005B6953"/>
    <w:rsid w:val="005B6ECF"/>
    <w:rsid w:val="005C0168"/>
    <w:rsid w:val="005C155A"/>
    <w:rsid w:val="005C52C3"/>
    <w:rsid w:val="005C6244"/>
    <w:rsid w:val="005C7475"/>
    <w:rsid w:val="005C7A09"/>
    <w:rsid w:val="005D01DD"/>
    <w:rsid w:val="005D1337"/>
    <w:rsid w:val="005D14AA"/>
    <w:rsid w:val="005D2511"/>
    <w:rsid w:val="005D490B"/>
    <w:rsid w:val="005D4B7B"/>
    <w:rsid w:val="005D50B6"/>
    <w:rsid w:val="005D6099"/>
    <w:rsid w:val="005D6860"/>
    <w:rsid w:val="005E00B1"/>
    <w:rsid w:val="005E045F"/>
    <w:rsid w:val="005E0DCA"/>
    <w:rsid w:val="005E21A7"/>
    <w:rsid w:val="005E25FD"/>
    <w:rsid w:val="005E3CBA"/>
    <w:rsid w:val="005E3D0B"/>
    <w:rsid w:val="005E483E"/>
    <w:rsid w:val="005E58C5"/>
    <w:rsid w:val="005E5B89"/>
    <w:rsid w:val="005E5E5B"/>
    <w:rsid w:val="005E671D"/>
    <w:rsid w:val="005E67AC"/>
    <w:rsid w:val="005E7028"/>
    <w:rsid w:val="005F2CFD"/>
    <w:rsid w:val="005F3630"/>
    <w:rsid w:val="005F3A9F"/>
    <w:rsid w:val="005F5022"/>
    <w:rsid w:val="005F5476"/>
    <w:rsid w:val="005F5654"/>
    <w:rsid w:val="005F5DA5"/>
    <w:rsid w:val="005F66EB"/>
    <w:rsid w:val="005F6C2E"/>
    <w:rsid w:val="005F6C64"/>
    <w:rsid w:val="005F6D10"/>
    <w:rsid w:val="005F6D19"/>
    <w:rsid w:val="00600B03"/>
    <w:rsid w:val="00601BE1"/>
    <w:rsid w:val="00602049"/>
    <w:rsid w:val="00602B6F"/>
    <w:rsid w:val="00603EDE"/>
    <w:rsid w:val="006041C4"/>
    <w:rsid w:val="006052FD"/>
    <w:rsid w:val="0060532F"/>
    <w:rsid w:val="006067A1"/>
    <w:rsid w:val="00607BA1"/>
    <w:rsid w:val="0061019E"/>
    <w:rsid w:val="00610884"/>
    <w:rsid w:val="00610B39"/>
    <w:rsid w:val="00610E2F"/>
    <w:rsid w:val="00611282"/>
    <w:rsid w:val="00611842"/>
    <w:rsid w:val="0061203A"/>
    <w:rsid w:val="00613816"/>
    <w:rsid w:val="00613C9B"/>
    <w:rsid w:val="0061469B"/>
    <w:rsid w:val="00614701"/>
    <w:rsid w:val="006149B7"/>
    <w:rsid w:val="00614C6A"/>
    <w:rsid w:val="00615022"/>
    <w:rsid w:val="00615236"/>
    <w:rsid w:val="006159BD"/>
    <w:rsid w:val="00616814"/>
    <w:rsid w:val="00616854"/>
    <w:rsid w:val="006172AE"/>
    <w:rsid w:val="00617E10"/>
    <w:rsid w:val="00621E5F"/>
    <w:rsid w:val="0062309D"/>
    <w:rsid w:val="00623288"/>
    <w:rsid w:val="00624F6C"/>
    <w:rsid w:val="00625E8D"/>
    <w:rsid w:val="006264E6"/>
    <w:rsid w:val="0062674A"/>
    <w:rsid w:val="0062693A"/>
    <w:rsid w:val="00626963"/>
    <w:rsid w:val="0062702F"/>
    <w:rsid w:val="0062725D"/>
    <w:rsid w:val="00627BDC"/>
    <w:rsid w:val="00627F8C"/>
    <w:rsid w:val="00630B25"/>
    <w:rsid w:val="006321B3"/>
    <w:rsid w:val="00636145"/>
    <w:rsid w:val="0063641C"/>
    <w:rsid w:val="00637975"/>
    <w:rsid w:val="00637F76"/>
    <w:rsid w:val="00641C00"/>
    <w:rsid w:val="00641D83"/>
    <w:rsid w:val="00641F54"/>
    <w:rsid w:val="00641FA7"/>
    <w:rsid w:val="00643328"/>
    <w:rsid w:val="0064487A"/>
    <w:rsid w:val="0064570C"/>
    <w:rsid w:val="0064697E"/>
    <w:rsid w:val="006472D2"/>
    <w:rsid w:val="0065096D"/>
    <w:rsid w:val="006514C4"/>
    <w:rsid w:val="00651A7F"/>
    <w:rsid w:val="006521E7"/>
    <w:rsid w:val="00654AFB"/>
    <w:rsid w:val="006553A6"/>
    <w:rsid w:val="00655C02"/>
    <w:rsid w:val="00657AC7"/>
    <w:rsid w:val="00660023"/>
    <w:rsid w:val="006610A4"/>
    <w:rsid w:val="0066183F"/>
    <w:rsid w:val="00662D67"/>
    <w:rsid w:val="00664157"/>
    <w:rsid w:val="00664209"/>
    <w:rsid w:val="00665E37"/>
    <w:rsid w:val="006661E8"/>
    <w:rsid w:val="00666F8C"/>
    <w:rsid w:val="006671A9"/>
    <w:rsid w:val="00670A39"/>
    <w:rsid w:val="0067214D"/>
    <w:rsid w:val="0067223A"/>
    <w:rsid w:val="0067224F"/>
    <w:rsid w:val="006743E7"/>
    <w:rsid w:val="00675484"/>
    <w:rsid w:val="006759AA"/>
    <w:rsid w:val="00676739"/>
    <w:rsid w:val="006775B9"/>
    <w:rsid w:val="00680395"/>
    <w:rsid w:val="00681491"/>
    <w:rsid w:val="00682513"/>
    <w:rsid w:val="00682E56"/>
    <w:rsid w:val="0068301A"/>
    <w:rsid w:val="00683615"/>
    <w:rsid w:val="00683C9F"/>
    <w:rsid w:val="00684B6F"/>
    <w:rsid w:val="00684F6D"/>
    <w:rsid w:val="0068529F"/>
    <w:rsid w:val="006855DE"/>
    <w:rsid w:val="00685D66"/>
    <w:rsid w:val="0068643D"/>
    <w:rsid w:val="006869AD"/>
    <w:rsid w:val="0068749E"/>
    <w:rsid w:val="00687BEE"/>
    <w:rsid w:val="00690A36"/>
    <w:rsid w:val="0069147F"/>
    <w:rsid w:val="00691923"/>
    <w:rsid w:val="0069233C"/>
    <w:rsid w:val="00692B43"/>
    <w:rsid w:val="00692FF5"/>
    <w:rsid w:val="0069363C"/>
    <w:rsid w:val="00693B27"/>
    <w:rsid w:val="00693C5E"/>
    <w:rsid w:val="006941CF"/>
    <w:rsid w:val="0069535C"/>
    <w:rsid w:val="00695810"/>
    <w:rsid w:val="00696172"/>
    <w:rsid w:val="006A025A"/>
    <w:rsid w:val="006A0922"/>
    <w:rsid w:val="006A09E6"/>
    <w:rsid w:val="006A0A6C"/>
    <w:rsid w:val="006A0D26"/>
    <w:rsid w:val="006A39F8"/>
    <w:rsid w:val="006A56E3"/>
    <w:rsid w:val="006A5FA7"/>
    <w:rsid w:val="006A7B67"/>
    <w:rsid w:val="006B0E9F"/>
    <w:rsid w:val="006B1620"/>
    <w:rsid w:val="006B22F7"/>
    <w:rsid w:val="006B2B1E"/>
    <w:rsid w:val="006B2BE4"/>
    <w:rsid w:val="006B44E8"/>
    <w:rsid w:val="006B59E0"/>
    <w:rsid w:val="006B5F13"/>
    <w:rsid w:val="006B686F"/>
    <w:rsid w:val="006B793E"/>
    <w:rsid w:val="006B796B"/>
    <w:rsid w:val="006C0447"/>
    <w:rsid w:val="006C0A8A"/>
    <w:rsid w:val="006C0E7E"/>
    <w:rsid w:val="006C12A0"/>
    <w:rsid w:val="006C142B"/>
    <w:rsid w:val="006C1B5A"/>
    <w:rsid w:val="006C2CFB"/>
    <w:rsid w:val="006C3270"/>
    <w:rsid w:val="006C49BE"/>
    <w:rsid w:val="006C4B27"/>
    <w:rsid w:val="006C6198"/>
    <w:rsid w:val="006C64C5"/>
    <w:rsid w:val="006C69C8"/>
    <w:rsid w:val="006C7828"/>
    <w:rsid w:val="006C7ABC"/>
    <w:rsid w:val="006C7B6C"/>
    <w:rsid w:val="006D046C"/>
    <w:rsid w:val="006D0602"/>
    <w:rsid w:val="006D1B52"/>
    <w:rsid w:val="006D2E2B"/>
    <w:rsid w:val="006D4F2E"/>
    <w:rsid w:val="006D508F"/>
    <w:rsid w:val="006D51D1"/>
    <w:rsid w:val="006D5255"/>
    <w:rsid w:val="006D5BF5"/>
    <w:rsid w:val="006D64E1"/>
    <w:rsid w:val="006E091C"/>
    <w:rsid w:val="006E2736"/>
    <w:rsid w:val="006E2858"/>
    <w:rsid w:val="006E2FE0"/>
    <w:rsid w:val="006E40BC"/>
    <w:rsid w:val="006E4482"/>
    <w:rsid w:val="006E49DF"/>
    <w:rsid w:val="006E54AB"/>
    <w:rsid w:val="006E63D5"/>
    <w:rsid w:val="006E72DB"/>
    <w:rsid w:val="006E78CA"/>
    <w:rsid w:val="006F1083"/>
    <w:rsid w:val="006F13EC"/>
    <w:rsid w:val="006F16A1"/>
    <w:rsid w:val="006F191B"/>
    <w:rsid w:val="006F2019"/>
    <w:rsid w:val="006F3199"/>
    <w:rsid w:val="006F46FF"/>
    <w:rsid w:val="006F522D"/>
    <w:rsid w:val="006F716D"/>
    <w:rsid w:val="006F7450"/>
    <w:rsid w:val="00700B51"/>
    <w:rsid w:val="00701ED1"/>
    <w:rsid w:val="00702E92"/>
    <w:rsid w:val="007032A6"/>
    <w:rsid w:val="00703CAA"/>
    <w:rsid w:val="0070417D"/>
    <w:rsid w:val="00704300"/>
    <w:rsid w:val="00704F59"/>
    <w:rsid w:val="0070555D"/>
    <w:rsid w:val="007058A3"/>
    <w:rsid w:val="00705A1E"/>
    <w:rsid w:val="00706743"/>
    <w:rsid w:val="00706BE6"/>
    <w:rsid w:val="00707CFC"/>
    <w:rsid w:val="0071010C"/>
    <w:rsid w:val="0071023C"/>
    <w:rsid w:val="0071024F"/>
    <w:rsid w:val="00710DF3"/>
    <w:rsid w:val="00710F04"/>
    <w:rsid w:val="007123FA"/>
    <w:rsid w:val="00712A92"/>
    <w:rsid w:val="00712E76"/>
    <w:rsid w:val="00712F6F"/>
    <w:rsid w:val="0071365D"/>
    <w:rsid w:val="007137FC"/>
    <w:rsid w:val="007138D3"/>
    <w:rsid w:val="00715BAC"/>
    <w:rsid w:val="00715D51"/>
    <w:rsid w:val="00716568"/>
    <w:rsid w:val="00716ADF"/>
    <w:rsid w:val="00717150"/>
    <w:rsid w:val="007171CE"/>
    <w:rsid w:val="00717F33"/>
    <w:rsid w:val="00720327"/>
    <w:rsid w:val="00720641"/>
    <w:rsid w:val="00720E95"/>
    <w:rsid w:val="00720FEB"/>
    <w:rsid w:val="007215DB"/>
    <w:rsid w:val="007221BE"/>
    <w:rsid w:val="00722403"/>
    <w:rsid w:val="00722840"/>
    <w:rsid w:val="0072448C"/>
    <w:rsid w:val="00724CAE"/>
    <w:rsid w:val="00724FD9"/>
    <w:rsid w:val="00725436"/>
    <w:rsid w:val="007258E0"/>
    <w:rsid w:val="00725FDD"/>
    <w:rsid w:val="007266A8"/>
    <w:rsid w:val="007266CB"/>
    <w:rsid w:val="00726E5A"/>
    <w:rsid w:val="00727393"/>
    <w:rsid w:val="0073106A"/>
    <w:rsid w:val="0073164F"/>
    <w:rsid w:val="00731947"/>
    <w:rsid w:val="00731EDD"/>
    <w:rsid w:val="0073222F"/>
    <w:rsid w:val="00732C84"/>
    <w:rsid w:val="00733329"/>
    <w:rsid w:val="0073356A"/>
    <w:rsid w:val="007338AC"/>
    <w:rsid w:val="00733B8A"/>
    <w:rsid w:val="00734813"/>
    <w:rsid w:val="0073530F"/>
    <w:rsid w:val="00735822"/>
    <w:rsid w:val="00735936"/>
    <w:rsid w:val="00736579"/>
    <w:rsid w:val="00736BC0"/>
    <w:rsid w:val="007370E6"/>
    <w:rsid w:val="007404C9"/>
    <w:rsid w:val="00741A87"/>
    <w:rsid w:val="00743942"/>
    <w:rsid w:val="00744778"/>
    <w:rsid w:val="0074479C"/>
    <w:rsid w:val="007453F7"/>
    <w:rsid w:val="007454A2"/>
    <w:rsid w:val="00745EDA"/>
    <w:rsid w:val="007478EA"/>
    <w:rsid w:val="00747AC9"/>
    <w:rsid w:val="00752270"/>
    <w:rsid w:val="00752FC1"/>
    <w:rsid w:val="00754EA2"/>
    <w:rsid w:val="0075599D"/>
    <w:rsid w:val="00756705"/>
    <w:rsid w:val="0075717C"/>
    <w:rsid w:val="007572FF"/>
    <w:rsid w:val="007573E9"/>
    <w:rsid w:val="0075747E"/>
    <w:rsid w:val="00757C33"/>
    <w:rsid w:val="007611CE"/>
    <w:rsid w:val="00761C05"/>
    <w:rsid w:val="007627BF"/>
    <w:rsid w:val="00762915"/>
    <w:rsid w:val="007634F4"/>
    <w:rsid w:val="007647A2"/>
    <w:rsid w:val="007662C2"/>
    <w:rsid w:val="00766BD9"/>
    <w:rsid w:val="00766E9C"/>
    <w:rsid w:val="00767526"/>
    <w:rsid w:val="00767DCB"/>
    <w:rsid w:val="007701C8"/>
    <w:rsid w:val="00770D17"/>
    <w:rsid w:val="0077122C"/>
    <w:rsid w:val="00771488"/>
    <w:rsid w:val="00771C67"/>
    <w:rsid w:val="00771DBB"/>
    <w:rsid w:val="0077210D"/>
    <w:rsid w:val="0077276D"/>
    <w:rsid w:val="007728BD"/>
    <w:rsid w:val="007734A2"/>
    <w:rsid w:val="00774F97"/>
    <w:rsid w:val="007761E7"/>
    <w:rsid w:val="0077676F"/>
    <w:rsid w:val="00776880"/>
    <w:rsid w:val="00780AE2"/>
    <w:rsid w:val="00780FAE"/>
    <w:rsid w:val="00781215"/>
    <w:rsid w:val="00781FF3"/>
    <w:rsid w:val="00782AEC"/>
    <w:rsid w:val="007830F8"/>
    <w:rsid w:val="00785A1B"/>
    <w:rsid w:val="007864F5"/>
    <w:rsid w:val="00790287"/>
    <w:rsid w:val="00790D50"/>
    <w:rsid w:val="00791923"/>
    <w:rsid w:val="00791AFF"/>
    <w:rsid w:val="00791FF4"/>
    <w:rsid w:val="007929AA"/>
    <w:rsid w:val="00792C75"/>
    <w:rsid w:val="00793D33"/>
    <w:rsid w:val="0079653C"/>
    <w:rsid w:val="00797698"/>
    <w:rsid w:val="007A06FE"/>
    <w:rsid w:val="007A1213"/>
    <w:rsid w:val="007A1744"/>
    <w:rsid w:val="007A1993"/>
    <w:rsid w:val="007A1E7D"/>
    <w:rsid w:val="007A22BA"/>
    <w:rsid w:val="007A44A5"/>
    <w:rsid w:val="007A50E8"/>
    <w:rsid w:val="007A5D71"/>
    <w:rsid w:val="007A69DD"/>
    <w:rsid w:val="007A6D03"/>
    <w:rsid w:val="007A6DD3"/>
    <w:rsid w:val="007A701D"/>
    <w:rsid w:val="007B055B"/>
    <w:rsid w:val="007B2B77"/>
    <w:rsid w:val="007B3277"/>
    <w:rsid w:val="007B4D02"/>
    <w:rsid w:val="007B50A7"/>
    <w:rsid w:val="007B560E"/>
    <w:rsid w:val="007B591A"/>
    <w:rsid w:val="007B6425"/>
    <w:rsid w:val="007B6820"/>
    <w:rsid w:val="007B6907"/>
    <w:rsid w:val="007B77CC"/>
    <w:rsid w:val="007C02A0"/>
    <w:rsid w:val="007C0755"/>
    <w:rsid w:val="007C0B66"/>
    <w:rsid w:val="007C1D63"/>
    <w:rsid w:val="007C3020"/>
    <w:rsid w:val="007C3979"/>
    <w:rsid w:val="007C4EB2"/>
    <w:rsid w:val="007C5275"/>
    <w:rsid w:val="007C7912"/>
    <w:rsid w:val="007D0946"/>
    <w:rsid w:val="007D3824"/>
    <w:rsid w:val="007D3BDC"/>
    <w:rsid w:val="007D4095"/>
    <w:rsid w:val="007D577B"/>
    <w:rsid w:val="007D5E7B"/>
    <w:rsid w:val="007D747C"/>
    <w:rsid w:val="007D7AF6"/>
    <w:rsid w:val="007E0129"/>
    <w:rsid w:val="007E0A9E"/>
    <w:rsid w:val="007E237D"/>
    <w:rsid w:val="007E33EF"/>
    <w:rsid w:val="007E37CA"/>
    <w:rsid w:val="007E3AD3"/>
    <w:rsid w:val="007E474E"/>
    <w:rsid w:val="007E4C01"/>
    <w:rsid w:val="007E4DC0"/>
    <w:rsid w:val="007E5ABE"/>
    <w:rsid w:val="007E6AB6"/>
    <w:rsid w:val="007E736E"/>
    <w:rsid w:val="007F2158"/>
    <w:rsid w:val="007F21BC"/>
    <w:rsid w:val="007F2559"/>
    <w:rsid w:val="007F28F0"/>
    <w:rsid w:val="007F302C"/>
    <w:rsid w:val="007F3434"/>
    <w:rsid w:val="007F3655"/>
    <w:rsid w:val="007F45FD"/>
    <w:rsid w:val="007F4AA8"/>
    <w:rsid w:val="007F4D40"/>
    <w:rsid w:val="007F5256"/>
    <w:rsid w:val="007F56EF"/>
    <w:rsid w:val="007F5859"/>
    <w:rsid w:val="007F5C20"/>
    <w:rsid w:val="007F5D49"/>
    <w:rsid w:val="007F6CC3"/>
    <w:rsid w:val="007F7D02"/>
    <w:rsid w:val="00800AAC"/>
    <w:rsid w:val="0080243E"/>
    <w:rsid w:val="008036EB"/>
    <w:rsid w:val="00803782"/>
    <w:rsid w:val="00803917"/>
    <w:rsid w:val="00804C5E"/>
    <w:rsid w:val="008051E3"/>
    <w:rsid w:val="00806036"/>
    <w:rsid w:val="00806395"/>
    <w:rsid w:val="008064DE"/>
    <w:rsid w:val="00806F26"/>
    <w:rsid w:val="008075D5"/>
    <w:rsid w:val="00807D94"/>
    <w:rsid w:val="00810C50"/>
    <w:rsid w:val="008147D1"/>
    <w:rsid w:val="008157C5"/>
    <w:rsid w:val="0081690E"/>
    <w:rsid w:val="00817432"/>
    <w:rsid w:val="008176AA"/>
    <w:rsid w:val="00817C00"/>
    <w:rsid w:val="0082076B"/>
    <w:rsid w:val="00820FCD"/>
    <w:rsid w:val="00822352"/>
    <w:rsid w:val="0082248B"/>
    <w:rsid w:val="00822A65"/>
    <w:rsid w:val="00822ED1"/>
    <w:rsid w:val="00823AFB"/>
    <w:rsid w:val="00824AD4"/>
    <w:rsid w:val="00824F3A"/>
    <w:rsid w:val="00825A40"/>
    <w:rsid w:val="00826546"/>
    <w:rsid w:val="008269F0"/>
    <w:rsid w:val="008306F1"/>
    <w:rsid w:val="00830B50"/>
    <w:rsid w:val="00830EA1"/>
    <w:rsid w:val="0083133E"/>
    <w:rsid w:val="00831739"/>
    <w:rsid w:val="00831BE1"/>
    <w:rsid w:val="00832696"/>
    <w:rsid w:val="008332B1"/>
    <w:rsid w:val="0083355D"/>
    <w:rsid w:val="008338D8"/>
    <w:rsid w:val="0083447C"/>
    <w:rsid w:val="00834559"/>
    <w:rsid w:val="00836296"/>
    <w:rsid w:val="00836687"/>
    <w:rsid w:val="008366C7"/>
    <w:rsid w:val="008369BD"/>
    <w:rsid w:val="008400EB"/>
    <w:rsid w:val="00840E24"/>
    <w:rsid w:val="00840F3F"/>
    <w:rsid w:val="00841BBD"/>
    <w:rsid w:val="00842525"/>
    <w:rsid w:val="008428D1"/>
    <w:rsid w:val="00842B92"/>
    <w:rsid w:val="00842C8E"/>
    <w:rsid w:val="00843186"/>
    <w:rsid w:val="008460A2"/>
    <w:rsid w:val="0084633C"/>
    <w:rsid w:val="0084760C"/>
    <w:rsid w:val="00851BCB"/>
    <w:rsid w:val="0085247B"/>
    <w:rsid w:val="008537AC"/>
    <w:rsid w:val="008538A1"/>
    <w:rsid w:val="008539F8"/>
    <w:rsid w:val="008540AD"/>
    <w:rsid w:val="0085511A"/>
    <w:rsid w:val="008551E3"/>
    <w:rsid w:val="0085656C"/>
    <w:rsid w:val="00856DCB"/>
    <w:rsid w:val="008579F8"/>
    <w:rsid w:val="00857B0F"/>
    <w:rsid w:val="00857C71"/>
    <w:rsid w:val="00860D2B"/>
    <w:rsid w:val="0086145A"/>
    <w:rsid w:val="00861A30"/>
    <w:rsid w:val="00863B21"/>
    <w:rsid w:val="00863F1A"/>
    <w:rsid w:val="00864BAC"/>
    <w:rsid w:val="0086677C"/>
    <w:rsid w:val="00867576"/>
    <w:rsid w:val="00867BAB"/>
    <w:rsid w:val="008702E3"/>
    <w:rsid w:val="00870510"/>
    <w:rsid w:val="00870EF5"/>
    <w:rsid w:val="0087209F"/>
    <w:rsid w:val="008748FB"/>
    <w:rsid w:val="00875714"/>
    <w:rsid w:val="00875C4E"/>
    <w:rsid w:val="00875F09"/>
    <w:rsid w:val="0087639D"/>
    <w:rsid w:val="008768C6"/>
    <w:rsid w:val="008771A1"/>
    <w:rsid w:val="0087750A"/>
    <w:rsid w:val="00880496"/>
    <w:rsid w:val="0088089D"/>
    <w:rsid w:val="00881AC9"/>
    <w:rsid w:val="008828CF"/>
    <w:rsid w:val="00882B99"/>
    <w:rsid w:val="0088310B"/>
    <w:rsid w:val="0088317D"/>
    <w:rsid w:val="008845F7"/>
    <w:rsid w:val="00885514"/>
    <w:rsid w:val="00885785"/>
    <w:rsid w:val="008860AC"/>
    <w:rsid w:val="0089089C"/>
    <w:rsid w:val="008909A4"/>
    <w:rsid w:val="0089100F"/>
    <w:rsid w:val="008910BC"/>
    <w:rsid w:val="00891B1A"/>
    <w:rsid w:val="00891D83"/>
    <w:rsid w:val="00892066"/>
    <w:rsid w:val="0089294C"/>
    <w:rsid w:val="00892ADC"/>
    <w:rsid w:val="00892F6A"/>
    <w:rsid w:val="00894827"/>
    <w:rsid w:val="00895BB8"/>
    <w:rsid w:val="00896C92"/>
    <w:rsid w:val="00896D6B"/>
    <w:rsid w:val="008973FE"/>
    <w:rsid w:val="008A080F"/>
    <w:rsid w:val="008A1070"/>
    <w:rsid w:val="008A191C"/>
    <w:rsid w:val="008A26C4"/>
    <w:rsid w:val="008A28A7"/>
    <w:rsid w:val="008A34C9"/>
    <w:rsid w:val="008A4BB3"/>
    <w:rsid w:val="008A5283"/>
    <w:rsid w:val="008A5DFF"/>
    <w:rsid w:val="008A6D30"/>
    <w:rsid w:val="008A6E0A"/>
    <w:rsid w:val="008A73C3"/>
    <w:rsid w:val="008A776A"/>
    <w:rsid w:val="008A78A3"/>
    <w:rsid w:val="008A78D4"/>
    <w:rsid w:val="008B055D"/>
    <w:rsid w:val="008B0848"/>
    <w:rsid w:val="008B0EF1"/>
    <w:rsid w:val="008B125E"/>
    <w:rsid w:val="008B1F7C"/>
    <w:rsid w:val="008B26C4"/>
    <w:rsid w:val="008B3CFC"/>
    <w:rsid w:val="008B56DB"/>
    <w:rsid w:val="008B5B22"/>
    <w:rsid w:val="008B6910"/>
    <w:rsid w:val="008B6AB2"/>
    <w:rsid w:val="008B6F92"/>
    <w:rsid w:val="008B7279"/>
    <w:rsid w:val="008B75FD"/>
    <w:rsid w:val="008C103E"/>
    <w:rsid w:val="008C20DC"/>
    <w:rsid w:val="008C262E"/>
    <w:rsid w:val="008C2B59"/>
    <w:rsid w:val="008C32E7"/>
    <w:rsid w:val="008C49A8"/>
    <w:rsid w:val="008C4EAE"/>
    <w:rsid w:val="008C5181"/>
    <w:rsid w:val="008C5363"/>
    <w:rsid w:val="008C5712"/>
    <w:rsid w:val="008C5814"/>
    <w:rsid w:val="008C59BC"/>
    <w:rsid w:val="008C5E65"/>
    <w:rsid w:val="008C5F92"/>
    <w:rsid w:val="008C691E"/>
    <w:rsid w:val="008C6D8A"/>
    <w:rsid w:val="008C7224"/>
    <w:rsid w:val="008C7A14"/>
    <w:rsid w:val="008D066D"/>
    <w:rsid w:val="008D2109"/>
    <w:rsid w:val="008D28C9"/>
    <w:rsid w:val="008D2AB6"/>
    <w:rsid w:val="008D338D"/>
    <w:rsid w:val="008D4DEF"/>
    <w:rsid w:val="008D4F50"/>
    <w:rsid w:val="008D6AE2"/>
    <w:rsid w:val="008D734C"/>
    <w:rsid w:val="008E0037"/>
    <w:rsid w:val="008E0EB6"/>
    <w:rsid w:val="008E2A16"/>
    <w:rsid w:val="008E2D47"/>
    <w:rsid w:val="008E2EE3"/>
    <w:rsid w:val="008E3191"/>
    <w:rsid w:val="008E36C2"/>
    <w:rsid w:val="008E4B89"/>
    <w:rsid w:val="008E4C99"/>
    <w:rsid w:val="008E51AB"/>
    <w:rsid w:val="008E597B"/>
    <w:rsid w:val="008E60C4"/>
    <w:rsid w:val="008E655E"/>
    <w:rsid w:val="008E664B"/>
    <w:rsid w:val="008E6FA7"/>
    <w:rsid w:val="008F0892"/>
    <w:rsid w:val="008F1026"/>
    <w:rsid w:val="008F1DEB"/>
    <w:rsid w:val="008F3708"/>
    <w:rsid w:val="008F3F3D"/>
    <w:rsid w:val="008F4610"/>
    <w:rsid w:val="008F4B88"/>
    <w:rsid w:val="008F535D"/>
    <w:rsid w:val="008F54DC"/>
    <w:rsid w:val="008F6712"/>
    <w:rsid w:val="008F6A52"/>
    <w:rsid w:val="008F6ED9"/>
    <w:rsid w:val="008F79ED"/>
    <w:rsid w:val="009005CB"/>
    <w:rsid w:val="0090063A"/>
    <w:rsid w:val="0090294C"/>
    <w:rsid w:val="0090347B"/>
    <w:rsid w:val="00905578"/>
    <w:rsid w:val="00905654"/>
    <w:rsid w:val="00905811"/>
    <w:rsid w:val="009063DB"/>
    <w:rsid w:val="00906AE6"/>
    <w:rsid w:val="009108F7"/>
    <w:rsid w:val="00910CD4"/>
    <w:rsid w:val="00912B31"/>
    <w:rsid w:val="00912C2B"/>
    <w:rsid w:val="00912FED"/>
    <w:rsid w:val="00913466"/>
    <w:rsid w:val="00915A93"/>
    <w:rsid w:val="00915ADB"/>
    <w:rsid w:val="00915C4B"/>
    <w:rsid w:val="00916996"/>
    <w:rsid w:val="009174E5"/>
    <w:rsid w:val="00917E27"/>
    <w:rsid w:val="00920044"/>
    <w:rsid w:val="00920C35"/>
    <w:rsid w:val="00920F2C"/>
    <w:rsid w:val="0092142E"/>
    <w:rsid w:val="00921C4B"/>
    <w:rsid w:val="00921D51"/>
    <w:rsid w:val="009226FE"/>
    <w:rsid w:val="00922A4C"/>
    <w:rsid w:val="00923B2D"/>
    <w:rsid w:val="009259A1"/>
    <w:rsid w:val="009263F1"/>
    <w:rsid w:val="00926D62"/>
    <w:rsid w:val="009272B9"/>
    <w:rsid w:val="00927A42"/>
    <w:rsid w:val="00930FBD"/>
    <w:rsid w:val="009326C4"/>
    <w:rsid w:val="009326EC"/>
    <w:rsid w:val="00932FB8"/>
    <w:rsid w:val="00933677"/>
    <w:rsid w:val="00933A58"/>
    <w:rsid w:val="00934384"/>
    <w:rsid w:val="0093547C"/>
    <w:rsid w:val="009363AA"/>
    <w:rsid w:val="00936DC3"/>
    <w:rsid w:val="009371F9"/>
    <w:rsid w:val="00937E63"/>
    <w:rsid w:val="009412B5"/>
    <w:rsid w:val="009413E2"/>
    <w:rsid w:val="009418FB"/>
    <w:rsid w:val="00942480"/>
    <w:rsid w:val="009424EA"/>
    <w:rsid w:val="0094298F"/>
    <w:rsid w:val="00942D56"/>
    <w:rsid w:val="00943113"/>
    <w:rsid w:val="00944D3B"/>
    <w:rsid w:val="0094677F"/>
    <w:rsid w:val="00947CA4"/>
    <w:rsid w:val="0095070B"/>
    <w:rsid w:val="00950D8E"/>
    <w:rsid w:val="00951986"/>
    <w:rsid w:val="009533A7"/>
    <w:rsid w:val="00953754"/>
    <w:rsid w:val="009541B7"/>
    <w:rsid w:val="00954F9D"/>
    <w:rsid w:val="009553D8"/>
    <w:rsid w:val="0095656A"/>
    <w:rsid w:val="00956EF1"/>
    <w:rsid w:val="00957250"/>
    <w:rsid w:val="009575BC"/>
    <w:rsid w:val="00957D44"/>
    <w:rsid w:val="00957DB8"/>
    <w:rsid w:val="00960920"/>
    <w:rsid w:val="00960FB1"/>
    <w:rsid w:val="009610C8"/>
    <w:rsid w:val="0096184E"/>
    <w:rsid w:val="00961A0D"/>
    <w:rsid w:val="00961A37"/>
    <w:rsid w:val="00962AE2"/>
    <w:rsid w:val="00963913"/>
    <w:rsid w:val="00963A46"/>
    <w:rsid w:val="00964922"/>
    <w:rsid w:val="00964DBF"/>
    <w:rsid w:val="00965074"/>
    <w:rsid w:val="009651F9"/>
    <w:rsid w:val="009652AD"/>
    <w:rsid w:val="009655AA"/>
    <w:rsid w:val="00965CEC"/>
    <w:rsid w:val="0096794C"/>
    <w:rsid w:val="00967E5B"/>
    <w:rsid w:val="00970541"/>
    <w:rsid w:val="00970F88"/>
    <w:rsid w:val="00973795"/>
    <w:rsid w:val="009741E7"/>
    <w:rsid w:val="00975A35"/>
    <w:rsid w:val="00975E82"/>
    <w:rsid w:val="009760E2"/>
    <w:rsid w:val="0097733A"/>
    <w:rsid w:val="00977608"/>
    <w:rsid w:val="0098002D"/>
    <w:rsid w:val="0098109C"/>
    <w:rsid w:val="009824C4"/>
    <w:rsid w:val="00984EDE"/>
    <w:rsid w:val="009861C0"/>
    <w:rsid w:val="009867E5"/>
    <w:rsid w:val="00986AE5"/>
    <w:rsid w:val="00987126"/>
    <w:rsid w:val="009871A7"/>
    <w:rsid w:val="00987FF7"/>
    <w:rsid w:val="0099239E"/>
    <w:rsid w:val="00992D00"/>
    <w:rsid w:val="00993724"/>
    <w:rsid w:val="00994C46"/>
    <w:rsid w:val="00995161"/>
    <w:rsid w:val="00995581"/>
    <w:rsid w:val="00996454"/>
    <w:rsid w:val="00996EF2"/>
    <w:rsid w:val="0099709E"/>
    <w:rsid w:val="009A00AC"/>
    <w:rsid w:val="009A09CB"/>
    <w:rsid w:val="009A1367"/>
    <w:rsid w:val="009A14CA"/>
    <w:rsid w:val="009A1804"/>
    <w:rsid w:val="009A2055"/>
    <w:rsid w:val="009A20E8"/>
    <w:rsid w:val="009A25E2"/>
    <w:rsid w:val="009A3D40"/>
    <w:rsid w:val="009A4502"/>
    <w:rsid w:val="009A619D"/>
    <w:rsid w:val="009A624E"/>
    <w:rsid w:val="009A75FB"/>
    <w:rsid w:val="009A7C64"/>
    <w:rsid w:val="009A7CC6"/>
    <w:rsid w:val="009B1406"/>
    <w:rsid w:val="009B177A"/>
    <w:rsid w:val="009B2FC9"/>
    <w:rsid w:val="009B587B"/>
    <w:rsid w:val="009B5A85"/>
    <w:rsid w:val="009B5D98"/>
    <w:rsid w:val="009B6152"/>
    <w:rsid w:val="009B69AA"/>
    <w:rsid w:val="009B6FCF"/>
    <w:rsid w:val="009B7411"/>
    <w:rsid w:val="009C14E3"/>
    <w:rsid w:val="009C155F"/>
    <w:rsid w:val="009C18B5"/>
    <w:rsid w:val="009C1B15"/>
    <w:rsid w:val="009C3510"/>
    <w:rsid w:val="009C3A0D"/>
    <w:rsid w:val="009C4C7C"/>
    <w:rsid w:val="009C4EB6"/>
    <w:rsid w:val="009C4F73"/>
    <w:rsid w:val="009C51FC"/>
    <w:rsid w:val="009C5BF8"/>
    <w:rsid w:val="009C5EFA"/>
    <w:rsid w:val="009C7202"/>
    <w:rsid w:val="009C7311"/>
    <w:rsid w:val="009C734D"/>
    <w:rsid w:val="009D0BB3"/>
    <w:rsid w:val="009D169C"/>
    <w:rsid w:val="009D335F"/>
    <w:rsid w:val="009D384C"/>
    <w:rsid w:val="009D476B"/>
    <w:rsid w:val="009D54C8"/>
    <w:rsid w:val="009D601B"/>
    <w:rsid w:val="009D6FBC"/>
    <w:rsid w:val="009D7507"/>
    <w:rsid w:val="009E0057"/>
    <w:rsid w:val="009E02F9"/>
    <w:rsid w:val="009E07BD"/>
    <w:rsid w:val="009E0AC6"/>
    <w:rsid w:val="009E3367"/>
    <w:rsid w:val="009E5348"/>
    <w:rsid w:val="009E5B08"/>
    <w:rsid w:val="009F0A7E"/>
    <w:rsid w:val="009F1D61"/>
    <w:rsid w:val="009F282F"/>
    <w:rsid w:val="009F3CAD"/>
    <w:rsid w:val="009F4C50"/>
    <w:rsid w:val="009F5DBB"/>
    <w:rsid w:val="009F5E13"/>
    <w:rsid w:val="009F614E"/>
    <w:rsid w:val="009F66F0"/>
    <w:rsid w:val="009F6AE6"/>
    <w:rsid w:val="009F7CEC"/>
    <w:rsid w:val="00A010D2"/>
    <w:rsid w:val="00A0159D"/>
    <w:rsid w:val="00A0183F"/>
    <w:rsid w:val="00A01EF4"/>
    <w:rsid w:val="00A0216A"/>
    <w:rsid w:val="00A0262A"/>
    <w:rsid w:val="00A02716"/>
    <w:rsid w:val="00A02997"/>
    <w:rsid w:val="00A02A38"/>
    <w:rsid w:val="00A02DAC"/>
    <w:rsid w:val="00A03E04"/>
    <w:rsid w:val="00A045F4"/>
    <w:rsid w:val="00A04CE9"/>
    <w:rsid w:val="00A05BD0"/>
    <w:rsid w:val="00A05EEB"/>
    <w:rsid w:val="00A060BA"/>
    <w:rsid w:val="00A072F4"/>
    <w:rsid w:val="00A101DD"/>
    <w:rsid w:val="00A11257"/>
    <w:rsid w:val="00A114B0"/>
    <w:rsid w:val="00A11E6B"/>
    <w:rsid w:val="00A11F52"/>
    <w:rsid w:val="00A128F0"/>
    <w:rsid w:val="00A1315C"/>
    <w:rsid w:val="00A14171"/>
    <w:rsid w:val="00A14491"/>
    <w:rsid w:val="00A166D1"/>
    <w:rsid w:val="00A17221"/>
    <w:rsid w:val="00A17FEA"/>
    <w:rsid w:val="00A202EA"/>
    <w:rsid w:val="00A208DA"/>
    <w:rsid w:val="00A2291F"/>
    <w:rsid w:val="00A22E1A"/>
    <w:rsid w:val="00A23C39"/>
    <w:rsid w:val="00A25BBE"/>
    <w:rsid w:val="00A26479"/>
    <w:rsid w:val="00A26861"/>
    <w:rsid w:val="00A301D6"/>
    <w:rsid w:val="00A30EFA"/>
    <w:rsid w:val="00A3417C"/>
    <w:rsid w:val="00A34359"/>
    <w:rsid w:val="00A34686"/>
    <w:rsid w:val="00A34DCE"/>
    <w:rsid w:val="00A3510B"/>
    <w:rsid w:val="00A35416"/>
    <w:rsid w:val="00A355C1"/>
    <w:rsid w:val="00A35A0A"/>
    <w:rsid w:val="00A35FA0"/>
    <w:rsid w:val="00A3647F"/>
    <w:rsid w:val="00A36662"/>
    <w:rsid w:val="00A377B7"/>
    <w:rsid w:val="00A37F06"/>
    <w:rsid w:val="00A4052B"/>
    <w:rsid w:val="00A406F1"/>
    <w:rsid w:val="00A40F6B"/>
    <w:rsid w:val="00A410A2"/>
    <w:rsid w:val="00A4153E"/>
    <w:rsid w:val="00A42799"/>
    <w:rsid w:val="00A428F9"/>
    <w:rsid w:val="00A442AE"/>
    <w:rsid w:val="00A464A2"/>
    <w:rsid w:val="00A47B5B"/>
    <w:rsid w:val="00A507A0"/>
    <w:rsid w:val="00A50ABF"/>
    <w:rsid w:val="00A51125"/>
    <w:rsid w:val="00A5215A"/>
    <w:rsid w:val="00A53025"/>
    <w:rsid w:val="00A53851"/>
    <w:rsid w:val="00A55358"/>
    <w:rsid w:val="00A56C2E"/>
    <w:rsid w:val="00A57535"/>
    <w:rsid w:val="00A57DEC"/>
    <w:rsid w:val="00A60026"/>
    <w:rsid w:val="00A613F3"/>
    <w:rsid w:val="00A63BE1"/>
    <w:rsid w:val="00A63D11"/>
    <w:rsid w:val="00A64588"/>
    <w:rsid w:val="00A6491C"/>
    <w:rsid w:val="00A64AE3"/>
    <w:rsid w:val="00A677E2"/>
    <w:rsid w:val="00A67A2D"/>
    <w:rsid w:val="00A707B6"/>
    <w:rsid w:val="00A716F7"/>
    <w:rsid w:val="00A7216B"/>
    <w:rsid w:val="00A7386A"/>
    <w:rsid w:val="00A745EF"/>
    <w:rsid w:val="00A76352"/>
    <w:rsid w:val="00A80556"/>
    <w:rsid w:val="00A8066A"/>
    <w:rsid w:val="00A80A95"/>
    <w:rsid w:val="00A81860"/>
    <w:rsid w:val="00A852AC"/>
    <w:rsid w:val="00A8581E"/>
    <w:rsid w:val="00A872BA"/>
    <w:rsid w:val="00A87A4B"/>
    <w:rsid w:val="00A87FBD"/>
    <w:rsid w:val="00A9029A"/>
    <w:rsid w:val="00A90F5D"/>
    <w:rsid w:val="00A91295"/>
    <w:rsid w:val="00A932A6"/>
    <w:rsid w:val="00A93A61"/>
    <w:rsid w:val="00A93A92"/>
    <w:rsid w:val="00A95663"/>
    <w:rsid w:val="00A9581B"/>
    <w:rsid w:val="00A97516"/>
    <w:rsid w:val="00A97D94"/>
    <w:rsid w:val="00AA00FA"/>
    <w:rsid w:val="00AA2067"/>
    <w:rsid w:val="00AA27E3"/>
    <w:rsid w:val="00AA2AFF"/>
    <w:rsid w:val="00AA3E18"/>
    <w:rsid w:val="00AA4263"/>
    <w:rsid w:val="00AA43F5"/>
    <w:rsid w:val="00AA5875"/>
    <w:rsid w:val="00AA7A12"/>
    <w:rsid w:val="00AB0DC3"/>
    <w:rsid w:val="00AB12CC"/>
    <w:rsid w:val="00AB1B9B"/>
    <w:rsid w:val="00AB232B"/>
    <w:rsid w:val="00AB23C9"/>
    <w:rsid w:val="00AB3D79"/>
    <w:rsid w:val="00AB4DD8"/>
    <w:rsid w:val="00AB4F53"/>
    <w:rsid w:val="00AB54A6"/>
    <w:rsid w:val="00AB55F8"/>
    <w:rsid w:val="00AB60AF"/>
    <w:rsid w:val="00AB739A"/>
    <w:rsid w:val="00AC22A1"/>
    <w:rsid w:val="00AC242B"/>
    <w:rsid w:val="00AC2F3B"/>
    <w:rsid w:val="00AC3217"/>
    <w:rsid w:val="00AC38C1"/>
    <w:rsid w:val="00AC3B4C"/>
    <w:rsid w:val="00AC4535"/>
    <w:rsid w:val="00AC4E45"/>
    <w:rsid w:val="00AC5073"/>
    <w:rsid w:val="00AC5A5B"/>
    <w:rsid w:val="00AC5F71"/>
    <w:rsid w:val="00AC637C"/>
    <w:rsid w:val="00AC6819"/>
    <w:rsid w:val="00AC7488"/>
    <w:rsid w:val="00AC7538"/>
    <w:rsid w:val="00AC76A2"/>
    <w:rsid w:val="00AD0876"/>
    <w:rsid w:val="00AD1500"/>
    <w:rsid w:val="00AD2C0B"/>
    <w:rsid w:val="00AD2F18"/>
    <w:rsid w:val="00AD3917"/>
    <w:rsid w:val="00AD4760"/>
    <w:rsid w:val="00AD4BFB"/>
    <w:rsid w:val="00AD536C"/>
    <w:rsid w:val="00AD53D5"/>
    <w:rsid w:val="00AD54D8"/>
    <w:rsid w:val="00AD7424"/>
    <w:rsid w:val="00AD7F1A"/>
    <w:rsid w:val="00AE0A6D"/>
    <w:rsid w:val="00AE0FBD"/>
    <w:rsid w:val="00AE135F"/>
    <w:rsid w:val="00AE1D02"/>
    <w:rsid w:val="00AE1F06"/>
    <w:rsid w:val="00AE22BC"/>
    <w:rsid w:val="00AE233D"/>
    <w:rsid w:val="00AE26FC"/>
    <w:rsid w:val="00AE273C"/>
    <w:rsid w:val="00AE2AAB"/>
    <w:rsid w:val="00AE2E11"/>
    <w:rsid w:val="00AE35A0"/>
    <w:rsid w:val="00AE55C9"/>
    <w:rsid w:val="00AE5A4F"/>
    <w:rsid w:val="00AE5CB1"/>
    <w:rsid w:val="00AE6F10"/>
    <w:rsid w:val="00AE7A80"/>
    <w:rsid w:val="00AF01A0"/>
    <w:rsid w:val="00AF0249"/>
    <w:rsid w:val="00AF03D2"/>
    <w:rsid w:val="00AF206C"/>
    <w:rsid w:val="00AF2117"/>
    <w:rsid w:val="00AF2669"/>
    <w:rsid w:val="00AF26D6"/>
    <w:rsid w:val="00AF3210"/>
    <w:rsid w:val="00AF3467"/>
    <w:rsid w:val="00AF478B"/>
    <w:rsid w:val="00AF4EB8"/>
    <w:rsid w:val="00AF5299"/>
    <w:rsid w:val="00AF5C65"/>
    <w:rsid w:val="00B01A10"/>
    <w:rsid w:val="00B01DB7"/>
    <w:rsid w:val="00B02A74"/>
    <w:rsid w:val="00B03C7E"/>
    <w:rsid w:val="00B03ED8"/>
    <w:rsid w:val="00B04C76"/>
    <w:rsid w:val="00B0513D"/>
    <w:rsid w:val="00B0572B"/>
    <w:rsid w:val="00B05951"/>
    <w:rsid w:val="00B05CF1"/>
    <w:rsid w:val="00B102D8"/>
    <w:rsid w:val="00B11671"/>
    <w:rsid w:val="00B12917"/>
    <w:rsid w:val="00B13292"/>
    <w:rsid w:val="00B134E7"/>
    <w:rsid w:val="00B13C9A"/>
    <w:rsid w:val="00B14462"/>
    <w:rsid w:val="00B15472"/>
    <w:rsid w:val="00B16036"/>
    <w:rsid w:val="00B16558"/>
    <w:rsid w:val="00B16C17"/>
    <w:rsid w:val="00B16FA9"/>
    <w:rsid w:val="00B20926"/>
    <w:rsid w:val="00B20E04"/>
    <w:rsid w:val="00B21ACF"/>
    <w:rsid w:val="00B21FB6"/>
    <w:rsid w:val="00B23338"/>
    <w:rsid w:val="00B24CA6"/>
    <w:rsid w:val="00B24E95"/>
    <w:rsid w:val="00B2527B"/>
    <w:rsid w:val="00B253BF"/>
    <w:rsid w:val="00B2586F"/>
    <w:rsid w:val="00B25C32"/>
    <w:rsid w:val="00B271BE"/>
    <w:rsid w:val="00B27A37"/>
    <w:rsid w:val="00B27D7E"/>
    <w:rsid w:val="00B30213"/>
    <w:rsid w:val="00B30615"/>
    <w:rsid w:val="00B3092A"/>
    <w:rsid w:val="00B320BF"/>
    <w:rsid w:val="00B3260C"/>
    <w:rsid w:val="00B32D68"/>
    <w:rsid w:val="00B34426"/>
    <w:rsid w:val="00B3452D"/>
    <w:rsid w:val="00B35189"/>
    <w:rsid w:val="00B3565C"/>
    <w:rsid w:val="00B35EE8"/>
    <w:rsid w:val="00B365FE"/>
    <w:rsid w:val="00B36809"/>
    <w:rsid w:val="00B36820"/>
    <w:rsid w:val="00B3698B"/>
    <w:rsid w:val="00B36E86"/>
    <w:rsid w:val="00B3735A"/>
    <w:rsid w:val="00B40077"/>
    <w:rsid w:val="00B402CE"/>
    <w:rsid w:val="00B414AA"/>
    <w:rsid w:val="00B41F63"/>
    <w:rsid w:val="00B41F8E"/>
    <w:rsid w:val="00B4263F"/>
    <w:rsid w:val="00B42818"/>
    <w:rsid w:val="00B432EE"/>
    <w:rsid w:val="00B43CCC"/>
    <w:rsid w:val="00B43F5C"/>
    <w:rsid w:val="00B44352"/>
    <w:rsid w:val="00B44DE4"/>
    <w:rsid w:val="00B46726"/>
    <w:rsid w:val="00B46C14"/>
    <w:rsid w:val="00B47D22"/>
    <w:rsid w:val="00B510FE"/>
    <w:rsid w:val="00B5128B"/>
    <w:rsid w:val="00B51577"/>
    <w:rsid w:val="00B52074"/>
    <w:rsid w:val="00B52BEB"/>
    <w:rsid w:val="00B536A0"/>
    <w:rsid w:val="00B5445D"/>
    <w:rsid w:val="00B5500B"/>
    <w:rsid w:val="00B55755"/>
    <w:rsid w:val="00B559D5"/>
    <w:rsid w:val="00B561AA"/>
    <w:rsid w:val="00B56AC2"/>
    <w:rsid w:val="00B56BB2"/>
    <w:rsid w:val="00B56D8F"/>
    <w:rsid w:val="00B571E2"/>
    <w:rsid w:val="00B604D7"/>
    <w:rsid w:val="00B60663"/>
    <w:rsid w:val="00B613D5"/>
    <w:rsid w:val="00B616E1"/>
    <w:rsid w:val="00B62100"/>
    <w:rsid w:val="00B6359D"/>
    <w:rsid w:val="00B635F1"/>
    <w:rsid w:val="00B6387C"/>
    <w:rsid w:val="00B64B96"/>
    <w:rsid w:val="00B64C7E"/>
    <w:rsid w:val="00B64CF3"/>
    <w:rsid w:val="00B65A8F"/>
    <w:rsid w:val="00B65E56"/>
    <w:rsid w:val="00B667C6"/>
    <w:rsid w:val="00B6704C"/>
    <w:rsid w:val="00B6769F"/>
    <w:rsid w:val="00B679FC"/>
    <w:rsid w:val="00B67D41"/>
    <w:rsid w:val="00B71766"/>
    <w:rsid w:val="00B74073"/>
    <w:rsid w:val="00B744AA"/>
    <w:rsid w:val="00B74746"/>
    <w:rsid w:val="00B74AED"/>
    <w:rsid w:val="00B75467"/>
    <w:rsid w:val="00B754AB"/>
    <w:rsid w:val="00B75862"/>
    <w:rsid w:val="00B759E7"/>
    <w:rsid w:val="00B75B89"/>
    <w:rsid w:val="00B7674F"/>
    <w:rsid w:val="00B81A59"/>
    <w:rsid w:val="00B82914"/>
    <w:rsid w:val="00B833A5"/>
    <w:rsid w:val="00B83625"/>
    <w:rsid w:val="00B83DAD"/>
    <w:rsid w:val="00B858CF"/>
    <w:rsid w:val="00B85DEE"/>
    <w:rsid w:val="00B876BD"/>
    <w:rsid w:val="00B876FD"/>
    <w:rsid w:val="00B90084"/>
    <w:rsid w:val="00B90694"/>
    <w:rsid w:val="00B90826"/>
    <w:rsid w:val="00B90DAF"/>
    <w:rsid w:val="00B917B8"/>
    <w:rsid w:val="00B92547"/>
    <w:rsid w:val="00B92AA7"/>
    <w:rsid w:val="00B92B4D"/>
    <w:rsid w:val="00B93769"/>
    <w:rsid w:val="00B93D0C"/>
    <w:rsid w:val="00B951FE"/>
    <w:rsid w:val="00B958E1"/>
    <w:rsid w:val="00B962DA"/>
    <w:rsid w:val="00B963FE"/>
    <w:rsid w:val="00B967AD"/>
    <w:rsid w:val="00B96B25"/>
    <w:rsid w:val="00B97ACA"/>
    <w:rsid w:val="00BA0342"/>
    <w:rsid w:val="00BA2367"/>
    <w:rsid w:val="00BA254C"/>
    <w:rsid w:val="00BA4470"/>
    <w:rsid w:val="00BA4597"/>
    <w:rsid w:val="00BA48D9"/>
    <w:rsid w:val="00BA49E9"/>
    <w:rsid w:val="00BA61AF"/>
    <w:rsid w:val="00BA6AAB"/>
    <w:rsid w:val="00BB051B"/>
    <w:rsid w:val="00BB07CD"/>
    <w:rsid w:val="00BB0EB7"/>
    <w:rsid w:val="00BB2AA7"/>
    <w:rsid w:val="00BB2D69"/>
    <w:rsid w:val="00BB2F71"/>
    <w:rsid w:val="00BB360B"/>
    <w:rsid w:val="00BB501D"/>
    <w:rsid w:val="00BB66F1"/>
    <w:rsid w:val="00BB6D8E"/>
    <w:rsid w:val="00BB7B20"/>
    <w:rsid w:val="00BC1445"/>
    <w:rsid w:val="00BC1715"/>
    <w:rsid w:val="00BC22CA"/>
    <w:rsid w:val="00BC329E"/>
    <w:rsid w:val="00BC3B72"/>
    <w:rsid w:val="00BC4513"/>
    <w:rsid w:val="00BC45A9"/>
    <w:rsid w:val="00BC4D55"/>
    <w:rsid w:val="00BC732D"/>
    <w:rsid w:val="00BC7D23"/>
    <w:rsid w:val="00BD0F4A"/>
    <w:rsid w:val="00BD22C8"/>
    <w:rsid w:val="00BD24B1"/>
    <w:rsid w:val="00BD283C"/>
    <w:rsid w:val="00BD2858"/>
    <w:rsid w:val="00BD2C50"/>
    <w:rsid w:val="00BD3401"/>
    <w:rsid w:val="00BD4A15"/>
    <w:rsid w:val="00BD5153"/>
    <w:rsid w:val="00BD661E"/>
    <w:rsid w:val="00BD72DF"/>
    <w:rsid w:val="00BD74B3"/>
    <w:rsid w:val="00BE0710"/>
    <w:rsid w:val="00BE09C2"/>
    <w:rsid w:val="00BE22D2"/>
    <w:rsid w:val="00BE3CE1"/>
    <w:rsid w:val="00BE4512"/>
    <w:rsid w:val="00BE48AF"/>
    <w:rsid w:val="00BE5595"/>
    <w:rsid w:val="00BE5B29"/>
    <w:rsid w:val="00BE5FBE"/>
    <w:rsid w:val="00BE6480"/>
    <w:rsid w:val="00BE6B07"/>
    <w:rsid w:val="00BE6D10"/>
    <w:rsid w:val="00BE7757"/>
    <w:rsid w:val="00BF0CFF"/>
    <w:rsid w:val="00BF2B98"/>
    <w:rsid w:val="00BF2D52"/>
    <w:rsid w:val="00BF4BB4"/>
    <w:rsid w:val="00BF5594"/>
    <w:rsid w:val="00BF5727"/>
    <w:rsid w:val="00BF5ADC"/>
    <w:rsid w:val="00BF5BB8"/>
    <w:rsid w:val="00BF751F"/>
    <w:rsid w:val="00BF7AAB"/>
    <w:rsid w:val="00BF7F41"/>
    <w:rsid w:val="00C013A2"/>
    <w:rsid w:val="00C02AD2"/>
    <w:rsid w:val="00C02D71"/>
    <w:rsid w:val="00C0346D"/>
    <w:rsid w:val="00C0483C"/>
    <w:rsid w:val="00C052AC"/>
    <w:rsid w:val="00C0545B"/>
    <w:rsid w:val="00C0587B"/>
    <w:rsid w:val="00C06E8C"/>
    <w:rsid w:val="00C0740C"/>
    <w:rsid w:val="00C11294"/>
    <w:rsid w:val="00C12D4D"/>
    <w:rsid w:val="00C136C1"/>
    <w:rsid w:val="00C13B1A"/>
    <w:rsid w:val="00C13BBD"/>
    <w:rsid w:val="00C1511F"/>
    <w:rsid w:val="00C15EA0"/>
    <w:rsid w:val="00C16470"/>
    <w:rsid w:val="00C16782"/>
    <w:rsid w:val="00C176E4"/>
    <w:rsid w:val="00C17D8B"/>
    <w:rsid w:val="00C17F25"/>
    <w:rsid w:val="00C2214A"/>
    <w:rsid w:val="00C2276C"/>
    <w:rsid w:val="00C23666"/>
    <w:rsid w:val="00C2372F"/>
    <w:rsid w:val="00C251A6"/>
    <w:rsid w:val="00C25358"/>
    <w:rsid w:val="00C2547C"/>
    <w:rsid w:val="00C263ED"/>
    <w:rsid w:val="00C265AC"/>
    <w:rsid w:val="00C272DA"/>
    <w:rsid w:val="00C27A1D"/>
    <w:rsid w:val="00C27CFB"/>
    <w:rsid w:val="00C30882"/>
    <w:rsid w:val="00C30968"/>
    <w:rsid w:val="00C313E2"/>
    <w:rsid w:val="00C31909"/>
    <w:rsid w:val="00C31D64"/>
    <w:rsid w:val="00C329C9"/>
    <w:rsid w:val="00C32B9D"/>
    <w:rsid w:val="00C32BB7"/>
    <w:rsid w:val="00C33C4A"/>
    <w:rsid w:val="00C34381"/>
    <w:rsid w:val="00C366F7"/>
    <w:rsid w:val="00C372A3"/>
    <w:rsid w:val="00C37E20"/>
    <w:rsid w:val="00C37F5E"/>
    <w:rsid w:val="00C40265"/>
    <w:rsid w:val="00C40828"/>
    <w:rsid w:val="00C43363"/>
    <w:rsid w:val="00C43930"/>
    <w:rsid w:val="00C44685"/>
    <w:rsid w:val="00C4567D"/>
    <w:rsid w:val="00C45A85"/>
    <w:rsid w:val="00C464C5"/>
    <w:rsid w:val="00C4692C"/>
    <w:rsid w:val="00C47662"/>
    <w:rsid w:val="00C50CAD"/>
    <w:rsid w:val="00C51004"/>
    <w:rsid w:val="00C511D3"/>
    <w:rsid w:val="00C51A44"/>
    <w:rsid w:val="00C52DB9"/>
    <w:rsid w:val="00C53E6F"/>
    <w:rsid w:val="00C54CFB"/>
    <w:rsid w:val="00C561F6"/>
    <w:rsid w:val="00C5652E"/>
    <w:rsid w:val="00C60828"/>
    <w:rsid w:val="00C6143E"/>
    <w:rsid w:val="00C62254"/>
    <w:rsid w:val="00C62BD9"/>
    <w:rsid w:val="00C64947"/>
    <w:rsid w:val="00C66125"/>
    <w:rsid w:val="00C66D7D"/>
    <w:rsid w:val="00C66F25"/>
    <w:rsid w:val="00C675C5"/>
    <w:rsid w:val="00C70AD5"/>
    <w:rsid w:val="00C71252"/>
    <w:rsid w:val="00C715D2"/>
    <w:rsid w:val="00C716E0"/>
    <w:rsid w:val="00C71EBB"/>
    <w:rsid w:val="00C7505D"/>
    <w:rsid w:val="00C7515B"/>
    <w:rsid w:val="00C760E1"/>
    <w:rsid w:val="00C7613C"/>
    <w:rsid w:val="00C77678"/>
    <w:rsid w:val="00C778AA"/>
    <w:rsid w:val="00C77BA3"/>
    <w:rsid w:val="00C80178"/>
    <w:rsid w:val="00C80B8D"/>
    <w:rsid w:val="00C816C1"/>
    <w:rsid w:val="00C81A61"/>
    <w:rsid w:val="00C81A94"/>
    <w:rsid w:val="00C82401"/>
    <w:rsid w:val="00C82485"/>
    <w:rsid w:val="00C831C3"/>
    <w:rsid w:val="00C83457"/>
    <w:rsid w:val="00C83998"/>
    <w:rsid w:val="00C83E5E"/>
    <w:rsid w:val="00C86206"/>
    <w:rsid w:val="00C87053"/>
    <w:rsid w:val="00C904DA"/>
    <w:rsid w:val="00C90904"/>
    <w:rsid w:val="00C94034"/>
    <w:rsid w:val="00C94FB9"/>
    <w:rsid w:val="00C964B7"/>
    <w:rsid w:val="00C96DE7"/>
    <w:rsid w:val="00CA017A"/>
    <w:rsid w:val="00CA023F"/>
    <w:rsid w:val="00CA0BF0"/>
    <w:rsid w:val="00CA0E0D"/>
    <w:rsid w:val="00CA1906"/>
    <w:rsid w:val="00CA3380"/>
    <w:rsid w:val="00CA3803"/>
    <w:rsid w:val="00CA3B49"/>
    <w:rsid w:val="00CA3EAB"/>
    <w:rsid w:val="00CA576A"/>
    <w:rsid w:val="00CA69A8"/>
    <w:rsid w:val="00CA6C4D"/>
    <w:rsid w:val="00CA7BA2"/>
    <w:rsid w:val="00CB1CC3"/>
    <w:rsid w:val="00CB22A1"/>
    <w:rsid w:val="00CB2592"/>
    <w:rsid w:val="00CB3434"/>
    <w:rsid w:val="00CB394C"/>
    <w:rsid w:val="00CB3A6C"/>
    <w:rsid w:val="00CB40D8"/>
    <w:rsid w:val="00CB4FAE"/>
    <w:rsid w:val="00CB51DF"/>
    <w:rsid w:val="00CB54C1"/>
    <w:rsid w:val="00CB56BC"/>
    <w:rsid w:val="00CB69E3"/>
    <w:rsid w:val="00CC0B1B"/>
    <w:rsid w:val="00CC0D5E"/>
    <w:rsid w:val="00CC12DE"/>
    <w:rsid w:val="00CC17CD"/>
    <w:rsid w:val="00CC191D"/>
    <w:rsid w:val="00CC24A7"/>
    <w:rsid w:val="00CC4AAD"/>
    <w:rsid w:val="00CC5DCC"/>
    <w:rsid w:val="00CC693F"/>
    <w:rsid w:val="00CC6DE5"/>
    <w:rsid w:val="00CC7017"/>
    <w:rsid w:val="00CD083F"/>
    <w:rsid w:val="00CD0A8D"/>
    <w:rsid w:val="00CD22D3"/>
    <w:rsid w:val="00CD24B4"/>
    <w:rsid w:val="00CD3169"/>
    <w:rsid w:val="00CD31B4"/>
    <w:rsid w:val="00CD338B"/>
    <w:rsid w:val="00CD3A89"/>
    <w:rsid w:val="00CD3EB0"/>
    <w:rsid w:val="00CD40E7"/>
    <w:rsid w:val="00CD4FD6"/>
    <w:rsid w:val="00CD51E1"/>
    <w:rsid w:val="00CD600F"/>
    <w:rsid w:val="00CD6260"/>
    <w:rsid w:val="00CD6E75"/>
    <w:rsid w:val="00CD735B"/>
    <w:rsid w:val="00CD7C98"/>
    <w:rsid w:val="00CE0C07"/>
    <w:rsid w:val="00CE206C"/>
    <w:rsid w:val="00CE247F"/>
    <w:rsid w:val="00CE320E"/>
    <w:rsid w:val="00CE5B1E"/>
    <w:rsid w:val="00CE75AF"/>
    <w:rsid w:val="00CE7626"/>
    <w:rsid w:val="00CE7C52"/>
    <w:rsid w:val="00CF0861"/>
    <w:rsid w:val="00CF0912"/>
    <w:rsid w:val="00CF116C"/>
    <w:rsid w:val="00CF14C7"/>
    <w:rsid w:val="00CF26D2"/>
    <w:rsid w:val="00CF33BD"/>
    <w:rsid w:val="00CF348C"/>
    <w:rsid w:val="00CF3CA6"/>
    <w:rsid w:val="00CF3EA1"/>
    <w:rsid w:val="00CF4053"/>
    <w:rsid w:val="00CF4A5C"/>
    <w:rsid w:val="00CF5055"/>
    <w:rsid w:val="00CF5280"/>
    <w:rsid w:val="00CF5387"/>
    <w:rsid w:val="00CF5524"/>
    <w:rsid w:val="00CF61F8"/>
    <w:rsid w:val="00CF64CC"/>
    <w:rsid w:val="00CF705F"/>
    <w:rsid w:val="00CF709D"/>
    <w:rsid w:val="00D00ED9"/>
    <w:rsid w:val="00D02136"/>
    <w:rsid w:val="00D028B2"/>
    <w:rsid w:val="00D03CF7"/>
    <w:rsid w:val="00D0478A"/>
    <w:rsid w:val="00D058C4"/>
    <w:rsid w:val="00D06E8D"/>
    <w:rsid w:val="00D06F09"/>
    <w:rsid w:val="00D06F9A"/>
    <w:rsid w:val="00D07E77"/>
    <w:rsid w:val="00D10BB2"/>
    <w:rsid w:val="00D111F7"/>
    <w:rsid w:val="00D11422"/>
    <w:rsid w:val="00D12B8B"/>
    <w:rsid w:val="00D12EBA"/>
    <w:rsid w:val="00D133B4"/>
    <w:rsid w:val="00D13CEC"/>
    <w:rsid w:val="00D1446F"/>
    <w:rsid w:val="00D1488E"/>
    <w:rsid w:val="00D14C87"/>
    <w:rsid w:val="00D157D7"/>
    <w:rsid w:val="00D159F2"/>
    <w:rsid w:val="00D15DAA"/>
    <w:rsid w:val="00D16166"/>
    <w:rsid w:val="00D162A6"/>
    <w:rsid w:val="00D179DE"/>
    <w:rsid w:val="00D20DA7"/>
    <w:rsid w:val="00D20E13"/>
    <w:rsid w:val="00D23A05"/>
    <w:rsid w:val="00D23DC0"/>
    <w:rsid w:val="00D2427F"/>
    <w:rsid w:val="00D24D37"/>
    <w:rsid w:val="00D25651"/>
    <w:rsid w:val="00D267CB"/>
    <w:rsid w:val="00D304CB"/>
    <w:rsid w:val="00D30C41"/>
    <w:rsid w:val="00D30EE0"/>
    <w:rsid w:val="00D31F2C"/>
    <w:rsid w:val="00D335F5"/>
    <w:rsid w:val="00D34214"/>
    <w:rsid w:val="00D34FB2"/>
    <w:rsid w:val="00D351ED"/>
    <w:rsid w:val="00D35219"/>
    <w:rsid w:val="00D36592"/>
    <w:rsid w:val="00D3673B"/>
    <w:rsid w:val="00D3717F"/>
    <w:rsid w:val="00D37CDC"/>
    <w:rsid w:val="00D40BD6"/>
    <w:rsid w:val="00D418D7"/>
    <w:rsid w:val="00D41C5C"/>
    <w:rsid w:val="00D43627"/>
    <w:rsid w:val="00D438F0"/>
    <w:rsid w:val="00D44369"/>
    <w:rsid w:val="00D44FD8"/>
    <w:rsid w:val="00D45D3A"/>
    <w:rsid w:val="00D469B6"/>
    <w:rsid w:val="00D46CA6"/>
    <w:rsid w:val="00D47448"/>
    <w:rsid w:val="00D47BC2"/>
    <w:rsid w:val="00D506A5"/>
    <w:rsid w:val="00D50735"/>
    <w:rsid w:val="00D50C3B"/>
    <w:rsid w:val="00D5140B"/>
    <w:rsid w:val="00D51654"/>
    <w:rsid w:val="00D51A93"/>
    <w:rsid w:val="00D51DBD"/>
    <w:rsid w:val="00D55387"/>
    <w:rsid w:val="00D55984"/>
    <w:rsid w:val="00D55BDA"/>
    <w:rsid w:val="00D55FA8"/>
    <w:rsid w:val="00D562A5"/>
    <w:rsid w:val="00D56BD5"/>
    <w:rsid w:val="00D57796"/>
    <w:rsid w:val="00D6251D"/>
    <w:rsid w:val="00D62BF9"/>
    <w:rsid w:val="00D62E04"/>
    <w:rsid w:val="00D63B4E"/>
    <w:rsid w:val="00D6562A"/>
    <w:rsid w:val="00D65DF7"/>
    <w:rsid w:val="00D6661F"/>
    <w:rsid w:val="00D66727"/>
    <w:rsid w:val="00D667C2"/>
    <w:rsid w:val="00D6689A"/>
    <w:rsid w:val="00D66D65"/>
    <w:rsid w:val="00D679D0"/>
    <w:rsid w:val="00D67D75"/>
    <w:rsid w:val="00D7063C"/>
    <w:rsid w:val="00D71588"/>
    <w:rsid w:val="00D719D9"/>
    <w:rsid w:val="00D727DE"/>
    <w:rsid w:val="00D739EB"/>
    <w:rsid w:val="00D74F7D"/>
    <w:rsid w:val="00D7532D"/>
    <w:rsid w:val="00D75BED"/>
    <w:rsid w:val="00D7719D"/>
    <w:rsid w:val="00D77430"/>
    <w:rsid w:val="00D779DB"/>
    <w:rsid w:val="00D77F5E"/>
    <w:rsid w:val="00D80960"/>
    <w:rsid w:val="00D80A35"/>
    <w:rsid w:val="00D80A94"/>
    <w:rsid w:val="00D83A1C"/>
    <w:rsid w:val="00D8454C"/>
    <w:rsid w:val="00D84F0E"/>
    <w:rsid w:val="00D85BE0"/>
    <w:rsid w:val="00D8648D"/>
    <w:rsid w:val="00D86E9A"/>
    <w:rsid w:val="00D9031C"/>
    <w:rsid w:val="00D903B6"/>
    <w:rsid w:val="00D909DC"/>
    <w:rsid w:val="00D92E11"/>
    <w:rsid w:val="00D93F9D"/>
    <w:rsid w:val="00D94EC7"/>
    <w:rsid w:val="00D96017"/>
    <w:rsid w:val="00D960AD"/>
    <w:rsid w:val="00D96930"/>
    <w:rsid w:val="00DA060F"/>
    <w:rsid w:val="00DA09BD"/>
    <w:rsid w:val="00DA0DC3"/>
    <w:rsid w:val="00DA2DFB"/>
    <w:rsid w:val="00DA36ED"/>
    <w:rsid w:val="00DA3D12"/>
    <w:rsid w:val="00DA51FC"/>
    <w:rsid w:val="00DA52FA"/>
    <w:rsid w:val="00DA589A"/>
    <w:rsid w:val="00DA59C8"/>
    <w:rsid w:val="00DA5AFD"/>
    <w:rsid w:val="00DA7133"/>
    <w:rsid w:val="00DA783C"/>
    <w:rsid w:val="00DB3376"/>
    <w:rsid w:val="00DB343C"/>
    <w:rsid w:val="00DB46BF"/>
    <w:rsid w:val="00DB474F"/>
    <w:rsid w:val="00DB53D0"/>
    <w:rsid w:val="00DB5460"/>
    <w:rsid w:val="00DB6E3A"/>
    <w:rsid w:val="00DB7F14"/>
    <w:rsid w:val="00DB7FC0"/>
    <w:rsid w:val="00DC0635"/>
    <w:rsid w:val="00DC087E"/>
    <w:rsid w:val="00DC1399"/>
    <w:rsid w:val="00DC1454"/>
    <w:rsid w:val="00DC1551"/>
    <w:rsid w:val="00DC238B"/>
    <w:rsid w:val="00DC2E81"/>
    <w:rsid w:val="00DC33B6"/>
    <w:rsid w:val="00DC452B"/>
    <w:rsid w:val="00DC4CB1"/>
    <w:rsid w:val="00DC4D34"/>
    <w:rsid w:val="00DC650C"/>
    <w:rsid w:val="00DC71AB"/>
    <w:rsid w:val="00DD0551"/>
    <w:rsid w:val="00DD06C5"/>
    <w:rsid w:val="00DD0A43"/>
    <w:rsid w:val="00DD0E1C"/>
    <w:rsid w:val="00DD1092"/>
    <w:rsid w:val="00DD2730"/>
    <w:rsid w:val="00DD2DE3"/>
    <w:rsid w:val="00DD3925"/>
    <w:rsid w:val="00DD4008"/>
    <w:rsid w:val="00DD45AC"/>
    <w:rsid w:val="00DD4CDA"/>
    <w:rsid w:val="00DD73E4"/>
    <w:rsid w:val="00DD7B4F"/>
    <w:rsid w:val="00DE1244"/>
    <w:rsid w:val="00DE1A9E"/>
    <w:rsid w:val="00DE2402"/>
    <w:rsid w:val="00DE25CE"/>
    <w:rsid w:val="00DE2EE3"/>
    <w:rsid w:val="00DE476F"/>
    <w:rsid w:val="00DE5704"/>
    <w:rsid w:val="00DE67F7"/>
    <w:rsid w:val="00DE68B2"/>
    <w:rsid w:val="00DE6A78"/>
    <w:rsid w:val="00DF0C63"/>
    <w:rsid w:val="00DF10CF"/>
    <w:rsid w:val="00DF149D"/>
    <w:rsid w:val="00DF2B15"/>
    <w:rsid w:val="00DF310E"/>
    <w:rsid w:val="00DF353C"/>
    <w:rsid w:val="00DF3612"/>
    <w:rsid w:val="00DF388D"/>
    <w:rsid w:val="00DF3978"/>
    <w:rsid w:val="00DF3D06"/>
    <w:rsid w:val="00DF4523"/>
    <w:rsid w:val="00DF45FD"/>
    <w:rsid w:val="00DF58CA"/>
    <w:rsid w:val="00DF61FE"/>
    <w:rsid w:val="00DF625A"/>
    <w:rsid w:val="00DF6601"/>
    <w:rsid w:val="00DF74D5"/>
    <w:rsid w:val="00DF7EE3"/>
    <w:rsid w:val="00E00AFF"/>
    <w:rsid w:val="00E010E3"/>
    <w:rsid w:val="00E016CA"/>
    <w:rsid w:val="00E017E0"/>
    <w:rsid w:val="00E01916"/>
    <w:rsid w:val="00E01BD8"/>
    <w:rsid w:val="00E02094"/>
    <w:rsid w:val="00E02F8C"/>
    <w:rsid w:val="00E03DAB"/>
    <w:rsid w:val="00E06AED"/>
    <w:rsid w:val="00E074EC"/>
    <w:rsid w:val="00E07835"/>
    <w:rsid w:val="00E1058B"/>
    <w:rsid w:val="00E107A7"/>
    <w:rsid w:val="00E10F6C"/>
    <w:rsid w:val="00E1106A"/>
    <w:rsid w:val="00E11318"/>
    <w:rsid w:val="00E11C25"/>
    <w:rsid w:val="00E14A31"/>
    <w:rsid w:val="00E160FB"/>
    <w:rsid w:val="00E1671C"/>
    <w:rsid w:val="00E17534"/>
    <w:rsid w:val="00E17B8F"/>
    <w:rsid w:val="00E214B1"/>
    <w:rsid w:val="00E21798"/>
    <w:rsid w:val="00E2198F"/>
    <w:rsid w:val="00E22EF5"/>
    <w:rsid w:val="00E22F53"/>
    <w:rsid w:val="00E234AC"/>
    <w:rsid w:val="00E24ABB"/>
    <w:rsid w:val="00E25182"/>
    <w:rsid w:val="00E2590F"/>
    <w:rsid w:val="00E259FF"/>
    <w:rsid w:val="00E26EC7"/>
    <w:rsid w:val="00E2779C"/>
    <w:rsid w:val="00E27A62"/>
    <w:rsid w:val="00E27E1C"/>
    <w:rsid w:val="00E27EE6"/>
    <w:rsid w:val="00E306D4"/>
    <w:rsid w:val="00E3150A"/>
    <w:rsid w:val="00E318C3"/>
    <w:rsid w:val="00E31A5E"/>
    <w:rsid w:val="00E329D9"/>
    <w:rsid w:val="00E32B93"/>
    <w:rsid w:val="00E334E3"/>
    <w:rsid w:val="00E33983"/>
    <w:rsid w:val="00E34A36"/>
    <w:rsid w:val="00E3536F"/>
    <w:rsid w:val="00E35971"/>
    <w:rsid w:val="00E359F1"/>
    <w:rsid w:val="00E3630A"/>
    <w:rsid w:val="00E37651"/>
    <w:rsid w:val="00E377A6"/>
    <w:rsid w:val="00E37AA2"/>
    <w:rsid w:val="00E37EC8"/>
    <w:rsid w:val="00E40D54"/>
    <w:rsid w:val="00E40F96"/>
    <w:rsid w:val="00E41211"/>
    <w:rsid w:val="00E423DF"/>
    <w:rsid w:val="00E4275E"/>
    <w:rsid w:val="00E430B5"/>
    <w:rsid w:val="00E43822"/>
    <w:rsid w:val="00E43C7E"/>
    <w:rsid w:val="00E44897"/>
    <w:rsid w:val="00E44FA6"/>
    <w:rsid w:val="00E47768"/>
    <w:rsid w:val="00E50D32"/>
    <w:rsid w:val="00E515DE"/>
    <w:rsid w:val="00E51F14"/>
    <w:rsid w:val="00E5292B"/>
    <w:rsid w:val="00E53617"/>
    <w:rsid w:val="00E53859"/>
    <w:rsid w:val="00E539ED"/>
    <w:rsid w:val="00E53A63"/>
    <w:rsid w:val="00E53C79"/>
    <w:rsid w:val="00E61B6B"/>
    <w:rsid w:val="00E62017"/>
    <w:rsid w:val="00E621BD"/>
    <w:rsid w:val="00E62CD7"/>
    <w:rsid w:val="00E63B4A"/>
    <w:rsid w:val="00E6450B"/>
    <w:rsid w:val="00E64971"/>
    <w:rsid w:val="00E64B69"/>
    <w:rsid w:val="00E64C35"/>
    <w:rsid w:val="00E6538B"/>
    <w:rsid w:val="00E65585"/>
    <w:rsid w:val="00E65804"/>
    <w:rsid w:val="00E65912"/>
    <w:rsid w:val="00E6666B"/>
    <w:rsid w:val="00E6775C"/>
    <w:rsid w:val="00E67BD0"/>
    <w:rsid w:val="00E67C49"/>
    <w:rsid w:val="00E67E73"/>
    <w:rsid w:val="00E70655"/>
    <w:rsid w:val="00E713AF"/>
    <w:rsid w:val="00E71949"/>
    <w:rsid w:val="00E72991"/>
    <w:rsid w:val="00E74FA9"/>
    <w:rsid w:val="00E76007"/>
    <w:rsid w:val="00E77717"/>
    <w:rsid w:val="00E80B76"/>
    <w:rsid w:val="00E83BCA"/>
    <w:rsid w:val="00E83D9A"/>
    <w:rsid w:val="00E84B13"/>
    <w:rsid w:val="00E86546"/>
    <w:rsid w:val="00E878D5"/>
    <w:rsid w:val="00E90529"/>
    <w:rsid w:val="00E90D6E"/>
    <w:rsid w:val="00E91231"/>
    <w:rsid w:val="00E91A75"/>
    <w:rsid w:val="00E91D60"/>
    <w:rsid w:val="00E91EA3"/>
    <w:rsid w:val="00E923F9"/>
    <w:rsid w:val="00E93000"/>
    <w:rsid w:val="00E94439"/>
    <w:rsid w:val="00E944D9"/>
    <w:rsid w:val="00E94646"/>
    <w:rsid w:val="00E949E6"/>
    <w:rsid w:val="00E96363"/>
    <w:rsid w:val="00E96CB2"/>
    <w:rsid w:val="00E96E24"/>
    <w:rsid w:val="00E96EE8"/>
    <w:rsid w:val="00E972C0"/>
    <w:rsid w:val="00E9780B"/>
    <w:rsid w:val="00E97C22"/>
    <w:rsid w:val="00EA09B6"/>
    <w:rsid w:val="00EA0FB5"/>
    <w:rsid w:val="00EA139E"/>
    <w:rsid w:val="00EA19D2"/>
    <w:rsid w:val="00EA1A74"/>
    <w:rsid w:val="00EA1AF7"/>
    <w:rsid w:val="00EA280B"/>
    <w:rsid w:val="00EA3309"/>
    <w:rsid w:val="00EA435B"/>
    <w:rsid w:val="00EA56AE"/>
    <w:rsid w:val="00EA5ECD"/>
    <w:rsid w:val="00EA6029"/>
    <w:rsid w:val="00EA6718"/>
    <w:rsid w:val="00EA6A9E"/>
    <w:rsid w:val="00EA6AB1"/>
    <w:rsid w:val="00EB0706"/>
    <w:rsid w:val="00EB15C3"/>
    <w:rsid w:val="00EB17A1"/>
    <w:rsid w:val="00EB2DDA"/>
    <w:rsid w:val="00EB5070"/>
    <w:rsid w:val="00EB5765"/>
    <w:rsid w:val="00EB604C"/>
    <w:rsid w:val="00EC06D8"/>
    <w:rsid w:val="00EC422A"/>
    <w:rsid w:val="00EC6CA8"/>
    <w:rsid w:val="00ED008C"/>
    <w:rsid w:val="00ED086B"/>
    <w:rsid w:val="00ED13BB"/>
    <w:rsid w:val="00ED2DF7"/>
    <w:rsid w:val="00ED3ABA"/>
    <w:rsid w:val="00ED403A"/>
    <w:rsid w:val="00ED5AA8"/>
    <w:rsid w:val="00ED6DEC"/>
    <w:rsid w:val="00ED7653"/>
    <w:rsid w:val="00ED7FF1"/>
    <w:rsid w:val="00EE027E"/>
    <w:rsid w:val="00EE06FC"/>
    <w:rsid w:val="00EE0886"/>
    <w:rsid w:val="00EE13A2"/>
    <w:rsid w:val="00EE18C8"/>
    <w:rsid w:val="00EE2ECF"/>
    <w:rsid w:val="00EE2F2D"/>
    <w:rsid w:val="00EE35F9"/>
    <w:rsid w:val="00EE3A26"/>
    <w:rsid w:val="00EE404F"/>
    <w:rsid w:val="00EE4495"/>
    <w:rsid w:val="00EE45A3"/>
    <w:rsid w:val="00EE5134"/>
    <w:rsid w:val="00EE6D12"/>
    <w:rsid w:val="00EE7282"/>
    <w:rsid w:val="00EF0C36"/>
    <w:rsid w:val="00EF1BB5"/>
    <w:rsid w:val="00EF61EE"/>
    <w:rsid w:val="00EF63B3"/>
    <w:rsid w:val="00EF69B8"/>
    <w:rsid w:val="00EF6B5A"/>
    <w:rsid w:val="00EF6BA7"/>
    <w:rsid w:val="00EF6E5C"/>
    <w:rsid w:val="00EF74F8"/>
    <w:rsid w:val="00F01E1D"/>
    <w:rsid w:val="00F02DFD"/>
    <w:rsid w:val="00F03FDB"/>
    <w:rsid w:val="00F04368"/>
    <w:rsid w:val="00F044A8"/>
    <w:rsid w:val="00F04AD3"/>
    <w:rsid w:val="00F058C0"/>
    <w:rsid w:val="00F05A4C"/>
    <w:rsid w:val="00F05AF5"/>
    <w:rsid w:val="00F061DD"/>
    <w:rsid w:val="00F064B7"/>
    <w:rsid w:val="00F067AF"/>
    <w:rsid w:val="00F06BAB"/>
    <w:rsid w:val="00F06F53"/>
    <w:rsid w:val="00F075BA"/>
    <w:rsid w:val="00F07B17"/>
    <w:rsid w:val="00F07B6E"/>
    <w:rsid w:val="00F07C19"/>
    <w:rsid w:val="00F122AA"/>
    <w:rsid w:val="00F12581"/>
    <w:rsid w:val="00F1298D"/>
    <w:rsid w:val="00F14FD2"/>
    <w:rsid w:val="00F15B9B"/>
    <w:rsid w:val="00F15E26"/>
    <w:rsid w:val="00F169E3"/>
    <w:rsid w:val="00F16A20"/>
    <w:rsid w:val="00F16B10"/>
    <w:rsid w:val="00F16ECA"/>
    <w:rsid w:val="00F17F4F"/>
    <w:rsid w:val="00F20F5B"/>
    <w:rsid w:val="00F22AE9"/>
    <w:rsid w:val="00F22CFB"/>
    <w:rsid w:val="00F23EC7"/>
    <w:rsid w:val="00F24854"/>
    <w:rsid w:val="00F24F10"/>
    <w:rsid w:val="00F252F1"/>
    <w:rsid w:val="00F260E2"/>
    <w:rsid w:val="00F2645C"/>
    <w:rsid w:val="00F277F1"/>
    <w:rsid w:val="00F27E03"/>
    <w:rsid w:val="00F3055A"/>
    <w:rsid w:val="00F335B5"/>
    <w:rsid w:val="00F33790"/>
    <w:rsid w:val="00F342CD"/>
    <w:rsid w:val="00F344C0"/>
    <w:rsid w:val="00F3513D"/>
    <w:rsid w:val="00F35F5A"/>
    <w:rsid w:val="00F36551"/>
    <w:rsid w:val="00F36687"/>
    <w:rsid w:val="00F37BB9"/>
    <w:rsid w:val="00F401D3"/>
    <w:rsid w:val="00F41A99"/>
    <w:rsid w:val="00F41B70"/>
    <w:rsid w:val="00F41EBD"/>
    <w:rsid w:val="00F4374D"/>
    <w:rsid w:val="00F43CAF"/>
    <w:rsid w:val="00F43DB0"/>
    <w:rsid w:val="00F44C82"/>
    <w:rsid w:val="00F45FBF"/>
    <w:rsid w:val="00F477D9"/>
    <w:rsid w:val="00F47968"/>
    <w:rsid w:val="00F500EE"/>
    <w:rsid w:val="00F505EB"/>
    <w:rsid w:val="00F50AAB"/>
    <w:rsid w:val="00F528A2"/>
    <w:rsid w:val="00F529D7"/>
    <w:rsid w:val="00F52A25"/>
    <w:rsid w:val="00F52D18"/>
    <w:rsid w:val="00F53635"/>
    <w:rsid w:val="00F54E0C"/>
    <w:rsid w:val="00F55446"/>
    <w:rsid w:val="00F5604D"/>
    <w:rsid w:val="00F569A9"/>
    <w:rsid w:val="00F56D24"/>
    <w:rsid w:val="00F602CA"/>
    <w:rsid w:val="00F62639"/>
    <w:rsid w:val="00F64036"/>
    <w:rsid w:val="00F6490B"/>
    <w:rsid w:val="00F64BF6"/>
    <w:rsid w:val="00F65ADC"/>
    <w:rsid w:val="00F6761E"/>
    <w:rsid w:val="00F71862"/>
    <w:rsid w:val="00F71C55"/>
    <w:rsid w:val="00F7210A"/>
    <w:rsid w:val="00F727B7"/>
    <w:rsid w:val="00F73247"/>
    <w:rsid w:val="00F74648"/>
    <w:rsid w:val="00F746EF"/>
    <w:rsid w:val="00F75F61"/>
    <w:rsid w:val="00F812EE"/>
    <w:rsid w:val="00F814EF"/>
    <w:rsid w:val="00F82171"/>
    <w:rsid w:val="00F83E07"/>
    <w:rsid w:val="00F83E48"/>
    <w:rsid w:val="00F84FCC"/>
    <w:rsid w:val="00F867F8"/>
    <w:rsid w:val="00F87A73"/>
    <w:rsid w:val="00F90876"/>
    <w:rsid w:val="00F9139C"/>
    <w:rsid w:val="00F9228B"/>
    <w:rsid w:val="00F9235F"/>
    <w:rsid w:val="00F93551"/>
    <w:rsid w:val="00F936EB"/>
    <w:rsid w:val="00F93A14"/>
    <w:rsid w:val="00F94533"/>
    <w:rsid w:val="00F94716"/>
    <w:rsid w:val="00F95D4B"/>
    <w:rsid w:val="00F95E77"/>
    <w:rsid w:val="00F96161"/>
    <w:rsid w:val="00F968DB"/>
    <w:rsid w:val="00FA0519"/>
    <w:rsid w:val="00FA09D4"/>
    <w:rsid w:val="00FA0B06"/>
    <w:rsid w:val="00FA0F73"/>
    <w:rsid w:val="00FA254B"/>
    <w:rsid w:val="00FA2746"/>
    <w:rsid w:val="00FA285C"/>
    <w:rsid w:val="00FA28A8"/>
    <w:rsid w:val="00FA4302"/>
    <w:rsid w:val="00FA46E7"/>
    <w:rsid w:val="00FA489E"/>
    <w:rsid w:val="00FA7B2B"/>
    <w:rsid w:val="00FA7C5C"/>
    <w:rsid w:val="00FB025C"/>
    <w:rsid w:val="00FB03A0"/>
    <w:rsid w:val="00FB05DE"/>
    <w:rsid w:val="00FB07FE"/>
    <w:rsid w:val="00FB0EFC"/>
    <w:rsid w:val="00FB16FC"/>
    <w:rsid w:val="00FB331D"/>
    <w:rsid w:val="00FB373E"/>
    <w:rsid w:val="00FB3CBF"/>
    <w:rsid w:val="00FB5326"/>
    <w:rsid w:val="00FB5B24"/>
    <w:rsid w:val="00FB5DA3"/>
    <w:rsid w:val="00FB6E00"/>
    <w:rsid w:val="00FB6F88"/>
    <w:rsid w:val="00FC1D59"/>
    <w:rsid w:val="00FC238F"/>
    <w:rsid w:val="00FC244E"/>
    <w:rsid w:val="00FC329E"/>
    <w:rsid w:val="00FC32C7"/>
    <w:rsid w:val="00FC36EB"/>
    <w:rsid w:val="00FC375B"/>
    <w:rsid w:val="00FC44D1"/>
    <w:rsid w:val="00FC5418"/>
    <w:rsid w:val="00FC54D1"/>
    <w:rsid w:val="00FC5880"/>
    <w:rsid w:val="00FC5F18"/>
    <w:rsid w:val="00FC6AE9"/>
    <w:rsid w:val="00FC73C6"/>
    <w:rsid w:val="00FD01BF"/>
    <w:rsid w:val="00FD031E"/>
    <w:rsid w:val="00FD060F"/>
    <w:rsid w:val="00FD0D3D"/>
    <w:rsid w:val="00FD20EB"/>
    <w:rsid w:val="00FD2324"/>
    <w:rsid w:val="00FD2AEB"/>
    <w:rsid w:val="00FD2BEC"/>
    <w:rsid w:val="00FD44CA"/>
    <w:rsid w:val="00FD47E6"/>
    <w:rsid w:val="00FD5A9B"/>
    <w:rsid w:val="00FD70A6"/>
    <w:rsid w:val="00FD7E76"/>
    <w:rsid w:val="00FD7E85"/>
    <w:rsid w:val="00FE0D75"/>
    <w:rsid w:val="00FE0DCB"/>
    <w:rsid w:val="00FE1DEA"/>
    <w:rsid w:val="00FE2273"/>
    <w:rsid w:val="00FE32F6"/>
    <w:rsid w:val="00FE387A"/>
    <w:rsid w:val="00FE46FD"/>
    <w:rsid w:val="00FE5846"/>
    <w:rsid w:val="00FE5B31"/>
    <w:rsid w:val="00FE5D5A"/>
    <w:rsid w:val="00FE63AA"/>
    <w:rsid w:val="00FE63CF"/>
    <w:rsid w:val="00FE7488"/>
    <w:rsid w:val="00FE780D"/>
    <w:rsid w:val="00FE78ED"/>
    <w:rsid w:val="00FF10E2"/>
    <w:rsid w:val="00FF1186"/>
    <w:rsid w:val="00FF1DED"/>
    <w:rsid w:val="00FF357A"/>
    <w:rsid w:val="00FF3DF2"/>
    <w:rsid w:val="00FF5183"/>
    <w:rsid w:val="00FF5310"/>
    <w:rsid w:val="00FF60F7"/>
    <w:rsid w:val="00FF6332"/>
    <w:rsid w:val="00FF64FF"/>
    <w:rsid w:val="00FF73C9"/>
    <w:rsid w:val="00FF73EB"/>
    <w:rsid w:val="00FF7E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2BEF35E7"/>
  <w15:docId w15:val="{1ABCA9E2-180C-4B42-82D6-02E6488F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9E"/>
    <w:rPr>
      <w:rFonts w:asciiTheme="minorHAnsi" w:hAnsiTheme="minorHAnsi"/>
      <w:sz w:val="24"/>
      <w:szCs w:val="24"/>
    </w:rPr>
  </w:style>
  <w:style w:type="paragraph" w:styleId="Heading1">
    <w:name w:val="heading 1"/>
    <w:basedOn w:val="Normal"/>
    <w:next w:val="Normal"/>
    <w:link w:val="Heading1Char"/>
    <w:qFormat/>
    <w:rsid w:val="0016396F"/>
    <w:pPr>
      <w:keepNext/>
      <w:keepLines/>
      <w:numPr>
        <w:numId w:val="5"/>
      </w:numPr>
      <w:spacing w:before="240" w:after="240"/>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qFormat/>
    <w:rsid w:val="00534F50"/>
    <w:pPr>
      <w:keepNext/>
      <w:keepLines/>
      <w:numPr>
        <w:ilvl w:val="1"/>
        <w:numId w:val="5"/>
      </w:numPr>
      <w:spacing w:before="240" w:after="240"/>
      <w:ind w:left="578" w:hanging="578"/>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16396F"/>
    <w:pPr>
      <w:keepNext/>
      <w:keepLines/>
      <w:numPr>
        <w:ilvl w:val="2"/>
        <w:numId w:val="5"/>
      </w:numPr>
      <w:spacing w:before="200" w:after="120"/>
      <w:ind w:left="709"/>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975A35"/>
    <w:pPr>
      <w:keepNext/>
      <w:keepLines/>
      <w:numPr>
        <w:ilvl w:val="3"/>
        <w:numId w:val="5"/>
      </w:numPr>
      <w:spacing w:before="200" w:after="120"/>
      <w:outlineLvl w:val="3"/>
    </w:pPr>
    <w:rPr>
      <w:rFonts w:ascii="Calibri" w:eastAsiaTheme="majorEastAsia" w:hAnsi="Calibri" w:cstheme="majorBidi"/>
      <w:b/>
      <w:bCs/>
      <w:i/>
      <w:iCs/>
      <w:snapToGrid w:val="0"/>
    </w:rPr>
  </w:style>
  <w:style w:type="paragraph" w:styleId="Heading5">
    <w:name w:val="heading 5"/>
    <w:basedOn w:val="Normal"/>
    <w:next w:val="Normal"/>
    <w:link w:val="Heading5Char"/>
    <w:unhideWhenUsed/>
    <w:qFormat/>
    <w:rsid w:val="00875F09"/>
    <w:pPr>
      <w:keepNext/>
      <w:keepLines/>
      <w:numPr>
        <w:ilvl w:val="4"/>
        <w:numId w:val="5"/>
      </w:numPr>
      <w:spacing w:before="200"/>
      <w:outlineLvl w:val="4"/>
    </w:pPr>
    <w:rPr>
      <w:rFonts w:asciiTheme="majorHAnsi" w:eastAsiaTheme="majorEastAsia" w:hAnsiTheme="majorHAnsi" w:cstheme="majorBidi"/>
      <w:color w:val="700F17" w:themeColor="accent1" w:themeShade="7F"/>
    </w:rPr>
  </w:style>
  <w:style w:type="paragraph" w:styleId="Heading6">
    <w:name w:val="heading 6"/>
    <w:basedOn w:val="Normal"/>
    <w:next w:val="Normal"/>
    <w:link w:val="Heading6Char"/>
    <w:unhideWhenUsed/>
    <w:qFormat/>
    <w:rsid w:val="00875F09"/>
    <w:pPr>
      <w:keepNext/>
      <w:keepLines/>
      <w:numPr>
        <w:ilvl w:val="5"/>
        <w:numId w:val="5"/>
      </w:numPr>
      <w:spacing w:before="200"/>
      <w:outlineLvl w:val="5"/>
    </w:pPr>
    <w:rPr>
      <w:rFonts w:asciiTheme="majorHAnsi" w:eastAsiaTheme="majorEastAsia" w:hAnsiTheme="majorHAnsi" w:cstheme="majorBidi"/>
      <w:i/>
      <w:iCs/>
      <w:color w:val="700F17" w:themeColor="accent1" w:themeShade="7F"/>
    </w:rPr>
  </w:style>
  <w:style w:type="paragraph" w:styleId="Heading7">
    <w:name w:val="heading 7"/>
    <w:basedOn w:val="Normal"/>
    <w:next w:val="Normal"/>
    <w:link w:val="Heading7Char"/>
    <w:uiPriority w:val="99"/>
    <w:unhideWhenUsed/>
    <w:qFormat/>
    <w:rsid w:val="00875F0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96F"/>
    <w:rPr>
      <w:rFonts w:ascii="Calibri" w:eastAsiaTheme="majorEastAsia" w:hAnsi="Calibri" w:cstheme="majorBidi"/>
      <w:b/>
      <w:bCs/>
      <w:sz w:val="28"/>
      <w:szCs w:val="28"/>
    </w:rPr>
  </w:style>
  <w:style w:type="character" w:customStyle="1" w:styleId="Heading2Char">
    <w:name w:val="Heading 2 Char"/>
    <w:basedOn w:val="DefaultParagraphFont"/>
    <w:link w:val="Heading2"/>
    <w:rsid w:val="00534F50"/>
    <w:rPr>
      <w:rFonts w:ascii="Calibri" w:eastAsiaTheme="majorEastAsia" w:hAnsi="Calibri" w:cstheme="majorBidi"/>
      <w:b/>
      <w:bCs/>
      <w:sz w:val="26"/>
      <w:szCs w:val="26"/>
    </w:rPr>
  </w:style>
  <w:style w:type="character" w:customStyle="1" w:styleId="Heading3Char">
    <w:name w:val="Heading 3 Char"/>
    <w:basedOn w:val="DefaultParagraphFont"/>
    <w:link w:val="Heading3"/>
    <w:rsid w:val="0016396F"/>
    <w:rPr>
      <w:rFonts w:ascii="Calibri" w:eastAsiaTheme="majorEastAsia" w:hAnsi="Calibri" w:cstheme="majorBidi"/>
      <w:b/>
      <w:bCs/>
      <w:sz w:val="24"/>
      <w:szCs w:val="24"/>
    </w:rPr>
  </w:style>
  <w:style w:type="character" w:customStyle="1" w:styleId="Heading4Char">
    <w:name w:val="Heading 4 Char"/>
    <w:basedOn w:val="DefaultParagraphFont"/>
    <w:link w:val="Heading4"/>
    <w:rsid w:val="00975A35"/>
    <w:rPr>
      <w:rFonts w:ascii="Calibri" w:eastAsiaTheme="majorEastAsia" w:hAnsi="Calibri" w:cstheme="majorBidi"/>
      <w:b/>
      <w:bCs/>
      <w:i/>
      <w:iCs/>
      <w:snapToGrid w:val="0"/>
      <w:sz w:val="24"/>
      <w:szCs w:val="24"/>
    </w:rPr>
  </w:style>
  <w:style w:type="character" w:customStyle="1" w:styleId="Heading5Char">
    <w:name w:val="Heading 5 Char"/>
    <w:basedOn w:val="DefaultParagraphFont"/>
    <w:link w:val="Heading5"/>
    <w:rsid w:val="00875F09"/>
    <w:rPr>
      <w:rFonts w:asciiTheme="majorHAnsi" w:eastAsiaTheme="majorEastAsia" w:hAnsiTheme="majorHAnsi" w:cstheme="majorBidi"/>
      <w:color w:val="700F17" w:themeColor="accent1" w:themeShade="7F"/>
      <w:sz w:val="24"/>
      <w:szCs w:val="24"/>
    </w:rPr>
  </w:style>
  <w:style w:type="character" w:customStyle="1" w:styleId="Heading6Char">
    <w:name w:val="Heading 6 Char"/>
    <w:basedOn w:val="DefaultParagraphFont"/>
    <w:link w:val="Heading6"/>
    <w:rsid w:val="00875F09"/>
    <w:rPr>
      <w:rFonts w:asciiTheme="majorHAnsi" w:eastAsiaTheme="majorEastAsia" w:hAnsiTheme="majorHAnsi" w:cstheme="majorBidi"/>
      <w:i/>
      <w:iCs/>
      <w:color w:val="700F17" w:themeColor="accent1" w:themeShade="7F"/>
      <w:sz w:val="24"/>
      <w:szCs w:val="24"/>
    </w:rPr>
  </w:style>
  <w:style w:type="character" w:customStyle="1" w:styleId="Heading7Char">
    <w:name w:val="Heading 7 Char"/>
    <w:basedOn w:val="DefaultParagraphFont"/>
    <w:link w:val="Heading7"/>
    <w:uiPriority w:val="99"/>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0E2DFC"/>
    <w:pPr>
      <w:tabs>
        <w:tab w:val="left" w:pos="480"/>
        <w:tab w:val="right" w:leader="dot" w:pos="9344"/>
      </w:tabs>
      <w:spacing w:after="100"/>
    </w:pPr>
    <w:rPr>
      <w:b/>
      <w:noProof/>
      <w:sz w:val="22"/>
      <w:szCs w:val="22"/>
    </w:rPr>
  </w:style>
  <w:style w:type="paragraph" w:styleId="TOC2">
    <w:name w:val="toc 2"/>
    <w:basedOn w:val="Normal"/>
    <w:next w:val="Normal"/>
    <w:autoRedefine/>
    <w:uiPriority w:val="39"/>
    <w:rsid w:val="00C43363"/>
    <w:pPr>
      <w:tabs>
        <w:tab w:val="left" w:pos="960"/>
        <w:tab w:val="right" w:leader="dot" w:pos="9344"/>
      </w:tabs>
      <w:spacing w:after="100"/>
      <w:ind w:left="240"/>
    </w:pPr>
    <w:rPr>
      <w:noProof/>
      <w:sz w:val="20"/>
      <w:szCs w:val="20"/>
    </w:r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CC9900"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rsid w:val="00625E8D"/>
    <w:pPr>
      <w:tabs>
        <w:tab w:val="center" w:pos="4513"/>
        <w:tab w:val="right" w:pos="9026"/>
      </w:tabs>
    </w:pPr>
  </w:style>
  <w:style w:type="character" w:customStyle="1" w:styleId="HeaderChar">
    <w:name w:val="Header Char"/>
    <w:basedOn w:val="DefaultParagraphFont"/>
    <w:link w:val="Header"/>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qFormat/>
    <w:rsid w:val="00975A35"/>
    <w:pPr>
      <w:pBdr>
        <w:bottom w:val="single" w:sz="8" w:space="4" w:color="E02130" w:themeColor="accent1"/>
      </w:pBdr>
      <w:spacing w:after="300"/>
      <w:contextualSpacing/>
    </w:pPr>
    <w:rPr>
      <w:rFonts w:ascii="Calibri" w:eastAsiaTheme="majorEastAsia" w:hAnsi="Calibri" w:cstheme="majorBidi"/>
      <w:b/>
      <w:spacing w:val="5"/>
      <w:kern w:val="28"/>
      <w:sz w:val="52"/>
      <w:szCs w:val="52"/>
    </w:rPr>
  </w:style>
  <w:style w:type="character" w:customStyle="1" w:styleId="TitleChar">
    <w:name w:val="Title Char"/>
    <w:basedOn w:val="DefaultParagraphFont"/>
    <w:link w:val="Title"/>
    <w:rsid w:val="00975A35"/>
    <w:rPr>
      <w:rFonts w:ascii="Calibri" w:eastAsiaTheme="majorEastAsia" w:hAnsi="Calibri" w:cstheme="majorBidi"/>
      <w:b/>
      <w:spacing w:val="5"/>
      <w:kern w:val="28"/>
      <w:sz w:val="52"/>
      <w:szCs w:val="52"/>
    </w:rPr>
  </w:style>
  <w:style w:type="paragraph" w:customStyle="1" w:styleId="Bullets">
    <w:name w:val="Bullets"/>
    <w:basedOn w:val="Normal"/>
    <w:link w:val="BulletsChar"/>
    <w:qFormat/>
    <w:rsid w:val="00CF26D2"/>
    <w:pPr>
      <w:numPr>
        <w:numId w:val="27"/>
      </w:numPr>
      <w:spacing w:before="120" w:after="120"/>
    </w:pPr>
  </w:style>
  <w:style w:type="character" w:customStyle="1" w:styleId="BulletsChar">
    <w:name w:val="Bullets Char"/>
    <w:basedOn w:val="DefaultParagraphFont"/>
    <w:link w:val="Bullets"/>
    <w:rsid w:val="00CF26D2"/>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qFormat/>
    <w:rsid w:val="00975A35"/>
    <w:pPr>
      <w:spacing w:before="240" w:after="240"/>
      <w:ind w:left="567" w:right="567"/>
    </w:pPr>
    <w:rPr>
      <w:i/>
      <w:color w:val="808080" w:themeColor="background1" w:themeShade="80"/>
    </w:rPr>
  </w:style>
  <w:style w:type="character" w:styleId="Emphasis">
    <w:name w:val="Emphasis"/>
    <w:basedOn w:val="DefaultParagraphFont"/>
    <w:rsid w:val="008A6E0A"/>
    <w:rPr>
      <w:i/>
      <w:iCs/>
    </w:rPr>
  </w:style>
  <w:style w:type="character" w:styleId="Strong">
    <w:name w:val="Strong"/>
    <w:basedOn w:val="DefaultParagraphFont"/>
    <w:rsid w:val="008A6E0A"/>
    <w:rPr>
      <w:b/>
      <w:bCs/>
    </w:rPr>
  </w:style>
  <w:style w:type="paragraph" w:styleId="Subtitle">
    <w:name w:val="Subtitle"/>
    <w:basedOn w:val="Normal"/>
    <w:next w:val="Normal"/>
    <w:link w:val="SubtitleChar"/>
    <w:rsid w:val="008A6E0A"/>
    <w:pPr>
      <w:numPr>
        <w:ilvl w:val="1"/>
      </w:numPr>
    </w:pPr>
    <w:rPr>
      <w:rFonts w:asciiTheme="majorHAnsi" w:eastAsiaTheme="majorEastAsia" w:hAnsiTheme="majorHAnsi" w:cstheme="majorBidi"/>
      <w:i/>
      <w:iCs/>
      <w:color w:val="E02130" w:themeColor="accent1"/>
      <w:spacing w:val="15"/>
    </w:rPr>
  </w:style>
  <w:style w:type="character" w:customStyle="1" w:styleId="SubtitleChar">
    <w:name w:val="Subtitle Char"/>
    <w:basedOn w:val="DefaultParagraphFont"/>
    <w:link w:val="Subtitle"/>
    <w:rsid w:val="008A6E0A"/>
    <w:rPr>
      <w:rFonts w:asciiTheme="majorHAnsi" w:eastAsiaTheme="majorEastAsia" w:hAnsiTheme="majorHAnsi" w:cstheme="majorBidi"/>
      <w:i/>
      <w:iCs/>
      <w:color w:val="E02130" w:themeColor="accent1"/>
      <w:spacing w:val="15"/>
      <w:sz w:val="24"/>
      <w:szCs w:val="24"/>
    </w:rPr>
  </w:style>
  <w:style w:type="character" w:styleId="SubtleEmphasis">
    <w:name w:val="Subtle Emphasis"/>
    <w:basedOn w:val="DefaultParagraphFont"/>
    <w:uiPriority w:val="19"/>
    <w:rsid w:val="008A6E0A"/>
    <w:rPr>
      <w:i/>
      <w:iCs/>
      <w:color w:val="808080" w:themeColor="text1" w:themeTint="7F"/>
    </w:rPr>
  </w:style>
  <w:style w:type="character" w:styleId="IntenseEmphasis">
    <w:name w:val="Intense Emphasis"/>
    <w:basedOn w:val="DefaultParagraphFont"/>
    <w:uiPriority w:val="21"/>
    <w:rsid w:val="008A6E0A"/>
    <w:rPr>
      <w:b/>
      <w:bCs/>
      <w:i/>
      <w:iCs/>
      <w:color w:val="E02130" w:themeColor="accent1"/>
    </w:rPr>
  </w:style>
  <w:style w:type="paragraph" w:styleId="IntenseQuote">
    <w:name w:val="Intense Quote"/>
    <w:basedOn w:val="Normal"/>
    <w:next w:val="Normal"/>
    <w:link w:val="IntenseQuoteChar"/>
    <w:uiPriority w:val="30"/>
    <w:rsid w:val="008A6E0A"/>
    <w:pPr>
      <w:pBdr>
        <w:bottom w:val="single" w:sz="4" w:space="4" w:color="E02130" w:themeColor="accent1"/>
      </w:pBdr>
      <w:spacing w:before="200" w:after="280"/>
      <w:ind w:left="936" w:right="936"/>
    </w:pPr>
    <w:rPr>
      <w:b/>
      <w:bCs/>
      <w:i/>
      <w:iCs/>
      <w:color w:val="E02130"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E02130" w:themeColor="accent1"/>
      <w:sz w:val="24"/>
      <w:szCs w:val="24"/>
    </w:rPr>
  </w:style>
  <w:style w:type="character" w:styleId="SubtleReference">
    <w:name w:val="Subtle Reference"/>
    <w:basedOn w:val="DefaultParagraphFont"/>
    <w:uiPriority w:val="31"/>
    <w:rsid w:val="008A6E0A"/>
    <w:rPr>
      <w:smallCaps/>
      <w:color w:val="9B2D1F" w:themeColor="accent2"/>
      <w:u w:val="single"/>
    </w:rPr>
  </w:style>
  <w:style w:type="character" w:styleId="IntenseReference">
    <w:name w:val="Intense Reference"/>
    <w:basedOn w:val="DefaultParagraphFont"/>
    <w:uiPriority w:val="32"/>
    <w:rsid w:val="008A6E0A"/>
    <w:rPr>
      <w:b/>
      <w:bCs/>
      <w:smallCaps/>
      <w:color w:val="9B2D1F" w:themeColor="accent2"/>
      <w:spacing w:val="5"/>
      <w:u w:val="single"/>
    </w:rPr>
  </w:style>
  <w:style w:type="character" w:styleId="BookTitle">
    <w:name w:val="Book Title"/>
    <w:basedOn w:val="DefaultParagraphFont"/>
    <w:uiPriority w:val="33"/>
    <w:rsid w:val="008A6E0A"/>
    <w:rPr>
      <w:b/>
      <w:bCs/>
      <w:smallCaps/>
      <w:spacing w:val="5"/>
    </w:rPr>
  </w:style>
  <w:style w:type="table" w:styleId="TableGrid">
    <w:name w:val="Table Grid"/>
    <w:basedOn w:val="TableNormal"/>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75A35"/>
    <w:pPr>
      <w:spacing w:before="120" w:after="200"/>
    </w:pPr>
    <w:rPr>
      <w:b/>
      <w:bCs/>
      <w:szCs w:val="18"/>
    </w:rPr>
  </w:style>
  <w:style w:type="paragraph" w:styleId="FootnoteText">
    <w:name w:val="footnote text"/>
    <w:basedOn w:val="Normal"/>
    <w:link w:val="FootnoteTextChar"/>
    <w:rsid w:val="00950D8E"/>
    <w:rPr>
      <w:sz w:val="20"/>
      <w:szCs w:val="20"/>
    </w:rPr>
  </w:style>
  <w:style w:type="character" w:customStyle="1" w:styleId="FootnoteTextChar">
    <w:name w:val="Footnote Text Char"/>
    <w:basedOn w:val="DefaultParagraphFont"/>
    <w:link w:val="FootnoteText"/>
    <w:rsid w:val="00950D8E"/>
    <w:rPr>
      <w:rFonts w:asciiTheme="minorHAnsi" w:hAnsiTheme="minorHAnsi"/>
    </w:rPr>
  </w:style>
  <w:style w:type="character" w:styleId="FootnoteReference">
    <w:name w:val="footnote reference"/>
    <w:basedOn w:val="DefaultParagraphFont"/>
    <w:rsid w:val="00950D8E"/>
    <w:rPr>
      <w:vertAlign w:val="superscript"/>
    </w:rPr>
  </w:style>
  <w:style w:type="paragraph" w:styleId="TableofFigures">
    <w:name w:val="table of figures"/>
    <w:basedOn w:val="Normal"/>
    <w:next w:val="Normal"/>
    <w:uiPriority w:val="99"/>
    <w:rsid w:val="00B16036"/>
  </w:style>
  <w:style w:type="table" w:styleId="TableContemporary">
    <w:name w:val="Table Contemporary"/>
    <w:basedOn w:val="TableNormal"/>
    <w:rsid w:val="00031CF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4A4C50"/>
    <w:rPr>
      <w:sz w:val="22"/>
      <w:szCs w:val="22"/>
      <w:lang w:eastAsia="en-US"/>
    </w:rPr>
  </w:style>
  <w:style w:type="character" w:customStyle="1" w:styleId="FooterChar1">
    <w:name w:val="Footer Char1"/>
    <w:uiPriority w:val="99"/>
    <w:rsid w:val="004A4C50"/>
    <w:rPr>
      <w:sz w:val="22"/>
      <w:szCs w:val="22"/>
      <w:lang w:eastAsia="en-US"/>
    </w:rPr>
  </w:style>
  <w:style w:type="paragraph" w:styleId="ListParagraph">
    <w:name w:val="List Paragraph"/>
    <w:basedOn w:val="Normal"/>
    <w:uiPriority w:val="34"/>
    <w:qFormat/>
    <w:rsid w:val="003A7BF5"/>
    <w:pPr>
      <w:ind w:left="720"/>
      <w:contextualSpacing/>
    </w:pPr>
  </w:style>
  <w:style w:type="character" w:customStyle="1" w:styleId="name">
    <w:name w:val="name"/>
    <w:basedOn w:val="DefaultParagraphFont"/>
    <w:rsid w:val="00523E3B"/>
  </w:style>
  <w:style w:type="character" w:customStyle="1" w:styleId="apple-converted-space">
    <w:name w:val="apple-converted-space"/>
    <w:basedOn w:val="DefaultParagraphFont"/>
    <w:rsid w:val="00523E3B"/>
  </w:style>
  <w:style w:type="paragraph" w:styleId="NormalWeb">
    <w:name w:val="Normal (Web)"/>
    <w:basedOn w:val="Normal"/>
    <w:uiPriority w:val="99"/>
    <w:unhideWhenUsed/>
    <w:rsid w:val="00523E3B"/>
    <w:pPr>
      <w:spacing w:before="100" w:beforeAutospacing="1" w:after="100" w:afterAutospacing="1"/>
    </w:pPr>
    <w:rPr>
      <w:rFonts w:ascii="Times New Roman" w:hAnsi="Times New Roman"/>
    </w:rPr>
  </w:style>
  <w:style w:type="paragraph" w:customStyle="1" w:styleId="Bullet">
    <w:name w:val="Bullet"/>
    <w:basedOn w:val="Bullets"/>
    <w:link w:val="BulletChar"/>
    <w:qFormat/>
    <w:rsid w:val="00822A65"/>
    <w:pPr>
      <w:tabs>
        <w:tab w:val="num" w:pos="360"/>
      </w:tabs>
      <w:autoSpaceDE w:val="0"/>
      <w:autoSpaceDN w:val="0"/>
    </w:pPr>
    <w:rPr>
      <w:rFonts w:ascii="Calibri" w:hAnsi="Calibri" w:cs="Calibri"/>
    </w:rPr>
  </w:style>
  <w:style w:type="character" w:customStyle="1" w:styleId="BulletChar">
    <w:name w:val="Bullet Char"/>
    <w:basedOn w:val="BulletsChar"/>
    <w:link w:val="Bullet"/>
    <w:rsid w:val="00822A65"/>
    <w:rPr>
      <w:rFonts w:ascii="Calibri" w:hAnsi="Calibri" w:cs="Calibri"/>
      <w:sz w:val="24"/>
      <w:szCs w:val="24"/>
    </w:rPr>
  </w:style>
  <w:style w:type="character" w:styleId="CommentReference">
    <w:name w:val="annotation reference"/>
    <w:basedOn w:val="DefaultParagraphFont"/>
    <w:rsid w:val="00293CBD"/>
    <w:rPr>
      <w:sz w:val="16"/>
      <w:szCs w:val="16"/>
    </w:rPr>
  </w:style>
  <w:style w:type="paragraph" w:styleId="CommentText">
    <w:name w:val="annotation text"/>
    <w:basedOn w:val="Normal"/>
    <w:link w:val="CommentTextChar"/>
    <w:rsid w:val="00293CBD"/>
    <w:rPr>
      <w:sz w:val="20"/>
      <w:szCs w:val="20"/>
    </w:rPr>
  </w:style>
  <w:style w:type="character" w:customStyle="1" w:styleId="CommentTextChar">
    <w:name w:val="Comment Text Char"/>
    <w:basedOn w:val="DefaultParagraphFont"/>
    <w:link w:val="CommentText"/>
    <w:rsid w:val="00293CBD"/>
    <w:rPr>
      <w:rFonts w:asciiTheme="minorHAnsi" w:hAnsiTheme="minorHAnsi"/>
    </w:rPr>
  </w:style>
  <w:style w:type="paragraph" w:styleId="CommentSubject">
    <w:name w:val="annotation subject"/>
    <w:basedOn w:val="CommentText"/>
    <w:next w:val="CommentText"/>
    <w:link w:val="CommentSubjectChar"/>
    <w:rsid w:val="00293CBD"/>
    <w:rPr>
      <w:b/>
      <w:bCs/>
    </w:rPr>
  </w:style>
  <w:style w:type="character" w:customStyle="1" w:styleId="CommentSubjectChar">
    <w:name w:val="Comment Subject Char"/>
    <w:basedOn w:val="CommentTextChar"/>
    <w:link w:val="CommentSubject"/>
    <w:rsid w:val="00293CBD"/>
    <w:rPr>
      <w:rFonts w:asciiTheme="minorHAnsi" w:hAnsiTheme="minorHAnsi"/>
      <w:b/>
      <w:bCs/>
    </w:rPr>
  </w:style>
  <w:style w:type="paragraph" w:styleId="DocumentMap">
    <w:name w:val="Document Map"/>
    <w:basedOn w:val="Normal"/>
    <w:link w:val="DocumentMapChar"/>
    <w:rsid w:val="00145CEA"/>
    <w:rPr>
      <w:rFonts w:ascii="Lucida Grande" w:hAnsi="Lucida Grande"/>
    </w:rPr>
  </w:style>
  <w:style w:type="character" w:customStyle="1" w:styleId="DocumentMapChar">
    <w:name w:val="Document Map Char"/>
    <w:basedOn w:val="DefaultParagraphFont"/>
    <w:link w:val="DocumentMap"/>
    <w:rsid w:val="00145CEA"/>
    <w:rPr>
      <w:rFonts w:ascii="Lucida Grande" w:hAnsi="Lucida Grande"/>
      <w:sz w:val="24"/>
      <w:szCs w:val="24"/>
    </w:rPr>
  </w:style>
  <w:style w:type="character" w:styleId="FollowedHyperlink">
    <w:name w:val="FollowedHyperlink"/>
    <w:basedOn w:val="DefaultParagraphFont"/>
    <w:uiPriority w:val="99"/>
    <w:rsid w:val="00500412"/>
    <w:rPr>
      <w:color w:val="96A9A9" w:themeColor="followedHyperlink"/>
      <w:u w:val="single"/>
    </w:rPr>
  </w:style>
  <w:style w:type="paragraph" w:customStyle="1" w:styleId="PFNumLevel2">
    <w:name w:val="PF (Num) Level 2"/>
    <w:basedOn w:val="Normal"/>
    <w:rsid w:val="00395A13"/>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395A13"/>
    <w:pPr>
      <w:numPr>
        <w:ilvl w:val="2"/>
        <w:numId w:val="2"/>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395A13"/>
    <w:pPr>
      <w:numPr>
        <w:ilvl w:val="3"/>
        <w:numId w:val="2"/>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395A13"/>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395A13"/>
    <w:pPr>
      <w:keepLines w:val="0"/>
      <w:numPr>
        <w:numId w:val="2"/>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395A13"/>
    <w:pPr>
      <w:numPr>
        <w:ilvl w:val="5"/>
      </w:numPr>
    </w:pPr>
  </w:style>
  <w:style w:type="paragraph" w:customStyle="1" w:styleId="Table">
    <w:name w:val="Table"/>
    <w:basedOn w:val="Normal"/>
    <w:rsid w:val="00F62639"/>
    <w:pPr>
      <w:spacing w:before="60" w:after="60"/>
    </w:pPr>
    <w:rPr>
      <w:rFonts w:ascii="Arial" w:hAnsi="Arial"/>
      <w:snapToGrid w:val="0"/>
      <w:sz w:val="18"/>
      <w:szCs w:val="20"/>
    </w:rPr>
  </w:style>
  <w:style w:type="table" w:customStyle="1" w:styleId="AABlackTable1">
    <w:name w:val="AABlackTable1"/>
    <w:basedOn w:val="TableNormal"/>
    <w:uiPriority w:val="99"/>
    <w:rsid w:val="00F62639"/>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B0A40"/>
    <w:pPr>
      <w:ind w:left="720"/>
    </w:pPr>
  </w:style>
  <w:style w:type="paragraph" w:styleId="TOC5">
    <w:name w:val="toc 5"/>
    <w:basedOn w:val="Normal"/>
    <w:next w:val="Normal"/>
    <w:autoRedefine/>
    <w:uiPriority w:val="39"/>
    <w:rsid w:val="000B0A40"/>
    <w:pPr>
      <w:ind w:left="960"/>
    </w:pPr>
  </w:style>
  <w:style w:type="paragraph" w:styleId="TOC6">
    <w:name w:val="toc 6"/>
    <w:basedOn w:val="Normal"/>
    <w:next w:val="Normal"/>
    <w:autoRedefine/>
    <w:uiPriority w:val="39"/>
    <w:rsid w:val="000B0A40"/>
    <w:pPr>
      <w:ind w:left="1200"/>
    </w:pPr>
  </w:style>
  <w:style w:type="paragraph" w:styleId="TOC7">
    <w:name w:val="toc 7"/>
    <w:basedOn w:val="Normal"/>
    <w:next w:val="Normal"/>
    <w:autoRedefine/>
    <w:uiPriority w:val="39"/>
    <w:rsid w:val="000B0A40"/>
    <w:pPr>
      <w:ind w:left="1440"/>
    </w:pPr>
  </w:style>
  <w:style w:type="paragraph" w:styleId="TOC8">
    <w:name w:val="toc 8"/>
    <w:basedOn w:val="Normal"/>
    <w:next w:val="Normal"/>
    <w:autoRedefine/>
    <w:uiPriority w:val="39"/>
    <w:rsid w:val="000B0A40"/>
    <w:pPr>
      <w:ind w:left="1680"/>
    </w:pPr>
  </w:style>
  <w:style w:type="paragraph" w:styleId="TOC9">
    <w:name w:val="toc 9"/>
    <w:basedOn w:val="Normal"/>
    <w:next w:val="Normal"/>
    <w:autoRedefine/>
    <w:uiPriority w:val="39"/>
    <w:rsid w:val="000B0A40"/>
    <w:pPr>
      <w:ind w:left="1920"/>
    </w:pPr>
  </w:style>
  <w:style w:type="paragraph" w:customStyle="1" w:styleId="Default">
    <w:name w:val="Default"/>
    <w:rsid w:val="00034ADD"/>
    <w:pPr>
      <w:autoSpaceDE w:val="0"/>
      <w:autoSpaceDN w:val="0"/>
      <w:adjustRightInd w:val="0"/>
    </w:pPr>
    <w:rPr>
      <w:color w:val="000000"/>
      <w:sz w:val="24"/>
      <w:szCs w:val="24"/>
    </w:rPr>
  </w:style>
  <w:style w:type="paragraph" w:customStyle="1" w:styleId="1BulletList">
    <w:name w:val="1Bullet List"/>
    <w:rsid w:val="006A7B67"/>
    <w:pPr>
      <w:numPr>
        <w:numId w:val="3"/>
      </w:numPr>
      <w:tabs>
        <w:tab w:val="left" w:pos="720"/>
      </w:tabs>
    </w:pPr>
    <w:rPr>
      <w:rFonts w:ascii="Arial" w:hAnsi="Arial"/>
      <w:snapToGrid w:val="0"/>
      <w:sz w:val="24"/>
      <w:lang w:val="en-US" w:eastAsia="en-US"/>
    </w:rPr>
  </w:style>
  <w:style w:type="character" w:styleId="PageNumber">
    <w:name w:val="page number"/>
    <w:basedOn w:val="DefaultParagraphFont"/>
    <w:rsid w:val="006A7B67"/>
  </w:style>
  <w:style w:type="paragraph" w:customStyle="1" w:styleId="a">
    <w:name w:val="_"/>
    <w:basedOn w:val="Normal"/>
    <w:rsid w:val="006A7B67"/>
    <w:pPr>
      <w:widowControl w:val="0"/>
      <w:tabs>
        <w:tab w:val="left" w:pos="720"/>
      </w:tabs>
      <w:ind w:left="720" w:hanging="720"/>
    </w:pPr>
    <w:rPr>
      <w:rFonts w:ascii="Arial" w:hAnsi="Arial"/>
      <w:snapToGrid w:val="0"/>
      <w:sz w:val="20"/>
      <w:szCs w:val="20"/>
      <w:lang w:val="en-US" w:eastAsia="en-US"/>
    </w:rPr>
  </w:style>
  <w:style w:type="paragraph" w:styleId="BodyTextIndent">
    <w:name w:val="Body Text Indent"/>
    <w:basedOn w:val="Normal"/>
    <w:link w:val="BodyTextIndentChar"/>
    <w:rsid w:val="006A7B67"/>
    <w:pPr>
      <w:tabs>
        <w:tab w:val="left" w:pos="1440"/>
      </w:tabs>
      <w:suppressAutoHyphens/>
      <w:ind w:left="720"/>
    </w:pPr>
    <w:rPr>
      <w:rFonts w:ascii="Arial" w:hAnsi="Arial"/>
      <w:sz w:val="20"/>
      <w:szCs w:val="20"/>
      <w:lang w:eastAsia="en-US"/>
    </w:rPr>
  </w:style>
  <w:style w:type="character" w:customStyle="1" w:styleId="BodyTextIndentChar">
    <w:name w:val="Body Text Indent Char"/>
    <w:basedOn w:val="DefaultParagraphFont"/>
    <w:link w:val="BodyTextIndent"/>
    <w:rsid w:val="006A7B67"/>
    <w:rPr>
      <w:rFonts w:ascii="Arial" w:hAnsi="Arial"/>
      <w:lang w:eastAsia="en-US"/>
    </w:rPr>
  </w:style>
  <w:style w:type="paragraph" w:customStyle="1" w:styleId="1AutoList1">
    <w:name w:val="1AutoList1"/>
    <w:basedOn w:val="Normal"/>
    <w:rsid w:val="006A7B67"/>
    <w:pPr>
      <w:numPr>
        <w:numId w:val="4"/>
      </w:numPr>
    </w:pPr>
    <w:rPr>
      <w:rFonts w:ascii="Arial" w:hAnsi="Arial"/>
      <w:sz w:val="20"/>
      <w:szCs w:val="20"/>
      <w:lang w:eastAsia="en-US"/>
    </w:rPr>
  </w:style>
  <w:style w:type="paragraph" w:styleId="BodyTextIndent2">
    <w:name w:val="Body Text Indent 2"/>
    <w:basedOn w:val="Normal"/>
    <w:link w:val="BodyTextIndent2Char"/>
    <w:rsid w:val="006A7B67"/>
    <w:pPr>
      <w:ind w:left="72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6A7B67"/>
    <w:rPr>
      <w:rFonts w:ascii="Arial" w:hAnsi="Arial"/>
      <w:lang w:eastAsia="en-US"/>
    </w:rPr>
  </w:style>
  <w:style w:type="paragraph" w:styleId="BodyText">
    <w:name w:val="Body Text"/>
    <w:basedOn w:val="Normal"/>
    <w:link w:val="BodyTextChar"/>
    <w:rsid w:val="006A7B67"/>
    <w:pPr>
      <w:suppressAutoHyphens/>
      <w:jc w:val="both"/>
    </w:pPr>
    <w:rPr>
      <w:rFonts w:ascii="Arial" w:hAnsi="Arial"/>
      <w:sz w:val="20"/>
      <w:szCs w:val="20"/>
      <w:lang w:eastAsia="en-US"/>
    </w:rPr>
  </w:style>
  <w:style w:type="character" w:customStyle="1" w:styleId="BodyTextChar">
    <w:name w:val="Body Text Char"/>
    <w:basedOn w:val="DefaultParagraphFont"/>
    <w:link w:val="BodyText"/>
    <w:rsid w:val="006A7B67"/>
    <w:rPr>
      <w:rFonts w:ascii="Arial" w:hAnsi="Arial"/>
      <w:lang w:eastAsia="en-US"/>
    </w:rPr>
  </w:style>
  <w:style w:type="paragraph" w:styleId="PlainText">
    <w:name w:val="Plain Text"/>
    <w:basedOn w:val="Normal"/>
    <w:link w:val="PlainTextChar"/>
    <w:rsid w:val="006A7B67"/>
    <w:rPr>
      <w:rFonts w:ascii="Courier New" w:hAnsi="Courier New"/>
      <w:sz w:val="20"/>
      <w:szCs w:val="20"/>
      <w:lang w:eastAsia="en-US"/>
    </w:rPr>
  </w:style>
  <w:style w:type="character" w:customStyle="1" w:styleId="PlainTextChar">
    <w:name w:val="Plain Text Char"/>
    <w:basedOn w:val="DefaultParagraphFont"/>
    <w:link w:val="PlainText"/>
    <w:rsid w:val="006A7B67"/>
    <w:rPr>
      <w:rFonts w:ascii="Courier New" w:hAnsi="Courier New"/>
      <w:lang w:eastAsia="en-US"/>
    </w:rPr>
  </w:style>
  <w:style w:type="paragraph" w:styleId="BodyText2">
    <w:name w:val="Body Text 2"/>
    <w:basedOn w:val="Normal"/>
    <w:link w:val="BodyText2Char"/>
    <w:rsid w:val="006A7B67"/>
    <w:rPr>
      <w:rFonts w:ascii="Arial" w:hAnsi="Arial"/>
      <w:sz w:val="16"/>
      <w:szCs w:val="20"/>
      <w:lang w:eastAsia="en-US"/>
    </w:rPr>
  </w:style>
  <w:style w:type="character" w:customStyle="1" w:styleId="BodyText2Char">
    <w:name w:val="Body Text 2 Char"/>
    <w:basedOn w:val="DefaultParagraphFont"/>
    <w:link w:val="BodyText2"/>
    <w:rsid w:val="006A7B67"/>
    <w:rPr>
      <w:rFonts w:ascii="Arial" w:hAnsi="Arial"/>
      <w:sz w:val="16"/>
      <w:lang w:eastAsia="en-US"/>
    </w:rPr>
  </w:style>
  <w:style w:type="paragraph" w:customStyle="1" w:styleId="table0">
    <w:name w:val="table"/>
    <w:basedOn w:val="Normal"/>
    <w:rsid w:val="006A7B67"/>
    <w:rPr>
      <w:rFonts w:ascii="Arial" w:hAnsi="Arial"/>
      <w:sz w:val="18"/>
      <w:szCs w:val="20"/>
      <w:lang w:eastAsia="en-US"/>
    </w:rPr>
  </w:style>
  <w:style w:type="paragraph" w:styleId="BodyText3">
    <w:name w:val="Body Text 3"/>
    <w:basedOn w:val="Normal"/>
    <w:link w:val="BodyText3Char"/>
    <w:rsid w:val="006A7B67"/>
    <w:pPr>
      <w:ind w:right="3982"/>
      <w:jc w:val="both"/>
    </w:pPr>
    <w:rPr>
      <w:rFonts w:ascii="Arial" w:hAnsi="Arial"/>
      <w:sz w:val="16"/>
      <w:szCs w:val="20"/>
      <w:lang w:val="en-US" w:eastAsia="en-US"/>
    </w:rPr>
  </w:style>
  <w:style w:type="character" w:customStyle="1" w:styleId="BodyText3Char">
    <w:name w:val="Body Text 3 Char"/>
    <w:basedOn w:val="DefaultParagraphFont"/>
    <w:link w:val="BodyText3"/>
    <w:rsid w:val="006A7B67"/>
    <w:rPr>
      <w:rFonts w:ascii="Arial" w:hAnsi="Arial"/>
      <w:sz w:val="16"/>
      <w:lang w:val="en-US" w:eastAsia="en-US"/>
    </w:rPr>
  </w:style>
  <w:style w:type="paragraph" w:styleId="BlockText">
    <w:name w:val="Block Text"/>
    <w:basedOn w:val="Normal"/>
    <w:rsid w:val="006A7B67"/>
    <w:pPr>
      <w:ind w:left="720" w:right="-25"/>
    </w:pPr>
    <w:rPr>
      <w:rFonts w:ascii="Arial" w:hAnsi="Arial"/>
      <w:i/>
      <w:sz w:val="22"/>
      <w:szCs w:val="20"/>
      <w:lang w:val="en-US" w:eastAsia="en-US"/>
    </w:rPr>
  </w:style>
  <w:style w:type="paragraph" w:customStyle="1" w:styleId="wfxRecipient">
    <w:name w:val="wfxRecipient"/>
    <w:basedOn w:val="Normal"/>
    <w:rsid w:val="006A7B67"/>
    <w:rPr>
      <w:rFonts w:ascii="Arial" w:hAnsi="Arial"/>
      <w:sz w:val="22"/>
      <w:szCs w:val="20"/>
      <w:lang w:eastAsia="en-US"/>
    </w:rPr>
  </w:style>
  <w:style w:type="table" w:styleId="TableClassic1">
    <w:name w:val="Table Classic 1"/>
    <w:basedOn w:val="TableNormal"/>
    <w:rsid w:val="00857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C456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61C05"/>
    <w:rPr>
      <w:rFonts w:ascii="Calibri" w:hAnsi="Calibri" w:cs="Calibri"/>
      <w:noProof/>
    </w:rPr>
  </w:style>
  <w:style w:type="character" w:customStyle="1" w:styleId="EndNoteBibliographyChar">
    <w:name w:val="EndNote Bibliography Char"/>
    <w:basedOn w:val="DefaultParagraphFont"/>
    <w:link w:val="EndNoteBibliography"/>
    <w:rsid w:val="00761C05"/>
    <w:rPr>
      <w:rFonts w:ascii="Calibri" w:hAnsi="Calibri" w:cs="Calibri"/>
      <w:noProof/>
      <w:sz w:val="24"/>
      <w:szCs w:val="24"/>
    </w:rPr>
  </w:style>
  <w:style w:type="table" w:customStyle="1" w:styleId="TableGrid2">
    <w:name w:val="Table Grid2"/>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00CE"/>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00CE"/>
    <w:rPr>
      <w:rFonts w:ascii="Calibri" w:hAnsi="Calibri" w:cs="Calibri"/>
      <w:noProof/>
      <w:sz w:val="24"/>
      <w:szCs w:val="24"/>
    </w:rPr>
  </w:style>
  <w:style w:type="table" w:customStyle="1" w:styleId="TableGrid5">
    <w:name w:val="Table Grid5"/>
    <w:basedOn w:val="TableNormal"/>
    <w:next w:val="TableGrid"/>
    <w:uiPriority w:val="59"/>
    <w:rsid w:val="00B51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3917"/>
    <w:rPr>
      <w:rFonts w:asciiTheme="minorHAnsi" w:hAnsiTheme="minorHAnsi"/>
      <w:sz w:val="24"/>
      <w:szCs w:val="24"/>
    </w:rPr>
  </w:style>
  <w:style w:type="paragraph" w:styleId="ListBullet">
    <w:name w:val="List Bullet"/>
    <w:basedOn w:val="Normal"/>
    <w:rsid w:val="00FE78ED"/>
    <w:pPr>
      <w:numPr>
        <w:numId w:val="6"/>
      </w:numPr>
      <w:contextualSpacing/>
    </w:pPr>
  </w:style>
  <w:style w:type="table" w:customStyle="1" w:styleId="TableGrid51">
    <w:name w:val="Table Grid51"/>
    <w:basedOn w:val="TableNormal"/>
    <w:next w:val="TableGrid"/>
    <w:uiPriority w:val="59"/>
    <w:rsid w:val="00152D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ew">
    <w:name w:val="Bullets - new"/>
    <w:basedOn w:val="Normal"/>
    <w:qFormat/>
    <w:rsid w:val="00401BD8"/>
    <w:pPr>
      <w:autoSpaceDE w:val="0"/>
      <w:autoSpaceDN w:val="0"/>
      <w:spacing w:before="120" w:after="120"/>
      <w:ind w:left="360" w:hanging="360"/>
    </w:pPr>
    <w:rPr>
      <w:rFonts w:eastAsia="Calibri"/>
      <w:szCs w:val="20"/>
      <w:lang w:eastAsia="en-US"/>
    </w:rPr>
  </w:style>
  <w:style w:type="paragraph" w:styleId="EndnoteText">
    <w:name w:val="endnote text"/>
    <w:basedOn w:val="Normal"/>
    <w:link w:val="EndnoteTextChar"/>
    <w:semiHidden/>
    <w:unhideWhenUsed/>
    <w:rsid w:val="0010766B"/>
    <w:rPr>
      <w:sz w:val="20"/>
      <w:szCs w:val="20"/>
    </w:rPr>
  </w:style>
  <w:style w:type="character" w:customStyle="1" w:styleId="EndnoteTextChar">
    <w:name w:val="Endnote Text Char"/>
    <w:basedOn w:val="DefaultParagraphFont"/>
    <w:link w:val="EndnoteText"/>
    <w:semiHidden/>
    <w:rsid w:val="0010766B"/>
    <w:rPr>
      <w:rFonts w:asciiTheme="minorHAnsi" w:hAnsiTheme="minorHAnsi"/>
    </w:rPr>
  </w:style>
  <w:style w:type="character" w:styleId="EndnoteReference">
    <w:name w:val="endnote reference"/>
    <w:basedOn w:val="DefaultParagraphFont"/>
    <w:semiHidden/>
    <w:unhideWhenUsed/>
    <w:rsid w:val="0010766B"/>
    <w:rPr>
      <w:vertAlign w:val="superscript"/>
    </w:rPr>
  </w:style>
  <w:style w:type="paragraph" w:customStyle="1" w:styleId="CCS-NumericNumberedList">
    <w:name w:val="CCS-Numeric Numbered List"/>
    <w:basedOn w:val="Normal"/>
    <w:rsid w:val="008D4DEF"/>
    <w:pPr>
      <w:numPr>
        <w:numId w:val="8"/>
      </w:numPr>
      <w:spacing w:before="120" w:after="120"/>
    </w:pPr>
    <w:rPr>
      <w:rFonts w:eastAsiaTheme="minorHAnsi" w:cstheme="minorHAnsi"/>
      <w:sz w:val="22"/>
      <w:szCs w:val="20"/>
      <w:lang w:eastAsia="zh-CN" w:bidi="th-TH"/>
    </w:rPr>
  </w:style>
  <w:style w:type="paragraph" w:customStyle="1" w:styleId="Normal-nospacing">
    <w:name w:val="Normal - no spacing"/>
    <w:basedOn w:val="Normal"/>
    <w:qFormat/>
    <w:rsid w:val="008D4DEF"/>
    <w:pPr>
      <w:spacing w:before="120" w:after="120"/>
    </w:pPr>
    <w:rPr>
      <w:rFonts w:eastAsiaTheme="minorHAnsi" w:cstheme="minorHAnsi"/>
      <w:lang w:eastAsia="zh-CN" w:bidi="th-TH"/>
    </w:rPr>
  </w:style>
  <w:style w:type="paragraph" w:customStyle="1" w:styleId="BulletPoints">
    <w:name w:val="Bullet Points"/>
    <w:basedOn w:val="ListParagraph"/>
    <w:rsid w:val="001A53F8"/>
    <w:pPr>
      <w:numPr>
        <w:numId w:val="9"/>
      </w:numPr>
      <w:spacing w:after="120"/>
      <w:ind w:left="426" w:hanging="357"/>
      <w:contextualSpacing w:val="0"/>
    </w:pPr>
    <w:rPr>
      <w:rFonts w:eastAsiaTheme="minorHAnsi" w:cstheme="minorHAnsi"/>
      <w:szCs w:val="20"/>
      <w:lang w:eastAsia="zh-CN" w:bidi="th-TH"/>
    </w:rPr>
  </w:style>
  <w:style w:type="paragraph" w:styleId="ListBullet3">
    <w:name w:val="List Bullet 3"/>
    <w:basedOn w:val="Normal"/>
    <w:autoRedefine/>
    <w:rsid w:val="001F46F5"/>
    <w:pPr>
      <w:numPr>
        <w:numId w:val="11"/>
      </w:numPr>
    </w:pPr>
    <w:rPr>
      <w:rFonts w:ascii="Arial" w:hAnsi="Arial"/>
      <w:sz w:val="18"/>
      <w:szCs w:val="20"/>
      <w:lang w:eastAsia="en-US"/>
    </w:rPr>
  </w:style>
  <w:style w:type="table" w:customStyle="1" w:styleId="TableGrid6">
    <w:name w:val="Table Grid6"/>
    <w:basedOn w:val="TableNormal"/>
    <w:next w:val="TableGrid"/>
    <w:uiPriority w:val="59"/>
    <w:rsid w:val="00B74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CS">
    <w:name w:val="RUCS"/>
    <w:basedOn w:val="Heading3"/>
    <w:link w:val="RUCSChar"/>
    <w:qFormat/>
    <w:rsid w:val="00C7613C"/>
  </w:style>
  <w:style w:type="character" w:customStyle="1" w:styleId="RUCSChar">
    <w:name w:val="RUCS Char"/>
    <w:basedOn w:val="Heading3Char"/>
    <w:link w:val="RUCS"/>
    <w:rsid w:val="00C7613C"/>
    <w:rPr>
      <w:rFonts w:ascii="Calibri" w:eastAsiaTheme="majorEastAsia" w:hAnsi="Calibr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1106">
      <w:bodyDiv w:val="1"/>
      <w:marLeft w:val="0"/>
      <w:marRight w:val="0"/>
      <w:marTop w:val="0"/>
      <w:marBottom w:val="0"/>
      <w:divBdr>
        <w:top w:val="none" w:sz="0" w:space="0" w:color="auto"/>
        <w:left w:val="none" w:sz="0" w:space="0" w:color="auto"/>
        <w:bottom w:val="none" w:sz="0" w:space="0" w:color="auto"/>
        <w:right w:val="none" w:sz="0" w:space="0" w:color="auto"/>
      </w:divBdr>
    </w:div>
    <w:div w:id="170727292">
      <w:bodyDiv w:val="1"/>
      <w:marLeft w:val="0"/>
      <w:marRight w:val="0"/>
      <w:marTop w:val="0"/>
      <w:marBottom w:val="0"/>
      <w:divBdr>
        <w:top w:val="none" w:sz="0" w:space="0" w:color="auto"/>
        <w:left w:val="none" w:sz="0" w:space="0" w:color="auto"/>
        <w:bottom w:val="none" w:sz="0" w:space="0" w:color="auto"/>
        <w:right w:val="none" w:sz="0" w:space="0" w:color="auto"/>
      </w:divBdr>
    </w:div>
    <w:div w:id="235408464">
      <w:bodyDiv w:val="1"/>
      <w:marLeft w:val="0"/>
      <w:marRight w:val="0"/>
      <w:marTop w:val="0"/>
      <w:marBottom w:val="0"/>
      <w:divBdr>
        <w:top w:val="none" w:sz="0" w:space="0" w:color="auto"/>
        <w:left w:val="none" w:sz="0" w:space="0" w:color="auto"/>
        <w:bottom w:val="none" w:sz="0" w:space="0" w:color="auto"/>
        <w:right w:val="none" w:sz="0" w:space="0" w:color="auto"/>
      </w:divBdr>
    </w:div>
    <w:div w:id="394789990">
      <w:bodyDiv w:val="1"/>
      <w:marLeft w:val="0"/>
      <w:marRight w:val="0"/>
      <w:marTop w:val="0"/>
      <w:marBottom w:val="0"/>
      <w:divBdr>
        <w:top w:val="none" w:sz="0" w:space="0" w:color="auto"/>
        <w:left w:val="none" w:sz="0" w:space="0" w:color="auto"/>
        <w:bottom w:val="none" w:sz="0" w:space="0" w:color="auto"/>
        <w:right w:val="none" w:sz="0" w:space="0" w:color="auto"/>
      </w:divBdr>
    </w:div>
    <w:div w:id="552351832">
      <w:bodyDiv w:val="1"/>
      <w:marLeft w:val="0"/>
      <w:marRight w:val="0"/>
      <w:marTop w:val="0"/>
      <w:marBottom w:val="0"/>
      <w:divBdr>
        <w:top w:val="none" w:sz="0" w:space="0" w:color="auto"/>
        <w:left w:val="none" w:sz="0" w:space="0" w:color="auto"/>
        <w:bottom w:val="none" w:sz="0" w:space="0" w:color="auto"/>
        <w:right w:val="none" w:sz="0" w:space="0" w:color="auto"/>
      </w:divBdr>
    </w:div>
    <w:div w:id="663818328">
      <w:bodyDiv w:val="1"/>
      <w:marLeft w:val="0"/>
      <w:marRight w:val="0"/>
      <w:marTop w:val="0"/>
      <w:marBottom w:val="0"/>
      <w:divBdr>
        <w:top w:val="none" w:sz="0" w:space="0" w:color="auto"/>
        <w:left w:val="none" w:sz="0" w:space="0" w:color="auto"/>
        <w:bottom w:val="none" w:sz="0" w:space="0" w:color="auto"/>
        <w:right w:val="none" w:sz="0" w:space="0" w:color="auto"/>
      </w:divBdr>
    </w:div>
    <w:div w:id="797264844">
      <w:bodyDiv w:val="1"/>
      <w:marLeft w:val="0"/>
      <w:marRight w:val="0"/>
      <w:marTop w:val="0"/>
      <w:marBottom w:val="0"/>
      <w:divBdr>
        <w:top w:val="none" w:sz="0" w:space="0" w:color="auto"/>
        <w:left w:val="none" w:sz="0" w:space="0" w:color="auto"/>
        <w:bottom w:val="none" w:sz="0" w:space="0" w:color="auto"/>
        <w:right w:val="none" w:sz="0" w:space="0" w:color="auto"/>
      </w:divBdr>
    </w:div>
    <w:div w:id="903024667">
      <w:bodyDiv w:val="1"/>
      <w:marLeft w:val="0"/>
      <w:marRight w:val="0"/>
      <w:marTop w:val="0"/>
      <w:marBottom w:val="0"/>
      <w:divBdr>
        <w:top w:val="none" w:sz="0" w:space="0" w:color="auto"/>
        <w:left w:val="none" w:sz="0" w:space="0" w:color="auto"/>
        <w:bottom w:val="none" w:sz="0" w:space="0" w:color="auto"/>
        <w:right w:val="none" w:sz="0" w:space="0" w:color="auto"/>
      </w:divBdr>
      <w:divsChild>
        <w:div w:id="2006324794">
          <w:marLeft w:val="45"/>
          <w:marRight w:val="45"/>
          <w:marTop w:val="0"/>
          <w:marBottom w:val="0"/>
          <w:divBdr>
            <w:top w:val="none" w:sz="0" w:space="0" w:color="auto"/>
            <w:left w:val="none" w:sz="0" w:space="0" w:color="auto"/>
            <w:bottom w:val="none" w:sz="0" w:space="0" w:color="auto"/>
            <w:right w:val="none" w:sz="0" w:space="0" w:color="auto"/>
          </w:divBdr>
          <w:divsChild>
            <w:div w:id="80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04">
      <w:bodyDiv w:val="1"/>
      <w:marLeft w:val="0"/>
      <w:marRight w:val="0"/>
      <w:marTop w:val="0"/>
      <w:marBottom w:val="0"/>
      <w:divBdr>
        <w:top w:val="none" w:sz="0" w:space="0" w:color="auto"/>
        <w:left w:val="none" w:sz="0" w:space="0" w:color="auto"/>
        <w:bottom w:val="none" w:sz="0" w:space="0" w:color="auto"/>
        <w:right w:val="none" w:sz="0" w:space="0" w:color="auto"/>
      </w:divBdr>
    </w:div>
    <w:div w:id="1060177933">
      <w:bodyDiv w:val="1"/>
      <w:marLeft w:val="0"/>
      <w:marRight w:val="0"/>
      <w:marTop w:val="0"/>
      <w:marBottom w:val="0"/>
      <w:divBdr>
        <w:top w:val="none" w:sz="0" w:space="0" w:color="auto"/>
        <w:left w:val="none" w:sz="0" w:space="0" w:color="auto"/>
        <w:bottom w:val="none" w:sz="0" w:space="0" w:color="auto"/>
        <w:right w:val="none" w:sz="0" w:space="0" w:color="auto"/>
      </w:divBdr>
      <w:divsChild>
        <w:div w:id="955141070">
          <w:marLeft w:val="45"/>
          <w:marRight w:val="45"/>
          <w:marTop w:val="0"/>
          <w:marBottom w:val="0"/>
          <w:divBdr>
            <w:top w:val="none" w:sz="0" w:space="0" w:color="auto"/>
            <w:left w:val="none" w:sz="0" w:space="0" w:color="auto"/>
            <w:bottom w:val="none" w:sz="0" w:space="0" w:color="auto"/>
            <w:right w:val="none" w:sz="0" w:space="0" w:color="auto"/>
          </w:divBdr>
          <w:divsChild>
            <w:div w:id="259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6300">
      <w:bodyDiv w:val="1"/>
      <w:marLeft w:val="0"/>
      <w:marRight w:val="0"/>
      <w:marTop w:val="0"/>
      <w:marBottom w:val="0"/>
      <w:divBdr>
        <w:top w:val="none" w:sz="0" w:space="0" w:color="auto"/>
        <w:left w:val="none" w:sz="0" w:space="0" w:color="auto"/>
        <w:bottom w:val="none" w:sz="0" w:space="0" w:color="auto"/>
        <w:right w:val="none" w:sz="0" w:space="0" w:color="auto"/>
      </w:divBdr>
    </w:div>
    <w:div w:id="1154226539">
      <w:bodyDiv w:val="1"/>
      <w:marLeft w:val="0"/>
      <w:marRight w:val="0"/>
      <w:marTop w:val="0"/>
      <w:marBottom w:val="0"/>
      <w:divBdr>
        <w:top w:val="none" w:sz="0" w:space="0" w:color="auto"/>
        <w:left w:val="none" w:sz="0" w:space="0" w:color="auto"/>
        <w:bottom w:val="none" w:sz="0" w:space="0" w:color="auto"/>
        <w:right w:val="none" w:sz="0" w:space="0" w:color="auto"/>
      </w:divBdr>
      <w:divsChild>
        <w:div w:id="941495552">
          <w:marLeft w:val="0"/>
          <w:marRight w:val="0"/>
          <w:marTop w:val="0"/>
          <w:marBottom w:val="0"/>
          <w:divBdr>
            <w:top w:val="none" w:sz="0" w:space="0" w:color="auto"/>
            <w:left w:val="none" w:sz="0" w:space="0" w:color="auto"/>
            <w:bottom w:val="none" w:sz="0" w:space="0" w:color="auto"/>
            <w:right w:val="none" w:sz="0" w:space="0" w:color="auto"/>
          </w:divBdr>
        </w:div>
        <w:div w:id="583150042">
          <w:marLeft w:val="0"/>
          <w:marRight w:val="0"/>
          <w:marTop w:val="0"/>
          <w:marBottom w:val="0"/>
          <w:divBdr>
            <w:top w:val="none" w:sz="0" w:space="0" w:color="auto"/>
            <w:left w:val="none" w:sz="0" w:space="0" w:color="auto"/>
            <w:bottom w:val="none" w:sz="0" w:space="0" w:color="auto"/>
            <w:right w:val="none" w:sz="0" w:space="0" w:color="auto"/>
          </w:divBdr>
        </w:div>
        <w:div w:id="734083604">
          <w:marLeft w:val="0"/>
          <w:marRight w:val="0"/>
          <w:marTop w:val="0"/>
          <w:marBottom w:val="0"/>
          <w:divBdr>
            <w:top w:val="none" w:sz="0" w:space="0" w:color="auto"/>
            <w:left w:val="none" w:sz="0" w:space="0" w:color="auto"/>
            <w:bottom w:val="none" w:sz="0" w:space="0" w:color="auto"/>
            <w:right w:val="none" w:sz="0" w:space="0" w:color="auto"/>
          </w:divBdr>
        </w:div>
        <w:div w:id="880246610">
          <w:marLeft w:val="0"/>
          <w:marRight w:val="0"/>
          <w:marTop w:val="0"/>
          <w:marBottom w:val="0"/>
          <w:divBdr>
            <w:top w:val="none" w:sz="0" w:space="0" w:color="auto"/>
            <w:left w:val="none" w:sz="0" w:space="0" w:color="auto"/>
            <w:bottom w:val="none" w:sz="0" w:space="0" w:color="auto"/>
            <w:right w:val="none" w:sz="0" w:space="0" w:color="auto"/>
          </w:divBdr>
        </w:div>
        <w:div w:id="694770756">
          <w:marLeft w:val="0"/>
          <w:marRight w:val="0"/>
          <w:marTop w:val="0"/>
          <w:marBottom w:val="0"/>
          <w:divBdr>
            <w:top w:val="none" w:sz="0" w:space="0" w:color="auto"/>
            <w:left w:val="none" w:sz="0" w:space="0" w:color="auto"/>
            <w:bottom w:val="none" w:sz="0" w:space="0" w:color="auto"/>
            <w:right w:val="none" w:sz="0" w:space="0" w:color="auto"/>
          </w:divBdr>
        </w:div>
        <w:div w:id="1154953587">
          <w:marLeft w:val="0"/>
          <w:marRight w:val="0"/>
          <w:marTop w:val="0"/>
          <w:marBottom w:val="0"/>
          <w:divBdr>
            <w:top w:val="none" w:sz="0" w:space="0" w:color="auto"/>
            <w:left w:val="none" w:sz="0" w:space="0" w:color="auto"/>
            <w:bottom w:val="none" w:sz="0" w:space="0" w:color="auto"/>
            <w:right w:val="none" w:sz="0" w:space="0" w:color="auto"/>
          </w:divBdr>
        </w:div>
        <w:div w:id="440689121">
          <w:marLeft w:val="0"/>
          <w:marRight w:val="0"/>
          <w:marTop w:val="0"/>
          <w:marBottom w:val="0"/>
          <w:divBdr>
            <w:top w:val="none" w:sz="0" w:space="0" w:color="auto"/>
            <w:left w:val="none" w:sz="0" w:space="0" w:color="auto"/>
            <w:bottom w:val="none" w:sz="0" w:space="0" w:color="auto"/>
            <w:right w:val="none" w:sz="0" w:space="0" w:color="auto"/>
          </w:divBdr>
        </w:div>
        <w:div w:id="328676269">
          <w:marLeft w:val="0"/>
          <w:marRight w:val="0"/>
          <w:marTop w:val="0"/>
          <w:marBottom w:val="0"/>
          <w:divBdr>
            <w:top w:val="none" w:sz="0" w:space="0" w:color="auto"/>
            <w:left w:val="none" w:sz="0" w:space="0" w:color="auto"/>
            <w:bottom w:val="none" w:sz="0" w:space="0" w:color="auto"/>
            <w:right w:val="none" w:sz="0" w:space="0" w:color="auto"/>
          </w:divBdr>
        </w:div>
        <w:div w:id="307826416">
          <w:marLeft w:val="0"/>
          <w:marRight w:val="0"/>
          <w:marTop w:val="0"/>
          <w:marBottom w:val="0"/>
          <w:divBdr>
            <w:top w:val="none" w:sz="0" w:space="0" w:color="auto"/>
            <w:left w:val="none" w:sz="0" w:space="0" w:color="auto"/>
            <w:bottom w:val="none" w:sz="0" w:space="0" w:color="auto"/>
            <w:right w:val="none" w:sz="0" w:space="0" w:color="auto"/>
          </w:divBdr>
        </w:div>
        <w:div w:id="709958355">
          <w:marLeft w:val="0"/>
          <w:marRight w:val="0"/>
          <w:marTop w:val="0"/>
          <w:marBottom w:val="0"/>
          <w:divBdr>
            <w:top w:val="none" w:sz="0" w:space="0" w:color="auto"/>
            <w:left w:val="none" w:sz="0" w:space="0" w:color="auto"/>
            <w:bottom w:val="none" w:sz="0" w:space="0" w:color="auto"/>
            <w:right w:val="none" w:sz="0" w:space="0" w:color="auto"/>
          </w:divBdr>
        </w:div>
        <w:div w:id="297565118">
          <w:marLeft w:val="0"/>
          <w:marRight w:val="0"/>
          <w:marTop w:val="0"/>
          <w:marBottom w:val="0"/>
          <w:divBdr>
            <w:top w:val="none" w:sz="0" w:space="0" w:color="auto"/>
            <w:left w:val="none" w:sz="0" w:space="0" w:color="auto"/>
            <w:bottom w:val="none" w:sz="0" w:space="0" w:color="auto"/>
            <w:right w:val="none" w:sz="0" w:space="0" w:color="auto"/>
          </w:divBdr>
        </w:div>
        <w:div w:id="1493374374">
          <w:marLeft w:val="0"/>
          <w:marRight w:val="0"/>
          <w:marTop w:val="0"/>
          <w:marBottom w:val="0"/>
          <w:divBdr>
            <w:top w:val="none" w:sz="0" w:space="0" w:color="auto"/>
            <w:left w:val="none" w:sz="0" w:space="0" w:color="auto"/>
            <w:bottom w:val="none" w:sz="0" w:space="0" w:color="auto"/>
            <w:right w:val="none" w:sz="0" w:space="0" w:color="auto"/>
          </w:divBdr>
        </w:div>
        <w:div w:id="331834085">
          <w:marLeft w:val="0"/>
          <w:marRight w:val="0"/>
          <w:marTop w:val="0"/>
          <w:marBottom w:val="0"/>
          <w:divBdr>
            <w:top w:val="none" w:sz="0" w:space="0" w:color="auto"/>
            <w:left w:val="none" w:sz="0" w:space="0" w:color="auto"/>
            <w:bottom w:val="none" w:sz="0" w:space="0" w:color="auto"/>
            <w:right w:val="none" w:sz="0" w:space="0" w:color="auto"/>
          </w:divBdr>
        </w:div>
        <w:div w:id="342130089">
          <w:marLeft w:val="0"/>
          <w:marRight w:val="0"/>
          <w:marTop w:val="0"/>
          <w:marBottom w:val="0"/>
          <w:divBdr>
            <w:top w:val="none" w:sz="0" w:space="0" w:color="auto"/>
            <w:left w:val="none" w:sz="0" w:space="0" w:color="auto"/>
            <w:bottom w:val="none" w:sz="0" w:space="0" w:color="auto"/>
            <w:right w:val="none" w:sz="0" w:space="0" w:color="auto"/>
          </w:divBdr>
        </w:div>
        <w:div w:id="1718316917">
          <w:marLeft w:val="0"/>
          <w:marRight w:val="0"/>
          <w:marTop w:val="0"/>
          <w:marBottom w:val="0"/>
          <w:divBdr>
            <w:top w:val="none" w:sz="0" w:space="0" w:color="auto"/>
            <w:left w:val="none" w:sz="0" w:space="0" w:color="auto"/>
            <w:bottom w:val="none" w:sz="0" w:space="0" w:color="auto"/>
            <w:right w:val="none" w:sz="0" w:space="0" w:color="auto"/>
          </w:divBdr>
        </w:div>
        <w:div w:id="311250900">
          <w:marLeft w:val="0"/>
          <w:marRight w:val="0"/>
          <w:marTop w:val="0"/>
          <w:marBottom w:val="0"/>
          <w:divBdr>
            <w:top w:val="none" w:sz="0" w:space="0" w:color="auto"/>
            <w:left w:val="none" w:sz="0" w:space="0" w:color="auto"/>
            <w:bottom w:val="none" w:sz="0" w:space="0" w:color="auto"/>
            <w:right w:val="none" w:sz="0" w:space="0" w:color="auto"/>
          </w:divBdr>
        </w:div>
        <w:div w:id="384333434">
          <w:marLeft w:val="0"/>
          <w:marRight w:val="0"/>
          <w:marTop w:val="0"/>
          <w:marBottom w:val="0"/>
          <w:divBdr>
            <w:top w:val="none" w:sz="0" w:space="0" w:color="auto"/>
            <w:left w:val="none" w:sz="0" w:space="0" w:color="auto"/>
            <w:bottom w:val="none" w:sz="0" w:space="0" w:color="auto"/>
            <w:right w:val="none" w:sz="0" w:space="0" w:color="auto"/>
          </w:divBdr>
        </w:div>
        <w:div w:id="1388338828">
          <w:marLeft w:val="0"/>
          <w:marRight w:val="0"/>
          <w:marTop w:val="0"/>
          <w:marBottom w:val="0"/>
          <w:divBdr>
            <w:top w:val="none" w:sz="0" w:space="0" w:color="auto"/>
            <w:left w:val="none" w:sz="0" w:space="0" w:color="auto"/>
            <w:bottom w:val="none" w:sz="0" w:space="0" w:color="auto"/>
            <w:right w:val="none" w:sz="0" w:space="0" w:color="auto"/>
          </w:divBdr>
        </w:div>
        <w:div w:id="1459765618">
          <w:marLeft w:val="0"/>
          <w:marRight w:val="0"/>
          <w:marTop w:val="0"/>
          <w:marBottom w:val="0"/>
          <w:divBdr>
            <w:top w:val="none" w:sz="0" w:space="0" w:color="auto"/>
            <w:left w:val="none" w:sz="0" w:space="0" w:color="auto"/>
            <w:bottom w:val="none" w:sz="0" w:space="0" w:color="auto"/>
            <w:right w:val="none" w:sz="0" w:space="0" w:color="auto"/>
          </w:divBdr>
        </w:div>
        <w:div w:id="1099375440">
          <w:marLeft w:val="0"/>
          <w:marRight w:val="0"/>
          <w:marTop w:val="0"/>
          <w:marBottom w:val="0"/>
          <w:divBdr>
            <w:top w:val="none" w:sz="0" w:space="0" w:color="auto"/>
            <w:left w:val="none" w:sz="0" w:space="0" w:color="auto"/>
            <w:bottom w:val="none" w:sz="0" w:space="0" w:color="auto"/>
            <w:right w:val="none" w:sz="0" w:space="0" w:color="auto"/>
          </w:divBdr>
        </w:div>
        <w:div w:id="1301614174">
          <w:marLeft w:val="0"/>
          <w:marRight w:val="0"/>
          <w:marTop w:val="0"/>
          <w:marBottom w:val="0"/>
          <w:divBdr>
            <w:top w:val="none" w:sz="0" w:space="0" w:color="auto"/>
            <w:left w:val="none" w:sz="0" w:space="0" w:color="auto"/>
            <w:bottom w:val="none" w:sz="0" w:space="0" w:color="auto"/>
            <w:right w:val="none" w:sz="0" w:space="0" w:color="auto"/>
          </w:divBdr>
        </w:div>
        <w:div w:id="1265261797">
          <w:marLeft w:val="0"/>
          <w:marRight w:val="0"/>
          <w:marTop w:val="0"/>
          <w:marBottom w:val="0"/>
          <w:divBdr>
            <w:top w:val="none" w:sz="0" w:space="0" w:color="auto"/>
            <w:left w:val="none" w:sz="0" w:space="0" w:color="auto"/>
            <w:bottom w:val="none" w:sz="0" w:space="0" w:color="auto"/>
            <w:right w:val="none" w:sz="0" w:space="0" w:color="auto"/>
          </w:divBdr>
        </w:div>
        <w:div w:id="1598901917">
          <w:marLeft w:val="0"/>
          <w:marRight w:val="0"/>
          <w:marTop w:val="0"/>
          <w:marBottom w:val="0"/>
          <w:divBdr>
            <w:top w:val="none" w:sz="0" w:space="0" w:color="auto"/>
            <w:left w:val="none" w:sz="0" w:space="0" w:color="auto"/>
            <w:bottom w:val="none" w:sz="0" w:space="0" w:color="auto"/>
            <w:right w:val="none" w:sz="0" w:space="0" w:color="auto"/>
          </w:divBdr>
        </w:div>
        <w:div w:id="2097092746">
          <w:marLeft w:val="0"/>
          <w:marRight w:val="0"/>
          <w:marTop w:val="0"/>
          <w:marBottom w:val="0"/>
          <w:divBdr>
            <w:top w:val="none" w:sz="0" w:space="0" w:color="auto"/>
            <w:left w:val="none" w:sz="0" w:space="0" w:color="auto"/>
            <w:bottom w:val="none" w:sz="0" w:space="0" w:color="auto"/>
            <w:right w:val="none" w:sz="0" w:space="0" w:color="auto"/>
          </w:divBdr>
        </w:div>
        <w:div w:id="1693647141">
          <w:marLeft w:val="0"/>
          <w:marRight w:val="0"/>
          <w:marTop w:val="0"/>
          <w:marBottom w:val="0"/>
          <w:divBdr>
            <w:top w:val="none" w:sz="0" w:space="0" w:color="auto"/>
            <w:left w:val="none" w:sz="0" w:space="0" w:color="auto"/>
            <w:bottom w:val="none" w:sz="0" w:space="0" w:color="auto"/>
            <w:right w:val="none" w:sz="0" w:space="0" w:color="auto"/>
          </w:divBdr>
        </w:div>
        <w:div w:id="2087409085">
          <w:marLeft w:val="0"/>
          <w:marRight w:val="0"/>
          <w:marTop w:val="0"/>
          <w:marBottom w:val="0"/>
          <w:divBdr>
            <w:top w:val="none" w:sz="0" w:space="0" w:color="auto"/>
            <w:left w:val="none" w:sz="0" w:space="0" w:color="auto"/>
            <w:bottom w:val="none" w:sz="0" w:space="0" w:color="auto"/>
            <w:right w:val="none" w:sz="0" w:space="0" w:color="auto"/>
          </w:divBdr>
        </w:div>
        <w:div w:id="1281261109">
          <w:marLeft w:val="0"/>
          <w:marRight w:val="0"/>
          <w:marTop w:val="0"/>
          <w:marBottom w:val="0"/>
          <w:divBdr>
            <w:top w:val="none" w:sz="0" w:space="0" w:color="auto"/>
            <w:left w:val="none" w:sz="0" w:space="0" w:color="auto"/>
            <w:bottom w:val="none" w:sz="0" w:space="0" w:color="auto"/>
            <w:right w:val="none" w:sz="0" w:space="0" w:color="auto"/>
          </w:divBdr>
        </w:div>
        <w:div w:id="1866748530">
          <w:marLeft w:val="0"/>
          <w:marRight w:val="0"/>
          <w:marTop w:val="0"/>
          <w:marBottom w:val="0"/>
          <w:divBdr>
            <w:top w:val="none" w:sz="0" w:space="0" w:color="auto"/>
            <w:left w:val="none" w:sz="0" w:space="0" w:color="auto"/>
            <w:bottom w:val="none" w:sz="0" w:space="0" w:color="auto"/>
            <w:right w:val="none" w:sz="0" w:space="0" w:color="auto"/>
          </w:divBdr>
        </w:div>
        <w:div w:id="73354830">
          <w:marLeft w:val="0"/>
          <w:marRight w:val="0"/>
          <w:marTop w:val="0"/>
          <w:marBottom w:val="0"/>
          <w:divBdr>
            <w:top w:val="none" w:sz="0" w:space="0" w:color="auto"/>
            <w:left w:val="none" w:sz="0" w:space="0" w:color="auto"/>
            <w:bottom w:val="none" w:sz="0" w:space="0" w:color="auto"/>
            <w:right w:val="none" w:sz="0" w:space="0" w:color="auto"/>
          </w:divBdr>
        </w:div>
        <w:div w:id="473521687">
          <w:marLeft w:val="0"/>
          <w:marRight w:val="0"/>
          <w:marTop w:val="0"/>
          <w:marBottom w:val="0"/>
          <w:divBdr>
            <w:top w:val="none" w:sz="0" w:space="0" w:color="auto"/>
            <w:left w:val="none" w:sz="0" w:space="0" w:color="auto"/>
            <w:bottom w:val="none" w:sz="0" w:space="0" w:color="auto"/>
            <w:right w:val="none" w:sz="0" w:space="0" w:color="auto"/>
          </w:divBdr>
        </w:div>
        <w:div w:id="909929547">
          <w:marLeft w:val="0"/>
          <w:marRight w:val="0"/>
          <w:marTop w:val="0"/>
          <w:marBottom w:val="0"/>
          <w:divBdr>
            <w:top w:val="none" w:sz="0" w:space="0" w:color="auto"/>
            <w:left w:val="none" w:sz="0" w:space="0" w:color="auto"/>
            <w:bottom w:val="none" w:sz="0" w:space="0" w:color="auto"/>
            <w:right w:val="none" w:sz="0" w:space="0" w:color="auto"/>
          </w:divBdr>
        </w:div>
        <w:div w:id="718674722">
          <w:marLeft w:val="0"/>
          <w:marRight w:val="0"/>
          <w:marTop w:val="0"/>
          <w:marBottom w:val="0"/>
          <w:divBdr>
            <w:top w:val="none" w:sz="0" w:space="0" w:color="auto"/>
            <w:left w:val="none" w:sz="0" w:space="0" w:color="auto"/>
            <w:bottom w:val="none" w:sz="0" w:space="0" w:color="auto"/>
            <w:right w:val="none" w:sz="0" w:space="0" w:color="auto"/>
          </w:divBdr>
        </w:div>
        <w:div w:id="1785729677">
          <w:marLeft w:val="0"/>
          <w:marRight w:val="0"/>
          <w:marTop w:val="0"/>
          <w:marBottom w:val="0"/>
          <w:divBdr>
            <w:top w:val="none" w:sz="0" w:space="0" w:color="auto"/>
            <w:left w:val="none" w:sz="0" w:space="0" w:color="auto"/>
            <w:bottom w:val="none" w:sz="0" w:space="0" w:color="auto"/>
            <w:right w:val="none" w:sz="0" w:space="0" w:color="auto"/>
          </w:divBdr>
        </w:div>
        <w:div w:id="826942193">
          <w:marLeft w:val="0"/>
          <w:marRight w:val="0"/>
          <w:marTop w:val="0"/>
          <w:marBottom w:val="0"/>
          <w:divBdr>
            <w:top w:val="none" w:sz="0" w:space="0" w:color="auto"/>
            <w:left w:val="none" w:sz="0" w:space="0" w:color="auto"/>
            <w:bottom w:val="none" w:sz="0" w:space="0" w:color="auto"/>
            <w:right w:val="none" w:sz="0" w:space="0" w:color="auto"/>
          </w:divBdr>
        </w:div>
        <w:div w:id="96295476">
          <w:marLeft w:val="0"/>
          <w:marRight w:val="0"/>
          <w:marTop w:val="0"/>
          <w:marBottom w:val="0"/>
          <w:divBdr>
            <w:top w:val="none" w:sz="0" w:space="0" w:color="auto"/>
            <w:left w:val="none" w:sz="0" w:space="0" w:color="auto"/>
            <w:bottom w:val="none" w:sz="0" w:space="0" w:color="auto"/>
            <w:right w:val="none" w:sz="0" w:space="0" w:color="auto"/>
          </w:divBdr>
        </w:div>
        <w:div w:id="693502216">
          <w:marLeft w:val="0"/>
          <w:marRight w:val="0"/>
          <w:marTop w:val="0"/>
          <w:marBottom w:val="0"/>
          <w:divBdr>
            <w:top w:val="none" w:sz="0" w:space="0" w:color="auto"/>
            <w:left w:val="none" w:sz="0" w:space="0" w:color="auto"/>
            <w:bottom w:val="none" w:sz="0" w:space="0" w:color="auto"/>
            <w:right w:val="none" w:sz="0" w:space="0" w:color="auto"/>
          </w:divBdr>
        </w:div>
        <w:div w:id="426463703">
          <w:marLeft w:val="0"/>
          <w:marRight w:val="0"/>
          <w:marTop w:val="0"/>
          <w:marBottom w:val="0"/>
          <w:divBdr>
            <w:top w:val="none" w:sz="0" w:space="0" w:color="auto"/>
            <w:left w:val="none" w:sz="0" w:space="0" w:color="auto"/>
            <w:bottom w:val="none" w:sz="0" w:space="0" w:color="auto"/>
            <w:right w:val="none" w:sz="0" w:space="0" w:color="auto"/>
          </w:divBdr>
        </w:div>
        <w:div w:id="1131484739">
          <w:marLeft w:val="0"/>
          <w:marRight w:val="0"/>
          <w:marTop w:val="0"/>
          <w:marBottom w:val="0"/>
          <w:divBdr>
            <w:top w:val="none" w:sz="0" w:space="0" w:color="auto"/>
            <w:left w:val="none" w:sz="0" w:space="0" w:color="auto"/>
            <w:bottom w:val="none" w:sz="0" w:space="0" w:color="auto"/>
            <w:right w:val="none" w:sz="0" w:space="0" w:color="auto"/>
          </w:divBdr>
        </w:div>
        <w:div w:id="334038081">
          <w:marLeft w:val="0"/>
          <w:marRight w:val="0"/>
          <w:marTop w:val="0"/>
          <w:marBottom w:val="0"/>
          <w:divBdr>
            <w:top w:val="none" w:sz="0" w:space="0" w:color="auto"/>
            <w:left w:val="none" w:sz="0" w:space="0" w:color="auto"/>
            <w:bottom w:val="none" w:sz="0" w:space="0" w:color="auto"/>
            <w:right w:val="none" w:sz="0" w:space="0" w:color="auto"/>
          </w:divBdr>
        </w:div>
        <w:div w:id="753625300">
          <w:marLeft w:val="0"/>
          <w:marRight w:val="0"/>
          <w:marTop w:val="0"/>
          <w:marBottom w:val="0"/>
          <w:divBdr>
            <w:top w:val="none" w:sz="0" w:space="0" w:color="auto"/>
            <w:left w:val="none" w:sz="0" w:space="0" w:color="auto"/>
            <w:bottom w:val="none" w:sz="0" w:space="0" w:color="auto"/>
            <w:right w:val="none" w:sz="0" w:space="0" w:color="auto"/>
          </w:divBdr>
        </w:div>
        <w:div w:id="568424345">
          <w:marLeft w:val="0"/>
          <w:marRight w:val="0"/>
          <w:marTop w:val="0"/>
          <w:marBottom w:val="0"/>
          <w:divBdr>
            <w:top w:val="none" w:sz="0" w:space="0" w:color="auto"/>
            <w:left w:val="none" w:sz="0" w:space="0" w:color="auto"/>
            <w:bottom w:val="none" w:sz="0" w:space="0" w:color="auto"/>
            <w:right w:val="none" w:sz="0" w:space="0" w:color="auto"/>
          </w:divBdr>
        </w:div>
        <w:div w:id="1648435789">
          <w:marLeft w:val="0"/>
          <w:marRight w:val="0"/>
          <w:marTop w:val="0"/>
          <w:marBottom w:val="0"/>
          <w:divBdr>
            <w:top w:val="none" w:sz="0" w:space="0" w:color="auto"/>
            <w:left w:val="none" w:sz="0" w:space="0" w:color="auto"/>
            <w:bottom w:val="none" w:sz="0" w:space="0" w:color="auto"/>
            <w:right w:val="none" w:sz="0" w:space="0" w:color="auto"/>
          </w:divBdr>
        </w:div>
        <w:div w:id="75438891">
          <w:marLeft w:val="0"/>
          <w:marRight w:val="0"/>
          <w:marTop w:val="0"/>
          <w:marBottom w:val="0"/>
          <w:divBdr>
            <w:top w:val="none" w:sz="0" w:space="0" w:color="auto"/>
            <w:left w:val="none" w:sz="0" w:space="0" w:color="auto"/>
            <w:bottom w:val="none" w:sz="0" w:space="0" w:color="auto"/>
            <w:right w:val="none" w:sz="0" w:space="0" w:color="auto"/>
          </w:divBdr>
        </w:div>
        <w:div w:id="1659771120">
          <w:marLeft w:val="0"/>
          <w:marRight w:val="0"/>
          <w:marTop w:val="0"/>
          <w:marBottom w:val="0"/>
          <w:divBdr>
            <w:top w:val="none" w:sz="0" w:space="0" w:color="auto"/>
            <w:left w:val="none" w:sz="0" w:space="0" w:color="auto"/>
            <w:bottom w:val="none" w:sz="0" w:space="0" w:color="auto"/>
            <w:right w:val="none" w:sz="0" w:space="0" w:color="auto"/>
          </w:divBdr>
        </w:div>
        <w:div w:id="1087770731">
          <w:marLeft w:val="0"/>
          <w:marRight w:val="0"/>
          <w:marTop w:val="0"/>
          <w:marBottom w:val="0"/>
          <w:divBdr>
            <w:top w:val="none" w:sz="0" w:space="0" w:color="auto"/>
            <w:left w:val="none" w:sz="0" w:space="0" w:color="auto"/>
            <w:bottom w:val="none" w:sz="0" w:space="0" w:color="auto"/>
            <w:right w:val="none" w:sz="0" w:space="0" w:color="auto"/>
          </w:divBdr>
        </w:div>
        <w:div w:id="1851988043">
          <w:marLeft w:val="0"/>
          <w:marRight w:val="0"/>
          <w:marTop w:val="0"/>
          <w:marBottom w:val="0"/>
          <w:divBdr>
            <w:top w:val="none" w:sz="0" w:space="0" w:color="auto"/>
            <w:left w:val="none" w:sz="0" w:space="0" w:color="auto"/>
            <w:bottom w:val="none" w:sz="0" w:space="0" w:color="auto"/>
            <w:right w:val="none" w:sz="0" w:space="0" w:color="auto"/>
          </w:divBdr>
        </w:div>
        <w:div w:id="1942183095">
          <w:marLeft w:val="0"/>
          <w:marRight w:val="0"/>
          <w:marTop w:val="0"/>
          <w:marBottom w:val="0"/>
          <w:divBdr>
            <w:top w:val="none" w:sz="0" w:space="0" w:color="auto"/>
            <w:left w:val="none" w:sz="0" w:space="0" w:color="auto"/>
            <w:bottom w:val="none" w:sz="0" w:space="0" w:color="auto"/>
            <w:right w:val="none" w:sz="0" w:space="0" w:color="auto"/>
          </w:divBdr>
        </w:div>
        <w:div w:id="1807701623">
          <w:marLeft w:val="0"/>
          <w:marRight w:val="0"/>
          <w:marTop w:val="0"/>
          <w:marBottom w:val="0"/>
          <w:divBdr>
            <w:top w:val="none" w:sz="0" w:space="0" w:color="auto"/>
            <w:left w:val="none" w:sz="0" w:space="0" w:color="auto"/>
            <w:bottom w:val="none" w:sz="0" w:space="0" w:color="auto"/>
            <w:right w:val="none" w:sz="0" w:space="0" w:color="auto"/>
          </w:divBdr>
        </w:div>
        <w:div w:id="953946823">
          <w:marLeft w:val="0"/>
          <w:marRight w:val="0"/>
          <w:marTop w:val="0"/>
          <w:marBottom w:val="0"/>
          <w:divBdr>
            <w:top w:val="none" w:sz="0" w:space="0" w:color="auto"/>
            <w:left w:val="none" w:sz="0" w:space="0" w:color="auto"/>
            <w:bottom w:val="none" w:sz="0" w:space="0" w:color="auto"/>
            <w:right w:val="none" w:sz="0" w:space="0" w:color="auto"/>
          </w:divBdr>
        </w:div>
        <w:div w:id="1890652274">
          <w:marLeft w:val="0"/>
          <w:marRight w:val="0"/>
          <w:marTop w:val="0"/>
          <w:marBottom w:val="0"/>
          <w:divBdr>
            <w:top w:val="none" w:sz="0" w:space="0" w:color="auto"/>
            <w:left w:val="none" w:sz="0" w:space="0" w:color="auto"/>
            <w:bottom w:val="none" w:sz="0" w:space="0" w:color="auto"/>
            <w:right w:val="none" w:sz="0" w:space="0" w:color="auto"/>
          </w:divBdr>
        </w:div>
        <w:div w:id="2087149345">
          <w:marLeft w:val="0"/>
          <w:marRight w:val="0"/>
          <w:marTop w:val="0"/>
          <w:marBottom w:val="0"/>
          <w:divBdr>
            <w:top w:val="none" w:sz="0" w:space="0" w:color="auto"/>
            <w:left w:val="none" w:sz="0" w:space="0" w:color="auto"/>
            <w:bottom w:val="none" w:sz="0" w:space="0" w:color="auto"/>
            <w:right w:val="none" w:sz="0" w:space="0" w:color="auto"/>
          </w:divBdr>
        </w:div>
        <w:div w:id="191191019">
          <w:marLeft w:val="0"/>
          <w:marRight w:val="0"/>
          <w:marTop w:val="0"/>
          <w:marBottom w:val="0"/>
          <w:divBdr>
            <w:top w:val="none" w:sz="0" w:space="0" w:color="auto"/>
            <w:left w:val="none" w:sz="0" w:space="0" w:color="auto"/>
            <w:bottom w:val="none" w:sz="0" w:space="0" w:color="auto"/>
            <w:right w:val="none" w:sz="0" w:space="0" w:color="auto"/>
          </w:divBdr>
        </w:div>
        <w:div w:id="73551903">
          <w:marLeft w:val="0"/>
          <w:marRight w:val="0"/>
          <w:marTop w:val="0"/>
          <w:marBottom w:val="0"/>
          <w:divBdr>
            <w:top w:val="none" w:sz="0" w:space="0" w:color="auto"/>
            <w:left w:val="none" w:sz="0" w:space="0" w:color="auto"/>
            <w:bottom w:val="none" w:sz="0" w:space="0" w:color="auto"/>
            <w:right w:val="none" w:sz="0" w:space="0" w:color="auto"/>
          </w:divBdr>
        </w:div>
        <w:div w:id="1460952299">
          <w:marLeft w:val="0"/>
          <w:marRight w:val="0"/>
          <w:marTop w:val="0"/>
          <w:marBottom w:val="0"/>
          <w:divBdr>
            <w:top w:val="none" w:sz="0" w:space="0" w:color="auto"/>
            <w:left w:val="none" w:sz="0" w:space="0" w:color="auto"/>
            <w:bottom w:val="none" w:sz="0" w:space="0" w:color="auto"/>
            <w:right w:val="none" w:sz="0" w:space="0" w:color="auto"/>
          </w:divBdr>
        </w:div>
        <w:div w:id="987588708">
          <w:marLeft w:val="0"/>
          <w:marRight w:val="0"/>
          <w:marTop w:val="0"/>
          <w:marBottom w:val="0"/>
          <w:divBdr>
            <w:top w:val="none" w:sz="0" w:space="0" w:color="auto"/>
            <w:left w:val="none" w:sz="0" w:space="0" w:color="auto"/>
            <w:bottom w:val="none" w:sz="0" w:space="0" w:color="auto"/>
            <w:right w:val="none" w:sz="0" w:space="0" w:color="auto"/>
          </w:divBdr>
        </w:div>
        <w:div w:id="1559828103">
          <w:marLeft w:val="0"/>
          <w:marRight w:val="0"/>
          <w:marTop w:val="0"/>
          <w:marBottom w:val="0"/>
          <w:divBdr>
            <w:top w:val="none" w:sz="0" w:space="0" w:color="auto"/>
            <w:left w:val="none" w:sz="0" w:space="0" w:color="auto"/>
            <w:bottom w:val="none" w:sz="0" w:space="0" w:color="auto"/>
            <w:right w:val="none" w:sz="0" w:space="0" w:color="auto"/>
          </w:divBdr>
        </w:div>
        <w:div w:id="1404832754">
          <w:marLeft w:val="0"/>
          <w:marRight w:val="0"/>
          <w:marTop w:val="0"/>
          <w:marBottom w:val="0"/>
          <w:divBdr>
            <w:top w:val="none" w:sz="0" w:space="0" w:color="auto"/>
            <w:left w:val="none" w:sz="0" w:space="0" w:color="auto"/>
            <w:bottom w:val="none" w:sz="0" w:space="0" w:color="auto"/>
            <w:right w:val="none" w:sz="0" w:space="0" w:color="auto"/>
          </w:divBdr>
        </w:div>
        <w:div w:id="1462384655">
          <w:marLeft w:val="0"/>
          <w:marRight w:val="0"/>
          <w:marTop w:val="0"/>
          <w:marBottom w:val="0"/>
          <w:divBdr>
            <w:top w:val="none" w:sz="0" w:space="0" w:color="auto"/>
            <w:left w:val="none" w:sz="0" w:space="0" w:color="auto"/>
            <w:bottom w:val="none" w:sz="0" w:space="0" w:color="auto"/>
            <w:right w:val="none" w:sz="0" w:space="0" w:color="auto"/>
          </w:divBdr>
        </w:div>
        <w:div w:id="594633288">
          <w:marLeft w:val="0"/>
          <w:marRight w:val="0"/>
          <w:marTop w:val="0"/>
          <w:marBottom w:val="0"/>
          <w:divBdr>
            <w:top w:val="none" w:sz="0" w:space="0" w:color="auto"/>
            <w:left w:val="none" w:sz="0" w:space="0" w:color="auto"/>
            <w:bottom w:val="none" w:sz="0" w:space="0" w:color="auto"/>
            <w:right w:val="none" w:sz="0" w:space="0" w:color="auto"/>
          </w:divBdr>
        </w:div>
        <w:div w:id="39480887">
          <w:marLeft w:val="0"/>
          <w:marRight w:val="0"/>
          <w:marTop w:val="0"/>
          <w:marBottom w:val="0"/>
          <w:divBdr>
            <w:top w:val="none" w:sz="0" w:space="0" w:color="auto"/>
            <w:left w:val="none" w:sz="0" w:space="0" w:color="auto"/>
            <w:bottom w:val="none" w:sz="0" w:space="0" w:color="auto"/>
            <w:right w:val="none" w:sz="0" w:space="0" w:color="auto"/>
          </w:divBdr>
        </w:div>
        <w:div w:id="1265266743">
          <w:marLeft w:val="0"/>
          <w:marRight w:val="0"/>
          <w:marTop w:val="0"/>
          <w:marBottom w:val="0"/>
          <w:divBdr>
            <w:top w:val="none" w:sz="0" w:space="0" w:color="auto"/>
            <w:left w:val="none" w:sz="0" w:space="0" w:color="auto"/>
            <w:bottom w:val="none" w:sz="0" w:space="0" w:color="auto"/>
            <w:right w:val="none" w:sz="0" w:space="0" w:color="auto"/>
          </w:divBdr>
        </w:div>
        <w:div w:id="409155283">
          <w:marLeft w:val="0"/>
          <w:marRight w:val="0"/>
          <w:marTop w:val="0"/>
          <w:marBottom w:val="0"/>
          <w:divBdr>
            <w:top w:val="none" w:sz="0" w:space="0" w:color="auto"/>
            <w:left w:val="none" w:sz="0" w:space="0" w:color="auto"/>
            <w:bottom w:val="none" w:sz="0" w:space="0" w:color="auto"/>
            <w:right w:val="none" w:sz="0" w:space="0" w:color="auto"/>
          </w:divBdr>
        </w:div>
        <w:div w:id="1297373201">
          <w:marLeft w:val="0"/>
          <w:marRight w:val="0"/>
          <w:marTop w:val="0"/>
          <w:marBottom w:val="0"/>
          <w:divBdr>
            <w:top w:val="none" w:sz="0" w:space="0" w:color="auto"/>
            <w:left w:val="none" w:sz="0" w:space="0" w:color="auto"/>
            <w:bottom w:val="none" w:sz="0" w:space="0" w:color="auto"/>
            <w:right w:val="none" w:sz="0" w:space="0" w:color="auto"/>
          </w:divBdr>
        </w:div>
        <w:div w:id="481656104">
          <w:marLeft w:val="0"/>
          <w:marRight w:val="0"/>
          <w:marTop w:val="0"/>
          <w:marBottom w:val="0"/>
          <w:divBdr>
            <w:top w:val="none" w:sz="0" w:space="0" w:color="auto"/>
            <w:left w:val="none" w:sz="0" w:space="0" w:color="auto"/>
            <w:bottom w:val="none" w:sz="0" w:space="0" w:color="auto"/>
            <w:right w:val="none" w:sz="0" w:space="0" w:color="auto"/>
          </w:divBdr>
        </w:div>
        <w:div w:id="525414027">
          <w:marLeft w:val="0"/>
          <w:marRight w:val="0"/>
          <w:marTop w:val="0"/>
          <w:marBottom w:val="0"/>
          <w:divBdr>
            <w:top w:val="none" w:sz="0" w:space="0" w:color="auto"/>
            <w:left w:val="none" w:sz="0" w:space="0" w:color="auto"/>
            <w:bottom w:val="none" w:sz="0" w:space="0" w:color="auto"/>
            <w:right w:val="none" w:sz="0" w:space="0" w:color="auto"/>
          </w:divBdr>
        </w:div>
        <w:div w:id="494342893">
          <w:marLeft w:val="0"/>
          <w:marRight w:val="0"/>
          <w:marTop w:val="0"/>
          <w:marBottom w:val="0"/>
          <w:divBdr>
            <w:top w:val="none" w:sz="0" w:space="0" w:color="auto"/>
            <w:left w:val="none" w:sz="0" w:space="0" w:color="auto"/>
            <w:bottom w:val="none" w:sz="0" w:space="0" w:color="auto"/>
            <w:right w:val="none" w:sz="0" w:space="0" w:color="auto"/>
          </w:divBdr>
        </w:div>
        <w:div w:id="476990872">
          <w:marLeft w:val="0"/>
          <w:marRight w:val="0"/>
          <w:marTop w:val="0"/>
          <w:marBottom w:val="0"/>
          <w:divBdr>
            <w:top w:val="none" w:sz="0" w:space="0" w:color="auto"/>
            <w:left w:val="none" w:sz="0" w:space="0" w:color="auto"/>
            <w:bottom w:val="none" w:sz="0" w:space="0" w:color="auto"/>
            <w:right w:val="none" w:sz="0" w:space="0" w:color="auto"/>
          </w:divBdr>
        </w:div>
        <w:div w:id="1436289201">
          <w:marLeft w:val="0"/>
          <w:marRight w:val="0"/>
          <w:marTop w:val="0"/>
          <w:marBottom w:val="0"/>
          <w:divBdr>
            <w:top w:val="none" w:sz="0" w:space="0" w:color="auto"/>
            <w:left w:val="none" w:sz="0" w:space="0" w:color="auto"/>
            <w:bottom w:val="none" w:sz="0" w:space="0" w:color="auto"/>
            <w:right w:val="none" w:sz="0" w:space="0" w:color="auto"/>
          </w:divBdr>
        </w:div>
        <w:div w:id="1806846208">
          <w:marLeft w:val="0"/>
          <w:marRight w:val="0"/>
          <w:marTop w:val="0"/>
          <w:marBottom w:val="0"/>
          <w:divBdr>
            <w:top w:val="none" w:sz="0" w:space="0" w:color="auto"/>
            <w:left w:val="none" w:sz="0" w:space="0" w:color="auto"/>
            <w:bottom w:val="none" w:sz="0" w:space="0" w:color="auto"/>
            <w:right w:val="none" w:sz="0" w:space="0" w:color="auto"/>
          </w:divBdr>
        </w:div>
        <w:div w:id="667559537">
          <w:marLeft w:val="0"/>
          <w:marRight w:val="0"/>
          <w:marTop w:val="0"/>
          <w:marBottom w:val="0"/>
          <w:divBdr>
            <w:top w:val="none" w:sz="0" w:space="0" w:color="auto"/>
            <w:left w:val="none" w:sz="0" w:space="0" w:color="auto"/>
            <w:bottom w:val="none" w:sz="0" w:space="0" w:color="auto"/>
            <w:right w:val="none" w:sz="0" w:space="0" w:color="auto"/>
          </w:divBdr>
        </w:div>
        <w:div w:id="1607423845">
          <w:marLeft w:val="0"/>
          <w:marRight w:val="0"/>
          <w:marTop w:val="0"/>
          <w:marBottom w:val="0"/>
          <w:divBdr>
            <w:top w:val="none" w:sz="0" w:space="0" w:color="auto"/>
            <w:left w:val="none" w:sz="0" w:space="0" w:color="auto"/>
            <w:bottom w:val="none" w:sz="0" w:space="0" w:color="auto"/>
            <w:right w:val="none" w:sz="0" w:space="0" w:color="auto"/>
          </w:divBdr>
        </w:div>
        <w:div w:id="1892961577">
          <w:marLeft w:val="0"/>
          <w:marRight w:val="0"/>
          <w:marTop w:val="0"/>
          <w:marBottom w:val="0"/>
          <w:divBdr>
            <w:top w:val="none" w:sz="0" w:space="0" w:color="auto"/>
            <w:left w:val="none" w:sz="0" w:space="0" w:color="auto"/>
            <w:bottom w:val="none" w:sz="0" w:space="0" w:color="auto"/>
            <w:right w:val="none" w:sz="0" w:space="0" w:color="auto"/>
          </w:divBdr>
        </w:div>
        <w:div w:id="876242229">
          <w:marLeft w:val="0"/>
          <w:marRight w:val="0"/>
          <w:marTop w:val="0"/>
          <w:marBottom w:val="0"/>
          <w:divBdr>
            <w:top w:val="none" w:sz="0" w:space="0" w:color="auto"/>
            <w:left w:val="none" w:sz="0" w:space="0" w:color="auto"/>
            <w:bottom w:val="none" w:sz="0" w:space="0" w:color="auto"/>
            <w:right w:val="none" w:sz="0" w:space="0" w:color="auto"/>
          </w:divBdr>
        </w:div>
        <w:div w:id="1174488393">
          <w:marLeft w:val="0"/>
          <w:marRight w:val="0"/>
          <w:marTop w:val="0"/>
          <w:marBottom w:val="0"/>
          <w:divBdr>
            <w:top w:val="none" w:sz="0" w:space="0" w:color="auto"/>
            <w:left w:val="none" w:sz="0" w:space="0" w:color="auto"/>
            <w:bottom w:val="none" w:sz="0" w:space="0" w:color="auto"/>
            <w:right w:val="none" w:sz="0" w:space="0" w:color="auto"/>
          </w:divBdr>
        </w:div>
        <w:div w:id="213740136">
          <w:marLeft w:val="0"/>
          <w:marRight w:val="0"/>
          <w:marTop w:val="0"/>
          <w:marBottom w:val="0"/>
          <w:divBdr>
            <w:top w:val="none" w:sz="0" w:space="0" w:color="auto"/>
            <w:left w:val="none" w:sz="0" w:space="0" w:color="auto"/>
            <w:bottom w:val="none" w:sz="0" w:space="0" w:color="auto"/>
            <w:right w:val="none" w:sz="0" w:space="0" w:color="auto"/>
          </w:divBdr>
        </w:div>
        <w:div w:id="917713354">
          <w:marLeft w:val="0"/>
          <w:marRight w:val="0"/>
          <w:marTop w:val="0"/>
          <w:marBottom w:val="0"/>
          <w:divBdr>
            <w:top w:val="none" w:sz="0" w:space="0" w:color="auto"/>
            <w:left w:val="none" w:sz="0" w:space="0" w:color="auto"/>
            <w:bottom w:val="none" w:sz="0" w:space="0" w:color="auto"/>
            <w:right w:val="none" w:sz="0" w:space="0" w:color="auto"/>
          </w:divBdr>
        </w:div>
        <w:div w:id="395978056">
          <w:marLeft w:val="0"/>
          <w:marRight w:val="0"/>
          <w:marTop w:val="0"/>
          <w:marBottom w:val="0"/>
          <w:divBdr>
            <w:top w:val="none" w:sz="0" w:space="0" w:color="auto"/>
            <w:left w:val="none" w:sz="0" w:space="0" w:color="auto"/>
            <w:bottom w:val="none" w:sz="0" w:space="0" w:color="auto"/>
            <w:right w:val="none" w:sz="0" w:space="0" w:color="auto"/>
          </w:divBdr>
        </w:div>
        <w:div w:id="1428963927">
          <w:marLeft w:val="0"/>
          <w:marRight w:val="0"/>
          <w:marTop w:val="0"/>
          <w:marBottom w:val="0"/>
          <w:divBdr>
            <w:top w:val="none" w:sz="0" w:space="0" w:color="auto"/>
            <w:left w:val="none" w:sz="0" w:space="0" w:color="auto"/>
            <w:bottom w:val="none" w:sz="0" w:space="0" w:color="auto"/>
            <w:right w:val="none" w:sz="0" w:space="0" w:color="auto"/>
          </w:divBdr>
        </w:div>
        <w:div w:id="300888152">
          <w:marLeft w:val="0"/>
          <w:marRight w:val="0"/>
          <w:marTop w:val="0"/>
          <w:marBottom w:val="0"/>
          <w:divBdr>
            <w:top w:val="none" w:sz="0" w:space="0" w:color="auto"/>
            <w:left w:val="none" w:sz="0" w:space="0" w:color="auto"/>
            <w:bottom w:val="none" w:sz="0" w:space="0" w:color="auto"/>
            <w:right w:val="none" w:sz="0" w:space="0" w:color="auto"/>
          </w:divBdr>
        </w:div>
        <w:div w:id="748038360">
          <w:marLeft w:val="0"/>
          <w:marRight w:val="0"/>
          <w:marTop w:val="0"/>
          <w:marBottom w:val="0"/>
          <w:divBdr>
            <w:top w:val="none" w:sz="0" w:space="0" w:color="auto"/>
            <w:left w:val="none" w:sz="0" w:space="0" w:color="auto"/>
            <w:bottom w:val="none" w:sz="0" w:space="0" w:color="auto"/>
            <w:right w:val="none" w:sz="0" w:space="0" w:color="auto"/>
          </w:divBdr>
        </w:div>
        <w:div w:id="1765758971">
          <w:marLeft w:val="0"/>
          <w:marRight w:val="0"/>
          <w:marTop w:val="0"/>
          <w:marBottom w:val="0"/>
          <w:divBdr>
            <w:top w:val="none" w:sz="0" w:space="0" w:color="auto"/>
            <w:left w:val="none" w:sz="0" w:space="0" w:color="auto"/>
            <w:bottom w:val="none" w:sz="0" w:space="0" w:color="auto"/>
            <w:right w:val="none" w:sz="0" w:space="0" w:color="auto"/>
          </w:divBdr>
        </w:div>
        <w:div w:id="1519394345">
          <w:marLeft w:val="0"/>
          <w:marRight w:val="0"/>
          <w:marTop w:val="0"/>
          <w:marBottom w:val="0"/>
          <w:divBdr>
            <w:top w:val="none" w:sz="0" w:space="0" w:color="auto"/>
            <w:left w:val="none" w:sz="0" w:space="0" w:color="auto"/>
            <w:bottom w:val="none" w:sz="0" w:space="0" w:color="auto"/>
            <w:right w:val="none" w:sz="0" w:space="0" w:color="auto"/>
          </w:divBdr>
        </w:div>
        <w:div w:id="417993072">
          <w:marLeft w:val="0"/>
          <w:marRight w:val="0"/>
          <w:marTop w:val="0"/>
          <w:marBottom w:val="0"/>
          <w:divBdr>
            <w:top w:val="none" w:sz="0" w:space="0" w:color="auto"/>
            <w:left w:val="none" w:sz="0" w:space="0" w:color="auto"/>
            <w:bottom w:val="none" w:sz="0" w:space="0" w:color="auto"/>
            <w:right w:val="none" w:sz="0" w:space="0" w:color="auto"/>
          </w:divBdr>
        </w:div>
        <w:div w:id="275410619">
          <w:marLeft w:val="0"/>
          <w:marRight w:val="0"/>
          <w:marTop w:val="0"/>
          <w:marBottom w:val="0"/>
          <w:divBdr>
            <w:top w:val="none" w:sz="0" w:space="0" w:color="auto"/>
            <w:left w:val="none" w:sz="0" w:space="0" w:color="auto"/>
            <w:bottom w:val="none" w:sz="0" w:space="0" w:color="auto"/>
            <w:right w:val="none" w:sz="0" w:space="0" w:color="auto"/>
          </w:divBdr>
        </w:div>
        <w:div w:id="789713053">
          <w:marLeft w:val="0"/>
          <w:marRight w:val="0"/>
          <w:marTop w:val="0"/>
          <w:marBottom w:val="0"/>
          <w:divBdr>
            <w:top w:val="none" w:sz="0" w:space="0" w:color="auto"/>
            <w:left w:val="none" w:sz="0" w:space="0" w:color="auto"/>
            <w:bottom w:val="none" w:sz="0" w:space="0" w:color="auto"/>
            <w:right w:val="none" w:sz="0" w:space="0" w:color="auto"/>
          </w:divBdr>
        </w:div>
        <w:div w:id="1891728303">
          <w:marLeft w:val="0"/>
          <w:marRight w:val="0"/>
          <w:marTop w:val="0"/>
          <w:marBottom w:val="0"/>
          <w:divBdr>
            <w:top w:val="none" w:sz="0" w:space="0" w:color="auto"/>
            <w:left w:val="none" w:sz="0" w:space="0" w:color="auto"/>
            <w:bottom w:val="none" w:sz="0" w:space="0" w:color="auto"/>
            <w:right w:val="none" w:sz="0" w:space="0" w:color="auto"/>
          </w:divBdr>
        </w:div>
        <w:div w:id="202062785">
          <w:marLeft w:val="0"/>
          <w:marRight w:val="0"/>
          <w:marTop w:val="0"/>
          <w:marBottom w:val="0"/>
          <w:divBdr>
            <w:top w:val="none" w:sz="0" w:space="0" w:color="auto"/>
            <w:left w:val="none" w:sz="0" w:space="0" w:color="auto"/>
            <w:bottom w:val="none" w:sz="0" w:space="0" w:color="auto"/>
            <w:right w:val="none" w:sz="0" w:space="0" w:color="auto"/>
          </w:divBdr>
        </w:div>
        <w:div w:id="132069395">
          <w:marLeft w:val="0"/>
          <w:marRight w:val="0"/>
          <w:marTop w:val="0"/>
          <w:marBottom w:val="0"/>
          <w:divBdr>
            <w:top w:val="none" w:sz="0" w:space="0" w:color="auto"/>
            <w:left w:val="none" w:sz="0" w:space="0" w:color="auto"/>
            <w:bottom w:val="none" w:sz="0" w:space="0" w:color="auto"/>
            <w:right w:val="none" w:sz="0" w:space="0" w:color="auto"/>
          </w:divBdr>
        </w:div>
        <w:div w:id="1142893551">
          <w:marLeft w:val="0"/>
          <w:marRight w:val="0"/>
          <w:marTop w:val="0"/>
          <w:marBottom w:val="0"/>
          <w:divBdr>
            <w:top w:val="none" w:sz="0" w:space="0" w:color="auto"/>
            <w:left w:val="none" w:sz="0" w:space="0" w:color="auto"/>
            <w:bottom w:val="none" w:sz="0" w:space="0" w:color="auto"/>
            <w:right w:val="none" w:sz="0" w:space="0" w:color="auto"/>
          </w:divBdr>
        </w:div>
        <w:div w:id="1915503725">
          <w:marLeft w:val="0"/>
          <w:marRight w:val="0"/>
          <w:marTop w:val="0"/>
          <w:marBottom w:val="0"/>
          <w:divBdr>
            <w:top w:val="none" w:sz="0" w:space="0" w:color="auto"/>
            <w:left w:val="none" w:sz="0" w:space="0" w:color="auto"/>
            <w:bottom w:val="none" w:sz="0" w:space="0" w:color="auto"/>
            <w:right w:val="none" w:sz="0" w:space="0" w:color="auto"/>
          </w:divBdr>
        </w:div>
        <w:div w:id="878736361">
          <w:marLeft w:val="0"/>
          <w:marRight w:val="0"/>
          <w:marTop w:val="0"/>
          <w:marBottom w:val="0"/>
          <w:divBdr>
            <w:top w:val="none" w:sz="0" w:space="0" w:color="auto"/>
            <w:left w:val="none" w:sz="0" w:space="0" w:color="auto"/>
            <w:bottom w:val="none" w:sz="0" w:space="0" w:color="auto"/>
            <w:right w:val="none" w:sz="0" w:space="0" w:color="auto"/>
          </w:divBdr>
        </w:div>
        <w:div w:id="1252349826">
          <w:marLeft w:val="0"/>
          <w:marRight w:val="0"/>
          <w:marTop w:val="0"/>
          <w:marBottom w:val="0"/>
          <w:divBdr>
            <w:top w:val="none" w:sz="0" w:space="0" w:color="auto"/>
            <w:left w:val="none" w:sz="0" w:space="0" w:color="auto"/>
            <w:bottom w:val="none" w:sz="0" w:space="0" w:color="auto"/>
            <w:right w:val="none" w:sz="0" w:space="0" w:color="auto"/>
          </w:divBdr>
        </w:div>
        <w:div w:id="857500432">
          <w:marLeft w:val="0"/>
          <w:marRight w:val="0"/>
          <w:marTop w:val="0"/>
          <w:marBottom w:val="0"/>
          <w:divBdr>
            <w:top w:val="none" w:sz="0" w:space="0" w:color="auto"/>
            <w:left w:val="none" w:sz="0" w:space="0" w:color="auto"/>
            <w:bottom w:val="none" w:sz="0" w:space="0" w:color="auto"/>
            <w:right w:val="none" w:sz="0" w:space="0" w:color="auto"/>
          </w:divBdr>
        </w:div>
        <w:div w:id="1588028764">
          <w:marLeft w:val="0"/>
          <w:marRight w:val="0"/>
          <w:marTop w:val="0"/>
          <w:marBottom w:val="0"/>
          <w:divBdr>
            <w:top w:val="none" w:sz="0" w:space="0" w:color="auto"/>
            <w:left w:val="none" w:sz="0" w:space="0" w:color="auto"/>
            <w:bottom w:val="none" w:sz="0" w:space="0" w:color="auto"/>
            <w:right w:val="none" w:sz="0" w:space="0" w:color="auto"/>
          </w:divBdr>
        </w:div>
        <w:div w:id="336731648">
          <w:marLeft w:val="0"/>
          <w:marRight w:val="0"/>
          <w:marTop w:val="0"/>
          <w:marBottom w:val="0"/>
          <w:divBdr>
            <w:top w:val="none" w:sz="0" w:space="0" w:color="auto"/>
            <w:left w:val="none" w:sz="0" w:space="0" w:color="auto"/>
            <w:bottom w:val="none" w:sz="0" w:space="0" w:color="auto"/>
            <w:right w:val="none" w:sz="0" w:space="0" w:color="auto"/>
          </w:divBdr>
        </w:div>
        <w:div w:id="2043942477">
          <w:marLeft w:val="0"/>
          <w:marRight w:val="0"/>
          <w:marTop w:val="0"/>
          <w:marBottom w:val="0"/>
          <w:divBdr>
            <w:top w:val="none" w:sz="0" w:space="0" w:color="auto"/>
            <w:left w:val="none" w:sz="0" w:space="0" w:color="auto"/>
            <w:bottom w:val="none" w:sz="0" w:space="0" w:color="auto"/>
            <w:right w:val="none" w:sz="0" w:space="0" w:color="auto"/>
          </w:divBdr>
        </w:div>
        <w:div w:id="535001799">
          <w:marLeft w:val="0"/>
          <w:marRight w:val="0"/>
          <w:marTop w:val="0"/>
          <w:marBottom w:val="0"/>
          <w:divBdr>
            <w:top w:val="none" w:sz="0" w:space="0" w:color="auto"/>
            <w:left w:val="none" w:sz="0" w:space="0" w:color="auto"/>
            <w:bottom w:val="none" w:sz="0" w:space="0" w:color="auto"/>
            <w:right w:val="none" w:sz="0" w:space="0" w:color="auto"/>
          </w:divBdr>
        </w:div>
        <w:div w:id="1059859614">
          <w:marLeft w:val="0"/>
          <w:marRight w:val="0"/>
          <w:marTop w:val="0"/>
          <w:marBottom w:val="0"/>
          <w:divBdr>
            <w:top w:val="none" w:sz="0" w:space="0" w:color="auto"/>
            <w:left w:val="none" w:sz="0" w:space="0" w:color="auto"/>
            <w:bottom w:val="none" w:sz="0" w:space="0" w:color="auto"/>
            <w:right w:val="none" w:sz="0" w:space="0" w:color="auto"/>
          </w:divBdr>
        </w:div>
        <w:div w:id="1013874580">
          <w:marLeft w:val="0"/>
          <w:marRight w:val="0"/>
          <w:marTop w:val="0"/>
          <w:marBottom w:val="0"/>
          <w:divBdr>
            <w:top w:val="none" w:sz="0" w:space="0" w:color="auto"/>
            <w:left w:val="none" w:sz="0" w:space="0" w:color="auto"/>
            <w:bottom w:val="none" w:sz="0" w:space="0" w:color="auto"/>
            <w:right w:val="none" w:sz="0" w:space="0" w:color="auto"/>
          </w:divBdr>
        </w:div>
        <w:div w:id="1918861178">
          <w:marLeft w:val="0"/>
          <w:marRight w:val="0"/>
          <w:marTop w:val="0"/>
          <w:marBottom w:val="0"/>
          <w:divBdr>
            <w:top w:val="none" w:sz="0" w:space="0" w:color="auto"/>
            <w:left w:val="none" w:sz="0" w:space="0" w:color="auto"/>
            <w:bottom w:val="none" w:sz="0" w:space="0" w:color="auto"/>
            <w:right w:val="none" w:sz="0" w:space="0" w:color="auto"/>
          </w:divBdr>
        </w:div>
        <w:div w:id="578439618">
          <w:marLeft w:val="0"/>
          <w:marRight w:val="0"/>
          <w:marTop w:val="0"/>
          <w:marBottom w:val="0"/>
          <w:divBdr>
            <w:top w:val="none" w:sz="0" w:space="0" w:color="auto"/>
            <w:left w:val="none" w:sz="0" w:space="0" w:color="auto"/>
            <w:bottom w:val="none" w:sz="0" w:space="0" w:color="auto"/>
            <w:right w:val="none" w:sz="0" w:space="0" w:color="auto"/>
          </w:divBdr>
        </w:div>
        <w:div w:id="860313351">
          <w:marLeft w:val="0"/>
          <w:marRight w:val="0"/>
          <w:marTop w:val="0"/>
          <w:marBottom w:val="0"/>
          <w:divBdr>
            <w:top w:val="none" w:sz="0" w:space="0" w:color="auto"/>
            <w:left w:val="none" w:sz="0" w:space="0" w:color="auto"/>
            <w:bottom w:val="none" w:sz="0" w:space="0" w:color="auto"/>
            <w:right w:val="none" w:sz="0" w:space="0" w:color="auto"/>
          </w:divBdr>
        </w:div>
        <w:div w:id="1164659523">
          <w:marLeft w:val="0"/>
          <w:marRight w:val="0"/>
          <w:marTop w:val="0"/>
          <w:marBottom w:val="0"/>
          <w:divBdr>
            <w:top w:val="none" w:sz="0" w:space="0" w:color="auto"/>
            <w:left w:val="none" w:sz="0" w:space="0" w:color="auto"/>
            <w:bottom w:val="none" w:sz="0" w:space="0" w:color="auto"/>
            <w:right w:val="none" w:sz="0" w:space="0" w:color="auto"/>
          </w:divBdr>
        </w:div>
        <w:div w:id="1740976571">
          <w:marLeft w:val="0"/>
          <w:marRight w:val="0"/>
          <w:marTop w:val="0"/>
          <w:marBottom w:val="0"/>
          <w:divBdr>
            <w:top w:val="none" w:sz="0" w:space="0" w:color="auto"/>
            <w:left w:val="none" w:sz="0" w:space="0" w:color="auto"/>
            <w:bottom w:val="none" w:sz="0" w:space="0" w:color="auto"/>
            <w:right w:val="none" w:sz="0" w:space="0" w:color="auto"/>
          </w:divBdr>
        </w:div>
        <w:div w:id="1869100099">
          <w:marLeft w:val="0"/>
          <w:marRight w:val="0"/>
          <w:marTop w:val="0"/>
          <w:marBottom w:val="0"/>
          <w:divBdr>
            <w:top w:val="none" w:sz="0" w:space="0" w:color="auto"/>
            <w:left w:val="none" w:sz="0" w:space="0" w:color="auto"/>
            <w:bottom w:val="none" w:sz="0" w:space="0" w:color="auto"/>
            <w:right w:val="none" w:sz="0" w:space="0" w:color="auto"/>
          </w:divBdr>
        </w:div>
        <w:div w:id="187570027">
          <w:marLeft w:val="0"/>
          <w:marRight w:val="0"/>
          <w:marTop w:val="0"/>
          <w:marBottom w:val="0"/>
          <w:divBdr>
            <w:top w:val="none" w:sz="0" w:space="0" w:color="auto"/>
            <w:left w:val="none" w:sz="0" w:space="0" w:color="auto"/>
            <w:bottom w:val="none" w:sz="0" w:space="0" w:color="auto"/>
            <w:right w:val="none" w:sz="0" w:space="0" w:color="auto"/>
          </w:divBdr>
        </w:div>
        <w:div w:id="1806117829">
          <w:marLeft w:val="0"/>
          <w:marRight w:val="0"/>
          <w:marTop w:val="0"/>
          <w:marBottom w:val="0"/>
          <w:divBdr>
            <w:top w:val="none" w:sz="0" w:space="0" w:color="auto"/>
            <w:left w:val="none" w:sz="0" w:space="0" w:color="auto"/>
            <w:bottom w:val="none" w:sz="0" w:space="0" w:color="auto"/>
            <w:right w:val="none" w:sz="0" w:space="0" w:color="auto"/>
          </w:divBdr>
        </w:div>
        <w:div w:id="1235162154">
          <w:marLeft w:val="0"/>
          <w:marRight w:val="0"/>
          <w:marTop w:val="0"/>
          <w:marBottom w:val="0"/>
          <w:divBdr>
            <w:top w:val="none" w:sz="0" w:space="0" w:color="auto"/>
            <w:left w:val="none" w:sz="0" w:space="0" w:color="auto"/>
            <w:bottom w:val="none" w:sz="0" w:space="0" w:color="auto"/>
            <w:right w:val="none" w:sz="0" w:space="0" w:color="auto"/>
          </w:divBdr>
        </w:div>
        <w:div w:id="634721292">
          <w:marLeft w:val="0"/>
          <w:marRight w:val="0"/>
          <w:marTop w:val="0"/>
          <w:marBottom w:val="0"/>
          <w:divBdr>
            <w:top w:val="none" w:sz="0" w:space="0" w:color="auto"/>
            <w:left w:val="none" w:sz="0" w:space="0" w:color="auto"/>
            <w:bottom w:val="none" w:sz="0" w:space="0" w:color="auto"/>
            <w:right w:val="none" w:sz="0" w:space="0" w:color="auto"/>
          </w:divBdr>
        </w:div>
        <w:div w:id="770710148">
          <w:marLeft w:val="0"/>
          <w:marRight w:val="0"/>
          <w:marTop w:val="0"/>
          <w:marBottom w:val="0"/>
          <w:divBdr>
            <w:top w:val="none" w:sz="0" w:space="0" w:color="auto"/>
            <w:left w:val="none" w:sz="0" w:space="0" w:color="auto"/>
            <w:bottom w:val="none" w:sz="0" w:space="0" w:color="auto"/>
            <w:right w:val="none" w:sz="0" w:space="0" w:color="auto"/>
          </w:divBdr>
        </w:div>
        <w:div w:id="954293238">
          <w:marLeft w:val="0"/>
          <w:marRight w:val="0"/>
          <w:marTop w:val="0"/>
          <w:marBottom w:val="0"/>
          <w:divBdr>
            <w:top w:val="none" w:sz="0" w:space="0" w:color="auto"/>
            <w:left w:val="none" w:sz="0" w:space="0" w:color="auto"/>
            <w:bottom w:val="none" w:sz="0" w:space="0" w:color="auto"/>
            <w:right w:val="none" w:sz="0" w:space="0" w:color="auto"/>
          </w:divBdr>
        </w:div>
        <w:div w:id="6569159">
          <w:marLeft w:val="0"/>
          <w:marRight w:val="0"/>
          <w:marTop w:val="0"/>
          <w:marBottom w:val="0"/>
          <w:divBdr>
            <w:top w:val="none" w:sz="0" w:space="0" w:color="auto"/>
            <w:left w:val="none" w:sz="0" w:space="0" w:color="auto"/>
            <w:bottom w:val="none" w:sz="0" w:space="0" w:color="auto"/>
            <w:right w:val="none" w:sz="0" w:space="0" w:color="auto"/>
          </w:divBdr>
        </w:div>
        <w:div w:id="959410389">
          <w:marLeft w:val="0"/>
          <w:marRight w:val="0"/>
          <w:marTop w:val="0"/>
          <w:marBottom w:val="0"/>
          <w:divBdr>
            <w:top w:val="none" w:sz="0" w:space="0" w:color="auto"/>
            <w:left w:val="none" w:sz="0" w:space="0" w:color="auto"/>
            <w:bottom w:val="none" w:sz="0" w:space="0" w:color="auto"/>
            <w:right w:val="none" w:sz="0" w:space="0" w:color="auto"/>
          </w:divBdr>
        </w:div>
        <w:div w:id="1047147616">
          <w:marLeft w:val="0"/>
          <w:marRight w:val="0"/>
          <w:marTop w:val="0"/>
          <w:marBottom w:val="0"/>
          <w:divBdr>
            <w:top w:val="none" w:sz="0" w:space="0" w:color="auto"/>
            <w:left w:val="none" w:sz="0" w:space="0" w:color="auto"/>
            <w:bottom w:val="none" w:sz="0" w:space="0" w:color="auto"/>
            <w:right w:val="none" w:sz="0" w:space="0" w:color="auto"/>
          </w:divBdr>
        </w:div>
        <w:div w:id="1631588621">
          <w:marLeft w:val="0"/>
          <w:marRight w:val="0"/>
          <w:marTop w:val="0"/>
          <w:marBottom w:val="0"/>
          <w:divBdr>
            <w:top w:val="none" w:sz="0" w:space="0" w:color="auto"/>
            <w:left w:val="none" w:sz="0" w:space="0" w:color="auto"/>
            <w:bottom w:val="none" w:sz="0" w:space="0" w:color="auto"/>
            <w:right w:val="none" w:sz="0" w:space="0" w:color="auto"/>
          </w:divBdr>
        </w:div>
        <w:div w:id="546262313">
          <w:marLeft w:val="0"/>
          <w:marRight w:val="0"/>
          <w:marTop w:val="0"/>
          <w:marBottom w:val="0"/>
          <w:divBdr>
            <w:top w:val="none" w:sz="0" w:space="0" w:color="auto"/>
            <w:left w:val="none" w:sz="0" w:space="0" w:color="auto"/>
            <w:bottom w:val="none" w:sz="0" w:space="0" w:color="auto"/>
            <w:right w:val="none" w:sz="0" w:space="0" w:color="auto"/>
          </w:divBdr>
        </w:div>
        <w:div w:id="1287152679">
          <w:marLeft w:val="0"/>
          <w:marRight w:val="0"/>
          <w:marTop w:val="0"/>
          <w:marBottom w:val="0"/>
          <w:divBdr>
            <w:top w:val="none" w:sz="0" w:space="0" w:color="auto"/>
            <w:left w:val="none" w:sz="0" w:space="0" w:color="auto"/>
            <w:bottom w:val="none" w:sz="0" w:space="0" w:color="auto"/>
            <w:right w:val="none" w:sz="0" w:space="0" w:color="auto"/>
          </w:divBdr>
        </w:div>
        <w:div w:id="1560507288">
          <w:marLeft w:val="0"/>
          <w:marRight w:val="0"/>
          <w:marTop w:val="0"/>
          <w:marBottom w:val="0"/>
          <w:divBdr>
            <w:top w:val="none" w:sz="0" w:space="0" w:color="auto"/>
            <w:left w:val="none" w:sz="0" w:space="0" w:color="auto"/>
            <w:bottom w:val="none" w:sz="0" w:space="0" w:color="auto"/>
            <w:right w:val="none" w:sz="0" w:space="0" w:color="auto"/>
          </w:divBdr>
        </w:div>
        <w:div w:id="1258559422">
          <w:marLeft w:val="0"/>
          <w:marRight w:val="0"/>
          <w:marTop w:val="0"/>
          <w:marBottom w:val="0"/>
          <w:divBdr>
            <w:top w:val="none" w:sz="0" w:space="0" w:color="auto"/>
            <w:left w:val="none" w:sz="0" w:space="0" w:color="auto"/>
            <w:bottom w:val="none" w:sz="0" w:space="0" w:color="auto"/>
            <w:right w:val="none" w:sz="0" w:space="0" w:color="auto"/>
          </w:divBdr>
        </w:div>
        <w:div w:id="1692609930">
          <w:marLeft w:val="0"/>
          <w:marRight w:val="0"/>
          <w:marTop w:val="0"/>
          <w:marBottom w:val="0"/>
          <w:divBdr>
            <w:top w:val="none" w:sz="0" w:space="0" w:color="auto"/>
            <w:left w:val="none" w:sz="0" w:space="0" w:color="auto"/>
            <w:bottom w:val="none" w:sz="0" w:space="0" w:color="auto"/>
            <w:right w:val="none" w:sz="0" w:space="0" w:color="auto"/>
          </w:divBdr>
        </w:div>
        <w:div w:id="266622388">
          <w:marLeft w:val="0"/>
          <w:marRight w:val="0"/>
          <w:marTop w:val="0"/>
          <w:marBottom w:val="0"/>
          <w:divBdr>
            <w:top w:val="none" w:sz="0" w:space="0" w:color="auto"/>
            <w:left w:val="none" w:sz="0" w:space="0" w:color="auto"/>
            <w:bottom w:val="none" w:sz="0" w:space="0" w:color="auto"/>
            <w:right w:val="none" w:sz="0" w:space="0" w:color="auto"/>
          </w:divBdr>
        </w:div>
        <w:div w:id="1987737822">
          <w:marLeft w:val="0"/>
          <w:marRight w:val="0"/>
          <w:marTop w:val="0"/>
          <w:marBottom w:val="0"/>
          <w:divBdr>
            <w:top w:val="none" w:sz="0" w:space="0" w:color="auto"/>
            <w:left w:val="none" w:sz="0" w:space="0" w:color="auto"/>
            <w:bottom w:val="none" w:sz="0" w:space="0" w:color="auto"/>
            <w:right w:val="none" w:sz="0" w:space="0" w:color="auto"/>
          </w:divBdr>
        </w:div>
        <w:div w:id="87431264">
          <w:marLeft w:val="0"/>
          <w:marRight w:val="0"/>
          <w:marTop w:val="0"/>
          <w:marBottom w:val="0"/>
          <w:divBdr>
            <w:top w:val="none" w:sz="0" w:space="0" w:color="auto"/>
            <w:left w:val="none" w:sz="0" w:space="0" w:color="auto"/>
            <w:bottom w:val="none" w:sz="0" w:space="0" w:color="auto"/>
            <w:right w:val="none" w:sz="0" w:space="0" w:color="auto"/>
          </w:divBdr>
        </w:div>
        <w:div w:id="720514716">
          <w:marLeft w:val="0"/>
          <w:marRight w:val="0"/>
          <w:marTop w:val="0"/>
          <w:marBottom w:val="0"/>
          <w:divBdr>
            <w:top w:val="none" w:sz="0" w:space="0" w:color="auto"/>
            <w:left w:val="none" w:sz="0" w:space="0" w:color="auto"/>
            <w:bottom w:val="none" w:sz="0" w:space="0" w:color="auto"/>
            <w:right w:val="none" w:sz="0" w:space="0" w:color="auto"/>
          </w:divBdr>
        </w:div>
        <w:div w:id="928659326">
          <w:marLeft w:val="0"/>
          <w:marRight w:val="0"/>
          <w:marTop w:val="0"/>
          <w:marBottom w:val="0"/>
          <w:divBdr>
            <w:top w:val="none" w:sz="0" w:space="0" w:color="auto"/>
            <w:left w:val="none" w:sz="0" w:space="0" w:color="auto"/>
            <w:bottom w:val="none" w:sz="0" w:space="0" w:color="auto"/>
            <w:right w:val="none" w:sz="0" w:space="0" w:color="auto"/>
          </w:divBdr>
        </w:div>
        <w:div w:id="1962226089">
          <w:marLeft w:val="0"/>
          <w:marRight w:val="0"/>
          <w:marTop w:val="0"/>
          <w:marBottom w:val="0"/>
          <w:divBdr>
            <w:top w:val="none" w:sz="0" w:space="0" w:color="auto"/>
            <w:left w:val="none" w:sz="0" w:space="0" w:color="auto"/>
            <w:bottom w:val="none" w:sz="0" w:space="0" w:color="auto"/>
            <w:right w:val="none" w:sz="0" w:space="0" w:color="auto"/>
          </w:divBdr>
        </w:div>
        <w:div w:id="795685209">
          <w:marLeft w:val="0"/>
          <w:marRight w:val="0"/>
          <w:marTop w:val="0"/>
          <w:marBottom w:val="0"/>
          <w:divBdr>
            <w:top w:val="none" w:sz="0" w:space="0" w:color="auto"/>
            <w:left w:val="none" w:sz="0" w:space="0" w:color="auto"/>
            <w:bottom w:val="none" w:sz="0" w:space="0" w:color="auto"/>
            <w:right w:val="none" w:sz="0" w:space="0" w:color="auto"/>
          </w:divBdr>
        </w:div>
        <w:div w:id="1010765365">
          <w:marLeft w:val="0"/>
          <w:marRight w:val="0"/>
          <w:marTop w:val="0"/>
          <w:marBottom w:val="0"/>
          <w:divBdr>
            <w:top w:val="none" w:sz="0" w:space="0" w:color="auto"/>
            <w:left w:val="none" w:sz="0" w:space="0" w:color="auto"/>
            <w:bottom w:val="none" w:sz="0" w:space="0" w:color="auto"/>
            <w:right w:val="none" w:sz="0" w:space="0" w:color="auto"/>
          </w:divBdr>
        </w:div>
        <w:div w:id="279923724">
          <w:marLeft w:val="0"/>
          <w:marRight w:val="0"/>
          <w:marTop w:val="0"/>
          <w:marBottom w:val="0"/>
          <w:divBdr>
            <w:top w:val="none" w:sz="0" w:space="0" w:color="auto"/>
            <w:left w:val="none" w:sz="0" w:space="0" w:color="auto"/>
            <w:bottom w:val="none" w:sz="0" w:space="0" w:color="auto"/>
            <w:right w:val="none" w:sz="0" w:space="0" w:color="auto"/>
          </w:divBdr>
        </w:div>
        <w:div w:id="2078554913">
          <w:marLeft w:val="0"/>
          <w:marRight w:val="0"/>
          <w:marTop w:val="0"/>
          <w:marBottom w:val="0"/>
          <w:divBdr>
            <w:top w:val="none" w:sz="0" w:space="0" w:color="auto"/>
            <w:left w:val="none" w:sz="0" w:space="0" w:color="auto"/>
            <w:bottom w:val="none" w:sz="0" w:space="0" w:color="auto"/>
            <w:right w:val="none" w:sz="0" w:space="0" w:color="auto"/>
          </w:divBdr>
        </w:div>
        <w:div w:id="1915773410">
          <w:marLeft w:val="0"/>
          <w:marRight w:val="0"/>
          <w:marTop w:val="0"/>
          <w:marBottom w:val="0"/>
          <w:divBdr>
            <w:top w:val="none" w:sz="0" w:space="0" w:color="auto"/>
            <w:left w:val="none" w:sz="0" w:space="0" w:color="auto"/>
            <w:bottom w:val="none" w:sz="0" w:space="0" w:color="auto"/>
            <w:right w:val="none" w:sz="0" w:space="0" w:color="auto"/>
          </w:divBdr>
        </w:div>
        <w:div w:id="986134247">
          <w:marLeft w:val="0"/>
          <w:marRight w:val="0"/>
          <w:marTop w:val="0"/>
          <w:marBottom w:val="0"/>
          <w:divBdr>
            <w:top w:val="none" w:sz="0" w:space="0" w:color="auto"/>
            <w:left w:val="none" w:sz="0" w:space="0" w:color="auto"/>
            <w:bottom w:val="none" w:sz="0" w:space="0" w:color="auto"/>
            <w:right w:val="none" w:sz="0" w:space="0" w:color="auto"/>
          </w:divBdr>
        </w:div>
        <w:div w:id="1159692212">
          <w:marLeft w:val="0"/>
          <w:marRight w:val="0"/>
          <w:marTop w:val="0"/>
          <w:marBottom w:val="0"/>
          <w:divBdr>
            <w:top w:val="none" w:sz="0" w:space="0" w:color="auto"/>
            <w:left w:val="none" w:sz="0" w:space="0" w:color="auto"/>
            <w:bottom w:val="none" w:sz="0" w:space="0" w:color="auto"/>
            <w:right w:val="none" w:sz="0" w:space="0" w:color="auto"/>
          </w:divBdr>
        </w:div>
      </w:divsChild>
    </w:div>
    <w:div w:id="1167280788">
      <w:bodyDiv w:val="1"/>
      <w:marLeft w:val="0"/>
      <w:marRight w:val="0"/>
      <w:marTop w:val="0"/>
      <w:marBottom w:val="0"/>
      <w:divBdr>
        <w:top w:val="none" w:sz="0" w:space="0" w:color="auto"/>
        <w:left w:val="none" w:sz="0" w:space="0" w:color="auto"/>
        <w:bottom w:val="none" w:sz="0" w:space="0" w:color="auto"/>
        <w:right w:val="none" w:sz="0" w:space="0" w:color="auto"/>
      </w:divBdr>
    </w:div>
    <w:div w:id="1300500065">
      <w:bodyDiv w:val="1"/>
      <w:marLeft w:val="0"/>
      <w:marRight w:val="0"/>
      <w:marTop w:val="0"/>
      <w:marBottom w:val="0"/>
      <w:divBdr>
        <w:top w:val="none" w:sz="0" w:space="0" w:color="auto"/>
        <w:left w:val="none" w:sz="0" w:space="0" w:color="auto"/>
        <w:bottom w:val="none" w:sz="0" w:space="0" w:color="auto"/>
        <w:right w:val="none" w:sz="0" w:space="0" w:color="auto"/>
      </w:divBdr>
    </w:div>
    <w:div w:id="1310549661">
      <w:bodyDiv w:val="1"/>
      <w:marLeft w:val="0"/>
      <w:marRight w:val="0"/>
      <w:marTop w:val="0"/>
      <w:marBottom w:val="0"/>
      <w:divBdr>
        <w:top w:val="none" w:sz="0" w:space="0" w:color="auto"/>
        <w:left w:val="none" w:sz="0" w:space="0" w:color="auto"/>
        <w:bottom w:val="none" w:sz="0" w:space="0" w:color="auto"/>
        <w:right w:val="none" w:sz="0" w:space="0" w:color="auto"/>
      </w:divBdr>
    </w:div>
    <w:div w:id="1326470983">
      <w:bodyDiv w:val="1"/>
      <w:marLeft w:val="0"/>
      <w:marRight w:val="0"/>
      <w:marTop w:val="0"/>
      <w:marBottom w:val="0"/>
      <w:divBdr>
        <w:top w:val="none" w:sz="0" w:space="0" w:color="auto"/>
        <w:left w:val="none" w:sz="0" w:space="0" w:color="auto"/>
        <w:bottom w:val="none" w:sz="0" w:space="0" w:color="auto"/>
        <w:right w:val="none" w:sz="0" w:space="0" w:color="auto"/>
      </w:divBdr>
    </w:div>
    <w:div w:id="1349982777">
      <w:bodyDiv w:val="1"/>
      <w:marLeft w:val="0"/>
      <w:marRight w:val="0"/>
      <w:marTop w:val="0"/>
      <w:marBottom w:val="0"/>
      <w:divBdr>
        <w:top w:val="none" w:sz="0" w:space="0" w:color="auto"/>
        <w:left w:val="none" w:sz="0" w:space="0" w:color="auto"/>
        <w:bottom w:val="none" w:sz="0" w:space="0" w:color="auto"/>
        <w:right w:val="none" w:sz="0" w:space="0" w:color="auto"/>
      </w:divBdr>
    </w:div>
    <w:div w:id="1414275703">
      <w:bodyDiv w:val="1"/>
      <w:marLeft w:val="0"/>
      <w:marRight w:val="0"/>
      <w:marTop w:val="0"/>
      <w:marBottom w:val="0"/>
      <w:divBdr>
        <w:top w:val="none" w:sz="0" w:space="0" w:color="auto"/>
        <w:left w:val="none" w:sz="0" w:space="0" w:color="auto"/>
        <w:bottom w:val="none" w:sz="0" w:space="0" w:color="auto"/>
        <w:right w:val="none" w:sz="0" w:space="0" w:color="auto"/>
      </w:divBdr>
    </w:div>
    <w:div w:id="1420561988">
      <w:bodyDiv w:val="1"/>
      <w:marLeft w:val="0"/>
      <w:marRight w:val="0"/>
      <w:marTop w:val="0"/>
      <w:marBottom w:val="0"/>
      <w:divBdr>
        <w:top w:val="none" w:sz="0" w:space="0" w:color="auto"/>
        <w:left w:val="none" w:sz="0" w:space="0" w:color="auto"/>
        <w:bottom w:val="none" w:sz="0" w:space="0" w:color="auto"/>
        <w:right w:val="none" w:sz="0" w:space="0" w:color="auto"/>
      </w:divBdr>
    </w:div>
    <w:div w:id="1432386374">
      <w:bodyDiv w:val="1"/>
      <w:marLeft w:val="0"/>
      <w:marRight w:val="0"/>
      <w:marTop w:val="0"/>
      <w:marBottom w:val="0"/>
      <w:divBdr>
        <w:top w:val="none" w:sz="0" w:space="0" w:color="auto"/>
        <w:left w:val="none" w:sz="0" w:space="0" w:color="auto"/>
        <w:bottom w:val="none" w:sz="0" w:space="0" w:color="auto"/>
        <w:right w:val="none" w:sz="0" w:space="0" w:color="auto"/>
      </w:divBdr>
    </w:div>
    <w:div w:id="1453867773">
      <w:bodyDiv w:val="1"/>
      <w:marLeft w:val="0"/>
      <w:marRight w:val="0"/>
      <w:marTop w:val="0"/>
      <w:marBottom w:val="0"/>
      <w:divBdr>
        <w:top w:val="none" w:sz="0" w:space="0" w:color="auto"/>
        <w:left w:val="none" w:sz="0" w:space="0" w:color="auto"/>
        <w:bottom w:val="none" w:sz="0" w:space="0" w:color="auto"/>
        <w:right w:val="none" w:sz="0" w:space="0" w:color="auto"/>
      </w:divBdr>
    </w:div>
    <w:div w:id="1503087398">
      <w:bodyDiv w:val="1"/>
      <w:marLeft w:val="0"/>
      <w:marRight w:val="0"/>
      <w:marTop w:val="0"/>
      <w:marBottom w:val="0"/>
      <w:divBdr>
        <w:top w:val="none" w:sz="0" w:space="0" w:color="auto"/>
        <w:left w:val="none" w:sz="0" w:space="0" w:color="auto"/>
        <w:bottom w:val="none" w:sz="0" w:space="0" w:color="auto"/>
        <w:right w:val="none" w:sz="0" w:space="0" w:color="auto"/>
      </w:divBdr>
    </w:div>
    <w:div w:id="1505632282">
      <w:bodyDiv w:val="1"/>
      <w:marLeft w:val="0"/>
      <w:marRight w:val="0"/>
      <w:marTop w:val="0"/>
      <w:marBottom w:val="0"/>
      <w:divBdr>
        <w:top w:val="none" w:sz="0" w:space="0" w:color="auto"/>
        <w:left w:val="none" w:sz="0" w:space="0" w:color="auto"/>
        <w:bottom w:val="none" w:sz="0" w:space="0" w:color="auto"/>
        <w:right w:val="none" w:sz="0" w:space="0" w:color="auto"/>
      </w:divBdr>
    </w:div>
    <w:div w:id="1614744229">
      <w:bodyDiv w:val="1"/>
      <w:marLeft w:val="0"/>
      <w:marRight w:val="0"/>
      <w:marTop w:val="0"/>
      <w:marBottom w:val="0"/>
      <w:divBdr>
        <w:top w:val="none" w:sz="0" w:space="0" w:color="auto"/>
        <w:left w:val="none" w:sz="0" w:space="0" w:color="auto"/>
        <w:bottom w:val="none" w:sz="0" w:space="0" w:color="auto"/>
        <w:right w:val="none" w:sz="0" w:space="0" w:color="auto"/>
      </w:divBdr>
    </w:div>
    <w:div w:id="1713771302">
      <w:bodyDiv w:val="1"/>
      <w:marLeft w:val="0"/>
      <w:marRight w:val="0"/>
      <w:marTop w:val="0"/>
      <w:marBottom w:val="0"/>
      <w:divBdr>
        <w:top w:val="none" w:sz="0" w:space="0" w:color="auto"/>
        <w:left w:val="none" w:sz="0" w:space="0" w:color="auto"/>
        <w:bottom w:val="none" w:sz="0" w:space="0" w:color="auto"/>
        <w:right w:val="none" w:sz="0" w:space="0" w:color="auto"/>
      </w:divBdr>
    </w:div>
    <w:div w:id="1842423752">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1888568607">
      <w:bodyDiv w:val="1"/>
      <w:marLeft w:val="0"/>
      <w:marRight w:val="0"/>
      <w:marTop w:val="0"/>
      <w:marBottom w:val="0"/>
      <w:divBdr>
        <w:top w:val="none" w:sz="0" w:space="0" w:color="auto"/>
        <w:left w:val="none" w:sz="0" w:space="0" w:color="auto"/>
        <w:bottom w:val="none" w:sz="0" w:space="0" w:color="auto"/>
        <w:right w:val="none" w:sz="0" w:space="0" w:color="auto"/>
      </w:divBdr>
    </w:div>
    <w:div w:id="2057587288">
      <w:bodyDiv w:val="1"/>
      <w:marLeft w:val="0"/>
      <w:marRight w:val="0"/>
      <w:marTop w:val="0"/>
      <w:marBottom w:val="0"/>
      <w:divBdr>
        <w:top w:val="none" w:sz="0" w:space="0" w:color="auto"/>
        <w:left w:val="none" w:sz="0" w:space="0" w:color="auto"/>
        <w:bottom w:val="none" w:sz="0" w:space="0" w:color="auto"/>
        <w:right w:val="none" w:sz="0" w:space="0" w:color="auto"/>
      </w:divBdr>
    </w:div>
    <w:div w:id="21471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696464"/>
      </a:dk2>
      <a:lt2>
        <a:srgbClr val="E9E5DC"/>
      </a:lt2>
      <a:accent1>
        <a:srgbClr val="E0213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6E67-DBFF-4098-B6FE-CA62FFA0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60</Pages>
  <Words>17034</Words>
  <Characters>95139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Morris</dc:creator>
  <cp:lastModifiedBy>ALGIE, Angus</cp:lastModifiedBy>
  <cp:revision>15</cp:revision>
  <cp:lastPrinted>2019-02-12T23:50:00Z</cp:lastPrinted>
  <dcterms:created xsi:type="dcterms:W3CDTF">2019-03-12T02:20:00Z</dcterms:created>
  <dcterms:modified xsi:type="dcterms:W3CDTF">2019-03-12T03:43:00Z</dcterms:modified>
</cp:coreProperties>
</file>