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3619" w14:textId="77777777" w:rsidR="006E29C3" w:rsidRDefault="002B4AFD" w:rsidP="00150B9F">
      <w:pPr>
        <w:spacing w:before="0" w:after="0"/>
        <w:jc w:val="center"/>
        <w:rPr>
          <w:b/>
          <w:color w:val="002060"/>
          <w:sz w:val="32"/>
        </w:rPr>
      </w:pPr>
      <w:bookmarkStart w:id="0" w:name="_GoBack"/>
      <w:bookmarkEnd w:id="0"/>
      <w:r w:rsidRPr="002B4AFD">
        <w:rPr>
          <w:b/>
          <w:color w:val="002060"/>
          <w:sz w:val="32"/>
        </w:rPr>
        <w:t xml:space="preserve">Commonwealth Home Support </w:t>
      </w:r>
      <w:r w:rsidR="006E29C3">
        <w:rPr>
          <w:b/>
          <w:color w:val="002060"/>
          <w:sz w:val="32"/>
        </w:rPr>
        <w:t>Programme</w:t>
      </w:r>
      <w:r w:rsidRPr="002B4AFD">
        <w:rPr>
          <w:b/>
          <w:color w:val="002060"/>
          <w:sz w:val="32"/>
        </w:rPr>
        <w:t xml:space="preserve"> (CHSP) </w:t>
      </w:r>
    </w:p>
    <w:p w14:paraId="4E81361A" w14:textId="77777777" w:rsidR="002B4AFD" w:rsidRPr="002B4AFD" w:rsidRDefault="002B4AFD" w:rsidP="00150B9F">
      <w:pPr>
        <w:spacing w:before="0" w:after="0"/>
        <w:jc w:val="center"/>
        <w:rPr>
          <w:b/>
          <w:color w:val="002060"/>
          <w:sz w:val="32"/>
        </w:rPr>
      </w:pPr>
      <w:r w:rsidRPr="002B4AFD">
        <w:rPr>
          <w:b/>
          <w:color w:val="002060"/>
          <w:sz w:val="32"/>
        </w:rPr>
        <w:t>Fact Sheet</w:t>
      </w:r>
    </w:p>
    <w:p w14:paraId="4E81361B" w14:textId="77777777" w:rsidR="002B4AFD" w:rsidRPr="00150B9F" w:rsidRDefault="002B4AFD" w:rsidP="003F48FB">
      <w:pPr>
        <w:spacing w:before="0" w:after="0" w:line="200" w:lineRule="atLeast"/>
        <w:rPr>
          <w:b/>
          <w:sz w:val="16"/>
        </w:rPr>
      </w:pPr>
    </w:p>
    <w:p w14:paraId="4E81361C" w14:textId="77777777" w:rsidR="006027D0" w:rsidRPr="00633E25" w:rsidRDefault="003D6CAA" w:rsidP="00150B9F">
      <w:pPr>
        <w:spacing w:before="0" w:after="0"/>
      </w:pPr>
      <w:r>
        <w:rPr>
          <w:b/>
        </w:rPr>
        <w:t>Purpose</w:t>
      </w:r>
    </w:p>
    <w:p w14:paraId="4E81361D" w14:textId="77777777" w:rsidR="0069497B" w:rsidRDefault="006027D0" w:rsidP="00150B9F">
      <w:pPr>
        <w:spacing w:before="0" w:after="0"/>
      </w:pPr>
      <w:r>
        <w:t>The purpose of this factsheet it to outline how the Promoting Independent Living Budget measure impacts on Commonwealth Home Support Program</w:t>
      </w:r>
      <w:r w:rsidR="006E29C3">
        <w:t>me</w:t>
      </w:r>
      <w:r>
        <w:t xml:space="preserve"> (CHSP</w:t>
      </w:r>
      <w:r w:rsidR="00BF4DC6">
        <w:t>) P</w:t>
      </w:r>
      <w:r>
        <w:t xml:space="preserve">roviders located in trial sites. </w:t>
      </w:r>
      <w:r w:rsidR="006B56E0">
        <w:t>Importantly, the obligations of CHSP Pro</w:t>
      </w:r>
      <w:r w:rsidR="00BF4DC6">
        <w:t>viders working with assessors and consumers to</w:t>
      </w:r>
      <w:r w:rsidR="00251F67">
        <w:t xml:space="preserve"> deliver Re</w:t>
      </w:r>
      <w:r w:rsidR="006B56E0">
        <w:t>ablement</w:t>
      </w:r>
      <w:r w:rsidR="00BF4DC6">
        <w:t xml:space="preserve"> are</w:t>
      </w:r>
      <w:r w:rsidR="006B56E0">
        <w:t xml:space="preserve"> the same for both trial and non-trial participants.</w:t>
      </w:r>
    </w:p>
    <w:p w14:paraId="4E81361E" w14:textId="77777777" w:rsidR="0069497B" w:rsidRDefault="0069497B" w:rsidP="00150B9F">
      <w:pPr>
        <w:spacing w:before="0" w:after="0" w:line="220" w:lineRule="atLeast"/>
      </w:pPr>
    </w:p>
    <w:p w14:paraId="4E81361F" w14:textId="77777777" w:rsidR="002A5928" w:rsidRDefault="00855178" w:rsidP="00150B9F">
      <w:pPr>
        <w:spacing w:before="0" w:after="0"/>
        <w:rPr>
          <w:b/>
          <w:bCs/>
        </w:rPr>
      </w:pPr>
      <w:r w:rsidRPr="002A5928">
        <w:rPr>
          <w:b/>
          <w:bCs/>
        </w:rPr>
        <w:t>What is the Promoting Independent Living Budget Measure?</w:t>
      </w:r>
    </w:p>
    <w:p w14:paraId="4E813620" w14:textId="77777777" w:rsidR="002B4AFD" w:rsidRDefault="002B4AFD" w:rsidP="00150B9F">
      <w:pPr>
        <w:spacing w:before="0" w:after="0"/>
        <w:rPr>
          <w:color w:val="auto"/>
          <w:sz w:val="22"/>
          <w:szCs w:val="22"/>
        </w:rPr>
      </w:pPr>
      <w:r>
        <w:t>The Promoting Independent Living Budget measure provides $29.2 million over two years to help senior Australians to continue living at home more independently for longer.  The measure has been designed to provide a comprehensive approach to implementing, trialling and measuring a reablement focused assessment model. It includes a range of supports targeting assessment services, service providers and senior Australians. The trial will assist to determine if a reablement focused assessment model provides measurably better outcomes for clients while reducing or delaying the need for more complex aged care services.</w:t>
      </w:r>
    </w:p>
    <w:p w14:paraId="4E813621" w14:textId="77777777" w:rsidR="002B4AFD" w:rsidRPr="00150B9F" w:rsidRDefault="002B4AFD" w:rsidP="00150B9F">
      <w:pPr>
        <w:spacing w:before="0" w:after="0"/>
        <w:rPr>
          <w:rFonts w:ascii="Calibri" w:hAnsi="Calibri" w:cs="Calibri"/>
          <w:color w:val="1F497D"/>
          <w:sz w:val="22"/>
        </w:rPr>
      </w:pPr>
      <w:r>
        <w:t>The budget measure involves a number of elements targeting cultural change across consumers, RAS and CHSP Providers.</w:t>
      </w:r>
    </w:p>
    <w:p w14:paraId="4E813622" w14:textId="77777777" w:rsidR="00F51B8F" w:rsidRPr="00150B9F" w:rsidRDefault="00F51B8F" w:rsidP="003F48FB">
      <w:pPr>
        <w:spacing w:before="0" w:after="0" w:line="180" w:lineRule="atLeast"/>
        <w:rPr>
          <w:sz w:val="16"/>
          <w:u w:val="single"/>
          <w:lang w:eastAsia="en-US"/>
        </w:rPr>
      </w:pPr>
    </w:p>
    <w:p w14:paraId="4E813623" w14:textId="77777777" w:rsidR="00446339" w:rsidRDefault="004449AD" w:rsidP="00786A3B">
      <w:pPr>
        <w:spacing w:before="0" w:after="0"/>
      </w:pPr>
      <w:r>
        <w:rPr>
          <w:noProof/>
          <w:u w:val="single"/>
        </w:rPr>
        <w:drawing>
          <wp:inline distT="0" distB="0" distL="0" distR="0" wp14:anchorId="4E813646" wp14:editId="4E813647">
            <wp:extent cx="5889625" cy="2213023"/>
            <wp:effectExtent l="38100" t="0" r="73025" b="0"/>
            <wp:docPr id="123" name="Diagram 123" descr="Text box" title="Text box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446339">
        <w:t>Currently, all CHSP Providers are re</w:t>
      </w:r>
      <w:r w:rsidR="00786A3B">
        <w:t xml:space="preserve">quired to deliver Reablement by </w:t>
      </w:r>
      <w:r w:rsidR="00446339" w:rsidRPr="003B0666">
        <w:t>accept</w:t>
      </w:r>
      <w:r w:rsidR="00446339">
        <w:t>ing</w:t>
      </w:r>
      <w:r w:rsidR="00446339" w:rsidRPr="003B0666">
        <w:t xml:space="preserve"> referrals to deliver short-term or time limited services</w:t>
      </w:r>
      <w:r w:rsidR="00786A3B">
        <w:t xml:space="preserve"> </w:t>
      </w:r>
      <w:r w:rsidR="00446339" w:rsidRPr="003B0666">
        <w:t>in line with a client’s support plan.</w:t>
      </w:r>
    </w:p>
    <w:p w14:paraId="4E813624" w14:textId="77777777" w:rsidR="003F48FB" w:rsidRDefault="003F48FB">
      <w:pPr>
        <w:spacing w:before="0" w:after="200" w:line="276" w:lineRule="auto"/>
      </w:pPr>
      <w:r>
        <w:br w:type="page"/>
      </w:r>
    </w:p>
    <w:p w14:paraId="4E813625" w14:textId="77777777" w:rsidR="00446339" w:rsidRDefault="00446339" w:rsidP="00150B9F">
      <w:pPr>
        <w:spacing w:before="0" w:after="0"/>
      </w:pPr>
      <w:r>
        <w:lastRenderedPageBreak/>
        <w:t xml:space="preserve">In line with clients’ goals, CHSP services could include </w:t>
      </w:r>
      <w:r w:rsidRPr="00F56D9F">
        <w:t xml:space="preserve">training in a </w:t>
      </w:r>
      <w:r w:rsidR="00786A3B">
        <w:t xml:space="preserve">particular </w:t>
      </w:r>
      <w:r w:rsidRPr="00F56D9F">
        <w:t xml:space="preserve">skill or actively working to regain or maintain </w:t>
      </w:r>
      <w:r w:rsidR="00786A3B">
        <w:t>physical functions</w:t>
      </w:r>
      <w:r w:rsidRPr="00F56D9F">
        <w:t>, modification to a person's home environment or having access to equipment or assistive technology.</w:t>
      </w:r>
      <w:r>
        <w:t xml:space="preserve"> It may </w:t>
      </w:r>
      <w:r w:rsidR="00786A3B">
        <w:t xml:space="preserve">also </w:t>
      </w:r>
      <w:r>
        <w:t xml:space="preserve">include </w:t>
      </w:r>
      <w:r w:rsidRPr="00786A3B">
        <w:t>time limited</w:t>
      </w:r>
      <w:r>
        <w:t xml:space="preserve"> </w:t>
      </w:r>
      <w:r w:rsidR="00786A3B">
        <w:t xml:space="preserve">home support services, </w:t>
      </w:r>
      <w:r>
        <w:t>while a client rebuilds confidence or capacity.</w:t>
      </w:r>
    </w:p>
    <w:p w14:paraId="4E813626" w14:textId="77777777" w:rsidR="00446339" w:rsidRDefault="00446339" w:rsidP="00150B9F">
      <w:pPr>
        <w:spacing w:before="0" w:after="0"/>
        <w:jc w:val="center"/>
      </w:pPr>
    </w:p>
    <w:p w14:paraId="4E813627" w14:textId="77777777" w:rsidR="004449AD" w:rsidRDefault="006E792A" w:rsidP="00150B9F">
      <w:pPr>
        <w:spacing w:before="0" w:after="0"/>
      </w:pPr>
      <w:r>
        <w:rPr>
          <w:noProof/>
          <w:u w:val="single"/>
        </w:rPr>
        <w:drawing>
          <wp:inline distT="0" distB="0" distL="0" distR="0" wp14:anchorId="4E813648" wp14:editId="4E813649">
            <wp:extent cx="5699760" cy="1460416"/>
            <wp:effectExtent l="57150" t="19050" r="72390" b="64135"/>
            <wp:docPr id="126" name="Diagram 126" descr="text box only" title="Text box only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E813628" w14:textId="77777777" w:rsidR="000C16C2" w:rsidRDefault="00786A3B" w:rsidP="00150B9F">
      <w:pPr>
        <w:spacing w:before="0" w:after="0"/>
      </w:pPr>
      <w:r>
        <w:t>All</w:t>
      </w:r>
      <w:r w:rsidR="0068281B">
        <w:t xml:space="preserve"> CHSP provider</w:t>
      </w:r>
      <w:r w:rsidR="00F56D9F">
        <w:t>s</w:t>
      </w:r>
      <w:r w:rsidR="0068281B">
        <w:t xml:space="preserve"> are required to</w:t>
      </w:r>
      <w:r w:rsidR="00F56D9F">
        <w:t xml:space="preserve"> view every client</w:t>
      </w:r>
      <w:r w:rsidR="006B56E0">
        <w:t xml:space="preserve"> as having the ability and potential to improve</w:t>
      </w:r>
      <w:r w:rsidR="0068281B">
        <w:t xml:space="preserve">. </w:t>
      </w:r>
      <w:r w:rsidR="00A234A3">
        <w:t xml:space="preserve">Additionally, </w:t>
      </w:r>
      <w:r>
        <w:t>CHSP Providers</w:t>
      </w:r>
      <w:r w:rsidR="00570C09">
        <w:t xml:space="preserve"> play a key role in educating and building client motivation</w:t>
      </w:r>
      <w:r w:rsidR="00A234A3">
        <w:t xml:space="preserve"> </w:t>
      </w:r>
      <w:r>
        <w:t>for r</w:t>
      </w:r>
      <w:r w:rsidR="00570C09">
        <w:t>eablement.</w:t>
      </w:r>
      <w:r w:rsidR="0068281B">
        <w:t xml:space="preserve"> </w:t>
      </w:r>
    </w:p>
    <w:p w14:paraId="4E813629" w14:textId="77777777" w:rsidR="0068281B" w:rsidRDefault="0068281B" w:rsidP="00150B9F">
      <w:pPr>
        <w:spacing w:before="0" w:after="0"/>
        <w:rPr>
          <w:noProof/>
        </w:rPr>
      </w:pPr>
      <w:r>
        <w:t>In working with clients</w:t>
      </w:r>
      <w:r w:rsidR="00786A3B">
        <w:t xml:space="preserve"> during r</w:t>
      </w:r>
      <w:r w:rsidR="00EF6408">
        <w:t>eablement</w:t>
      </w:r>
      <w:r w:rsidR="00786A3B">
        <w:t>,</w:t>
      </w:r>
      <w:r>
        <w:t xml:space="preserve"> CHSP Providers must:</w:t>
      </w:r>
      <w:r w:rsidR="00AC730C" w:rsidRPr="00AC730C">
        <w:rPr>
          <w:noProof/>
        </w:rPr>
        <w:t xml:space="preserve"> </w:t>
      </w:r>
    </w:p>
    <w:p w14:paraId="4E81362A" w14:textId="77777777" w:rsidR="006E792A" w:rsidRDefault="006E792A" w:rsidP="00150B9F">
      <w:pPr>
        <w:pStyle w:val="ListParagraph"/>
        <w:numPr>
          <w:ilvl w:val="0"/>
          <w:numId w:val="27"/>
        </w:numPr>
        <w:spacing w:before="0" w:after="0" w:line="256" w:lineRule="auto"/>
      </w:pPr>
      <w:r>
        <w:t>review the client’s assessment outcomes and support plan</w:t>
      </w:r>
      <w:r w:rsidR="00A872D2">
        <w:t>;</w:t>
      </w:r>
    </w:p>
    <w:p w14:paraId="4E81362B" w14:textId="77777777" w:rsidR="006E792A" w:rsidRDefault="006E792A" w:rsidP="00150B9F">
      <w:pPr>
        <w:pStyle w:val="ListParagraph"/>
        <w:numPr>
          <w:ilvl w:val="0"/>
          <w:numId w:val="27"/>
        </w:numPr>
        <w:spacing w:before="0" w:after="0" w:line="256" w:lineRule="auto"/>
      </w:pPr>
      <w:r>
        <w:t>break down the broader goals in their support plan into achievable steps and strategies that will assist the client to reach their goals</w:t>
      </w:r>
      <w:r w:rsidR="00A872D2">
        <w:t>;</w:t>
      </w:r>
    </w:p>
    <w:p w14:paraId="4E81362C" w14:textId="77777777" w:rsidR="006E792A" w:rsidRDefault="006E792A" w:rsidP="00150B9F">
      <w:pPr>
        <w:pStyle w:val="ListParagraph"/>
        <w:numPr>
          <w:ilvl w:val="0"/>
          <w:numId w:val="27"/>
        </w:numPr>
        <w:spacing w:before="0" w:after="0" w:line="256" w:lineRule="auto"/>
      </w:pPr>
      <w:r>
        <w:t>deliver time limited services to assist clients adapt to functional loss, regain confidence or capacity to resume activities</w:t>
      </w:r>
      <w:r w:rsidR="00A872D2">
        <w:t>;</w:t>
      </w:r>
    </w:p>
    <w:p w14:paraId="4E81362D" w14:textId="77777777" w:rsidR="006E792A" w:rsidRDefault="00DC3093" w:rsidP="00150B9F">
      <w:pPr>
        <w:pStyle w:val="ListParagraph"/>
        <w:numPr>
          <w:ilvl w:val="0"/>
          <w:numId w:val="27"/>
        </w:numPr>
        <w:spacing w:before="0" w:after="0" w:line="256" w:lineRule="auto"/>
      </w:pPr>
      <w:r>
        <w:t>gradually encourage</w:t>
      </w:r>
      <w:r w:rsidR="006E792A">
        <w:t xml:space="preserve"> those having difficulty with activities of daily living to increase their ability</w:t>
      </w:r>
      <w:r w:rsidR="00A872D2">
        <w:t>;</w:t>
      </w:r>
      <w:r w:rsidR="006E792A">
        <w:t xml:space="preserve"> and</w:t>
      </w:r>
    </w:p>
    <w:p w14:paraId="4E81362E" w14:textId="77777777" w:rsidR="004A315F" w:rsidRPr="00F51B8F" w:rsidRDefault="006E792A" w:rsidP="00150B9F">
      <w:pPr>
        <w:pStyle w:val="ListParagraph"/>
        <w:numPr>
          <w:ilvl w:val="0"/>
          <w:numId w:val="27"/>
        </w:numPr>
        <w:spacing w:before="0" w:after="0" w:line="256" w:lineRule="auto"/>
      </w:pPr>
      <w:r>
        <w:t xml:space="preserve">review clients service to identify </w:t>
      </w:r>
      <w:r w:rsidR="00DC3093">
        <w:t>r</w:t>
      </w:r>
      <w:r>
        <w:t>eablement opportunities (annually at a minimum).</w:t>
      </w:r>
    </w:p>
    <w:p w14:paraId="4E81362F" w14:textId="77777777" w:rsidR="00775765" w:rsidRDefault="00775765" w:rsidP="00150B9F">
      <w:pPr>
        <w:spacing w:before="0" w:after="0"/>
      </w:pPr>
    </w:p>
    <w:p w14:paraId="4E813630" w14:textId="77777777" w:rsidR="006E792A" w:rsidRDefault="00EF6408" w:rsidP="00150B9F">
      <w:pPr>
        <w:spacing w:before="0" w:after="0"/>
      </w:pPr>
      <w:r w:rsidRPr="00172141">
        <w:t>If a</w:t>
      </w:r>
      <w:r w:rsidRPr="007446D7">
        <w:t xml:space="preserve"> person is assessed as having ongoi</w:t>
      </w:r>
      <w:r>
        <w:t xml:space="preserve">ng support needs at the end of </w:t>
      </w:r>
      <w:r w:rsidR="00DC3093">
        <w:t>r</w:t>
      </w:r>
      <w:r>
        <w:t xml:space="preserve">eablement, </w:t>
      </w:r>
      <w:r w:rsidRPr="007446D7">
        <w:t>it is crucial that subsequent services continue t</w:t>
      </w:r>
      <w:r>
        <w:t xml:space="preserve">o provide support to clients in a way that </w:t>
      </w:r>
      <w:r w:rsidRPr="007446D7">
        <w:t>maintains the</w:t>
      </w:r>
      <w:r>
        <w:t>ir progress.</w:t>
      </w:r>
    </w:p>
    <w:p w14:paraId="4E813631" w14:textId="77777777" w:rsidR="005F4A58" w:rsidRDefault="005F4A58" w:rsidP="00150B9F">
      <w:pPr>
        <w:spacing w:before="0" w:after="0"/>
        <w:rPr>
          <w:sz w:val="12"/>
        </w:rPr>
      </w:pPr>
    </w:p>
    <w:p w14:paraId="4E813632" w14:textId="77777777" w:rsidR="00F51B8F" w:rsidRPr="00F51B8F" w:rsidRDefault="00627FCE" w:rsidP="00150B9F">
      <w:pPr>
        <w:spacing w:before="0" w:after="0"/>
        <w:rPr>
          <w:sz w:val="12"/>
        </w:rPr>
      </w:pPr>
      <w:r>
        <w:rPr>
          <w:noProof/>
          <w:u w:val="single"/>
        </w:rPr>
        <w:drawing>
          <wp:inline distT="0" distB="0" distL="0" distR="0" wp14:anchorId="4E81364A" wp14:editId="4E81364B">
            <wp:extent cx="5699760" cy="1460416"/>
            <wp:effectExtent l="57150" t="19050" r="72390" b="83185"/>
            <wp:docPr id="1" name="Diagram 1" descr="text box only" title="Text box only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4E813633" w14:textId="77777777" w:rsidR="006E792A" w:rsidRDefault="006E792A" w:rsidP="00150B9F">
      <w:pPr>
        <w:spacing w:before="0" w:after="0"/>
      </w:pPr>
      <w:r>
        <w:rPr>
          <w:noProof/>
          <w:u w:val="single"/>
        </w:rPr>
        <w:lastRenderedPageBreak/>
        <w:drawing>
          <wp:inline distT="0" distB="0" distL="0" distR="0" wp14:anchorId="4E81364C" wp14:editId="4E81364D">
            <wp:extent cx="5699760" cy="1460416"/>
            <wp:effectExtent l="57150" t="19050" r="91440" b="83185"/>
            <wp:docPr id="127" name="Diagram 127" descr="text box only" title="text box only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4E813634" w14:textId="77777777" w:rsidR="00570C09" w:rsidRDefault="00570C09" w:rsidP="00150B9F">
      <w:pPr>
        <w:spacing w:before="0" w:after="0"/>
      </w:pPr>
      <w:r>
        <w:t xml:space="preserve">A key difference in the Reablement Trial is that assessors </w:t>
      </w:r>
      <w:r w:rsidRPr="0064538B">
        <w:rPr>
          <w:rFonts w:eastAsia="Batang"/>
          <w:color w:val="auto"/>
          <w:lang w:eastAsia="en-US"/>
        </w:rPr>
        <w:t>undertake a ‘show me’ (active) assessment in which clients demonstrate how they undertake certain tasks to better understand their limitations and identify risks.</w:t>
      </w:r>
      <w:r>
        <w:rPr>
          <w:rFonts w:eastAsia="Batang"/>
          <w:color w:val="auto"/>
          <w:lang w:eastAsia="en-US"/>
        </w:rPr>
        <w:t xml:space="preserve"> This is distinct from the </w:t>
      </w:r>
      <w:r w:rsidR="00A234A3">
        <w:rPr>
          <w:rFonts w:eastAsia="Batang"/>
          <w:color w:val="auto"/>
          <w:lang w:eastAsia="en-US"/>
        </w:rPr>
        <w:t>traditional</w:t>
      </w:r>
      <w:r>
        <w:rPr>
          <w:rFonts w:eastAsia="Batang"/>
          <w:color w:val="auto"/>
          <w:lang w:eastAsia="en-US"/>
        </w:rPr>
        <w:t xml:space="preserve"> “tell me” approach used by assessors. </w:t>
      </w:r>
    </w:p>
    <w:p w14:paraId="4E813635" w14:textId="77777777" w:rsidR="00570C09" w:rsidRDefault="00570C09" w:rsidP="00150B9F">
      <w:pPr>
        <w:spacing w:before="0" w:after="0"/>
      </w:pPr>
    </w:p>
    <w:p w14:paraId="4E813636" w14:textId="77777777" w:rsidR="00570C09" w:rsidRDefault="00570C09" w:rsidP="00150B9F">
      <w:pPr>
        <w:spacing w:before="0" w:after="0"/>
      </w:pPr>
      <w:r>
        <w:t>In line with current practice assessors take on a coordination or cas</w:t>
      </w:r>
      <w:r w:rsidR="006D093D">
        <w:t xml:space="preserve">e management role during the </w:t>
      </w:r>
      <w:r w:rsidR="00492BB3">
        <w:t>10-12</w:t>
      </w:r>
      <w:r>
        <w:t xml:space="preserve"> week period</w:t>
      </w:r>
      <w:r w:rsidR="0077293D">
        <w:t xml:space="preserve">. Assessors will </w:t>
      </w:r>
      <w:r w:rsidRPr="00570C09">
        <w:t xml:space="preserve">ensure all referrals are linked to </w:t>
      </w:r>
      <w:r w:rsidR="00EF6408">
        <w:t xml:space="preserve">CHSP Providers </w:t>
      </w:r>
      <w:r w:rsidRPr="00570C09">
        <w:t>and services are delivered with</w:t>
      </w:r>
      <w:r w:rsidR="00801A5E">
        <w:t>in</w:t>
      </w:r>
      <w:r w:rsidRPr="00570C09">
        <w:t xml:space="preserve"> the Reablement period agreed to by the client.</w:t>
      </w:r>
    </w:p>
    <w:p w14:paraId="4E813637" w14:textId="77777777" w:rsidR="00EF6408" w:rsidRDefault="00EF6408" w:rsidP="00150B9F">
      <w:pPr>
        <w:spacing w:before="0" w:after="0"/>
      </w:pPr>
    </w:p>
    <w:p w14:paraId="4E813638" w14:textId="77777777" w:rsidR="00EF6408" w:rsidRDefault="00EF6408" w:rsidP="00150B9F">
      <w:pPr>
        <w:spacing w:before="0" w:after="0"/>
      </w:pPr>
      <w:r>
        <w:t>Effective s</w:t>
      </w:r>
      <w:r w:rsidR="008E2ADB" w:rsidRPr="007446D7">
        <w:t xml:space="preserve">ervice coordination </w:t>
      </w:r>
      <w:r w:rsidR="008E2ADB">
        <w:t>require</w:t>
      </w:r>
      <w:r>
        <w:t>s</w:t>
      </w:r>
      <w:r w:rsidR="008E2ADB">
        <w:t xml:space="preserve"> CHSP Provider</w:t>
      </w:r>
      <w:r>
        <w:t>s</w:t>
      </w:r>
      <w:r w:rsidR="008E2ADB">
        <w:t xml:space="preserve"> to maintain a good working relationship with RAS</w:t>
      </w:r>
      <w:r>
        <w:t xml:space="preserve"> including:</w:t>
      </w:r>
    </w:p>
    <w:p w14:paraId="4E813639" w14:textId="77777777" w:rsidR="00EF6408" w:rsidRPr="0077293D" w:rsidRDefault="008E2ADB" w:rsidP="00150B9F">
      <w:pPr>
        <w:pStyle w:val="ListParagraph"/>
        <w:numPr>
          <w:ilvl w:val="0"/>
          <w:numId w:val="20"/>
        </w:numPr>
        <w:spacing w:before="0" w:after="0"/>
      </w:pPr>
      <w:r w:rsidRPr="007446D7">
        <w:t>a shared understanding of the goals and ser</w:t>
      </w:r>
      <w:r w:rsidR="00EF6408">
        <w:t>vices included in support plans</w:t>
      </w:r>
      <w:r w:rsidR="003A4A07">
        <w:t xml:space="preserve"> to ensure a clear connection with service delivery</w:t>
      </w:r>
      <w:r w:rsidR="00A872D2">
        <w:t>;</w:t>
      </w:r>
    </w:p>
    <w:p w14:paraId="4E81363A" w14:textId="77777777" w:rsidR="009019F7" w:rsidRDefault="009019F7" w:rsidP="00150B9F">
      <w:pPr>
        <w:pStyle w:val="ListParagraph"/>
        <w:numPr>
          <w:ilvl w:val="0"/>
          <w:numId w:val="20"/>
        </w:numPr>
        <w:spacing w:before="0" w:after="0"/>
      </w:pPr>
      <w:r w:rsidRPr="0077293D">
        <w:t>flexibility in working</w:t>
      </w:r>
      <w:r w:rsidRPr="007446D7">
        <w:t xml:space="preserve"> with others providing s</w:t>
      </w:r>
      <w:r>
        <w:t>ervices and in arranging client visits;</w:t>
      </w:r>
    </w:p>
    <w:p w14:paraId="4E81363B" w14:textId="77777777" w:rsidR="009019F7" w:rsidRDefault="009019F7" w:rsidP="00150B9F">
      <w:pPr>
        <w:pStyle w:val="ListParagraph"/>
        <w:numPr>
          <w:ilvl w:val="0"/>
          <w:numId w:val="20"/>
        </w:numPr>
        <w:spacing w:before="0" w:after="0"/>
      </w:pPr>
      <w:r>
        <w:t>not “</w:t>
      </w:r>
      <w:r w:rsidRPr="0077293D">
        <w:t>upselling” clients with ongoing services;</w:t>
      </w:r>
    </w:p>
    <w:p w14:paraId="4E81363C" w14:textId="77777777" w:rsidR="00EF6408" w:rsidRDefault="00801A5E" w:rsidP="00150B9F">
      <w:pPr>
        <w:pStyle w:val="ListParagraph"/>
        <w:numPr>
          <w:ilvl w:val="0"/>
          <w:numId w:val="20"/>
        </w:numPr>
        <w:spacing w:before="0" w:after="0"/>
      </w:pPr>
      <w:r w:rsidRPr="0077293D">
        <w:t xml:space="preserve">on commencing services </w:t>
      </w:r>
      <w:r w:rsidR="003A4A07" w:rsidRPr="0077293D">
        <w:t>update</w:t>
      </w:r>
      <w:r w:rsidR="00EF6408" w:rsidRPr="0077293D">
        <w:t xml:space="preserve"> My Aged Care</w:t>
      </w:r>
      <w:r w:rsidR="003A4A07" w:rsidRPr="0077293D">
        <w:t xml:space="preserve"> with the service information</w:t>
      </w:r>
      <w:r w:rsidR="00EF6408" w:rsidRPr="0077293D">
        <w:t xml:space="preserve">, including start </w:t>
      </w:r>
      <w:r w:rsidR="0077293D" w:rsidRPr="0077293D">
        <w:t xml:space="preserve">date, volume, </w:t>
      </w:r>
      <w:r w:rsidR="00EF6408" w:rsidRPr="0077293D">
        <w:t>frequen</w:t>
      </w:r>
      <w:r w:rsidR="003A4A07" w:rsidRPr="0077293D">
        <w:t>cy</w:t>
      </w:r>
      <w:r w:rsidR="0077293D" w:rsidRPr="0077293D">
        <w:t xml:space="preserve">, </w:t>
      </w:r>
      <w:r w:rsidRPr="0077293D">
        <w:t>and end date</w:t>
      </w:r>
      <w:r w:rsidR="00A872D2" w:rsidRPr="0077293D">
        <w:t>;</w:t>
      </w:r>
      <w:r w:rsidR="009019F7">
        <w:t xml:space="preserve"> </w:t>
      </w:r>
    </w:p>
    <w:p w14:paraId="4E81363D" w14:textId="77777777" w:rsidR="009019F7" w:rsidRDefault="00EF6408" w:rsidP="00150B9F">
      <w:pPr>
        <w:pStyle w:val="ListParagraph"/>
        <w:numPr>
          <w:ilvl w:val="0"/>
          <w:numId w:val="20"/>
        </w:numPr>
        <w:spacing w:before="0" w:after="0"/>
      </w:pPr>
      <w:r>
        <w:t>timely referral to My Aged Care</w:t>
      </w:r>
      <w:r w:rsidR="0077293D">
        <w:t xml:space="preserve"> when significant changes to a client’s needs are identified, so assessors can promptly</w:t>
      </w:r>
      <w:r>
        <w:t xml:space="preserve"> </w:t>
      </w:r>
      <w:r w:rsidRPr="00150941">
        <w:t>undertak</w:t>
      </w:r>
      <w:r>
        <w:t>e a</w:t>
      </w:r>
      <w:r w:rsidR="00F51B8F">
        <w:t xml:space="preserve"> formal support plan review</w:t>
      </w:r>
      <w:r w:rsidR="009019F7">
        <w:t>; and</w:t>
      </w:r>
    </w:p>
    <w:p w14:paraId="4E81363E" w14:textId="77777777" w:rsidR="00EF6408" w:rsidRPr="007446D7" w:rsidRDefault="009019F7" w:rsidP="00150B9F">
      <w:pPr>
        <w:pStyle w:val="ListParagraph"/>
        <w:numPr>
          <w:ilvl w:val="0"/>
          <w:numId w:val="20"/>
        </w:numPr>
        <w:spacing w:before="0" w:after="0"/>
      </w:pPr>
      <w:r>
        <w:t>update My Aged Care regularly to accurately reflect your organisation’s service availability</w:t>
      </w:r>
      <w:r w:rsidR="00F51B8F">
        <w:t>.</w:t>
      </w:r>
    </w:p>
    <w:p w14:paraId="4E81363F" w14:textId="77777777" w:rsidR="008E2ADB" w:rsidRDefault="008E2ADB" w:rsidP="00150B9F">
      <w:pPr>
        <w:spacing w:before="0" w:after="0"/>
      </w:pPr>
    </w:p>
    <w:p w14:paraId="4E813640" w14:textId="77777777" w:rsidR="00801A5E" w:rsidRPr="003B0666" w:rsidRDefault="00801A5E" w:rsidP="00150B9F">
      <w:pPr>
        <w:spacing w:before="0" w:after="0"/>
        <w:rPr>
          <w:b/>
        </w:rPr>
      </w:pPr>
      <w:r>
        <w:rPr>
          <w:b/>
        </w:rPr>
        <w:t>Where can I find further information?</w:t>
      </w:r>
    </w:p>
    <w:p w14:paraId="4E813641" w14:textId="77777777" w:rsidR="00D169E4" w:rsidRDefault="00D169E4" w:rsidP="00150B9F">
      <w:pPr>
        <w:spacing w:before="0" w:after="0" w:line="259" w:lineRule="auto"/>
      </w:pPr>
    </w:p>
    <w:p w14:paraId="4E813642" w14:textId="77777777" w:rsidR="00801A5E" w:rsidRDefault="00801A5E" w:rsidP="00150B9F">
      <w:pPr>
        <w:spacing w:before="0" w:after="0" w:line="259" w:lineRule="auto"/>
      </w:pPr>
      <w:r>
        <w:t>Further information on implementing Reablement is available at:</w:t>
      </w:r>
    </w:p>
    <w:p w14:paraId="4E813643" w14:textId="77777777" w:rsidR="00801A5E" w:rsidRDefault="00A872D2" w:rsidP="00150B9F">
      <w:pPr>
        <w:pStyle w:val="ListParagraph"/>
        <w:numPr>
          <w:ilvl w:val="0"/>
          <w:numId w:val="30"/>
        </w:numPr>
        <w:spacing w:before="0" w:after="0" w:line="259" w:lineRule="auto"/>
      </w:pPr>
      <w:r w:rsidRPr="004A0F42">
        <w:rPr>
          <w:b/>
        </w:rPr>
        <w:t>CHSP Program</w:t>
      </w:r>
      <w:r w:rsidR="00492BB3">
        <w:rPr>
          <w:b/>
        </w:rPr>
        <w:t>me</w:t>
      </w:r>
      <w:r w:rsidRPr="004A0F42">
        <w:rPr>
          <w:b/>
        </w:rPr>
        <w:t xml:space="preserve"> Manual:</w:t>
      </w:r>
      <w:r w:rsidRPr="004A0F42">
        <w:t xml:space="preserve"> </w:t>
      </w:r>
      <w:r w:rsidR="004A0F42">
        <w:br/>
      </w:r>
      <w:hyperlink r:id="rId31" w:history="1">
        <w:r w:rsidR="004A0F42" w:rsidRPr="005C7A7E">
          <w:rPr>
            <w:rStyle w:val="Hyperlink"/>
            <w:rFonts w:eastAsiaTheme="majorEastAsia"/>
          </w:rPr>
          <w:t>www.agedcare.health.gov.au/news-and-resources/publications/fact-sheets/commonwealth-home-support-programme-programme-manual</w:t>
        </w:r>
      </w:hyperlink>
    </w:p>
    <w:p w14:paraId="4E813644" w14:textId="77777777" w:rsidR="004A0F42" w:rsidRPr="004A0F42" w:rsidRDefault="004A0F42" w:rsidP="00150B9F">
      <w:pPr>
        <w:spacing w:before="0" w:after="0" w:line="259" w:lineRule="auto"/>
        <w:rPr>
          <w:b/>
        </w:rPr>
      </w:pPr>
    </w:p>
    <w:p w14:paraId="4E813645" w14:textId="77777777" w:rsidR="003D6CAA" w:rsidRPr="003C5890" w:rsidRDefault="00801A5E" w:rsidP="00150B9F">
      <w:pPr>
        <w:pStyle w:val="ListParagraph"/>
        <w:numPr>
          <w:ilvl w:val="0"/>
          <w:numId w:val="30"/>
        </w:numPr>
        <w:spacing w:before="0" w:after="0" w:line="276" w:lineRule="auto"/>
      </w:pPr>
      <w:r w:rsidRPr="004A0F42">
        <w:rPr>
          <w:b/>
        </w:rPr>
        <w:t>Living Well a</w:t>
      </w:r>
      <w:r w:rsidR="004A0F42" w:rsidRPr="004A0F42">
        <w:rPr>
          <w:b/>
        </w:rPr>
        <w:t>t Home CHSP Good Practice Guide:</w:t>
      </w:r>
      <w:r w:rsidR="004A0F42" w:rsidRPr="004A0F42">
        <w:t xml:space="preserve"> </w:t>
      </w:r>
      <w:hyperlink r:id="rId32" w:history="1">
        <w:r w:rsidR="004A0F42" w:rsidRPr="005C7A7E">
          <w:rPr>
            <w:rStyle w:val="Hyperlink"/>
            <w:rFonts w:eastAsiaTheme="majorEastAsia"/>
          </w:rPr>
          <w:t>www.agedcare.health.gov.au/programs-services/commonwealth-home-support-programme/living-well-at-home-chsp-good-practice-guide</w:t>
        </w:r>
      </w:hyperlink>
    </w:p>
    <w:sectPr w:rsidR="003D6CAA" w:rsidRPr="003C5890" w:rsidSect="005A1F6E">
      <w:footerReference w:type="default" r:id="rId33"/>
      <w:headerReference w:type="first" r:id="rId34"/>
      <w:footerReference w:type="first" r:id="rId35"/>
      <w:pgSz w:w="11906" w:h="16838"/>
      <w:pgMar w:top="851" w:right="1440" w:bottom="1440" w:left="1440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13651" w14:textId="77777777" w:rsidR="00855178" w:rsidRDefault="00855178" w:rsidP="00BA6277">
      <w:r>
        <w:separator/>
      </w:r>
    </w:p>
  </w:endnote>
  <w:endnote w:type="continuationSeparator" w:id="0">
    <w:p w14:paraId="4E813652" w14:textId="77777777" w:rsidR="00855178" w:rsidRDefault="00855178" w:rsidP="00BA6277">
      <w:r>
        <w:continuationSeparator/>
      </w:r>
    </w:p>
  </w:endnote>
  <w:endnote w:type="continuationNotice" w:id="1">
    <w:p w14:paraId="4E813653" w14:textId="77777777" w:rsidR="00855178" w:rsidRDefault="00855178" w:rsidP="00BA6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845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3654" w14:textId="77777777" w:rsidR="00855178" w:rsidRDefault="00855178" w:rsidP="00DC4929">
        <w:pPr>
          <w:pStyle w:val="Footer"/>
          <w:jc w:val="right"/>
          <w:rPr>
            <w:sz w:val="12"/>
            <w:szCs w:val="12"/>
          </w:rPr>
        </w:pPr>
        <w:r w:rsidRPr="00DC4929">
          <w:rPr>
            <w:noProof/>
            <w:sz w:val="12"/>
            <w:szCs w:val="12"/>
          </w:rPr>
          <w:drawing>
            <wp:anchor distT="0" distB="0" distL="114300" distR="114300" simplePos="0" relativeHeight="251658240" behindDoc="1" locked="0" layoutInCell="1" allowOverlap="1" wp14:anchorId="4E81365C" wp14:editId="4E81365D">
              <wp:simplePos x="0" y="0"/>
              <wp:positionH relativeFrom="column">
                <wp:posOffset>-923925</wp:posOffset>
              </wp:positionH>
              <wp:positionV relativeFrom="paragraph">
                <wp:posOffset>-6019</wp:posOffset>
              </wp:positionV>
              <wp:extent cx="7602220" cy="1432560"/>
              <wp:effectExtent l="0" t="0" r="0" b="0"/>
              <wp:wrapNone/>
              <wp:docPr id="2" name="Picture 2" descr="Foo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02220" cy="1432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sdt>
        <w:sdtPr>
          <w:rPr>
            <w:sz w:val="12"/>
            <w:szCs w:val="12"/>
          </w:rPr>
          <w:id w:val="150300231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E813655" w14:textId="77777777" w:rsidR="00855178" w:rsidRDefault="00855178" w:rsidP="00DC4929">
            <w:pPr>
              <w:pStyle w:val="Footer"/>
              <w:jc w:val="right"/>
              <w:rPr>
                <w:sz w:val="12"/>
                <w:szCs w:val="12"/>
              </w:rPr>
            </w:pPr>
          </w:p>
          <w:p w14:paraId="4E813656" w14:textId="7A56573C" w:rsidR="00855178" w:rsidRPr="00DC4929" w:rsidRDefault="00855178" w:rsidP="00DC4929">
            <w:pPr>
              <w:pStyle w:val="Footer"/>
              <w:jc w:val="right"/>
              <w:rPr>
                <w:noProof/>
                <w:sz w:val="12"/>
                <w:szCs w:val="12"/>
              </w:rPr>
            </w:pPr>
            <w:r w:rsidRPr="00DC4929">
              <w:rPr>
                <w:sz w:val="12"/>
                <w:szCs w:val="12"/>
              </w:rPr>
              <w:fldChar w:fldCharType="begin"/>
            </w:r>
            <w:r w:rsidRPr="00DC4929">
              <w:rPr>
                <w:sz w:val="12"/>
                <w:szCs w:val="12"/>
              </w:rPr>
              <w:instrText xml:space="preserve"> PAGE   \* MERGEFORMAT </w:instrText>
            </w:r>
            <w:r w:rsidRPr="00DC4929">
              <w:rPr>
                <w:sz w:val="12"/>
                <w:szCs w:val="12"/>
              </w:rPr>
              <w:fldChar w:fldCharType="separate"/>
            </w:r>
            <w:r w:rsidR="00B1373D">
              <w:rPr>
                <w:noProof/>
                <w:sz w:val="12"/>
                <w:szCs w:val="12"/>
              </w:rPr>
              <w:t>3</w:t>
            </w:r>
            <w:r w:rsidRPr="00DC4929">
              <w:rPr>
                <w:noProof/>
                <w:sz w:val="12"/>
                <w:szCs w:val="12"/>
              </w:rPr>
              <w:fldChar w:fldCharType="end"/>
            </w:r>
          </w:p>
          <w:p w14:paraId="4E813657" w14:textId="77777777" w:rsidR="00855178" w:rsidRPr="00DC4929" w:rsidRDefault="00ED5903" w:rsidP="00DC4929">
            <w:pPr>
              <w:pStyle w:val="Footer"/>
              <w:jc w:val="righ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 xml:space="preserve">September </w:t>
            </w:r>
            <w:r w:rsidR="00855178" w:rsidRPr="00DC4929">
              <w:rPr>
                <w:noProof/>
                <w:sz w:val="12"/>
                <w:szCs w:val="12"/>
              </w:rPr>
              <w:t>201</w:t>
            </w:r>
            <w:r w:rsidR="00855178">
              <w:rPr>
                <w:noProof/>
                <w:sz w:val="12"/>
                <w:szCs w:val="12"/>
              </w:rPr>
              <w:t>9</w:t>
            </w:r>
          </w:p>
        </w:sdtContent>
      </w:sdt>
      <w:p w14:paraId="4E813658" w14:textId="77777777" w:rsidR="00855178" w:rsidRDefault="00855178" w:rsidP="00DC4929">
        <w:pPr>
          <w:pStyle w:val="Footer"/>
        </w:pPr>
      </w:p>
      <w:p w14:paraId="4E813659" w14:textId="77777777" w:rsidR="00855178" w:rsidRDefault="00B1373D" w:rsidP="00DC4929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-39150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365B" w14:textId="77777777" w:rsidR="00855178" w:rsidRPr="00DC4929" w:rsidRDefault="00855178" w:rsidP="000E4396">
        <w:pPr>
          <w:pStyle w:val="Footer"/>
          <w:jc w:val="right"/>
          <w:rPr>
            <w:sz w:val="12"/>
            <w:szCs w:val="12"/>
          </w:rPr>
        </w:pPr>
        <w:r w:rsidRPr="00DC4929">
          <w:rPr>
            <w:noProof/>
            <w:sz w:val="12"/>
            <w:szCs w:val="12"/>
          </w:rPr>
          <w:drawing>
            <wp:anchor distT="0" distB="0" distL="114300" distR="114300" simplePos="0" relativeHeight="251656192" behindDoc="1" locked="0" layoutInCell="1" allowOverlap="1" wp14:anchorId="4E813660" wp14:editId="4E813661">
              <wp:simplePos x="0" y="0"/>
              <wp:positionH relativeFrom="column">
                <wp:posOffset>-482803</wp:posOffset>
              </wp:positionH>
              <wp:positionV relativeFrom="paragraph">
                <wp:posOffset>-1206017</wp:posOffset>
              </wp:positionV>
              <wp:extent cx="6737299" cy="1431266"/>
              <wp:effectExtent l="0" t="0" r="6985" b="0"/>
              <wp:wrapNone/>
              <wp:docPr id="23" name="Picture 23" descr="Foo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48931" cy="14337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364E" w14:textId="77777777" w:rsidR="00855178" w:rsidRDefault="00855178" w:rsidP="00BA6277">
      <w:r>
        <w:separator/>
      </w:r>
    </w:p>
  </w:footnote>
  <w:footnote w:type="continuationSeparator" w:id="0">
    <w:p w14:paraId="4E81364F" w14:textId="77777777" w:rsidR="00855178" w:rsidRDefault="00855178" w:rsidP="00BA6277">
      <w:r>
        <w:continuationSeparator/>
      </w:r>
    </w:p>
  </w:footnote>
  <w:footnote w:type="continuationNotice" w:id="1">
    <w:p w14:paraId="4E813650" w14:textId="77777777" w:rsidR="00855178" w:rsidRDefault="00855178" w:rsidP="00BA6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365A" w14:textId="77777777" w:rsidR="00855178" w:rsidRDefault="00855178" w:rsidP="00BA627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81365E" wp14:editId="4E81365F">
          <wp:simplePos x="0" y="0"/>
          <wp:positionH relativeFrom="column">
            <wp:posOffset>-586740</wp:posOffset>
          </wp:positionH>
          <wp:positionV relativeFrom="paragraph">
            <wp:posOffset>-271145</wp:posOffset>
          </wp:positionV>
          <wp:extent cx="6877050" cy="1796415"/>
          <wp:effectExtent l="0" t="0" r="0" b="0"/>
          <wp:wrapSquare wrapText="bothSides"/>
          <wp:docPr id="22" name="Picture 22" descr="Australian Government crest and My Aged Care logo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header_Indust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179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4BD"/>
    <w:multiLevelType w:val="hybridMultilevel"/>
    <w:tmpl w:val="FABC99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709DD"/>
    <w:multiLevelType w:val="hybridMultilevel"/>
    <w:tmpl w:val="27ECF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D4F68"/>
    <w:multiLevelType w:val="hybridMultilevel"/>
    <w:tmpl w:val="056A01A0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8391889"/>
    <w:multiLevelType w:val="hybridMultilevel"/>
    <w:tmpl w:val="48461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3087"/>
    <w:multiLevelType w:val="hybridMultilevel"/>
    <w:tmpl w:val="46AC8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63C"/>
    <w:multiLevelType w:val="hybridMultilevel"/>
    <w:tmpl w:val="AD4E0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F1B22"/>
    <w:multiLevelType w:val="hybridMultilevel"/>
    <w:tmpl w:val="17DA5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656C6"/>
    <w:multiLevelType w:val="hybridMultilevel"/>
    <w:tmpl w:val="73A4C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23F9C"/>
    <w:multiLevelType w:val="hybridMultilevel"/>
    <w:tmpl w:val="12583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477"/>
    <w:multiLevelType w:val="hybridMultilevel"/>
    <w:tmpl w:val="2F961E5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3F375CF"/>
    <w:multiLevelType w:val="hybridMultilevel"/>
    <w:tmpl w:val="C65EBE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F6BE2"/>
    <w:multiLevelType w:val="hybridMultilevel"/>
    <w:tmpl w:val="2A0E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198B"/>
    <w:multiLevelType w:val="hybridMultilevel"/>
    <w:tmpl w:val="C3AE9B66"/>
    <w:lvl w:ilvl="0" w:tplc="14ECDEB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341F6"/>
    <w:multiLevelType w:val="hybridMultilevel"/>
    <w:tmpl w:val="80D27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C74E0"/>
    <w:multiLevelType w:val="hybridMultilevel"/>
    <w:tmpl w:val="EB282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063D9"/>
    <w:multiLevelType w:val="hybridMultilevel"/>
    <w:tmpl w:val="8398CE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02862"/>
    <w:multiLevelType w:val="hybridMultilevel"/>
    <w:tmpl w:val="F8DCD812"/>
    <w:lvl w:ilvl="0" w:tplc="D81E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A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CF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0B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C2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C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A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4B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4F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271B70"/>
    <w:multiLevelType w:val="hybridMultilevel"/>
    <w:tmpl w:val="969C721A"/>
    <w:lvl w:ilvl="0" w:tplc="B3DEC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246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8E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63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4D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E5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83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0A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595058"/>
    <w:multiLevelType w:val="hybridMultilevel"/>
    <w:tmpl w:val="08620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81BD8"/>
    <w:multiLevelType w:val="hybridMultilevel"/>
    <w:tmpl w:val="E00A7E2A"/>
    <w:lvl w:ilvl="0" w:tplc="9AE85DE2">
      <w:start w:val="1"/>
      <w:numFmt w:val="bullet"/>
      <w:pStyle w:val="2ndlevelbullet"/>
      <w:lvlText w:val="o"/>
      <w:lvlJc w:val="left"/>
      <w:pPr>
        <w:tabs>
          <w:tab w:val="num" w:pos="357"/>
        </w:tabs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3602F3"/>
    <w:multiLevelType w:val="hybridMultilevel"/>
    <w:tmpl w:val="099CE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22F0C"/>
    <w:multiLevelType w:val="hybridMultilevel"/>
    <w:tmpl w:val="3B268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A6D00"/>
    <w:multiLevelType w:val="hybridMultilevel"/>
    <w:tmpl w:val="D0B06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32371"/>
    <w:multiLevelType w:val="hybridMultilevel"/>
    <w:tmpl w:val="A4B89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043D9"/>
    <w:multiLevelType w:val="hybridMultilevel"/>
    <w:tmpl w:val="34BC7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2493"/>
    <w:multiLevelType w:val="hybridMultilevel"/>
    <w:tmpl w:val="A8240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92DA0"/>
    <w:multiLevelType w:val="hybridMultilevel"/>
    <w:tmpl w:val="25B2A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55043"/>
    <w:multiLevelType w:val="hybridMultilevel"/>
    <w:tmpl w:val="A0126B86"/>
    <w:lvl w:ilvl="0" w:tplc="9336F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4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8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AD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CB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06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0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607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88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E53AFA"/>
    <w:multiLevelType w:val="hybridMultilevel"/>
    <w:tmpl w:val="8DE4069E"/>
    <w:lvl w:ilvl="0" w:tplc="5AD4F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D81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63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40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C7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38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48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0A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C9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7"/>
  </w:num>
  <w:num w:numId="6">
    <w:abstractNumId w:val="3"/>
  </w:num>
  <w:num w:numId="7">
    <w:abstractNumId w:val="11"/>
  </w:num>
  <w:num w:numId="8">
    <w:abstractNumId w:val="24"/>
  </w:num>
  <w:num w:numId="9">
    <w:abstractNumId w:val="23"/>
  </w:num>
  <w:num w:numId="10">
    <w:abstractNumId w:val="22"/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 w:numId="15">
    <w:abstractNumId w:val="26"/>
  </w:num>
  <w:num w:numId="16">
    <w:abstractNumId w:val="15"/>
  </w:num>
  <w:num w:numId="17">
    <w:abstractNumId w:val="2"/>
  </w:num>
  <w:num w:numId="18">
    <w:abstractNumId w:val="13"/>
  </w:num>
  <w:num w:numId="19">
    <w:abstractNumId w:val="25"/>
  </w:num>
  <w:num w:numId="20">
    <w:abstractNumId w:val="5"/>
  </w:num>
  <w:num w:numId="21">
    <w:abstractNumId w:val="21"/>
  </w:num>
  <w:num w:numId="22">
    <w:abstractNumId w:val="10"/>
  </w:num>
  <w:num w:numId="23">
    <w:abstractNumId w:val="27"/>
  </w:num>
  <w:num w:numId="24">
    <w:abstractNumId w:val="16"/>
  </w:num>
  <w:num w:numId="25">
    <w:abstractNumId w:val="1"/>
  </w:num>
  <w:num w:numId="26">
    <w:abstractNumId w:val="0"/>
  </w:num>
  <w:num w:numId="27">
    <w:abstractNumId w:val="3"/>
  </w:num>
  <w:num w:numId="28">
    <w:abstractNumId w:val="17"/>
  </w:num>
  <w:num w:numId="29">
    <w:abstractNumId w:val="28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85AFF"/>
    <w:rsid w:val="00001E5E"/>
    <w:rsid w:val="00005B7E"/>
    <w:rsid w:val="00006234"/>
    <w:rsid w:val="00010304"/>
    <w:rsid w:val="000117B3"/>
    <w:rsid w:val="00020828"/>
    <w:rsid w:val="00024EAB"/>
    <w:rsid w:val="000301F9"/>
    <w:rsid w:val="00035D17"/>
    <w:rsid w:val="00036044"/>
    <w:rsid w:val="000424A2"/>
    <w:rsid w:val="0004401C"/>
    <w:rsid w:val="000452B2"/>
    <w:rsid w:val="00045425"/>
    <w:rsid w:val="000455E0"/>
    <w:rsid w:val="00066CB0"/>
    <w:rsid w:val="00076C54"/>
    <w:rsid w:val="0008052D"/>
    <w:rsid w:val="00081FEA"/>
    <w:rsid w:val="000824D4"/>
    <w:rsid w:val="000845F0"/>
    <w:rsid w:val="00093108"/>
    <w:rsid w:val="000956E2"/>
    <w:rsid w:val="000A29A5"/>
    <w:rsid w:val="000A2E62"/>
    <w:rsid w:val="000A3831"/>
    <w:rsid w:val="000A3CAF"/>
    <w:rsid w:val="000A4CC6"/>
    <w:rsid w:val="000A7097"/>
    <w:rsid w:val="000B1A56"/>
    <w:rsid w:val="000B349D"/>
    <w:rsid w:val="000B5739"/>
    <w:rsid w:val="000B6EE0"/>
    <w:rsid w:val="000B7806"/>
    <w:rsid w:val="000C16C2"/>
    <w:rsid w:val="000C4E5E"/>
    <w:rsid w:val="000C6CA4"/>
    <w:rsid w:val="000D26B3"/>
    <w:rsid w:val="000D48A0"/>
    <w:rsid w:val="000D55B5"/>
    <w:rsid w:val="000D5C6E"/>
    <w:rsid w:val="000D72AA"/>
    <w:rsid w:val="000D79BF"/>
    <w:rsid w:val="000E4396"/>
    <w:rsid w:val="000F1457"/>
    <w:rsid w:val="000F42D5"/>
    <w:rsid w:val="00103399"/>
    <w:rsid w:val="00110B34"/>
    <w:rsid w:val="00110B81"/>
    <w:rsid w:val="00111C0C"/>
    <w:rsid w:val="001135F2"/>
    <w:rsid w:val="00114845"/>
    <w:rsid w:val="00117FD3"/>
    <w:rsid w:val="0012017B"/>
    <w:rsid w:val="00120382"/>
    <w:rsid w:val="00123709"/>
    <w:rsid w:val="001252E5"/>
    <w:rsid w:val="00127480"/>
    <w:rsid w:val="00131A0B"/>
    <w:rsid w:val="00133166"/>
    <w:rsid w:val="0013346C"/>
    <w:rsid w:val="00136FC5"/>
    <w:rsid w:val="001404ED"/>
    <w:rsid w:val="001476C6"/>
    <w:rsid w:val="00147784"/>
    <w:rsid w:val="00150B9F"/>
    <w:rsid w:val="001515A9"/>
    <w:rsid w:val="00151C2C"/>
    <w:rsid w:val="0015323B"/>
    <w:rsid w:val="00153B7A"/>
    <w:rsid w:val="00155B37"/>
    <w:rsid w:val="001715A7"/>
    <w:rsid w:val="00172141"/>
    <w:rsid w:val="00176536"/>
    <w:rsid w:val="00176C52"/>
    <w:rsid w:val="001776D6"/>
    <w:rsid w:val="001871C1"/>
    <w:rsid w:val="00191985"/>
    <w:rsid w:val="0019294B"/>
    <w:rsid w:val="00194E55"/>
    <w:rsid w:val="001A025C"/>
    <w:rsid w:val="001A3E64"/>
    <w:rsid w:val="001A3F05"/>
    <w:rsid w:val="001A61BA"/>
    <w:rsid w:val="001B11C0"/>
    <w:rsid w:val="001B199D"/>
    <w:rsid w:val="001B33C6"/>
    <w:rsid w:val="001B79C0"/>
    <w:rsid w:val="001C4791"/>
    <w:rsid w:val="001C4CA0"/>
    <w:rsid w:val="001C7311"/>
    <w:rsid w:val="001D7473"/>
    <w:rsid w:val="001D7BDD"/>
    <w:rsid w:val="001E0F9F"/>
    <w:rsid w:val="001E107A"/>
    <w:rsid w:val="001E2AAC"/>
    <w:rsid w:val="001E420F"/>
    <w:rsid w:val="001E69D7"/>
    <w:rsid w:val="001F334C"/>
    <w:rsid w:val="00202D6D"/>
    <w:rsid w:val="0020396E"/>
    <w:rsid w:val="00206D36"/>
    <w:rsid w:val="00214CC1"/>
    <w:rsid w:val="00220DCF"/>
    <w:rsid w:val="00221878"/>
    <w:rsid w:val="002260FE"/>
    <w:rsid w:val="002303B8"/>
    <w:rsid w:val="002318C6"/>
    <w:rsid w:val="00240E2B"/>
    <w:rsid w:val="00246257"/>
    <w:rsid w:val="00250D64"/>
    <w:rsid w:val="00251F67"/>
    <w:rsid w:val="00252D1C"/>
    <w:rsid w:val="00253C36"/>
    <w:rsid w:val="00256844"/>
    <w:rsid w:val="00264A92"/>
    <w:rsid w:val="00270017"/>
    <w:rsid w:val="00271012"/>
    <w:rsid w:val="00277FE1"/>
    <w:rsid w:val="00280F19"/>
    <w:rsid w:val="002813CE"/>
    <w:rsid w:val="002825D1"/>
    <w:rsid w:val="00282C54"/>
    <w:rsid w:val="00287423"/>
    <w:rsid w:val="00291001"/>
    <w:rsid w:val="00293625"/>
    <w:rsid w:val="00294B17"/>
    <w:rsid w:val="00294F7C"/>
    <w:rsid w:val="002957E4"/>
    <w:rsid w:val="002968B9"/>
    <w:rsid w:val="00297606"/>
    <w:rsid w:val="002A5928"/>
    <w:rsid w:val="002A62D1"/>
    <w:rsid w:val="002A72FA"/>
    <w:rsid w:val="002A7DED"/>
    <w:rsid w:val="002B0BCA"/>
    <w:rsid w:val="002B1BE0"/>
    <w:rsid w:val="002B2A0A"/>
    <w:rsid w:val="002B4AFD"/>
    <w:rsid w:val="002B6CA0"/>
    <w:rsid w:val="002C7292"/>
    <w:rsid w:val="002C75C2"/>
    <w:rsid w:val="002D0733"/>
    <w:rsid w:val="002D23DA"/>
    <w:rsid w:val="002D3314"/>
    <w:rsid w:val="002D3953"/>
    <w:rsid w:val="002D3D2B"/>
    <w:rsid w:val="002D75B4"/>
    <w:rsid w:val="002E063D"/>
    <w:rsid w:val="002E304C"/>
    <w:rsid w:val="002E38B4"/>
    <w:rsid w:val="002E3E3E"/>
    <w:rsid w:val="002E496E"/>
    <w:rsid w:val="002E5BC6"/>
    <w:rsid w:val="002E744D"/>
    <w:rsid w:val="002F3E4C"/>
    <w:rsid w:val="002F59E7"/>
    <w:rsid w:val="002F6314"/>
    <w:rsid w:val="002F68FE"/>
    <w:rsid w:val="002F7A25"/>
    <w:rsid w:val="00300A48"/>
    <w:rsid w:val="0030354D"/>
    <w:rsid w:val="00304DE8"/>
    <w:rsid w:val="00306104"/>
    <w:rsid w:val="00306873"/>
    <w:rsid w:val="00320102"/>
    <w:rsid w:val="00320834"/>
    <w:rsid w:val="003218F2"/>
    <w:rsid w:val="003227AC"/>
    <w:rsid w:val="00322E8B"/>
    <w:rsid w:val="00323FFA"/>
    <w:rsid w:val="00326472"/>
    <w:rsid w:val="003354C9"/>
    <w:rsid w:val="00337611"/>
    <w:rsid w:val="00341421"/>
    <w:rsid w:val="00342CB8"/>
    <w:rsid w:val="00345A7A"/>
    <w:rsid w:val="0034664B"/>
    <w:rsid w:val="00352C51"/>
    <w:rsid w:val="00354434"/>
    <w:rsid w:val="00354AFA"/>
    <w:rsid w:val="00355821"/>
    <w:rsid w:val="00356CB2"/>
    <w:rsid w:val="00357A37"/>
    <w:rsid w:val="00360676"/>
    <w:rsid w:val="00361084"/>
    <w:rsid w:val="00361747"/>
    <w:rsid w:val="003704E5"/>
    <w:rsid w:val="00373319"/>
    <w:rsid w:val="00377776"/>
    <w:rsid w:val="003865DA"/>
    <w:rsid w:val="0038673F"/>
    <w:rsid w:val="00394E4E"/>
    <w:rsid w:val="003A40CC"/>
    <w:rsid w:val="003A4A07"/>
    <w:rsid w:val="003A6B83"/>
    <w:rsid w:val="003A709F"/>
    <w:rsid w:val="003B0666"/>
    <w:rsid w:val="003B424D"/>
    <w:rsid w:val="003B4305"/>
    <w:rsid w:val="003B4D65"/>
    <w:rsid w:val="003C123D"/>
    <w:rsid w:val="003C29D3"/>
    <w:rsid w:val="003C5890"/>
    <w:rsid w:val="003D2283"/>
    <w:rsid w:val="003D47E5"/>
    <w:rsid w:val="003D5651"/>
    <w:rsid w:val="003D6CAA"/>
    <w:rsid w:val="003D7473"/>
    <w:rsid w:val="003E0DD1"/>
    <w:rsid w:val="003E19BA"/>
    <w:rsid w:val="003E3341"/>
    <w:rsid w:val="003E39F7"/>
    <w:rsid w:val="003E73B7"/>
    <w:rsid w:val="003E76EF"/>
    <w:rsid w:val="003F0D52"/>
    <w:rsid w:val="003F0DE1"/>
    <w:rsid w:val="003F17B0"/>
    <w:rsid w:val="003F1EE5"/>
    <w:rsid w:val="003F48FB"/>
    <w:rsid w:val="003F4CB8"/>
    <w:rsid w:val="003F54B5"/>
    <w:rsid w:val="003F5FD9"/>
    <w:rsid w:val="00400193"/>
    <w:rsid w:val="00400220"/>
    <w:rsid w:val="004027F3"/>
    <w:rsid w:val="00404779"/>
    <w:rsid w:val="0040550C"/>
    <w:rsid w:val="0041233B"/>
    <w:rsid w:val="004163AF"/>
    <w:rsid w:val="00421F59"/>
    <w:rsid w:val="00422179"/>
    <w:rsid w:val="0042573C"/>
    <w:rsid w:val="00426A3C"/>
    <w:rsid w:val="00426C89"/>
    <w:rsid w:val="004300B0"/>
    <w:rsid w:val="00436148"/>
    <w:rsid w:val="00442AA6"/>
    <w:rsid w:val="00443F84"/>
    <w:rsid w:val="004447BA"/>
    <w:rsid w:val="004449AD"/>
    <w:rsid w:val="00446339"/>
    <w:rsid w:val="00447453"/>
    <w:rsid w:val="00453181"/>
    <w:rsid w:val="0047088A"/>
    <w:rsid w:val="00475BC0"/>
    <w:rsid w:val="004774C8"/>
    <w:rsid w:val="00481443"/>
    <w:rsid w:val="00484D4E"/>
    <w:rsid w:val="00485423"/>
    <w:rsid w:val="0048634F"/>
    <w:rsid w:val="00492A82"/>
    <w:rsid w:val="00492BB3"/>
    <w:rsid w:val="004935D2"/>
    <w:rsid w:val="004969DF"/>
    <w:rsid w:val="00497DA1"/>
    <w:rsid w:val="004A0F42"/>
    <w:rsid w:val="004A1D44"/>
    <w:rsid w:val="004A315F"/>
    <w:rsid w:val="004B1CCA"/>
    <w:rsid w:val="004B4467"/>
    <w:rsid w:val="004C0E70"/>
    <w:rsid w:val="004C10AA"/>
    <w:rsid w:val="004C21DE"/>
    <w:rsid w:val="004C2255"/>
    <w:rsid w:val="004D34A1"/>
    <w:rsid w:val="004D4CCE"/>
    <w:rsid w:val="004D626A"/>
    <w:rsid w:val="004E5701"/>
    <w:rsid w:val="004E7C76"/>
    <w:rsid w:val="004F05F5"/>
    <w:rsid w:val="004F0E0E"/>
    <w:rsid w:val="004F547C"/>
    <w:rsid w:val="004F5B12"/>
    <w:rsid w:val="004F65CE"/>
    <w:rsid w:val="0050177A"/>
    <w:rsid w:val="0050359C"/>
    <w:rsid w:val="005109E2"/>
    <w:rsid w:val="00512D7E"/>
    <w:rsid w:val="00515BBE"/>
    <w:rsid w:val="00522249"/>
    <w:rsid w:val="00524EE8"/>
    <w:rsid w:val="00526ACA"/>
    <w:rsid w:val="00526ECD"/>
    <w:rsid w:val="00527635"/>
    <w:rsid w:val="00530900"/>
    <w:rsid w:val="0053159B"/>
    <w:rsid w:val="0053175D"/>
    <w:rsid w:val="00531B0C"/>
    <w:rsid w:val="00532341"/>
    <w:rsid w:val="00532B6D"/>
    <w:rsid w:val="005341EC"/>
    <w:rsid w:val="005344EF"/>
    <w:rsid w:val="005422CA"/>
    <w:rsid w:val="005453E2"/>
    <w:rsid w:val="00546A6E"/>
    <w:rsid w:val="00547D79"/>
    <w:rsid w:val="00553E75"/>
    <w:rsid w:val="00555EE9"/>
    <w:rsid w:val="005643EC"/>
    <w:rsid w:val="005653F2"/>
    <w:rsid w:val="00567B83"/>
    <w:rsid w:val="00570C09"/>
    <w:rsid w:val="00572753"/>
    <w:rsid w:val="00575C08"/>
    <w:rsid w:val="00586162"/>
    <w:rsid w:val="00593C0A"/>
    <w:rsid w:val="00594855"/>
    <w:rsid w:val="005A06EE"/>
    <w:rsid w:val="005A1F6E"/>
    <w:rsid w:val="005A3494"/>
    <w:rsid w:val="005A38F9"/>
    <w:rsid w:val="005A4F0C"/>
    <w:rsid w:val="005A63DB"/>
    <w:rsid w:val="005B27A1"/>
    <w:rsid w:val="005B61E8"/>
    <w:rsid w:val="005C0B46"/>
    <w:rsid w:val="005C2033"/>
    <w:rsid w:val="005D1CF7"/>
    <w:rsid w:val="005D252D"/>
    <w:rsid w:val="005D478F"/>
    <w:rsid w:val="005D4FDA"/>
    <w:rsid w:val="005D6B49"/>
    <w:rsid w:val="005D779C"/>
    <w:rsid w:val="005E1BAD"/>
    <w:rsid w:val="005E28D1"/>
    <w:rsid w:val="005E49BF"/>
    <w:rsid w:val="005E5869"/>
    <w:rsid w:val="005E6316"/>
    <w:rsid w:val="005F1C3D"/>
    <w:rsid w:val="005F2B84"/>
    <w:rsid w:val="005F362D"/>
    <w:rsid w:val="005F4A58"/>
    <w:rsid w:val="005F786F"/>
    <w:rsid w:val="005F7AB4"/>
    <w:rsid w:val="006027D0"/>
    <w:rsid w:val="00602EC4"/>
    <w:rsid w:val="00604D6D"/>
    <w:rsid w:val="0061155D"/>
    <w:rsid w:val="0061412E"/>
    <w:rsid w:val="00614B57"/>
    <w:rsid w:val="00615448"/>
    <w:rsid w:val="00616089"/>
    <w:rsid w:val="00617385"/>
    <w:rsid w:val="00624EE4"/>
    <w:rsid w:val="00627579"/>
    <w:rsid w:val="00627DF9"/>
    <w:rsid w:val="00627FCE"/>
    <w:rsid w:val="006331C0"/>
    <w:rsid w:val="00633E25"/>
    <w:rsid w:val="00634E22"/>
    <w:rsid w:val="006428BE"/>
    <w:rsid w:val="006448EF"/>
    <w:rsid w:val="00645460"/>
    <w:rsid w:val="00647F71"/>
    <w:rsid w:val="00651E92"/>
    <w:rsid w:val="00652922"/>
    <w:rsid w:val="00662C47"/>
    <w:rsid w:val="006641AC"/>
    <w:rsid w:val="0067075C"/>
    <w:rsid w:val="00673BD3"/>
    <w:rsid w:val="00677DB9"/>
    <w:rsid w:val="0068281B"/>
    <w:rsid w:val="00684579"/>
    <w:rsid w:val="00691C04"/>
    <w:rsid w:val="00692E0E"/>
    <w:rsid w:val="006938DC"/>
    <w:rsid w:val="0069497B"/>
    <w:rsid w:val="006A0661"/>
    <w:rsid w:val="006A4455"/>
    <w:rsid w:val="006A5214"/>
    <w:rsid w:val="006B2648"/>
    <w:rsid w:val="006B28BE"/>
    <w:rsid w:val="006B56E0"/>
    <w:rsid w:val="006B59DB"/>
    <w:rsid w:val="006C235E"/>
    <w:rsid w:val="006C49A0"/>
    <w:rsid w:val="006C6A1F"/>
    <w:rsid w:val="006D093D"/>
    <w:rsid w:val="006E1A5C"/>
    <w:rsid w:val="006E29C3"/>
    <w:rsid w:val="006E3487"/>
    <w:rsid w:val="006E398D"/>
    <w:rsid w:val="006E60A8"/>
    <w:rsid w:val="006E792A"/>
    <w:rsid w:val="006F44C6"/>
    <w:rsid w:val="006F613E"/>
    <w:rsid w:val="00700A7A"/>
    <w:rsid w:val="0070145E"/>
    <w:rsid w:val="00702254"/>
    <w:rsid w:val="00702458"/>
    <w:rsid w:val="00702B00"/>
    <w:rsid w:val="00707BFF"/>
    <w:rsid w:val="00711285"/>
    <w:rsid w:val="00712023"/>
    <w:rsid w:val="007134F1"/>
    <w:rsid w:val="0071656D"/>
    <w:rsid w:val="00717399"/>
    <w:rsid w:val="00720D4F"/>
    <w:rsid w:val="00722BF5"/>
    <w:rsid w:val="00722C03"/>
    <w:rsid w:val="007256AE"/>
    <w:rsid w:val="00730C80"/>
    <w:rsid w:val="0073251E"/>
    <w:rsid w:val="007357A5"/>
    <w:rsid w:val="007459E2"/>
    <w:rsid w:val="00747F70"/>
    <w:rsid w:val="00750452"/>
    <w:rsid w:val="007552FF"/>
    <w:rsid w:val="00767CDA"/>
    <w:rsid w:val="0077257C"/>
    <w:rsid w:val="0077293D"/>
    <w:rsid w:val="00773528"/>
    <w:rsid w:val="00775765"/>
    <w:rsid w:val="00776104"/>
    <w:rsid w:val="00780848"/>
    <w:rsid w:val="00780C51"/>
    <w:rsid w:val="00784B10"/>
    <w:rsid w:val="00784D5C"/>
    <w:rsid w:val="0078594D"/>
    <w:rsid w:val="0078638E"/>
    <w:rsid w:val="00786A3B"/>
    <w:rsid w:val="007928A2"/>
    <w:rsid w:val="00794EAE"/>
    <w:rsid w:val="00796038"/>
    <w:rsid w:val="0079727B"/>
    <w:rsid w:val="007A1555"/>
    <w:rsid w:val="007A2CFB"/>
    <w:rsid w:val="007A78D3"/>
    <w:rsid w:val="007B22C3"/>
    <w:rsid w:val="007B3998"/>
    <w:rsid w:val="007B4A7C"/>
    <w:rsid w:val="007B71ED"/>
    <w:rsid w:val="007C0A0E"/>
    <w:rsid w:val="007C1CAA"/>
    <w:rsid w:val="007C60CE"/>
    <w:rsid w:val="007C7094"/>
    <w:rsid w:val="007D2A52"/>
    <w:rsid w:val="007D580F"/>
    <w:rsid w:val="007E1498"/>
    <w:rsid w:val="007E2100"/>
    <w:rsid w:val="007E24E2"/>
    <w:rsid w:val="007E4031"/>
    <w:rsid w:val="007E405A"/>
    <w:rsid w:val="007E6511"/>
    <w:rsid w:val="007F2936"/>
    <w:rsid w:val="007F46D4"/>
    <w:rsid w:val="00801A5E"/>
    <w:rsid w:val="00805698"/>
    <w:rsid w:val="00806E8C"/>
    <w:rsid w:val="00813351"/>
    <w:rsid w:val="00821575"/>
    <w:rsid w:val="008224FB"/>
    <w:rsid w:val="00824F2B"/>
    <w:rsid w:val="008306F3"/>
    <w:rsid w:val="00832F53"/>
    <w:rsid w:val="00834282"/>
    <w:rsid w:val="0083550B"/>
    <w:rsid w:val="008403A0"/>
    <w:rsid w:val="00841015"/>
    <w:rsid w:val="0084350B"/>
    <w:rsid w:val="008451A3"/>
    <w:rsid w:val="00855178"/>
    <w:rsid w:val="00855A88"/>
    <w:rsid w:val="00855B1A"/>
    <w:rsid w:val="008572C9"/>
    <w:rsid w:val="0086113E"/>
    <w:rsid w:val="008625D6"/>
    <w:rsid w:val="00865D69"/>
    <w:rsid w:val="00871366"/>
    <w:rsid w:val="0087323C"/>
    <w:rsid w:val="00876C0F"/>
    <w:rsid w:val="0087761E"/>
    <w:rsid w:val="00884A0B"/>
    <w:rsid w:val="008864A5"/>
    <w:rsid w:val="0089101D"/>
    <w:rsid w:val="008915B3"/>
    <w:rsid w:val="008942AE"/>
    <w:rsid w:val="008A34D9"/>
    <w:rsid w:val="008A434E"/>
    <w:rsid w:val="008A46C1"/>
    <w:rsid w:val="008A5D34"/>
    <w:rsid w:val="008A61DE"/>
    <w:rsid w:val="008A6F5A"/>
    <w:rsid w:val="008B5F49"/>
    <w:rsid w:val="008B752D"/>
    <w:rsid w:val="008C11D8"/>
    <w:rsid w:val="008C1D90"/>
    <w:rsid w:val="008D5744"/>
    <w:rsid w:val="008D5A83"/>
    <w:rsid w:val="008D6E53"/>
    <w:rsid w:val="008D718C"/>
    <w:rsid w:val="008E0856"/>
    <w:rsid w:val="008E13A5"/>
    <w:rsid w:val="008E1C4A"/>
    <w:rsid w:val="008E2ADB"/>
    <w:rsid w:val="008E2BDA"/>
    <w:rsid w:val="008E33DB"/>
    <w:rsid w:val="008E5568"/>
    <w:rsid w:val="008F21C5"/>
    <w:rsid w:val="008F672F"/>
    <w:rsid w:val="009019F7"/>
    <w:rsid w:val="009138A6"/>
    <w:rsid w:val="00921D65"/>
    <w:rsid w:val="00930D57"/>
    <w:rsid w:val="00932E77"/>
    <w:rsid w:val="00943CE6"/>
    <w:rsid w:val="00947086"/>
    <w:rsid w:val="0095202E"/>
    <w:rsid w:val="00953711"/>
    <w:rsid w:val="0095612F"/>
    <w:rsid w:val="009568AD"/>
    <w:rsid w:val="00967C36"/>
    <w:rsid w:val="00967E74"/>
    <w:rsid w:val="0097234B"/>
    <w:rsid w:val="00973578"/>
    <w:rsid w:val="00973AD6"/>
    <w:rsid w:val="009755FE"/>
    <w:rsid w:val="00975C4D"/>
    <w:rsid w:val="00975C87"/>
    <w:rsid w:val="00975DF5"/>
    <w:rsid w:val="009828FC"/>
    <w:rsid w:val="00985B70"/>
    <w:rsid w:val="009904C8"/>
    <w:rsid w:val="00991F52"/>
    <w:rsid w:val="00994C39"/>
    <w:rsid w:val="00995200"/>
    <w:rsid w:val="00995584"/>
    <w:rsid w:val="00997C76"/>
    <w:rsid w:val="009A3482"/>
    <w:rsid w:val="009A568C"/>
    <w:rsid w:val="009A5FDF"/>
    <w:rsid w:val="009A7E0D"/>
    <w:rsid w:val="009B1567"/>
    <w:rsid w:val="009B3362"/>
    <w:rsid w:val="009B344B"/>
    <w:rsid w:val="009C0263"/>
    <w:rsid w:val="009D276F"/>
    <w:rsid w:val="009D3AD9"/>
    <w:rsid w:val="009D6D6B"/>
    <w:rsid w:val="009E7003"/>
    <w:rsid w:val="009F0789"/>
    <w:rsid w:val="009F0C2F"/>
    <w:rsid w:val="009F14DA"/>
    <w:rsid w:val="009F1961"/>
    <w:rsid w:val="009F19D5"/>
    <w:rsid w:val="009F50D3"/>
    <w:rsid w:val="009F6F95"/>
    <w:rsid w:val="00A046DA"/>
    <w:rsid w:val="00A152C6"/>
    <w:rsid w:val="00A234A3"/>
    <w:rsid w:val="00A3140B"/>
    <w:rsid w:val="00A353D9"/>
    <w:rsid w:val="00A40B94"/>
    <w:rsid w:val="00A429B7"/>
    <w:rsid w:val="00A47860"/>
    <w:rsid w:val="00A55080"/>
    <w:rsid w:val="00A6610F"/>
    <w:rsid w:val="00A70091"/>
    <w:rsid w:val="00A7330F"/>
    <w:rsid w:val="00A763BD"/>
    <w:rsid w:val="00A80F00"/>
    <w:rsid w:val="00A857C3"/>
    <w:rsid w:val="00A872D2"/>
    <w:rsid w:val="00A9023B"/>
    <w:rsid w:val="00A91465"/>
    <w:rsid w:val="00A9148B"/>
    <w:rsid w:val="00A9166B"/>
    <w:rsid w:val="00A92047"/>
    <w:rsid w:val="00A9209C"/>
    <w:rsid w:val="00AA393C"/>
    <w:rsid w:val="00AA4F41"/>
    <w:rsid w:val="00AA51CF"/>
    <w:rsid w:val="00AA5CE2"/>
    <w:rsid w:val="00AA70DD"/>
    <w:rsid w:val="00AA7FB9"/>
    <w:rsid w:val="00AC1497"/>
    <w:rsid w:val="00AC4B4A"/>
    <w:rsid w:val="00AC5EF7"/>
    <w:rsid w:val="00AC730C"/>
    <w:rsid w:val="00AD2225"/>
    <w:rsid w:val="00AD4ADC"/>
    <w:rsid w:val="00AE11AC"/>
    <w:rsid w:val="00AE1416"/>
    <w:rsid w:val="00AF34C8"/>
    <w:rsid w:val="00AF74F0"/>
    <w:rsid w:val="00B01FBC"/>
    <w:rsid w:val="00B025C1"/>
    <w:rsid w:val="00B0438B"/>
    <w:rsid w:val="00B054B2"/>
    <w:rsid w:val="00B07715"/>
    <w:rsid w:val="00B13044"/>
    <w:rsid w:val="00B1373D"/>
    <w:rsid w:val="00B16388"/>
    <w:rsid w:val="00B207B5"/>
    <w:rsid w:val="00B21C9C"/>
    <w:rsid w:val="00B22AA6"/>
    <w:rsid w:val="00B309FD"/>
    <w:rsid w:val="00B3130E"/>
    <w:rsid w:val="00B31B9A"/>
    <w:rsid w:val="00B34F2E"/>
    <w:rsid w:val="00B458A9"/>
    <w:rsid w:val="00B46AF2"/>
    <w:rsid w:val="00B51D53"/>
    <w:rsid w:val="00B53AC1"/>
    <w:rsid w:val="00B6333D"/>
    <w:rsid w:val="00B7663A"/>
    <w:rsid w:val="00B8307C"/>
    <w:rsid w:val="00B87F34"/>
    <w:rsid w:val="00BA2A2B"/>
    <w:rsid w:val="00BA307E"/>
    <w:rsid w:val="00BA6277"/>
    <w:rsid w:val="00BB254B"/>
    <w:rsid w:val="00BB47C7"/>
    <w:rsid w:val="00BB6430"/>
    <w:rsid w:val="00BB665F"/>
    <w:rsid w:val="00BB6E30"/>
    <w:rsid w:val="00BC49AA"/>
    <w:rsid w:val="00BD3B6A"/>
    <w:rsid w:val="00BD6789"/>
    <w:rsid w:val="00BD7CA6"/>
    <w:rsid w:val="00BE3257"/>
    <w:rsid w:val="00BE4A6B"/>
    <w:rsid w:val="00BF1D96"/>
    <w:rsid w:val="00BF2C43"/>
    <w:rsid w:val="00BF34F6"/>
    <w:rsid w:val="00BF49F2"/>
    <w:rsid w:val="00BF4DC6"/>
    <w:rsid w:val="00BF55F5"/>
    <w:rsid w:val="00C01545"/>
    <w:rsid w:val="00C04E05"/>
    <w:rsid w:val="00C05062"/>
    <w:rsid w:val="00C10952"/>
    <w:rsid w:val="00C1202D"/>
    <w:rsid w:val="00C1273D"/>
    <w:rsid w:val="00C244A0"/>
    <w:rsid w:val="00C27089"/>
    <w:rsid w:val="00C4022A"/>
    <w:rsid w:val="00C44F5F"/>
    <w:rsid w:val="00C45FAA"/>
    <w:rsid w:val="00C50911"/>
    <w:rsid w:val="00C5227A"/>
    <w:rsid w:val="00C565B7"/>
    <w:rsid w:val="00C56A26"/>
    <w:rsid w:val="00C57E9D"/>
    <w:rsid w:val="00C61361"/>
    <w:rsid w:val="00C61370"/>
    <w:rsid w:val="00C71961"/>
    <w:rsid w:val="00C723BB"/>
    <w:rsid w:val="00C72464"/>
    <w:rsid w:val="00C80A4C"/>
    <w:rsid w:val="00C84838"/>
    <w:rsid w:val="00C84D9F"/>
    <w:rsid w:val="00CA1A77"/>
    <w:rsid w:val="00CA31EF"/>
    <w:rsid w:val="00CA4C1F"/>
    <w:rsid w:val="00CA559B"/>
    <w:rsid w:val="00CB1A04"/>
    <w:rsid w:val="00CB6E3E"/>
    <w:rsid w:val="00CC0ACC"/>
    <w:rsid w:val="00CC2422"/>
    <w:rsid w:val="00CC2BF5"/>
    <w:rsid w:val="00CC5189"/>
    <w:rsid w:val="00CC72BB"/>
    <w:rsid w:val="00CD07B6"/>
    <w:rsid w:val="00CD194C"/>
    <w:rsid w:val="00CD37C0"/>
    <w:rsid w:val="00CE014D"/>
    <w:rsid w:val="00CE172B"/>
    <w:rsid w:val="00CE4636"/>
    <w:rsid w:val="00CF212B"/>
    <w:rsid w:val="00CF4AAD"/>
    <w:rsid w:val="00D00547"/>
    <w:rsid w:val="00D02BC0"/>
    <w:rsid w:val="00D02E1B"/>
    <w:rsid w:val="00D11A5C"/>
    <w:rsid w:val="00D137AA"/>
    <w:rsid w:val="00D13C42"/>
    <w:rsid w:val="00D148C8"/>
    <w:rsid w:val="00D15A81"/>
    <w:rsid w:val="00D169E4"/>
    <w:rsid w:val="00D21FB7"/>
    <w:rsid w:val="00D2424A"/>
    <w:rsid w:val="00D252FD"/>
    <w:rsid w:val="00D34D8D"/>
    <w:rsid w:val="00D40BE7"/>
    <w:rsid w:val="00D43247"/>
    <w:rsid w:val="00D50E72"/>
    <w:rsid w:val="00D51709"/>
    <w:rsid w:val="00D51F7C"/>
    <w:rsid w:val="00D5309D"/>
    <w:rsid w:val="00D5318A"/>
    <w:rsid w:val="00D53C6D"/>
    <w:rsid w:val="00D570E4"/>
    <w:rsid w:val="00D616A4"/>
    <w:rsid w:val="00D61B08"/>
    <w:rsid w:val="00D6373D"/>
    <w:rsid w:val="00D75DCA"/>
    <w:rsid w:val="00D76A8E"/>
    <w:rsid w:val="00D8167A"/>
    <w:rsid w:val="00D8450C"/>
    <w:rsid w:val="00D85AFF"/>
    <w:rsid w:val="00D8723F"/>
    <w:rsid w:val="00D93754"/>
    <w:rsid w:val="00D945C3"/>
    <w:rsid w:val="00D94FFB"/>
    <w:rsid w:val="00DA2BBA"/>
    <w:rsid w:val="00DA3142"/>
    <w:rsid w:val="00DA49D5"/>
    <w:rsid w:val="00DA4A0C"/>
    <w:rsid w:val="00DB3588"/>
    <w:rsid w:val="00DB36D0"/>
    <w:rsid w:val="00DB3AFB"/>
    <w:rsid w:val="00DB5507"/>
    <w:rsid w:val="00DC0317"/>
    <w:rsid w:val="00DC1867"/>
    <w:rsid w:val="00DC3093"/>
    <w:rsid w:val="00DC4929"/>
    <w:rsid w:val="00DC549C"/>
    <w:rsid w:val="00DC5F3D"/>
    <w:rsid w:val="00DD0655"/>
    <w:rsid w:val="00DD113A"/>
    <w:rsid w:val="00DD1668"/>
    <w:rsid w:val="00DD609B"/>
    <w:rsid w:val="00DD6280"/>
    <w:rsid w:val="00DE0A0B"/>
    <w:rsid w:val="00DE4473"/>
    <w:rsid w:val="00DF2AA3"/>
    <w:rsid w:val="00DF4E55"/>
    <w:rsid w:val="00E00ECF"/>
    <w:rsid w:val="00E133B6"/>
    <w:rsid w:val="00E13CDE"/>
    <w:rsid w:val="00E14908"/>
    <w:rsid w:val="00E1789F"/>
    <w:rsid w:val="00E21266"/>
    <w:rsid w:val="00E36D16"/>
    <w:rsid w:val="00E36F8E"/>
    <w:rsid w:val="00E46064"/>
    <w:rsid w:val="00E54C7F"/>
    <w:rsid w:val="00E55E3C"/>
    <w:rsid w:val="00E57061"/>
    <w:rsid w:val="00E61721"/>
    <w:rsid w:val="00E624E6"/>
    <w:rsid w:val="00E64583"/>
    <w:rsid w:val="00E64B60"/>
    <w:rsid w:val="00E70CD7"/>
    <w:rsid w:val="00E71000"/>
    <w:rsid w:val="00E743FA"/>
    <w:rsid w:val="00E9197C"/>
    <w:rsid w:val="00E926E2"/>
    <w:rsid w:val="00E92A12"/>
    <w:rsid w:val="00E9375D"/>
    <w:rsid w:val="00E96328"/>
    <w:rsid w:val="00EA3BDE"/>
    <w:rsid w:val="00EA5956"/>
    <w:rsid w:val="00EB0ED0"/>
    <w:rsid w:val="00EB3EA6"/>
    <w:rsid w:val="00EB635B"/>
    <w:rsid w:val="00EB7AFE"/>
    <w:rsid w:val="00EC58B2"/>
    <w:rsid w:val="00EC6452"/>
    <w:rsid w:val="00ED5903"/>
    <w:rsid w:val="00EE2B96"/>
    <w:rsid w:val="00EE42C9"/>
    <w:rsid w:val="00EF1745"/>
    <w:rsid w:val="00EF180C"/>
    <w:rsid w:val="00EF6408"/>
    <w:rsid w:val="00EF797C"/>
    <w:rsid w:val="00F0079C"/>
    <w:rsid w:val="00F00EB5"/>
    <w:rsid w:val="00F05444"/>
    <w:rsid w:val="00F07B29"/>
    <w:rsid w:val="00F11150"/>
    <w:rsid w:val="00F23676"/>
    <w:rsid w:val="00F32CF0"/>
    <w:rsid w:val="00F3304A"/>
    <w:rsid w:val="00F340C2"/>
    <w:rsid w:val="00F43388"/>
    <w:rsid w:val="00F43A42"/>
    <w:rsid w:val="00F4593B"/>
    <w:rsid w:val="00F46164"/>
    <w:rsid w:val="00F47556"/>
    <w:rsid w:val="00F50E2D"/>
    <w:rsid w:val="00F51B8F"/>
    <w:rsid w:val="00F56D9F"/>
    <w:rsid w:val="00F5748E"/>
    <w:rsid w:val="00F60225"/>
    <w:rsid w:val="00F61640"/>
    <w:rsid w:val="00F617E6"/>
    <w:rsid w:val="00F6567E"/>
    <w:rsid w:val="00F6607E"/>
    <w:rsid w:val="00F67162"/>
    <w:rsid w:val="00F77362"/>
    <w:rsid w:val="00F77638"/>
    <w:rsid w:val="00F81D1D"/>
    <w:rsid w:val="00F91402"/>
    <w:rsid w:val="00FA3818"/>
    <w:rsid w:val="00FA4863"/>
    <w:rsid w:val="00FA6821"/>
    <w:rsid w:val="00FB639A"/>
    <w:rsid w:val="00FB6794"/>
    <w:rsid w:val="00FB7065"/>
    <w:rsid w:val="00FC203B"/>
    <w:rsid w:val="00FC4F5E"/>
    <w:rsid w:val="00FD100E"/>
    <w:rsid w:val="00FD1583"/>
    <w:rsid w:val="00FD2D3D"/>
    <w:rsid w:val="00FD5405"/>
    <w:rsid w:val="00FD541A"/>
    <w:rsid w:val="00FD6A21"/>
    <w:rsid w:val="00FE0299"/>
    <w:rsid w:val="00FE0E9A"/>
    <w:rsid w:val="00FE4885"/>
    <w:rsid w:val="00FE4D40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813619"/>
  <w15:docId w15:val="{AE77835B-42B0-4094-8A53-35083FDD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77"/>
    <w:pPr>
      <w:spacing w:before="120" w:after="120" w:line="300" w:lineRule="atLeast"/>
    </w:pPr>
    <w:rPr>
      <w:rFonts w:ascii="Arial" w:eastAsia="Times New Roman" w:hAnsi="Arial" w:cs="Arial"/>
      <w:color w:val="222222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C58B2"/>
    <w:pPr>
      <w:keepNext/>
      <w:spacing w:line="240" w:lineRule="auto"/>
      <w:jc w:val="center"/>
      <w:outlineLvl w:val="0"/>
    </w:pPr>
    <w:rPr>
      <w:rFonts w:ascii="Trebuchet MS" w:eastAsia="Malgun Gothic" w:hAnsi="Trebuchet MS"/>
      <w:b/>
      <w:bCs/>
      <w:color w:val="5F497A" w:themeColor="accent4" w:themeShade="BF"/>
      <w:kern w:val="28"/>
      <w:sz w:val="44"/>
      <w:szCs w:val="40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FDF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/>
      <w:bCs/>
      <w:color w:val="0072C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9D5"/>
    <w:pPr>
      <w:outlineLvl w:val="2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58B2"/>
    <w:rPr>
      <w:rFonts w:ascii="Trebuchet MS" w:eastAsia="Malgun Gothic" w:hAnsi="Trebuchet MS" w:cs="Arial"/>
      <w:b/>
      <w:bCs/>
      <w:color w:val="5F497A" w:themeColor="accent4" w:themeShade="BF"/>
      <w:kern w:val="28"/>
      <w:sz w:val="44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9A5FDF"/>
    <w:rPr>
      <w:rFonts w:ascii="Trebuchet MS" w:eastAsiaTheme="majorEastAsia" w:hAnsi="Trebuchet MS" w:cstheme="majorBidi"/>
      <w:b/>
      <w:bCs/>
      <w:color w:val="0072CE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A49D5"/>
    <w:rPr>
      <w:rFonts w:ascii="Arial" w:eastAsia="Times New Roman" w:hAnsi="Arial" w:cs="Arial"/>
      <w:b/>
      <w:color w:val="22222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85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FF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59"/>
    <w:rsid w:val="00D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#List Paragraph,Recommendation,List Paragraph1,List Paragraph11,L,SAP Subpara,Figure_name,Numbered Indented Text,Bullet- First level,List NUmber,Listenabsatz1,lp1,Bullet Level 1,Bullet Point,Bullet point,Bulletr List Paragraph,列"/>
    <w:basedOn w:val="Normal"/>
    <w:link w:val="ListParagraphChar"/>
    <w:uiPriority w:val="34"/>
    <w:qFormat/>
    <w:rsid w:val="004D6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1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72B"/>
    <w:rPr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046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46DA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89101D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E36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36D16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484D4E"/>
    <w:rPr>
      <w:color w:val="0000FF" w:themeColor="hyperlink"/>
      <w:u w:val="single"/>
    </w:rPr>
  </w:style>
  <w:style w:type="paragraph" w:customStyle="1" w:styleId="Default">
    <w:name w:val="Default"/>
    <w:rsid w:val="00CC2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1F7C"/>
    <w:rPr>
      <w:color w:val="800080" w:themeColor="followedHyperlink"/>
      <w:u w:val="single"/>
    </w:rPr>
  </w:style>
  <w:style w:type="character" w:customStyle="1" w:styleId="ListParagraphChar">
    <w:name w:val="List Paragraph Char"/>
    <w:aliases w:val="#List Paragraph Char,Recommendation Char,List Paragraph1 Char,List Paragraph11 Char,L Char,SAP Subpara Char,Figure_name Char,Numbered Indented Text Char,Bullet- First level Char,List NUmber Char,Listenabsatz1 Char,lp1 Char,列 Char"/>
    <w:basedOn w:val="DefaultParagraphFont"/>
    <w:link w:val="ListParagraph"/>
    <w:uiPriority w:val="34"/>
    <w:rsid w:val="00B207B5"/>
  </w:style>
  <w:style w:type="paragraph" w:styleId="Subtitle">
    <w:name w:val="Subtitle"/>
    <w:next w:val="Normal"/>
    <w:link w:val="SubtitleChar"/>
    <w:autoRedefine/>
    <w:uiPriority w:val="11"/>
    <w:qFormat/>
    <w:rsid w:val="00EC58B2"/>
    <w:pPr>
      <w:spacing w:before="360" w:after="120" w:line="240" w:lineRule="auto"/>
    </w:pPr>
    <w:rPr>
      <w:rFonts w:ascii="Trebuchet MS" w:eastAsiaTheme="majorEastAsia" w:hAnsi="Trebuchet MS" w:cstheme="majorBidi"/>
      <w:iCs/>
      <w:caps/>
      <w:color w:val="0072CE"/>
      <w:spacing w:val="15"/>
      <w:kern w:val="28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C58B2"/>
    <w:rPr>
      <w:rFonts w:ascii="Trebuchet MS" w:eastAsiaTheme="majorEastAsia" w:hAnsi="Trebuchet MS" w:cstheme="majorBidi"/>
      <w:iCs/>
      <w:caps/>
      <w:color w:val="0072CE"/>
      <w:spacing w:val="15"/>
      <w:kern w:val="28"/>
      <w:sz w:val="32"/>
      <w:szCs w:val="40"/>
    </w:rPr>
  </w:style>
  <w:style w:type="character" w:styleId="Strong">
    <w:name w:val="Strong"/>
    <w:basedOn w:val="DefaultParagraphFont"/>
    <w:uiPriority w:val="22"/>
    <w:qFormat/>
    <w:rsid w:val="009904C8"/>
    <w:rPr>
      <w:rFonts w:ascii="Arial" w:hAnsi="Arial"/>
      <w:b/>
      <w:bCs/>
    </w:rPr>
  </w:style>
  <w:style w:type="paragraph" w:styleId="ListBullet">
    <w:name w:val="List Bullet"/>
    <w:basedOn w:val="ListParagraph"/>
    <w:qFormat/>
    <w:rsid w:val="00B3130E"/>
    <w:pPr>
      <w:numPr>
        <w:numId w:val="1"/>
      </w:numPr>
      <w:spacing w:line="240" w:lineRule="auto"/>
    </w:pPr>
    <w:rPr>
      <w:rFonts w:cs="Times New Roman"/>
      <w:color w:val="auto"/>
    </w:rPr>
  </w:style>
  <w:style w:type="paragraph" w:customStyle="1" w:styleId="FooterPortrait">
    <w:name w:val="FooterPortrait"/>
    <w:basedOn w:val="Footer"/>
    <w:uiPriority w:val="99"/>
    <w:semiHidden/>
    <w:rsid w:val="000B349D"/>
    <w:pPr>
      <w:keepNext/>
      <w:pBdr>
        <w:top w:val="single" w:sz="2" w:space="2" w:color="335876"/>
      </w:pBdr>
      <w:tabs>
        <w:tab w:val="clear" w:pos="4513"/>
        <w:tab w:val="clear" w:pos="9026"/>
        <w:tab w:val="center" w:pos="1021"/>
      </w:tabs>
      <w:spacing w:before="0"/>
    </w:pPr>
    <w:rPr>
      <w:rFonts w:cs="Times New Roman"/>
      <w:color w:val="335876"/>
      <w:sz w:val="18"/>
      <w:lang w:eastAsia="ja-JP"/>
    </w:rPr>
  </w:style>
  <w:style w:type="paragraph" w:customStyle="1" w:styleId="2ndlevelbullet">
    <w:name w:val="2nd level bullet"/>
    <w:basedOn w:val="Normal"/>
    <w:uiPriority w:val="99"/>
    <w:rsid w:val="000B349D"/>
    <w:pPr>
      <w:numPr>
        <w:numId w:val="2"/>
      </w:numPr>
      <w:tabs>
        <w:tab w:val="left" w:pos="170"/>
      </w:tabs>
      <w:spacing w:before="60" w:after="60" w:line="276" w:lineRule="auto"/>
      <w:ind w:left="170" w:hanging="170"/>
    </w:pPr>
    <w:rPr>
      <w:rFonts w:cs="Times New Roman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65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47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9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3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2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9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hyperlink" Target="http://www.agedcare.health.gov.au/programs-services/commonwealth-home-support-programme/living-well-at-home-chsp-good-practice-guide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31" Type="http://schemas.openxmlformats.org/officeDocument/2006/relationships/hyperlink" Target="http://www.agedcare.health.gov.au/news-and-resources/publications/fact-sheets/commonwealth-home-support-programme-programme-manu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55013-2983-4B36-BC2F-E05AF7CFF900}" type="doc">
      <dgm:prSet loTypeId="urn:microsoft.com/office/officeart/2005/8/layout/vList6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B9BF826-50B0-47D0-B9B4-3F78BE93B264}">
      <dgm:prSet phldrT="[Text]" custT="1"/>
      <dgm:spPr/>
      <dgm:t>
        <a:bodyPr/>
        <a:lstStyle/>
        <a:p>
          <a:pPr algn="ctr"/>
          <a:endParaRPr lang="en-AU" sz="1700" b="1"/>
        </a:p>
        <a:p>
          <a:pPr algn="ctr"/>
          <a:endParaRPr lang="en-AU" sz="1700" b="1"/>
        </a:p>
        <a:p>
          <a:pPr algn="ctr"/>
          <a:r>
            <a:rPr lang="en-AU" sz="1700" b="1"/>
            <a:t>What is Reablement from a CHSP Provider perspective?</a:t>
          </a:r>
          <a:endParaRPr lang="en-AU" sz="1700"/>
        </a:p>
        <a:p>
          <a:pPr algn="ctr"/>
          <a:endParaRPr lang="en-AU" sz="1700"/>
        </a:p>
        <a:p>
          <a:pPr algn="ctr"/>
          <a:endParaRPr lang="en-US" sz="1700"/>
        </a:p>
      </dgm:t>
      <dgm:extLst>
        <a:ext uri="{E40237B7-FDA0-4F09-8148-C483321AD2D9}">
          <dgm14:cNvPr xmlns:dgm14="http://schemas.microsoft.com/office/drawing/2010/diagram" id="0" name="" descr="What is Reablement from a CHSP provider perspective?" title="Question"/>
        </a:ext>
      </dgm:extLst>
    </dgm:pt>
    <dgm:pt modelId="{1559806A-0025-4658-9CC6-96F770021CFA}" type="parTrans" cxnId="{CC084C37-A2E2-4AFC-943F-D229BC33CB1F}">
      <dgm:prSet/>
      <dgm:spPr/>
      <dgm:t>
        <a:bodyPr/>
        <a:lstStyle/>
        <a:p>
          <a:endParaRPr lang="en-US"/>
        </a:p>
      </dgm:t>
    </dgm:pt>
    <dgm:pt modelId="{ADF9A536-F086-4AD6-9E69-38E912647355}" type="sibTrans" cxnId="{CC084C37-A2E2-4AFC-943F-D229BC33CB1F}">
      <dgm:prSet/>
      <dgm:spPr/>
      <dgm:t>
        <a:bodyPr/>
        <a:lstStyle/>
        <a:p>
          <a:endParaRPr lang="en-US"/>
        </a:p>
      </dgm:t>
    </dgm:pt>
    <dgm:pt modelId="{4EF7D2A6-0B79-4A58-A42D-EAFE1680A7B3}">
      <dgm:prSet phldrT="[Text]" custT="1"/>
      <dgm:spPr/>
      <dgm:t>
        <a:bodyPr/>
        <a:lstStyle/>
        <a:p>
          <a:r>
            <a:rPr lang="en-AU" sz="1300" b="0"/>
            <a:t>Reablement may involve delivering </a:t>
          </a:r>
          <a:r>
            <a:rPr lang="en-AU" sz="1300" b="0" u="sng"/>
            <a:t>time-limited interventions</a:t>
          </a:r>
          <a:r>
            <a:rPr lang="en-AU" sz="1300" b="0"/>
            <a:t> to support the client's goals.</a:t>
          </a:r>
          <a:endParaRPr lang="en-US" sz="1300" b="0"/>
        </a:p>
      </dgm:t>
      <dgm:extLst>
        <a:ext uri="{E40237B7-FDA0-4F09-8148-C483321AD2D9}">
          <dgm14:cNvPr xmlns:dgm14="http://schemas.microsoft.com/office/drawing/2010/diagram" id="0" name="" descr="Reablement may involve delivering time-limited interventions to support the client's goals.&#10;CHSP services must target a client’s specific goals or desired outcome to adapt to some functional loss, or gain confidence and capacity to undertake activities of daily living&#10;" title="Answer to What is Reablement from a CHSP Provider perspective?"/>
        </a:ext>
      </dgm:extLst>
    </dgm:pt>
    <dgm:pt modelId="{58CF9D73-A31A-4435-BCF7-7FF14958FECD}" type="parTrans" cxnId="{5C4A8C24-0024-4DC5-9AD4-B985A5ACE995}">
      <dgm:prSet/>
      <dgm:spPr/>
      <dgm:t>
        <a:bodyPr/>
        <a:lstStyle/>
        <a:p>
          <a:endParaRPr lang="en-US"/>
        </a:p>
      </dgm:t>
    </dgm:pt>
    <dgm:pt modelId="{1A7D1A8A-F342-4F77-AB1A-0BC62D919E19}" type="sibTrans" cxnId="{5C4A8C24-0024-4DC5-9AD4-B985A5ACE995}">
      <dgm:prSet/>
      <dgm:spPr/>
      <dgm:t>
        <a:bodyPr/>
        <a:lstStyle/>
        <a:p>
          <a:endParaRPr lang="en-US"/>
        </a:p>
      </dgm:t>
    </dgm:pt>
    <dgm:pt modelId="{9754D155-03FF-4D88-81DC-E7DA89EC5C02}">
      <dgm:prSet custT="1"/>
      <dgm:spPr/>
      <dgm:t>
        <a:bodyPr/>
        <a:lstStyle/>
        <a:p>
          <a:r>
            <a:rPr lang="en-AU" sz="1300" b="0"/>
            <a:t>CHSP services must target a client’s specific </a:t>
          </a:r>
          <a:r>
            <a:rPr lang="en-AU" sz="1300" b="0" u="sng"/>
            <a:t>goals</a:t>
          </a:r>
          <a:r>
            <a:rPr lang="en-AU" sz="1300" b="0"/>
            <a:t> or desired </a:t>
          </a:r>
          <a:r>
            <a:rPr lang="en-AU" sz="1300" b="0" u="sng"/>
            <a:t>outcome</a:t>
          </a:r>
          <a:r>
            <a:rPr lang="en-AU" sz="1300" b="0"/>
            <a:t> to adapt to some functional loss, or gain confidence and capacity to undertake activities of daily living.</a:t>
          </a:r>
        </a:p>
      </dgm:t>
    </dgm:pt>
    <dgm:pt modelId="{C7D6DA41-8379-4637-8E35-175CF710AE8A}" type="sibTrans" cxnId="{9DF11630-6935-4AE3-9F6C-54D2134A49F8}">
      <dgm:prSet/>
      <dgm:spPr/>
      <dgm:t>
        <a:bodyPr/>
        <a:lstStyle/>
        <a:p>
          <a:endParaRPr lang="en-US"/>
        </a:p>
      </dgm:t>
    </dgm:pt>
    <dgm:pt modelId="{2A275000-6E50-4FF7-8779-A596E45971E9}" type="parTrans" cxnId="{9DF11630-6935-4AE3-9F6C-54D2134A49F8}">
      <dgm:prSet/>
      <dgm:spPr/>
      <dgm:t>
        <a:bodyPr/>
        <a:lstStyle/>
        <a:p>
          <a:endParaRPr lang="en-US"/>
        </a:p>
      </dgm:t>
    </dgm:pt>
    <dgm:pt modelId="{71641D73-8097-440D-A869-C39C4D34D3C0}" type="pres">
      <dgm:prSet presAssocID="{39855013-2983-4B36-BC2F-E05AF7CFF90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AU"/>
        </a:p>
      </dgm:t>
    </dgm:pt>
    <dgm:pt modelId="{C5FCA0D3-100A-43E7-B0C7-676DD42F4D5C}" type="pres">
      <dgm:prSet presAssocID="{6B9BF826-50B0-47D0-B9B4-3F78BE93B264}" presName="linNode" presStyleCnt="0"/>
      <dgm:spPr/>
    </dgm:pt>
    <dgm:pt modelId="{2351816F-31A9-4B09-9F11-59DB35074F1A}" type="pres">
      <dgm:prSet presAssocID="{6B9BF826-50B0-47D0-B9B4-3F78BE93B264}" presName="parentShp" presStyleLbl="node1" presStyleIdx="0" presStyleCnt="1" custScaleY="79883" custLinFactNeighborX="488" custLinFactNeighborY="-4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CDF169-99BD-45B0-893F-169A6CD3C960}" type="pres">
      <dgm:prSet presAssocID="{6B9BF826-50B0-47D0-B9B4-3F78BE93B264}" presName="childShp" presStyleLbl="bgAccFollowNode1" presStyleIdx="0" presStyleCnt="1" custScaleY="63173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n-US"/>
        </a:p>
      </dgm:t>
    </dgm:pt>
  </dgm:ptLst>
  <dgm:cxnLst>
    <dgm:cxn modelId="{D816CA59-3CF8-4D42-99C8-52837F795597}" type="presOf" srcId="{4EF7D2A6-0B79-4A58-A42D-EAFE1680A7B3}" destId="{46CDF169-99BD-45B0-893F-169A6CD3C960}" srcOrd="0" destOrd="0" presId="urn:microsoft.com/office/officeart/2005/8/layout/vList6"/>
    <dgm:cxn modelId="{5C4A8C24-0024-4DC5-9AD4-B985A5ACE995}" srcId="{6B9BF826-50B0-47D0-B9B4-3F78BE93B264}" destId="{4EF7D2A6-0B79-4A58-A42D-EAFE1680A7B3}" srcOrd="0" destOrd="0" parTransId="{58CF9D73-A31A-4435-BCF7-7FF14958FECD}" sibTransId="{1A7D1A8A-F342-4F77-AB1A-0BC62D919E19}"/>
    <dgm:cxn modelId="{2C5F0533-A377-4E09-A557-46A3C257A9D3}" type="presOf" srcId="{39855013-2983-4B36-BC2F-E05AF7CFF900}" destId="{71641D73-8097-440D-A869-C39C4D34D3C0}" srcOrd="0" destOrd="0" presId="urn:microsoft.com/office/officeart/2005/8/layout/vList6"/>
    <dgm:cxn modelId="{CC084C37-A2E2-4AFC-943F-D229BC33CB1F}" srcId="{39855013-2983-4B36-BC2F-E05AF7CFF900}" destId="{6B9BF826-50B0-47D0-B9B4-3F78BE93B264}" srcOrd="0" destOrd="0" parTransId="{1559806A-0025-4658-9CC6-96F770021CFA}" sibTransId="{ADF9A536-F086-4AD6-9E69-38E912647355}"/>
    <dgm:cxn modelId="{9DF11630-6935-4AE3-9F6C-54D2134A49F8}" srcId="{6B9BF826-50B0-47D0-B9B4-3F78BE93B264}" destId="{9754D155-03FF-4D88-81DC-E7DA89EC5C02}" srcOrd="1" destOrd="0" parTransId="{2A275000-6E50-4FF7-8779-A596E45971E9}" sibTransId="{C7D6DA41-8379-4637-8E35-175CF710AE8A}"/>
    <dgm:cxn modelId="{542647AB-78B5-4586-A6CD-CCBF1EF11DC5}" type="presOf" srcId="{6B9BF826-50B0-47D0-B9B4-3F78BE93B264}" destId="{2351816F-31A9-4B09-9F11-59DB35074F1A}" srcOrd="0" destOrd="0" presId="urn:microsoft.com/office/officeart/2005/8/layout/vList6"/>
    <dgm:cxn modelId="{96A5F70F-0977-466D-9503-7FC98B54FDE4}" type="presOf" srcId="{9754D155-03FF-4D88-81DC-E7DA89EC5C02}" destId="{46CDF169-99BD-45B0-893F-169A6CD3C960}" srcOrd="0" destOrd="1" presId="urn:microsoft.com/office/officeart/2005/8/layout/vList6"/>
    <dgm:cxn modelId="{31C2E667-DE53-4BC4-B59F-18D5AEEBABF6}" type="presParOf" srcId="{71641D73-8097-440D-A869-C39C4D34D3C0}" destId="{C5FCA0D3-100A-43E7-B0C7-676DD42F4D5C}" srcOrd="0" destOrd="0" presId="urn:microsoft.com/office/officeart/2005/8/layout/vList6"/>
    <dgm:cxn modelId="{C2B034A3-93C5-47FD-B583-D2D096406D0C}" type="presParOf" srcId="{C5FCA0D3-100A-43E7-B0C7-676DD42F4D5C}" destId="{2351816F-31A9-4B09-9F11-59DB35074F1A}" srcOrd="0" destOrd="0" presId="urn:microsoft.com/office/officeart/2005/8/layout/vList6"/>
    <dgm:cxn modelId="{8AF0B62C-6ABB-4C00-9747-09652C051D8D}" type="presParOf" srcId="{C5FCA0D3-100A-43E7-B0C7-676DD42F4D5C}" destId="{46CDF169-99BD-45B0-893F-169A6CD3C96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855013-2983-4B36-BC2F-E05AF7CFF900}" type="doc">
      <dgm:prSet loTypeId="urn:microsoft.com/office/officeart/2005/8/layout/vList6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B9BF826-50B0-47D0-B9B4-3F78BE93B264}">
      <dgm:prSet phldrT="[Text]" custT="1"/>
      <dgm:spPr/>
      <dgm:t>
        <a:bodyPr/>
        <a:lstStyle/>
        <a:p>
          <a:endParaRPr lang="en-AU" sz="1700" b="1"/>
        </a:p>
        <a:p>
          <a:r>
            <a:rPr lang="en-AU" sz="1700" b="1"/>
            <a:t>How do CHSP providers work with consumers?</a:t>
          </a:r>
          <a:endParaRPr lang="en-AU" sz="1700"/>
        </a:p>
        <a:p>
          <a:endParaRPr lang="en-US" sz="1700"/>
        </a:p>
      </dgm:t>
      <dgm:extLst>
        <a:ext uri="{E40237B7-FDA0-4F09-8148-C483321AD2D9}">
          <dgm14:cNvPr xmlns:dgm14="http://schemas.microsoft.com/office/drawing/2010/diagram" id="0" name="" descr="How do CHSP providers work with consumers?" title="Question"/>
        </a:ext>
      </dgm:extLst>
    </dgm:pt>
    <dgm:pt modelId="{1559806A-0025-4658-9CC6-96F770021CFA}" type="parTrans" cxnId="{CC084C37-A2E2-4AFC-943F-D229BC33CB1F}">
      <dgm:prSet/>
      <dgm:spPr/>
      <dgm:t>
        <a:bodyPr/>
        <a:lstStyle/>
        <a:p>
          <a:endParaRPr lang="en-US"/>
        </a:p>
      </dgm:t>
    </dgm:pt>
    <dgm:pt modelId="{ADF9A536-F086-4AD6-9E69-38E912647355}" type="sibTrans" cxnId="{CC084C37-A2E2-4AFC-943F-D229BC33CB1F}">
      <dgm:prSet/>
      <dgm:spPr/>
      <dgm:t>
        <a:bodyPr/>
        <a:lstStyle/>
        <a:p>
          <a:endParaRPr lang="en-US"/>
        </a:p>
      </dgm:t>
    </dgm:pt>
    <dgm:pt modelId="{4EF7D2A6-0B79-4A58-A42D-EAFE1680A7B3}">
      <dgm:prSet phldrT="[Text]" custT="1"/>
      <dgm:spPr/>
      <dgm:t>
        <a:bodyPr/>
        <a:lstStyle/>
        <a:p>
          <a:r>
            <a:rPr lang="en-AU" sz="1300" b="0"/>
            <a:t>Reablement involves CHSP Providers "doing with" clients not 'doing for".</a:t>
          </a:r>
          <a:endParaRPr lang="en-US" sz="1300" b="0"/>
        </a:p>
      </dgm:t>
      <dgm:extLst>
        <a:ext uri="{E40237B7-FDA0-4F09-8148-C483321AD2D9}">
          <dgm14:cNvPr xmlns:dgm14="http://schemas.microsoft.com/office/drawing/2010/diagram" id="0" name="" descr="Reablement involves CHSP Providers &quot;doing with&quot; clients not 'doing for&quot;.&#10;CHSP Providers should encourage individuals, families, and the community regarding the benefits of applying the reablement model and its importance in supporting clients to live independently for longer. &#10;" title="Answer to How do CHSP providers work with consumers?"/>
        </a:ext>
      </dgm:extLst>
    </dgm:pt>
    <dgm:pt modelId="{58CF9D73-A31A-4435-BCF7-7FF14958FECD}" type="parTrans" cxnId="{5C4A8C24-0024-4DC5-9AD4-B985A5ACE995}">
      <dgm:prSet/>
      <dgm:spPr/>
      <dgm:t>
        <a:bodyPr/>
        <a:lstStyle/>
        <a:p>
          <a:endParaRPr lang="en-US"/>
        </a:p>
      </dgm:t>
    </dgm:pt>
    <dgm:pt modelId="{1A7D1A8A-F342-4F77-AB1A-0BC62D919E19}" type="sibTrans" cxnId="{5C4A8C24-0024-4DC5-9AD4-B985A5ACE995}">
      <dgm:prSet/>
      <dgm:spPr/>
      <dgm:t>
        <a:bodyPr/>
        <a:lstStyle/>
        <a:p>
          <a:endParaRPr lang="en-US"/>
        </a:p>
      </dgm:t>
    </dgm:pt>
    <dgm:pt modelId="{BD1E1ED5-785F-4863-A47F-093B9B6F8738}">
      <dgm:prSet phldrT="[Text]" custT="1"/>
      <dgm:spPr/>
      <dgm:t>
        <a:bodyPr/>
        <a:lstStyle/>
        <a:p>
          <a:r>
            <a:rPr lang="en-US" sz="1300" b="0"/>
            <a:t>CHSP Providers should encourage individuals, families, and the community regarding the benefits of applying the reablement model and its importance in supporting clients to live independently for longer. </a:t>
          </a:r>
        </a:p>
      </dgm:t>
    </dgm:pt>
    <dgm:pt modelId="{E7F760C8-F866-44BE-967A-23E1F2E81EE3}" type="parTrans" cxnId="{2BD040A0-31BE-4DFD-96A3-80B300F45CFE}">
      <dgm:prSet/>
      <dgm:spPr/>
      <dgm:t>
        <a:bodyPr/>
        <a:lstStyle/>
        <a:p>
          <a:endParaRPr lang="en-US"/>
        </a:p>
      </dgm:t>
    </dgm:pt>
    <dgm:pt modelId="{E45625B0-6D35-48A0-86E8-0878CF54404B}" type="sibTrans" cxnId="{2BD040A0-31BE-4DFD-96A3-80B300F45CFE}">
      <dgm:prSet/>
      <dgm:spPr/>
      <dgm:t>
        <a:bodyPr/>
        <a:lstStyle/>
        <a:p>
          <a:endParaRPr lang="en-US"/>
        </a:p>
      </dgm:t>
    </dgm:pt>
    <dgm:pt modelId="{71641D73-8097-440D-A869-C39C4D34D3C0}" type="pres">
      <dgm:prSet presAssocID="{39855013-2983-4B36-BC2F-E05AF7CFF90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AU"/>
        </a:p>
      </dgm:t>
    </dgm:pt>
    <dgm:pt modelId="{C5FCA0D3-100A-43E7-B0C7-676DD42F4D5C}" type="pres">
      <dgm:prSet presAssocID="{6B9BF826-50B0-47D0-B9B4-3F78BE93B264}" presName="linNode" presStyleCnt="0"/>
      <dgm:spPr/>
    </dgm:pt>
    <dgm:pt modelId="{2351816F-31A9-4B09-9F11-59DB35074F1A}" type="pres">
      <dgm:prSet presAssocID="{6B9BF826-50B0-47D0-B9B4-3F78BE93B264}" presName="parentShp" presStyleLbl="node1" presStyleIdx="0" presStyleCnt="1" custLinFactNeighborX="-4167" custLinFactNeighborY="-597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CDF169-99BD-45B0-893F-169A6CD3C960}" type="pres">
      <dgm:prSet presAssocID="{6B9BF826-50B0-47D0-B9B4-3F78BE93B264}" presName="childShp" presStyleLbl="bgAccFollowNode1" presStyleIdx="0" presStyleCnt="1" custScaleY="100098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n-US"/>
        </a:p>
      </dgm:t>
    </dgm:pt>
  </dgm:ptLst>
  <dgm:cxnLst>
    <dgm:cxn modelId="{2BD040A0-31BE-4DFD-96A3-80B300F45CFE}" srcId="{6B9BF826-50B0-47D0-B9B4-3F78BE93B264}" destId="{BD1E1ED5-785F-4863-A47F-093B9B6F8738}" srcOrd="1" destOrd="0" parTransId="{E7F760C8-F866-44BE-967A-23E1F2E81EE3}" sibTransId="{E45625B0-6D35-48A0-86E8-0878CF54404B}"/>
    <dgm:cxn modelId="{71786ED9-03D7-41B5-8F23-ABAC451EBFD2}" type="presOf" srcId="{BD1E1ED5-785F-4863-A47F-093B9B6F8738}" destId="{46CDF169-99BD-45B0-893F-169A6CD3C960}" srcOrd="0" destOrd="1" presId="urn:microsoft.com/office/officeart/2005/8/layout/vList6"/>
    <dgm:cxn modelId="{D816CA59-3CF8-4D42-99C8-52837F795597}" type="presOf" srcId="{4EF7D2A6-0B79-4A58-A42D-EAFE1680A7B3}" destId="{46CDF169-99BD-45B0-893F-169A6CD3C960}" srcOrd="0" destOrd="0" presId="urn:microsoft.com/office/officeart/2005/8/layout/vList6"/>
    <dgm:cxn modelId="{5C4A8C24-0024-4DC5-9AD4-B985A5ACE995}" srcId="{6B9BF826-50B0-47D0-B9B4-3F78BE93B264}" destId="{4EF7D2A6-0B79-4A58-A42D-EAFE1680A7B3}" srcOrd="0" destOrd="0" parTransId="{58CF9D73-A31A-4435-BCF7-7FF14958FECD}" sibTransId="{1A7D1A8A-F342-4F77-AB1A-0BC62D919E19}"/>
    <dgm:cxn modelId="{2C5F0533-A377-4E09-A557-46A3C257A9D3}" type="presOf" srcId="{39855013-2983-4B36-BC2F-E05AF7CFF900}" destId="{71641D73-8097-440D-A869-C39C4D34D3C0}" srcOrd="0" destOrd="0" presId="urn:microsoft.com/office/officeart/2005/8/layout/vList6"/>
    <dgm:cxn modelId="{CC084C37-A2E2-4AFC-943F-D229BC33CB1F}" srcId="{39855013-2983-4B36-BC2F-E05AF7CFF900}" destId="{6B9BF826-50B0-47D0-B9B4-3F78BE93B264}" srcOrd="0" destOrd="0" parTransId="{1559806A-0025-4658-9CC6-96F770021CFA}" sibTransId="{ADF9A536-F086-4AD6-9E69-38E912647355}"/>
    <dgm:cxn modelId="{542647AB-78B5-4586-A6CD-CCBF1EF11DC5}" type="presOf" srcId="{6B9BF826-50B0-47D0-B9B4-3F78BE93B264}" destId="{2351816F-31A9-4B09-9F11-59DB35074F1A}" srcOrd="0" destOrd="0" presId="urn:microsoft.com/office/officeart/2005/8/layout/vList6"/>
    <dgm:cxn modelId="{31C2E667-DE53-4BC4-B59F-18D5AEEBABF6}" type="presParOf" srcId="{71641D73-8097-440D-A869-C39C4D34D3C0}" destId="{C5FCA0D3-100A-43E7-B0C7-676DD42F4D5C}" srcOrd="0" destOrd="0" presId="urn:microsoft.com/office/officeart/2005/8/layout/vList6"/>
    <dgm:cxn modelId="{C2B034A3-93C5-47FD-B583-D2D096406D0C}" type="presParOf" srcId="{C5FCA0D3-100A-43E7-B0C7-676DD42F4D5C}" destId="{2351816F-31A9-4B09-9F11-59DB35074F1A}" srcOrd="0" destOrd="0" presId="urn:microsoft.com/office/officeart/2005/8/layout/vList6"/>
    <dgm:cxn modelId="{8AF0B62C-6ABB-4C00-9747-09652C051D8D}" type="presParOf" srcId="{C5FCA0D3-100A-43E7-B0C7-676DD42F4D5C}" destId="{46CDF169-99BD-45B0-893F-169A6CD3C96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9855013-2983-4B36-BC2F-E05AF7CFF900}" type="doc">
      <dgm:prSet loTypeId="urn:microsoft.com/office/officeart/2005/8/layout/vList6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B9BF826-50B0-47D0-B9B4-3F78BE93B264}">
      <dgm:prSet phldrT="[Text]" custT="1"/>
      <dgm:spPr/>
      <dgm:t>
        <a:bodyPr/>
        <a:lstStyle/>
        <a:p>
          <a:r>
            <a:rPr lang="en-AU" sz="1700" b="1"/>
            <a:t>CHSP Service Delivery must be timely</a:t>
          </a:r>
          <a:endParaRPr lang="en-US" sz="1700"/>
        </a:p>
      </dgm:t>
      <dgm:extLst>
        <a:ext uri="{E40237B7-FDA0-4F09-8148-C483321AD2D9}">
          <dgm14:cNvPr xmlns:dgm14="http://schemas.microsoft.com/office/drawing/2010/diagram" id="0" name="" descr="CHSP service delivery must be timely" title="Question"/>
        </a:ext>
      </dgm:extLst>
    </dgm:pt>
    <dgm:pt modelId="{1559806A-0025-4658-9CC6-96F770021CFA}" type="parTrans" cxnId="{CC084C37-A2E2-4AFC-943F-D229BC33CB1F}">
      <dgm:prSet/>
      <dgm:spPr/>
      <dgm:t>
        <a:bodyPr/>
        <a:lstStyle/>
        <a:p>
          <a:endParaRPr lang="en-US"/>
        </a:p>
      </dgm:t>
    </dgm:pt>
    <dgm:pt modelId="{ADF9A536-F086-4AD6-9E69-38E912647355}" type="sibTrans" cxnId="{CC084C37-A2E2-4AFC-943F-D229BC33CB1F}">
      <dgm:prSet/>
      <dgm:spPr/>
      <dgm:t>
        <a:bodyPr/>
        <a:lstStyle/>
        <a:p>
          <a:endParaRPr lang="en-US"/>
        </a:p>
      </dgm:t>
    </dgm:pt>
    <dgm:pt modelId="{4EF7D2A6-0B79-4A58-A42D-EAFE1680A7B3}">
      <dgm:prSet phldrT="[Text]" custT="1"/>
      <dgm:spPr/>
      <dgm:t>
        <a:bodyPr/>
        <a:lstStyle/>
        <a:p>
          <a:r>
            <a:rPr lang="en-AU" sz="1300" b="0"/>
            <a:t>Referrals should only be accepted when time-limited services are readily available (except in locations with a single or limited services).</a:t>
          </a:r>
          <a:endParaRPr lang="en-US" sz="1300" b="0"/>
        </a:p>
      </dgm:t>
      <dgm:extLst>
        <a:ext uri="{E40237B7-FDA0-4F09-8148-C483321AD2D9}">
          <dgm14:cNvPr xmlns:dgm14="http://schemas.microsoft.com/office/drawing/2010/diagram" id="0" name="" descr="Referrals should only be accepted when time-limited services are readily available (except in locations with a single or limited services).&#10;This ensures clients are not subjected to wait lists when other service providers may have the availability to deliver services in a timely manner. &#10;" title="Answer to CHSP Service Delivery must be timely"/>
        </a:ext>
      </dgm:extLst>
    </dgm:pt>
    <dgm:pt modelId="{58CF9D73-A31A-4435-BCF7-7FF14958FECD}" type="parTrans" cxnId="{5C4A8C24-0024-4DC5-9AD4-B985A5ACE995}">
      <dgm:prSet/>
      <dgm:spPr/>
      <dgm:t>
        <a:bodyPr/>
        <a:lstStyle/>
        <a:p>
          <a:endParaRPr lang="en-US"/>
        </a:p>
      </dgm:t>
    </dgm:pt>
    <dgm:pt modelId="{1A7D1A8A-F342-4F77-AB1A-0BC62D919E19}" type="sibTrans" cxnId="{5C4A8C24-0024-4DC5-9AD4-B985A5ACE995}">
      <dgm:prSet/>
      <dgm:spPr/>
      <dgm:t>
        <a:bodyPr/>
        <a:lstStyle/>
        <a:p>
          <a:endParaRPr lang="en-US"/>
        </a:p>
      </dgm:t>
    </dgm:pt>
    <dgm:pt modelId="{4030F6EC-3347-4C3A-B923-A7460E0C6F5A}">
      <dgm:prSet phldrT="[Text]" custT="1"/>
      <dgm:spPr/>
      <dgm:t>
        <a:bodyPr/>
        <a:lstStyle/>
        <a:p>
          <a:r>
            <a:rPr lang="en-US" sz="1300" b="0"/>
            <a:t>This ensures clients are not subjected to wait lists when other service providers may have the availability to deliver services in a timely manner. </a:t>
          </a:r>
        </a:p>
      </dgm:t>
    </dgm:pt>
    <dgm:pt modelId="{0D926039-A1B4-478D-85B6-4D7F203B3DF8}" type="parTrans" cxnId="{F0C5EE1F-97A4-4B9D-9E7F-A92BBA6C1874}">
      <dgm:prSet/>
      <dgm:spPr/>
      <dgm:t>
        <a:bodyPr/>
        <a:lstStyle/>
        <a:p>
          <a:endParaRPr lang="en-US"/>
        </a:p>
      </dgm:t>
    </dgm:pt>
    <dgm:pt modelId="{23D99939-DAE9-4ECD-9535-FB09141208CC}" type="sibTrans" cxnId="{F0C5EE1F-97A4-4B9D-9E7F-A92BBA6C1874}">
      <dgm:prSet/>
      <dgm:spPr/>
      <dgm:t>
        <a:bodyPr/>
        <a:lstStyle/>
        <a:p>
          <a:endParaRPr lang="en-US"/>
        </a:p>
      </dgm:t>
    </dgm:pt>
    <dgm:pt modelId="{71641D73-8097-440D-A869-C39C4D34D3C0}" type="pres">
      <dgm:prSet presAssocID="{39855013-2983-4B36-BC2F-E05AF7CFF90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AU"/>
        </a:p>
      </dgm:t>
    </dgm:pt>
    <dgm:pt modelId="{C5FCA0D3-100A-43E7-B0C7-676DD42F4D5C}" type="pres">
      <dgm:prSet presAssocID="{6B9BF826-50B0-47D0-B9B4-3F78BE93B264}" presName="linNode" presStyleCnt="0"/>
      <dgm:spPr/>
    </dgm:pt>
    <dgm:pt modelId="{2351816F-31A9-4B09-9F11-59DB35074F1A}" type="pres">
      <dgm:prSet presAssocID="{6B9BF826-50B0-47D0-B9B4-3F78BE93B264}" presName="parentShp" presStyleLbl="node1" presStyleIdx="0" presStyleCnt="1" custLinFactY="247178" custLinFactNeighborX="-10594" custLinFactNeighborY="3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CDF169-99BD-45B0-893F-169A6CD3C960}" type="pres">
      <dgm:prSet presAssocID="{6B9BF826-50B0-47D0-B9B4-3F78BE93B264}" presName="childShp" presStyleLbl="bgAccFollowNode1" presStyleIdx="0" presStyleCnt="1" custScaleY="98916" custLinFactNeighborY="591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n-US"/>
        </a:p>
      </dgm:t>
    </dgm:pt>
  </dgm:ptLst>
  <dgm:cxnLst>
    <dgm:cxn modelId="{F0C5EE1F-97A4-4B9D-9E7F-A92BBA6C1874}" srcId="{6B9BF826-50B0-47D0-B9B4-3F78BE93B264}" destId="{4030F6EC-3347-4C3A-B923-A7460E0C6F5A}" srcOrd="1" destOrd="0" parTransId="{0D926039-A1B4-478D-85B6-4D7F203B3DF8}" sibTransId="{23D99939-DAE9-4ECD-9535-FB09141208CC}"/>
    <dgm:cxn modelId="{D816CA59-3CF8-4D42-99C8-52837F795597}" type="presOf" srcId="{4EF7D2A6-0B79-4A58-A42D-EAFE1680A7B3}" destId="{46CDF169-99BD-45B0-893F-169A6CD3C960}" srcOrd="0" destOrd="0" presId="urn:microsoft.com/office/officeart/2005/8/layout/vList6"/>
    <dgm:cxn modelId="{5C4A8C24-0024-4DC5-9AD4-B985A5ACE995}" srcId="{6B9BF826-50B0-47D0-B9B4-3F78BE93B264}" destId="{4EF7D2A6-0B79-4A58-A42D-EAFE1680A7B3}" srcOrd="0" destOrd="0" parTransId="{58CF9D73-A31A-4435-BCF7-7FF14958FECD}" sibTransId="{1A7D1A8A-F342-4F77-AB1A-0BC62D919E19}"/>
    <dgm:cxn modelId="{2C5F0533-A377-4E09-A557-46A3C257A9D3}" type="presOf" srcId="{39855013-2983-4B36-BC2F-E05AF7CFF900}" destId="{71641D73-8097-440D-A869-C39C4D34D3C0}" srcOrd="0" destOrd="0" presId="urn:microsoft.com/office/officeart/2005/8/layout/vList6"/>
    <dgm:cxn modelId="{820E54AF-1252-40FE-94F9-D45E11A58B5F}" type="presOf" srcId="{4030F6EC-3347-4C3A-B923-A7460E0C6F5A}" destId="{46CDF169-99BD-45B0-893F-169A6CD3C960}" srcOrd="0" destOrd="1" presId="urn:microsoft.com/office/officeart/2005/8/layout/vList6"/>
    <dgm:cxn modelId="{CC084C37-A2E2-4AFC-943F-D229BC33CB1F}" srcId="{39855013-2983-4B36-BC2F-E05AF7CFF900}" destId="{6B9BF826-50B0-47D0-B9B4-3F78BE93B264}" srcOrd="0" destOrd="0" parTransId="{1559806A-0025-4658-9CC6-96F770021CFA}" sibTransId="{ADF9A536-F086-4AD6-9E69-38E912647355}"/>
    <dgm:cxn modelId="{542647AB-78B5-4586-A6CD-CCBF1EF11DC5}" type="presOf" srcId="{6B9BF826-50B0-47D0-B9B4-3F78BE93B264}" destId="{2351816F-31A9-4B09-9F11-59DB35074F1A}" srcOrd="0" destOrd="0" presId="urn:microsoft.com/office/officeart/2005/8/layout/vList6"/>
    <dgm:cxn modelId="{31C2E667-DE53-4BC4-B59F-18D5AEEBABF6}" type="presParOf" srcId="{71641D73-8097-440D-A869-C39C4D34D3C0}" destId="{C5FCA0D3-100A-43E7-B0C7-676DD42F4D5C}" srcOrd="0" destOrd="0" presId="urn:microsoft.com/office/officeart/2005/8/layout/vList6"/>
    <dgm:cxn modelId="{C2B034A3-93C5-47FD-B583-D2D096406D0C}" type="presParOf" srcId="{C5FCA0D3-100A-43E7-B0C7-676DD42F4D5C}" destId="{2351816F-31A9-4B09-9F11-59DB35074F1A}" srcOrd="0" destOrd="0" presId="urn:microsoft.com/office/officeart/2005/8/layout/vList6"/>
    <dgm:cxn modelId="{8AF0B62C-6ABB-4C00-9747-09652C051D8D}" type="presParOf" srcId="{C5FCA0D3-100A-43E7-B0C7-676DD42F4D5C}" destId="{46CDF169-99BD-45B0-893F-169A6CD3C96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9855013-2983-4B36-BC2F-E05AF7CFF900}" type="doc">
      <dgm:prSet loTypeId="urn:microsoft.com/office/officeart/2005/8/layout/vList6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B9BF826-50B0-47D0-B9B4-3F78BE93B264}">
      <dgm:prSet phldrT="[Text]" custT="1"/>
      <dgm:spPr/>
      <dgm:t>
        <a:bodyPr/>
        <a:lstStyle/>
        <a:p>
          <a:r>
            <a:rPr lang="en-AU" sz="1700" b="1"/>
            <a:t>How do CHSP Providers work with assessors?</a:t>
          </a:r>
          <a:endParaRPr lang="en-US" sz="1700"/>
        </a:p>
      </dgm:t>
      <dgm:extLst>
        <a:ext uri="{E40237B7-FDA0-4F09-8148-C483321AD2D9}">
          <dgm14:cNvPr xmlns:dgm14="http://schemas.microsoft.com/office/drawing/2010/diagram" id="0" name="" descr="How do CHSP providers work with assessors" title="Question"/>
        </a:ext>
      </dgm:extLst>
    </dgm:pt>
    <dgm:pt modelId="{1559806A-0025-4658-9CC6-96F770021CFA}" type="parTrans" cxnId="{CC084C37-A2E2-4AFC-943F-D229BC33CB1F}">
      <dgm:prSet/>
      <dgm:spPr/>
      <dgm:t>
        <a:bodyPr/>
        <a:lstStyle/>
        <a:p>
          <a:endParaRPr lang="en-US"/>
        </a:p>
      </dgm:t>
    </dgm:pt>
    <dgm:pt modelId="{ADF9A536-F086-4AD6-9E69-38E912647355}" type="sibTrans" cxnId="{CC084C37-A2E2-4AFC-943F-D229BC33CB1F}">
      <dgm:prSet/>
      <dgm:spPr/>
      <dgm:t>
        <a:bodyPr/>
        <a:lstStyle/>
        <a:p>
          <a:endParaRPr lang="en-US"/>
        </a:p>
      </dgm:t>
    </dgm:pt>
    <dgm:pt modelId="{4EF7D2A6-0B79-4A58-A42D-EAFE1680A7B3}">
      <dgm:prSet phldrT="[Text]" custT="1"/>
      <dgm:spPr/>
      <dgm:t>
        <a:bodyPr/>
        <a:lstStyle/>
        <a:p>
          <a:r>
            <a:rPr lang="en-AU" sz="1300" b="0"/>
            <a:t>Reablement involves CHSP Providers working in partnership with assessors to motivate clients and deliver services that align with reablement goals outlined in the support plan.</a:t>
          </a:r>
          <a:endParaRPr lang="en-US" sz="1300" b="0"/>
        </a:p>
      </dgm:t>
      <dgm:extLst>
        <a:ext uri="{E40237B7-FDA0-4F09-8148-C483321AD2D9}">
          <dgm14:cNvPr xmlns:dgm14="http://schemas.microsoft.com/office/drawing/2010/diagram" id="0" name="" descr="Reablement involves CHSP Providers working in partnership with assessors to motivate clients and deliver services that align with reablement goals outlined in the support plan.&#10;" title="Answer to How do CHSP Providers work with assessors?"/>
        </a:ext>
      </dgm:extLst>
    </dgm:pt>
    <dgm:pt modelId="{58CF9D73-A31A-4435-BCF7-7FF14958FECD}" type="parTrans" cxnId="{5C4A8C24-0024-4DC5-9AD4-B985A5ACE995}">
      <dgm:prSet/>
      <dgm:spPr/>
      <dgm:t>
        <a:bodyPr/>
        <a:lstStyle/>
        <a:p>
          <a:endParaRPr lang="en-US"/>
        </a:p>
      </dgm:t>
    </dgm:pt>
    <dgm:pt modelId="{1A7D1A8A-F342-4F77-AB1A-0BC62D919E19}" type="sibTrans" cxnId="{5C4A8C24-0024-4DC5-9AD4-B985A5ACE995}">
      <dgm:prSet/>
      <dgm:spPr/>
      <dgm:t>
        <a:bodyPr/>
        <a:lstStyle/>
        <a:p>
          <a:endParaRPr lang="en-US"/>
        </a:p>
      </dgm:t>
    </dgm:pt>
    <dgm:pt modelId="{25D6BB17-68B6-4019-8F6B-AB8EAEBC6497}">
      <dgm:prSet phldrT="[Text]" custT="1"/>
      <dgm:spPr/>
      <dgm:t>
        <a:bodyPr/>
        <a:lstStyle/>
        <a:p>
          <a:endParaRPr lang="en-US" sz="1300" b="0"/>
        </a:p>
      </dgm:t>
    </dgm:pt>
    <dgm:pt modelId="{6DD80A8C-7BE3-4081-84CF-BECE6A600EEA}" type="parTrans" cxnId="{6FB0CFC0-1570-4F79-9319-1CF94887BC2C}">
      <dgm:prSet/>
      <dgm:spPr/>
      <dgm:t>
        <a:bodyPr/>
        <a:lstStyle/>
        <a:p>
          <a:endParaRPr lang="en-US"/>
        </a:p>
      </dgm:t>
    </dgm:pt>
    <dgm:pt modelId="{BE3B59D8-6192-4819-9706-879916E08B3B}" type="sibTrans" cxnId="{6FB0CFC0-1570-4F79-9319-1CF94887BC2C}">
      <dgm:prSet/>
      <dgm:spPr/>
      <dgm:t>
        <a:bodyPr/>
        <a:lstStyle/>
        <a:p>
          <a:endParaRPr lang="en-US"/>
        </a:p>
      </dgm:t>
    </dgm:pt>
    <dgm:pt modelId="{71641D73-8097-440D-A869-C39C4D34D3C0}" type="pres">
      <dgm:prSet presAssocID="{39855013-2983-4B36-BC2F-E05AF7CFF900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AU"/>
        </a:p>
      </dgm:t>
    </dgm:pt>
    <dgm:pt modelId="{C5FCA0D3-100A-43E7-B0C7-676DD42F4D5C}" type="pres">
      <dgm:prSet presAssocID="{6B9BF826-50B0-47D0-B9B4-3F78BE93B264}" presName="linNode" presStyleCnt="0"/>
      <dgm:spPr/>
    </dgm:pt>
    <dgm:pt modelId="{2351816F-31A9-4B09-9F11-59DB35074F1A}" type="pres">
      <dgm:prSet presAssocID="{6B9BF826-50B0-47D0-B9B4-3F78BE93B264}" presName="parentShp" presStyleLbl="node1" presStyleIdx="0" presStyleCnt="1" custLinFactNeighborX="-4167" custLinFactNeighborY="-597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CDF169-99BD-45B0-893F-169A6CD3C960}" type="pres">
      <dgm:prSet presAssocID="{6B9BF826-50B0-47D0-B9B4-3F78BE93B264}" presName="childShp" presStyleLbl="bgAccFollowNode1" presStyleIdx="0" presStyleCnt="1" custScaleY="62271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en-US"/>
        </a:p>
      </dgm:t>
    </dgm:pt>
  </dgm:ptLst>
  <dgm:cxnLst>
    <dgm:cxn modelId="{D816CA59-3CF8-4D42-99C8-52837F795597}" type="presOf" srcId="{4EF7D2A6-0B79-4A58-A42D-EAFE1680A7B3}" destId="{46CDF169-99BD-45B0-893F-169A6CD3C960}" srcOrd="0" destOrd="0" presId="urn:microsoft.com/office/officeart/2005/8/layout/vList6"/>
    <dgm:cxn modelId="{5C4A8C24-0024-4DC5-9AD4-B985A5ACE995}" srcId="{6B9BF826-50B0-47D0-B9B4-3F78BE93B264}" destId="{4EF7D2A6-0B79-4A58-A42D-EAFE1680A7B3}" srcOrd="0" destOrd="0" parTransId="{58CF9D73-A31A-4435-BCF7-7FF14958FECD}" sibTransId="{1A7D1A8A-F342-4F77-AB1A-0BC62D919E19}"/>
    <dgm:cxn modelId="{2E055649-57BD-4631-906D-02E93521B911}" type="presOf" srcId="{25D6BB17-68B6-4019-8F6B-AB8EAEBC6497}" destId="{46CDF169-99BD-45B0-893F-169A6CD3C960}" srcOrd="0" destOrd="1" presId="urn:microsoft.com/office/officeart/2005/8/layout/vList6"/>
    <dgm:cxn modelId="{2C5F0533-A377-4E09-A557-46A3C257A9D3}" type="presOf" srcId="{39855013-2983-4B36-BC2F-E05AF7CFF900}" destId="{71641D73-8097-440D-A869-C39C4D34D3C0}" srcOrd="0" destOrd="0" presId="urn:microsoft.com/office/officeart/2005/8/layout/vList6"/>
    <dgm:cxn modelId="{CC084C37-A2E2-4AFC-943F-D229BC33CB1F}" srcId="{39855013-2983-4B36-BC2F-E05AF7CFF900}" destId="{6B9BF826-50B0-47D0-B9B4-3F78BE93B264}" srcOrd="0" destOrd="0" parTransId="{1559806A-0025-4658-9CC6-96F770021CFA}" sibTransId="{ADF9A536-F086-4AD6-9E69-38E912647355}"/>
    <dgm:cxn modelId="{542647AB-78B5-4586-A6CD-CCBF1EF11DC5}" type="presOf" srcId="{6B9BF826-50B0-47D0-B9B4-3F78BE93B264}" destId="{2351816F-31A9-4B09-9F11-59DB35074F1A}" srcOrd="0" destOrd="0" presId="urn:microsoft.com/office/officeart/2005/8/layout/vList6"/>
    <dgm:cxn modelId="{6FB0CFC0-1570-4F79-9319-1CF94887BC2C}" srcId="{6B9BF826-50B0-47D0-B9B4-3F78BE93B264}" destId="{25D6BB17-68B6-4019-8F6B-AB8EAEBC6497}" srcOrd="1" destOrd="0" parTransId="{6DD80A8C-7BE3-4081-84CF-BECE6A600EEA}" sibTransId="{BE3B59D8-6192-4819-9706-879916E08B3B}"/>
    <dgm:cxn modelId="{31C2E667-DE53-4BC4-B59F-18D5AEEBABF6}" type="presParOf" srcId="{71641D73-8097-440D-A869-C39C4D34D3C0}" destId="{C5FCA0D3-100A-43E7-B0C7-676DD42F4D5C}" srcOrd="0" destOrd="0" presId="urn:microsoft.com/office/officeart/2005/8/layout/vList6"/>
    <dgm:cxn modelId="{C2B034A3-93C5-47FD-B583-D2D096406D0C}" type="presParOf" srcId="{C5FCA0D3-100A-43E7-B0C7-676DD42F4D5C}" destId="{2351816F-31A9-4B09-9F11-59DB35074F1A}" srcOrd="0" destOrd="0" presId="urn:microsoft.com/office/officeart/2005/8/layout/vList6"/>
    <dgm:cxn modelId="{8AF0B62C-6ABB-4C00-9747-09652C051D8D}" type="presParOf" srcId="{C5FCA0D3-100A-43E7-B0C7-676DD42F4D5C}" destId="{46CDF169-99BD-45B0-893F-169A6CD3C960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CDF169-99BD-45B0-893F-169A6CD3C960}">
      <dsp:nvSpPr>
        <dsp:cNvPr id="0" name=""/>
        <dsp:cNvSpPr/>
      </dsp:nvSpPr>
      <dsp:spPr>
        <a:xfrm>
          <a:off x="2355850" y="408177"/>
          <a:ext cx="3533775" cy="1396667"/>
        </a:xfrm>
        <a:prstGeom prst="flowChartAlternateProcess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300" b="0" kern="1200"/>
            <a:t>Reablement may involve delivering </a:t>
          </a:r>
          <a:r>
            <a:rPr lang="en-AU" sz="1300" b="0" u="sng" kern="1200"/>
            <a:t>time-limited interventions</a:t>
          </a:r>
          <a:r>
            <a:rPr lang="en-AU" sz="1300" b="0" kern="1200"/>
            <a:t> to support the client's goals.</a:t>
          </a:r>
          <a:endParaRPr lang="en-US" sz="1300" b="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300" b="0" kern="1200"/>
            <a:t>CHSP services must target a client’s specific </a:t>
          </a:r>
          <a:r>
            <a:rPr lang="en-AU" sz="1300" b="0" u="sng" kern="1200"/>
            <a:t>goals</a:t>
          </a:r>
          <a:r>
            <a:rPr lang="en-AU" sz="1300" b="0" kern="1200"/>
            <a:t> or desired </a:t>
          </a:r>
          <a:r>
            <a:rPr lang="en-AU" sz="1300" b="0" u="sng" kern="1200"/>
            <a:t>outcome</a:t>
          </a:r>
          <a:r>
            <a:rPr lang="en-AU" sz="1300" b="0" kern="1200"/>
            <a:t> to adapt to some functional loss, or gain confidence and capacity to undertake activities of daily living.</a:t>
          </a:r>
        </a:p>
      </dsp:txBody>
      <dsp:txXfrm>
        <a:off x="2424028" y="476355"/>
        <a:ext cx="3397419" cy="1260311"/>
      </dsp:txXfrm>
    </dsp:sp>
    <dsp:sp modelId="{2351816F-31A9-4B09-9F11-59DB35074F1A}">
      <dsp:nvSpPr>
        <dsp:cNvPr id="0" name=""/>
        <dsp:cNvSpPr/>
      </dsp:nvSpPr>
      <dsp:spPr>
        <a:xfrm>
          <a:off x="17244" y="213931"/>
          <a:ext cx="2355850" cy="1766102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700" b="1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700" b="1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b="1" kern="1200"/>
            <a:t>What is Reablement from a CHSP Provider perspective?</a:t>
          </a:r>
          <a:endParaRPr lang="en-AU" sz="1700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700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103458" y="300145"/>
        <a:ext cx="2183422" cy="15936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CDF169-99BD-45B0-893F-169A6CD3C960}">
      <dsp:nvSpPr>
        <dsp:cNvPr id="0" name=""/>
        <dsp:cNvSpPr/>
      </dsp:nvSpPr>
      <dsp:spPr>
        <a:xfrm>
          <a:off x="2280460" y="711"/>
          <a:ext cx="3416516" cy="1458992"/>
        </a:xfrm>
        <a:prstGeom prst="flowChartAlternateProcess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300" b="0" kern="1200"/>
            <a:t>Reablement involves CHSP Providers "doing with" clients not 'doing for".</a:t>
          </a:r>
          <a:endParaRPr lang="en-US" sz="1300" b="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/>
            <a:t>CHSP Providers should encourage individuals, families, and the community regarding the benefits of applying the reablement model and its importance in supporting clients to live independently for longer. </a:t>
          </a:r>
        </a:p>
      </dsp:txBody>
      <dsp:txXfrm>
        <a:off x="2351681" y="71932"/>
        <a:ext cx="3274074" cy="1316550"/>
      </dsp:txXfrm>
    </dsp:sp>
    <dsp:sp modelId="{2351816F-31A9-4B09-9F11-59DB35074F1A}">
      <dsp:nvSpPr>
        <dsp:cNvPr id="0" name=""/>
        <dsp:cNvSpPr/>
      </dsp:nvSpPr>
      <dsp:spPr>
        <a:xfrm>
          <a:off x="0" y="0"/>
          <a:ext cx="2277677" cy="145756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700" b="1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b="1" kern="1200"/>
            <a:t>How do CHSP providers work with consumers?</a:t>
          </a:r>
          <a:endParaRPr lang="en-AU" sz="1700" kern="1200"/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71152" y="71152"/>
        <a:ext cx="2135373" cy="13152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CDF169-99BD-45B0-893F-169A6CD3C960}">
      <dsp:nvSpPr>
        <dsp:cNvPr id="0" name=""/>
        <dsp:cNvSpPr/>
      </dsp:nvSpPr>
      <dsp:spPr>
        <a:xfrm>
          <a:off x="2279903" y="17241"/>
          <a:ext cx="3419856" cy="1443174"/>
        </a:xfrm>
        <a:prstGeom prst="flowChartAlternateProcess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300" b="0" kern="1200"/>
            <a:t>Referrals should only be accepted when time-limited services are readily available (except in locations with a single or limited services).</a:t>
          </a:r>
          <a:endParaRPr lang="en-US" sz="1300" b="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b="0" kern="1200"/>
            <a:t>This ensures clients are not subjected to wait lists when other service providers may have the availability to deliver services in a timely manner. </a:t>
          </a:r>
        </a:p>
      </dsp:txBody>
      <dsp:txXfrm>
        <a:off x="2350352" y="87690"/>
        <a:ext cx="3278958" cy="1302276"/>
      </dsp:txXfrm>
    </dsp:sp>
    <dsp:sp modelId="{2351816F-31A9-4B09-9F11-59DB35074F1A}">
      <dsp:nvSpPr>
        <dsp:cNvPr id="0" name=""/>
        <dsp:cNvSpPr/>
      </dsp:nvSpPr>
      <dsp:spPr>
        <a:xfrm>
          <a:off x="0" y="1426"/>
          <a:ext cx="2279904" cy="145898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b="1" kern="1200"/>
            <a:t>CHSP Service Delivery must be timely</a:t>
          </a:r>
          <a:endParaRPr lang="en-US" sz="1700" kern="1200"/>
        </a:p>
      </dsp:txBody>
      <dsp:txXfrm>
        <a:off x="71222" y="72648"/>
        <a:ext cx="2137460" cy="131654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CDF169-99BD-45B0-893F-169A6CD3C960}">
      <dsp:nvSpPr>
        <dsp:cNvPr id="0" name=""/>
        <dsp:cNvSpPr/>
      </dsp:nvSpPr>
      <dsp:spPr>
        <a:xfrm>
          <a:off x="2279903" y="275944"/>
          <a:ext cx="3419856" cy="908527"/>
        </a:xfrm>
        <a:prstGeom prst="flowChartAlternateProcess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300" b="0" kern="1200"/>
            <a:t>Reablement involves CHSP Providers working in partnership with assessors to motivate clients and deliver services that align with reablement goals outlined in the support plan.</a:t>
          </a:r>
          <a:endParaRPr lang="en-US" sz="1300" b="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300" b="0" kern="1200"/>
        </a:p>
      </dsp:txBody>
      <dsp:txXfrm>
        <a:off x="2324253" y="320294"/>
        <a:ext cx="3331156" cy="819827"/>
      </dsp:txXfrm>
    </dsp:sp>
    <dsp:sp modelId="{2351816F-31A9-4B09-9F11-59DB35074F1A}">
      <dsp:nvSpPr>
        <dsp:cNvPr id="0" name=""/>
        <dsp:cNvSpPr/>
      </dsp:nvSpPr>
      <dsp:spPr>
        <a:xfrm>
          <a:off x="0" y="0"/>
          <a:ext cx="2279904" cy="1458989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700" b="1" kern="1200"/>
            <a:t>How do CHSP Providers work with assessors?</a:t>
          </a:r>
          <a:endParaRPr lang="en-US" sz="1700" kern="1200"/>
        </a:p>
      </dsp:txBody>
      <dsp:txXfrm>
        <a:off x="71222" y="71222"/>
        <a:ext cx="2137460" cy="13165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5EC1-DF01-4E9C-B184-E1BF0615AD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DA49EB-01FC-4B6E-9E68-C9DCFF967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FEE196-291D-4D96-98D3-6A7FD0FFD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3EF57F-E6F4-4F82-9742-9D2CAFA1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Guide: Dual portal user logging into My Aged Care using VANguard</vt:lpstr>
    </vt:vector>
  </TitlesOfParts>
  <Company>FaHCSIA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Guide: Dual portal user logging into My Aged Care using VANguard</dc:title>
  <dc:creator>Huard John</dc:creator>
  <cp:lastModifiedBy>Martin, Mel</cp:lastModifiedBy>
  <cp:revision>2</cp:revision>
  <cp:lastPrinted>2019-10-08T05:27:00Z</cp:lastPrinted>
  <dcterms:created xsi:type="dcterms:W3CDTF">2019-12-12T01:16:00Z</dcterms:created>
  <dcterms:modified xsi:type="dcterms:W3CDTF">2019-12-12T01:16:00Z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