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39" w:rsidRDefault="00947339" w:rsidP="00947339">
      <w:pPr>
        <w:spacing w:after="480"/>
        <w:jc w:val="center"/>
        <w:rPr>
          <w:b/>
          <w:caps/>
        </w:rPr>
      </w:pPr>
      <w:bookmarkStart w:id="0" w:name="imageHolder"/>
      <w:bookmarkEnd w:id="0"/>
      <w:r w:rsidRPr="00D912DB">
        <w:rPr>
          <w:noProof/>
          <w:sz w:val="28"/>
          <w:szCs w:val="28"/>
        </w:rPr>
        <w:drawing>
          <wp:inline distT="0" distB="0" distL="0" distR="0" wp14:anchorId="5DD76AFF" wp14:editId="2C30982C">
            <wp:extent cx="1687830" cy="1009650"/>
            <wp:effectExtent l="0" t="0" r="7620" b="0"/>
            <wp:docPr id="2" name="Picture 2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403" cy="100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339" w:rsidRPr="00D23143" w:rsidRDefault="00965FE2" w:rsidP="00947339">
      <w:pPr>
        <w:spacing w:after="120"/>
        <w:jc w:val="center"/>
        <w:rPr>
          <w:b/>
          <w:sz w:val="32"/>
          <w:szCs w:val="32"/>
        </w:rPr>
      </w:pPr>
      <w:bookmarkStart w:id="1" w:name="Title"/>
      <w:bookmarkEnd w:id="1"/>
      <w:r>
        <w:rPr>
          <w:b/>
          <w:sz w:val="32"/>
          <w:szCs w:val="32"/>
        </w:rPr>
        <w:t xml:space="preserve">Residential Aged Care </w:t>
      </w:r>
      <w:r w:rsidR="00E379FF">
        <w:rPr>
          <w:b/>
          <w:sz w:val="32"/>
          <w:szCs w:val="32"/>
        </w:rPr>
        <w:t>Funding Reform Working Group</w:t>
      </w:r>
    </w:p>
    <w:p w:rsidR="00947339" w:rsidRPr="00D23143" w:rsidRDefault="00C63D28" w:rsidP="0094733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Communique</w:t>
      </w:r>
    </w:p>
    <w:p w:rsidR="00947339" w:rsidRPr="00FF5A65" w:rsidRDefault="00406C60" w:rsidP="00947339">
      <w:pPr>
        <w:spacing w:after="120"/>
        <w:jc w:val="center"/>
        <w:rPr>
          <w:b/>
        </w:rPr>
      </w:pPr>
      <w:r>
        <w:rPr>
          <w:b/>
        </w:rPr>
        <w:t>27</w:t>
      </w:r>
      <w:r w:rsidR="00E40E86">
        <w:rPr>
          <w:b/>
        </w:rPr>
        <w:t xml:space="preserve"> </w:t>
      </w:r>
      <w:r w:rsidR="00965FE2">
        <w:rPr>
          <w:b/>
        </w:rPr>
        <w:t>November</w:t>
      </w:r>
      <w:r w:rsidR="00947339" w:rsidRPr="00FF5A65">
        <w:rPr>
          <w:b/>
        </w:rPr>
        <w:t xml:space="preserve"> 201</w:t>
      </w:r>
      <w:r w:rsidR="0000684C" w:rsidRPr="00FF5A65">
        <w:rPr>
          <w:b/>
        </w:rPr>
        <w:t>9</w:t>
      </w:r>
    </w:p>
    <w:p w:rsidR="00947339" w:rsidRPr="00406C60" w:rsidRDefault="00DA3B86" w:rsidP="00947339">
      <w:pPr>
        <w:spacing w:after="120"/>
        <w:jc w:val="center"/>
        <w:rPr>
          <w:b/>
        </w:rPr>
      </w:pPr>
      <w:r w:rsidRPr="00406C60">
        <w:rPr>
          <w:b/>
        </w:rPr>
        <w:t>9:30</w:t>
      </w:r>
      <w:r w:rsidR="00947339" w:rsidRPr="00406C60">
        <w:rPr>
          <w:b/>
        </w:rPr>
        <w:t xml:space="preserve">am – </w:t>
      </w:r>
      <w:r w:rsidR="00AB6D7E" w:rsidRPr="00406C60">
        <w:rPr>
          <w:b/>
        </w:rPr>
        <w:t>4.</w:t>
      </w:r>
      <w:r w:rsidR="002D1D45" w:rsidRPr="00406C60">
        <w:rPr>
          <w:b/>
        </w:rPr>
        <w:t>15</w:t>
      </w:r>
      <w:r w:rsidR="004F5355" w:rsidRPr="00406C60">
        <w:rPr>
          <w:b/>
        </w:rPr>
        <w:t>p</w:t>
      </w:r>
      <w:r w:rsidR="00947339" w:rsidRPr="00406C60">
        <w:rPr>
          <w:b/>
        </w:rPr>
        <w:t>m</w:t>
      </w:r>
    </w:p>
    <w:p w:rsidR="000D6B79" w:rsidRDefault="00833184" w:rsidP="000D6B79">
      <w:pPr>
        <w:spacing w:after="120"/>
        <w:jc w:val="center"/>
      </w:pPr>
      <w:r w:rsidRPr="00406C60">
        <w:t>Department of Health</w:t>
      </w:r>
      <w:r w:rsidR="000D6B79">
        <w:t xml:space="preserve">, Scarborough House, Conference Rooms 3&amp;4, Level 1 </w:t>
      </w:r>
    </w:p>
    <w:p w:rsidR="000D6B79" w:rsidRDefault="000D6B79" w:rsidP="000D6B79">
      <w:pPr>
        <w:spacing w:after="120"/>
        <w:jc w:val="center"/>
      </w:pPr>
      <w:r>
        <w:t>Woden, ACT</w:t>
      </w:r>
    </w:p>
    <w:tbl>
      <w:tblPr>
        <w:tblStyle w:val="TableGrid"/>
        <w:tblW w:w="4933" w:type="pct"/>
        <w:tblLook w:val="04A0" w:firstRow="1" w:lastRow="0" w:firstColumn="1" w:lastColumn="0" w:noHBand="0" w:noVBand="1"/>
        <w:tblCaption w:val="&quot;"/>
        <w:tblDescription w:val="&quot;"/>
      </w:tblPr>
      <w:tblGrid>
        <w:gridCol w:w="1597"/>
        <w:gridCol w:w="7342"/>
      </w:tblGrid>
      <w:tr w:rsidR="00E83B95" w:rsidRPr="00D23143" w:rsidTr="00E73E17">
        <w:trPr>
          <w:trHeight w:val="402"/>
          <w:tblHeader/>
        </w:trPr>
        <w:tc>
          <w:tcPr>
            <w:tcW w:w="893" w:type="pct"/>
          </w:tcPr>
          <w:p w:rsidR="00E83B95" w:rsidRDefault="00E83B95" w:rsidP="00CE131A">
            <w:pPr>
              <w:spacing w:before="60" w:after="60"/>
              <w:rPr>
                <w:b/>
                <w:sz w:val="22"/>
              </w:rPr>
            </w:pPr>
            <w:bookmarkStart w:id="2" w:name="_GoBack" w:colFirst="0" w:colLast="2"/>
            <w:r w:rsidRPr="00E57676">
              <w:rPr>
                <w:b/>
                <w:sz w:val="22"/>
              </w:rPr>
              <w:t>AN-ACC Trial Update</w:t>
            </w:r>
          </w:p>
          <w:p w:rsidR="00E83B95" w:rsidRPr="00E57676" w:rsidRDefault="00E83B95" w:rsidP="00CE131A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4107" w:type="pct"/>
            <w:vAlign w:val="center"/>
          </w:tcPr>
          <w:p w:rsidR="00E83B95" w:rsidRDefault="0022293F" w:rsidP="00EC6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The department </w:t>
            </w:r>
            <w:r w:rsidR="00E83B95">
              <w:rPr>
                <w:sz w:val="22"/>
              </w:rPr>
              <w:t xml:space="preserve">provided an update on the trial which </w:t>
            </w:r>
            <w:r w:rsidR="00C1417D">
              <w:rPr>
                <w:sz w:val="22"/>
              </w:rPr>
              <w:t xml:space="preserve">had commenced </w:t>
            </w:r>
            <w:r w:rsidR="009703F0">
              <w:rPr>
                <w:sz w:val="22"/>
              </w:rPr>
              <w:t>on Monday 25 November</w:t>
            </w:r>
            <w:r w:rsidR="00E83B95">
              <w:rPr>
                <w:sz w:val="22"/>
              </w:rPr>
              <w:t>, and reported that:</w:t>
            </w:r>
          </w:p>
          <w:p w:rsidR="00E83B95" w:rsidRDefault="0022293F" w:rsidP="007C1089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The</w:t>
            </w:r>
            <w:r w:rsidR="00E83B95">
              <w:rPr>
                <w:sz w:val="22"/>
              </w:rPr>
              <w:t xml:space="preserve"> purpose of the trial is not to retest the tool but to field-test the logistics of external assessment and the assessment tool.</w:t>
            </w:r>
          </w:p>
          <w:p w:rsidR="00E83B95" w:rsidRDefault="00E83B95" w:rsidP="00EC69CD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21 assessments had been uploaded by five assessors</w:t>
            </w:r>
            <w:r w:rsidR="00087702">
              <w:rPr>
                <w:sz w:val="22"/>
              </w:rPr>
              <w:t xml:space="preserve"> as at 27 November</w:t>
            </w:r>
            <w:r w:rsidR="00C1417D">
              <w:rPr>
                <w:sz w:val="22"/>
              </w:rPr>
              <w:t>.</w:t>
            </w:r>
          </w:p>
          <w:p w:rsidR="0022293F" w:rsidRDefault="0022293F" w:rsidP="00EC69CD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T</w:t>
            </w:r>
            <w:r w:rsidR="00E83B95">
              <w:rPr>
                <w:sz w:val="22"/>
              </w:rPr>
              <w:t xml:space="preserve">he trial is being supported by four assessment management organisations: </w:t>
            </w:r>
          </w:p>
          <w:p w:rsidR="0022293F" w:rsidRDefault="00E83B95" w:rsidP="0022293F">
            <w:pPr>
              <w:pStyle w:val="ListParagraph"/>
              <w:numPr>
                <w:ilvl w:val="1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Access Care Network Australia, </w:t>
            </w:r>
          </w:p>
          <w:p w:rsidR="0022293F" w:rsidRDefault="00E83B95" w:rsidP="0022293F">
            <w:pPr>
              <w:pStyle w:val="ListParagraph"/>
              <w:numPr>
                <w:ilvl w:val="1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Aspire 4 Life, </w:t>
            </w:r>
          </w:p>
          <w:p w:rsidR="0022293F" w:rsidRDefault="00E83B95" w:rsidP="0022293F">
            <w:pPr>
              <w:pStyle w:val="ListParagraph"/>
              <w:numPr>
                <w:ilvl w:val="1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Care Tasmania and </w:t>
            </w:r>
          </w:p>
          <w:p w:rsidR="0022293F" w:rsidRDefault="00E83B95" w:rsidP="0022293F">
            <w:pPr>
              <w:pStyle w:val="ListParagraph"/>
              <w:numPr>
                <w:ilvl w:val="1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Healthcare Australia. </w:t>
            </w:r>
          </w:p>
          <w:p w:rsidR="00E83B95" w:rsidRDefault="00E83B95" w:rsidP="0022293F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These four organisations were chosen from 20 compliant tender applications.</w:t>
            </w:r>
          </w:p>
          <w:p w:rsidR="00E83B95" w:rsidRDefault="00E83B95" w:rsidP="00EC69CD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Training commenced on 14-15 November in Sydney where 18 assessors were trained. Training was supported by Australian Health Services Research Institute (AHSRI) at the University of Wollongong (UoW). </w:t>
            </w:r>
          </w:p>
          <w:p w:rsidR="00E83B95" w:rsidRDefault="00E83B95" w:rsidP="00EC69CD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The trial will take in place in residential aged care facilities across every state and territory.</w:t>
            </w:r>
          </w:p>
          <w:p w:rsidR="00E83B95" w:rsidRDefault="00E83B95" w:rsidP="00EC69CD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Assessors will conduct the assessment using a paper form, and upload the content via an electronic tablet.</w:t>
            </w:r>
          </w:p>
          <w:p w:rsidR="00E83B95" w:rsidRPr="00FC3ECD" w:rsidRDefault="00E83B95" w:rsidP="0022293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Members wanted to know how rural and remote assessments were being facilitated. </w:t>
            </w:r>
            <w:r w:rsidR="0022293F">
              <w:rPr>
                <w:sz w:val="22"/>
              </w:rPr>
              <w:t xml:space="preserve">The </w:t>
            </w:r>
            <w:r w:rsidR="00C1417D">
              <w:rPr>
                <w:sz w:val="22"/>
              </w:rPr>
              <w:t>department</w:t>
            </w:r>
            <w:r w:rsidRPr="00FC3ECD">
              <w:rPr>
                <w:sz w:val="22"/>
              </w:rPr>
              <w:t xml:space="preserve"> informed members that one assessment organisation was flying its staff to undertake assessments in rural and remote Australia (i.e. Kimberley).</w:t>
            </w:r>
            <w:r>
              <w:rPr>
                <w:sz w:val="22"/>
              </w:rPr>
              <w:t xml:space="preserve"> </w:t>
            </w:r>
          </w:p>
        </w:tc>
      </w:tr>
      <w:bookmarkEnd w:id="2"/>
      <w:tr w:rsidR="00E83B95" w:rsidRPr="00D23143" w:rsidTr="00C1417D">
        <w:trPr>
          <w:trHeight w:val="893"/>
        </w:trPr>
        <w:tc>
          <w:tcPr>
            <w:tcW w:w="893" w:type="pct"/>
          </w:tcPr>
          <w:p w:rsidR="00E83B95" w:rsidRPr="003D7EE9" w:rsidRDefault="00E83B95" w:rsidP="00CE131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AN-ACC Overview and </w:t>
            </w:r>
            <w:r w:rsidRPr="003D7EE9">
              <w:rPr>
                <w:b/>
                <w:sz w:val="22"/>
              </w:rPr>
              <w:t>Consultation Paper feedback</w:t>
            </w:r>
          </w:p>
        </w:tc>
        <w:tc>
          <w:tcPr>
            <w:tcW w:w="4107" w:type="pct"/>
            <w:vAlign w:val="center"/>
          </w:tcPr>
          <w:p w:rsidR="00156886" w:rsidRDefault="00044238" w:rsidP="00FC725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It was </w:t>
            </w:r>
            <w:r w:rsidR="00E83B95">
              <w:rPr>
                <w:sz w:val="22"/>
              </w:rPr>
              <w:t xml:space="preserve">discussed that </w:t>
            </w:r>
            <w:r w:rsidR="00B126B7">
              <w:rPr>
                <w:sz w:val="22"/>
              </w:rPr>
              <w:t>the Aged Care Funding Instrument (</w:t>
            </w:r>
            <w:r w:rsidR="00E83B95">
              <w:rPr>
                <w:sz w:val="22"/>
              </w:rPr>
              <w:t>ACFI</w:t>
            </w:r>
            <w:r w:rsidR="00B126B7">
              <w:rPr>
                <w:sz w:val="22"/>
              </w:rPr>
              <w:t>)</w:t>
            </w:r>
            <w:r w:rsidR="00E83B95">
              <w:rPr>
                <w:sz w:val="22"/>
              </w:rPr>
              <w:t xml:space="preserve"> has led to perverse incentives; is resource intensive on residential aged care facilities, and has created instability in funding for both providers and government. </w:t>
            </w:r>
          </w:p>
          <w:p w:rsidR="0026475C" w:rsidRDefault="00044238" w:rsidP="00FC725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</w:t>
            </w:r>
            <w:r w:rsidR="00156886">
              <w:rPr>
                <w:sz w:val="22"/>
              </w:rPr>
              <w:t xml:space="preserve">he </w:t>
            </w:r>
            <w:r w:rsidR="00E83B95">
              <w:rPr>
                <w:sz w:val="22"/>
              </w:rPr>
              <w:t>benefits of AN-ACC</w:t>
            </w:r>
            <w:r>
              <w:rPr>
                <w:sz w:val="22"/>
              </w:rPr>
              <w:t xml:space="preserve"> were noted</w:t>
            </w:r>
            <w:r w:rsidR="00E83B95">
              <w:rPr>
                <w:sz w:val="22"/>
              </w:rPr>
              <w:t xml:space="preserve">, </w:t>
            </w:r>
            <w:r w:rsidR="0026475C">
              <w:rPr>
                <w:sz w:val="22"/>
              </w:rPr>
              <w:t xml:space="preserve">which </w:t>
            </w:r>
            <w:r w:rsidR="00E83B95">
              <w:rPr>
                <w:sz w:val="22"/>
              </w:rPr>
              <w:t>include</w:t>
            </w:r>
            <w:r w:rsidR="0026475C">
              <w:rPr>
                <w:sz w:val="22"/>
              </w:rPr>
              <w:t>:</w:t>
            </w:r>
          </w:p>
          <w:p w:rsidR="0026475C" w:rsidRDefault="0026475C" w:rsidP="0026475C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external assessment</w:t>
            </w:r>
          </w:p>
          <w:p w:rsidR="0026475C" w:rsidRDefault="00E83B95" w:rsidP="0026475C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sz w:val="22"/>
              </w:rPr>
            </w:pPr>
            <w:r w:rsidRPr="0026475C">
              <w:rPr>
                <w:sz w:val="22"/>
              </w:rPr>
              <w:t>fixed funding in recognition of the challenges of service provision</w:t>
            </w:r>
            <w:r w:rsidR="0026475C">
              <w:rPr>
                <w:sz w:val="22"/>
              </w:rPr>
              <w:t xml:space="preserve"> in rural and remote Australia</w:t>
            </w:r>
          </w:p>
          <w:p w:rsidR="00E83B95" w:rsidRPr="0026475C" w:rsidRDefault="00E83B95" w:rsidP="0026475C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sz w:val="22"/>
              </w:rPr>
            </w:pPr>
            <w:r w:rsidRPr="0026475C">
              <w:rPr>
                <w:sz w:val="22"/>
              </w:rPr>
              <w:t>annual costing studies to replac</w:t>
            </w:r>
            <w:r w:rsidR="0026475C">
              <w:rPr>
                <w:sz w:val="22"/>
              </w:rPr>
              <w:t xml:space="preserve">e </w:t>
            </w:r>
            <w:r w:rsidR="00087702">
              <w:rPr>
                <w:sz w:val="22"/>
              </w:rPr>
              <w:t xml:space="preserve">indexation </w:t>
            </w:r>
          </w:p>
          <w:p w:rsidR="00E83B95" w:rsidRPr="00C94425" w:rsidRDefault="0048314E" w:rsidP="0004423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Members noted the broader benefits of AN-ACC, but </w:t>
            </w:r>
            <w:r w:rsidR="00044238">
              <w:rPr>
                <w:sz w:val="22"/>
              </w:rPr>
              <w:t xml:space="preserve">raised concerns </w:t>
            </w:r>
            <w:r>
              <w:rPr>
                <w:sz w:val="22"/>
              </w:rPr>
              <w:t xml:space="preserve">that this would need to be understood in the context of the impact of AN-ACC on provider viability. </w:t>
            </w:r>
          </w:p>
        </w:tc>
      </w:tr>
      <w:tr w:rsidR="00E83B95" w:rsidRPr="00C070F4" w:rsidTr="00C1417D">
        <w:trPr>
          <w:trHeight w:val="799"/>
        </w:trPr>
        <w:tc>
          <w:tcPr>
            <w:tcW w:w="893" w:type="pct"/>
          </w:tcPr>
          <w:p w:rsidR="00E83B95" w:rsidRPr="00C95D33" w:rsidRDefault="00E83B95" w:rsidP="00CE13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The role of AN-ACC annual costing studies to inform price</w:t>
            </w:r>
          </w:p>
        </w:tc>
        <w:tc>
          <w:tcPr>
            <w:tcW w:w="4107" w:type="pct"/>
            <w:vAlign w:val="center"/>
          </w:tcPr>
          <w:p w:rsidR="00E83B95" w:rsidRDefault="00CE6BF6" w:rsidP="00D77426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The department </w:t>
            </w:r>
            <w:r w:rsidR="00E83B95">
              <w:rPr>
                <w:sz w:val="22"/>
              </w:rPr>
              <w:t xml:space="preserve">presented on the role </w:t>
            </w:r>
            <w:r w:rsidR="00044238">
              <w:rPr>
                <w:sz w:val="22"/>
              </w:rPr>
              <w:t xml:space="preserve">of </w:t>
            </w:r>
            <w:r w:rsidR="00E83B95">
              <w:rPr>
                <w:sz w:val="22"/>
              </w:rPr>
              <w:t xml:space="preserve">the annual costing study, and </w:t>
            </w:r>
            <w:r w:rsidR="00044238">
              <w:rPr>
                <w:sz w:val="22"/>
              </w:rPr>
              <w:t xml:space="preserve">noted </w:t>
            </w:r>
            <w:r w:rsidR="00E83B95">
              <w:rPr>
                <w:sz w:val="22"/>
              </w:rPr>
              <w:t xml:space="preserve">that ACFA had called for a more robust system of distributing subsidy. It is proposed that the annual costing study would </w:t>
            </w:r>
            <w:r w:rsidR="00044238">
              <w:rPr>
                <w:sz w:val="22"/>
              </w:rPr>
              <w:t>inform future consideration of price increases rather than indexation being set using a fixed Wage Cost Index as currently</w:t>
            </w:r>
            <w:r w:rsidR="00281A86">
              <w:rPr>
                <w:sz w:val="22"/>
              </w:rPr>
              <w:t>.</w:t>
            </w:r>
          </w:p>
          <w:p w:rsidR="00E83B95" w:rsidRDefault="00E83B95" w:rsidP="00D77426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Members </w:t>
            </w:r>
            <w:r w:rsidR="00044238">
              <w:rPr>
                <w:sz w:val="22"/>
              </w:rPr>
              <w:t>raised issues on</w:t>
            </w:r>
            <w:r>
              <w:rPr>
                <w:sz w:val="22"/>
              </w:rPr>
              <w:t xml:space="preserve"> whether the parameters/results of the costing study would be disclosed publicly</w:t>
            </w:r>
            <w:r w:rsidR="00044238">
              <w:rPr>
                <w:sz w:val="22"/>
              </w:rPr>
              <w:t>, and</w:t>
            </w:r>
            <w:r w:rsidR="00CE6BF6">
              <w:rPr>
                <w:sz w:val="22"/>
              </w:rPr>
              <w:t xml:space="preserve"> what data the department/independent pricing authority </w:t>
            </w:r>
            <w:r w:rsidR="0048314E">
              <w:rPr>
                <w:sz w:val="22"/>
              </w:rPr>
              <w:t xml:space="preserve">requires </w:t>
            </w:r>
            <w:r w:rsidR="00CE6BF6">
              <w:rPr>
                <w:sz w:val="22"/>
              </w:rPr>
              <w:t>to inform the annual costing studies.</w:t>
            </w:r>
          </w:p>
          <w:p w:rsidR="00E83B95" w:rsidDel="00C95D33" w:rsidRDefault="00E83B95" w:rsidP="0048314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Members discussed </w:t>
            </w:r>
            <w:r w:rsidR="0048314E">
              <w:rPr>
                <w:sz w:val="22"/>
              </w:rPr>
              <w:t xml:space="preserve">their appetite for </w:t>
            </w:r>
            <w:r>
              <w:rPr>
                <w:sz w:val="22"/>
              </w:rPr>
              <w:t>involvement in the development of data standards and definitions</w:t>
            </w:r>
            <w:r w:rsidR="0048314E">
              <w:rPr>
                <w:sz w:val="22"/>
              </w:rPr>
              <w:t xml:space="preserve"> to inform the annual costing studies</w:t>
            </w:r>
            <w:r w:rsidR="00044238">
              <w:rPr>
                <w:sz w:val="22"/>
              </w:rPr>
              <w:t>, which would facilitate further discussion on these issues</w:t>
            </w:r>
            <w:r>
              <w:rPr>
                <w:sz w:val="22"/>
              </w:rPr>
              <w:t xml:space="preserve">. </w:t>
            </w:r>
          </w:p>
        </w:tc>
      </w:tr>
      <w:tr w:rsidR="00E83B95" w:rsidRPr="00C070F4" w:rsidTr="00C1417D">
        <w:trPr>
          <w:trHeight w:val="954"/>
        </w:trPr>
        <w:tc>
          <w:tcPr>
            <w:tcW w:w="893" w:type="pct"/>
          </w:tcPr>
          <w:p w:rsidR="00E83B95" w:rsidRPr="00E57676" w:rsidRDefault="00E83B95" w:rsidP="00CE131A">
            <w:pPr>
              <w:spacing w:before="60" w:after="60"/>
              <w:rPr>
                <w:b/>
                <w:sz w:val="22"/>
              </w:rPr>
            </w:pPr>
            <w:r w:rsidRPr="00E57676">
              <w:rPr>
                <w:b/>
                <w:sz w:val="22"/>
              </w:rPr>
              <w:lastRenderedPageBreak/>
              <w:t>Base care tariff (fixed funding)</w:t>
            </w:r>
          </w:p>
          <w:p w:rsidR="00E83B95" w:rsidRPr="002A3C1E" w:rsidRDefault="00E83B95" w:rsidP="002A3C1E">
            <w:pPr>
              <w:spacing w:before="60" w:after="60"/>
              <w:rPr>
                <w:sz w:val="22"/>
              </w:rPr>
            </w:pPr>
          </w:p>
        </w:tc>
        <w:tc>
          <w:tcPr>
            <w:tcW w:w="4107" w:type="pct"/>
            <w:vAlign w:val="center"/>
          </w:tcPr>
          <w:p w:rsidR="00E83B95" w:rsidRDefault="00CE6BF6" w:rsidP="002A3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The department</w:t>
            </w:r>
            <w:r w:rsidR="00E83B95">
              <w:rPr>
                <w:sz w:val="22"/>
              </w:rPr>
              <w:t xml:space="preserve"> presented on the base care tariffs and the </w:t>
            </w:r>
            <w:proofErr w:type="spellStart"/>
            <w:r w:rsidR="006145B2">
              <w:rPr>
                <w:sz w:val="22"/>
              </w:rPr>
              <w:t>UoW</w:t>
            </w:r>
            <w:r w:rsidR="002A3C1E">
              <w:rPr>
                <w:sz w:val="22"/>
              </w:rPr>
              <w:t>’s</w:t>
            </w:r>
            <w:proofErr w:type="spellEnd"/>
            <w:r w:rsidR="00E83B95">
              <w:rPr>
                <w:sz w:val="22"/>
              </w:rPr>
              <w:t xml:space="preserve"> MMM</w:t>
            </w:r>
            <w:r w:rsidR="00B126B7">
              <w:rPr>
                <w:sz w:val="22"/>
              </w:rPr>
              <w:t xml:space="preserve"> </w:t>
            </w:r>
            <w:r w:rsidR="00E83B95">
              <w:rPr>
                <w:sz w:val="22"/>
              </w:rPr>
              <w:t>3-</w:t>
            </w:r>
            <w:r w:rsidR="00044238">
              <w:rPr>
                <w:sz w:val="22"/>
              </w:rPr>
              <w:t>5</w:t>
            </w:r>
            <w:r w:rsidR="00E83B95">
              <w:rPr>
                <w:sz w:val="22"/>
              </w:rPr>
              <w:t xml:space="preserve"> Costing Study</w:t>
            </w:r>
            <w:r w:rsidR="00F453E8">
              <w:rPr>
                <w:sz w:val="22"/>
              </w:rPr>
              <w:t>. This study confirmed earlier findings</w:t>
            </w:r>
            <w:r w:rsidR="00E83B95">
              <w:rPr>
                <w:sz w:val="22"/>
              </w:rPr>
              <w:t xml:space="preserve"> that average fixed costs are similar across MMM regions 1-5. </w:t>
            </w:r>
          </w:p>
          <w:p w:rsidR="00044238" w:rsidRPr="005F201C" w:rsidRDefault="00044238" w:rsidP="00B126B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Concerns were noted that these areas still may face higher costs in other areas, such as delivery of hotel </w:t>
            </w:r>
            <w:r w:rsidR="00B126B7" w:rsidRPr="00485523">
              <w:rPr>
                <w:sz w:val="22"/>
              </w:rPr>
              <w:t>t</w:t>
            </w:r>
            <w:r w:rsidR="00D26977" w:rsidRPr="00485523">
              <w:rPr>
                <w:sz w:val="22"/>
              </w:rPr>
              <w:t>y</w:t>
            </w:r>
            <w:r w:rsidR="00B126B7" w:rsidRPr="00485523">
              <w:rPr>
                <w:sz w:val="22"/>
              </w:rPr>
              <w:t>pe</w:t>
            </w:r>
            <w:r>
              <w:rPr>
                <w:sz w:val="22"/>
              </w:rPr>
              <w:t xml:space="preserve"> services, and also face challenges on staffing and access to allied health professionals.</w:t>
            </w:r>
          </w:p>
        </w:tc>
      </w:tr>
      <w:tr w:rsidR="00E83B95" w:rsidRPr="00C070F4" w:rsidTr="00C1417D">
        <w:trPr>
          <w:trHeight w:val="692"/>
        </w:trPr>
        <w:tc>
          <w:tcPr>
            <w:tcW w:w="893" w:type="pct"/>
          </w:tcPr>
          <w:p w:rsidR="00E83B95" w:rsidRPr="00E57676" w:rsidRDefault="00E83B95" w:rsidP="00CE131A">
            <w:pPr>
              <w:spacing w:before="60" w:after="60"/>
              <w:rPr>
                <w:sz w:val="22"/>
              </w:rPr>
            </w:pPr>
            <w:r w:rsidRPr="005F782B">
              <w:rPr>
                <w:b/>
                <w:sz w:val="22"/>
              </w:rPr>
              <w:t>Interface of AN-ACC on broader aged care system</w:t>
            </w:r>
          </w:p>
        </w:tc>
        <w:tc>
          <w:tcPr>
            <w:tcW w:w="4107" w:type="pct"/>
            <w:vAlign w:val="center"/>
          </w:tcPr>
          <w:p w:rsidR="00E83B95" w:rsidRDefault="00E83B95" w:rsidP="00FB410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ACFI rather than driving care planning, </w:t>
            </w:r>
            <w:r w:rsidR="00281A86">
              <w:rPr>
                <w:sz w:val="22"/>
              </w:rPr>
              <w:t>can drive</w:t>
            </w:r>
            <w:r>
              <w:rPr>
                <w:sz w:val="22"/>
              </w:rPr>
              <w:t xml:space="preserve"> what services were delivered. Members noted the Aged Care Quality Standards are driving the </w:t>
            </w:r>
            <w:r w:rsidR="00485523">
              <w:rPr>
                <w:sz w:val="22"/>
              </w:rPr>
              <w:t>shift</w:t>
            </w:r>
            <w:r>
              <w:rPr>
                <w:sz w:val="22"/>
              </w:rPr>
              <w:t xml:space="preserve"> towards comprehensive care planning. Members noted that AN-ACC was seeking to remove the perverse incentives characterised by ACFI.</w:t>
            </w:r>
          </w:p>
          <w:p w:rsidR="00E83B95" w:rsidRDefault="00E83B95" w:rsidP="00FB410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Members noted that the ACFI tool currently collects a lot of dat</w:t>
            </w:r>
            <w:r w:rsidR="002A3C1E">
              <w:rPr>
                <w:sz w:val="22"/>
              </w:rPr>
              <w:t>a on dementia and other diagnose</w:t>
            </w:r>
            <w:r>
              <w:rPr>
                <w:sz w:val="22"/>
              </w:rPr>
              <w:t xml:space="preserve">s codes, </w:t>
            </w:r>
            <w:r w:rsidR="00F5450B">
              <w:rPr>
                <w:sz w:val="22"/>
              </w:rPr>
              <w:t>and discussed how to continue collecting this data once AN-ACC is implemented.</w:t>
            </w:r>
          </w:p>
          <w:p w:rsidR="00E83B95" w:rsidDel="00306D04" w:rsidRDefault="00E83B95" w:rsidP="00FB410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Members noted that the prescriptiveness of ACFI had stymied innovation (task-based focus) and that AN-ACC would not mandate tasks for funding eligibility. </w:t>
            </w:r>
          </w:p>
        </w:tc>
      </w:tr>
      <w:tr w:rsidR="00E83B95" w:rsidRPr="00C070F4" w:rsidTr="00C1417D">
        <w:trPr>
          <w:trHeight w:val="295"/>
        </w:trPr>
        <w:tc>
          <w:tcPr>
            <w:tcW w:w="893" w:type="pct"/>
          </w:tcPr>
          <w:p w:rsidR="00E83B95" w:rsidRPr="00E57676" w:rsidRDefault="00E83B95" w:rsidP="00CE131A">
            <w:pPr>
              <w:spacing w:before="60" w:after="60"/>
              <w:rPr>
                <w:b/>
                <w:sz w:val="22"/>
              </w:rPr>
            </w:pPr>
            <w:r w:rsidRPr="00E57676">
              <w:rPr>
                <w:b/>
                <w:sz w:val="22"/>
              </w:rPr>
              <w:t>Next steps</w:t>
            </w:r>
          </w:p>
        </w:tc>
        <w:tc>
          <w:tcPr>
            <w:tcW w:w="4107" w:type="pct"/>
            <w:vAlign w:val="center"/>
          </w:tcPr>
          <w:p w:rsidR="00087702" w:rsidRDefault="00087702" w:rsidP="0008770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The department discussed that the Working Group would meet on a quarterly basis with aim to schedule the next meeting for February 2020.</w:t>
            </w:r>
          </w:p>
          <w:p w:rsidR="00E83B95" w:rsidRPr="00AE157C" w:rsidRDefault="00E83B95" w:rsidP="00AE157C">
            <w:pPr>
              <w:spacing w:before="60" w:after="60"/>
              <w:rPr>
                <w:sz w:val="22"/>
              </w:rPr>
            </w:pPr>
          </w:p>
        </w:tc>
      </w:tr>
      <w:tr w:rsidR="00F5450B" w:rsidRPr="00D23143" w:rsidTr="0099731E">
        <w:trPr>
          <w:trHeight w:val="302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F5450B" w:rsidRPr="00D23143" w:rsidRDefault="00F5450B" w:rsidP="00C67258">
            <w:pPr>
              <w:spacing w:before="60" w:after="60"/>
              <w:jc w:val="center"/>
              <w:rPr>
                <w:sz w:val="22"/>
              </w:rPr>
            </w:pPr>
            <w:r w:rsidRPr="00D23143">
              <w:rPr>
                <w:b/>
                <w:sz w:val="22"/>
              </w:rPr>
              <w:t>Meeting close</w:t>
            </w:r>
          </w:p>
        </w:tc>
      </w:tr>
    </w:tbl>
    <w:p w:rsidR="00003743" w:rsidRPr="00D23143" w:rsidRDefault="00003743" w:rsidP="00B338D5">
      <w:pPr>
        <w:rPr>
          <w:sz w:val="22"/>
        </w:rPr>
      </w:pPr>
    </w:p>
    <w:sectPr w:rsidR="00003743" w:rsidRPr="00D23143" w:rsidSect="00D248E3">
      <w:headerReference w:type="default" r:id="rId9"/>
      <w:footerReference w:type="first" r:id="rId10"/>
      <w:pgSz w:w="11906" w:h="16838" w:code="9"/>
      <w:pgMar w:top="720" w:right="1418" w:bottom="35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41" w:rsidRDefault="00895F41">
      <w:r>
        <w:separator/>
      </w:r>
    </w:p>
  </w:endnote>
  <w:endnote w:type="continuationSeparator" w:id="0">
    <w:p w:rsidR="00895F41" w:rsidRDefault="0089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DB" w:rsidRPr="00461016" w:rsidRDefault="00E73E17" w:rsidP="008931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41" w:rsidRDefault="00895F41">
      <w:r>
        <w:separator/>
      </w:r>
    </w:p>
  </w:footnote>
  <w:footnote w:type="continuationSeparator" w:id="0">
    <w:p w:rsidR="00895F41" w:rsidRDefault="0089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DB" w:rsidRDefault="00947339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rFonts w:eastAsiaTheme="majorEastAsia"/>
        <w:sz w:val="20"/>
        <w:szCs w:val="20"/>
      </w:rPr>
      <w:fldChar w:fldCharType="begin"/>
    </w:r>
    <w:r>
      <w:rPr>
        <w:rStyle w:val="PageNumber"/>
        <w:rFonts w:eastAsiaTheme="majorEastAsia"/>
        <w:sz w:val="20"/>
        <w:szCs w:val="20"/>
      </w:rPr>
      <w:instrText xml:space="preserve"> PAGE </w:instrText>
    </w:r>
    <w:r>
      <w:rPr>
        <w:rStyle w:val="PageNumber"/>
        <w:rFonts w:eastAsiaTheme="majorEastAsia"/>
        <w:sz w:val="20"/>
        <w:szCs w:val="20"/>
      </w:rPr>
      <w:fldChar w:fldCharType="separate"/>
    </w:r>
    <w:r w:rsidR="00E73E17">
      <w:rPr>
        <w:rStyle w:val="PageNumber"/>
        <w:rFonts w:eastAsiaTheme="majorEastAsia"/>
        <w:noProof/>
        <w:sz w:val="20"/>
        <w:szCs w:val="20"/>
      </w:rPr>
      <w:t>2</w:t>
    </w:r>
    <w:r>
      <w:rPr>
        <w:rStyle w:val="PageNumber"/>
        <w:rFonts w:eastAsiaTheme="majorEastAsia"/>
        <w:sz w:val="20"/>
        <w:szCs w:val="20"/>
      </w:rPr>
      <w:fldChar w:fldCharType="end"/>
    </w:r>
    <w:r>
      <w:rPr>
        <w:rStyle w:val="PageNumber"/>
        <w:rFonts w:eastAsiaTheme="majorEastAsia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811"/>
    <w:multiLevelType w:val="hybridMultilevel"/>
    <w:tmpl w:val="3E768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CF7"/>
    <w:multiLevelType w:val="hybridMultilevel"/>
    <w:tmpl w:val="F2BCC5A8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5FB5"/>
    <w:multiLevelType w:val="hybridMultilevel"/>
    <w:tmpl w:val="BE52C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402"/>
    <w:multiLevelType w:val="hybridMultilevel"/>
    <w:tmpl w:val="A6DA7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746F"/>
    <w:multiLevelType w:val="hybridMultilevel"/>
    <w:tmpl w:val="0ECC0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4721"/>
    <w:multiLevelType w:val="hybridMultilevel"/>
    <w:tmpl w:val="25A23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96AB8"/>
    <w:multiLevelType w:val="hybridMultilevel"/>
    <w:tmpl w:val="E1E00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5360"/>
    <w:multiLevelType w:val="hybridMultilevel"/>
    <w:tmpl w:val="97CAC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D66DA"/>
    <w:multiLevelType w:val="hybridMultilevel"/>
    <w:tmpl w:val="FDBCD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C0B2A"/>
    <w:multiLevelType w:val="hybridMultilevel"/>
    <w:tmpl w:val="0D1E92A2"/>
    <w:lvl w:ilvl="0" w:tplc="7DEC6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A687B"/>
    <w:multiLevelType w:val="hybridMultilevel"/>
    <w:tmpl w:val="F9D62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50937"/>
    <w:multiLevelType w:val="hybridMultilevel"/>
    <w:tmpl w:val="D2CC812C"/>
    <w:lvl w:ilvl="0" w:tplc="F482C748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B7098"/>
    <w:multiLevelType w:val="hybridMultilevel"/>
    <w:tmpl w:val="6D4EC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42F3"/>
    <w:multiLevelType w:val="hybridMultilevel"/>
    <w:tmpl w:val="B74C5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E61D3"/>
    <w:multiLevelType w:val="multilevel"/>
    <w:tmpl w:val="2D048270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6DD4FF0"/>
    <w:multiLevelType w:val="hybridMultilevel"/>
    <w:tmpl w:val="CCE89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9071A"/>
    <w:multiLevelType w:val="hybridMultilevel"/>
    <w:tmpl w:val="F7F405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536A4"/>
    <w:multiLevelType w:val="hybridMultilevel"/>
    <w:tmpl w:val="8AF8D022"/>
    <w:lvl w:ilvl="0" w:tplc="7DEC6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E01D9"/>
    <w:multiLevelType w:val="hybridMultilevel"/>
    <w:tmpl w:val="F4724D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F377A"/>
    <w:multiLevelType w:val="hybridMultilevel"/>
    <w:tmpl w:val="27567CC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51E74768"/>
    <w:multiLevelType w:val="hybridMultilevel"/>
    <w:tmpl w:val="51D60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1A0F"/>
    <w:multiLevelType w:val="hybridMultilevel"/>
    <w:tmpl w:val="D39A6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0660B"/>
    <w:multiLevelType w:val="hybridMultilevel"/>
    <w:tmpl w:val="1786CA06"/>
    <w:lvl w:ilvl="0" w:tplc="2D0A460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27956"/>
    <w:multiLevelType w:val="hybridMultilevel"/>
    <w:tmpl w:val="74009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D0D67"/>
    <w:multiLevelType w:val="hybridMultilevel"/>
    <w:tmpl w:val="FDBCD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A0895"/>
    <w:multiLevelType w:val="hybridMultilevel"/>
    <w:tmpl w:val="7E7CB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D1F50"/>
    <w:multiLevelType w:val="hybridMultilevel"/>
    <w:tmpl w:val="D4B8304E"/>
    <w:lvl w:ilvl="0" w:tplc="F482C748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03B05"/>
    <w:multiLevelType w:val="hybridMultilevel"/>
    <w:tmpl w:val="EDF4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F6328"/>
    <w:multiLevelType w:val="hybridMultilevel"/>
    <w:tmpl w:val="8252F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D22E7"/>
    <w:multiLevelType w:val="hybridMultilevel"/>
    <w:tmpl w:val="700E578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20E5373"/>
    <w:multiLevelType w:val="hybridMultilevel"/>
    <w:tmpl w:val="72722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A0F99"/>
    <w:multiLevelType w:val="hybridMultilevel"/>
    <w:tmpl w:val="278CA9E4"/>
    <w:lvl w:ilvl="0" w:tplc="2D0A460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F1984"/>
    <w:multiLevelType w:val="hybridMultilevel"/>
    <w:tmpl w:val="78C0C38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A6E33"/>
    <w:multiLevelType w:val="hybridMultilevel"/>
    <w:tmpl w:val="11404326"/>
    <w:lvl w:ilvl="0" w:tplc="2D0A460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EF13AE1"/>
    <w:multiLevelType w:val="hybridMultilevel"/>
    <w:tmpl w:val="1C6474C4"/>
    <w:lvl w:ilvl="0" w:tplc="0C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3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21"/>
  </w:num>
  <w:num w:numId="10">
    <w:abstractNumId w:val="6"/>
  </w:num>
  <w:num w:numId="11">
    <w:abstractNumId w:val="12"/>
  </w:num>
  <w:num w:numId="12">
    <w:abstractNumId w:val="13"/>
  </w:num>
  <w:num w:numId="13">
    <w:abstractNumId w:val="32"/>
  </w:num>
  <w:num w:numId="14">
    <w:abstractNumId w:val="14"/>
  </w:num>
  <w:num w:numId="15">
    <w:abstractNumId w:val="16"/>
  </w:num>
  <w:num w:numId="16">
    <w:abstractNumId w:val="18"/>
  </w:num>
  <w:num w:numId="17">
    <w:abstractNumId w:val="29"/>
  </w:num>
  <w:num w:numId="18">
    <w:abstractNumId w:val="15"/>
  </w:num>
  <w:num w:numId="19">
    <w:abstractNumId w:val="28"/>
  </w:num>
  <w:num w:numId="20">
    <w:abstractNumId w:val="20"/>
  </w:num>
  <w:num w:numId="21">
    <w:abstractNumId w:val="27"/>
  </w:num>
  <w:num w:numId="22">
    <w:abstractNumId w:val="7"/>
  </w:num>
  <w:num w:numId="23">
    <w:abstractNumId w:val="8"/>
  </w:num>
  <w:num w:numId="24">
    <w:abstractNumId w:val="24"/>
  </w:num>
  <w:num w:numId="25">
    <w:abstractNumId w:val="25"/>
  </w:num>
  <w:num w:numId="26">
    <w:abstractNumId w:val="33"/>
  </w:num>
  <w:num w:numId="27">
    <w:abstractNumId w:val="22"/>
  </w:num>
  <w:num w:numId="28">
    <w:abstractNumId w:val="31"/>
  </w:num>
  <w:num w:numId="29">
    <w:abstractNumId w:val="11"/>
  </w:num>
  <w:num w:numId="30">
    <w:abstractNumId w:val="26"/>
  </w:num>
  <w:num w:numId="31">
    <w:abstractNumId w:val="34"/>
  </w:num>
  <w:num w:numId="32">
    <w:abstractNumId w:val="1"/>
  </w:num>
  <w:num w:numId="33">
    <w:abstractNumId w:val="17"/>
  </w:num>
  <w:num w:numId="34">
    <w:abstractNumId w:val="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9"/>
    <w:rsid w:val="00003743"/>
    <w:rsid w:val="000066F3"/>
    <w:rsid w:val="0000684C"/>
    <w:rsid w:val="000103EB"/>
    <w:rsid w:val="000151E4"/>
    <w:rsid w:val="00015E71"/>
    <w:rsid w:val="00044238"/>
    <w:rsid w:val="000526CA"/>
    <w:rsid w:val="00053E3F"/>
    <w:rsid w:val="00067456"/>
    <w:rsid w:val="00073EE8"/>
    <w:rsid w:val="00077E01"/>
    <w:rsid w:val="0008085E"/>
    <w:rsid w:val="00087702"/>
    <w:rsid w:val="00096D81"/>
    <w:rsid w:val="000A18AB"/>
    <w:rsid w:val="000A602B"/>
    <w:rsid w:val="000B32D5"/>
    <w:rsid w:val="000B78EF"/>
    <w:rsid w:val="000D6B79"/>
    <w:rsid w:val="000E0D41"/>
    <w:rsid w:val="000F62C1"/>
    <w:rsid w:val="00116AE1"/>
    <w:rsid w:val="001209A2"/>
    <w:rsid w:val="00133CF0"/>
    <w:rsid w:val="00134186"/>
    <w:rsid w:val="00136165"/>
    <w:rsid w:val="00136A0B"/>
    <w:rsid w:val="00136EB0"/>
    <w:rsid w:val="00155F46"/>
    <w:rsid w:val="00156886"/>
    <w:rsid w:val="001653ED"/>
    <w:rsid w:val="00166137"/>
    <w:rsid w:val="00176F61"/>
    <w:rsid w:val="001860D9"/>
    <w:rsid w:val="001A1546"/>
    <w:rsid w:val="001B3443"/>
    <w:rsid w:val="001C7E31"/>
    <w:rsid w:val="001E2A74"/>
    <w:rsid w:val="001E6003"/>
    <w:rsid w:val="001F4A77"/>
    <w:rsid w:val="0022293F"/>
    <w:rsid w:val="00261A4C"/>
    <w:rsid w:val="00262075"/>
    <w:rsid w:val="0026475C"/>
    <w:rsid w:val="002760D7"/>
    <w:rsid w:val="002809F4"/>
    <w:rsid w:val="00281A86"/>
    <w:rsid w:val="00282679"/>
    <w:rsid w:val="002859BC"/>
    <w:rsid w:val="00293D00"/>
    <w:rsid w:val="00293D5E"/>
    <w:rsid w:val="00294B98"/>
    <w:rsid w:val="002A115A"/>
    <w:rsid w:val="002A2A09"/>
    <w:rsid w:val="002A3960"/>
    <w:rsid w:val="002A3C1E"/>
    <w:rsid w:val="002D1D45"/>
    <w:rsid w:val="002D54B4"/>
    <w:rsid w:val="002E03D0"/>
    <w:rsid w:val="002F36B2"/>
    <w:rsid w:val="002F3AE3"/>
    <w:rsid w:val="00301B34"/>
    <w:rsid w:val="00306D04"/>
    <w:rsid w:val="0030786C"/>
    <w:rsid w:val="00311336"/>
    <w:rsid w:val="003209D5"/>
    <w:rsid w:val="00322FB9"/>
    <w:rsid w:val="00327864"/>
    <w:rsid w:val="0033561E"/>
    <w:rsid w:val="003744F9"/>
    <w:rsid w:val="00380774"/>
    <w:rsid w:val="00381EE9"/>
    <w:rsid w:val="00384581"/>
    <w:rsid w:val="00396F87"/>
    <w:rsid w:val="00397BA1"/>
    <w:rsid w:val="003B2B0B"/>
    <w:rsid w:val="003B483A"/>
    <w:rsid w:val="003C4078"/>
    <w:rsid w:val="003D019B"/>
    <w:rsid w:val="003D17F9"/>
    <w:rsid w:val="003D7EE9"/>
    <w:rsid w:val="00406C60"/>
    <w:rsid w:val="00425F4E"/>
    <w:rsid w:val="00442043"/>
    <w:rsid w:val="004477EC"/>
    <w:rsid w:val="00454D71"/>
    <w:rsid w:val="00476F2D"/>
    <w:rsid w:val="004770AB"/>
    <w:rsid w:val="0048057A"/>
    <w:rsid w:val="004825C9"/>
    <w:rsid w:val="0048314E"/>
    <w:rsid w:val="00485523"/>
    <w:rsid w:val="00485628"/>
    <w:rsid w:val="004867E2"/>
    <w:rsid w:val="00490474"/>
    <w:rsid w:val="00491F33"/>
    <w:rsid w:val="004953E8"/>
    <w:rsid w:val="004B1B13"/>
    <w:rsid w:val="004B3B7A"/>
    <w:rsid w:val="004D353F"/>
    <w:rsid w:val="004E2F2E"/>
    <w:rsid w:val="004E6176"/>
    <w:rsid w:val="004E639E"/>
    <w:rsid w:val="004E6E0D"/>
    <w:rsid w:val="004E7940"/>
    <w:rsid w:val="004F5355"/>
    <w:rsid w:val="0050560A"/>
    <w:rsid w:val="00507DB9"/>
    <w:rsid w:val="0051528B"/>
    <w:rsid w:val="00536017"/>
    <w:rsid w:val="005742F2"/>
    <w:rsid w:val="00586E92"/>
    <w:rsid w:val="005A5869"/>
    <w:rsid w:val="005F201C"/>
    <w:rsid w:val="005F2170"/>
    <w:rsid w:val="005F782B"/>
    <w:rsid w:val="006145B2"/>
    <w:rsid w:val="00616DBC"/>
    <w:rsid w:val="00622459"/>
    <w:rsid w:val="006358AF"/>
    <w:rsid w:val="0064497D"/>
    <w:rsid w:val="00682FCE"/>
    <w:rsid w:val="006910B5"/>
    <w:rsid w:val="00697342"/>
    <w:rsid w:val="006A1089"/>
    <w:rsid w:val="006C079E"/>
    <w:rsid w:val="006C46E7"/>
    <w:rsid w:val="006C4DC2"/>
    <w:rsid w:val="006D5825"/>
    <w:rsid w:val="006E0B8C"/>
    <w:rsid w:val="006E366B"/>
    <w:rsid w:val="00712D56"/>
    <w:rsid w:val="00741079"/>
    <w:rsid w:val="0074241B"/>
    <w:rsid w:val="0074481D"/>
    <w:rsid w:val="00745F9D"/>
    <w:rsid w:val="00753A58"/>
    <w:rsid w:val="00766648"/>
    <w:rsid w:val="0076678E"/>
    <w:rsid w:val="00771627"/>
    <w:rsid w:val="007766C6"/>
    <w:rsid w:val="0078075D"/>
    <w:rsid w:val="00793F36"/>
    <w:rsid w:val="00795941"/>
    <w:rsid w:val="007A08EA"/>
    <w:rsid w:val="007A32F0"/>
    <w:rsid w:val="007B2537"/>
    <w:rsid w:val="007B3A12"/>
    <w:rsid w:val="007C1089"/>
    <w:rsid w:val="007C6398"/>
    <w:rsid w:val="007D055A"/>
    <w:rsid w:val="007D3A62"/>
    <w:rsid w:val="008077AD"/>
    <w:rsid w:val="008264EB"/>
    <w:rsid w:val="00833184"/>
    <w:rsid w:val="00834BE5"/>
    <w:rsid w:val="00840331"/>
    <w:rsid w:val="0087695C"/>
    <w:rsid w:val="00885710"/>
    <w:rsid w:val="00895182"/>
    <w:rsid w:val="00895F41"/>
    <w:rsid w:val="008A1CB9"/>
    <w:rsid w:val="008A24AA"/>
    <w:rsid w:val="008C51E2"/>
    <w:rsid w:val="008F65C3"/>
    <w:rsid w:val="009174B5"/>
    <w:rsid w:val="00921F2D"/>
    <w:rsid w:val="009349CF"/>
    <w:rsid w:val="00947339"/>
    <w:rsid w:val="009623BD"/>
    <w:rsid w:val="009628F2"/>
    <w:rsid w:val="00965FE2"/>
    <w:rsid w:val="009703F0"/>
    <w:rsid w:val="009742AA"/>
    <w:rsid w:val="00983873"/>
    <w:rsid w:val="00990C61"/>
    <w:rsid w:val="00990DA0"/>
    <w:rsid w:val="0099731E"/>
    <w:rsid w:val="009C769C"/>
    <w:rsid w:val="009E5603"/>
    <w:rsid w:val="009F0BE6"/>
    <w:rsid w:val="00A0477E"/>
    <w:rsid w:val="00A2407F"/>
    <w:rsid w:val="00A3143F"/>
    <w:rsid w:val="00A41A48"/>
    <w:rsid w:val="00A4512D"/>
    <w:rsid w:val="00A608CD"/>
    <w:rsid w:val="00A705AF"/>
    <w:rsid w:val="00A71B3F"/>
    <w:rsid w:val="00A7386D"/>
    <w:rsid w:val="00A77EF2"/>
    <w:rsid w:val="00A86AB0"/>
    <w:rsid w:val="00A87FE7"/>
    <w:rsid w:val="00AA52A6"/>
    <w:rsid w:val="00AB27E1"/>
    <w:rsid w:val="00AB2A3B"/>
    <w:rsid w:val="00AB3C2B"/>
    <w:rsid w:val="00AB6D7E"/>
    <w:rsid w:val="00AB775A"/>
    <w:rsid w:val="00AD3CC5"/>
    <w:rsid w:val="00AE157C"/>
    <w:rsid w:val="00AE4524"/>
    <w:rsid w:val="00AF06F7"/>
    <w:rsid w:val="00AF388E"/>
    <w:rsid w:val="00AF64AD"/>
    <w:rsid w:val="00B126B7"/>
    <w:rsid w:val="00B12939"/>
    <w:rsid w:val="00B276A1"/>
    <w:rsid w:val="00B338D5"/>
    <w:rsid w:val="00B37339"/>
    <w:rsid w:val="00B4114A"/>
    <w:rsid w:val="00B42851"/>
    <w:rsid w:val="00B5609E"/>
    <w:rsid w:val="00B74B7A"/>
    <w:rsid w:val="00B96D39"/>
    <w:rsid w:val="00BC38CA"/>
    <w:rsid w:val="00BC62E3"/>
    <w:rsid w:val="00BE02F2"/>
    <w:rsid w:val="00BE1C18"/>
    <w:rsid w:val="00BF31A2"/>
    <w:rsid w:val="00C070F4"/>
    <w:rsid w:val="00C074CE"/>
    <w:rsid w:val="00C1417D"/>
    <w:rsid w:val="00C30E66"/>
    <w:rsid w:val="00C3633C"/>
    <w:rsid w:val="00C44595"/>
    <w:rsid w:val="00C514A6"/>
    <w:rsid w:val="00C57154"/>
    <w:rsid w:val="00C63D28"/>
    <w:rsid w:val="00C67258"/>
    <w:rsid w:val="00C81C9D"/>
    <w:rsid w:val="00C84DA0"/>
    <w:rsid w:val="00C85C5C"/>
    <w:rsid w:val="00C94425"/>
    <w:rsid w:val="00C95D33"/>
    <w:rsid w:val="00CA648C"/>
    <w:rsid w:val="00CB0EF1"/>
    <w:rsid w:val="00CB5B1A"/>
    <w:rsid w:val="00CC051F"/>
    <w:rsid w:val="00CE131A"/>
    <w:rsid w:val="00CE6BF6"/>
    <w:rsid w:val="00CF147B"/>
    <w:rsid w:val="00CF28A9"/>
    <w:rsid w:val="00CF44C0"/>
    <w:rsid w:val="00CF5E19"/>
    <w:rsid w:val="00D1085A"/>
    <w:rsid w:val="00D21F0C"/>
    <w:rsid w:val="00D23143"/>
    <w:rsid w:val="00D248E3"/>
    <w:rsid w:val="00D26977"/>
    <w:rsid w:val="00D30154"/>
    <w:rsid w:val="00D41880"/>
    <w:rsid w:val="00D44E46"/>
    <w:rsid w:val="00D464DC"/>
    <w:rsid w:val="00D55ECE"/>
    <w:rsid w:val="00D66ECC"/>
    <w:rsid w:val="00D74393"/>
    <w:rsid w:val="00D77426"/>
    <w:rsid w:val="00D93753"/>
    <w:rsid w:val="00D94B0B"/>
    <w:rsid w:val="00DA3B86"/>
    <w:rsid w:val="00DB7E4D"/>
    <w:rsid w:val="00DC6725"/>
    <w:rsid w:val="00DE0B3F"/>
    <w:rsid w:val="00DF04D6"/>
    <w:rsid w:val="00E35278"/>
    <w:rsid w:val="00E379FF"/>
    <w:rsid w:val="00E404CF"/>
    <w:rsid w:val="00E40E86"/>
    <w:rsid w:val="00E53719"/>
    <w:rsid w:val="00E5504D"/>
    <w:rsid w:val="00E57676"/>
    <w:rsid w:val="00E70BFA"/>
    <w:rsid w:val="00E71486"/>
    <w:rsid w:val="00E724F4"/>
    <w:rsid w:val="00E73E17"/>
    <w:rsid w:val="00E80AD3"/>
    <w:rsid w:val="00E83B95"/>
    <w:rsid w:val="00E95572"/>
    <w:rsid w:val="00EB4AE4"/>
    <w:rsid w:val="00EC69CD"/>
    <w:rsid w:val="00ED1EBC"/>
    <w:rsid w:val="00EF23EA"/>
    <w:rsid w:val="00EF3286"/>
    <w:rsid w:val="00F001FC"/>
    <w:rsid w:val="00F25CE3"/>
    <w:rsid w:val="00F276ED"/>
    <w:rsid w:val="00F318CC"/>
    <w:rsid w:val="00F31A09"/>
    <w:rsid w:val="00F453E8"/>
    <w:rsid w:val="00F5450B"/>
    <w:rsid w:val="00F5483B"/>
    <w:rsid w:val="00F62DA8"/>
    <w:rsid w:val="00F67685"/>
    <w:rsid w:val="00F825D3"/>
    <w:rsid w:val="00F91AF8"/>
    <w:rsid w:val="00FB4109"/>
    <w:rsid w:val="00FB785F"/>
    <w:rsid w:val="00FC1308"/>
    <w:rsid w:val="00FC2F92"/>
    <w:rsid w:val="00FC3ECD"/>
    <w:rsid w:val="00FC7257"/>
    <w:rsid w:val="00FF16E1"/>
    <w:rsid w:val="00FF4907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938E1715-C2D6-47EF-A67B-9D5764B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39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9473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7339"/>
    <w:rPr>
      <w:sz w:val="24"/>
      <w:szCs w:val="24"/>
    </w:rPr>
  </w:style>
  <w:style w:type="paragraph" w:styleId="Footer">
    <w:name w:val="footer"/>
    <w:basedOn w:val="Normal"/>
    <w:link w:val="FooterChar"/>
    <w:rsid w:val="00947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7339"/>
    <w:rPr>
      <w:sz w:val="24"/>
      <w:szCs w:val="24"/>
    </w:rPr>
  </w:style>
  <w:style w:type="character" w:styleId="PageNumber">
    <w:name w:val="page number"/>
    <w:basedOn w:val="DefaultParagraphFont"/>
    <w:rsid w:val="00947339"/>
  </w:style>
  <w:style w:type="paragraph" w:styleId="BalloonText">
    <w:name w:val="Balloon Text"/>
    <w:basedOn w:val="Normal"/>
    <w:link w:val="BalloonTextChar"/>
    <w:rsid w:val="00947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73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4D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4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D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4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D408-9718-44CA-A7E8-C4099004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634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HUARD, John</cp:lastModifiedBy>
  <cp:revision>9</cp:revision>
  <cp:lastPrinted>2019-12-12T00:18:00Z</cp:lastPrinted>
  <dcterms:created xsi:type="dcterms:W3CDTF">2019-12-11T23:57:00Z</dcterms:created>
  <dcterms:modified xsi:type="dcterms:W3CDTF">2019-12-19T23:24:00Z</dcterms:modified>
</cp:coreProperties>
</file>