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35877" w14:textId="77777777" w:rsidR="009904E3" w:rsidRDefault="009904E3" w:rsidP="009904E3">
      <w:pPr>
        <w:autoSpaceDE w:val="0"/>
        <w:autoSpaceDN w:val="0"/>
        <w:adjustRightInd w:val="0"/>
        <w:spacing w:before="480" w:after="480"/>
        <w:ind w:left="720" w:right="187"/>
        <w:jc w:val="center"/>
      </w:pPr>
      <w:r>
        <w:rPr>
          <w:noProof/>
          <w:lang w:val="en-US" w:eastAsia="en-US"/>
        </w:rPr>
        <w:drawing>
          <wp:inline distT="0" distB="0" distL="0" distR="0" wp14:anchorId="6C1A349A" wp14:editId="4460EA36">
            <wp:extent cx="2765503" cy="1577801"/>
            <wp:effectExtent l="0" t="0" r="0" b="3810"/>
            <wp:docPr id="4" name="Picture 4" descr="The Commonwealth Coat of Arms contains a shield with the symbols of the six Australian states. These symbols are enclosed in a border to represent federation in 1901, when the states united to form a nation. The shield is held by two native Australian animals, a kangaroo to the left and an emu to the right."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0" cy="1575945"/>
                    </a:xfrm>
                    <a:prstGeom prst="rect">
                      <a:avLst/>
                    </a:prstGeom>
                    <a:noFill/>
                    <a:ln>
                      <a:noFill/>
                    </a:ln>
                  </pic:spPr>
                </pic:pic>
              </a:graphicData>
            </a:graphic>
          </wp:inline>
        </w:drawing>
      </w:r>
    </w:p>
    <w:p w14:paraId="4905A5A6" w14:textId="7D2E5DCC" w:rsidR="00242D2A" w:rsidRPr="001B0C81" w:rsidRDefault="009904E3" w:rsidP="001B0C81">
      <w:pPr>
        <w:pStyle w:val="Heading1"/>
      </w:pPr>
      <w:r w:rsidRPr="001B0C81">
        <w:t>Australian Government response to the</w:t>
      </w:r>
      <w:r w:rsidR="00242D2A" w:rsidRPr="001B0C81">
        <w:t xml:space="preserve"> </w:t>
      </w:r>
      <w:r w:rsidR="00F41C80" w:rsidRPr="001B0C81">
        <w:t>House of Representatives</w:t>
      </w:r>
      <w:r w:rsidR="00480B93" w:rsidRPr="001B0C81">
        <w:t>’</w:t>
      </w:r>
      <w:r w:rsidR="00F41C80" w:rsidRPr="001B0C81">
        <w:t xml:space="preserve"> Standing Committee on Health, Aged Care and Sport </w:t>
      </w:r>
    </w:p>
    <w:p w14:paraId="78B0A8AB" w14:textId="77777777" w:rsidR="00476073" w:rsidRPr="001B0C81" w:rsidRDefault="00476073" w:rsidP="001B0C81">
      <w:pPr>
        <w:pStyle w:val="Heading1"/>
        <w:rPr>
          <w:i/>
        </w:rPr>
      </w:pPr>
      <w:r w:rsidRPr="001B0C81">
        <w:rPr>
          <w:i/>
        </w:rPr>
        <w:t>Report on the Inquiry into the Quality of Care in Residential Aged Care Facilities in Australia</w:t>
      </w:r>
    </w:p>
    <w:p w14:paraId="12C08A40" w14:textId="7C4E7767" w:rsidR="00F41C80" w:rsidRDefault="00A05D8E" w:rsidP="00CA1764">
      <w:pPr>
        <w:spacing w:before="4000"/>
        <w:jc w:val="right"/>
        <w:rPr>
          <w:sz w:val="28"/>
          <w:szCs w:val="28"/>
        </w:rPr>
      </w:pPr>
      <w:r>
        <w:rPr>
          <w:sz w:val="28"/>
          <w:szCs w:val="28"/>
        </w:rPr>
        <w:t xml:space="preserve">October </w:t>
      </w:r>
      <w:r w:rsidR="00F41C80">
        <w:rPr>
          <w:sz w:val="28"/>
          <w:szCs w:val="28"/>
        </w:rPr>
        <w:t>2019</w:t>
      </w:r>
    </w:p>
    <w:p w14:paraId="7F847D35" w14:textId="77777777" w:rsidR="00F41C80" w:rsidRDefault="00F41C80">
      <w:pPr>
        <w:spacing w:after="200" w:line="276" w:lineRule="auto"/>
        <w:rPr>
          <w:sz w:val="28"/>
          <w:szCs w:val="28"/>
        </w:rPr>
      </w:pPr>
      <w:r>
        <w:rPr>
          <w:sz w:val="28"/>
          <w:szCs w:val="28"/>
        </w:rPr>
        <w:br w:type="page"/>
      </w:r>
    </w:p>
    <w:p w14:paraId="18C450CB" w14:textId="77777777" w:rsidR="00A528CD" w:rsidRPr="001B0C81" w:rsidRDefault="00A528CD" w:rsidP="001B0C81">
      <w:pPr>
        <w:pStyle w:val="Heading2"/>
      </w:pPr>
      <w:r w:rsidRPr="001B0C81">
        <w:lastRenderedPageBreak/>
        <w:t>Introduction</w:t>
      </w:r>
    </w:p>
    <w:p w14:paraId="3E5C3D02" w14:textId="77777777" w:rsidR="00A528CD" w:rsidRDefault="00A528CD" w:rsidP="00C443ED"/>
    <w:p w14:paraId="739D5795" w14:textId="6660F25C" w:rsidR="00A528CD" w:rsidRDefault="00A528CD" w:rsidP="00C443ED">
      <w:r w:rsidRPr="004E0038">
        <w:t>The Australian Government welcomes the House of Representatives</w:t>
      </w:r>
      <w:r w:rsidR="00480B93">
        <w:t>’</w:t>
      </w:r>
      <w:r w:rsidRPr="004E0038">
        <w:t xml:space="preserve"> Standing Committee on Health, Aged Care and Sport </w:t>
      </w:r>
      <w:r w:rsidR="003675BE">
        <w:t xml:space="preserve">(the Committee) </w:t>
      </w:r>
      <w:r w:rsidRPr="004E0038">
        <w:rPr>
          <w:i/>
        </w:rPr>
        <w:t>Report on the Inquiry into the Quality of Care in Residential Aged Care Facilities in Australia</w:t>
      </w:r>
      <w:r w:rsidRPr="004E0038">
        <w:t>.</w:t>
      </w:r>
    </w:p>
    <w:p w14:paraId="7635D182" w14:textId="77777777" w:rsidR="00D21A8C" w:rsidRPr="004E0038" w:rsidRDefault="00D21A8C"/>
    <w:p w14:paraId="09B3551A" w14:textId="77777777" w:rsidR="00A528CD" w:rsidRPr="004E0038" w:rsidRDefault="00A528CD">
      <w:r w:rsidRPr="004E0038">
        <w:t>The Government thanks the Committee for its work, and notes the wide range of matters covered in the submissions and evidence from individuals and organisations with an interest in the quality of care delivered in residential aged care.</w:t>
      </w:r>
    </w:p>
    <w:p w14:paraId="3FD47713" w14:textId="77777777" w:rsidR="00604E96" w:rsidRDefault="00604E96">
      <w:pPr>
        <w:rPr>
          <w:u w:val="single"/>
        </w:rPr>
      </w:pPr>
    </w:p>
    <w:p w14:paraId="28A7E09F" w14:textId="474CF462" w:rsidR="00C42B90" w:rsidRDefault="003675BE" w:rsidP="00C42B90">
      <w:pPr>
        <w:spacing w:after="120"/>
      </w:pPr>
      <w:r>
        <w:t xml:space="preserve">Since the Minister for Health and Sport, the Hon Greg Hunt MP, referred the </w:t>
      </w:r>
      <w:r>
        <w:rPr>
          <w:i/>
        </w:rPr>
        <w:t xml:space="preserve">Inquiry into the Quality of Care in Residential Aged Care Facilities in Australia </w:t>
      </w:r>
      <w:r>
        <w:t>to the Committee</w:t>
      </w:r>
      <w:r w:rsidR="00FA31B4">
        <w:t>,</w:t>
      </w:r>
      <w:r>
        <w:t xml:space="preserve"> as acknowledged in the Report, there have been substantial reforms progressed </w:t>
      </w:r>
      <w:r w:rsidR="00FA31B4">
        <w:t xml:space="preserve">regarding </w:t>
      </w:r>
      <w:r>
        <w:t>the provision of quality of care in aged care services</w:t>
      </w:r>
      <w:r w:rsidR="000511DE">
        <w:t>,</w:t>
      </w:r>
      <w:r>
        <w:t xml:space="preserve"> including</w:t>
      </w:r>
      <w:r w:rsidR="00C42B90">
        <w:t xml:space="preserve"> the 2018-19 </w:t>
      </w:r>
      <w:r w:rsidR="00B750F9">
        <w:br/>
      </w:r>
      <w:r w:rsidR="00C42B90" w:rsidRPr="009D2A34">
        <w:rPr>
          <w:i/>
        </w:rPr>
        <w:t>Better Quality of Care</w:t>
      </w:r>
      <w:r w:rsidR="00C42B90">
        <w:t xml:space="preserve"> and </w:t>
      </w:r>
      <w:r w:rsidR="00B750F9" w:rsidRPr="00710F85">
        <w:t>2018-19</w:t>
      </w:r>
      <w:r w:rsidR="00B750F9">
        <w:rPr>
          <w:i/>
        </w:rPr>
        <w:t xml:space="preserve"> </w:t>
      </w:r>
      <w:r w:rsidR="00093EAD">
        <w:t xml:space="preserve">and </w:t>
      </w:r>
      <w:r w:rsidR="00C42B90">
        <w:t xml:space="preserve">2019-20 </w:t>
      </w:r>
      <w:r w:rsidR="00C42B90" w:rsidRPr="009D2A34">
        <w:rPr>
          <w:i/>
        </w:rPr>
        <w:t>More Choices for a Longer Life</w:t>
      </w:r>
      <w:r w:rsidR="00C42B90">
        <w:t xml:space="preserve"> Budget </w:t>
      </w:r>
      <w:r w:rsidR="00A52E4A">
        <w:t>measures</w:t>
      </w:r>
      <w:r w:rsidR="00C42B90">
        <w:t xml:space="preserve">. These include the following </w:t>
      </w:r>
      <w:r w:rsidR="00412366">
        <w:t>initiatives</w:t>
      </w:r>
      <w:r w:rsidR="00C42B90">
        <w:t>:</w:t>
      </w:r>
    </w:p>
    <w:p w14:paraId="641D2790" w14:textId="77777777" w:rsidR="003675BE" w:rsidRDefault="003675BE" w:rsidP="003675BE">
      <w:pPr>
        <w:pStyle w:val="ListParagraph"/>
        <w:numPr>
          <w:ilvl w:val="0"/>
          <w:numId w:val="28"/>
        </w:numPr>
        <w:spacing w:line="240" w:lineRule="auto"/>
      </w:pPr>
      <w:r>
        <w:t>the introduction of unannounced visits for re-accreditation;</w:t>
      </w:r>
    </w:p>
    <w:p w14:paraId="4D83B88C" w14:textId="77777777" w:rsidR="003675BE" w:rsidRDefault="003675BE" w:rsidP="003675BE">
      <w:pPr>
        <w:pStyle w:val="ListParagraph"/>
        <w:numPr>
          <w:ilvl w:val="0"/>
          <w:numId w:val="28"/>
        </w:numPr>
        <w:spacing w:line="240" w:lineRule="auto"/>
      </w:pPr>
      <w:r>
        <w:t>the establishment of the Aged Care Quality and Safety Commission incorporating Quality and Complaints;</w:t>
      </w:r>
    </w:p>
    <w:p w14:paraId="514BA8A7" w14:textId="3D74AD5F" w:rsidR="003675BE" w:rsidRDefault="00C22221" w:rsidP="003675BE">
      <w:pPr>
        <w:pStyle w:val="ListParagraph"/>
        <w:numPr>
          <w:ilvl w:val="0"/>
          <w:numId w:val="28"/>
        </w:numPr>
        <w:spacing w:line="240" w:lineRule="auto"/>
      </w:pPr>
      <w:r>
        <w:t xml:space="preserve">the </w:t>
      </w:r>
      <w:r w:rsidR="003675BE">
        <w:t>establish</w:t>
      </w:r>
      <w:r>
        <w:t>ment of</w:t>
      </w:r>
      <w:r w:rsidR="003675BE">
        <w:t xml:space="preserve"> a process to publicly name providers who obstruct the resolution of complaints;</w:t>
      </w:r>
    </w:p>
    <w:p w14:paraId="43D406E3" w14:textId="506C3F5A" w:rsidR="00FA31B4" w:rsidRDefault="004B7BDD" w:rsidP="003675BE">
      <w:pPr>
        <w:pStyle w:val="ListParagraph"/>
        <w:numPr>
          <w:ilvl w:val="0"/>
          <w:numId w:val="28"/>
        </w:numPr>
        <w:spacing w:line="240" w:lineRule="auto"/>
      </w:pPr>
      <w:r>
        <w:t xml:space="preserve">the introduction of </w:t>
      </w:r>
      <w:r w:rsidR="003675BE">
        <w:t>new Aged Care Quality Standards</w:t>
      </w:r>
      <w:r w:rsidR="00FA31B4">
        <w:t xml:space="preserve"> and </w:t>
      </w:r>
      <w:r w:rsidR="003675BE">
        <w:t>support to assist with transition</w:t>
      </w:r>
      <w:r w:rsidR="00FA31B4">
        <w:t>;</w:t>
      </w:r>
      <w:r w:rsidR="003675BE">
        <w:t xml:space="preserve"> </w:t>
      </w:r>
    </w:p>
    <w:p w14:paraId="5E91E7AE" w14:textId="63C73C28" w:rsidR="003675BE" w:rsidRDefault="003675BE" w:rsidP="003675BE">
      <w:pPr>
        <w:pStyle w:val="ListParagraph"/>
        <w:numPr>
          <w:ilvl w:val="0"/>
          <w:numId w:val="28"/>
        </w:numPr>
        <w:spacing w:line="240" w:lineRule="auto"/>
      </w:pPr>
      <w:r>
        <w:t xml:space="preserve">a </w:t>
      </w:r>
      <w:r w:rsidR="00FA31B4">
        <w:t xml:space="preserve">new </w:t>
      </w:r>
      <w:r>
        <w:t>Single Charter of</w:t>
      </w:r>
      <w:r w:rsidR="00FA31B4">
        <w:t xml:space="preserve"> Aged Care</w:t>
      </w:r>
      <w:r>
        <w:t xml:space="preserve"> Rights;</w:t>
      </w:r>
    </w:p>
    <w:p w14:paraId="1E71F653" w14:textId="0BF60CD9" w:rsidR="003675BE" w:rsidRDefault="003675BE" w:rsidP="003675BE">
      <w:pPr>
        <w:pStyle w:val="ListParagraph"/>
        <w:numPr>
          <w:ilvl w:val="0"/>
          <w:numId w:val="28"/>
        </w:numPr>
        <w:spacing w:line="240" w:lineRule="auto"/>
      </w:pPr>
      <w:r>
        <w:t xml:space="preserve">the introduction of the National Aged Care Mandatory Quality Indicator Program and the </w:t>
      </w:r>
      <w:r w:rsidR="00FA31B4">
        <w:t xml:space="preserve">commencement of the </w:t>
      </w:r>
      <w:r>
        <w:t>development of two additional indicators</w:t>
      </w:r>
      <w:r w:rsidR="00C22221">
        <w:t xml:space="preserve"> under the program</w:t>
      </w:r>
      <w:r>
        <w:t>;</w:t>
      </w:r>
    </w:p>
    <w:p w14:paraId="15038826" w14:textId="21817C72" w:rsidR="003675BE" w:rsidRDefault="003675BE" w:rsidP="003675BE">
      <w:pPr>
        <w:pStyle w:val="ListParagraph"/>
        <w:numPr>
          <w:ilvl w:val="0"/>
          <w:numId w:val="28"/>
        </w:numPr>
        <w:spacing w:line="240" w:lineRule="auto"/>
      </w:pPr>
      <w:r>
        <w:t>legislation to reduce inappropriate use of</w:t>
      </w:r>
      <w:r w:rsidR="00FA31B4">
        <w:t xml:space="preserve"> physical a</w:t>
      </w:r>
      <w:r w:rsidR="004B7BDD">
        <w:t>n</w:t>
      </w:r>
      <w:r w:rsidR="00FA31B4">
        <w:t>d chemical</w:t>
      </w:r>
      <w:r>
        <w:t xml:space="preserve"> restraint;</w:t>
      </w:r>
    </w:p>
    <w:p w14:paraId="438AE3E9" w14:textId="7092589C" w:rsidR="003675BE" w:rsidRDefault="003675BE" w:rsidP="003675BE">
      <w:pPr>
        <w:pStyle w:val="ListParagraph"/>
        <w:numPr>
          <w:ilvl w:val="0"/>
          <w:numId w:val="28"/>
        </w:numPr>
        <w:spacing w:line="240" w:lineRule="auto"/>
      </w:pPr>
      <w:r>
        <w:t xml:space="preserve">the </w:t>
      </w:r>
      <w:r w:rsidR="004B7BDD">
        <w:t xml:space="preserve">publication </w:t>
      </w:r>
      <w:r>
        <w:t>of open disclosure and clinical governance frameworks;</w:t>
      </w:r>
    </w:p>
    <w:p w14:paraId="42562DC6" w14:textId="07166BE3" w:rsidR="003675BE" w:rsidRDefault="004B7BDD" w:rsidP="003675BE">
      <w:pPr>
        <w:pStyle w:val="ListParagraph"/>
        <w:numPr>
          <w:ilvl w:val="0"/>
          <w:numId w:val="28"/>
        </w:numPr>
        <w:spacing w:line="240" w:lineRule="auto"/>
      </w:pPr>
      <w:r>
        <w:t xml:space="preserve">the development of </w:t>
      </w:r>
      <w:r w:rsidR="00F4378E">
        <w:t xml:space="preserve">measures to improve the use of medicines in aged care </w:t>
      </w:r>
      <w:r w:rsidR="00C42B90">
        <w:t>including the use</w:t>
      </w:r>
      <w:r w:rsidR="003675BE">
        <w:t xml:space="preserve"> of</w:t>
      </w:r>
      <w:r w:rsidR="00C42B90">
        <w:t xml:space="preserve"> psychotropic</w:t>
      </w:r>
      <w:r w:rsidR="003675BE">
        <w:t xml:space="preserve"> medicines;</w:t>
      </w:r>
    </w:p>
    <w:p w14:paraId="7F26CD62" w14:textId="64E9B85B" w:rsidR="003675BE" w:rsidRDefault="004B7BDD" w:rsidP="003675BE">
      <w:pPr>
        <w:pStyle w:val="ListParagraph"/>
        <w:numPr>
          <w:ilvl w:val="0"/>
          <w:numId w:val="28"/>
        </w:numPr>
        <w:spacing w:line="240" w:lineRule="auto"/>
      </w:pPr>
      <w:r>
        <w:t xml:space="preserve">the provision of funding for </w:t>
      </w:r>
      <w:r w:rsidR="00FA31B4">
        <w:t xml:space="preserve">a trial of </w:t>
      </w:r>
      <w:r w:rsidR="008C2220">
        <w:t>integration of pharmacists into</w:t>
      </w:r>
      <w:r w:rsidR="00C22221">
        <w:t xml:space="preserve"> </w:t>
      </w:r>
      <w:r w:rsidR="003675BE">
        <w:t>Aged Care in the ACT;</w:t>
      </w:r>
    </w:p>
    <w:p w14:paraId="66506192" w14:textId="2DE65A96" w:rsidR="00FC7F27" w:rsidRDefault="004B7BDD" w:rsidP="003675BE">
      <w:pPr>
        <w:pStyle w:val="ListParagraph"/>
        <w:numPr>
          <w:ilvl w:val="0"/>
          <w:numId w:val="28"/>
        </w:numPr>
        <w:spacing w:line="240" w:lineRule="auto"/>
      </w:pPr>
      <w:r>
        <w:t xml:space="preserve">preparatory work to </w:t>
      </w:r>
      <w:r w:rsidR="003675BE">
        <w:t>develop a Serious Incident Response Scheme</w:t>
      </w:r>
      <w:r w:rsidR="00093EAD">
        <w:t>;</w:t>
      </w:r>
    </w:p>
    <w:p w14:paraId="016A2571" w14:textId="0F7B2EDC" w:rsidR="00FC5D08" w:rsidRDefault="00093EAD" w:rsidP="00FC7F27">
      <w:pPr>
        <w:pStyle w:val="ListParagraph"/>
        <w:numPr>
          <w:ilvl w:val="0"/>
          <w:numId w:val="28"/>
        </w:numPr>
        <w:spacing w:line="240" w:lineRule="auto"/>
      </w:pPr>
      <w:r>
        <w:t>i</w:t>
      </w:r>
      <w:r w:rsidRPr="00B54DBE">
        <w:t>mproved access to psychological services in Residential Aged Care Facilities</w:t>
      </w:r>
      <w:r w:rsidR="00FC5D08">
        <w:t>;</w:t>
      </w:r>
      <w:r w:rsidRPr="00FC7F27">
        <w:t xml:space="preserve"> </w:t>
      </w:r>
    </w:p>
    <w:p w14:paraId="7282F232" w14:textId="75525F62" w:rsidR="00DC4703" w:rsidRPr="00710F85" w:rsidRDefault="00FC7F27" w:rsidP="00710F85">
      <w:pPr>
        <w:pStyle w:val="ListParagraph"/>
        <w:numPr>
          <w:ilvl w:val="0"/>
          <w:numId w:val="28"/>
        </w:numPr>
        <w:spacing w:line="240" w:lineRule="auto"/>
      </w:pPr>
      <w:r w:rsidRPr="00FC7F27">
        <w:t>the Aged Care System Navigator trials</w:t>
      </w:r>
      <w:r w:rsidR="00DC4703">
        <w:t xml:space="preserve"> </w:t>
      </w:r>
      <w:r w:rsidR="00DC4703" w:rsidRPr="00710F85">
        <w:t xml:space="preserve">to </w:t>
      </w:r>
      <w:r w:rsidR="00B750F9">
        <w:t>provide new wa</w:t>
      </w:r>
      <w:r w:rsidR="00684472">
        <w:t>y</w:t>
      </w:r>
      <w:r w:rsidR="00B750F9">
        <w:t xml:space="preserve">s to help older Australians who have difficulty engaging and understanding the aged care system; </w:t>
      </w:r>
      <w:r w:rsidR="00DC4703">
        <w:t>and</w:t>
      </w:r>
    </w:p>
    <w:p w14:paraId="0EA21B3F" w14:textId="4B766529" w:rsidR="003675BE" w:rsidRPr="00093EAD" w:rsidRDefault="00FC5D08" w:rsidP="00710F85">
      <w:pPr>
        <w:pStyle w:val="ListParagraph"/>
        <w:numPr>
          <w:ilvl w:val="0"/>
          <w:numId w:val="28"/>
        </w:numPr>
        <w:spacing w:after="0" w:line="240" w:lineRule="auto"/>
        <w:ind w:left="714" w:hanging="357"/>
      </w:pPr>
      <w:r>
        <w:t xml:space="preserve">a pilot </w:t>
      </w:r>
      <w:r w:rsidR="005D7E66">
        <w:t>of innovative technologies to improve</w:t>
      </w:r>
      <w:r w:rsidR="00FC7F27" w:rsidRPr="00FC7F27">
        <w:t xml:space="preserve"> </w:t>
      </w:r>
      <w:r w:rsidR="005D7E66">
        <w:t>c</w:t>
      </w:r>
      <w:r w:rsidR="00FC7F27" w:rsidRPr="00FC7F27">
        <w:t xml:space="preserve">are for </w:t>
      </w:r>
      <w:r w:rsidR="005D7E66">
        <w:t>p</w:t>
      </w:r>
      <w:r w:rsidR="00FC7F27" w:rsidRPr="00FC7F27">
        <w:t xml:space="preserve">eople </w:t>
      </w:r>
      <w:r w:rsidR="005D7E66">
        <w:t>l</w:t>
      </w:r>
      <w:r w:rsidR="00FC7F27" w:rsidRPr="00FC7F27">
        <w:t xml:space="preserve">iving with </w:t>
      </w:r>
      <w:r w:rsidR="005D7E66">
        <w:t>d</w:t>
      </w:r>
      <w:r w:rsidR="00FC7F27" w:rsidRPr="00FC7F27">
        <w:t>ementia</w:t>
      </w:r>
      <w:r w:rsidR="00093EAD">
        <w:t>.</w:t>
      </w:r>
    </w:p>
    <w:p w14:paraId="24276D64" w14:textId="77777777" w:rsidR="00093EAD" w:rsidRDefault="00093EAD" w:rsidP="003675BE"/>
    <w:p w14:paraId="121D0EAD" w14:textId="179C4C2E" w:rsidR="003675BE" w:rsidRPr="00BC52FA" w:rsidRDefault="003675BE" w:rsidP="003675BE">
      <w:r w:rsidRPr="00BC52FA">
        <w:t xml:space="preserve">The Government is the principal funder of aged care, providing recurrent expenditure on aged care services of </w:t>
      </w:r>
      <w:r w:rsidRPr="00E610FE">
        <w:t>$21.</w:t>
      </w:r>
      <w:r>
        <w:t>6</w:t>
      </w:r>
      <w:r w:rsidRPr="00E610FE">
        <w:t xml:space="preserve"> billion</w:t>
      </w:r>
      <w:r w:rsidRPr="00BC52FA">
        <w:t xml:space="preserve"> in 201</w:t>
      </w:r>
      <w:r>
        <w:t>9</w:t>
      </w:r>
      <w:r w:rsidRPr="00BC52FA">
        <w:t>-</w:t>
      </w:r>
      <w:r>
        <w:t>20</w:t>
      </w:r>
      <w:r>
        <w:rPr>
          <w:rStyle w:val="FootnoteReference"/>
        </w:rPr>
        <w:footnoteReference w:id="2"/>
      </w:r>
      <w:r>
        <w:t xml:space="preserve">, an increase of $1.1 billion on the previous </w:t>
      </w:r>
      <w:r>
        <w:lastRenderedPageBreak/>
        <w:t>year</w:t>
      </w:r>
      <w:r w:rsidRPr="00BC52FA">
        <w:t xml:space="preserve">. </w:t>
      </w:r>
      <w:r w:rsidR="00FC7F27">
        <w:t>The Government has also invested in a range of other measures to provide additional support to elderly citizens living in their own home. For example additional Home Support Program Services and 25,000 additional home care packages.</w:t>
      </w:r>
    </w:p>
    <w:p w14:paraId="7FC8CE39" w14:textId="77777777" w:rsidR="003675BE" w:rsidRDefault="003675BE" w:rsidP="003675BE">
      <w:pPr>
        <w:rPr>
          <w:sz w:val="23"/>
          <w:szCs w:val="23"/>
        </w:rPr>
      </w:pPr>
    </w:p>
    <w:p w14:paraId="134A1D06" w14:textId="77777777" w:rsidR="000511DE" w:rsidRDefault="003675BE" w:rsidP="003675BE">
      <w:r w:rsidRPr="004E0038">
        <w:t>Government spending on aged care will continue to grow over future years and is expected to reach over $2</w:t>
      </w:r>
      <w:r>
        <w:t>5</w:t>
      </w:r>
      <w:r w:rsidRPr="004E0038">
        <w:t>.</w:t>
      </w:r>
      <w:r>
        <w:t>4</w:t>
      </w:r>
      <w:r w:rsidRPr="004E0038">
        <w:t xml:space="preserve"> billion by 202</w:t>
      </w:r>
      <w:r>
        <w:t>2</w:t>
      </w:r>
      <w:r w:rsidRPr="004E0038">
        <w:t>-2</w:t>
      </w:r>
      <w:r>
        <w:t>3</w:t>
      </w:r>
      <w:r w:rsidRPr="004E0038">
        <w:t xml:space="preserve">. </w:t>
      </w:r>
    </w:p>
    <w:p w14:paraId="261C3A39" w14:textId="45715503" w:rsidR="003675BE" w:rsidRDefault="003675BE">
      <w:pPr>
        <w:rPr>
          <w:u w:val="single"/>
        </w:rPr>
      </w:pPr>
    </w:p>
    <w:p w14:paraId="54E8E952" w14:textId="77777777" w:rsidR="006A688C" w:rsidRDefault="006A688C" w:rsidP="00F853EA">
      <w:pPr>
        <w:pStyle w:val="Heading3"/>
      </w:pPr>
      <w:r>
        <w:t xml:space="preserve">The Royal Commission </w:t>
      </w:r>
      <w:r w:rsidR="00A354A1">
        <w:t xml:space="preserve">into </w:t>
      </w:r>
      <w:r>
        <w:t>Aged Care Quality and Safety</w:t>
      </w:r>
    </w:p>
    <w:p w14:paraId="4A6022AF" w14:textId="25C5F97C" w:rsidR="003675BE" w:rsidRDefault="003675BE" w:rsidP="003675BE">
      <w:pPr>
        <w:rPr>
          <w:lang w:val="en"/>
        </w:rPr>
      </w:pPr>
      <w:r w:rsidRPr="002A75F6">
        <w:rPr>
          <w:lang w:val="en"/>
        </w:rPr>
        <w:t xml:space="preserve">The Government </w:t>
      </w:r>
      <w:r>
        <w:rPr>
          <w:lang w:val="en"/>
        </w:rPr>
        <w:t xml:space="preserve">has </w:t>
      </w:r>
      <w:r w:rsidRPr="002A75F6">
        <w:rPr>
          <w:lang w:val="en"/>
        </w:rPr>
        <w:t xml:space="preserve">established the Royal Commission </w:t>
      </w:r>
      <w:r>
        <w:rPr>
          <w:lang w:val="en"/>
        </w:rPr>
        <w:t xml:space="preserve">into Aged Care Quality and Safety </w:t>
      </w:r>
      <w:r w:rsidRPr="002A75F6">
        <w:rPr>
          <w:lang w:val="en"/>
        </w:rPr>
        <w:t>to determine the full extent of the problems in aged care and to understand how the challenges and the opportunities of delivering aged care services now and into the future can be met. It is also about helping to build a national culture of respect for ageing and our senior Australians.</w:t>
      </w:r>
    </w:p>
    <w:p w14:paraId="28392244" w14:textId="77777777" w:rsidR="003675BE" w:rsidRDefault="003675BE" w:rsidP="006C1987"/>
    <w:p w14:paraId="064BCB54" w14:textId="77777777" w:rsidR="006A688C" w:rsidRDefault="00D7346F">
      <w:r>
        <w:t>The Royal Commission’s Terms of reference includes to</w:t>
      </w:r>
      <w:r w:rsidR="009B77CF">
        <w:t xml:space="preserve"> </w:t>
      </w:r>
      <w:r>
        <w:t xml:space="preserve">inquire </w:t>
      </w:r>
      <w:r w:rsidR="006C7BB7">
        <w:t>into</w:t>
      </w:r>
      <w:r>
        <w:t xml:space="preserve"> the quality of aged care services provided to Australians</w:t>
      </w:r>
      <w:r w:rsidR="006C7BB7">
        <w:t>. T</w:t>
      </w:r>
      <w:r>
        <w:t>his</w:t>
      </w:r>
      <w:r w:rsidR="006A688C">
        <w:t xml:space="preserve"> is likely to consider the broad scope of issues raised in the House of Representatives’ </w:t>
      </w:r>
      <w:r w:rsidR="006A688C">
        <w:rPr>
          <w:i/>
        </w:rPr>
        <w:t>Report on the Inquiry into the Quality of Care in Residential Aged Care Facilities in Australia</w:t>
      </w:r>
      <w:r w:rsidR="006A688C">
        <w:t xml:space="preserve">. </w:t>
      </w:r>
    </w:p>
    <w:p w14:paraId="24C41582" w14:textId="77777777" w:rsidR="00A354A1" w:rsidRDefault="00A354A1" w:rsidP="006C1987"/>
    <w:p w14:paraId="1179D45A" w14:textId="288201C6" w:rsidR="006A688C" w:rsidRDefault="006A688C" w:rsidP="006C1987">
      <w:r>
        <w:t xml:space="preserve">While the Royal Commission continues to engage with the Australian community through submissions and hearings, community forums, roundtables and site visits, the Government will continue to monitor emerging policy issues in </w:t>
      </w:r>
      <w:r w:rsidR="001E4492">
        <w:t xml:space="preserve">aged care, including </w:t>
      </w:r>
      <w:r>
        <w:t>residential aged care. In addition, the Government will give due consideration to the Royal Commission’s interim</w:t>
      </w:r>
      <w:r w:rsidR="00CB19F2">
        <w:t xml:space="preserve"> </w:t>
      </w:r>
      <w:r w:rsidR="00480B93">
        <w:t>and final reports</w:t>
      </w:r>
      <w:r>
        <w:t>.</w:t>
      </w:r>
    </w:p>
    <w:p w14:paraId="2A2A31D4" w14:textId="77777777" w:rsidR="00DC3570" w:rsidRDefault="00DC3570">
      <w:pPr>
        <w:rPr>
          <w:u w:val="single"/>
        </w:rPr>
      </w:pPr>
    </w:p>
    <w:p w14:paraId="1AF9EC19" w14:textId="77777777" w:rsidR="0025063D" w:rsidRDefault="00476073" w:rsidP="001B0C81">
      <w:pPr>
        <w:pStyle w:val="Heading2"/>
      </w:pPr>
      <w:r w:rsidRPr="00476073">
        <w:t>Recommendation 1</w:t>
      </w:r>
    </w:p>
    <w:p w14:paraId="00E33083" w14:textId="77777777" w:rsidR="00C443ED" w:rsidRDefault="00C443ED" w:rsidP="00C443ED"/>
    <w:p w14:paraId="26C8B243" w14:textId="77777777" w:rsidR="00476073" w:rsidRDefault="00476073" w:rsidP="00C443ED">
      <w:r>
        <w:t xml:space="preserve">The Committee recommends that the Department of Health </w:t>
      </w:r>
      <w:r w:rsidRPr="00B62ABA">
        <w:t xml:space="preserve">develop </w:t>
      </w:r>
      <w:r w:rsidRPr="00C937FC">
        <w:t xml:space="preserve">national guidelines </w:t>
      </w:r>
      <w:r>
        <w:t>for the Community Visitors Scheme, including policies for volunteer visitors to follow in the event of observed or suspected abuse or neglect.</w:t>
      </w:r>
    </w:p>
    <w:p w14:paraId="7C6B6F4E" w14:textId="77777777" w:rsidR="006A7555" w:rsidRDefault="006A7555"/>
    <w:p w14:paraId="409A0D2B" w14:textId="597036B7" w:rsidR="00853894" w:rsidRPr="00C937FC" w:rsidRDefault="00087DE9">
      <w:pPr>
        <w:pStyle w:val="ListParagraph"/>
        <w:autoSpaceDE w:val="0"/>
        <w:autoSpaceDN w:val="0"/>
        <w:spacing w:after="0" w:line="240" w:lineRule="auto"/>
        <w:ind w:left="0"/>
        <w:rPr>
          <w:lang w:eastAsia="en-AU"/>
        </w:rPr>
      </w:pPr>
      <w:r w:rsidRPr="00B62ABA">
        <w:rPr>
          <w:lang w:eastAsia="en-AU"/>
        </w:rPr>
        <w:t xml:space="preserve">The Australian Government </w:t>
      </w:r>
      <w:r w:rsidRPr="00C937FC">
        <w:rPr>
          <w:b/>
          <w:lang w:eastAsia="en-AU"/>
        </w:rPr>
        <w:t>supports</w:t>
      </w:r>
      <w:r w:rsidRPr="00C937FC">
        <w:rPr>
          <w:lang w:eastAsia="en-AU"/>
        </w:rPr>
        <w:t xml:space="preserve"> </w:t>
      </w:r>
      <w:r w:rsidR="00853894" w:rsidRPr="00C937FC">
        <w:rPr>
          <w:lang w:eastAsia="en-AU"/>
        </w:rPr>
        <w:t>this recommendation.</w:t>
      </w:r>
    </w:p>
    <w:p w14:paraId="70F7F639" w14:textId="77777777" w:rsidR="00853894" w:rsidRPr="00C937FC" w:rsidRDefault="00853894">
      <w:pPr>
        <w:pStyle w:val="ListParagraph"/>
        <w:autoSpaceDE w:val="0"/>
        <w:autoSpaceDN w:val="0"/>
        <w:spacing w:after="0" w:line="240" w:lineRule="auto"/>
        <w:ind w:left="0"/>
        <w:rPr>
          <w:lang w:eastAsia="en-AU"/>
        </w:rPr>
      </w:pPr>
    </w:p>
    <w:p w14:paraId="73ADCD1C" w14:textId="6168F927" w:rsidR="00897BFB" w:rsidRDefault="00B14CB3" w:rsidP="00C443ED">
      <w:r w:rsidRPr="00B62ABA">
        <w:t xml:space="preserve">National guidelines </w:t>
      </w:r>
      <w:r w:rsidR="00897BFB" w:rsidRPr="00B62ABA">
        <w:t>will be developed</w:t>
      </w:r>
      <w:r w:rsidRPr="00B62ABA">
        <w:t xml:space="preserve"> by the Department of Health</w:t>
      </w:r>
      <w:r w:rsidR="00897BFB" w:rsidRPr="00B62ABA">
        <w:t xml:space="preserve"> </w:t>
      </w:r>
      <w:r w:rsidR="002555BC">
        <w:t xml:space="preserve">(the Department) </w:t>
      </w:r>
      <w:r w:rsidR="00897BFB" w:rsidRPr="00B62ABA">
        <w:t xml:space="preserve">in collaboration with the </w:t>
      </w:r>
      <w:r w:rsidR="005B00F5">
        <w:t>Community Visitors Scheme (</w:t>
      </w:r>
      <w:r w:rsidR="00897BFB" w:rsidRPr="00B62ABA">
        <w:t>CVS</w:t>
      </w:r>
      <w:r w:rsidR="005B00F5">
        <w:t>)</w:t>
      </w:r>
      <w:r w:rsidR="00897BFB" w:rsidRPr="00B62ABA">
        <w:t xml:space="preserve"> Network Members (</w:t>
      </w:r>
      <w:r w:rsidR="00007ABD">
        <w:t>state/t</w:t>
      </w:r>
      <w:r w:rsidR="00897BFB" w:rsidRPr="00B62ABA">
        <w:t xml:space="preserve">erritory Coordinators) and providers in 2019. </w:t>
      </w:r>
      <w:r w:rsidRPr="00B62ABA">
        <w:t>These</w:t>
      </w:r>
      <w:r w:rsidRPr="00C937FC">
        <w:t xml:space="preserve"> guidelines</w:t>
      </w:r>
      <w:r w:rsidR="00897BFB" w:rsidRPr="00C937FC">
        <w:t xml:space="preserve"> </w:t>
      </w:r>
      <w:r w:rsidR="00897BFB" w:rsidRPr="00B62ABA">
        <w:t xml:space="preserve">will provide additional practical guidance to the CVS providers, consumers, </w:t>
      </w:r>
      <w:r w:rsidR="00897BFB" w:rsidRPr="00834E74">
        <w:t>volunteers and aged care providers to ensure nationally consistent information and implementation of the program. This will include encouraging CVS auspices to develop policies and procedures to address volunteer concerns in relation to abuse or neglect of care recipients.</w:t>
      </w:r>
    </w:p>
    <w:p w14:paraId="6DA2944B" w14:textId="77777777" w:rsidR="00C443ED" w:rsidRPr="0053416E" w:rsidRDefault="00C443ED"/>
    <w:p w14:paraId="111FFB75" w14:textId="08EA1FDC" w:rsidR="002D6207" w:rsidRDefault="002D6207">
      <w:r w:rsidRPr="0053416E">
        <w:t xml:space="preserve">In addition, the 2019-20 Budget provides for </w:t>
      </w:r>
      <w:r w:rsidR="00007ABD">
        <w:t xml:space="preserve">further preparatory work for the </w:t>
      </w:r>
      <w:r w:rsidRPr="0053416E">
        <w:t>introduc</w:t>
      </w:r>
      <w:r w:rsidR="00007ABD">
        <w:t xml:space="preserve">tion of </w:t>
      </w:r>
      <w:r w:rsidRPr="0053416E">
        <w:t>a Serious Incident Response Scheme</w:t>
      </w:r>
      <w:r w:rsidR="00007ABD">
        <w:t xml:space="preserve">, </w:t>
      </w:r>
      <w:r w:rsidRPr="0053416E">
        <w:t xml:space="preserve">subject to </w:t>
      </w:r>
      <w:r w:rsidR="005B00F5" w:rsidRPr="0053416E">
        <w:t xml:space="preserve">future </w:t>
      </w:r>
      <w:r w:rsidRPr="0053416E">
        <w:t xml:space="preserve">Budget funding for implementation. </w:t>
      </w:r>
      <w:r w:rsidR="0053416E">
        <w:t xml:space="preserve">It is expected </w:t>
      </w:r>
      <w:r w:rsidR="006A7751">
        <w:t xml:space="preserve">arrangements aligned with the </w:t>
      </w:r>
      <w:r w:rsidRPr="0053416E">
        <w:t xml:space="preserve">scheme </w:t>
      </w:r>
      <w:r w:rsidR="006A7751" w:rsidRPr="0053416E">
        <w:t>w</w:t>
      </w:r>
      <w:r w:rsidR="006A7751">
        <w:t>ill</w:t>
      </w:r>
      <w:r w:rsidR="006A7751" w:rsidRPr="0053416E">
        <w:t xml:space="preserve"> </w:t>
      </w:r>
      <w:r w:rsidRPr="0053416E">
        <w:t>provide for anyone to raise concerns of serious incident</w:t>
      </w:r>
      <w:r w:rsidR="00D468B8" w:rsidRPr="0053416E">
        <w:t>s</w:t>
      </w:r>
      <w:r w:rsidRPr="0053416E">
        <w:t xml:space="preserve">, including </w:t>
      </w:r>
      <w:r w:rsidR="00F15CBB" w:rsidRPr="0053416E">
        <w:t xml:space="preserve">aged care </w:t>
      </w:r>
      <w:r w:rsidRPr="0053416E">
        <w:t>volunteers, staff and family members.</w:t>
      </w:r>
    </w:p>
    <w:p w14:paraId="2475E032" w14:textId="5E6DF98E" w:rsidR="00DC3570" w:rsidRDefault="00DC3570"/>
    <w:p w14:paraId="35EBAC14" w14:textId="301CB196" w:rsidR="005471B3" w:rsidRDefault="00476073" w:rsidP="001B0C81">
      <w:pPr>
        <w:pStyle w:val="Heading2"/>
      </w:pPr>
      <w:r>
        <w:lastRenderedPageBreak/>
        <w:t>Recommendation 2</w:t>
      </w:r>
      <w:r w:rsidR="00087DE9" w:rsidRPr="00087DE9">
        <w:rPr>
          <w:rFonts w:asciiTheme="minorHAnsi" w:hAnsiTheme="minorHAnsi" w:cstheme="minorBidi"/>
          <w:color w:val="1F497D"/>
          <w:highlight w:val="yellow"/>
        </w:rPr>
        <w:t xml:space="preserve"> </w:t>
      </w:r>
    </w:p>
    <w:p w14:paraId="5303C4AF" w14:textId="77777777" w:rsidR="00093EAD" w:rsidRDefault="00093EAD"/>
    <w:p w14:paraId="4EE3AF53" w14:textId="77777777" w:rsidR="00476073" w:rsidRPr="00384E4C" w:rsidRDefault="00476073">
      <w:pPr>
        <w:rPr>
          <w:lang w:val="en"/>
        </w:rPr>
      </w:pPr>
      <w:r w:rsidRPr="00384E4C">
        <w:t>The Committee recommends t</w:t>
      </w:r>
      <w:r w:rsidRPr="00384E4C">
        <w:rPr>
          <w:lang w:val="en"/>
        </w:rPr>
        <w:t>he Australian Government review:</w:t>
      </w:r>
    </w:p>
    <w:p w14:paraId="0FC9D307" w14:textId="77777777" w:rsidR="00476073" w:rsidRPr="00384E4C" w:rsidRDefault="00476073" w:rsidP="006C1987">
      <w:pPr>
        <w:pStyle w:val="ListParagraph"/>
        <w:numPr>
          <w:ilvl w:val="0"/>
          <w:numId w:val="27"/>
        </w:numPr>
        <w:spacing w:after="0" w:line="240" w:lineRule="auto"/>
        <w:contextualSpacing w:val="0"/>
        <w:rPr>
          <w:szCs w:val="24"/>
          <w:lang w:val="en"/>
        </w:rPr>
      </w:pPr>
      <w:r w:rsidRPr="00384E4C">
        <w:rPr>
          <w:szCs w:val="24"/>
          <w:lang w:val="en"/>
        </w:rPr>
        <w:t xml:space="preserve">the Aged Care Funding Instrument (ACFI) to ensure that it is providing for adequate levels of care for the individual needs of aged care recipients; </w:t>
      </w:r>
    </w:p>
    <w:p w14:paraId="4CB17F25" w14:textId="77777777" w:rsidR="00476073" w:rsidRPr="00384E4C" w:rsidRDefault="00476073" w:rsidP="006C1987">
      <w:pPr>
        <w:pStyle w:val="ListParagraph"/>
        <w:numPr>
          <w:ilvl w:val="0"/>
          <w:numId w:val="27"/>
        </w:numPr>
        <w:spacing w:after="0" w:line="240" w:lineRule="auto"/>
        <w:contextualSpacing w:val="0"/>
        <w:rPr>
          <w:rFonts w:cs="Arial"/>
          <w:szCs w:val="24"/>
          <w:lang w:val="en"/>
        </w:rPr>
      </w:pPr>
      <w:r w:rsidRPr="00384E4C">
        <w:rPr>
          <w:szCs w:val="24"/>
          <w:lang w:val="en"/>
        </w:rPr>
        <w:t>the adequacy of funding levels to ensure ACFI funding</w:t>
      </w:r>
      <w:r w:rsidRPr="00384E4C">
        <w:rPr>
          <w:rFonts w:cs="Arial"/>
          <w:szCs w:val="24"/>
          <w:lang w:val="en"/>
        </w:rPr>
        <w:t xml:space="preserve"> is indexed annually; and</w:t>
      </w:r>
    </w:p>
    <w:p w14:paraId="506792D8" w14:textId="77777777" w:rsidR="00476073" w:rsidRPr="00384E4C" w:rsidRDefault="00476073" w:rsidP="006C1987">
      <w:pPr>
        <w:pStyle w:val="ListParagraph"/>
        <w:numPr>
          <w:ilvl w:val="0"/>
          <w:numId w:val="27"/>
        </w:numPr>
        <w:spacing w:after="0" w:line="240" w:lineRule="auto"/>
        <w:contextualSpacing w:val="0"/>
        <w:rPr>
          <w:rFonts w:cs="Arial"/>
          <w:szCs w:val="24"/>
          <w:lang w:val="en"/>
        </w:rPr>
      </w:pPr>
      <w:r w:rsidRPr="00384E4C">
        <w:rPr>
          <w:rFonts w:cs="Arial"/>
          <w:szCs w:val="24"/>
          <w:lang w:val="en"/>
        </w:rPr>
        <w:t>the range of penalties relating to breaches of ACFI funding standards by aged care provider</w:t>
      </w:r>
      <w:r w:rsidR="00D468B8">
        <w:rPr>
          <w:rFonts w:cs="Arial"/>
          <w:szCs w:val="24"/>
          <w:lang w:val="en"/>
        </w:rPr>
        <w:t>s</w:t>
      </w:r>
      <w:r w:rsidR="00D21A8C">
        <w:rPr>
          <w:rFonts w:cs="Arial"/>
          <w:szCs w:val="24"/>
          <w:lang w:val="en"/>
        </w:rPr>
        <w:t>.</w:t>
      </w:r>
    </w:p>
    <w:p w14:paraId="30795198" w14:textId="77777777" w:rsidR="00EA5730" w:rsidRDefault="00EA5730">
      <w:pPr>
        <w:pStyle w:val="ListParagraph"/>
        <w:autoSpaceDE w:val="0"/>
        <w:autoSpaceDN w:val="0"/>
        <w:spacing w:after="0" w:line="240" w:lineRule="auto"/>
        <w:ind w:left="0"/>
        <w:rPr>
          <w:lang w:eastAsia="en-AU"/>
        </w:rPr>
      </w:pPr>
    </w:p>
    <w:p w14:paraId="393C07FD" w14:textId="77777777" w:rsidR="00087DE9" w:rsidRPr="00384E4C" w:rsidRDefault="00087DE9">
      <w:pPr>
        <w:pStyle w:val="NormalWeb"/>
        <w:spacing w:before="0" w:beforeAutospacing="0" w:after="0" w:afterAutospacing="0"/>
        <w:rPr>
          <w:b/>
        </w:rPr>
      </w:pPr>
      <w:r w:rsidRPr="00384E4C">
        <w:t>The Australian Government</w:t>
      </w:r>
      <w:r w:rsidR="005142E9">
        <w:t xml:space="preserve"> </w:t>
      </w:r>
      <w:r w:rsidR="005142E9" w:rsidRPr="0053416E">
        <w:rPr>
          <w:b/>
        </w:rPr>
        <w:t>notes</w:t>
      </w:r>
      <w:r w:rsidRPr="00384E4C">
        <w:t xml:space="preserve"> this recommendation.</w:t>
      </w:r>
    </w:p>
    <w:p w14:paraId="4F0B5199" w14:textId="77777777" w:rsidR="00384E4C" w:rsidRDefault="00384E4C">
      <w:pPr>
        <w:pStyle w:val="NormalWeb"/>
        <w:spacing w:before="0" w:beforeAutospacing="0" w:after="0" w:afterAutospacing="0"/>
        <w:rPr>
          <w:lang w:val="en" w:eastAsia="en-US"/>
        </w:rPr>
      </w:pPr>
    </w:p>
    <w:p w14:paraId="4004D5B3" w14:textId="77777777" w:rsidR="003675BE" w:rsidRDefault="00897BFB" w:rsidP="00495FDF">
      <w:pPr>
        <w:pStyle w:val="NormalWeb"/>
        <w:spacing w:before="0" w:beforeAutospacing="0" w:after="0" w:afterAutospacing="0"/>
        <w:rPr>
          <w:color w:val="222222"/>
          <w:lang w:val="en"/>
        </w:rPr>
      </w:pPr>
      <w:r w:rsidRPr="00384E4C">
        <w:rPr>
          <w:lang w:val="en" w:eastAsia="en-US"/>
        </w:rPr>
        <w:t xml:space="preserve">The Government is already considering options for reforming residential aged care funding to better align the care needs of </w:t>
      </w:r>
      <w:r w:rsidR="00696970">
        <w:rPr>
          <w:lang w:val="en" w:eastAsia="en-US"/>
        </w:rPr>
        <w:t>aged care consumer</w:t>
      </w:r>
      <w:r w:rsidRPr="00384E4C">
        <w:rPr>
          <w:lang w:val="en" w:eastAsia="en-US"/>
        </w:rPr>
        <w:t xml:space="preserve">s. </w:t>
      </w:r>
      <w:r w:rsidR="003675BE" w:rsidRPr="00C86DD2">
        <w:rPr>
          <w:color w:val="222222"/>
          <w:lang w:val="en"/>
        </w:rPr>
        <w:t>In 2016-17, the Australian Government announced it would look into strengthening residential aged care funding, including possibly replacing the existing funding assessment tool, the Aged Care Funding Instrument (ACFI) and considering options for external assessment. </w:t>
      </w:r>
    </w:p>
    <w:p w14:paraId="1486F8AA" w14:textId="77777777" w:rsidR="003675BE" w:rsidRDefault="003675BE" w:rsidP="00495FDF">
      <w:pPr>
        <w:rPr>
          <w:color w:val="222222"/>
          <w:lang w:val="en"/>
        </w:rPr>
      </w:pPr>
    </w:p>
    <w:p w14:paraId="18FE53EC" w14:textId="77777777" w:rsidR="003675BE" w:rsidRPr="009A095B" w:rsidRDefault="003675BE" w:rsidP="00495FDF">
      <w:pPr>
        <w:rPr>
          <w:color w:val="222222"/>
          <w:lang w:val="en"/>
        </w:rPr>
      </w:pPr>
      <w:r w:rsidRPr="009A095B">
        <w:rPr>
          <w:color w:val="222222"/>
          <w:lang w:val="en"/>
        </w:rPr>
        <w:t>Work has been underway since 2016-17 to build an evidence base for a new funding model. This included the publication of two scoping reports in 2017:</w:t>
      </w:r>
    </w:p>
    <w:p w14:paraId="6FE6471E" w14:textId="77777777" w:rsidR="003675BE" w:rsidRPr="009A095B" w:rsidRDefault="003675BE" w:rsidP="00495FDF">
      <w:pPr>
        <w:pStyle w:val="ListParagraph"/>
        <w:numPr>
          <w:ilvl w:val="0"/>
          <w:numId w:val="29"/>
        </w:numPr>
        <w:spacing w:after="0" w:line="240" w:lineRule="auto"/>
        <w:ind w:left="714" w:hanging="357"/>
        <w:rPr>
          <w:color w:val="222222"/>
          <w:lang w:val="en"/>
        </w:rPr>
      </w:pPr>
      <w:r w:rsidRPr="009A095B">
        <w:rPr>
          <w:color w:val="222222"/>
          <w:lang w:val="en"/>
        </w:rPr>
        <w:t>Review of the Aged Care Funding Instrument by Applied Aged Care Solutions</w:t>
      </w:r>
      <w:r>
        <w:rPr>
          <w:color w:val="222222"/>
          <w:lang w:val="en"/>
        </w:rPr>
        <w:t>; and</w:t>
      </w:r>
    </w:p>
    <w:p w14:paraId="7043478D" w14:textId="77777777" w:rsidR="003675BE" w:rsidRPr="009A095B" w:rsidRDefault="003675BE" w:rsidP="00495FDF">
      <w:pPr>
        <w:pStyle w:val="ListParagraph"/>
        <w:numPr>
          <w:ilvl w:val="0"/>
          <w:numId w:val="29"/>
        </w:numPr>
        <w:spacing w:after="0" w:line="240" w:lineRule="auto"/>
        <w:ind w:left="714" w:hanging="357"/>
        <w:rPr>
          <w:color w:val="222222"/>
          <w:lang w:val="en"/>
        </w:rPr>
      </w:pPr>
      <w:r w:rsidRPr="009A095B">
        <w:rPr>
          <w:color w:val="222222"/>
          <w:lang w:val="en"/>
        </w:rPr>
        <w:t xml:space="preserve">Alternative Aged Care Assessment, Classification System and Funding Models by </w:t>
      </w:r>
      <w:r>
        <w:rPr>
          <w:color w:val="222222"/>
          <w:lang w:val="en"/>
        </w:rPr>
        <w:t>the Australian Health Services Research Institute (</w:t>
      </w:r>
      <w:r w:rsidRPr="009A095B">
        <w:rPr>
          <w:color w:val="222222"/>
          <w:lang w:val="en"/>
        </w:rPr>
        <w:t>AHSRI</w:t>
      </w:r>
      <w:r>
        <w:rPr>
          <w:color w:val="222222"/>
          <w:lang w:val="en"/>
        </w:rPr>
        <w:t>).</w:t>
      </w:r>
    </w:p>
    <w:p w14:paraId="62F6A0F9" w14:textId="77777777" w:rsidR="003675BE" w:rsidRDefault="003675BE">
      <w:pPr>
        <w:pStyle w:val="NormalWeb"/>
        <w:spacing w:before="0" w:beforeAutospacing="0" w:after="0" w:afterAutospacing="0"/>
        <w:rPr>
          <w:lang w:val="en" w:eastAsia="en-US"/>
        </w:rPr>
      </w:pPr>
    </w:p>
    <w:p w14:paraId="00462883" w14:textId="3207375A" w:rsidR="00897BFB" w:rsidRDefault="003675BE">
      <w:pPr>
        <w:pStyle w:val="NormalWeb"/>
        <w:spacing w:before="0" w:beforeAutospacing="0" w:after="0" w:afterAutospacing="0"/>
        <w:rPr>
          <w:lang w:val="en" w:eastAsia="en-US"/>
        </w:rPr>
      </w:pPr>
      <w:r>
        <w:rPr>
          <w:lang w:val="en" w:eastAsia="en-US"/>
        </w:rPr>
        <w:t>Following</w:t>
      </w:r>
      <w:r w:rsidR="00897BFB" w:rsidRPr="00384E4C">
        <w:rPr>
          <w:lang w:val="en" w:eastAsia="en-US"/>
        </w:rPr>
        <w:t xml:space="preserve"> this, the Government </w:t>
      </w:r>
      <w:r>
        <w:rPr>
          <w:lang w:val="en" w:eastAsia="en-US"/>
        </w:rPr>
        <w:t>commissioned the independent</w:t>
      </w:r>
      <w:r w:rsidR="009819A8">
        <w:rPr>
          <w:lang w:val="en" w:eastAsia="en-US"/>
        </w:rPr>
        <w:t xml:space="preserve"> </w:t>
      </w:r>
      <w:r w:rsidR="00897BFB" w:rsidRPr="00384E4C">
        <w:rPr>
          <w:lang w:val="en" w:eastAsia="en-US"/>
        </w:rPr>
        <w:t xml:space="preserve">Resource Utilisation and Classification Study (RUCS) to provide evidence on the drivers of costs of care to assist in the development of a more stable and sustainable funding system. </w:t>
      </w:r>
      <w:r w:rsidR="005142E9">
        <w:rPr>
          <w:lang w:val="en" w:eastAsia="en-US"/>
        </w:rPr>
        <w:t xml:space="preserve">Seven reports outlining the results of the </w:t>
      </w:r>
      <w:r w:rsidR="00897BFB" w:rsidRPr="00384E4C">
        <w:rPr>
          <w:lang w:val="en" w:eastAsia="en-US"/>
        </w:rPr>
        <w:t>RUCS</w:t>
      </w:r>
      <w:r w:rsidR="005142E9">
        <w:rPr>
          <w:lang w:val="en" w:eastAsia="en-US"/>
        </w:rPr>
        <w:t>, including a</w:t>
      </w:r>
      <w:r w:rsidR="005B00F5">
        <w:rPr>
          <w:lang w:val="en" w:eastAsia="en-US"/>
        </w:rPr>
        <w:t xml:space="preserve"> possible new funding </w:t>
      </w:r>
      <w:r w:rsidR="005142E9">
        <w:rPr>
          <w:lang w:val="en" w:eastAsia="en-US"/>
        </w:rPr>
        <w:t>model</w:t>
      </w:r>
      <w:r w:rsidR="005B00F5">
        <w:rPr>
          <w:lang w:val="en" w:eastAsia="en-US"/>
        </w:rPr>
        <w:t xml:space="preserve"> for residential aged care</w:t>
      </w:r>
      <w:r w:rsidR="00C21933">
        <w:rPr>
          <w:lang w:val="en" w:eastAsia="en-US"/>
        </w:rPr>
        <w:t>,</w:t>
      </w:r>
      <w:r w:rsidR="00502289">
        <w:rPr>
          <w:lang w:val="en" w:eastAsia="en-US"/>
        </w:rPr>
        <w:t xml:space="preserve"> were publicly released on 15</w:t>
      </w:r>
      <w:r w:rsidR="00C7545E">
        <w:rPr>
          <w:lang w:val="en" w:eastAsia="en-US"/>
        </w:rPr>
        <w:t> </w:t>
      </w:r>
      <w:r w:rsidR="00502289">
        <w:rPr>
          <w:lang w:val="en" w:eastAsia="en-US"/>
        </w:rPr>
        <w:t>March</w:t>
      </w:r>
      <w:r w:rsidR="00C7545E">
        <w:rPr>
          <w:lang w:val="en" w:eastAsia="en-US"/>
        </w:rPr>
        <w:t> </w:t>
      </w:r>
      <w:r w:rsidR="00502289">
        <w:rPr>
          <w:lang w:val="en" w:eastAsia="en-US"/>
        </w:rPr>
        <w:t xml:space="preserve">2019. A consultation paper on the proposed new funding model </w:t>
      </w:r>
      <w:r w:rsidR="009C218D">
        <w:rPr>
          <w:lang w:val="en" w:eastAsia="en-US"/>
        </w:rPr>
        <w:t xml:space="preserve">was </w:t>
      </w:r>
      <w:r w:rsidR="00502289">
        <w:rPr>
          <w:lang w:val="en" w:eastAsia="en-US"/>
        </w:rPr>
        <w:t>also released</w:t>
      </w:r>
      <w:r w:rsidR="009C218D">
        <w:rPr>
          <w:lang w:val="en" w:eastAsia="en-US"/>
        </w:rPr>
        <w:t>, and the Government is currently considering more than 90 submissions responding to the consultation paper.</w:t>
      </w:r>
    </w:p>
    <w:p w14:paraId="1E8CD979" w14:textId="77777777" w:rsidR="00A72D89" w:rsidRPr="00384E4C" w:rsidRDefault="00A72D89">
      <w:pPr>
        <w:pStyle w:val="NormalWeb"/>
        <w:spacing w:before="0" w:beforeAutospacing="0" w:after="0" w:afterAutospacing="0"/>
        <w:rPr>
          <w:lang w:val="en" w:eastAsia="en-US"/>
        </w:rPr>
      </w:pPr>
    </w:p>
    <w:p w14:paraId="1C7FAD0F" w14:textId="236199D9" w:rsidR="00E94558" w:rsidRPr="006C23FA" w:rsidRDefault="00F40495">
      <w:pPr>
        <w:rPr>
          <w:szCs w:val="22"/>
        </w:rPr>
      </w:pPr>
      <w:r>
        <w:rPr>
          <w:lang w:val="en"/>
        </w:rPr>
        <w:t>In addition,</w:t>
      </w:r>
      <w:r w:rsidRPr="00384E4C">
        <w:rPr>
          <w:lang w:val="en"/>
        </w:rPr>
        <w:t xml:space="preserve"> </w:t>
      </w:r>
      <w:r w:rsidR="00897BFB" w:rsidRPr="00384E4C">
        <w:rPr>
          <w:lang w:val="en"/>
        </w:rPr>
        <w:t xml:space="preserve">the </w:t>
      </w:r>
      <w:r w:rsidR="00897BFB" w:rsidRPr="00384E4C">
        <w:t>Government is contin</w:t>
      </w:r>
      <w:r w:rsidR="00F15CBB">
        <w:t>u</w:t>
      </w:r>
      <w:r w:rsidR="00502289">
        <w:t>ing</w:t>
      </w:r>
      <w:r w:rsidR="00897BFB" w:rsidRPr="00384E4C">
        <w:t xml:space="preserve"> to work on reform options for residential aged care funding. </w:t>
      </w:r>
      <w:r w:rsidR="00E94558" w:rsidRPr="006C23FA">
        <w:t xml:space="preserve">The Prime Minister announced a trial of the </w:t>
      </w:r>
      <w:r w:rsidR="002E34BB">
        <w:t xml:space="preserve">proposed </w:t>
      </w:r>
      <w:r w:rsidR="00E94558" w:rsidRPr="006C23FA">
        <w:t>assessment framework on 10 February 2019. The trial will:</w:t>
      </w:r>
    </w:p>
    <w:p w14:paraId="691EDFDB" w14:textId="77777777" w:rsidR="00E94558" w:rsidRPr="006C23FA" w:rsidRDefault="00E94558">
      <w:pPr>
        <w:pStyle w:val="ListParagraph"/>
        <w:numPr>
          <w:ilvl w:val="0"/>
          <w:numId w:val="27"/>
        </w:numPr>
        <w:spacing w:after="0" w:line="240" w:lineRule="auto"/>
        <w:contextualSpacing w:val="0"/>
      </w:pPr>
      <w:r w:rsidRPr="006C23FA">
        <w:t>Field test the assessment tool and supporting software, hardware, IT systems and IT support arrangements, and assessment workforce management processes to ensure suitability of the model for national implementation; and</w:t>
      </w:r>
    </w:p>
    <w:p w14:paraId="607EB25E" w14:textId="77777777" w:rsidR="00E94558" w:rsidRPr="006C23FA" w:rsidRDefault="00E94558">
      <w:pPr>
        <w:pStyle w:val="ListParagraph"/>
        <w:numPr>
          <w:ilvl w:val="0"/>
          <w:numId w:val="27"/>
        </w:numPr>
        <w:spacing w:after="0" w:line="240" w:lineRule="auto"/>
        <w:contextualSpacing w:val="0"/>
      </w:pPr>
      <w:r w:rsidRPr="006C23FA">
        <w:t>Validate findings about the expected distribution of care recipient classifications.</w:t>
      </w:r>
    </w:p>
    <w:p w14:paraId="778DA9DF" w14:textId="77777777" w:rsidR="00DA2378" w:rsidRDefault="00DA2378"/>
    <w:p w14:paraId="10BAB52B" w14:textId="40F7AA22" w:rsidR="0053416E" w:rsidRDefault="00E94558">
      <w:pPr>
        <w:rPr>
          <w:lang w:val="en"/>
        </w:rPr>
      </w:pPr>
      <w:r w:rsidRPr="006C23FA">
        <w:t>The trial is expected to commence in the second half of 2019</w:t>
      </w:r>
      <w:r w:rsidR="00DA2378">
        <w:t xml:space="preserve"> and will be completed in the first half of 2020</w:t>
      </w:r>
      <w:r w:rsidRPr="006C23FA">
        <w:t>.</w:t>
      </w:r>
    </w:p>
    <w:p w14:paraId="65C4EE7D" w14:textId="77777777" w:rsidR="00286D17" w:rsidRDefault="00286D17">
      <w:pPr>
        <w:rPr>
          <w:lang w:val="en"/>
        </w:rPr>
      </w:pPr>
    </w:p>
    <w:p w14:paraId="4EFE1045" w14:textId="3234AA48" w:rsidR="00897BFB" w:rsidRDefault="00A354A1">
      <w:pPr>
        <w:rPr>
          <w:lang w:val="en"/>
        </w:rPr>
      </w:pPr>
      <w:r>
        <w:rPr>
          <w:lang w:val="en"/>
        </w:rPr>
        <w:t>T</w:t>
      </w:r>
      <w:r w:rsidR="00897BFB" w:rsidRPr="00384E4C">
        <w:rPr>
          <w:lang w:val="en"/>
        </w:rPr>
        <w:t xml:space="preserve">he majority of indexation for the ACFI </w:t>
      </w:r>
      <w:r>
        <w:rPr>
          <w:lang w:val="en"/>
        </w:rPr>
        <w:t>w</w:t>
      </w:r>
      <w:r w:rsidRPr="00384E4C">
        <w:rPr>
          <w:lang w:val="en"/>
        </w:rPr>
        <w:t xml:space="preserve">as </w:t>
      </w:r>
      <w:r w:rsidR="00897BFB" w:rsidRPr="00384E4C">
        <w:rPr>
          <w:lang w:val="en"/>
        </w:rPr>
        <w:t>returned</w:t>
      </w:r>
      <w:r>
        <w:rPr>
          <w:lang w:val="en"/>
        </w:rPr>
        <w:t xml:space="preserve"> in 2018-19</w:t>
      </w:r>
      <w:r w:rsidR="00897BFB" w:rsidRPr="00384E4C">
        <w:rPr>
          <w:lang w:val="en"/>
        </w:rPr>
        <w:t>, after a one-year pause</w:t>
      </w:r>
      <w:r w:rsidR="00C21933">
        <w:rPr>
          <w:lang w:val="en"/>
        </w:rPr>
        <w:t>,</w:t>
      </w:r>
      <w:r w:rsidR="00897BFB" w:rsidRPr="00384E4C">
        <w:rPr>
          <w:lang w:val="en"/>
        </w:rPr>
        <w:t xml:space="preserve"> </w:t>
      </w:r>
      <w:r>
        <w:rPr>
          <w:lang w:val="en"/>
        </w:rPr>
        <w:t>with</w:t>
      </w:r>
      <w:r w:rsidRPr="00384E4C">
        <w:rPr>
          <w:lang w:val="en"/>
        </w:rPr>
        <w:t xml:space="preserve"> </w:t>
      </w:r>
      <w:r w:rsidR="00897BFB" w:rsidRPr="00384E4C">
        <w:rPr>
          <w:lang w:val="en"/>
        </w:rPr>
        <w:t>full indexation return</w:t>
      </w:r>
      <w:r w:rsidR="002E34BB">
        <w:rPr>
          <w:lang w:val="en"/>
        </w:rPr>
        <w:t>ed</w:t>
      </w:r>
      <w:r w:rsidR="00897BFB" w:rsidRPr="00384E4C">
        <w:rPr>
          <w:lang w:val="en"/>
        </w:rPr>
        <w:t xml:space="preserve"> in 2019-20.</w:t>
      </w:r>
    </w:p>
    <w:p w14:paraId="03C2FF43" w14:textId="77777777" w:rsidR="00384E4C" w:rsidRPr="00384E4C" w:rsidRDefault="00384E4C">
      <w:pPr>
        <w:rPr>
          <w:lang w:val="en"/>
        </w:rPr>
      </w:pPr>
    </w:p>
    <w:p w14:paraId="6AC758CC" w14:textId="582CF9E9" w:rsidR="00DB1566" w:rsidRDefault="009539E9" w:rsidP="00F71ECF">
      <w:pPr>
        <w:rPr>
          <w:lang w:val="en"/>
        </w:rPr>
      </w:pPr>
      <w:r w:rsidRPr="009E1AFC">
        <w:rPr>
          <w:lang w:val="en"/>
        </w:rPr>
        <w:lastRenderedPageBreak/>
        <w:t xml:space="preserve">When </w:t>
      </w:r>
      <w:r w:rsidR="00F15CBB" w:rsidRPr="009E1AFC">
        <w:rPr>
          <w:lang w:val="en"/>
        </w:rPr>
        <w:t xml:space="preserve">an </w:t>
      </w:r>
      <w:r w:rsidR="003675BE">
        <w:rPr>
          <w:lang w:val="en"/>
        </w:rPr>
        <w:t xml:space="preserve">ACFI review </w:t>
      </w:r>
      <w:r w:rsidRPr="009E1AFC">
        <w:rPr>
          <w:lang w:val="en"/>
        </w:rPr>
        <w:t>identifies incorrect ACFI</w:t>
      </w:r>
      <w:r>
        <w:rPr>
          <w:lang w:val="en"/>
        </w:rPr>
        <w:t xml:space="preserve"> </w:t>
      </w:r>
      <w:r w:rsidR="003675BE">
        <w:rPr>
          <w:lang w:val="en"/>
        </w:rPr>
        <w:t>claims made by an approved provider</w:t>
      </w:r>
      <w:r>
        <w:rPr>
          <w:lang w:val="en"/>
        </w:rPr>
        <w:t>, a range of measures and penalties exist to address non-compliance</w:t>
      </w:r>
      <w:r w:rsidR="00897BFB" w:rsidRPr="00384E4C">
        <w:rPr>
          <w:lang w:val="en"/>
        </w:rPr>
        <w:t>. These include</w:t>
      </w:r>
      <w:r w:rsidR="00D21A8C">
        <w:rPr>
          <w:lang w:val="en"/>
        </w:rPr>
        <w:t>:</w:t>
      </w:r>
      <w:r w:rsidR="00897BFB" w:rsidRPr="00384E4C">
        <w:rPr>
          <w:lang w:val="en"/>
        </w:rPr>
        <w:t xml:space="preserve"> </w:t>
      </w:r>
    </w:p>
    <w:p w14:paraId="7CA6716F" w14:textId="55B388B1" w:rsidR="00DB1566" w:rsidRPr="005958FE" w:rsidRDefault="00897BFB" w:rsidP="006C1987">
      <w:pPr>
        <w:pStyle w:val="ListParagraph"/>
        <w:numPr>
          <w:ilvl w:val="0"/>
          <w:numId w:val="27"/>
        </w:numPr>
        <w:spacing w:after="0" w:line="240" w:lineRule="auto"/>
        <w:contextualSpacing w:val="0"/>
        <w:rPr>
          <w:rFonts w:cs="Arial"/>
          <w:szCs w:val="24"/>
          <w:lang w:val="en"/>
        </w:rPr>
      </w:pPr>
      <w:r w:rsidRPr="005958FE">
        <w:rPr>
          <w:rFonts w:cs="Arial"/>
          <w:szCs w:val="24"/>
          <w:lang w:val="en"/>
        </w:rPr>
        <w:t>downgrading claims</w:t>
      </w:r>
      <w:r w:rsidR="003675BE">
        <w:rPr>
          <w:rFonts w:cs="Arial"/>
          <w:szCs w:val="24"/>
          <w:lang w:val="en"/>
        </w:rPr>
        <w:t xml:space="preserve"> to the date of the previous appraisal</w:t>
      </w:r>
      <w:r w:rsidR="00D21A8C" w:rsidRPr="005958FE">
        <w:rPr>
          <w:rFonts w:cs="Arial"/>
          <w:szCs w:val="24"/>
          <w:lang w:val="en"/>
        </w:rPr>
        <w:t>;</w:t>
      </w:r>
      <w:r w:rsidRPr="005958FE">
        <w:rPr>
          <w:rFonts w:cs="Arial"/>
          <w:szCs w:val="24"/>
          <w:lang w:val="en"/>
        </w:rPr>
        <w:t xml:space="preserve"> </w:t>
      </w:r>
    </w:p>
    <w:p w14:paraId="185A9BC0" w14:textId="77777777" w:rsidR="00DB1566" w:rsidRPr="005958FE" w:rsidRDefault="00897BFB" w:rsidP="006C1987">
      <w:pPr>
        <w:pStyle w:val="ListParagraph"/>
        <w:numPr>
          <w:ilvl w:val="0"/>
          <w:numId w:val="27"/>
        </w:numPr>
        <w:spacing w:after="0" w:line="240" w:lineRule="auto"/>
        <w:contextualSpacing w:val="0"/>
        <w:rPr>
          <w:rFonts w:cs="Arial"/>
          <w:szCs w:val="24"/>
          <w:lang w:val="en"/>
        </w:rPr>
      </w:pPr>
      <w:r w:rsidRPr="005958FE">
        <w:rPr>
          <w:rFonts w:cs="Arial"/>
          <w:szCs w:val="24"/>
          <w:lang w:val="en"/>
        </w:rPr>
        <w:t>issuing Notices of Non</w:t>
      </w:r>
      <w:r w:rsidR="00133F78" w:rsidRPr="005958FE">
        <w:rPr>
          <w:rFonts w:cs="Arial"/>
          <w:szCs w:val="24"/>
          <w:lang w:val="en"/>
        </w:rPr>
        <w:noBreakHyphen/>
      </w:r>
      <w:r w:rsidRPr="005958FE">
        <w:rPr>
          <w:rFonts w:cs="Arial"/>
          <w:szCs w:val="24"/>
          <w:lang w:val="en"/>
        </w:rPr>
        <w:t>Compliance to seek corrective action from providers</w:t>
      </w:r>
      <w:r w:rsidR="00D21A8C" w:rsidRPr="005958FE">
        <w:rPr>
          <w:rFonts w:cs="Arial"/>
          <w:szCs w:val="24"/>
          <w:lang w:val="en"/>
        </w:rPr>
        <w:t>;</w:t>
      </w:r>
      <w:r w:rsidRPr="005958FE">
        <w:rPr>
          <w:rFonts w:cs="Arial"/>
          <w:szCs w:val="24"/>
          <w:lang w:val="en"/>
        </w:rPr>
        <w:t xml:space="preserve"> and</w:t>
      </w:r>
    </w:p>
    <w:p w14:paraId="6715C1EE" w14:textId="534971BC" w:rsidR="00897BFB" w:rsidRPr="005958FE" w:rsidRDefault="00897BFB" w:rsidP="006C1987">
      <w:pPr>
        <w:pStyle w:val="ListParagraph"/>
        <w:numPr>
          <w:ilvl w:val="0"/>
          <w:numId w:val="27"/>
        </w:numPr>
        <w:spacing w:after="0" w:line="240" w:lineRule="auto"/>
        <w:contextualSpacing w:val="0"/>
        <w:rPr>
          <w:rFonts w:cs="Arial"/>
          <w:szCs w:val="24"/>
          <w:lang w:val="en"/>
        </w:rPr>
      </w:pPr>
      <w:r w:rsidRPr="005958FE">
        <w:rPr>
          <w:rFonts w:cs="Arial"/>
          <w:szCs w:val="24"/>
          <w:lang w:val="en"/>
        </w:rPr>
        <w:t xml:space="preserve">making a civil penalty referral to the Federal Court if an approved provider on more than one occasion in a two year period gives false, misleading or inaccurate information following a warning notice from the </w:t>
      </w:r>
      <w:r w:rsidR="00D21A8C" w:rsidRPr="005958FE">
        <w:rPr>
          <w:rFonts w:cs="Arial"/>
          <w:szCs w:val="24"/>
          <w:lang w:val="en"/>
        </w:rPr>
        <w:t>D</w:t>
      </w:r>
      <w:r w:rsidRPr="005958FE">
        <w:rPr>
          <w:rFonts w:cs="Arial"/>
          <w:szCs w:val="24"/>
          <w:lang w:val="en"/>
        </w:rPr>
        <w:t>epartment.</w:t>
      </w:r>
    </w:p>
    <w:p w14:paraId="48BDB59B" w14:textId="77777777" w:rsidR="00E07E95" w:rsidRDefault="00E07E95">
      <w:pPr>
        <w:pStyle w:val="ListParagraph"/>
        <w:spacing w:after="0" w:line="240" w:lineRule="auto"/>
        <w:ind w:left="0"/>
        <w:contextualSpacing w:val="0"/>
        <w:rPr>
          <w:rFonts w:cs="Arial"/>
          <w:szCs w:val="24"/>
          <w:lang w:val="en"/>
        </w:rPr>
      </w:pPr>
    </w:p>
    <w:p w14:paraId="6058E804" w14:textId="77777777" w:rsidR="003675BE" w:rsidRDefault="003675BE" w:rsidP="003675BE">
      <w:pPr>
        <w:pStyle w:val="ListParagraph"/>
        <w:spacing w:after="0" w:line="240" w:lineRule="auto"/>
        <w:ind w:left="0"/>
        <w:contextualSpacing w:val="0"/>
        <w:rPr>
          <w:rFonts w:cs="Arial"/>
          <w:szCs w:val="24"/>
          <w:lang w:val="en"/>
        </w:rPr>
      </w:pPr>
      <w:r>
        <w:rPr>
          <w:rFonts w:cs="Arial"/>
          <w:szCs w:val="24"/>
          <w:lang w:val="en"/>
        </w:rPr>
        <w:t>If an ACFI review concerns relating to the quality of care, these matters are referred to the Aged Care Quality and Safety Commission.</w:t>
      </w:r>
    </w:p>
    <w:p w14:paraId="30ECD599" w14:textId="77777777" w:rsidR="00C443ED" w:rsidRDefault="00C443ED">
      <w:pPr>
        <w:pStyle w:val="ListParagraph"/>
        <w:spacing w:after="0" w:line="240" w:lineRule="auto"/>
        <w:ind w:left="0"/>
        <w:contextualSpacing w:val="0"/>
        <w:rPr>
          <w:rFonts w:cs="Arial"/>
          <w:szCs w:val="24"/>
          <w:lang w:val="en"/>
        </w:rPr>
      </w:pPr>
    </w:p>
    <w:p w14:paraId="08CB23B4" w14:textId="77777777" w:rsidR="0025063D" w:rsidRPr="0019059F" w:rsidRDefault="00476073" w:rsidP="001B0C81">
      <w:pPr>
        <w:pStyle w:val="Heading2"/>
      </w:pPr>
      <w:r w:rsidRPr="0019059F">
        <w:t>Recommendation 3</w:t>
      </w:r>
      <w:r w:rsidR="00087DE9" w:rsidRPr="0019059F">
        <w:t xml:space="preserve"> </w:t>
      </w:r>
    </w:p>
    <w:p w14:paraId="7425710D" w14:textId="77777777" w:rsidR="00476073" w:rsidRPr="00384E4C" w:rsidRDefault="00476073">
      <w:pPr>
        <w:pStyle w:val="ListParagraph"/>
        <w:spacing w:after="0" w:line="240" w:lineRule="auto"/>
        <w:ind w:left="0"/>
        <w:contextualSpacing w:val="0"/>
        <w:rPr>
          <w:rFonts w:cs="Arial"/>
          <w:szCs w:val="24"/>
          <w:lang w:val="en"/>
        </w:rPr>
      </w:pPr>
    </w:p>
    <w:p w14:paraId="5B6EF68F" w14:textId="77777777" w:rsidR="00476073" w:rsidRPr="00384E4C" w:rsidRDefault="00476073">
      <w:pPr>
        <w:rPr>
          <w:rFonts w:cs="Arial"/>
        </w:rPr>
      </w:pPr>
      <w:r w:rsidRPr="00384E4C">
        <w:rPr>
          <w:rFonts w:cs="Arial"/>
          <w:lang w:val="en"/>
        </w:rPr>
        <w:t>The Committee recommends that t</w:t>
      </w:r>
      <w:r w:rsidRPr="00384E4C">
        <w:rPr>
          <w:rFonts w:cs="Arial"/>
        </w:rPr>
        <w:t>he Australian Government review the Medicare Benefits Schedule</w:t>
      </w:r>
      <w:r w:rsidR="00DB1566">
        <w:rPr>
          <w:rFonts w:cs="Arial"/>
        </w:rPr>
        <w:t xml:space="preserve"> (MBS)</w:t>
      </w:r>
      <w:r w:rsidRPr="00384E4C">
        <w:rPr>
          <w:rFonts w:cs="Arial"/>
        </w:rPr>
        <w:t xml:space="preserve"> relating to medical practitioner visits to residential aged care facilities.</w:t>
      </w:r>
    </w:p>
    <w:p w14:paraId="4AF5A916" w14:textId="77777777" w:rsidR="00384E4C" w:rsidRPr="00384E4C" w:rsidRDefault="00384E4C">
      <w:pPr>
        <w:pStyle w:val="ListParagraph"/>
        <w:autoSpaceDE w:val="0"/>
        <w:autoSpaceDN w:val="0"/>
        <w:spacing w:after="0" w:line="240" w:lineRule="auto"/>
        <w:ind w:left="0"/>
        <w:rPr>
          <w:szCs w:val="24"/>
          <w:lang w:eastAsia="en-AU"/>
        </w:rPr>
      </w:pPr>
    </w:p>
    <w:p w14:paraId="4D64825D" w14:textId="77777777" w:rsidR="004042CA" w:rsidRDefault="00384E4C">
      <w:r w:rsidRPr="00384E4C">
        <w:t xml:space="preserve">The Australian Government </w:t>
      </w:r>
      <w:r w:rsidRPr="00384E4C">
        <w:rPr>
          <w:b/>
        </w:rPr>
        <w:t>supports</w:t>
      </w:r>
      <w:r w:rsidRPr="00384E4C">
        <w:t xml:space="preserve"> this recommendation</w:t>
      </w:r>
      <w:r w:rsidR="004042CA">
        <w:t>.</w:t>
      </w:r>
    </w:p>
    <w:p w14:paraId="23EA0DAB" w14:textId="77777777" w:rsidR="004042CA" w:rsidRDefault="004042CA"/>
    <w:p w14:paraId="651B1177" w14:textId="51353DED" w:rsidR="00BD69AC" w:rsidRDefault="002E34BB">
      <w:pPr>
        <w:rPr>
          <w:color w:val="1F497D"/>
          <w:lang w:val="en-US"/>
        </w:rPr>
      </w:pPr>
      <w:r>
        <w:t>From 1 March 2019 t</w:t>
      </w:r>
      <w:r w:rsidR="004042CA">
        <w:t>he Government</w:t>
      </w:r>
      <w:r w:rsidR="00384E4C" w:rsidRPr="00384E4C">
        <w:t xml:space="preserve"> has </w:t>
      </w:r>
      <w:r>
        <w:rPr>
          <w:lang w:val="en-US"/>
        </w:rPr>
        <w:t xml:space="preserve">introduced </w:t>
      </w:r>
      <w:r w:rsidR="00384E4C" w:rsidRPr="00384E4C">
        <w:rPr>
          <w:lang w:val="en-US"/>
        </w:rPr>
        <w:t>new MBS arrangements for Australians living in Commonwealth-su</w:t>
      </w:r>
      <w:r w:rsidR="00133F78">
        <w:rPr>
          <w:lang w:val="en-US"/>
        </w:rPr>
        <w:t>bsidised</w:t>
      </w:r>
      <w:r w:rsidR="00384E4C" w:rsidRPr="00384E4C">
        <w:rPr>
          <w:lang w:val="en-US"/>
        </w:rPr>
        <w:t xml:space="preserve"> </w:t>
      </w:r>
      <w:r w:rsidR="00DB1566">
        <w:rPr>
          <w:lang w:val="en-US"/>
        </w:rPr>
        <w:t>r</w:t>
      </w:r>
      <w:r w:rsidR="00DB1566" w:rsidRPr="00384E4C">
        <w:rPr>
          <w:lang w:val="en-US"/>
        </w:rPr>
        <w:t xml:space="preserve">esidential </w:t>
      </w:r>
      <w:r w:rsidR="00384E4C" w:rsidRPr="00384E4C">
        <w:rPr>
          <w:lang w:val="en-US"/>
        </w:rPr>
        <w:t xml:space="preserve">aged care </w:t>
      </w:r>
      <w:r w:rsidR="00F15CBB">
        <w:rPr>
          <w:lang w:val="en-US"/>
        </w:rPr>
        <w:t>services,</w:t>
      </w:r>
      <w:r w:rsidR="00384E4C" w:rsidRPr="00384E4C">
        <w:rPr>
          <w:lang w:val="en-US"/>
        </w:rPr>
        <w:t xml:space="preserve"> which are intended to make it easier for </w:t>
      </w:r>
      <w:r w:rsidR="00696970">
        <w:rPr>
          <w:lang w:val="en-US"/>
        </w:rPr>
        <w:t>aged care consumer</w:t>
      </w:r>
      <w:r w:rsidR="00384E4C" w:rsidRPr="00384E4C">
        <w:rPr>
          <w:lang w:val="en-US"/>
        </w:rPr>
        <w:t>s to see a medical practitioner.</w:t>
      </w:r>
      <w:r w:rsidR="00D7346F">
        <w:rPr>
          <w:lang w:val="en-US"/>
        </w:rPr>
        <w:t xml:space="preserve"> </w:t>
      </w:r>
      <w:r w:rsidR="00BD69AC" w:rsidRPr="00591277">
        <w:rPr>
          <w:lang w:val="en-US"/>
        </w:rPr>
        <w:t>The new payment and Medicare claim model better recognise</w:t>
      </w:r>
      <w:r w:rsidR="00BD69AC">
        <w:rPr>
          <w:lang w:val="en-US"/>
        </w:rPr>
        <w:t>s</w:t>
      </w:r>
      <w:r w:rsidR="00BD69AC" w:rsidRPr="00591277">
        <w:rPr>
          <w:lang w:val="en-US"/>
        </w:rPr>
        <w:t xml:space="preserve"> medical practitioners’ time spent out of their clinics to attend to aged care patients, and a</w:t>
      </w:r>
      <w:r w:rsidR="00BD69AC">
        <w:rPr>
          <w:lang w:val="en-US"/>
        </w:rPr>
        <w:t xml:space="preserve">lso simplifies patients’ claims. </w:t>
      </w:r>
    </w:p>
    <w:p w14:paraId="5A79F2D9" w14:textId="77777777" w:rsidR="00384E4C" w:rsidRPr="00384E4C" w:rsidRDefault="00384E4C"/>
    <w:p w14:paraId="545A7916" w14:textId="5EB92042" w:rsidR="002E1CE6" w:rsidRDefault="002E1CE6" w:rsidP="002E1CE6">
      <w:r>
        <w:t>The MBS Review Taskforce (the Taskforce) was established in 2015 and has been reviewing the more than 5,700 items on the MBS and providing advice to the Government on how to ensure the MBS is contemporary, reflects up-to-date clinical practice, and encourages the provision of health services that improve health outcomes. The Taskforce is also identifying any services that may be unnecessary, outdated or potentially unsafe.</w:t>
      </w:r>
    </w:p>
    <w:p w14:paraId="2DE41C68" w14:textId="77777777" w:rsidR="002E1CE6" w:rsidRDefault="002E1CE6" w:rsidP="002E1CE6"/>
    <w:p w14:paraId="23228C56" w14:textId="7F177856" w:rsidR="002E1CE6" w:rsidRDefault="002E1CE6" w:rsidP="002E1CE6">
      <w:r>
        <w:t>The Taskforce established the General Practice and Primary Care Clinical Committee (GPPCCC) in September 2016 to advise it on a range of primary care items, including MBS items for medical practitioners providing care within residential aged care facilities (RACFs). The draft report from the GPPCCC was released for consultation in December</w:t>
      </w:r>
      <w:r w:rsidR="00297B7D">
        <w:t> </w:t>
      </w:r>
      <w:r>
        <w:t>2018, and comments closed in March 2019.</w:t>
      </w:r>
    </w:p>
    <w:p w14:paraId="7F6E8ED0" w14:textId="77777777" w:rsidR="002E1CE6" w:rsidRDefault="002E1CE6" w:rsidP="002E1CE6"/>
    <w:p w14:paraId="4F69BE05" w14:textId="6095284E" w:rsidR="002E1CE6" w:rsidRDefault="002E1CE6" w:rsidP="002E1CE6">
      <w:r>
        <w:t xml:space="preserve">The draft report of the GPPCCC recommended changing from the derived fee arrangements for services provided to patients living in RACFs to an arrangement that would see the payment of an initial flag fall rebate for attendance at a residential aged care service, with a stable MBS fee to be available for each consultation completed </w:t>
      </w:r>
      <w:r w:rsidR="00265E89">
        <w:t>there</w:t>
      </w:r>
      <w:r>
        <w:t>after (irrespective of the number of consultations).</w:t>
      </w:r>
    </w:p>
    <w:p w14:paraId="265E1B05" w14:textId="6CA1C3AB" w:rsidR="00274288" w:rsidRDefault="00274288">
      <w:pPr>
        <w:spacing w:after="200" w:line="276" w:lineRule="auto"/>
      </w:pPr>
    </w:p>
    <w:p w14:paraId="1F69951B" w14:textId="0ED1EC2C" w:rsidR="002E1CE6" w:rsidRDefault="002E1CE6" w:rsidP="002E1CE6">
      <w:r>
        <w:lastRenderedPageBreak/>
        <w:t>Following the release of this draft report and in response to stakeholders’ parallel concerns about the sustainability of GP services to patients living in RACFs, the Government announced in December 2018 that it would invest $98 million over four years to improve access to services for patients in RACFs. This includes the introduction of a flag fall fee, which better recognises the time GPs spend out of their regular clinics and the additional costs they incur in attending patients in RACFs. This initiative was implemented with new MBS items in March 2019.</w:t>
      </w:r>
    </w:p>
    <w:p w14:paraId="3089E42F" w14:textId="77777777" w:rsidR="002E1CE6" w:rsidRDefault="002E1CE6" w:rsidP="002E1CE6"/>
    <w:p w14:paraId="35039B78" w14:textId="7B5F3CBB" w:rsidR="002E1CE6" w:rsidRDefault="002E1CE6" w:rsidP="002E1CE6">
      <w:r>
        <w:t>While not specifically targeting residential aged care, other draft recommendations arising from the work of MBS Review Taskforce have the potential to further benefit patients living in RACFs. For example, the draft GPPCCC recommendations released for consultation include a proposal for the establishment of a voluntary patient enrolment model, which would encourage practices to build continuity and longitudinal care into their business models, and the implementation of a comprehensive package of care for patients with chronic conditions. The Government announced a measure aligned with these objectives in the 2019-20 Budget, with voluntary enrolment for patients aged 70</w:t>
      </w:r>
      <w:r w:rsidR="00A05182">
        <w:t> </w:t>
      </w:r>
      <w:r>
        <w:t>years and over who have an established clinical relationship with a preferred GP. This is scheduled to commence in mid-2020.</w:t>
      </w:r>
    </w:p>
    <w:p w14:paraId="66700D81" w14:textId="77777777" w:rsidR="002E1CE6" w:rsidRDefault="002E1CE6" w:rsidP="002E1CE6"/>
    <w:p w14:paraId="73C2EF91" w14:textId="77777777" w:rsidR="002E1CE6" w:rsidRDefault="002E1CE6" w:rsidP="002E1CE6">
      <w:r>
        <w:t>It is expected the Taskforce will finalise its GP and primary care recommendations later in 2019, at which point they will be available for consideration by the Government.</w:t>
      </w:r>
    </w:p>
    <w:p w14:paraId="0740D15B" w14:textId="77777777" w:rsidR="003E44DD" w:rsidRDefault="003E44DD" w:rsidP="00433EFB">
      <w:pPr>
        <w:pStyle w:val="ListParagraph"/>
        <w:spacing w:after="0" w:line="240" w:lineRule="auto"/>
        <w:ind w:left="0"/>
        <w:contextualSpacing w:val="0"/>
      </w:pPr>
    </w:p>
    <w:p w14:paraId="3D755D4D" w14:textId="77777777" w:rsidR="0025063D" w:rsidRDefault="002D32A4" w:rsidP="001B0C81">
      <w:pPr>
        <w:pStyle w:val="Heading2"/>
      </w:pPr>
      <w:r>
        <w:t>Recommendation 4</w:t>
      </w:r>
      <w:r w:rsidR="006C739D">
        <w:t xml:space="preserve"> </w:t>
      </w:r>
    </w:p>
    <w:p w14:paraId="5A8934D4" w14:textId="77777777" w:rsidR="00C443ED" w:rsidRDefault="00C443ED" w:rsidP="00C443ED">
      <w:pPr>
        <w:rPr>
          <w:lang w:val="en"/>
        </w:rPr>
      </w:pPr>
    </w:p>
    <w:p w14:paraId="5CBC8B65" w14:textId="77777777" w:rsidR="002D32A4" w:rsidRPr="00476073" w:rsidRDefault="002D32A4" w:rsidP="00C443ED">
      <w:pPr>
        <w:rPr>
          <w:lang w:val="en"/>
        </w:rPr>
      </w:pPr>
      <w:r w:rsidRPr="00476073">
        <w:rPr>
          <w:lang w:val="en"/>
        </w:rPr>
        <w:t>The Committee recommends that the Australian Government:</w:t>
      </w:r>
    </w:p>
    <w:p w14:paraId="483C8E7D" w14:textId="77777777" w:rsidR="002D32A4" w:rsidRPr="00F638F9" w:rsidRDefault="002D32A4" w:rsidP="006C1987">
      <w:pPr>
        <w:pStyle w:val="ListParagraph"/>
        <w:numPr>
          <w:ilvl w:val="0"/>
          <w:numId w:val="27"/>
        </w:numPr>
        <w:spacing w:after="0" w:line="240" w:lineRule="auto"/>
        <w:contextualSpacing w:val="0"/>
        <w:rPr>
          <w:rFonts w:cs="Arial"/>
          <w:szCs w:val="24"/>
          <w:lang w:val="en"/>
        </w:rPr>
      </w:pPr>
      <w:r w:rsidRPr="00476073">
        <w:rPr>
          <w:szCs w:val="24"/>
          <w:lang w:val="en"/>
        </w:rPr>
        <w:t>legislate to ensure that residential aged care facilities provide for a minimum of one</w:t>
      </w:r>
      <w:r w:rsidRPr="00F638F9">
        <w:rPr>
          <w:rFonts w:cs="Arial"/>
          <w:szCs w:val="24"/>
          <w:lang w:val="en"/>
        </w:rPr>
        <w:t xml:space="preserve"> Registered Nurse to be on site at all times; and</w:t>
      </w:r>
    </w:p>
    <w:p w14:paraId="5633215C" w14:textId="77777777" w:rsidR="002D32A4" w:rsidRPr="00F638F9" w:rsidRDefault="002D32A4" w:rsidP="006C1987">
      <w:pPr>
        <w:pStyle w:val="ListParagraph"/>
        <w:numPr>
          <w:ilvl w:val="0"/>
          <w:numId w:val="27"/>
        </w:numPr>
        <w:spacing w:after="0" w:line="240" w:lineRule="auto"/>
        <w:contextualSpacing w:val="0"/>
        <w:rPr>
          <w:rFonts w:cs="Arial"/>
          <w:szCs w:val="24"/>
          <w:lang w:val="en"/>
        </w:rPr>
      </w:pPr>
      <w:r w:rsidRPr="00F638F9">
        <w:rPr>
          <w:rFonts w:cs="Arial"/>
          <w:szCs w:val="24"/>
          <w:lang w:val="en"/>
        </w:rPr>
        <w:t>specifically monitor and report on the correlation between standards of care (including complaints and findings of elder abuse) and staffing mixes to guide further decisions in relation to staffing requirements.</w:t>
      </w:r>
    </w:p>
    <w:p w14:paraId="029398FF" w14:textId="77777777" w:rsidR="0018773C" w:rsidRDefault="0018773C">
      <w:pPr>
        <w:pStyle w:val="ListParagraph"/>
        <w:spacing w:after="0" w:line="240" w:lineRule="auto"/>
        <w:ind w:left="0"/>
        <w:contextualSpacing w:val="0"/>
        <w:rPr>
          <w:iCs/>
          <w:color w:val="000000"/>
          <w:szCs w:val="24"/>
        </w:rPr>
      </w:pPr>
    </w:p>
    <w:p w14:paraId="7361288E" w14:textId="77777777" w:rsidR="006F5342" w:rsidRDefault="006C739D">
      <w:pPr>
        <w:pStyle w:val="ListParagraph"/>
        <w:spacing w:after="0" w:line="240" w:lineRule="auto"/>
        <w:ind w:left="0"/>
        <w:contextualSpacing w:val="0"/>
      </w:pPr>
      <w:r>
        <w:rPr>
          <w:szCs w:val="24"/>
          <w:lang w:eastAsia="en-AU"/>
        </w:rPr>
        <w:t xml:space="preserve">The Australian Government </w:t>
      </w:r>
      <w:r w:rsidR="006F5342">
        <w:rPr>
          <w:b/>
          <w:iCs/>
          <w:color w:val="000000"/>
          <w:szCs w:val="24"/>
        </w:rPr>
        <w:t>notes</w:t>
      </w:r>
      <w:r w:rsidRPr="006C739D">
        <w:rPr>
          <w:iCs/>
          <w:color w:val="000000"/>
          <w:szCs w:val="24"/>
        </w:rPr>
        <w:t xml:space="preserve"> th</w:t>
      </w:r>
      <w:r w:rsidR="00BC0A1F">
        <w:rPr>
          <w:iCs/>
          <w:color w:val="000000"/>
          <w:szCs w:val="24"/>
        </w:rPr>
        <w:t>e</w:t>
      </w:r>
      <w:r w:rsidRPr="006C739D">
        <w:rPr>
          <w:iCs/>
          <w:color w:val="000000"/>
          <w:szCs w:val="24"/>
        </w:rPr>
        <w:t xml:space="preserve"> recommend</w:t>
      </w:r>
      <w:r w:rsidR="00BC0A1F">
        <w:rPr>
          <w:iCs/>
          <w:color w:val="000000"/>
          <w:szCs w:val="24"/>
        </w:rPr>
        <w:t>ed</w:t>
      </w:r>
      <w:r w:rsidR="006F5342">
        <w:rPr>
          <w:iCs/>
          <w:color w:val="000000"/>
          <w:szCs w:val="24"/>
        </w:rPr>
        <w:t xml:space="preserve"> introduction of </w:t>
      </w:r>
      <w:r w:rsidR="003A1558" w:rsidRPr="00116EDE">
        <w:t xml:space="preserve">legislation to ensure all </w:t>
      </w:r>
      <w:r w:rsidR="004D734C">
        <w:t xml:space="preserve">residential aged care </w:t>
      </w:r>
      <w:r w:rsidR="006F5342">
        <w:t>services</w:t>
      </w:r>
      <w:r w:rsidR="004D734C" w:rsidRPr="00116EDE">
        <w:t xml:space="preserve"> </w:t>
      </w:r>
      <w:r w:rsidR="003A1558" w:rsidRPr="00116EDE">
        <w:t>provide for a minimum of one registered nurse to be on site at all times</w:t>
      </w:r>
      <w:r w:rsidR="006F5342">
        <w:t>.</w:t>
      </w:r>
    </w:p>
    <w:p w14:paraId="715DB916" w14:textId="77777777" w:rsidR="005958FE" w:rsidRDefault="005958FE">
      <w:pPr>
        <w:rPr>
          <w:rFonts w:eastAsia="Calibri"/>
          <w:lang w:eastAsia="en-US"/>
        </w:rPr>
      </w:pPr>
    </w:p>
    <w:p w14:paraId="33926852" w14:textId="625F1027" w:rsidR="00BC0A1F" w:rsidRPr="00116EDE" w:rsidRDefault="006F5342">
      <w:pPr>
        <w:rPr>
          <w:rFonts w:eastAsia="Calibri"/>
          <w:lang w:eastAsia="en-US"/>
        </w:rPr>
      </w:pPr>
      <w:r>
        <w:rPr>
          <w:rFonts w:eastAsia="Calibri"/>
          <w:lang w:eastAsia="en-US"/>
        </w:rPr>
        <w:t xml:space="preserve">The Government </w:t>
      </w:r>
      <w:r w:rsidRPr="00BA6167">
        <w:rPr>
          <w:rFonts w:eastAsia="Calibri"/>
          <w:b/>
          <w:lang w:eastAsia="en-US"/>
        </w:rPr>
        <w:t>notes</w:t>
      </w:r>
      <w:r>
        <w:rPr>
          <w:rFonts w:eastAsia="Calibri"/>
          <w:lang w:eastAsia="en-US"/>
        </w:rPr>
        <w:t xml:space="preserve"> </w:t>
      </w:r>
      <w:r w:rsidR="0018773C">
        <w:rPr>
          <w:rFonts w:eastAsia="Calibri"/>
          <w:lang w:eastAsia="en-US"/>
        </w:rPr>
        <w:t>the Committee’s recommendation in this regard</w:t>
      </w:r>
      <w:r w:rsidR="003A1558" w:rsidRPr="00116EDE">
        <w:rPr>
          <w:rFonts w:eastAsia="Calibri"/>
          <w:lang w:eastAsia="en-US"/>
        </w:rPr>
        <w:t xml:space="preserve"> does not account for the differing levels of support that different </w:t>
      </w:r>
      <w:r w:rsidR="0053416E">
        <w:rPr>
          <w:rFonts w:eastAsia="Calibri"/>
          <w:lang w:eastAsia="en-US"/>
        </w:rPr>
        <w:t xml:space="preserve">care recipients </w:t>
      </w:r>
      <w:r w:rsidR="003A1558" w:rsidRPr="00116EDE">
        <w:rPr>
          <w:rFonts w:eastAsia="Calibri"/>
          <w:lang w:eastAsia="en-US"/>
        </w:rPr>
        <w:t xml:space="preserve">need. </w:t>
      </w:r>
      <w:r w:rsidR="00C21933">
        <w:rPr>
          <w:rFonts w:eastAsia="Calibri"/>
          <w:lang w:eastAsia="en-US"/>
        </w:rPr>
        <w:t xml:space="preserve">The </w:t>
      </w:r>
      <w:r w:rsidR="00BC0A1F" w:rsidRPr="00487695">
        <w:rPr>
          <w:rFonts w:eastAsia="Calibri"/>
          <w:lang w:eastAsia="en-US"/>
        </w:rPr>
        <w:t xml:space="preserve">relationship between staffing and the quality of care provided is complex and </w:t>
      </w:r>
      <w:r w:rsidR="00BC0A1F">
        <w:rPr>
          <w:rFonts w:eastAsia="Calibri"/>
          <w:lang w:eastAsia="en-US"/>
        </w:rPr>
        <w:t xml:space="preserve">there </w:t>
      </w:r>
      <w:r w:rsidR="00BC0A1F" w:rsidRPr="00487695">
        <w:rPr>
          <w:rFonts w:eastAsia="Calibri"/>
          <w:lang w:eastAsia="en-US"/>
        </w:rPr>
        <w:t xml:space="preserve">is considerable diversity in personnel arrangements across accredited homes in Australia. This is to be expected given the variation across the sector including the nature of the residents’ needs, facility size and design, the way work is organised and the extent to which some services are conducted in-house or outsourced. Consequently, there is no particular staffing mix which meets the circumstances of all </w:t>
      </w:r>
      <w:r w:rsidR="000F1478">
        <w:rPr>
          <w:rFonts w:eastAsia="Calibri"/>
          <w:lang w:eastAsia="en-US"/>
        </w:rPr>
        <w:t xml:space="preserve">care recipients in </w:t>
      </w:r>
      <w:r w:rsidR="000E0AEF">
        <w:rPr>
          <w:rFonts w:eastAsia="Calibri"/>
          <w:lang w:eastAsia="en-US"/>
        </w:rPr>
        <w:t xml:space="preserve">residential </w:t>
      </w:r>
      <w:r w:rsidR="000F1478">
        <w:rPr>
          <w:rFonts w:eastAsia="Calibri"/>
          <w:lang w:eastAsia="en-US"/>
        </w:rPr>
        <w:t>care facilities</w:t>
      </w:r>
      <w:r w:rsidR="00BC0A1F" w:rsidRPr="00487695">
        <w:rPr>
          <w:rFonts w:eastAsia="Calibri"/>
          <w:lang w:eastAsia="en-US"/>
        </w:rPr>
        <w:t>.</w:t>
      </w:r>
    </w:p>
    <w:p w14:paraId="12B8D7DA" w14:textId="77777777" w:rsidR="006C739D" w:rsidRPr="00116EDE" w:rsidRDefault="006C739D">
      <w:pPr>
        <w:rPr>
          <w:rFonts w:eastAsia="Calibri"/>
          <w:lang w:eastAsia="en-US"/>
        </w:rPr>
      </w:pPr>
    </w:p>
    <w:p w14:paraId="583D734D" w14:textId="77777777" w:rsidR="003A1558" w:rsidRPr="00116EDE" w:rsidRDefault="003A1558">
      <w:pPr>
        <w:rPr>
          <w:rFonts w:eastAsia="Calibri"/>
          <w:lang w:eastAsia="en-US"/>
        </w:rPr>
      </w:pPr>
      <w:r w:rsidRPr="00116EDE">
        <w:rPr>
          <w:rFonts w:eastAsia="Calibri"/>
          <w:lang w:eastAsia="en-US"/>
        </w:rPr>
        <w:lastRenderedPageBreak/>
        <w:t xml:space="preserve">The Australian Government </w:t>
      </w:r>
      <w:r w:rsidR="00655392">
        <w:rPr>
          <w:rFonts w:eastAsia="Calibri"/>
          <w:b/>
          <w:lang w:eastAsia="en-US"/>
        </w:rPr>
        <w:t xml:space="preserve">notes </w:t>
      </w:r>
      <w:r w:rsidR="00655392">
        <w:rPr>
          <w:rFonts w:eastAsia="Calibri"/>
          <w:lang w:eastAsia="en-US"/>
        </w:rPr>
        <w:t>the recommendation to</w:t>
      </w:r>
      <w:r w:rsidRPr="00116EDE">
        <w:rPr>
          <w:rFonts w:eastAsia="Calibri"/>
          <w:lang w:eastAsia="en-US"/>
        </w:rPr>
        <w:t xml:space="preserve"> monitor and report on the correlation between standards of care and staffing mixes to guide further decisions to staffing requirements.</w:t>
      </w:r>
    </w:p>
    <w:p w14:paraId="487D3826" w14:textId="77777777" w:rsidR="002D32A4" w:rsidRPr="00116EDE" w:rsidRDefault="002D32A4">
      <w:pPr>
        <w:rPr>
          <w:rFonts w:cs="Arial"/>
          <w:lang w:val="en"/>
        </w:rPr>
      </w:pPr>
    </w:p>
    <w:p w14:paraId="06DFE838" w14:textId="134FB18C" w:rsidR="002D32A4" w:rsidRPr="00116EDE" w:rsidRDefault="002D32A4">
      <w:pPr>
        <w:rPr>
          <w:rFonts w:eastAsia="Calibri"/>
          <w:lang w:eastAsia="en-US"/>
        </w:rPr>
      </w:pPr>
      <w:r w:rsidRPr="00116EDE">
        <w:rPr>
          <w:rFonts w:eastAsia="Calibri"/>
          <w:lang w:eastAsia="en-US"/>
        </w:rPr>
        <w:t xml:space="preserve">Some </w:t>
      </w:r>
      <w:r w:rsidR="00696970">
        <w:rPr>
          <w:rFonts w:eastAsia="Calibri"/>
          <w:lang w:eastAsia="en-US"/>
        </w:rPr>
        <w:t>aged care consumer</w:t>
      </w:r>
      <w:r w:rsidRPr="00116EDE">
        <w:rPr>
          <w:rFonts w:eastAsia="Calibri"/>
          <w:lang w:eastAsia="en-US"/>
        </w:rPr>
        <w:t xml:space="preserve">s need a lot of nursing care, others need very little nursing care but would benefit from allied health care. Some </w:t>
      </w:r>
      <w:r w:rsidR="00696970">
        <w:rPr>
          <w:rFonts w:eastAsia="Calibri"/>
          <w:lang w:eastAsia="en-US"/>
        </w:rPr>
        <w:t>aged care consumer</w:t>
      </w:r>
      <w:r w:rsidRPr="00116EDE">
        <w:rPr>
          <w:rFonts w:eastAsia="Calibri"/>
          <w:lang w:eastAsia="en-US"/>
        </w:rPr>
        <w:t>s would benefit from re-ablement programs or restorative care. Others need palliative care.</w:t>
      </w:r>
      <w:r w:rsidR="00E610FE">
        <w:rPr>
          <w:rFonts w:eastAsia="Calibri"/>
          <w:lang w:eastAsia="en-US"/>
        </w:rPr>
        <w:t xml:space="preserve"> </w:t>
      </w:r>
      <w:r w:rsidR="000F1478">
        <w:rPr>
          <w:rFonts w:eastAsia="Calibri"/>
          <w:lang w:eastAsia="en-US"/>
        </w:rPr>
        <w:t>C</w:t>
      </w:r>
      <w:r w:rsidRPr="00116EDE">
        <w:rPr>
          <w:rFonts w:eastAsia="Calibri"/>
          <w:lang w:eastAsia="en-US"/>
        </w:rPr>
        <w:t xml:space="preserve">are needs are variable and acuity can change very quickly. </w:t>
      </w:r>
      <w:r w:rsidR="000F1478">
        <w:rPr>
          <w:rFonts w:eastAsia="Calibri"/>
          <w:lang w:eastAsia="en-US"/>
        </w:rPr>
        <w:t>T</w:t>
      </w:r>
      <w:r w:rsidRPr="00116EDE">
        <w:rPr>
          <w:rFonts w:eastAsia="Calibri"/>
          <w:lang w:eastAsia="en-US"/>
        </w:rPr>
        <w:t xml:space="preserve">here is no ‘one care model’ that is best practice for every </w:t>
      </w:r>
      <w:r w:rsidR="00696970">
        <w:rPr>
          <w:rFonts w:eastAsia="Calibri"/>
          <w:lang w:eastAsia="en-US"/>
        </w:rPr>
        <w:t>aged care consumer</w:t>
      </w:r>
      <w:r w:rsidRPr="00116EDE">
        <w:rPr>
          <w:rFonts w:eastAsia="Calibri"/>
          <w:lang w:eastAsia="en-US"/>
        </w:rPr>
        <w:t xml:space="preserve">. </w:t>
      </w:r>
    </w:p>
    <w:p w14:paraId="56DC5AB9" w14:textId="77777777" w:rsidR="006C739D" w:rsidRPr="00116EDE" w:rsidRDefault="006C739D">
      <w:pPr>
        <w:rPr>
          <w:rFonts w:eastAsia="Calibri"/>
          <w:lang w:eastAsia="en-US"/>
        </w:rPr>
      </w:pPr>
    </w:p>
    <w:p w14:paraId="5E9155C1" w14:textId="77777777" w:rsidR="002D32A4" w:rsidRPr="00116EDE" w:rsidRDefault="002D32A4">
      <w:pPr>
        <w:rPr>
          <w:rFonts w:eastAsia="Calibri"/>
          <w:i/>
          <w:iCs/>
          <w:lang w:eastAsia="en-US"/>
        </w:rPr>
      </w:pPr>
      <w:r w:rsidRPr="00116EDE">
        <w:rPr>
          <w:rFonts w:eastAsia="Calibri"/>
          <w:lang w:eastAsia="en-US"/>
        </w:rPr>
        <w:t>In September 2018, the Government released the final report of the Aged Care Workforce Strategy Taskforce (the Taskforce). The report identified 14 strategic actions designed to grow and sustain the aged care workforce</w:t>
      </w:r>
      <w:r w:rsidRPr="00116EDE">
        <w:rPr>
          <w:rFonts w:eastAsia="Calibri"/>
          <w:i/>
          <w:iCs/>
          <w:lang w:eastAsia="en-US"/>
        </w:rPr>
        <w:t>.</w:t>
      </w:r>
    </w:p>
    <w:p w14:paraId="0893B232" w14:textId="77777777" w:rsidR="00A72D89" w:rsidRDefault="00A72D89">
      <w:pPr>
        <w:rPr>
          <w:rFonts w:eastAsia="Calibri"/>
          <w:lang w:eastAsia="en-US"/>
        </w:rPr>
      </w:pPr>
    </w:p>
    <w:p w14:paraId="55511CC8" w14:textId="611D1367" w:rsidR="002D32A4" w:rsidRDefault="002D32A4">
      <w:pPr>
        <w:rPr>
          <w:rFonts w:eastAsia="Calibri"/>
          <w:lang w:eastAsia="en-US"/>
        </w:rPr>
      </w:pPr>
      <w:r w:rsidRPr="00116EDE">
        <w:rPr>
          <w:rFonts w:eastAsia="Calibri"/>
          <w:lang w:eastAsia="en-US"/>
        </w:rPr>
        <w:t>The Taskforce recommend</w:t>
      </w:r>
      <w:r w:rsidR="00BA0F47">
        <w:rPr>
          <w:rFonts w:eastAsia="Calibri"/>
          <w:lang w:eastAsia="en-US"/>
        </w:rPr>
        <w:t>ed</w:t>
      </w:r>
      <w:r w:rsidRPr="00116EDE">
        <w:rPr>
          <w:rFonts w:eastAsia="Calibri"/>
          <w:lang w:eastAsia="en-US"/>
        </w:rPr>
        <w:t xml:space="preserve"> </w:t>
      </w:r>
      <w:r w:rsidR="004D734C">
        <w:rPr>
          <w:rFonts w:eastAsia="Calibri"/>
          <w:lang w:eastAsia="en-US"/>
        </w:rPr>
        <w:t xml:space="preserve">residential aged care </w:t>
      </w:r>
      <w:r w:rsidR="005F3B94">
        <w:rPr>
          <w:rFonts w:eastAsia="Calibri"/>
          <w:lang w:eastAsia="en-US"/>
        </w:rPr>
        <w:t>services</w:t>
      </w:r>
      <w:r w:rsidR="004D734C" w:rsidRPr="00116EDE">
        <w:rPr>
          <w:rFonts w:eastAsia="Calibri"/>
          <w:lang w:eastAsia="en-US"/>
        </w:rPr>
        <w:t xml:space="preserve"> </w:t>
      </w:r>
      <w:r w:rsidRPr="00116EDE">
        <w:rPr>
          <w:rFonts w:eastAsia="Calibri"/>
          <w:lang w:eastAsia="en-US"/>
        </w:rPr>
        <w:t xml:space="preserve">and home care providers adopt a new approach to workforce planning in which the number and mix of staff is based on the cumulative needs of </w:t>
      </w:r>
      <w:r w:rsidR="00696970">
        <w:rPr>
          <w:rFonts w:eastAsia="Calibri"/>
          <w:lang w:eastAsia="en-US"/>
        </w:rPr>
        <w:t>aged care consumer</w:t>
      </w:r>
      <w:r w:rsidRPr="00116EDE">
        <w:rPr>
          <w:rFonts w:eastAsia="Calibri"/>
          <w:lang w:eastAsia="en-US"/>
        </w:rPr>
        <w:t xml:space="preserve">s identified in care plans. </w:t>
      </w:r>
    </w:p>
    <w:p w14:paraId="452731A2" w14:textId="4A496DB2" w:rsidR="0009176E" w:rsidRDefault="0009176E">
      <w:pPr>
        <w:rPr>
          <w:rFonts w:eastAsia="Calibri"/>
          <w:lang w:eastAsia="en-US"/>
        </w:rPr>
      </w:pPr>
    </w:p>
    <w:p w14:paraId="02BC26F0" w14:textId="580A71B8" w:rsidR="009F533C" w:rsidRDefault="0009176E" w:rsidP="009F533C">
      <w:pPr>
        <w:rPr>
          <w:lang w:eastAsia="en-US"/>
        </w:rPr>
      </w:pPr>
      <w:r w:rsidRPr="00DC3570">
        <w:rPr>
          <w:rFonts w:eastAsia="Calibri"/>
          <w:lang w:eastAsia="en-US"/>
        </w:rPr>
        <w:t>The Aged Care Quality Standards</w:t>
      </w:r>
      <w:r w:rsidR="002555BC">
        <w:rPr>
          <w:rFonts w:eastAsia="Calibri"/>
          <w:lang w:eastAsia="en-US"/>
        </w:rPr>
        <w:t xml:space="preserve"> (the Standards)</w:t>
      </w:r>
      <w:r w:rsidRPr="00DC3570">
        <w:rPr>
          <w:rFonts w:eastAsia="Calibri"/>
          <w:lang w:eastAsia="en-US"/>
        </w:rPr>
        <w:t>, Standard 7, Human Resources, requires that the organisation has a workforce that is sufficient and is skilled and qualified to provide safe, respectful and quality care and services</w:t>
      </w:r>
      <w:r w:rsidRPr="00EA6574">
        <w:rPr>
          <w:rFonts w:ascii="Calibri" w:hAnsi="Calibri" w:cs="Calibri"/>
        </w:rPr>
        <w:t>.</w:t>
      </w:r>
      <w:r w:rsidR="006B088C">
        <w:rPr>
          <w:rFonts w:ascii="Calibri" w:hAnsi="Calibri" w:cs="Calibri"/>
          <w:color w:val="FF0000"/>
          <w:sz w:val="22"/>
          <w:szCs w:val="22"/>
          <w:lang w:eastAsia="en-US"/>
        </w:rPr>
        <w:t> </w:t>
      </w:r>
      <w:r w:rsidR="009F533C" w:rsidRPr="009F533C">
        <w:rPr>
          <w:lang w:eastAsia="en-US"/>
        </w:rPr>
        <w:t xml:space="preserve">The organisation is required to demonstrate to the Aged Care Quality and Safety Commission (Commission) that the workforce is planned and the number and mix of the workforce enables the delivery and management of safe and quality care and services. </w:t>
      </w:r>
    </w:p>
    <w:p w14:paraId="1ABB7BBF" w14:textId="77777777" w:rsidR="009F533C" w:rsidRDefault="009F533C" w:rsidP="009F533C">
      <w:pPr>
        <w:rPr>
          <w:lang w:eastAsia="en-US"/>
        </w:rPr>
      </w:pPr>
    </w:p>
    <w:p w14:paraId="2F81F077" w14:textId="072E6A95" w:rsidR="009F533C" w:rsidRPr="009F533C" w:rsidRDefault="009F533C" w:rsidP="009F533C">
      <w:pPr>
        <w:rPr>
          <w:lang w:eastAsia="en-US"/>
        </w:rPr>
      </w:pPr>
      <w:r w:rsidRPr="009F533C">
        <w:rPr>
          <w:lang w:eastAsia="en-US"/>
        </w:rPr>
        <w:t xml:space="preserve">In order to determine this, quality assessors will ask consumers to determine if they believe they are getting quality care and services when needed and the people providing those services are knowledgeable, capable and caring. Quality assessors clarify this information with staff and may review rosters, including information regarding unfilled shifts. Other information that may be reviewed includes availability of training for staff and that management has policies and processes in place in order to support monitoring and review of performance of each member of the workforce. A finding of non-compliance with Standard 7 may be made if information provided through consumer interviews is not supported by information provided by staff interviews, or cannot be supported through document review including rostering and staff education and training provision. </w:t>
      </w:r>
    </w:p>
    <w:p w14:paraId="23C9F941" w14:textId="2C2629A9" w:rsidR="006C739D" w:rsidRPr="00116EDE" w:rsidRDefault="006C739D">
      <w:pPr>
        <w:rPr>
          <w:rFonts w:eastAsia="Calibri"/>
          <w:lang w:eastAsia="en-US"/>
        </w:rPr>
      </w:pPr>
    </w:p>
    <w:p w14:paraId="4E2BC115" w14:textId="7C83E8FA" w:rsidR="00BA6167" w:rsidRPr="00BA6167" w:rsidRDefault="00BA6167" w:rsidP="00BA6167">
      <w:pPr>
        <w:rPr>
          <w:lang w:eastAsia="en-US"/>
        </w:rPr>
      </w:pPr>
      <w:r w:rsidRPr="00BA6167">
        <w:rPr>
          <w:lang w:eastAsia="en-US"/>
        </w:rPr>
        <w:t>Complaints received through the Commission in relation to staffing can be made openly, confidentially or anonymously.  They will be managed in accordance with the complaints resolution processes, and include the ongoing assessment of risk and the sharing of information within the Commission as appropriate.  Complaints officers use a range of strategies to manage and resolve complaints, including engaging with providers, complainants and care recipients and seeking information from or attend</w:t>
      </w:r>
      <w:r>
        <w:rPr>
          <w:lang w:eastAsia="en-US"/>
        </w:rPr>
        <w:t>ing the premises of providers.</w:t>
      </w:r>
    </w:p>
    <w:p w14:paraId="7F9B31E5" w14:textId="77777777" w:rsidR="00BA6167" w:rsidRPr="00BA6167" w:rsidRDefault="00BA6167" w:rsidP="00BA6167">
      <w:pPr>
        <w:rPr>
          <w:rFonts w:ascii="Calibri" w:hAnsi="Calibri" w:cs="Calibri"/>
          <w:sz w:val="22"/>
          <w:szCs w:val="22"/>
          <w:lang w:eastAsia="en-US"/>
        </w:rPr>
      </w:pPr>
    </w:p>
    <w:p w14:paraId="6A392F83" w14:textId="77777777" w:rsidR="00DC3570" w:rsidRDefault="00DC3570" w:rsidP="006C1987">
      <w:pPr>
        <w:rPr>
          <w:rFonts w:eastAsia="Calibri"/>
          <w:strike/>
          <w:lang w:eastAsia="en-US"/>
        </w:rPr>
      </w:pPr>
    </w:p>
    <w:p w14:paraId="70BEB80E" w14:textId="77777777" w:rsidR="003E44DD" w:rsidRDefault="003E44DD">
      <w:pPr>
        <w:spacing w:after="200" w:line="276" w:lineRule="auto"/>
        <w:rPr>
          <w:rFonts w:asciiTheme="majorHAnsi" w:hAnsiTheme="majorHAnsi"/>
          <w:b/>
          <w:color w:val="548DD4" w:themeColor="text2" w:themeTint="99"/>
          <w:sz w:val="26"/>
          <w:szCs w:val="26"/>
        </w:rPr>
      </w:pPr>
      <w:r>
        <w:rPr>
          <w:rFonts w:asciiTheme="majorHAnsi" w:hAnsiTheme="majorHAnsi"/>
          <w:b/>
          <w:color w:val="548DD4" w:themeColor="text2" w:themeTint="99"/>
          <w:sz w:val="26"/>
          <w:szCs w:val="26"/>
        </w:rPr>
        <w:br w:type="page"/>
      </w:r>
    </w:p>
    <w:p w14:paraId="0DA287D7" w14:textId="47D27AD2" w:rsidR="0025063D" w:rsidRDefault="00E709C5" w:rsidP="001B0C81">
      <w:pPr>
        <w:pStyle w:val="Heading2"/>
      </w:pPr>
      <w:r>
        <w:lastRenderedPageBreak/>
        <w:t>Recommendation 5</w:t>
      </w:r>
      <w:r w:rsidR="006C739D">
        <w:t xml:space="preserve"> </w:t>
      </w:r>
    </w:p>
    <w:p w14:paraId="2F41F635" w14:textId="77777777" w:rsidR="00C443ED" w:rsidRDefault="00C443ED" w:rsidP="00C443ED">
      <w:pPr>
        <w:rPr>
          <w:lang w:val="en"/>
        </w:rPr>
      </w:pPr>
    </w:p>
    <w:p w14:paraId="108F2473" w14:textId="77777777" w:rsidR="006C739D" w:rsidRDefault="00E709C5" w:rsidP="00C443ED">
      <w:pPr>
        <w:rPr>
          <w:b/>
        </w:rPr>
      </w:pPr>
      <w:r w:rsidRPr="00476073">
        <w:rPr>
          <w:lang w:val="en"/>
        </w:rPr>
        <w:t>The Committee recommends that the Department of Health ensure consumer information, including the Charter of Rights, for aged care</w:t>
      </w:r>
      <w:r w:rsidR="007A576B">
        <w:rPr>
          <w:lang w:val="en"/>
        </w:rPr>
        <w:t xml:space="preserve"> residents</w:t>
      </w:r>
      <w:r w:rsidRPr="00476073">
        <w:rPr>
          <w:lang w:val="en"/>
        </w:rPr>
        <w:t xml:space="preserve"> and their families is available in a wider range of languages to ensure better access for those from culturally and linguistically diverse backgrounds.</w:t>
      </w:r>
      <w:r w:rsidR="006C739D" w:rsidRPr="00384E4C">
        <w:rPr>
          <w:b/>
        </w:rPr>
        <w:t xml:space="preserve"> </w:t>
      </w:r>
    </w:p>
    <w:p w14:paraId="5E761768" w14:textId="77777777" w:rsidR="00DA4F5C" w:rsidRDefault="00DA4F5C">
      <w:pPr>
        <w:pStyle w:val="ListParagraph"/>
        <w:autoSpaceDE w:val="0"/>
        <w:autoSpaceDN w:val="0"/>
        <w:spacing w:after="0" w:line="240" w:lineRule="auto"/>
        <w:ind w:left="0"/>
        <w:contextualSpacing w:val="0"/>
        <w:rPr>
          <w:b/>
          <w:szCs w:val="24"/>
          <w:lang w:eastAsia="en-AU"/>
        </w:rPr>
      </w:pPr>
    </w:p>
    <w:p w14:paraId="736CE37E" w14:textId="77777777" w:rsidR="00E709C5" w:rsidRPr="00F57C70" w:rsidRDefault="006C739D">
      <w:pPr>
        <w:pStyle w:val="ListParagraph"/>
        <w:autoSpaceDE w:val="0"/>
        <w:autoSpaceDN w:val="0"/>
        <w:spacing w:after="0" w:line="240" w:lineRule="auto"/>
        <w:ind w:left="0"/>
        <w:contextualSpacing w:val="0"/>
        <w:rPr>
          <w:highlight w:val="cyan"/>
          <w:lang w:val="en"/>
        </w:rPr>
      </w:pPr>
      <w:r w:rsidRPr="00384E4C">
        <w:t xml:space="preserve">The Australian Government </w:t>
      </w:r>
      <w:r w:rsidRPr="00384E4C">
        <w:rPr>
          <w:b/>
        </w:rPr>
        <w:t>supports</w:t>
      </w:r>
      <w:r w:rsidRPr="00384E4C">
        <w:t xml:space="preserve"> this recommendation</w:t>
      </w:r>
      <w:r>
        <w:t>.</w:t>
      </w:r>
    </w:p>
    <w:p w14:paraId="33605C80" w14:textId="77777777" w:rsidR="006C739D" w:rsidRDefault="006C739D">
      <w:pPr>
        <w:rPr>
          <w:iCs/>
        </w:rPr>
      </w:pPr>
    </w:p>
    <w:p w14:paraId="12C95A91" w14:textId="3593772D" w:rsidR="00EC47DE" w:rsidRDefault="00E709C5">
      <w:pPr>
        <w:rPr>
          <w:iCs/>
        </w:rPr>
      </w:pPr>
      <w:r w:rsidRPr="00E07E95">
        <w:rPr>
          <w:iCs/>
        </w:rPr>
        <w:t xml:space="preserve">The Department </w:t>
      </w:r>
      <w:r w:rsidR="00BA0F47">
        <w:rPr>
          <w:iCs/>
        </w:rPr>
        <w:t xml:space="preserve">has </w:t>
      </w:r>
      <w:r w:rsidRPr="00E07E95">
        <w:rPr>
          <w:iCs/>
        </w:rPr>
        <w:t>translate</w:t>
      </w:r>
      <w:r w:rsidR="00BA0F47">
        <w:rPr>
          <w:iCs/>
        </w:rPr>
        <w:t>d</w:t>
      </w:r>
      <w:r w:rsidRPr="00E07E95">
        <w:rPr>
          <w:iCs/>
        </w:rPr>
        <w:t xml:space="preserve"> the</w:t>
      </w:r>
      <w:r w:rsidR="009539E9">
        <w:rPr>
          <w:iCs/>
        </w:rPr>
        <w:t xml:space="preserve"> single </w:t>
      </w:r>
      <w:r w:rsidRPr="00E07E95">
        <w:rPr>
          <w:iCs/>
        </w:rPr>
        <w:t>Charter of Aged Care Rights</w:t>
      </w:r>
      <w:r w:rsidR="002555BC">
        <w:rPr>
          <w:iCs/>
        </w:rPr>
        <w:t xml:space="preserve"> (the Charter)</w:t>
      </w:r>
      <w:r w:rsidRPr="00E07E95">
        <w:rPr>
          <w:iCs/>
        </w:rPr>
        <w:t xml:space="preserve"> into </w:t>
      </w:r>
      <w:r w:rsidR="00BA0F47">
        <w:rPr>
          <w:iCs/>
        </w:rPr>
        <w:t>18</w:t>
      </w:r>
      <w:r w:rsidR="004759AE">
        <w:rPr>
          <w:iCs/>
        </w:rPr>
        <w:t> </w:t>
      </w:r>
      <w:r w:rsidRPr="00E07E95">
        <w:rPr>
          <w:iCs/>
        </w:rPr>
        <w:t xml:space="preserve">different languages. </w:t>
      </w:r>
      <w:r w:rsidR="00644629">
        <w:rPr>
          <w:iCs/>
        </w:rPr>
        <w:t>A Charter of Aged Care Rights booklet has been designed to support consumer understanding of the Charter. The booklet has also been translated into 18 languages.</w:t>
      </w:r>
    </w:p>
    <w:p w14:paraId="3D91AD36" w14:textId="77777777" w:rsidR="006B088C" w:rsidRDefault="006B088C">
      <w:pPr>
        <w:rPr>
          <w:iCs/>
        </w:rPr>
      </w:pPr>
    </w:p>
    <w:p w14:paraId="222FD5CC" w14:textId="754FDB5A" w:rsidR="00E709C5" w:rsidRPr="00EC47DE" w:rsidRDefault="006C1987">
      <w:pPr>
        <w:rPr>
          <w:iCs/>
        </w:rPr>
      </w:pPr>
      <w:r w:rsidRPr="00EC47DE">
        <w:t xml:space="preserve">In addition, the </w:t>
      </w:r>
      <w:r w:rsidR="0010101F">
        <w:t>D</w:t>
      </w:r>
      <w:r w:rsidRPr="00EC47DE">
        <w:t xml:space="preserve">epartment produces a range of resources to support senior Australians to access aged care information and services. This includes information to support people from Culturally and Linguistically Diverse (CALD) backgrounds with many resources translated into 18 languages. The </w:t>
      </w:r>
      <w:r w:rsidR="0010101F">
        <w:t>D</w:t>
      </w:r>
      <w:r w:rsidRPr="00EC47DE">
        <w:t>epartment also makes available resources translated into four Aboriginal and Torres Strait Islander languages. The My Aged Care website features case study videos showing real people from CALD backgrounds, including in language Chinese and Italian, and Aboriginal and Torres Strait Islander people, receiving aged care services.</w:t>
      </w:r>
    </w:p>
    <w:p w14:paraId="2029B38D" w14:textId="77777777" w:rsidR="003D50AF" w:rsidRPr="00E07E95" w:rsidRDefault="003D50AF">
      <w:pPr>
        <w:rPr>
          <w:iCs/>
        </w:rPr>
      </w:pPr>
    </w:p>
    <w:p w14:paraId="7AD9E3CA" w14:textId="525A14F7" w:rsidR="00E709C5" w:rsidRDefault="00E709C5">
      <w:pPr>
        <w:rPr>
          <w:iCs/>
        </w:rPr>
      </w:pPr>
      <w:r w:rsidRPr="00E07E95">
        <w:rPr>
          <w:iCs/>
        </w:rPr>
        <w:t>The Department considers available data to help inform the selection of languages, including the estimated number of people over 65 who speak the language, are literate in that language, and cannot also read English materials. The number of people accessing the translated information online, as well as the community’s capacity to distribute materials, is also taken into account.</w:t>
      </w:r>
    </w:p>
    <w:p w14:paraId="1721AFB7" w14:textId="77777777" w:rsidR="004476AC" w:rsidRPr="00E07E95" w:rsidRDefault="004476AC">
      <w:pPr>
        <w:rPr>
          <w:iCs/>
        </w:rPr>
      </w:pPr>
    </w:p>
    <w:p w14:paraId="53DD6077" w14:textId="77777777" w:rsidR="0025063D" w:rsidRDefault="00537783" w:rsidP="001B0C81">
      <w:pPr>
        <w:pStyle w:val="Heading2"/>
      </w:pPr>
      <w:r>
        <w:t>Recommendation 6</w:t>
      </w:r>
      <w:r w:rsidR="006C739D">
        <w:t xml:space="preserve"> </w:t>
      </w:r>
    </w:p>
    <w:p w14:paraId="6ECAA805" w14:textId="13F6E962" w:rsidR="00537783" w:rsidRDefault="00537783">
      <w:pPr>
        <w:rPr>
          <w:lang w:val="en"/>
        </w:rPr>
      </w:pPr>
    </w:p>
    <w:p w14:paraId="6F9CAC25" w14:textId="77777777" w:rsidR="00537783" w:rsidRPr="00116EDE" w:rsidRDefault="00537783">
      <w:pPr>
        <w:rPr>
          <w:lang w:val="en"/>
        </w:rPr>
      </w:pPr>
      <w:r w:rsidRPr="00116EDE">
        <w:rPr>
          <w:lang w:val="en"/>
        </w:rPr>
        <w:t>The Committee recommends that an independent review and a parliamentary inquiry (by</w:t>
      </w:r>
      <w:r w:rsidR="008C739C">
        <w:rPr>
          <w:lang w:val="en"/>
        </w:rPr>
        <w:t> </w:t>
      </w:r>
      <w:r w:rsidRPr="00116EDE">
        <w:rPr>
          <w:lang w:val="en"/>
        </w:rPr>
        <w:t xml:space="preserve">the appropriate Committee) be undertaken into the Aged Care Quality and Safety Commission </w:t>
      </w:r>
      <w:r w:rsidR="00AA429B">
        <w:rPr>
          <w:lang w:val="en"/>
        </w:rPr>
        <w:t xml:space="preserve">(the Commission) </w:t>
      </w:r>
      <w:r w:rsidRPr="00116EDE">
        <w:rPr>
          <w:lang w:val="en"/>
        </w:rPr>
        <w:t>after two years to determine its effectiveness in ensuring high standards of care, best clinical practice and reducing mistreatment.</w:t>
      </w:r>
    </w:p>
    <w:p w14:paraId="6884E9AC" w14:textId="77777777" w:rsidR="009539E9" w:rsidRPr="00384E4C" w:rsidRDefault="009539E9">
      <w:pPr>
        <w:pStyle w:val="ListParagraph"/>
        <w:autoSpaceDE w:val="0"/>
        <w:autoSpaceDN w:val="0"/>
        <w:spacing w:after="0" w:line="240" w:lineRule="auto"/>
        <w:ind w:left="0"/>
        <w:contextualSpacing w:val="0"/>
        <w:rPr>
          <w:szCs w:val="24"/>
          <w:lang w:eastAsia="en-AU"/>
        </w:rPr>
      </w:pPr>
    </w:p>
    <w:p w14:paraId="4E054A6B" w14:textId="77777777" w:rsidR="00537783" w:rsidRDefault="006C739D">
      <w:r w:rsidRPr="00384E4C">
        <w:t xml:space="preserve">The Australian Government </w:t>
      </w:r>
      <w:r w:rsidRPr="006C739D">
        <w:rPr>
          <w:b/>
        </w:rPr>
        <w:t>s</w:t>
      </w:r>
      <w:r>
        <w:rPr>
          <w:b/>
        </w:rPr>
        <w:t>upports in</w:t>
      </w:r>
      <w:r w:rsidR="0018773C">
        <w:rPr>
          <w:b/>
        </w:rPr>
        <w:t>-</w:t>
      </w:r>
      <w:r>
        <w:rPr>
          <w:b/>
        </w:rPr>
        <w:t>principle</w:t>
      </w:r>
      <w:r w:rsidRPr="00384E4C">
        <w:t xml:space="preserve"> this recommendation</w:t>
      </w:r>
      <w:r w:rsidR="00116EDE">
        <w:t>.</w:t>
      </w:r>
    </w:p>
    <w:p w14:paraId="653C0E51" w14:textId="77777777" w:rsidR="00DC3570" w:rsidRDefault="00DC3570">
      <w:pPr>
        <w:rPr>
          <w:lang w:val="en"/>
        </w:rPr>
      </w:pPr>
    </w:p>
    <w:p w14:paraId="1EC7629C" w14:textId="77777777" w:rsidR="00175746" w:rsidRDefault="00537783">
      <w:pPr>
        <w:rPr>
          <w:iCs/>
        </w:rPr>
      </w:pPr>
      <w:r w:rsidRPr="00EF1A1E">
        <w:rPr>
          <w:lang w:val="en"/>
        </w:rPr>
        <w:t xml:space="preserve">The Government is committed to undertaking an independent review into the </w:t>
      </w:r>
      <w:r w:rsidR="00543E9C">
        <w:rPr>
          <w:lang w:val="en"/>
        </w:rPr>
        <w:t>Commission</w:t>
      </w:r>
      <w:r w:rsidRPr="00EF1A1E">
        <w:rPr>
          <w:lang w:val="en"/>
        </w:rPr>
        <w:t>. Subsequent to the Committee’s report, the Government brought forward amendments to the Aged Care Quality and Safety Commission Bill</w:t>
      </w:r>
      <w:r>
        <w:rPr>
          <w:lang w:val="en"/>
        </w:rPr>
        <w:t> </w:t>
      </w:r>
      <w:r w:rsidRPr="00EF1A1E">
        <w:rPr>
          <w:lang w:val="en"/>
        </w:rPr>
        <w:t>2018, which were</w:t>
      </w:r>
      <w:r w:rsidR="00655392">
        <w:rPr>
          <w:lang w:val="en"/>
        </w:rPr>
        <w:t xml:space="preserve"> </w:t>
      </w:r>
      <w:r w:rsidRPr="00EF1A1E">
        <w:rPr>
          <w:lang w:val="en"/>
        </w:rPr>
        <w:t>incorporated in the Bill that was passed by both Houses of Parliament</w:t>
      </w:r>
      <w:r w:rsidR="00175746">
        <w:rPr>
          <w:lang w:val="en"/>
        </w:rPr>
        <w:t xml:space="preserve"> </w:t>
      </w:r>
      <w:r w:rsidR="00175746">
        <w:rPr>
          <w:iCs/>
        </w:rPr>
        <w:t>provid</w:t>
      </w:r>
      <w:r w:rsidR="009539E9">
        <w:rPr>
          <w:iCs/>
        </w:rPr>
        <w:t>ing</w:t>
      </w:r>
      <w:r w:rsidR="00175746">
        <w:rPr>
          <w:iCs/>
        </w:rPr>
        <w:t xml:space="preserve"> for an independent review into the Commission’s operation</w:t>
      </w:r>
      <w:r w:rsidR="00AF51E1">
        <w:rPr>
          <w:iCs/>
        </w:rPr>
        <w:t>s</w:t>
      </w:r>
      <w:r w:rsidR="00175746">
        <w:rPr>
          <w:iCs/>
        </w:rPr>
        <w:t>.</w:t>
      </w:r>
    </w:p>
    <w:p w14:paraId="621EBC02" w14:textId="77777777" w:rsidR="004759AE" w:rsidRDefault="004759AE">
      <w:pPr>
        <w:rPr>
          <w:iCs/>
        </w:rPr>
      </w:pPr>
    </w:p>
    <w:p w14:paraId="501F818D" w14:textId="77777777" w:rsidR="00537783" w:rsidRDefault="00175746" w:rsidP="006C1987">
      <w:pPr>
        <w:rPr>
          <w:lang w:val="en"/>
        </w:rPr>
      </w:pPr>
      <w:r>
        <w:rPr>
          <w:lang w:val="en"/>
        </w:rPr>
        <w:t>Specifically, s</w:t>
      </w:r>
      <w:r w:rsidR="00537783" w:rsidRPr="00EF1A1E">
        <w:rPr>
          <w:lang w:val="en"/>
        </w:rPr>
        <w:t>ection 76A of</w:t>
      </w:r>
      <w:r w:rsidR="008A3EA3">
        <w:rPr>
          <w:lang w:val="en"/>
        </w:rPr>
        <w:t xml:space="preserve"> the </w:t>
      </w:r>
      <w:r w:rsidR="00876F97" w:rsidRPr="008A3EA3">
        <w:rPr>
          <w:i/>
        </w:rPr>
        <w:t>Aged Care Quality and Safety Commission Act 2018</w:t>
      </w:r>
      <w:r w:rsidR="00876F97">
        <w:t xml:space="preserve"> (Quality and Safety Commission Act)</w:t>
      </w:r>
      <w:r w:rsidR="00537783" w:rsidRPr="00EF1A1E">
        <w:rPr>
          <w:lang w:val="en"/>
        </w:rPr>
        <w:t>, provides for a review of the operation of th</w:t>
      </w:r>
      <w:r w:rsidR="008A3EA3">
        <w:rPr>
          <w:lang w:val="en"/>
        </w:rPr>
        <w:t>at</w:t>
      </w:r>
      <w:r w:rsidR="008A3EA3" w:rsidRPr="00DC4D99">
        <w:t xml:space="preserve"> Act</w:t>
      </w:r>
      <w:r w:rsidR="00537783" w:rsidRPr="00EF1A1E">
        <w:rPr>
          <w:lang w:val="en"/>
        </w:rPr>
        <w:t xml:space="preserve"> </w:t>
      </w:r>
      <w:r w:rsidR="00537783" w:rsidRPr="00EF1A1E">
        <w:rPr>
          <w:lang w:val="en"/>
        </w:rPr>
        <w:lastRenderedPageBreak/>
        <w:t xml:space="preserve">and the </w:t>
      </w:r>
      <w:r w:rsidR="00537783" w:rsidRPr="00AA429B">
        <w:rPr>
          <w:i/>
          <w:lang w:val="en"/>
        </w:rPr>
        <w:t xml:space="preserve">Aged Care Quality and Safety </w:t>
      </w:r>
      <w:r w:rsidR="009C218D" w:rsidRPr="00AA429B">
        <w:rPr>
          <w:i/>
          <w:lang w:val="en"/>
        </w:rPr>
        <w:t xml:space="preserve">Commission </w:t>
      </w:r>
      <w:r w:rsidR="00537783" w:rsidRPr="00AA429B">
        <w:rPr>
          <w:i/>
          <w:lang w:val="en"/>
        </w:rPr>
        <w:t>Rules 2018</w:t>
      </w:r>
      <w:r w:rsidR="00AA429B" w:rsidRPr="00AA429B">
        <w:rPr>
          <w:lang w:val="en"/>
        </w:rPr>
        <w:t xml:space="preserve"> (Commission Rules)</w:t>
      </w:r>
      <w:r w:rsidR="00537783" w:rsidRPr="00AA429B">
        <w:rPr>
          <w:lang w:val="en"/>
        </w:rPr>
        <w:t xml:space="preserve">. </w:t>
      </w:r>
      <w:r w:rsidR="00537783" w:rsidRPr="00EF1A1E">
        <w:rPr>
          <w:lang w:val="en"/>
        </w:rPr>
        <w:t xml:space="preserve">Section 76A of the </w:t>
      </w:r>
      <w:r w:rsidR="00AA429B">
        <w:t xml:space="preserve">Quality and Safety Commission </w:t>
      </w:r>
      <w:r w:rsidR="00537783" w:rsidRPr="00EF1A1E">
        <w:rPr>
          <w:lang w:val="en"/>
        </w:rPr>
        <w:t xml:space="preserve">Act states an independent review of the operation of the Act and the </w:t>
      </w:r>
      <w:r w:rsidR="00AA429B">
        <w:rPr>
          <w:lang w:val="en"/>
        </w:rPr>
        <w:t>Commission R</w:t>
      </w:r>
      <w:r w:rsidR="00537783" w:rsidRPr="00EF1A1E">
        <w:rPr>
          <w:lang w:val="en"/>
        </w:rPr>
        <w:t>ules is to be conducted within 6</w:t>
      </w:r>
      <w:r w:rsidR="007575A6">
        <w:rPr>
          <w:lang w:val="en"/>
        </w:rPr>
        <w:t> </w:t>
      </w:r>
      <w:r w:rsidR="00537783" w:rsidRPr="00EF1A1E">
        <w:rPr>
          <w:lang w:val="en"/>
        </w:rPr>
        <w:t>months after the fifth anniversary of the commencement of this Act</w:t>
      </w:r>
      <w:r w:rsidR="004D734C">
        <w:rPr>
          <w:lang w:val="en"/>
        </w:rPr>
        <w:t>.</w:t>
      </w:r>
      <w:r w:rsidR="00537783" w:rsidRPr="00EF1A1E">
        <w:rPr>
          <w:lang w:val="en"/>
        </w:rPr>
        <w:t xml:space="preserve"> </w:t>
      </w:r>
      <w:r w:rsidR="004D734C">
        <w:rPr>
          <w:lang w:val="en"/>
        </w:rPr>
        <w:t>A</w:t>
      </w:r>
      <w:r w:rsidR="00537783" w:rsidRPr="00EF1A1E">
        <w:rPr>
          <w:lang w:val="en"/>
        </w:rPr>
        <w:t xml:space="preserve"> written report of the review is to be provided to the Minister who must cause a copy of the report to be tabled in each House of the Parliament within 15 sitting days of that House after the report is given to the Minister.</w:t>
      </w:r>
    </w:p>
    <w:p w14:paraId="63B9DC7B" w14:textId="77777777" w:rsidR="00537783" w:rsidRDefault="00537783" w:rsidP="00C443ED">
      <w:pPr>
        <w:rPr>
          <w:lang w:val="en"/>
        </w:rPr>
      </w:pPr>
    </w:p>
    <w:p w14:paraId="6C4C47DA" w14:textId="463BD240" w:rsidR="00537783" w:rsidRDefault="00537783">
      <w:pPr>
        <w:rPr>
          <w:lang w:val="en"/>
        </w:rPr>
      </w:pPr>
      <w:r w:rsidRPr="00EF1A1E">
        <w:rPr>
          <w:lang w:val="en"/>
        </w:rPr>
        <w:t xml:space="preserve">This longer timeframe will enable a </w:t>
      </w:r>
      <w:r>
        <w:rPr>
          <w:lang w:val="en"/>
        </w:rPr>
        <w:t>review to consider the second stage of reforms which will bring the aged care regulatory functions of the Department into the Commission.</w:t>
      </w:r>
    </w:p>
    <w:p w14:paraId="768E1063" w14:textId="77777777" w:rsidR="00DC3570" w:rsidRPr="00EF1A1E" w:rsidRDefault="00DC3570">
      <w:pPr>
        <w:rPr>
          <w:lang w:val="en"/>
        </w:rPr>
      </w:pPr>
    </w:p>
    <w:p w14:paraId="620DC688" w14:textId="77777777" w:rsidR="0025063D" w:rsidRDefault="00537783" w:rsidP="001B0C81">
      <w:pPr>
        <w:pStyle w:val="Heading2"/>
      </w:pPr>
      <w:r>
        <w:t>Recommendation 7</w:t>
      </w:r>
      <w:r w:rsidR="006C739D">
        <w:t xml:space="preserve"> </w:t>
      </w:r>
    </w:p>
    <w:p w14:paraId="4586274C" w14:textId="77777777" w:rsidR="00D44176" w:rsidRDefault="00D44176">
      <w:pPr>
        <w:rPr>
          <w:lang w:val="en"/>
        </w:rPr>
      </w:pPr>
    </w:p>
    <w:p w14:paraId="469E6AEC" w14:textId="77777777" w:rsidR="00D44176" w:rsidRDefault="00D44176">
      <w:pPr>
        <w:rPr>
          <w:lang w:val="en"/>
        </w:rPr>
      </w:pPr>
      <w:r w:rsidRPr="006A7555">
        <w:rPr>
          <w:lang w:val="en"/>
        </w:rPr>
        <w:t xml:space="preserve">The Committee reiterates and supports the recommendation from the Carnell-Paterson Review for the current move to unannounced audits in residential aged care </w:t>
      </w:r>
      <w:r w:rsidR="00B35CE0">
        <w:rPr>
          <w:lang w:val="en"/>
        </w:rPr>
        <w:t>facilities</w:t>
      </w:r>
      <w:r w:rsidR="004D734C" w:rsidRPr="006A7555">
        <w:rPr>
          <w:lang w:val="en"/>
        </w:rPr>
        <w:t xml:space="preserve"> </w:t>
      </w:r>
      <w:r w:rsidRPr="006A7555">
        <w:rPr>
          <w:lang w:val="en"/>
        </w:rPr>
        <w:t xml:space="preserve">and that any unannounced visits to residential aged care </w:t>
      </w:r>
      <w:r w:rsidR="00B35CE0">
        <w:rPr>
          <w:lang w:val="en"/>
        </w:rPr>
        <w:t>facilities</w:t>
      </w:r>
      <w:r w:rsidR="004D734C" w:rsidRPr="006A7555">
        <w:rPr>
          <w:lang w:val="en"/>
        </w:rPr>
        <w:t xml:space="preserve"> </w:t>
      </w:r>
      <w:r w:rsidRPr="006A7555">
        <w:rPr>
          <w:lang w:val="en"/>
        </w:rPr>
        <w:t>should not be confined to business hours.</w:t>
      </w:r>
    </w:p>
    <w:p w14:paraId="4678B12E" w14:textId="77777777" w:rsidR="006C739D" w:rsidRDefault="006C739D">
      <w:pPr>
        <w:pStyle w:val="ListParagraph"/>
        <w:autoSpaceDE w:val="0"/>
        <w:autoSpaceDN w:val="0"/>
        <w:spacing w:after="0" w:line="240" w:lineRule="auto"/>
        <w:ind w:left="0"/>
        <w:contextualSpacing w:val="0"/>
        <w:rPr>
          <w:b/>
          <w:szCs w:val="24"/>
          <w:lang w:eastAsia="en-AU"/>
        </w:rPr>
      </w:pPr>
    </w:p>
    <w:p w14:paraId="1F321C90" w14:textId="77777777" w:rsidR="00D44176" w:rsidRDefault="006C739D">
      <w:r w:rsidRPr="00384E4C">
        <w:t xml:space="preserve">The Australian Government </w:t>
      </w:r>
      <w:r w:rsidRPr="00384E4C">
        <w:rPr>
          <w:b/>
        </w:rPr>
        <w:t>supports</w:t>
      </w:r>
      <w:r w:rsidRPr="00384E4C">
        <w:t xml:space="preserve"> this recommendation</w:t>
      </w:r>
      <w:r w:rsidR="004D734C">
        <w:t>.</w:t>
      </w:r>
    </w:p>
    <w:p w14:paraId="607E7489" w14:textId="77777777" w:rsidR="0066379E" w:rsidRDefault="0066379E"/>
    <w:p w14:paraId="0B9470A7" w14:textId="65ED7F64" w:rsidR="002C543B" w:rsidRDefault="002C543B">
      <w:pPr>
        <w:shd w:val="clear" w:color="auto" w:fill="FFFFFF"/>
      </w:pPr>
      <w:r>
        <w:t xml:space="preserve">Following a decision by Government, </w:t>
      </w:r>
      <w:r w:rsidR="00BD69AC">
        <w:t>legislation was amended to e</w:t>
      </w:r>
      <w:r>
        <w:t xml:space="preserve">nable unannounced re-accreditation audits to apply to all applications for re-accreditation </w:t>
      </w:r>
      <w:r w:rsidR="00BA0F47">
        <w:t xml:space="preserve">by residential aged care services </w:t>
      </w:r>
      <w:r>
        <w:t xml:space="preserve">from 1 July 2018. </w:t>
      </w:r>
      <w:r w:rsidRPr="00C95FA8">
        <w:t xml:space="preserve">Accreditation and monitoring </w:t>
      </w:r>
      <w:r w:rsidR="00826801">
        <w:t xml:space="preserve">of </w:t>
      </w:r>
      <w:r w:rsidRPr="00C95FA8">
        <w:t xml:space="preserve">the quality of care and services </w:t>
      </w:r>
      <w:r>
        <w:t>delivered</w:t>
      </w:r>
      <w:r w:rsidRPr="00C95FA8">
        <w:t xml:space="preserve"> by approved providers of residential aged care </w:t>
      </w:r>
      <w:r>
        <w:t xml:space="preserve">now </w:t>
      </w:r>
      <w:r w:rsidRPr="00C95FA8">
        <w:t>form</w:t>
      </w:r>
      <w:r>
        <w:t>s</w:t>
      </w:r>
      <w:r w:rsidRPr="00C95FA8">
        <w:t xml:space="preserve"> part of the regulatory functions of the </w:t>
      </w:r>
      <w:r w:rsidR="00826801">
        <w:t xml:space="preserve">Commission </w:t>
      </w:r>
      <w:r>
        <w:t xml:space="preserve">and includes unannounced </w:t>
      </w:r>
      <w:r w:rsidR="00072E3D">
        <w:t xml:space="preserve">site </w:t>
      </w:r>
      <w:r w:rsidRPr="00D7346F">
        <w:t>visits</w:t>
      </w:r>
      <w:r>
        <w:t xml:space="preserve"> to services</w:t>
      </w:r>
      <w:r w:rsidRPr="00C95FA8">
        <w:t xml:space="preserve">. </w:t>
      </w:r>
    </w:p>
    <w:p w14:paraId="58B2662C" w14:textId="77777777" w:rsidR="00543E9C" w:rsidRDefault="00543E9C"/>
    <w:p w14:paraId="4F0685F8" w14:textId="45A73D21" w:rsidR="005E6765" w:rsidRPr="00C95FA8" w:rsidRDefault="002C543B">
      <w:r>
        <w:t xml:space="preserve">All re-accreditation audits </w:t>
      </w:r>
      <w:r w:rsidR="005E6765">
        <w:t xml:space="preserve">of residential aged care services </w:t>
      </w:r>
      <w:r>
        <w:t>are now unannounced.</w:t>
      </w:r>
      <w:r w:rsidR="004734C0">
        <w:t xml:space="preserve"> </w:t>
      </w:r>
      <w:r w:rsidR="005E6765">
        <w:t xml:space="preserve">In addition, </w:t>
      </w:r>
      <w:r w:rsidR="005E6765" w:rsidRPr="005E6765">
        <w:t xml:space="preserve">each residential aged care service also receives an unannounced </w:t>
      </w:r>
      <w:r w:rsidR="0010101F">
        <w:t xml:space="preserve">site </w:t>
      </w:r>
      <w:r w:rsidR="005E6765" w:rsidRPr="005E6765">
        <w:t>visit each year</w:t>
      </w:r>
      <w:r w:rsidR="005E6765">
        <w:t>.</w:t>
      </w:r>
      <w:r w:rsidR="005E6765" w:rsidRPr="005E6765">
        <w:t xml:space="preserve"> </w:t>
      </w:r>
    </w:p>
    <w:p w14:paraId="484E48B8" w14:textId="77777777" w:rsidR="00CF7A2D" w:rsidRDefault="00CF7A2D">
      <w:pPr>
        <w:shd w:val="clear" w:color="auto" w:fill="FFFFFF"/>
      </w:pPr>
    </w:p>
    <w:p w14:paraId="0D758B5F" w14:textId="7063A075" w:rsidR="002C543B" w:rsidRDefault="002C543B">
      <w:pPr>
        <w:rPr>
          <w:lang w:val="en"/>
        </w:rPr>
      </w:pPr>
      <w:r>
        <w:rPr>
          <w:lang w:val="en"/>
        </w:rPr>
        <w:t xml:space="preserve">The </w:t>
      </w:r>
      <w:r w:rsidR="00543E9C" w:rsidRPr="00116EDE">
        <w:rPr>
          <w:lang w:val="en"/>
        </w:rPr>
        <w:t xml:space="preserve">Commission </w:t>
      </w:r>
      <w:r w:rsidRPr="00E07E95">
        <w:rPr>
          <w:lang w:val="en"/>
        </w:rPr>
        <w:t>exercise</w:t>
      </w:r>
      <w:r w:rsidR="00B35CE0">
        <w:rPr>
          <w:lang w:val="en"/>
        </w:rPr>
        <w:t>s</w:t>
      </w:r>
      <w:r w:rsidRPr="00E07E95">
        <w:rPr>
          <w:lang w:val="en"/>
        </w:rPr>
        <w:t xml:space="preserve"> search powers </w:t>
      </w:r>
      <w:r w:rsidRPr="00C95FA8">
        <w:t xml:space="preserve">under the </w:t>
      </w:r>
      <w:r w:rsidR="006B088C">
        <w:t xml:space="preserve">Quality and Safety Commission </w:t>
      </w:r>
      <w:r w:rsidR="006B088C" w:rsidRPr="00EF1A1E">
        <w:rPr>
          <w:lang w:val="en"/>
        </w:rPr>
        <w:t>Act</w:t>
      </w:r>
      <w:r w:rsidR="006B088C">
        <w:rPr>
          <w:lang w:val="en"/>
        </w:rPr>
        <w:t xml:space="preserve">. </w:t>
      </w:r>
      <w:r>
        <w:rPr>
          <w:lang w:val="en"/>
        </w:rPr>
        <w:t xml:space="preserve">These powers are not limited to business hours and are able to be exercised at any time of the day. The </w:t>
      </w:r>
      <w:r w:rsidR="00543E9C" w:rsidRPr="00116EDE">
        <w:rPr>
          <w:lang w:val="en"/>
        </w:rPr>
        <w:t xml:space="preserve">Commission </w:t>
      </w:r>
      <w:r>
        <w:rPr>
          <w:lang w:val="en"/>
        </w:rPr>
        <w:t>currently conducts s</w:t>
      </w:r>
      <w:r w:rsidRPr="00E07E95">
        <w:rPr>
          <w:lang w:val="en"/>
        </w:rPr>
        <w:t>ome visits outside business hours and on weekends.</w:t>
      </w:r>
      <w:r>
        <w:rPr>
          <w:lang w:val="en"/>
        </w:rPr>
        <w:t xml:space="preserve"> </w:t>
      </w:r>
      <w:r w:rsidRPr="00E07E95">
        <w:rPr>
          <w:lang w:val="en"/>
        </w:rPr>
        <w:t xml:space="preserve">The timing of these visits takes into account the nature of the concern and the risk profile of the provider. </w:t>
      </w:r>
    </w:p>
    <w:p w14:paraId="71706D69" w14:textId="77777777" w:rsidR="002C543B" w:rsidRDefault="002C543B">
      <w:pPr>
        <w:rPr>
          <w:lang w:val="en"/>
        </w:rPr>
      </w:pPr>
    </w:p>
    <w:p w14:paraId="0122544D" w14:textId="77777777" w:rsidR="002C543B" w:rsidRDefault="002C543B">
      <w:pPr>
        <w:rPr>
          <w:lang w:val="en"/>
        </w:rPr>
      </w:pPr>
      <w:r w:rsidRPr="00E07E95">
        <w:rPr>
          <w:lang w:val="en"/>
        </w:rPr>
        <w:t xml:space="preserve">The </w:t>
      </w:r>
      <w:r w:rsidR="00543E9C" w:rsidRPr="00116EDE">
        <w:rPr>
          <w:lang w:val="en"/>
        </w:rPr>
        <w:t>Commission</w:t>
      </w:r>
      <w:r w:rsidRPr="00E07E95">
        <w:rPr>
          <w:lang w:val="en"/>
        </w:rPr>
        <w:t xml:space="preserve"> has commenced a program to increase the proportion of unannounced visits undertaken outside business hours and on weekends.</w:t>
      </w:r>
    </w:p>
    <w:p w14:paraId="0BF96AB5" w14:textId="77777777" w:rsidR="003675BE" w:rsidRDefault="003675BE"/>
    <w:p w14:paraId="755C5A27" w14:textId="77777777" w:rsidR="002C543B" w:rsidRDefault="002C543B">
      <w:r w:rsidRPr="00C95FA8">
        <w:t>The Government</w:t>
      </w:r>
      <w:r>
        <w:t xml:space="preserve"> also</w:t>
      </w:r>
      <w:r w:rsidRPr="00C95FA8">
        <w:t xml:space="preserve"> announced as part of the 2018-19 Budget </w:t>
      </w:r>
      <w:r w:rsidRPr="00C95FA8">
        <w:rPr>
          <w:i/>
        </w:rPr>
        <w:t>More Choices for a Longer Life Package</w:t>
      </w:r>
      <w:r w:rsidRPr="00C95FA8">
        <w:t xml:space="preserve">, in the </w:t>
      </w:r>
      <w:r w:rsidRPr="00C95FA8">
        <w:rPr>
          <w:i/>
        </w:rPr>
        <w:t xml:space="preserve">Better Quality of Care – Improving aged care quality protection </w:t>
      </w:r>
      <w:r w:rsidRPr="00C95FA8">
        <w:t xml:space="preserve">measure, that it will establish a robust risk profiling approach to support the Commission to better identify risks to consumers and enable regulatory processes to respond quickly to care failures by aged care providers. </w:t>
      </w:r>
    </w:p>
    <w:p w14:paraId="7698FF8C" w14:textId="77777777" w:rsidR="003675BE" w:rsidRDefault="003675BE"/>
    <w:p w14:paraId="358C90A8" w14:textId="70959361" w:rsidR="002C543B" w:rsidRPr="00C95FA8" w:rsidRDefault="002C543B">
      <w:r w:rsidRPr="00C95FA8">
        <w:lastRenderedPageBreak/>
        <w:t xml:space="preserve">This enhanced risk-based approach will identify and respond to individual and systemic risks to aged care consumers. It will </w:t>
      </w:r>
      <w:r w:rsidR="0010101F">
        <w:t>also inform</w:t>
      </w:r>
      <w:r w:rsidRPr="00C95FA8">
        <w:t xml:space="preserve"> the frequency </w:t>
      </w:r>
      <w:r>
        <w:t xml:space="preserve">and scope of compliance monitoring of accredited services </w:t>
      </w:r>
      <w:r w:rsidRPr="00C95FA8">
        <w:t>and</w:t>
      </w:r>
      <w:r>
        <w:t xml:space="preserve"> support </w:t>
      </w:r>
      <w:r w:rsidRPr="00C95FA8">
        <w:t>a more responsive regulatory system.</w:t>
      </w:r>
    </w:p>
    <w:p w14:paraId="32ADD03E" w14:textId="77777777" w:rsidR="00DC3570" w:rsidRDefault="00DC3570">
      <w:pPr>
        <w:autoSpaceDE w:val="0"/>
        <w:autoSpaceDN w:val="0"/>
        <w:rPr>
          <w:lang w:val="en"/>
        </w:rPr>
      </w:pPr>
    </w:p>
    <w:p w14:paraId="047AF56D" w14:textId="13725CC4" w:rsidR="0025063D" w:rsidRDefault="006A7555" w:rsidP="001B0C81">
      <w:pPr>
        <w:pStyle w:val="Heading2"/>
      </w:pPr>
      <w:r>
        <w:t>Recommendation 8</w:t>
      </w:r>
    </w:p>
    <w:p w14:paraId="586B46BD" w14:textId="77777777" w:rsidR="00DC3570" w:rsidRDefault="00DC3570">
      <w:pPr>
        <w:rPr>
          <w:lang w:val="en"/>
        </w:rPr>
      </w:pPr>
    </w:p>
    <w:p w14:paraId="5C31D77E" w14:textId="6BB2C2A6" w:rsidR="006A7555" w:rsidRPr="00E610FE" w:rsidRDefault="006A7555">
      <w:pPr>
        <w:rPr>
          <w:lang w:val="en"/>
        </w:rPr>
      </w:pPr>
      <w:r w:rsidRPr="00E610FE">
        <w:rPr>
          <w:lang w:val="en"/>
        </w:rPr>
        <w:t>The Committee recommends that the reportable assault ‘resident-on-resident’ exemption, in which assaults committed by a</w:t>
      </w:r>
      <w:r w:rsidR="00696970" w:rsidRPr="00E610FE">
        <w:rPr>
          <w:lang w:val="en"/>
        </w:rPr>
        <w:t>n</w:t>
      </w:r>
      <w:r w:rsidRPr="00E610FE">
        <w:rPr>
          <w:lang w:val="en"/>
        </w:rPr>
        <w:t xml:space="preserve"> </w:t>
      </w:r>
      <w:r w:rsidR="00696970" w:rsidRPr="00E610FE">
        <w:rPr>
          <w:lang w:val="en"/>
        </w:rPr>
        <w:t>aged care consumer</w:t>
      </w:r>
      <w:r w:rsidRPr="00E610FE">
        <w:rPr>
          <w:lang w:val="en"/>
        </w:rPr>
        <w:t xml:space="preserve"> with a cognitive impairment are not required to be reported to the Department of Health, be removed.</w:t>
      </w:r>
    </w:p>
    <w:p w14:paraId="7F24E90B" w14:textId="43E25AA8" w:rsidR="006C739D" w:rsidRPr="00E610FE" w:rsidRDefault="006C739D">
      <w:pPr>
        <w:pStyle w:val="ListParagraph"/>
        <w:autoSpaceDE w:val="0"/>
        <w:autoSpaceDN w:val="0"/>
        <w:spacing w:after="0" w:line="240" w:lineRule="auto"/>
        <w:ind w:left="0"/>
        <w:contextualSpacing w:val="0"/>
        <w:rPr>
          <w:szCs w:val="24"/>
          <w:lang w:eastAsia="en-AU"/>
        </w:rPr>
      </w:pPr>
    </w:p>
    <w:p w14:paraId="460D36E5" w14:textId="1291423C" w:rsidR="00E16A1D" w:rsidRPr="00E610FE" w:rsidRDefault="006C739D">
      <w:pPr>
        <w:rPr>
          <w:lang w:val="en"/>
        </w:rPr>
      </w:pPr>
      <w:r w:rsidRPr="00E610FE">
        <w:t xml:space="preserve">The Australian Government </w:t>
      </w:r>
      <w:r w:rsidR="00484E68" w:rsidRPr="00E610FE">
        <w:rPr>
          <w:b/>
        </w:rPr>
        <w:t>supports in-principle</w:t>
      </w:r>
      <w:r w:rsidR="004042CA" w:rsidRPr="00E610FE">
        <w:rPr>
          <w:b/>
        </w:rPr>
        <w:t xml:space="preserve"> </w:t>
      </w:r>
      <w:r w:rsidR="00872E79" w:rsidRPr="00E610FE">
        <w:t>this recommendation.</w:t>
      </w:r>
    </w:p>
    <w:p w14:paraId="03FFB840" w14:textId="69A6B1F0" w:rsidR="00144EC7" w:rsidRPr="00E610FE" w:rsidRDefault="00144EC7">
      <w:pPr>
        <w:rPr>
          <w:lang w:val="en"/>
        </w:rPr>
      </w:pPr>
    </w:p>
    <w:p w14:paraId="6F92527E" w14:textId="154805B8" w:rsidR="00661B26" w:rsidRPr="00E610FE" w:rsidRDefault="00661B26" w:rsidP="00661B26">
      <w:pPr>
        <w:rPr>
          <w:lang w:val="en"/>
        </w:rPr>
      </w:pPr>
      <w:r w:rsidRPr="00E610FE">
        <w:rPr>
          <w:lang w:val="en"/>
        </w:rPr>
        <w:t>In the 2019-2020 Budget</w:t>
      </w:r>
      <w:r w:rsidR="00703E18" w:rsidRPr="00E610FE">
        <w:rPr>
          <w:lang w:val="en"/>
        </w:rPr>
        <w:t>,</w:t>
      </w:r>
      <w:r w:rsidRPr="00E610FE">
        <w:rPr>
          <w:lang w:val="en"/>
        </w:rPr>
        <w:t xml:space="preserve"> the Government committed to undertake further preparatory work to introduce a Serious Incident Response Scheme</w:t>
      </w:r>
      <w:r w:rsidR="00325A04" w:rsidRPr="00E610FE">
        <w:rPr>
          <w:lang w:val="en"/>
        </w:rPr>
        <w:t xml:space="preserve"> in residential aged care</w:t>
      </w:r>
      <w:r w:rsidRPr="00E610FE">
        <w:rPr>
          <w:lang w:val="en"/>
        </w:rPr>
        <w:t xml:space="preserve">. As part of this preparatory work, the Department </w:t>
      </w:r>
      <w:r w:rsidR="00703E18" w:rsidRPr="00E610FE">
        <w:rPr>
          <w:lang w:val="en"/>
        </w:rPr>
        <w:t xml:space="preserve">is conducting </w:t>
      </w:r>
      <w:r w:rsidRPr="00E610FE">
        <w:rPr>
          <w:lang w:val="en"/>
        </w:rPr>
        <w:t xml:space="preserve">research into the </w:t>
      </w:r>
      <w:r w:rsidR="00325A04" w:rsidRPr="00E610FE">
        <w:rPr>
          <w:lang w:val="en"/>
        </w:rPr>
        <w:t>prevalence and nature</w:t>
      </w:r>
      <w:r w:rsidRPr="00E610FE">
        <w:rPr>
          <w:lang w:val="en"/>
        </w:rPr>
        <w:t xml:space="preserve"> of resident on resident aggression in residential aged care</w:t>
      </w:r>
      <w:r w:rsidR="00325A04" w:rsidRPr="00E610FE">
        <w:rPr>
          <w:lang w:val="en"/>
        </w:rPr>
        <w:t>, that is currently exempt from reporting</w:t>
      </w:r>
      <w:r w:rsidR="00503117">
        <w:rPr>
          <w:lang w:val="en"/>
        </w:rPr>
        <w:t xml:space="preserve">. </w:t>
      </w:r>
      <w:r w:rsidR="00503117" w:rsidRPr="00CB19F2">
        <w:rPr>
          <w:lang w:val="en"/>
        </w:rPr>
        <w:t xml:space="preserve">Resident on resident on resident incidents are included within the proposed definition of a serious incident in the model that is subject to public consultation (closing 4 October 2019). The research and the public consultation process will </w:t>
      </w:r>
      <w:r w:rsidR="006B088C" w:rsidRPr="00CD7F1C">
        <w:rPr>
          <w:lang w:val="en"/>
        </w:rPr>
        <w:t>inf</w:t>
      </w:r>
      <w:r w:rsidR="006B088C" w:rsidRPr="00E610FE">
        <w:rPr>
          <w:lang w:val="en"/>
        </w:rPr>
        <w:t>orm advice to Government</w:t>
      </w:r>
      <w:r w:rsidRPr="00E610FE">
        <w:rPr>
          <w:lang w:val="en"/>
        </w:rPr>
        <w:t xml:space="preserve">. Removal of </w:t>
      </w:r>
      <w:r w:rsidR="00503117" w:rsidRPr="00E610FE">
        <w:rPr>
          <w:lang w:val="en"/>
        </w:rPr>
        <w:t>th</w:t>
      </w:r>
      <w:r w:rsidR="00503117">
        <w:rPr>
          <w:lang w:val="en"/>
        </w:rPr>
        <w:t>e</w:t>
      </w:r>
      <w:r w:rsidR="00503117" w:rsidRPr="00E610FE">
        <w:rPr>
          <w:lang w:val="en"/>
        </w:rPr>
        <w:t xml:space="preserve"> </w:t>
      </w:r>
      <w:r w:rsidRPr="00E610FE">
        <w:rPr>
          <w:lang w:val="en"/>
        </w:rPr>
        <w:t>exemption would require legislative amend</w:t>
      </w:r>
      <w:r w:rsidR="00703E18" w:rsidRPr="00E610FE">
        <w:rPr>
          <w:lang w:val="en"/>
        </w:rPr>
        <w:t>ment</w:t>
      </w:r>
      <w:r w:rsidRPr="00E610FE">
        <w:rPr>
          <w:lang w:val="en"/>
        </w:rPr>
        <w:t>.</w:t>
      </w:r>
    </w:p>
    <w:p w14:paraId="4C4420C9" w14:textId="77777777" w:rsidR="00325A04" w:rsidRDefault="00325A04" w:rsidP="004476AC"/>
    <w:p w14:paraId="664D3392" w14:textId="0DA419B6" w:rsidR="006A7555" w:rsidRDefault="000A56C1" w:rsidP="001B0C81">
      <w:pPr>
        <w:pStyle w:val="Heading2"/>
      </w:pPr>
      <w:r>
        <w:t>R</w:t>
      </w:r>
      <w:r w:rsidR="006A7555">
        <w:t>ecommendation 9</w:t>
      </w:r>
    </w:p>
    <w:p w14:paraId="010419A2" w14:textId="77777777" w:rsidR="00BA6167" w:rsidRPr="00325A04" w:rsidRDefault="00BA6167" w:rsidP="00BA6167">
      <w:pPr>
        <w:rPr>
          <w:b/>
          <w:highlight w:val="yellow"/>
        </w:rPr>
      </w:pPr>
    </w:p>
    <w:p w14:paraId="0226E74E" w14:textId="1D750F43" w:rsidR="006A7555" w:rsidRPr="006A7555" w:rsidRDefault="006A7555">
      <w:pPr>
        <w:rPr>
          <w:lang w:val="en"/>
        </w:rPr>
      </w:pPr>
      <w:r w:rsidRPr="006A7555">
        <w:rPr>
          <w:lang w:val="en"/>
        </w:rPr>
        <w:t>The Committee recommends that the National Aged Care Quality Indicator Program:</w:t>
      </w:r>
    </w:p>
    <w:p w14:paraId="29843E2E" w14:textId="77777777" w:rsidR="006A7555" w:rsidRPr="006A7555" w:rsidRDefault="006A7555" w:rsidP="006C1987">
      <w:pPr>
        <w:pStyle w:val="ListParagraph"/>
        <w:numPr>
          <w:ilvl w:val="0"/>
          <w:numId w:val="27"/>
        </w:numPr>
        <w:spacing w:after="0" w:line="240" w:lineRule="auto"/>
        <w:contextualSpacing w:val="0"/>
        <w:rPr>
          <w:lang w:val="en"/>
        </w:rPr>
      </w:pPr>
      <w:r w:rsidRPr="006A7555">
        <w:rPr>
          <w:szCs w:val="24"/>
          <w:lang w:val="en"/>
        </w:rPr>
        <w:t xml:space="preserve">be made mandatory for providers of Australian Government-funded residential aged care </w:t>
      </w:r>
      <w:r w:rsidR="00615CC5">
        <w:rPr>
          <w:szCs w:val="24"/>
          <w:lang w:val="en"/>
        </w:rPr>
        <w:t>facilities</w:t>
      </w:r>
      <w:r w:rsidRPr="006A7555">
        <w:rPr>
          <w:szCs w:val="24"/>
          <w:lang w:val="en"/>
        </w:rPr>
        <w:t>; and</w:t>
      </w:r>
    </w:p>
    <w:p w14:paraId="51522FF2" w14:textId="77777777" w:rsidR="006A7555" w:rsidRPr="0026596A" w:rsidRDefault="006A7555" w:rsidP="006C1987">
      <w:pPr>
        <w:pStyle w:val="ListParagraph"/>
        <w:numPr>
          <w:ilvl w:val="0"/>
          <w:numId w:val="27"/>
        </w:numPr>
        <w:spacing w:after="0" w:line="240" w:lineRule="auto"/>
        <w:contextualSpacing w:val="0"/>
        <w:rPr>
          <w:szCs w:val="24"/>
          <w:lang w:val="en"/>
        </w:rPr>
      </w:pPr>
      <w:r w:rsidRPr="006A7555">
        <w:rPr>
          <w:szCs w:val="24"/>
          <w:lang w:val="en"/>
        </w:rPr>
        <w:t xml:space="preserve">be expanded to include a broader range of key indicators, to be determined with the </w:t>
      </w:r>
      <w:r w:rsidRPr="0026596A">
        <w:rPr>
          <w:szCs w:val="24"/>
          <w:lang w:val="en"/>
        </w:rPr>
        <w:t>involvement of the aged care sector.</w:t>
      </w:r>
    </w:p>
    <w:p w14:paraId="59064176" w14:textId="77777777" w:rsidR="00E16A1D" w:rsidRPr="0026596A" w:rsidRDefault="00E16A1D">
      <w:pPr>
        <w:rPr>
          <w:color w:val="548DD4" w:themeColor="text2" w:themeTint="99"/>
        </w:rPr>
      </w:pPr>
    </w:p>
    <w:p w14:paraId="600A30F2" w14:textId="77777777" w:rsidR="00116EDE" w:rsidRDefault="00116EDE">
      <w:r w:rsidRPr="00384E4C">
        <w:t xml:space="preserve">The Australian Government </w:t>
      </w:r>
      <w:r w:rsidRPr="00384E4C">
        <w:rPr>
          <w:b/>
        </w:rPr>
        <w:t>supports</w:t>
      </w:r>
      <w:r w:rsidRPr="00384E4C">
        <w:t xml:space="preserve"> this recommendation</w:t>
      </w:r>
      <w:r w:rsidR="00E01BEB">
        <w:t>.</w:t>
      </w:r>
      <w:r w:rsidRPr="00384E4C">
        <w:t xml:space="preserve"> </w:t>
      </w:r>
    </w:p>
    <w:p w14:paraId="02048F08" w14:textId="77777777" w:rsidR="00116EDE" w:rsidRDefault="00116EDE"/>
    <w:p w14:paraId="03EFD497" w14:textId="77777777" w:rsidR="00C51A2E" w:rsidRDefault="00C51A2E">
      <w:r>
        <w:t xml:space="preserve">From 1 July 2019, all Commonwealth subsidised residential aged care providers </w:t>
      </w:r>
      <w:r w:rsidR="00F40495">
        <w:t>are</w:t>
      </w:r>
      <w:r>
        <w:t xml:space="preserve"> required to comply with the National Aged Care Mandatory Quality Indicator Program. The new requirements are contained in the </w:t>
      </w:r>
      <w:r w:rsidRPr="005540F2">
        <w:rPr>
          <w:i/>
        </w:rPr>
        <w:t>Aged Care Legislation Amendment (Quality Indicator Program) Principles 2019</w:t>
      </w:r>
      <w:r>
        <w:t>.</w:t>
      </w:r>
    </w:p>
    <w:p w14:paraId="12F81D24" w14:textId="77777777" w:rsidR="00093EAD" w:rsidRDefault="00093EAD"/>
    <w:p w14:paraId="22BB5E8E" w14:textId="4F5DA0D3" w:rsidR="00C51A2E" w:rsidRDefault="00C51A2E">
      <w:r>
        <w:t>Residential aged care providers are required to submit data</w:t>
      </w:r>
      <w:r w:rsidR="00826801">
        <w:t>,</w:t>
      </w:r>
      <w:r>
        <w:t xml:space="preserve"> </w:t>
      </w:r>
      <w:r w:rsidR="00F40495">
        <w:t>on a quarterly basis</w:t>
      </w:r>
      <w:r w:rsidR="00826801">
        <w:t>,</w:t>
      </w:r>
      <w:r w:rsidR="00F40495">
        <w:t xml:space="preserve"> </w:t>
      </w:r>
      <w:r>
        <w:t xml:space="preserve">on three clinical quality indicators: pressure injuries, </w:t>
      </w:r>
      <w:r w:rsidR="00826801">
        <w:t xml:space="preserve">use of </w:t>
      </w:r>
      <w:r>
        <w:t>physical restraint and unplanned weight loss. The quality indicator data will be consolidated and published on the Australian Institute of Health and Welfare website</w:t>
      </w:r>
      <w:r w:rsidR="00826801">
        <w:t>,</w:t>
      </w:r>
      <w:r>
        <w:t xml:space="preserve"> GEN Aged Care Data.</w:t>
      </w:r>
    </w:p>
    <w:p w14:paraId="092732D0" w14:textId="77777777" w:rsidR="00C51A2E" w:rsidRDefault="00C51A2E"/>
    <w:p w14:paraId="3FD519DC" w14:textId="68493AA6" w:rsidR="00C51A2E" w:rsidRDefault="00C51A2E">
      <w:r>
        <w:t>In addition, the Government has committed to the development of an expanded set of indicators including indicator</w:t>
      </w:r>
      <w:r w:rsidR="00F40495">
        <w:t>s</w:t>
      </w:r>
      <w:r>
        <w:t xml:space="preserve"> on falls and fractures and medication management</w:t>
      </w:r>
      <w:r w:rsidR="00F40495">
        <w:t>,</w:t>
      </w:r>
      <w:r>
        <w:t xml:space="preserve"> to be mandated as part of the National Aged Care Mandatory Quality Indicator Program by July 2021.</w:t>
      </w:r>
    </w:p>
    <w:p w14:paraId="1411FE68" w14:textId="1045779C" w:rsidR="003454F0" w:rsidRDefault="006A7555" w:rsidP="001B0C81">
      <w:pPr>
        <w:pStyle w:val="Heading2"/>
      </w:pPr>
      <w:r>
        <w:lastRenderedPageBreak/>
        <w:t>Recommendation 10</w:t>
      </w:r>
      <w:r w:rsidR="00116EDE">
        <w:t xml:space="preserve"> </w:t>
      </w:r>
    </w:p>
    <w:p w14:paraId="115988E4" w14:textId="77777777" w:rsidR="00C443ED" w:rsidRDefault="00C443ED" w:rsidP="00C443ED">
      <w:pPr>
        <w:rPr>
          <w:lang w:val="en"/>
        </w:rPr>
      </w:pPr>
    </w:p>
    <w:p w14:paraId="32E553A4" w14:textId="77777777" w:rsidR="006A7555" w:rsidRPr="006A7555" w:rsidRDefault="006A7555" w:rsidP="00C443ED">
      <w:pPr>
        <w:rPr>
          <w:lang w:val="en"/>
        </w:rPr>
      </w:pPr>
      <w:r w:rsidRPr="006A7555">
        <w:rPr>
          <w:lang w:val="en"/>
        </w:rPr>
        <w:t xml:space="preserve">The Committee recommends that the Australian Government amend the </w:t>
      </w:r>
      <w:r w:rsidRPr="006A7555">
        <w:rPr>
          <w:i/>
          <w:iCs/>
          <w:lang w:val="en"/>
        </w:rPr>
        <w:t>Aged Care Act 1997</w:t>
      </w:r>
      <w:r w:rsidRPr="006A7555">
        <w:rPr>
          <w:lang w:val="en"/>
        </w:rPr>
        <w:t xml:space="preserve"> to legislate that:</w:t>
      </w:r>
    </w:p>
    <w:p w14:paraId="22C698FD" w14:textId="77777777" w:rsidR="006A7555" w:rsidRPr="006A7555" w:rsidRDefault="006A7555" w:rsidP="006C1987">
      <w:pPr>
        <w:pStyle w:val="ListParagraph"/>
        <w:numPr>
          <w:ilvl w:val="0"/>
          <w:numId w:val="27"/>
        </w:numPr>
        <w:spacing w:after="0" w:line="240" w:lineRule="auto"/>
        <w:contextualSpacing w:val="0"/>
        <w:rPr>
          <w:szCs w:val="24"/>
          <w:lang w:val="en"/>
        </w:rPr>
      </w:pPr>
      <w:r w:rsidRPr="006A7555">
        <w:rPr>
          <w:szCs w:val="24"/>
          <w:lang w:val="en"/>
        </w:rPr>
        <w:t>the use of restrictive practices in residential aged care facilities be limited to the ‘least restrictive’ and be a measure of last resort only;</w:t>
      </w:r>
    </w:p>
    <w:p w14:paraId="37E7F6A8" w14:textId="77777777" w:rsidR="006A7555" w:rsidRPr="006A7555" w:rsidRDefault="006A7555" w:rsidP="006C1987">
      <w:pPr>
        <w:pStyle w:val="ListParagraph"/>
        <w:numPr>
          <w:ilvl w:val="0"/>
          <w:numId w:val="27"/>
        </w:numPr>
        <w:spacing w:after="0" w:line="240" w:lineRule="auto"/>
        <w:contextualSpacing w:val="0"/>
        <w:rPr>
          <w:szCs w:val="24"/>
          <w:lang w:val="en"/>
        </w:rPr>
      </w:pPr>
      <w:r w:rsidRPr="006A7555">
        <w:rPr>
          <w:szCs w:val="24"/>
          <w:lang w:val="en"/>
        </w:rPr>
        <w:t>any use of restrictive practices within the legislated meaning be recorded by providers and collected by the Department of Health;</w:t>
      </w:r>
    </w:p>
    <w:p w14:paraId="58EE4F37" w14:textId="77777777" w:rsidR="006A7555" w:rsidRPr="006A7555" w:rsidRDefault="006A7555" w:rsidP="006C1987">
      <w:pPr>
        <w:pStyle w:val="ListParagraph"/>
        <w:numPr>
          <w:ilvl w:val="0"/>
          <w:numId w:val="27"/>
        </w:numPr>
        <w:spacing w:after="0" w:line="240" w:lineRule="auto"/>
        <w:contextualSpacing w:val="0"/>
        <w:rPr>
          <w:szCs w:val="24"/>
          <w:lang w:val="en"/>
        </w:rPr>
      </w:pPr>
      <w:r w:rsidRPr="006A7555">
        <w:rPr>
          <w:szCs w:val="24"/>
          <w:lang w:val="en"/>
        </w:rPr>
        <w:t>restrictive practices are only to be used after a medical practitioner has prescribed/recommended such use; and</w:t>
      </w:r>
    </w:p>
    <w:p w14:paraId="4961D60F" w14:textId="77777777" w:rsidR="006A7555" w:rsidRPr="006A7555" w:rsidRDefault="006A7555" w:rsidP="006C1987">
      <w:pPr>
        <w:pStyle w:val="ListParagraph"/>
        <w:numPr>
          <w:ilvl w:val="0"/>
          <w:numId w:val="27"/>
        </w:numPr>
        <w:spacing w:after="0" w:line="240" w:lineRule="auto"/>
        <w:contextualSpacing w:val="0"/>
        <w:rPr>
          <w:szCs w:val="24"/>
          <w:lang w:val="en"/>
        </w:rPr>
      </w:pPr>
      <w:r w:rsidRPr="006A7555">
        <w:rPr>
          <w:szCs w:val="24"/>
          <w:lang w:val="en"/>
        </w:rPr>
        <w:t>the legal guardian and/or family member must be advised immediately.</w:t>
      </w:r>
    </w:p>
    <w:p w14:paraId="495DD890" w14:textId="77777777" w:rsidR="00116EDE" w:rsidRPr="00384E4C" w:rsidRDefault="00116EDE">
      <w:pPr>
        <w:pStyle w:val="ListParagraph"/>
        <w:autoSpaceDE w:val="0"/>
        <w:autoSpaceDN w:val="0"/>
        <w:spacing w:after="0" w:line="240" w:lineRule="auto"/>
        <w:ind w:left="0"/>
        <w:contextualSpacing w:val="0"/>
        <w:rPr>
          <w:szCs w:val="24"/>
          <w:lang w:eastAsia="en-AU"/>
        </w:rPr>
      </w:pPr>
    </w:p>
    <w:p w14:paraId="3049E15B" w14:textId="77777777" w:rsidR="0066379E" w:rsidRDefault="00116EDE">
      <w:r w:rsidRPr="00384E4C">
        <w:t xml:space="preserve">The Australian Government </w:t>
      </w:r>
      <w:r w:rsidRPr="00384E4C">
        <w:rPr>
          <w:b/>
        </w:rPr>
        <w:t>supports</w:t>
      </w:r>
      <w:r w:rsidR="0066379E">
        <w:rPr>
          <w:b/>
        </w:rPr>
        <w:t xml:space="preserve"> in-principle</w:t>
      </w:r>
      <w:r w:rsidRPr="00384E4C">
        <w:t xml:space="preserve"> this recommendation</w:t>
      </w:r>
      <w:r w:rsidR="0066379E">
        <w:t>.</w:t>
      </w:r>
      <w:r w:rsidRPr="00384E4C">
        <w:t xml:space="preserve"> </w:t>
      </w:r>
    </w:p>
    <w:p w14:paraId="1D57401E" w14:textId="77777777" w:rsidR="0066379E" w:rsidRDefault="0066379E"/>
    <w:p w14:paraId="3743937E" w14:textId="77777777" w:rsidR="00A33AFC" w:rsidRPr="00E93208" w:rsidRDefault="00A33AFC">
      <w:pPr>
        <w:rPr>
          <w:lang w:val="en"/>
        </w:rPr>
      </w:pPr>
      <w:r w:rsidRPr="00E93208">
        <w:rPr>
          <w:lang w:val="en"/>
        </w:rPr>
        <w:t>Since 1 July 2019</w:t>
      </w:r>
      <w:r w:rsidR="00F13141">
        <w:rPr>
          <w:lang w:val="en"/>
        </w:rPr>
        <w:t>,</w:t>
      </w:r>
      <w:r w:rsidRPr="00E93208">
        <w:rPr>
          <w:lang w:val="en"/>
        </w:rPr>
        <w:t xml:space="preserve"> </w:t>
      </w:r>
      <w:r w:rsidR="00F40495">
        <w:rPr>
          <w:lang w:val="en"/>
        </w:rPr>
        <w:t xml:space="preserve">residential aged care providers </w:t>
      </w:r>
      <w:r w:rsidRPr="00E93208">
        <w:rPr>
          <w:lang w:val="en"/>
        </w:rPr>
        <w:t xml:space="preserve">have had specific responsibilities in the </w:t>
      </w:r>
      <w:r w:rsidRPr="00E93208">
        <w:rPr>
          <w:i/>
          <w:lang w:val="en"/>
        </w:rPr>
        <w:t xml:space="preserve">Quality of Care Principles 2014 </w:t>
      </w:r>
      <w:r w:rsidRPr="00E93208">
        <w:rPr>
          <w:lang w:val="en"/>
        </w:rPr>
        <w:t xml:space="preserve">(the Principles) relating to the use of physical and chemical restraint. These new requirements, for the first time, put explicit obligations on residential aged care providers in respect of the use of </w:t>
      </w:r>
      <w:r w:rsidR="00826801">
        <w:rPr>
          <w:lang w:val="en"/>
        </w:rPr>
        <w:t xml:space="preserve">physical and chemical </w:t>
      </w:r>
      <w:r w:rsidRPr="00E93208">
        <w:rPr>
          <w:lang w:val="en"/>
        </w:rPr>
        <w:t>restraint.</w:t>
      </w:r>
    </w:p>
    <w:p w14:paraId="367E2563" w14:textId="77777777" w:rsidR="00A33AFC" w:rsidRPr="00E93208" w:rsidRDefault="00A33AFC">
      <w:pPr>
        <w:rPr>
          <w:lang w:val="en"/>
        </w:rPr>
      </w:pPr>
    </w:p>
    <w:p w14:paraId="795CA7EB" w14:textId="77777777" w:rsidR="00EE7800" w:rsidRDefault="00826801">
      <w:pPr>
        <w:rPr>
          <w:lang w:val="en"/>
        </w:rPr>
      </w:pPr>
      <w:r>
        <w:rPr>
          <w:lang w:val="en"/>
        </w:rPr>
        <w:t>The arrangements require p</w:t>
      </w:r>
      <w:r w:rsidR="00A33AFC" w:rsidRPr="00E93208">
        <w:rPr>
          <w:lang w:val="en"/>
        </w:rPr>
        <w:t xml:space="preserve">roviders </w:t>
      </w:r>
      <w:r>
        <w:rPr>
          <w:lang w:val="en"/>
        </w:rPr>
        <w:t>to</w:t>
      </w:r>
      <w:r w:rsidR="00A33AFC" w:rsidRPr="00E93208">
        <w:rPr>
          <w:lang w:val="en"/>
        </w:rPr>
        <w:t xml:space="preserve"> satisfy a number of conditions before restraint can be used, including assessment by an approved health practitioner (for physical restraint) or assessment by a medical practitioner or nurse practitioner who has prescribed the medication (for chemical restraint). </w:t>
      </w:r>
    </w:p>
    <w:p w14:paraId="3F8B2D72" w14:textId="77777777" w:rsidR="00EE7800" w:rsidRDefault="00EE7800">
      <w:pPr>
        <w:rPr>
          <w:lang w:val="en"/>
        </w:rPr>
      </w:pPr>
    </w:p>
    <w:p w14:paraId="206D0DED" w14:textId="72A2CA98" w:rsidR="00A33AFC" w:rsidRDefault="00A33AFC">
      <w:pPr>
        <w:rPr>
          <w:lang w:val="en"/>
        </w:rPr>
      </w:pPr>
      <w:r w:rsidRPr="00E93208">
        <w:rPr>
          <w:lang w:val="en"/>
        </w:rPr>
        <w:t>The aged care provider must also have the informed consent of the consumer or their representative before using physical restraint, unless restraint is necessary in an emergency.</w:t>
      </w:r>
      <w:r w:rsidR="009110E3">
        <w:rPr>
          <w:lang w:val="en"/>
        </w:rPr>
        <w:t xml:space="preserve"> Where chemical restraint is used, if the consumer or their representative has not been informed, the provider must inform the consumer’s representative as soon as practicable after it starts to use the restraint. Restraint must only be used as a last resort.</w:t>
      </w:r>
    </w:p>
    <w:p w14:paraId="12BBF11A" w14:textId="77777777" w:rsidR="009110E3" w:rsidRDefault="009110E3">
      <w:pPr>
        <w:rPr>
          <w:lang w:val="en"/>
        </w:rPr>
      </w:pPr>
    </w:p>
    <w:p w14:paraId="2C9ADC87" w14:textId="5AA8BD23" w:rsidR="00A33AFC" w:rsidRPr="00E93208" w:rsidRDefault="009110E3">
      <w:pPr>
        <w:rPr>
          <w:lang w:val="en"/>
        </w:rPr>
      </w:pPr>
      <w:r>
        <w:rPr>
          <w:lang w:val="en"/>
        </w:rPr>
        <w:t>In addition, the regulatory arrangements require residential aged care providers to document the behaviours that are relevant to the need for the restraint, the alternatives to restraint that have been used and reasons the restraint is necessary. The provider must ensure it uses the least restrictive form of restraint to address the risk of harm.</w:t>
      </w:r>
      <w:r w:rsidR="000B1657">
        <w:rPr>
          <w:lang w:val="en"/>
        </w:rPr>
        <w:t xml:space="preserve"> </w:t>
      </w:r>
      <w:r w:rsidR="00A33AFC" w:rsidRPr="00E93208">
        <w:rPr>
          <w:lang w:val="en"/>
        </w:rPr>
        <w:t>Any use of restraint must also be regularly monitored.</w:t>
      </w:r>
    </w:p>
    <w:p w14:paraId="5F51E3F5" w14:textId="77777777" w:rsidR="00093EAD" w:rsidRDefault="00093EAD">
      <w:pPr>
        <w:rPr>
          <w:lang w:val="en"/>
        </w:rPr>
      </w:pPr>
    </w:p>
    <w:p w14:paraId="4C0AF7E4" w14:textId="17326BB3" w:rsidR="00A33AFC" w:rsidRPr="00E93208" w:rsidRDefault="00A33AFC">
      <w:pPr>
        <w:rPr>
          <w:lang w:val="en"/>
        </w:rPr>
      </w:pPr>
      <w:r w:rsidRPr="00E93208">
        <w:rPr>
          <w:lang w:val="en"/>
        </w:rPr>
        <w:t xml:space="preserve">The Department consulted with a group of key stakeholders to inform a regulatory approach to minimise the inappropriate use of restraints, treating chemical and physical restraints as separate issues. The stakeholders included aged care providers and their peaks, consumer peaks, academics, and other government agencies including the Department of Social Services. </w:t>
      </w:r>
    </w:p>
    <w:p w14:paraId="5BD4BF4B" w14:textId="77777777" w:rsidR="00A33AFC" w:rsidRDefault="00A33AFC">
      <w:pPr>
        <w:rPr>
          <w:lang w:val="en"/>
        </w:rPr>
      </w:pPr>
    </w:p>
    <w:p w14:paraId="758678FD" w14:textId="071D7128" w:rsidR="00DC3570" w:rsidRDefault="00A33AFC">
      <w:pPr>
        <w:rPr>
          <w:lang w:val="en"/>
        </w:rPr>
      </w:pPr>
      <w:r>
        <w:rPr>
          <w:lang w:val="en"/>
        </w:rPr>
        <w:t>A</w:t>
      </w:r>
      <w:r w:rsidR="00461607" w:rsidRPr="00E07E95">
        <w:rPr>
          <w:lang w:val="en"/>
        </w:rPr>
        <w:t>ddition</w:t>
      </w:r>
      <w:r>
        <w:rPr>
          <w:lang w:val="en"/>
        </w:rPr>
        <w:t>ally</w:t>
      </w:r>
      <w:r w:rsidR="005540F2">
        <w:rPr>
          <w:lang w:val="en"/>
        </w:rPr>
        <w:t xml:space="preserve">, </w:t>
      </w:r>
      <w:r w:rsidR="0066379E">
        <w:rPr>
          <w:lang w:val="en"/>
        </w:rPr>
        <w:t xml:space="preserve">the </w:t>
      </w:r>
      <w:r w:rsidR="00461607" w:rsidRPr="00E07E95">
        <w:rPr>
          <w:lang w:val="en"/>
        </w:rPr>
        <w:t>Standards</w:t>
      </w:r>
      <w:r>
        <w:rPr>
          <w:lang w:val="en"/>
        </w:rPr>
        <w:t>, which commenced on 1 July 2019,</w:t>
      </w:r>
      <w:r w:rsidR="009110E3">
        <w:rPr>
          <w:lang w:val="en"/>
        </w:rPr>
        <w:t xml:space="preserve"> </w:t>
      </w:r>
      <w:r w:rsidR="00461607" w:rsidRPr="00E07E95">
        <w:rPr>
          <w:lang w:val="en"/>
        </w:rPr>
        <w:t xml:space="preserve">strengthen </w:t>
      </w:r>
      <w:r>
        <w:rPr>
          <w:lang w:val="en"/>
        </w:rPr>
        <w:t xml:space="preserve">providers’ </w:t>
      </w:r>
      <w:r w:rsidR="00461607" w:rsidRPr="00E07E95">
        <w:rPr>
          <w:lang w:val="en"/>
        </w:rPr>
        <w:t>requirements relat</w:t>
      </w:r>
      <w:r>
        <w:rPr>
          <w:lang w:val="en"/>
        </w:rPr>
        <w:t>ing</w:t>
      </w:r>
      <w:r w:rsidR="00461607" w:rsidRPr="00E07E95">
        <w:rPr>
          <w:lang w:val="en"/>
        </w:rPr>
        <w:t xml:space="preserve"> to clinical care</w:t>
      </w:r>
      <w:r>
        <w:rPr>
          <w:lang w:val="en"/>
        </w:rPr>
        <w:t>, including medication management</w:t>
      </w:r>
      <w:r w:rsidR="00461607" w:rsidRPr="00E07E95">
        <w:rPr>
          <w:lang w:val="en"/>
        </w:rPr>
        <w:t xml:space="preserve">. </w:t>
      </w:r>
      <w:r>
        <w:rPr>
          <w:lang w:val="en"/>
        </w:rPr>
        <w:t>T</w:t>
      </w:r>
      <w:r w:rsidR="0066379E">
        <w:rPr>
          <w:lang w:val="en"/>
        </w:rPr>
        <w:t xml:space="preserve">he </w:t>
      </w:r>
      <w:r>
        <w:rPr>
          <w:lang w:val="en"/>
        </w:rPr>
        <w:t>S</w:t>
      </w:r>
      <w:r w:rsidR="0066379E">
        <w:rPr>
          <w:lang w:val="en"/>
        </w:rPr>
        <w:t xml:space="preserve">tandards require </w:t>
      </w:r>
      <w:r>
        <w:rPr>
          <w:lang w:val="en"/>
        </w:rPr>
        <w:t>th</w:t>
      </w:r>
      <w:r w:rsidR="00CA4B17">
        <w:rPr>
          <w:lang w:val="en"/>
        </w:rPr>
        <w:t>a</w:t>
      </w:r>
      <w:r>
        <w:rPr>
          <w:lang w:val="en"/>
        </w:rPr>
        <w:t xml:space="preserve">t </w:t>
      </w:r>
      <w:r w:rsidR="0066379E">
        <w:rPr>
          <w:lang w:val="en"/>
        </w:rPr>
        <w:t>c</w:t>
      </w:r>
      <w:r w:rsidR="00461607" w:rsidRPr="00E07E95">
        <w:rPr>
          <w:lang w:val="en"/>
        </w:rPr>
        <w:t xml:space="preserve">linical care </w:t>
      </w:r>
      <w:r>
        <w:rPr>
          <w:lang w:val="en"/>
        </w:rPr>
        <w:t xml:space="preserve">is </w:t>
      </w:r>
      <w:r w:rsidR="00461607" w:rsidRPr="00E07E95">
        <w:rPr>
          <w:lang w:val="en"/>
        </w:rPr>
        <w:t xml:space="preserve">best practice and supported by a clinical governance framework </w:t>
      </w:r>
      <w:r>
        <w:rPr>
          <w:lang w:val="en"/>
        </w:rPr>
        <w:t xml:space="preserve">that </w:t>
      </w:r>
      <w:r w:rsidR="005958FE">
        <w:rPr>
          <w:lang w:val="en"/>
        </w:rPr>
        <w:t>minimis</w:t>
      </w:r>
      <w:r>
        <w:rPr>
          <w:lang w:val="en"/>
        </w:rPr>
        <w:t>es</w:t>
      </w:r>
      <w:r w:rsidR="00461607" w:rsidRPr="00E07E95">
        <w:rPr>
          <w:lang w:val="en"/>
        </w:rPr>
        <w:t xml:space="preserve"> the use of restraint.</w:t>
      </w:r>
      <w:r w:rsidR="00DC3570">
        <w:rPr>
          <w:lang w:val="en"/>
        </w:rPr>
        <w:t xml:space="preserve"> </w:t>
      </w:r>
    </w:p>
    <w:p w14:paraId="63DE6175" w14:textId="77777777" w:rsidR="00634B3E" w:rsidRDefault="006A7555" w:rsidP="001B0C81">
      <w:pPr>
        <w:pStyle w:val="Heading2"/>
      </w:pPr>
      <w:r>
        <w:lastRenderedPageBreak/>
        <w:t>Recommendation 11</w:t>
      </w:r>
      <w:r w:rsidR="00116EDE">
        <w:t xml:space="preserve"> </w:t>
      </w:r>
    </w:p>
    <w:p w14:paraId="654DABC7" w14:textId="77777777" w:rsidR="00C443ED" w:rsidRDefault="00C443ED" w:rsidP="00C443ED">
      <w:pPr>
        <w:rPr>
          <w:lang w:val="en"/>
        </w:rPr>
      </w:pPr>
    </w:p>
    <w:p w14:paraId="6FC3EF2B" w14:textId="77777777" w:rsidR="006A7555" w:rsidRPr="006A7555" w:rsidRDefault="006A7555" w:rsidP="00C443ED">
      <w:pPr>
        <w:rPr>
          <w:lang w:val="en"/>
        </w:rPr>
      </w:pPr>
      <w:r w:rsidRPr="006A7555">
        <w:rPr>
          <w:lang w:val="en"/>
        </w:rPr>
        <w:t xml:space="preserve">The Committee recommends the Department of Health work with the aged care sector to implement a rating system (for example, a star or point rating system) for residential aged care facilities, and develop an action plan for how such a system could be implemented. </w:t>
      </w:r>
    </w:p>
    <w:p w14:paraId="4ABB4AD1" w14:textId="77777777" w:rsidR="006A7555" w:rsidRPr="00DC3570" w:rsidRDefault="006A7555">
      <w:pPr>
        <w:rPr>
          <w:lang w:val="en"/>
        </w:rPr>
      </w:pPr>
    </w:p>
    <w:p w14:paraId="0E321A0E" w14:textId="77777777" w:rsidR="00E16A1D" w:rsidRDefault="00116EDE">
      <w:pPr>
        <w:rPr>
          <w:rFonts w:asciiTheme="majorHAnsi" w:hAnsiTheme="majorHAnsi"/>
          <w:b/>
          <w:color w:val="548DD4" w:themeColor="text2" w:themeTint="99"/>
          <w:sz w:val="26"/>
          <w:szCs w:val="26"/>
        </w:rPr>
      </w:pPr>
      <w:r w:rsidRPr="00384E4C">
        <w:t xml:space="preserve">The Australian Government </w:t>
      </w:r>
      <w:r w:rsidRPr="00384E4C">
        <w:rPr>
          <w:b/>
        </w:rPr>
        <w:t>supports</w:t>
      </w:r>
      <w:r w:rsidRPr="00384E4C">
        <w:t xml:space="preserve"> this recommendation</w:t>
      </w:r>
      <w:r w:rsidR="00DC4D99">
        <w:t>.</w:t>
      </w:r>
    </w:p>
    <w:p w14:paraId="331E54AB" w14:textId="77777777" w:rsidR="00CF2526" w:rsidRDefault="00CF2526"/>
    <w:p w14:paraId="2DA2E5D6" w14:textId="77777777" w:rsidR="00634B3E" w:rsidRDefault="00634B3E">
      <w:r>
        <w:t>As part of the 2018-19 Budget</w:t>
      </w:r>
      <w:r w:rsidR="00610798">
        <w:t xml:space="preserve"> measure</w:t>
      </w:r>
      <w:r>
        <w:t xml:space="preserve"> </w:t>
      </w:r>
      <w:r w:rsidR="00610798" w:rsidRPr="00F879B6">
        <w:rPr>
          <w:i/>
        </w:rPr>
        <w:t>Better Quality of Care – greater transparency of quality in aged care</w:t>
      </w:r>
      <w:r w:rsidR="00610798">
        <w:rPr>
          <w:i/>
        </w:rPr>
        <w:t>,</w:t>
      </w:r>
      <w:r w:rsidR="00610798">
        <w:t xml:space="preserve"> </w:t>
      </w:r>
      <w:r>
        <w:t xml:space="preserve">the Government announced from July 2020, differentiated performance ratings of residential aged care </w:t>
      </w:r>
      <w:r w:rsidR="00A33AFC">
        <w:t xml:space="preserve">services </w:t>
      </w:r>
      <w:r>
        <w:t>w</w:t>
      </w:r>
      <w:r w:rsidR="008C739C">
        <w:t xml:space="preserve">ill be published on the </w:t>
      </w:r>
      <w:r w:rsidR="008C739C" w:rsidRPr="009110E3">
        <w:t>My Aged </w:t>
      </w:r>
      <w:r w:rsidRPr="009110E3">
        <w:t>Care</w:t>
      </w:r>
      <w:r>
        <w:t xml:space="preserve"> website, together with a tool to compare services.</w:t>
      </w:r>
      <w:r w:rsidR="00A33AFC">
        <w:t xml:space="preserve"> </w:t>
      </w:r>
      <w:r>
        <w:t xml:space="preserve">Ratings will allow consumers to better compare the quality of different </w:t>
      </w:r>
      <w:r w:rsidR="00A33AFC">
        <w:t xml:space="preserve">residential aged care </w:t>
      </w:r>
      <w:r>
        <w:t>services.</w:t>
      </w:r>
    </w:p>
    <w:p w14:paraId="5D5801AE" w14:textId="77777777" w:rsidR="00B54668" w:rsidRDefault="00B54668"/>
    <w:p w14:paraId="1445603B" w14:textId="77777777" w:rsidR="00634B3E" w:rsidRDefault="00634B3E">
      <w:r>
        <w:t>Work has commenced on the development of the differentiated performance ratings system, including testing with consumers and engagement with other stakeholders.</w:t>
      </w:r>
    </w:p>
    <w:p w14:paraId="3FEF6B52" w14:textId="77777777" w:rsidR="004476AC" w:rsidRPr="004476AC" w:rsidRDefault="004476AC" w:rsidP="006C1987">
      <w:pPr>
        <w:rPr>
          <w:b/>
          <w:color w:val="548DD4" w:themeColor="text2" w:themeTint="99"/>
        </w:rPr>
      </w:pPr>
    </w:p>
    <w:p w14:paraId="525591DF" w14:textId="77777777" w:rsidR="00F937E7" w:rsidRDefault="00F937E7" w:rsidP="001B0C81">
      <w:pPr>
        <w:pStyle w:val="Heading2"/>
      </w:pPr>
      <w:r>
        <w:t>Recommendation 12</w:t>
      </w:r>
    </w:p>
    <w:p w14:paraId="37CA0389" w14:textId="77777777" w:rsidR="00C443ED" w:rsidRDefault="00C443ED" w:rsidP="00C443ED">
      <w:pPr>
        <w:rPr>
          <w:lang w:val="en"/>
        </w:rPr>
      </w:pPr>
    </w:p>
    <w:p w14:paraId="5BF66B58" w14:textId="77777777" w:rsidR="00F937E7" w:rsidRPr="00D823A9" w:rsidRDefault="00F937E7" w:rsidP="00C443ED">
      <w:pPr>
        <w:rPr>
          <w:iCs/>
          <w:color w:val="000000"/>
        </w:rPr>
      </w:pPr>
      <w:r w:rsidRPr="006A7555">
        <w:rPr>
          <w:lang w:val="en"/>
        </w:rPr>
        <w:t xml:space="preserve">The Committee recommends that the public be provided with information through the </w:t>
      </w:r>
      <w:r w:rsidRPr="006C1987">
        <w:rPr>
          <w:iCs/>
          <w:lang w:val="en"/>
        </w:rPr>
        <w:t>My Aged Care</w:t>
      </w:r>
      <w:r w:rsidRPr="006A7555">
        <w:rPr>
          <w:lang w:val="en"/>
        </w:rPr>
        <w:t xml:space="preserve"> website regarding the number of complaints and reportable incidents that have been lodged, responded to and resolved, and the number of complainants, at individual aged care facilities.</w:t>
      </w:r>
    </w:p>
    <w:p w14:paraId="1781013D" w14:textId="77777777" w:rsidR="00F937E7" w:rsidRPr="00DC3570" w:rsidRDefault="00F937E7">
      <w:pPr>
        <w:rPr>
          <w:lang w:val="en"/>
        </w:rPr>
      </w:pPr>
    </w:p>
    <w:p w14:paraId="4B1934B6" w14:textId="77777777" w:rsidR="00DC4D99" w:rsidRDefault="00DC4D99">
      <w:r w:rsidRPr="00384E4C">
        <w:t xml:space="preserve">The Australian Government </w:t>
      </w:r>
      <w:r w:rsidRPr="00384E4C">
        <w:rPr>
          <w:b/>
        </w:rPr>
        <w:t>supports</w:t>
      </w:r>
      <w:r w:rsidR="00125E7F">
        <w:rPr>
          <w:b/>
        </w:rPr>
        <w:t xml:space="preserve"> in-principle</w:t>
      </w:r>
      <w:r w:rsidRPr="00384E4C">
        <w:t xml:space="preserve"> this recommendation</w:t>
      </w:r>
      <w:r>
        <w:t>.</w:t>
      </w:r>
    </w:p>
    <w:p w14:paraId="210802C2" w14:textId="77777777" w:rsidR="00C14B84" w:rsidRDefault="00C14B84"/>
    <w:p w14:paraId="4B5EA1BF" w14:textId="77777777" w:rsidR="00B12E9F" w:rsidRPr="008D7C08" w:rsidRDefault="00A33AFC">
      <w:r>
        <w:t xml:space="preserve">As part of </w:t>
      </w:r>
      <w:r w:rsidR="00F13141">
        <w:t xml:space="preserve">the </w:t>
      </w:r>
      <w:r w:rsidR="00B12E9F" w:rsidRPr="009419B5">
        <w:t xml:space="preserve">2018-19 Budget measure </w:t>
      </w:r>
      <w:r w:rsidRPr="000624E0">
        <w:rPr>
          <w:i/>
        </w:rPr>
        <w:t xml:space="preserve">Better Quality of Care </w:t>
      </w:r>
      <w:r>
        <w:t xml:space="preserve">- </w:t>
      </w:r>
      <w:r w:rsidR="00B12E9F" w:rsidRPr="006C1987">
        <w:rPr>
          <w:i/>
        </w:rPr>
        <w:t xml:space="preserve">greater transparency </w:t>
      </w:r>
      <w:r w:rsidRPr="006C1987">
        <w:rPr>
          <w:i/>
        </w:rPr>
        <w:t xml:space="preserve">of </w:t>
      </w:r>
      <w:r w:rsidR="00B12E9F" w:rsidRPr="006C1987">
        <w:rPr>
          <w:i/>
        </w:rPr>
        <w:t>quality in aged care</w:t>
      </w:r>
      <w:r>
        <w:t xml:space="preserve">, the </w:t>
      </w:r>
      <w:r w:rsidRPr="009419B5">
        <w:t>Government</w:t>
      </w:r>
      <w:r>
        <w:t xml:space="preserve"> announced </w:t>
      </w:r>
      <w:r w:rsidR="00B12E9F" w:rsidRPr="009419B5">
        <w:t>that providers who</w:t>
      </w:r>
      <w:r w:rsidR="007A1898">
        <w:t xml:space="preserve"> </w:t>
      </w:r>
      <w:r w:rsidR="00B12E9F" w:rsidRPr="009419B5">
        <w:t>obstruct the resolution of complaints can be publicly identified. This measure</w:t>
      </w:r>
      <w:r w:rsidR="00B12E9F">
        <w:t xml:space="preserve"> is due </w:t>
      </w:r>
      <w:r w:rsidR="00BA0F47">
        <w:t xml:space="preserve">to be </w:t>
      </w:r>
      <w:r w:rsidR="00B12E9F">
        <w:t>deliver</w:t>
      </w:r>
      <w:r w:rsidR="00BA0F47">
        <w:t xml:space="preserve">ed </w:t>
      </w:r>
      <w:r w:rsidR="00B12E9F">
        <w:t>by July 2020.</w:t>
      </w:r>
    </w:p>
    <w:p w14:paraId="086FEAFD" w14:textId="77777777" w:rsidR="00F937E7" w:rsidRPr="00DC4D99" w:rsidRDefault="00F937E7"/>
    <w:p w14:paraId="4896B424" w14:textId="4562E545" w:rsidR="00B12E9F" w:rsidRDefault="00F937E7">
      <w:r w:rsidRPr="00FC34C9">
        <w:t xml:space="preserve">The </w:t>
      </w:r>
      <w:r w:rsidR="001E4492" w:rsidRPr="00FC34C9">
        <w:t xml:space="preserve">(former) </w:t>
      </w:r>
      <w:r w:rsidRPr="00FC34C9">
        <w:t>Aged Care Complaints Commissioner, and its predecessors, were restricted by protect</w:t>
      </w:r>
      <w:r w:rsidR="00E01BEB" w:rsidRPr="00FC34C9">
        <w:t>ed</w:t>
      </w:r>
      <w:r w:rsidRPr="00FC34C9">
        <w:t xml:space="preserve"> information provisions under </w:t>
      </w:r>
      <w:r w:rsidR="00381115">
        <w:t>Division</w:t>
      </w:r>
      <w:r w:rsidR="00381115" w:rsidRPr="00FC34C9">
        <w:t xml:space="preserve"> </w:t>
      </w:r>
      <w:r w:rsidRPr="00FC34C9">
        <w:t xml:space="preserve">86 of the </w:t>
      </w:r>
      <w:r w:rsidRPr="00FC34C9">
        <w:rPr>
          <w:i/>
        </w:rPr>
        <w:t>Aged Care Act 1997</w:t>
      </w:r>
      <w:r w:rsidRPr="00FC34C9">
        <w:t xml:space="preserve"> from </w:t>
      </w:r>
      <w:r w:rsidR="00FC34C9" w:rsidRPr="006C1987">
        <w:t xml:space="preserve">publicly </w:t>
      </w:r>
      <w:r w:rsidRPr="00FC34C9">
        <w:t>releasing certain complaints information</w:t>
      </w:r>
      <w:r w:rsidR="00FC34C9">
        <w:t>. This included</w:t>
      </w:r>
      <w:r w:rsidRPr="00FC34C9">
        <w:t xml:space="preserve"> naming providers</w:t>
      </w:r>
      <w:r w:rsidR="00E01BEB" w:rsidRPr="00FC34C9">
        <w:t xml:space="preserve"> and</w:t>
      </w:r>
      <w:r w:rsidRPr="00FC34C9">
        <w:t xml:space="preserve"> matters relat</w:t>
      </w:r>
      <w:r w:rsidR="00BC0A1F" w:rsidRPr="00FC34C9">
        <w:t>ing</w:t>
      </w:r>
      <w:r w:rsidRPr="00FC34C9">
        <w:t xml:space="preserve"> to the affairs of the approved provider</w:t>
      </w:r>
      <w:r w:rsidR="00E01BEB" w:rsidRPr="00FC34C9">
        <w:t>,</w:t>
      </w:r>
      <w:r w:rsidRPr="00FC34C9">
        <w:t xml:space="preserve"> including how individual complaints were managed and resolved.</w:t>
      </w:r>
      <w:r w:rsidRPr="00DC4D99">
        <w:t xml:space="preserve"> </w:t>
      </w:r>
    </w:p>
    <w:p w14:paraId="5889A6D0" w14:textId="77777777" w:rsidR="0018773C" w:rsidRDefault="0018773C"/>
    <w:p w14:paraId="33D15C52" w14:textId="433A25FF" w:rsidR="00F937E7" w:rsidRPr="00DC4D99" w:rsidRDefault="00381115">
      <w:r>
        <w:t xml:space="preserve">The Commission is now empowered under section 59 and 59A of the </w:t>
      </w:r>
      <w:r w:rsidR="00F937E7" w:rsidRPr="00AA429B">
        <w:t>Quality and Safety Commission Act</w:t>
      </w:r>
      <w:r w:rsidR="00FC34C9" w:rsidRPr="006C1987">
        <w:t>,</w:t>
      </w:r>
      <w:r w:rsidR="00F937E7" w:rsidRPr="00DC4D99">
        <w:t xml:space="preserve"> </w:t>
      </w:r>
      <w:r>
        <w:t xml:space="preserve">to publish information about a provider’s performance in relation to their responsibilities under the </w:t>
      </w:r>
      <w:r>
        <w:rPr>
          <w:i/>
        </w:rPr>
        <w:t xml:space="preserve">Aged Care Act 1997, </w:t>
      </w:r>
      <w:r>
        <w:t>the Quality and Safety Commission Act or their applicable funding agreement</w:t>
      </w:r>
      <w:r w:rsidR="00F937E7" w:rsidRPr="00DC4D99">
        <w:t>.</w:t>
      </w:r>
    </w:p>
    <w:p w14:paraId="3844E678" w14:textId="77777777" w:rsidR="004476AC" w:rsidRDefault="004476AC"/>
    <w:p w14:paraId="0F564CBD" w14:textId="77777777" w:rsidR="00F937E7" w:rsidRDefault="00B12E9F">
      <w:r>
        <w:t>However, a</w:t>
      </w:r>
      <w:r w:rsidR="00F937E7" w:rsidRPr="00DC4D99">
        <w:t>ny information made publicly available must not include any personal information. Personal information would include complainant and consumer details.</w:t>
      </w:r>
    </w:p>
    <w:p w14:paraId="7CCA9CBD" w14:textId="77777777" w:rsidR="00F65792" w:rsidRDefault="00F65792"/>
    <w:p w14:paraId="03EC0AB5" w14:textId="3610E90D" w:rsidR="00125E7F" w:rsidRDefault="00D7346F">
      <w:r w:rsidRPr="00FC34C9">
        <w:lastRenderedPageBreak/>
        <w:t>Within th</w:t>
      </w:r>
      <w:r w:rsidR="00A50D05">
        <w:t>is</w:t>
      </w:r>
      <w:r w:rsidRPr="00FC34C9">
        <w:t xml:space="preserve"> </w:t>
      </w:r>
      <w:r w:rsidR="00F63DAE" w:rsidRPr="00FC34C9">
        <w:t>regulatory framework</w:t>
      </w:r>
      <w:r w:rsidR="00FC34C9">
        <w:t>,</w:t>
      </w:r>
      <w:r w:rsidRPr="00FC34C9">
        <w:t xml:space="preserve"> t</w:t>
      </w:r>
      <w:r w:rsidR="00F65792" w:rsidRPr="00FC34C9">
        <w:t xml:space="preserve">he </w:t>
      </w:r>
      <w:r w:rsidRPr="00FC34C9">
        <w:t>Commission</w:t>
      </w:r>
      <w:r w:rsidR="00F65792" w:rsidRPr="00FC34C9">
        <w:t xml:space="preserve"> </w:t>
      </w:r>
      <w:r w:rsidR="00125E7F">
        <w:t>has</w:t>
      </w:r>
      <w:r w:rsidR="00125E7F" w:rsidRPr="00FC34C9">
        <w:t xml:space="preserve"> </w:t>
      </w:r>
      <w:r w:rsidR="00F65792" w:rsidRPr="00FC34C9">
        <w:t>develop</w:t>
      </w:r>
      <w:r w:rsidR="00125E7F">
        <w:t>ed</w:t>
      </w:r>
      <w:r w:rsidR="00F65792" w:rsidRPr="00FC34C9">
        <w:t xml:space="preserve"> a </w:t>
      </w:r>
      <w:r w:rsidR="00125E7F">
        <w:t xml:space="preserve">protocol for a </w:t>
      </w:r>
      <w:r w:rsidR="00F65792" w:rsidRPr="00FC34C9">
        <w:t xml:space="preserve">regular release of data on its website for a range of performance measures. </w:t>
      </w:r>
      <w:r w:rsidR="00125E7F">
        <w:t xml:space="preserve">The first release </w:t>
      </w:r>
      <w:r w:rsidR="00E14EC9">
        <w:t xml:space="preserve">was </w:t>
      </w:r>
      <w:r w:rsidR="00125E7F">
        <w:t>July 2019. This include</w:t>
      </w:r>
      <w:r w:rsidR="00E14EC9">
        <w:t>d</w:t>
      </w:r>
      <w:r w:rsidR="00125E7F">
        <w:t xml:space="preserve"> publication of sector-wide data on complaints.</w:t>
      </w:r>
    </w:p>
    <w:p w14:paraId="1163619A" w14:textId="77777777" w:rsidR="00125E7F" w:rsidRDefault="00125E7F"/>
    <w:p w14:paraId="77D5EEEB" w14:textId="0BFD259E" w:rsidR="009F533C" w:rsidRPr="004476AC" w:rsidRDefault="00125E7F" w:rsidP="004476AC">
      <w:pPr>
        <w:pStyle w:val="ListParagraph"/>
        <w:spacing w:after="0" w:line="240" w:lineRule="auto"/>
        <w:ind w:left="0"/>
        <w:rPr>
          <w:rFonts w:eastAsia="Times New Roman"/>
          <w:szCs w:val="24"/>
          <w:lang w:eastAsia="en-AU"/>
        </w:rPr>
      </w:pPr>
      <w:r>
        <w:t>The Commission is also developing a report to publish</w:t>
      </w:r>
      <w:r w:rsidR="004759AE">
        <w:t>,</w:t>
      </w:r>
      <w:r>
        <w:t xml:space="preserve"> by 2020</w:t>
      </w:r>
      <w:r w:rsidR="004759AE">
        <w:t>,</w:t>
      </w:r>
      <w:r>
        <w:t xml:space="preserve"> </w:t>
      </w:r>
      <w:r w:rsidR="00F65792" w:rsidRPr="00FC34C9">
        <w:t>the names of providers who have been iss</w:t>
      </w:r>
      <w:r w:rsidR="00F65792" w:rsidRPr="00C51A2E">
        <w:t xml:space="preserve">ued a direction where the Commissioner is not satisfied that the provider is meeting </w:t>
      </w:r>
      <w:r w:rsidR="00C51A2E">
        <w:t>its</w:t>
      </w:r>
      <w:r w:rsidR="00F65792" w:rsidRPr="00C51A2E">
        <w:t xml:space="preserve"> responsibilities in relation to an issue raised in a complaint</w:t>
      </w:r>
      <w:r w:rsidR="009F533C">
        <w:t>. The Commission has</w:t>
      </w:r>
      <w:r w:rsidR="009F533C" w:rsidRPr="009F533C">
        <w:rPr>
          <w:rFonts w:ascii="Calibri" w:eastAsia="Times New Roman" w:hAnsi="Calibri" w:cs="Calibri"/>
          <w:color w:val="00B050"/>
          <w:sz w:val="20"/>
          <w:szCs w:val="20"/>
          <w:lang w:eastAsia="en-AU"/>
        </w:rPr>
        <w:t xml:space="preserve"> </w:t>
      </w:r>
      <w:r w:rsidR="009F533C" w:rsidRPr="009F533C">
        <w:rPr>
          <w:rFonts w:eastAsia="Times New Roman"/>
          <w:szCs w:val="24"/>
          <w:lang w:eastAsia="en-AU"/>
        </w:rPr>
        <w:t>committed to pu</w:t>
      </w:r>
      <w:r w:rsidR="009F533C">
        <w:rPr>
          <w:rFonts w:eastAsia="Times New Roman"/>
          <w:szCs w:val="24"/>
          <w:lang w:eastAsia="en-AU"/>
        </w:rPr>
        <w:t>blish names of providers where a</w:t>
      </w:r>
      <w:r w:rsidR="009F533C" w:rsidRPr="009F533C">
        <w:rPr>
          <w:rFonts w:eastAsia="Times New Roman"/>
          <w:szCs w:val="24"/>
          <w:lang w:eastAsia="en-AU"/>
        </w:rPr>
        <w:t xml:space="preserve"> complaints direction is given.</w:t>
      </w:r>
    </w:p>
    <w:p w14:paraId="4B10D134" w14:textId="602E9587" w:rsidR="00DC3570" w:rsidRPr="004476AC" w:rsidRDefault="00DC3570" w:rsidP="004476AC"/>
    <w:p w14:paraId="1BC14EF3" w14:textId="1F6A8778" w:rsidR="00DC3570" w:rsidRDefault="00144EC7" w:rsidP="001B0C81">
      <w:pPr>
        <w:pStyle w:val="Heading2"/>
      </w:pPr>
      <w:r>
        <w:t>R</w:t>
      </w:r>
      <w:r w:rsidR="006A7555">
        <w:t>ecommendation 13</w:t>
      </w:r>
      <w:r w:rsidR="00116EDE">
        <w:t xml:space="preserve"> </w:t>
      </w:r>
    </w:p>
    <w:p w14:paraId="7074C450" w14:textId="77777777" w:rsidR="00DC3570" w:rsidRDefault="00DC3570"/>
    <w:p w14:paraId="36BB0665" w14:textId="4A9C202E" w:rsidR="006A7555" w:rsidRPr="00F71ECF" w:rsidRDefault="006A7555">
      <w:r w:rsidRPr="00F71ECF">
        <w:t>The Committee recommends that the Australian Government examine ways to ensure all consumers have access to the Older Persons Advocacy Network (OPAN) advisory services, and include in consumer experience reports the providers that refuse OPAN access to their facilities.</w:t>
      </w:r>
    </w:p>
    <w:p w14:paraId="3FF11780" w14:textId="77777777" w:rsidR="0018773C" w:rsidRDefault="0018773C"/>
    <w:p w14:paraId="1F1F55EE" w14:textId="68861103" w:rsidR="00DD6EF1" w:rsidRDefault="00B12E9F">
      <w:r w:rsidRPr="00384E4C">
        <w:t xml:space="preserve">The Australian Government </w:t>
      </w:r>
      <w:r w:rsidRPr="006C1987">
        <w:rPr>
          <w:b/>
        </w:rPr>
        <w:t>supports</w:t>
      </w:r>
      <w:r w:rsidRPr="00384E4C">
        <w:t xml:space="preserve"> </w:t>
      </w:r>
      <w:r w:rsidR="00A03442" w:rsidRPr="006A7555">
        <w:rPr>
          <w:lang w:val="en"/>
        </w:rPr>
        <w:t>examin</w:t>
      </w:r>
      <w:r w:rsidR="00A03442">
        <w:rPr>
          <w:lang w:val="en"/>
        </w:rPr>
        <w:t>ing</w:t>
      </w:r>
      <w:r w:rsidR="00A03442" w:rsidRPr="006A7555">
        <w:rPr>
          <w:lang w:val="en"/>
        </w:rPr>
        <w:t xml:space="preserve"> ways to ensure all consumers have access to </w:t>
      </w:r>
      <w:r w:rsidR="00A03442">
        <w:rPr>
          <w:lang w:val="en"/>
        </w:rPr>
        <w:t xml:space="preserve">OPAN </w:t>
      </w:r>
      <w:r w:rsidR="00431AC3">
        <w:t xml:space="preserve">and </w:t>
      </w:r>
      <w:r w:rsidR="003675BE">
        <w:rPr>
          <w:b/>
        </w:rPr>
        <w:t>supports in-principle</w:t>
      </w:r>
      <w:r w:rsidR="003675BE">
        <w:t xml:space="preserve"> </w:t>
      </w:r>
      <w:r>
        <w:t xml:space="preserve">the specific suggestion in relation to consumer experience reports. </w:t>
      </w:r>
    </w:p>
    <w:p w14:paraId="1030496E" w14:textId="77777777" w:rsidR="00DD6EF1" w:rsidRDefault="00DD6EF1"/>
    <w:p w14:paraId="277DBCC1" w14:textId="77777777" w:rsidR="00491B03" w:rsidRDefault="00491B03">
      <w:r>
        <w:t>The National Aged Care Advocacy Program, which is delivered by OPAN, is available to everyone who is accessing, or seeking to access, Commonwealth-funded aged care services and their family members and carers.</w:t>
      </w:r>
    </w:p>
    <w:p w14:paraId="1DBF1002" w14:textId="77777777" w:rsidR="00B62ABA" w:rsidRDefault="00B62ABA"/>
    <w:p w14:paraId="45D5D2AD" w14:textId="77777777" w:rsidR="003D3162" w:rsidRDefault="00491B03">
      <w:r>
        <w:t xml:space="preserve">The Government </w:t>
      </w:r>
      <w:r w:rsidR="000A345A">
        <w:t>has</w:t>
      </w:r>
      <w:r>
        <w:t xml:space="preserve"> already take</w:t>
      </w:r>
      <w:r w:rsidR="000A345A">
        <w:t>n</w:t>
      </w:r>
      <w:r>
        <w:t xml:space="preserve"> steps to promote the availability of advocacy services to aged care consumers and providers.</w:t>
      </w:r>
    </w:p>
    <w:p w14:paraId="3700084C" w14:textId="77777777" w:rsidR="003D3162" w:rsidRDefault="003D3162"/>
    <w:p w14:paraId="174B1019" w14:textId="246C172B" w:rsidR="003D3162" w:rsidRDefault="003D3162">
      <w:pPr>
        <w:rPr>
          <w:lang w:val="en"/>
        </w:rPr>
      </w:pPr>
      <w:r>
        <w:rPr>
          <w:lang w:val="en"/>
        </w:rPr>
        <w:t xml:space="preserve">In January 2019, the then Minister for Senior Australians and Aged Care, </w:t>
      </w:r>
      <w:r>
        <w:rPr>
          <w:lang w:val="en"/>
        </w:rPr>
        <w:br/>
        <w:t>the Hon Ken Wyatt AM MP</w:t>
      </w:r>
      <w:r w:rsidR="00451B30">
        <w:rPr>
          <w:lang w:val="en"/>
        </w:rPr>
        <w:t>,</w:t>
      </w:r>
      <w:r>
        <w:rPr>
          <w:lang w:val="en"/>
        </w:rPr>
        <w:t xml:space="preserve"> wrote to all residential aged care providers emphasising the importance of the National Aged Care Advocacy Program and encouraged providers to “promote OPAN to care recipients and their families as a resource for support”.</w:t>
      </w:r>
    </w:p>
    <w:p w14:paraId="05E3F855" w14:textId="704F0135" w:rsidR="003D3162" w:rsidRDefault="000A345A">
      <w:r>
        <w:t xml:space="preserve">In June 2019 the Department </w:t>
      </w:r>
      <w:r w:rsidR="009110E3">
        <w:t xml:space="preserve">provided posters to </w:t>
      </w:r>
      <w:r>
        <w:t xml:space="preserve">all residential aged care providers promoting OPAN services to staff, residents and their families and friends. </w:t>
      </w:r>
    </w:p>
    <w:p w14:paraId="15BA8510" w14:textId="77777777" w:rsidR="003D3162" w:rsidRDefault="003D3162"/>
    <w:p w14:paraId="2F8F626C" w14:textId="143BA701" w:rsidR="003D3162" w:rsidRDefault="003D3162">
      <w:pPr>
        <w:rPr>
          <w:lang w:val="en"/>
        </w:rPr>
      </w:pPr>
      <w:r>
        <w:rPr>
          <w:lang w:val="en"/>
        </w:rPr>
        <w:t xml:space="preserve">Information about the National Aged Care Advocacy Program is available on the Department, My Aged Care and </w:t>
      </w:r>
      <w:r w:rsidR="004759AE">
        <w:rPr>
          <w:lang w:val="en"/>
        </w:rPr>
        <w:t>Commission</w:t>
      </w:r>
      <w:r>
        <w:rPr>
          <w:lang w:val="en"/>
        </w:rPr>
        <w:t xml:space="preserve"> websites.</w:t>
      </w:r>
    </w:p>
    <w:p w14:paraId="2ABF9823" w14:textId="77777777" w:rsidR="003D3162" w:rsidRDefault="003D3162">
      <w:pPr>
        <w:rPr>
          <w:lang w:val="en"/>
        </w:rPr>
      </w:pPr>
    </w:p>
    <w:p w14:paraId="133C3475" w14:textId="50CDDA71" w:rsidR="003D3162" w:rsidRDefault="003D3162">
      <w:pPr>
        <w:rPr>
          <w:lang w:val="en"/>
        </w:rPr>
      </w:pPr>
      <w:r w:rsidRPr="00A266EB">
        <w:rPr>
          <w:lang w:val="en"/>
        </w:rPr>
        <w:t xml:space="preserve">The Commission’s </w:t>
      </w:r>
      <w:r>
        <w:rPr>
          <w:lang w:val="en"/>
        </w:rPr>
        <w:t xml:space="preserve">website </w:t>
      </w:r>
      <w:r w:rsidRPr="00A266EB">
        <w:rPr>
          <w:lang w:val="en"/>
        </w:rPr>
        <w:t>includes</w:t>
      </w:r>
      <w:r>
        <w:rPr>
          <w:lang w:val="en"/>
        </w:rPr>
        <w:t xml:space="preserve"> the </w:t>
      </w:r>
      <w:r w:rsidRPr="00A266EB">
        <w:rPr>
          <w:lang w:val="en"/>
        </w:rPr>
        <w:t xml:space="preserve">brochure </w:t>
      </w:r>
      <w:r w:rsidRPr="00696970">
        <w:rPr>
          <w:i/>
          <w:lang w:val="en"/>
        </w:rPr>
        <w:t>How aged care advocacy can help you</w:t>
      </w:r>
      <w:r w:rsidR="002B0D3E">
        <w:rPr>
          <w:i/>
          <w:lang w:val="en"/>
        </w:rPr>
        <w:t xml:space="preserve">, </w:t>
      </w:r>
      <w:r w:rsidR="002B0D3E" w:rsidRPr="006C1987">
        <w:rPr>
          <w:lang w:val="en"/>
        </w:rPr>
        <w:t>as well as</w:t>
      </w:r>
      <w:r w:rsidR="002B0D3E">
        <w:rPr>
          <w:i/>
          <w:lang w:val="en"/>
        </w:rPr>
        <w:t xml:space="preserve"> </w:t>
      </w:r>
      <w:r>
        <w:rPr>
          <w:lang w:val="en"/>
        </w:rPr>
        <w:t>guidance for providers on implementing the Standards, including the requirement that</w:t>
      </w:r>
      <w:r w:rsidRPr="007165C4">
        <w:t xml:space="preserve"> </w:t>
      </w:r>
      <w:r w:rsidRPr="007165C4">
        <w:rPr>
          <w:lang w:val="en"/>
        </w:rPr>
        <w:t>consumers are made aware of and have access to advocates, language services and other methods for raising and resolving complaints</w:t>
      </w:r>
      <w:r>
        <w:rPr>
          <w:lang w:val="en"/>
        </w:rPr>
        <w:t xml:space="preserve">. </w:t>
      </w:r>
    </w:p>
    <w:p w14:paraId="07B539C2" w14:textId="77777777" w:rsidR="003D3162" w:rsidRDefault="003D3162">
      <w:pPr>
        <w:rPr>
          <w:lang w:val="en"/>
        </w:rPr>
      </w:pPr>
    </w:p>
    <w:p w14:paraId="4E75855E" w14:textId="7A8023F5" w:rsidR="003D3162" w:rsidRPr="00A266EB" w:rsidRDefault="003D3162">
      <w:pPr>
        <w:rPr>
          <w:lang w:val="en"/>
        </w:rPr>
      </w:pPr>
      <w:r w:rsidRPr="00A266EB">
        <w:rPr>
          <w:lang w:val="en"/>
        </w:rPr>
        <w:t>When assessing provider compliance with this requirement, the Commission consider</w:t>
      </w:r>
      <w:r>
        <w:rPr>
          <w:lang w:val="en"/>
        </w:rPr>
        <w:t>s</w:t>
      </w:r>
      <w:r w:rsidRPr="00A266EB">
        <w:rPr>
          <w:lang w:val="en"/>
        </w:rPr>
        <w:t xml:space="preserve"> feedback from consumers and information received from other parties</w:t>
      </w:r>
      <w:r>
        <w:rPr>
          <w:lang w:val="en"/>
        </w:rPr>
        <w:t>,</w:t>
      </w:r>
      <w:r w:rsidRPr="00A266EB">
        <w:rPr>
          <w:lang w:val="en"/>
        </w:rPr>
        <w:t xml:space="preserve"> such as advocacy services. </w:t>
      </w:r>
      <w:r>
        <w:rPr>
          <w:lang w:val="en"/>
        </w:rPr>
        <w:t xml:space="preserve">Accreditation </w:t>
      </w:r>
      <w:r w:rsidRPr="007165C4">
        <w:rPr>
          <w:lang w:val="en"/>
        </w:rPr>
        <w:t>reports</w:t>
      </w:r>
      <w:r>
        <w:rPr>
          <w:lang w:val="en"/>
        </w:rPr>
        <w:t xml:space="preserve"> are </w:t>
      </w:r>
      <w:r w:rsidRPr="007165C4">
        <w:rPr>
          <w:lang w:val="en"/>
        </w:rPr>
        <w:t>publicly available</w:t>
      </w:r>
      <w:r>
        <w:rPr>
          <w:lang w:val="en"/>
        </w:rPr>
        <w:t xml:space="preserve"> on the Commission’s website</w:t>
      </w:r>
      <w:r w:rsidRPr="007165C4">
        <w:rPr>
          <w:lang w:val="en"/>
        </w:rPr>
        <w:t>.</w:t>
      </w:r>
    </w:p>
    <w:p w14:paraId="0D8A4257" w14:textId="77777777" w:rsidR="003D3162" w:rsidRDefault="003D3162">
      <w:pPr>
        <w:rPr>
          <w:lang w:val="en"/>
        </w:rPr>
      </w:pPr>
    </w:p>
    <w:p w14:paraId="0C1FB942" w14:textId="77777777" w:rsidR="00491B03" w:rsidRDefault="00491B03">
      <w:r>
        <w:lastRenderedPageBreak/>
        <w:t>The Government will continue to work with OPAN to further increase awareness of the advocacy program.</w:t>
      </w:r>
    </w:p>
    <w:p w14:paraId="3812CE8D" w14:textId="77777777" w:rsidR="00491B03" w:rsidRDefault="00491B03"/>
    <w:p w14:paraId="448ACC31" w14:textId="77777777" w:rsidR="00491B03" w:rsidRPr="00491B03" w:rsidRDefault="00491B03">
      <w:pPr>
        <w:rPr>
          <w:rFonts w:ascii="Arial" w:hAnsi="Arial" w:cs="Arial"/>
          <w:lang w:val="en"/>
        </w:rPr>
      </w:pPr>
      <w:r>
        <w:t>In addition, the Government will explore the potential for new or expanded activities for the advocacy program which are discussed in the Committee’s report for possible inclusion in the next service delivery contract which will commence from July 2020.</w:t>
      </w:r>
    </w:p>
    <w:p w14:paraId="1BC84CE5" w14:textId="77777777" w:rsidR="00A266EB" w:rsidRPr="00A266EB" w:rsidRDefault="00A266EB">
      <w:pPr>
        <w:rPr>
          <w:lang w:val="en"/>
        </w:rPr>
      </w:pPr>
      <w:r>
        <w:rPr>
          <w:lang w:val="en"/>
        </w:rPr>
        <w:t xml:space="preserve"> </w:t>
      </w:r>
    </w:p>
    <w:p w14:paraId="6E3A9F8A" w14:textId="77777777" w:rsidR="00492773" w:rsidRPr="006607D7" w:rsidRDefault="00492773">
      <w:pPr>
        <w:rPr>
          <w:lang w:val="en"/>
        </w:rPr>
      </w:pPr>
      <w:r>
        <w:rPr>
          <w:lang w:val="en"/>
        </w:rPr>
        <w:t xml:space="preserve">The Government notes </w:t>
      </w:r>
      <w:r w:rsidR="005958FE">
        <w:rPr>
          <w:lang w:val="en"/>
        </w:rPr>
        <w:t xml:space="preserve">the Commission’s </w:t>
      </w:r>
      <w:r w:rsidR="007165C4">
        <w:rPr>
          <w:lang w:val="en"/>
        </w:rPr>
        <w:t>C</w:t>
      </w:r>
      <w:r>
        <w:rPr>
          <w:lang w:val="en"/>
        </w:rPr>
        <w:t xml:space="preserve">onsumer </w:t>
      </w:r>
      <w:r w:rsidR="007165C4">
        <w:rPr>
          <w:lang w:val="en"/>
        </w:rPr>
        <w:t>E</w:t>
      </w:r>
      <w:r>
        <w:rPr>
          <w:lang w:val="en"/>
        </w:rPr>
        <w:t xml:space="preserve">xperience </w:t>
      </w:r>
      <w:r w:rsidR="007165C4">
        <w:rPr>
          <w:lang w:val="en"/>
        </w:rPr>
        <w:t>R</w:t>
      </w:r>
      <w:r>
        <w:rPr>
          <w:lang w:val="en"/>
        </w:rPr>
        <w:t xml:space="preserve">eports are based on a defined set of </w:t>
      </w:r>
      <w:r w:rsidR="00F13141">
        <w:rPr>
          <w:lang w:val="en"/>
        </w:rPr>
        <w:t xml:space="preserve">ten </w:t>
      </w:r>
      <w:r>
        <w:rPr>
          <w:lang w:val="en"/>
        </w:rPr>
        <w:t>questions developed and tested for validity with consumers for the purpose of capturing t</w:t>
      </w:r>
      <w:r w:rsidRPr="006607D7">
        <w:rPr>
          <w:lang w:val="en"/>
        </w:rPr>
        <w:t>heir experience of care, rather than a report about specific types of provider behaviour, such as refusing access to OPAN advocates.</w:t>
      </w:r>
      <w:r>
        <w:rPr>
          <w:lang w:val="en"/>
        </w:rPr>
        <w:t xml:space="preserve"> </w:t>
      </w:r>
    </w:p>
    <w:p w14:paraId="55B0E3B0" w14:textId="77777777" w:rsidR="004476AC" w:rsidRPr="00BA6167" w:rsidRDefault="004476AC">
      <w:pPr>
        <w:rPr>
          <w:lang w:val="en"/>
        </w:rPr>
      </w:pPr>
    </w:p>
    <w:p w14:paraId="0A5323C6" w14:textId="77777777" w:rsidR="00876F97" w:rsidRDefault="00876F97" w:rsidP="001B0C81">
      <w:pPr>
        <w:pStyle w:val="Heading2"/>
      </w:pPr>
      <w:r>
        <w:t xml:space="preserve">Recommendation 14 </w:t>
      </w:r>
    </w:p>
    <w:p w14:paraId="329012CF" w14:textId="77777777" w:rsidR="00876F97" w:rsidRPr="006D383D" w:rsidRDefault="00876F97">
      <w:pPr>
        <w:rPr>
          <w:lang w:val="en"/>
        </w:rPr>
      </w:pPr>
    </w:p>
    <w:p w14:paraId="5C2E6BA9" w14:textId="77777777" w:rsidR="00B62ABA" w:rsidRPr="006A7555" w:rsidRDefault="006D383D">
      <w:pPr>
        <w:rPr>
          <w:lang w:val="en"/>
        </w:rPr>
      </w:pPr>
      <w:r>
        <w:rPr>
          <w:lang w:val="en"/>
        </w:rPr>
        <w:t xml:space="preserve">The Committee recommends that the Australian Government agencies responsible for </w:t>
      </w:r>
      <w:r w:rsidR="00B62ABA" w:rsidRPr="006A7555">
        <w:rPr>
          <w:lang w:val="en"/>
        </w:rPr>
        <w:t>delivery of aged care services commit to a more consumer</w:t>
      </w:r>
      <w:r w:rsidR="00B62ABA" w:rsidRPr="006A7555">
        <w:rPr>
          <w:lang w:val="en"/>
        </w:rPr>
        <w:noBreakHyphen/>
        <w:t>oriented focus, with greater, and more transparent, consumer involvement in the delivery of aged care services.</w:t>
      </w:r>
    </w:p>
    <w:p w14:paraId="7BE511C6" w14:textId="77777777" w:rsidR="00B62ABA" w:rsidRDefault="00B62ABA"/>
    <w:p w14:paraId="1DE7E1E7" w14:textId="77777777" w:rsidR="00B62ABA" w:rsidRDefault="00B62ABA">
      <w:r w:rsidRPr="00384E4C">
        <w:t xml:space="preserve">The Australian Government </w:t>
      </w:r>
      <w:r w:rsidRPr="00384E4C">
        <w:rPr>
          <w:b/>
        </w:rPr>
        <w:t>supports</w:t>
      </w:r>
      <w:r w:rsidRPr="00384E4C">
        <w:t xml:space="preserve"> this recommendation</w:t>
      </w:r>
      <w:r>
        <w:t>.</w:t>
      </w:r>
    </w:p>
    <w:p w14:paraId="63D20FE4" w14:textId="77777777" w:rsidR="00B62ABA" w:rsidRDefault="00B62ABA"/>
    <w:p w14:paraId="0CB887C8" w14:textId="3F732219" w:rsidR="00B62ABA" w:rsidRDefault="00B62ABA">
      <w:r>
        <w:t xml:space="preserve">A range of reforms are </w:t>
      </w:r>
      <w:r w:rsidR="00775D0A">
        <w:t xml:space="preserve">being progressively implemented which </w:t>
      </w:r>
      <w:r w:rsidR="00D735C3">
        <w:rPr>
          <w:lang w:val="en"/>
        </w:rPr>
        <w:t xml:space="preserve">support </w:t>
      </w:r>
      <w:r w:rsidR="00D735C3" w:rsidRPr="006A7555">
        <w:rPr>
          <w:lang w:val="en"/>
        </w:rPr>
        <w:t>a more consumer</w:t>
      </w:r>
      <w:r w:rsidR="00D735C3" w:rsidRPr="006A7555">
        <w:rPr>
          <w:lang w:val="en"/>
        </w:rPr>
        <w:noBreakHyphen/>
        <w:t>oriented focus, with greater, and more transparent, consumer involvement in the delivery of aged care services</w:t>
      </w:r>
      <w:r w:rsidR="00D735C3">
        <w:rPr>
          <w:lang w:val="en"/>
        </w:rPr>
        <w:t xml:space="preserve">. </w:t>
      </w:r>
    </w:p>
    <w:p w14:paraId="1E3DB0FE" w14:textId="77777777" w:rsidR="00730BB9" w:rsidRDefault="00730BB9"/>
    <w:p w14:paraId="3FBBAFA1" w14:textId="159591AF" w:rsidR="00B62ABA" w:rsidRPr="001B0C81" w:rsidRDefault="002555BC" w:rsidP="001B0C81">
      <w:pPr>
        <w:pStyle w:val="Heading3"/>
      </w:pPr>
      <w:r w:rsidRPr="001B0C81">
        <w:t xml:space="preserve">The </w:t>
      </w:r>
      <w:r w:rsidR="00B62ABA" w:rsidRPr="001B0C81">
        <w:t>Charter of Aged Care Rights</w:t>
      </w:r>
    </w:p>
    <w:p w14:paraId="1E4D858A" w14:textId="77777777" w:rsidR="007A1898" w:rsidRDefault="007A1898">
      <w:pPr>
        <w:rPr>
          <w:rFonts w:cs="Arial"/>
          <w:szCs w:val="28"/>
          <w:u w:val="single"/>
        </w:rPr>
      </w:pPr>
    </w:p>
    <w:p w14:paraId="7539DFCA" w14:textId="77777777" w:rsidR="00DC65D9" w:rsidRDefault="002555BC">
      <w:r>
        <w:t>T</w:t>
      </w:r>
      <w:r w:rsidR="00EE7800">
        <w:t>he Charter</w:t>
      </w:r>
      <w:r w:rsidR="003D3162">
        <w:t xml:space="preserve">, which </w:t>
      </w:r>
      <w:r w:rsidR="009A2C46">
        <w:t xml:space="preserve">commenced on </w:t>
      </w:r>
      <w:r w:rsidR="00D72F4F" w:rsidRPr="003F6D37">
        <w:t>1 July 2019</w:t>
      </w:r>
      <w:r w:rsidR="009A2C46" w:rsidRPr="009A2C46">
        <w:t xml:space="preserve"> make</w:t>
      </w:r>
      <w:r w:rsidR="00A50D05">
        <w:t>s</w:t>
      </w:r>
      <w:r w:rsidR="009A2C46" w:rsidRPr="009A2C46">
        <w:t xml:space="preserve"> it easier for aged care consumers, their families and carers to understand what they can expect from an aged care service provider, regardless of whether they are in residential care or receiving care in the home. </w:t>
      </w:r>
    </w:p>
    <w:p w14:paraId="254C5518" w14:textId="484B3B8C" w:rsidR="002555BC" w:rsidRDefault="009A2C46">
      <w:r w:rsidRPr="009A2C46">
        <w:t xml:space="preserve">The Charter places the consumer at the centre of care by giving them choice and recognising their right to be treated with respect. It acknowledges that identity, culture and diversity are to be valued and supported. </w:t>
      </w:r>
    </w:p>
    <w:p w14:paraId="6ED01719" w14:textId="77777777" w:rsidR="002555BC" w:rsidRDefault="002555BC"/>
    <w:p w14:paraId="1F08AEA4" w14:textId="7C6951D5" w:rsidR="00B62ABA" w:rsidRPr="003F6D37" w:rsidRDefault="009A2C46">
      <w:r>
        <w:t xml:space="preserve">From </w:t>
      </w:r>
      <w:r w:rsidRPr="009A2C46">
        <w:t>1</w:t>
      </w:r>
      <w:r w:rsidR="00F13141">
        <w:t> </w:t>
      </w:r>
      <w:r w:rsidRPr="009A2C46">
        <w:t>July</w:t>
      </w:r>
      <w:r>
        <w:t xml:space="preserve"> 2019</w:t>
      </w:r>
      <w:r w:rsidRPr="009A2C46">
        <w:t xml:space="preserve">, providers </w:t>
      </w:r>
      <w:r>
        <w:t xml:space="preserve">are </w:t>
      </w:r>
      <w:r w:rsidRPr="009A2C46">
        <w:t>required to assist consumers to understand the new Charter and invite them to sign it. This provides an important opportunity for providers and consumers to enter into a partnership.</w:t>
      </w:r>
    </w:p>
    <w:p w14:paraId="2B208333" w14:textId="77777777" w:rsidR="00BA73AC" w:rsidRDefault="00BA73AC">
      <w:pPr>
        <w:rPr>
          <w:u w:val="single"/>
          <w:lang w:val="en"/>
        </w:rPr>
      </w:pPr>
    </w:p>
    <w:p w14:paraId="19560928" w14:textId="3EA0010F" w:rsidR="00B62ABA" w:rsidRDefault="002555BC" w:rsidP="001B0C81">
      <w:pPr>
        <w:pStyle w:val="Heading3"/>
        <w:rPr>
          <w:lang w:val="en"/>
        </w:rPr>
      </w:pPr>
      <w:r>
        <w:rPr>
          <w:lang w:val="en"/>
        </w:rPr>
        <w:t xml:space="preserve">The Aged Care Quality </w:t>
      </w:r>
      <w:r w:rsidR="00B62ABA">
        <w:rPr>
          <w:lang w:val="en"/>
        </w:rPr>
        <w:t>Standards</w:t>
      </w:r>
    </w:p>
    <w:p w14:paraId="14A9FDE7" w14:textId="77777777" w:rsidR="007A1898" w:rsidRDefault="007A1898">
      <w:pPr>
        <w:rPr>
          <w:u w:val="single"/>
          <w:lang w:val="en"/>
        </w:rPr>
      </w:pPr>
    </w:p>
    <w:p w14:paraId="587E4D80" w14:textId="2128BEB8" w:rsidR="00B62ABA" w:rsidRDefault="009A2C46">
      <w:r>
        <w:t>Th</w:t>
      </w:r>
      <w:r w:rsidR="00CA4B17">
        <w:t>e</w:t>
      </w:r>
      <w:r>
        <w:t xml:space="preserve"> </w:t>
      </w:r>
      <w:r w:rsidR="009608C6" w:rsidRPr="003F6D37">
        <w:t xml:space="preserve">Standards </w:t>
      </w:r>
      <w:r w:rsidR="00A33AFC">
        <w:t xml:space="preserve">commenced on </w:t>
      </w:r>
      <w:r w:rsidR="00B62ABA" w:rsidRPr="003F6D37">
        <w:t>1</w:t>
      </w:r>
      <w:r w:rsidR="00A33AFC">
        <w:t> </w:t>
      </w:r>
      <w:r w:rsidR="00B62ABA" w:rsidRPr="003F6D37">
        <w:t>July 2019</w:t>
      </w:r>
      <w:r w:rsidR="00A33AFC">
        <w:t xml:space="preserve"> and apply</w:t>
      </w:r>
      <w:r w:rsidR="00B62ABA" w:rsidRPr="003F6D37">
        <w:t xml:space="preserve"> to all aged care services including residential care, home care, flexible care and services under the Commonwealth Home Support Programme.</w:t>
      </w:r>
    </w:p>
    <w:p w14:paraId="00700564" w14:textId="77777777" w:rsidR="009A2C46" w:rsidRPr="003F6D37" w:rsidRDefault="009A2C46"/>
    <w:p w14:paraId="648B714B" w14:textId="77777777" w:rsidR="00B62ABA" w:rsidRPr="00E07E95" w:rsidRDefault="00B62ABA">
      <w:pPr>
        <w:rPr>
          <w:rFonts w:cs="Arial"/>
          <w:szCs w:val="28"/>
        </w:rPr>
      </w:pPr>
      <w:r w:rsidRPr="00E07E95">
        <w:rPr>
          <w:lang w:val="en"/>
        </w:rPr>
        <w:t>The</w:t>
      </w:r>
      <w:r>
        <w:rPr>
          <w:lang w:val="en"/>
        </w:rPr>
        <w:t>se</w:t>
      </w:r>
      <w:r w:rsidRPr="00E07E95">
        <w:rPr>
          <w:lang w:val="en"/>
        </w:rPr>
        <w:t xml:space="preserve"> Standards </w:t>
      </w:r>
      <w:r w:rsidRPr="00E07E95">
        <w:rPr>
          <w:rFonts w:cs="Arial"/>
          <w:szCs w:val="28"/>
        </w:rPr>
        <w:t>focus on quality outcomes for consumers. This make</w:t>
      </w:r>
      <w:r w:rsidR="00F13141">
        <w:rPr>
          <w:rFonts w:cs="Arial"/>
          <w:szCs w:val="28"/>
        </w:rPr>
        <w:t>s</w:t>
      </w:r>
      <w:r w:rsidRPr="00E07E95">
        <w:rPr>
          <w:rFonts w:cs="Arial"/>
          <w:szCs w:val="28"/>
        </w:rPr>
        <w:t xml:space="preserve"> it easier for consumers, their families, carers and representatives to understand what they can expect from a service.</w:t>
      </w:r>
    </w:p>
    <w:p w14:paraId="54862B47" w14:textId="77777777" w:rsidR="00B62ABA" w:rsidRPr="00E07E95" w:rsidRDefault="00B62ABA">
      <w:pPr>
        <w:rPr>
          <w:rFonts w:cs="Arial"/>
          <w:szCs w:val="28"/>
        </w:rPr>
      </w:pPr>
    </w:p>
    <w:p w14:paraId="3A3730B7" w14:textId="77777777" w:rsidR="00B62ABA" w:rsidRDefault="00B62ABA">
      <w:pPr>
        <w:rPr>
          <w:rFonts w:cs="Arial"/>
          <w:szCs w:val="28"/>
        </w:rPr>
      </w:pPr>
      <w:r w:rsidRPr="00E07E95">
        <w:rPr>
          <w:rFonts w:cs="Arial"/>
          <w:szCs w:val="28"/>
        </w:rPr>
        <w:lastRenderedPageBreak/>
        <w:t xml:space="preserve">Providers </w:t>
      </w:r>
      <w:r w:rsidR="00A33AFC">
        <w:rPr>
          <w:rFonts w:cs="Arial"/>
          <w:szCs w:val="28"/>
        </w:rPr>
        <w:t xml:space="preserve">are </w:t>
      </w:r>
      <w:r w:rsidRPr="00E07E95">
        <w:rPr>
          <w:rFonts w:cs="Arial"/>
          <w:szCs w:val="28"/>
        </w:rPr>
        <w:t>required to partner with consumers, and other</w:t>
      </w:r>
      <w:r w:rsidR="009608C6">
        <w:rPr>
          <w:rFonts w:cs="Arial"/>
          <w:szCs w:val="28"/>
        </w:rPr>
        <w:t xml:space="preserve"> people</w:t>
      </w:r>
      <w:r w:rsidRPr="00E07E95">
        <w:rPr>
          <w:rFonts w:cs="Arial"/>
          <w:szCs w:val="28"/>
        </w:rPr>
        <w:t xml:space="preserve"> consumers wish to involve, in the ongoing assessment and planning, delivery and review of the consumer’s care and services. </w:t>
      </w:r>
    </w:p>
    <w:p w14:paraId="7254A1DC" w14:textId="77777777" w:rsidR="00B62ABA" w:rsidRPr="003F6D37" w:rsidRDefault="00B62ABA">
      <w:pPr>
        <w:rPr>
          <w:rFonts w:cs="Arial"/>
          <w:szCs w:val="28"/>
        </w:rPr>
      </w:pPr>
    </w:p>
    <w:p w14:paraId="33D27CC5" w14:textId="2433A35E" w:rsidR="00B62ABA" w:rsidRDefault="00B62ABA">
      <w:pPr>
        <w:rPr>
          <w:rFonts w:cs="Arial"/>
          <w:szCs w:val="28"/>
        </w:rPr>
      </w:pPr>
      <w:r>
        <w:rPr>
          <w:rFonts w:cs="Arial"/>
          <w:szCs w:val="28"/>
        </w:rPr>
        <w:t>The Charter and Standards complement each other</w:t>
      </w:r>
      <w:r w:rsidR="009A2C46">
        <w:rPr>
          <w:rFonts w:cs="Arial"/>
          <w:szCs w:val="28"/>
        </w:rPr>
        <w:t xml:space="preserve"> in promoting a </w:t>
      </w:r>
      <w:r w:rsidR="009A2C46" w:rsidRPr="006A7555">
        <w:rPr>
          <w:lang w:val="en"/>
        </w:rPr>
        <w:t>consumer</w:t>
      </w:r>
      <w:r w:rsidR="00A50D05">
        <w:rPr>
          <w:lang w:val="en"/>
        </w:rPr>
        <w:t xml:space="preserve"> </w:t>
      </w:r>
      <w:r w:rsidR="002B0D3E">
        <w:rPr>
          <w:lang w:val="en"/>
        </w:rPr>
        <w:t>focus</w:t>
      </w:r>
      <w:r>
        <w:rPr>
          <w:rFonts w:cs="Arial"/>
          <w:szCs w:val="28"/>
        </w:rPr>
        <w:t xml:space="preserve">. </w:t>
      </w:r>
    </w:p>
    <w:p w14:paraId="6A9ADA98" w14:textId="77777777" w:rsidR="00EE7800" w:rsidRDefault="00EE7800">
      <w:pPr>
        <w:widowControl w:val="0"/>
        <w:rPr>
          <w:rFonts w:cs="Arial"/>
          <w:u w:val="single"/>
        </w:rPr>
      </w:pPr>
    </w:p>
    <w:p w14:paraId="2D09512F" w14:textId="77234FB2" w:rsidR="007A1898" w:rsidRDefault="002555BC" w:rsidP="001B0C81">
      <w:pPr>
        <w:pStyle w:val="Heading3"/>
      </w:pPr>
      <w:r>
        <w:t xml:space="preserve">The Aged Care Quality and Safety </w:t>
      </w:r>
      <w:r w:rsidR="00610798">
        <w:t>Commission</w:t>
      </w:r>
    </w:p>
    <w:p w14:paraId="597C33B7" w14:textId="77777777" w:rsidR="007A1898" w:rsidRDefault="007A1898">
      <w:pPr>
        <w:widowControl w:val="0"/>
        <w:rPr>
          <w:rFonts w:cs="Arial"/>
          <w:u w:val="single"/>
        </w:rPr>
      </w:pPr>
    </w:p>
    <w:p w14:paraId="00556376" w14:textId="000F49BE" w:rsidR="00492773" w:rsidRPr="003F6D37" w:rsidRDefault="00492773">
      <w:pPr>
        <w:rPr>
          <w:rFonts w:cs="Arial"/>
          <w:szCs w:val="28"/>
        </w:rPr>
      </w:pPr>
      <w:r w:rsidRPr="003F6D37">
        <w:rPr>
          <w:rFonts w:cs="Arial"/>
          <w:szCs w:val="28"/>
        </w:rPr>
        <w:t xml:space="preserve">The Commission was established on 1 January 2019. Combining the functions of </w:t>
      </w:r>
      <w:r w:rsidR="006329E1">
        <w:rPr>
          <w:rFonts w:cs="Arial"/>
          <w:szCs w:val="28"/>
        </w:rPr>
        <w:t xml:space="preserve">the former </w:t>
      </w:r>
      <w:r w:rsidR="005B32A8">
        <w:rPr>
          <w:rFonts w:cs="Arial"/>
          <w:szCs w:val="28"/>
        </w:rPr>
        <w:t xml:space="preserve">Australian </w:t>
      </w:r>
      <w:r w:rsidR="006329E1">
        <w:rPr>
          <w:rFonts w:cs="Arial"/>
          <w:szCs w:val="28"/>
        </w:rPr>
        <w:t xml:space="preserve">Aged </w:t>
      </w:r>
      <w:r w:rsidR="002B0D3E">
        <w:rPr>
          <w:rFonts w:cs="Arial"/>
          <w:szCs w:val="28"/>
        </w:rPr>
        <w:t>C</w:t>
      </w:r>
      <w:r w:rsidR="006329E1">
        <w:rPr>
          <w:rFonts w:cs="Arial"/>
          <w:szCs w:val="28"/>
        </w:rPr>
        <w:t xml:space="preserve">are Quality Agency </w:t>
      </w:r>
      <w:r w:rsidRPr="003F6D37">
        <w:rPr>
          <w:rFonts w:cs="Arial"/>
          <w:szCs w:val="28"/>
        </w:rPr>
        <w:t xml:space="preserve">and </w:t>
      </w:r>
      <w:r w:rsidR="006329E1">
        <w:rPr>
          <w:rFonts w:cs="Arial"/>
          <w:szCs w:val="28"/>
        </w:rPr>
        <w:t>the Aged Care C</w:t>
      </w:r>
      <w:r w:rsidRPr="003F6D37">
        <w:rPr>
          <w:rFonts w:cs="Arial"/>
          <w:szCs w:val="28"/>
        </w:rPr>
        <w:t xml:space="preserve">omplaints </w:t>
      </w:r>
      <w:r w:rsidR="006329E1">
        <w:rPr>
          <w:rFonts w:cs="Arial"/>
          <w:szCs w:val="28"/>
        </w:rPr>
        <w:t xml:space="preserve">Commissioner </w:t>
      </w:r>
      <w:r w:rsidRPr="003F6D37">
        <w:rPr>
          <w:rFonts w:cs="Arial"/>
          <w:szCs w:val="28"/>
        </w:rPr>
        <w:t xml:space="preserve">into one independent agency provides a single point of contact for consumers and supports better engagement on quality of care issues. </w:t>
      </w:r>
    </w:p>
    <w:p w14:paraId="66D54B1B" w14:textId="77777777" w:rsidR="00492773" w:rsidRPr="003F6D37" w:rsidRDefault="00492773">
      <w:pPr>
        <w:rPr>
          <w:rFonts w:cs="Arial"/>
          <w:szCs w:val="28"/>
        </w:rPr>
      </w:pPr>
    </w:p>
    <w:p w14:paraId="1FAF2F37" w14:textId="77777777" w:rsidR="00492773" w:rsidRPr="003F6D37" w:rsidRDefault="00492773">
      <w:pPr>
        <w:rPr>
          <w:rFonts w:cs="Arial"/>
          <w:szCs w:val="28"/>
        </w:rPr>
      </w:pPr>
      <w:r w:rsidRPr="003F6D37">
        <w:rPr>
          <w:rFonts w:cs="Arial"/>
          <w:szCs w:val="28"/>
        </w:rPr>
        <w:t xml:space="preserve">The Commission also has an explicit function and role to play in developing and promoting participative models for providers to engage and empower their consumers in co-design and continuous improvement of service delivery. </w:t>
      </w:r>
    </w:p>
    <w:p w14:paraId="1EB32221" w14:textId="77777777" w:rsidR="00492773" w:rsidRPr="003F6D37" w:rsidRDefault="00492773">
      <w:pPr>
        <w:rPr>
          <w:rFonts w:cs="Arial"/>
          <w:szCs w:val="28"/>
        </w:rPr>
      </w:pPr>
    </w:p>
    <w:p w14:paraId="59311AF6" w14:textId="1BA91E00" w:rsidR="00492773" w:rsidRPr="003F6D37" w:rsidRDefault="00492773">
      <w:pPr>
        <w:rPr>
          <w:rFonts w:cs="Arial"/>
          <w:szCs w:val="28"/>
        </w:rPr>
      </w:pPr>
      <w:r w:rsidRPr="003F6D37">
        <w:rPr>
          <w:rFonts w:cs="Arial"/>
          <w:szCs w:val="28"/>
        </w:rPr>
        <w:t xml:space="preserve">From January 2020, subject to legislative amendment, the </w:t>
      </w:r>
      <w:r w:rsidR="00431AC3" w:rsidRPr="003F6D37">
        <w:rPr>
          <w:rFonts w:cs="Arial"/>
          <w:szCs w:val="28"/>
        </w:rPr>
        <w:t>Commission</w:t>
      </w:r>
      <w:r w:rsidRPr="003F6D37">
        <w:rPr>
          <w:rFonts w:cs="Arial"/>
          <w:szCs w:val="28"/>
        </w:rPr>
        <w:t xml:space="preserve"> will incorporate the Departmen</w:t>
      </w:r>
      <w:r w:rsidR="002555BC">
        <w:rPr>
          <w:rFonts w:cs="Arial"/>
          <w:szCs w:val="28"/>
        </w:rPr>
        <w:t>t</w:t>
      </w:r>
      <w:r w:rsidRPr="003F6D37">
        <w:rPr>
          <w:rFonts w:cs="Arial"/>
          <w:szCs w:val="28"/>
        </w:rPr>
        <w:t xml:space="preserve">’s aged care </w:t>
      </w:r>
      <w:r w:rsidR="00A468EF" w:rsidRPr="003F6D37">
        <w:rPr>
          <w:rFonts w:cs="Arial"/>
          <w:szCs w:val="28"/>
        </w:rPr>
        <w:t>regulatory</w:t>
      </w:r>
      <w:r w:rsidRPr="003F6D37">
        <w:rPr>
          <w:rFonts w:cs="Arial"/>
          <w:szCs w:val="28"/>
        </w:rPr>
        <w:t xml:space="preserve"> responsibilities.</w:t>
      </w:r>
    </w:p>
    <w:p w14:paraId="4BE43A70" w14:textId="77777777" w:rsidR="00492773" w:rsidRPr="003F6D37" w:rsidRDefault="00492773">
      <w:pPr>
        <w:rPr>
          <w:rFonts w:cs="Arial"/>
          <w:szCs w:val="28"/>
        </w:rPr>
      </w:pPr>
    </w:p>
    <w:p w14:paraId="0DA2CA2F" w14:textId="77777777" w:rsidR="00492773" w:rsidRPr="003F6D37" w:rsidRDefault="00492773">
      <w:pPr>
        <w:rPr>
          <w:rFonts w:cs="Arial"/>
          <w:szCs w:val="28"/>
        </w:rPr>
      </w:pPr>
      <w:r w:rsidRPr="003F6D37">
        <w:rPr>
          <w:rFonts w:cs="Arial"/>
          <w:szCs w:val="28"/>
        </w:rPr>
        <w:t xml:space="preserve">The Commission’s regulatory approach recognises the importance of engaging with consumers, their families and carers, as well as consumer peak bodies and advocates in understanding outcomes for consumers of government funded aged care services and using this information to inform regulatory focus. </w:t>
      </w:r>
    </w:p>
    <w:p w14:paraId="39332B57" w14:textId="07BC16A5" w:rsidR="00492773" w:rsidRPr="003F6D37" w:rsidRDefault="00492773">
      <w:pPr>
        <w:rPr>
          <w:rFonts w:cs="Arial"/>
          <w:szCs w:val="28"/>
        </w:rPr>
      </w:pPr>
    </w:p>
    <w:p w14:paraId="7B128045" w14:textId="3E3B9CBF" w:rsidR="00492773" w:rsidRPr="003F6D37" w:rsidRDefault="00492773">
      <w:pPr>
        <w:rPr>
          <w:rFonts w:cs="Arial"/>
          <w:szCs w:val="28"/>
        </w:rPr>
      </w:pPr>
      <w:r w:rsidRPr="003F6D37">
        <w:rPr>
          <w:rFonts w:cs="Arial"/>
          <w:szCs w:val="28"/>
        </w:rPr>
        <w:t>Interviews with consumers and their families are integral to the Commission’s assessment of aged care service’s performance against the Standards. For ac</w:t>
      </w:r>
      <w:r w:rsidR="002555BC">
        <w:rPr>
          <w:rFonts w:cs="Arial"/>
          <w:szCs w:val="28"/>
        </w:rPr>
        <w:t>credited residential services, Consumer E</w:t>
      </w:r>
      <w:r w:rsidRPr="003F6D37">
        <w:rPr>
          <w:rFonts w:cs="Arial"/>
          <w:szCs w:val="28"/>
        </w:rPr>
        <w:t xml:space="preserve">xperience </w:t>
      </w:r>
      <w:r w:rsidR="002555BC">
        <w:rPr>
          <w:rFonts w:cs="Arial"/>
          <w:szCs w:val="28"/>
        </w:rPr>
        <w:t>R</w:t>
      </w:r>
      <w:r w:rsidR="00FC7E17">
        <w:rPr>
          <w:rFonts w:cs="Arial"/>
          <w:szCs w:val="28"/>
        </w:rPr>
        <w:t xml:space="preserve">eports </w:t>
      </w:r>
      <w:r w:rsidRPr="003F6D37">
        <w:rPr>
          <w:rFonts w:cs="Arial"/>
          <w:szCs w:val="28"/>
        </w:rPr>
        <w:t xml:space="preserve">provide greater transparency of the consumer experience of care. </w:t>
      </w:r>
    </w:p>
    <w:p w14:paraId="26FB7F38" w14:textId="77777777" w:rsidR="00093EAD" w:rsidRDefault="00093EAD" w:rsidP="00495FDF">
      <w:pPr>
        <w:rPr>
          <w:u w:val="single"/>
        </w:rPr>
      </w:pPr>
    </w:p>
    <w:p w14:paraId="30BF23A1" w14:textId="5D61391F" w:rsidR="00B62ABA" w:rsidRDefault="00B62ABA" w:rsidP="001B0C81">
      <w:pPr>
        <w:pStyle w:val="Heading3"/>
      </w:pPr>
      <w:r w:rsidRPr="00E1533A">
        <w:t>Open Disclosure Framework</w:t>
      </w:r>
    </w:p>
    <w:p w14:paraId="523C5722" w14:textId="77777777" w:rsidR="00CB19F2" w:rsidRDefault="00CB19F2">
      <w:pPr>
        <w:rPr>
          <w:rFonts w:cs="Arial"/>
          <w:szCs w:val="28"/>
        </w:rPr>
      </w:pPr>
    </w:p>
    <w:p w14:paraId="723AAFF5" w14:textId="77777777" w:rsidR="001A7D42" w:rsidRDefault="00B62ABA">
      <w:r w:rsidRPr="003F6D37">
        <w:rPr>
          <w:rFonts w:cs="Arial"/>
          <w:szCs w:val="28"/>
        </w:rPr>
        <w:t xml:space="preserve">An open disclosure framework </w:t>
      </w:r>
      <w:r w:rsidR="00016E00">
        <w:rPr>
          <w:rFonts w:cs="Arial"/>
          <w:szCs w:val="28"/>
        </w:rPr>
        <w:t>was published on the Commission’s website in June 2019</w:t>
      </w:r>
      <w:r w:rsidRPr="003F6D37">
        <w:rPr>
          <w:rFonts w:cs="Arial"/>
          <w:szCs w:val="28"/>
        </w:rPr>
        <w:t xml:space="preserve"> to assist the sector to meet the new Standards by encouraging providers to discuss adverse care-related incidents with care recipients and their families. Th</w:t>
      </w:r>
      <w:r w:rsidR="00BD7C83" w:rsidRPr="003F6D37">
        <w:rPr>
          <w:rFonts w:cs="Arial"/>
          <w:szCs w:val="28"/>
        </w:rPr>
        <w:t>is approach supports a consumer</w:t>
      </w:r>
      <w:r w:rsidR="00BD7C83" w:rsidRPr="003F6D37">
        <w:rPr>
          <w:rFonts w:cs="Arial"/>
          <w:szCs w:val="28"/>
        </w:rPr>
        <w:noBreakHyphen/>
      </w:r>
      <w:r w:rsidRPr="003F6D37">
        <w:rPr>
          <w:rFonts w:cs="Arial"/>
          <w:szCs w:val="28"/>
        </w:rPr>
        <w:t xml:space="preserve">centred approach to care and service improvement </w:t>
      </w:r>
      <w:r w:rsidR="005007F8" w:rsidRPr="003F6D37">
        <w:rPr>
          <w:rFonts w:cs="Arial"/>
          <w:szCs w:val="28"/>
        </w:rPr>
        <w:t xml:space="preserve">to </w:t>
      </w:r>
      <w:r w:rsidRPr="003F6D37">
        <w:rPr>
          <w:rFonts w:cs="Arial"/>
          <w:szCs w:val="28"/>
        </w:rPr>
        <w:t>assist consumers and their representatives.</w:t>
      </w:r>
      <w:r w:rsidR="003F6D37">
        <w:rPr>
          <w:rFonts w:cs="Arial"/>
          <w:szCs w:val="28"/>
        </w:rPr>
        <w:t xml:space="preserve"> </w:t>
      </w:r>
    </w:p>
    <w:p w14:paraId="7733179C" w14:textId="77777777" w:rsidR="007130C3" w:rsidRDefault="007130C3" w:rsidP="00834C0B">
      <w:pPr>
        <w:rPr>
          <w:u w:val="single"/>
        </w:rPr>
      </w:pPr>
    </w:p>
    <w:p w14:paraId="6D1F786A" w14:textId="77777777" w:rsidR="00834C0B" w:rsidRPr="001B0C81" w:rsidRDefault="00655392" w:rsidP="001B0C81">
      <w:pPr>
        <w:pStyle w:val="Heading3"/>
      </w:pPr>
      <w:r w:rsidRPr="001B0C81">
        <w:t>Greater tra</w:t>
      </w:r>
      <w:bookmarkStart w:id="0" w:name="_GoBack"/>
      <w:bookmarkEnd w:id="0"/>
      <w:r w:rsidRPr="001B0C81">
        <w:t>nsparency of quality in aged care</w:t>
      </w:r>
    </w:p>
    <w:p w14:paraId="6B5B7AA2" w14:textId="77777777" w:rsidR="00834C0B" w:rsidRDefault="00834C0B" w:rsidP="00834C0B"/>
    <w:p w14:paraId="2F7C8A12" w14:textId="77777777" w:rsidR="00834C0B" w:rsidRPr="006C1987" w:rsidRDefault="00834C0B" w:rsidP="006C1987">
      <w:pPr>
        <w:rPr>
          <w:rFonts w:cs="Arial"/>
          <w:szCs w:val="28"/>
        </w:rPr>
      </w:pPr>
      <w:r w:rsidRPr="006C1987">
        <w:rPr>
          <w:rFonts w:cs="Arial"/>
          <w:szCs w:val="28"/>
        </w:rPr>
        <w:t xml:space="preserve">Under the </w:t>
      </w:r>
      <w:r w:rsidR="000B1657" w:rsidRPr="00CC3F1C">
        <w:rPr>
          <w:rFonts w:cs="Arial"/>
          <w:szCs w:val="28"/>
        </w:rPr>
        <w:t>2018-19 Budget measure</w:t>
      </w:r>
      <w:r w:rsidR="000B1657">
        <w:rPr>
          <w:rFonts w:cs="Arial"/>
          <w:i/>
          <w:szCs w:val="28"/>
        </w:rPr>
        <w:t xml:space="preserve"> </w:t>
      </w:r>
      <w:r w:rsidRPr="006C1987">
        <w:rPr>
          <w:rFonts w:cs="Arial"/>
          <w:i/>
          <w:szCs w:val="28"/>
        </w:rPr>
        <w:t>Better quality of care – greater transparency of quality in aged care</w:t>
      </w:r>
      <w:r w:rsidRPr="006C1987">
        <w:rPr>
          <w:rFonts w:cs="Arial"/>
          <w:szCs w:val="28"/>
        </w:rPr>
        <w:t>, from July 2020, differentiated performance ratings of residential service providers will be published on the My Aged Care website, together with a tool to compare providers. Simplified, plain English accreditation reports will be published with the existing Consumer Experience Reports.</w:t>
      </w:r>
    </w:p>
    <w:p w14:paraId="57C999B2" w14:textId="77777777" w:rsidR="00834C0B" w:rsidRPr="00A354A1" w:rsidRDefault="00834C0B">
      <w:pPr>
        <w:rPr>
          <w:rFonts w:cs="Arial"/>
          <w:szCs w:val="28"/>
        </w:rPr>
      </w:pPr>
    </w:p>
    <w:sectPr w:rsidR="00834C0B" w:rsidRPr="00A354A1" w:rsidSect="00E1533A">
      <w:headerReference w:type="even" r:id="rId12"/>
      <w:headerReference w:type="default" r:id="rId13"/>
      <w:footerReference w:type="even" r:id="rId14"/>
      <w:footerReference w:type="default" r:id="rId15"/>
      <w:headerReference w:type="first" r:id="rId16"/>
      <w:footerReference w:type="first" r:id="rId17"/>
      <w:pgSz w:w="12240" w:h="15840"/>
      <w:pgMar w:top="1440" w:right="1797" w:bottom="993" w:left="1797" w:header="720" w:footer="745" w:gutter="0"/>
      <w:cols w:space="72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B4F45D" w16cid:durableId="1E78DE8D"/>
  <w16cid:commentId w16cid:paraId="38F9D316" w16cid:durableId="1E78D7D5"/>
  <w16cid:commentId w16cid:paraId="4F13911C" w16cid:durableId="1E78D6BF"/>
  <w16cid:commentId w16cid:paraId="34D32124" w16cid:durableId="1E78D7D6"/>
  <w16cid:commentId w16cid:paraId="11D1BB13" w16cid:durableId="1E78E1D2"/>
  <w16cid:commentId w16cid:paraId="3CB2B258" w16cid:durableId="1E78D6C0"/>
  <w16cid:commentId w16cid:paraId="5637EB72" w16cid:durableId="1E78D7D7"/>
  <w16cid:commentId w16cid:paraId="4AE78144" w16cid:durableId="1E78ED99"/>
  <w16cid:commentId w16cid:paraId="2A932E18" w16cid:durableId="1E78FA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232B8" w14:textId="77777777" w:rsidR="00A62D77" w:rsidRDefault="00A62D77">
      <w:r>
        <w:separator/>
      </w:r>
    </w:p>
  </w:endnote>
  <w:endnote w:type="continuationSeparator" w:id="0">
    <w:p w14:paraId="14687369" w14:textId="77777777" w:rsidR="00A62D77" w:rsidRDefault="00A62D77">
      <w:r>
        <w:continuationSeparator/>
      </w:r>
    </w:p>
  </w:endnote>
  <w:endnote w:type="continuationNotice" w:id="1">
    <w:p w14:paraId="1CE7C2EB" w14:textId="77777777" w:rsidR="00A62D77" w:rsidRDefault="00A62D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ndale WT">
    <w:altName w:val="Malgun Gothic Semilight"/>
    <w:charset w:val="80"/>
    <w:family w:val="swiss"/>
    <w:pitch w:val="variable"/>
    <w:sig w:usb0="00000000" w:usb1="E90F79FF" w:usb2="00000018" w:usb3="00000000" w:csb0="001F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45 Light">
    <w:altName w:val="Cambria"/>
    <w:charset w:val="00"/>
    <w:family w:val="auto"/>
    <w:pitch w:val="variable"/>
    <w:sig w:usb0="80000023" w:usb1="00000000" w:usb2="00000000" w:usb3="00000000" w:csb0="00000001" w:csb1="00000000"/>
  </w:font>
  <w:font w:name="Arial Bold">
    <w:panose1 w:val="020B07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59AAD" w14:textId="77777777" w:rsidR="001B313A" w:rsidRDefault="001B31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7932145"/>
      <w:docPartObj>
        <w:docPartGallery w:val="Page Numbers (Bottom of Page)"/>
        <w:docPartUnique/>
      </w:docPartObj>
    </w:sdtPr>
    <w:sdtEndPr>
      <w:rPr>
        <w:noProof/>
      </w:rPr>
    </w:sdtEndPr>
    <w:sdtContent>
      <w:p w14:paraId="02E36A1F" w14:textId="0D1BAA58" w:rsidR="00876F97" w:rsidRDefault="00876F97">
        <w:pPr>
          <w:pStyle w:val="Footer"/>
          <w:jc w:val="right"/>
        </w:pPr>
        <w:r>
          <w:fldChar w:fldCharType="begin"/>
        </w:r>
        <w:r>
          <w:instrText xml:space="preserve"> PAGE   \* MERGEFORMAT </w:instrText>
        </w:r>
        <w:r>
          <w:fldChar w:fldCharType="separate"/>
        </w:r>
        <w:r w:rsidR="00F853EA">
          <w:rPr>
            <w:noProof/>
          </w:rPr>
          <w:t>14</w:t>
        </w:r>
        <w:r>
          <w:rPr>
            <w:noProof/>
          </w:rPr>
          <w:fldChar w:fldCharType="end"/>
        </w:r>
      </w:p>
    </w:sdtContent>
  </w:sdt>
  <w:p w14:paraId="696AE321" w14:textId="77777777" w:rsidR="00876F97" w:rsidRPr="00467BD0" w:rsidRDefault="00876F97" w:rsidP="005A339D">
    <w:pPr>
      <w:pStyle w:val="Footer"/>
      <w:jc w:val="center"/>
      <w:rPr>
        <w:rFonts w:ascii="Arial Narrow" w:hAnsi="Arial Narrow"/>
        <w:b/>
        <w:sz w:val="32"/>
        <w:szCs w:val="3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CBF9D" w14:textId="77777777" w:rsidR="001B313A" w:rsidRDefault="001B31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EF2FA" w14:textId="77777777" w:rsidR="00A62D77" w:rsidRDefault="00A62D77">
      <w:r>
        <w:separator/>
      </w:r>
    </w:p>
  </w:footnote>
  <w:footnote w:type="continuationSeparator" w:id="0">
    <w:p w14:paraId="326242A3" w14:textId="77777777" w:rsidR="00A62D77" w:rsidRDefault="00A62D77">
      <w:r>
        <w:continuationSeparator/>
      </w:r>
    </w:p>
  </w:footnote>
  <w:footnote w:type="continuationNotice" w:id="1">
    <w:p w14:paraId="5577051D" w14:textId="77777777" w:rsidR="00A62D77" w:rsidRDefault="00A62D77"/>
  </w:footnote>
  <w:footnote w:id="2">
    <w:p w14:paraId="69B1EE3C" w14:textId="77777777" w:rsidR="003675BE" w:rsidRDefault="003675BE" w:rsidP="003675BE">
      <w:pPr>
        <w:pStyle w:val="FootnoteText"/>
      </w:pPr>
      <w:r>
        <w:rPr>
          <w:rStyle w:val="FootnoteReference"/>
        </w:rPr>
        <w:footnoteRef/>
      </w:r>
      <w:r>
        <w:t xml:space="preserve"> Page 22 </w:t>
      </w:r>
      <w:hyperlink r:id="rId1" w:history="1">
        <w:r w:rsidRPr="00CB19F2">
          <w:rPr>
            <w:rStyle w:val="Hyperlink"/>
            <w:color w:val="auto"/>
          </w:rPr>
          <w:t>https://www.budget.gov.au/2019-20/content/bp1/index.htm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664AA" w14:textId="252FB0DA" w:rsidR="001B313A" w:rsidRDefault="001B31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C7279" w14:textId="31A056B1" w:rsidR="001B313A" w:rsidRDefault="001B31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B0587" w14:textId="1119C88E" w:rsidR="001B313A" w:rsidRDefault="001B31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67AA6EA"/>
    <w:lvl w:ilvl="0">
      <w:start w:val="1"/>
      <w:numFmt w:val="bullet"/>
      <w:pStyle w:val="ListBullet2"/>
      <w:lvlText w:val="–"/>
      <w:lvlJc w:val="left"/>
      <w:pPr>
        <w:ind w:left="643" w:hanging="360"/>
      </w:pPr>
      <w:rPr>
        <w:rFonts w:ascii="Arial" w:hAnsi="Arial" w:hint="default"/>
        <w:sz w:val="20"/>
      </w:rPr>
    </w:lvl>
  </w:abstractNum>
  <w:abstractNum w:abstractNumId="1" w15:restartNumberingAfterBreak="0">
    <w:nsid w:val="00E20DC2"/>
    <w:multiLevelType w:val="hybridMultilevel"/>
    <w:tmpl w:val="09EE38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019024E1"/>
    <w:multiLevelType w:val="hybridMultilevel"/>
    <w:tmpl w:val="9ED24E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38F424C"/>
    <w:multiLevelType w:val="hybridMultilevel"/>
    <w:tmpl w:val="2912E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9164C2"/>
    <w:multiLevelType w:val="hybridMultilevel"/>
    <w:tmpl w:val="CAE08C50"/>
    <w:lvl w:ilvl="0" w:tplc="C458210C">
      <w:start w:val="1"/>
      <w:numFmt w:val="lowerRoman"/>
      <w:lvlText w:val="(%1)"/>
      <w:lvlJc w:val="left"/>
      <w:pPr>
        <w:ind w:left="780" w:hanging="360"/>
      </w:pPr>
      <w:rPr>
        <w:rFont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07CC5AFD"/>
    <w:multiLevelType w:val="hybridMultilevel"/>
    <w:tmpl w:val="80106384"/>
    <w:lvl w:ilvl="0" w:tplc="28827940">
      <w:start w:val="1"/>
      <w:numFmt w:val="lowerLetter"/>
      <w:lvlText w:val="(%1)"/>
      <w:lvlJc w:val="left"/>
      <w:pPr>
        <w:ind w:left="780" w:hanging="360"/>
      </w:pPr>
      <w:rPr>
        <w:rFonts w:hint="default"/>
        <w:b w:val="0"/>
        <w:sz w:val="22"/>
        <w:szCs w:val="22"/>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0ADE0631"/>
    <w:multiLevelType w:val="hybridMultilevel"/>
    <w:tmpl w:val="6324D2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F741513"/>
    <w:multiLevelType w:val="hybridMultilevel"/>
    <w:tmpl w:val="A7FE63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56B681D"/>
    <w:multiLevelType w:val="hybridMultilevel"/>
    <w:tmpl w:val="D7DEDE4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1E574D2"/>
    <w:multiLevelType w:val="hybridMultilevel"/>
    <w:tmpl w:val="D7BAA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9B78B9"/>
    <w:multiLevelType w:val="hybridMultilevel"/>
    <w:tmpl w:val="5BDA1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0345F2"/>
    <w:multiLevelType w:val="multilevel"/>
    <w:tmpl w:val="3328D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4C312E"/>
    <w:multiLevelType w:val="hybridMultilevel"/>
    <w:tmpl w:val="F88482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E3B1A7E"/>
    <w:multiLevelType w:val="hybridMultilevel"/>
    <w:tmpl w:val="F5881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177407C"/>
    <w:multiLevelType w:val="multilevel"/>
    <w:tmpl w:val="2F44C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B91432"/>
    <w:multiLevelType w:val="hybridMultilevel"/>
    <w:tmpl w:val="08367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37197A"/>
    <w:multiLevelType w:val="hybridMultilevel"/>
    <w:tmpl w:val="117AB2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48655C1"/>
    <w:multiLevelType w:val="hybridMultilevel"/>
    <w:tmpl w:val="B7E2D94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E3A21A2"/>
    <w:multiLevelType w:val="hybridMultilevel"/>
    <w:tmpl w:val="A148EA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2DE207F"/>
    <w:multiLevelType w:val="hybridMultilevel"/>
    <w:tmpl w:val="B6F0C2F4"/>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360" w:hanging="360"/>
      </w:pPr>
      <w:rPr>
        <w:rFonts w:ascii="Courier New" w:hAnsi="Courier New" w:cs="Courier New" w:hint="default"/>
      </w:rPr>
    </w:lvl>
    <w:lvl w:ilvl="2" w:tplc="0C090005">
      <w:start w:val="1"/>
      <w:numFmt w:val="bullet"/>
      <w:lvlText w:val=""/>
      <w:lvlJc w:val="left"/>
      <w:pPr>
        <w:ind w:left="1080" w:hanging="360"/>
      </w:pPr>
      <w:rPr>
        <w:rFonts w:ascii="Wingdings" w:hAnsi="Wingdings" w:hint="default"/>
      </w:rPr>
    </w:lvl>
    <w:lvl w:ilvl="3" w:tplc="0C090001">
      <w:start w:val="1"/>
      <w:numFmt w:val="bullet"/>
      <w:lvlText w:val=""/>
      <w:lvlJc w:val="left"/>
      <w:pPr>
        <w:ind w:left="1800" w:hanging="360"/>
      </w:pPr>
      <w:rPr>
        <w:rFonts w:ascii="Symbol" w:hAnsi="Symbol" w:hint="default"/>
      </w:rPr>
    </w:lvl>
    <w:lvl w:ilvl="4" w:tplc="0C090003">
      <w:start w:val="1"/>
      <w:numFmt w:val="bullet"/>
      <w:lvlText w:val="o"/>
      <w:lvlJc w:val="left"/>
      <w:pPr>
        <w:ind w:left="2520" w:hanging="360"/>
      </w:pPr>
      <w:rPr>
        <w:rFonts w:ascii="Courier New" w:hAnsi="Courier New" w:cs="Courier New" w:hint="default"/>
      </w:rPr>
    </w:lvl>
    <w:lvl w:ilvl="5" w:tplc="0C090005">
      <w:start w:val="1"/>
      <w:numFmt w:val="bullet"/>
      <w:lvlText w:val=""/>
      <w:lvlJc w:val="left"/>
      <w:pPr>
        <w:ind w:left="3240" w:hanging="360"/>
      </w:pPr>
      <w:rPr>
        <w:rFonts w:ascii="Wingdings" w:hAnsi="Wingdings" w:hint="default"/>
      </w:rPr>
    </w:lvl>
    <w:lvl w:ilvl="6" w:tplc="0C090001">
      <w:start w:val="1"/>
      <w:numFmt w:val="bullet"/>
      <w:lvlText w:val=""/>
      <w:lvlJc w:val="left"/>
      <w:pPr>
        <w:ind w:left="3960" w:hanging="360"/>
      </w:pPr>
      <w:rPr>
        <w:rFonts w:ascii="Symbol" w:hAnsi="Symbol" w:hint="default"/>
      </w:rPr>
    </w:lvl>
    <w:lvl w:ilvl="7" w:tplc="0C090003">
      <w:start w:val="1"/>
      <w:numFmt w:val="bullet"/>
      <w:lvlText w:val="o"/>
      <w:lvlJc w:val="left"/>
      <w:pPr>
        <w:ind w:left="4680" w:hanging="360"/>
      </w:pPr>
      <w:rPr>
        <w:rFonts w:ascii="Courier New" w:hAnsi="Courier New" w:cs="Courier New" w:hint="default"/>
      </w:rPr>
    </w:lvl>
    <w:lvl w:ilvl="8" w:tplc="0C090005">
      <w:start w:val="1"/>
      <w:numFmt w:val="bullet"/>
      <w:lvlText w:val=""/>
      <w:lvlJc w:val="left"/>
      <w:pPr>
        <w:ind w:left="5400" w:hanging="360"/>
      </w:pPr>
      <w:rPr>
        <w:rFonts w:ascii="Wingdings" w:hAnsi="Wingdings" w:hint="default"/>
      </w:rPr>
    </w:lvl>
  </w:abstractNum>
  <w:abstractNum w:abstractNumId="20" w15:restartNumberingAfterBreak="0">
    <w:nsid w:val="65456429"/>
    <w:multiLevelType w:val="multilevel"/>
    <w:tmpl w:val="EFF2BE7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lvl>
    <w:lvl w:ilvl="2">
      <w:start w:val="1"/>
      <w:numFmt w:val="lowerRoman"/>
      <w:pStyle w:val="ListNumber3"/>
      <w:lvlText w:val="%3."/>
      <w:lvlJc w:val="left"/>
      <w:pPr>
        <w:ind w:left="1107" w:hanging="369"/>
      </w:pPr>
    </w:lvl>
    <w:lvl w:ilvl="3">
      <w:start w:val="1"/>
      <w:numFmt w:val="none"/>
      <w:pStyle w:val="ListNumber4"/>
      <w:lvlText w:val="%4"/>
      <w:lvlJc w:val="left"/>
      <w:pPr>
        <w:ind w:left="1476" w:hanging="369"/>
      </w:pPr>
    </w:lvl>
    <w:lvl w:ilvl="4">
      <w:start w:val="1"/>
      <w:numFmt w:val="none"/>
      <w:pStyle w:val="ListNumber5"/>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21" w15:restartNumberingAfterBreak="0">
    <w:nsid w:val="696D3F67"/>
    <w:multiLevelType w:val="hybridMultilevel"/>
    <w:tmpl w:val="37504A9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6C554007"/>
    <w:multiLevelType w:val="hybridMultilevel"/>
    <w:tmpl w:val="1DE2A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CB5C25"/>
    <w:multiLevelType w:val="hybridMultilevel"/>
    <w:tmpl w:val="A4083D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73A55300"/>
    <w:multiLevelType w:val="hybridMultilevel"/>
    <w:tmpl w:val="DE34FC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76E74A79"/>
    <w:multiLevelType w:val="hybridMultilevel"/>
    <w:tmpl w:val="75F4764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72635A5"/>
    <w:multiLevelType w:val="hybridMultilevel"/>
    <w:tmpl w:val="7C4ABDD8"/>
    <w:lvl w:ilvl="0" w:tplc="080AEC2C">
      <w:start w:val="1"/>
      <w:numFmt w:val="bullet"/>
      <w:lvlText w:val=""/>
      <w:lvlJc w:val="left"/>
      <w:pPr>
        <w:ind w:left="360" w:hanging="360"/>
      </w:pPr>
      <w:rPr>
        <w:rFonts w:ascii="Symbol" w:hAnsi="Symbol" w:hint="default"/>
      </w:rPr>
    </w:lvl>
    <w:lvl w:ilvl="1" w:tplc="0E9AA43A">
      <w:start w:val="1"/>
      <w:numFmt w:val="bullet"/>
      <w:lvlText w:val="o"/>
      <w:lvlJc w:val="left"/>
      <w:pPr>
        <w:ind w:left="1440" w:hanging="360"/>
      </w:pPr>
      <w:rPr>
        <w:rFonts w:ascii="Courier New" w:hAnsi="Courier New" w:cs="Courier New" w:hint="default"/>
      </w:rPr>
    </w:lvl>
    <w:lvl w:ilvl="2" w:tplc="F790D63A" w:tentative="1">
      <w:start w:val="1"/>
      <w:numFmt w:val="bullet"/>
      <w:lvlText w:val=""/>
      <w:lvlJc w:val="left"/>
      <w:pPr>
        <w:ind w:left="2160" w:hanging="360"/>
      </w:pPr>
      <w:rPr>
        <w:rFonts w:ascii="Wingdings" w:hAnsi="Wingdings" w:hint="default"/>
      </w:rPr>
    </w:lvl>
    <w:lvl w:ilvl="3" w:tplc="FB46674C" w:tentative="1">
      <w:start w:val="1"/>
      <w:numFmt w:val="bullet"/>
      <w:lvlText w:val=""/>
      <w:lvlJc w:val="left"/>
      <w:pPr>
        <w:ind w:left="2880" w:hanging="360"/>
      </w:pPr>
      <w:rPr>
        <w:rFonts w:ascii="Symbol" w:hAnsi="Symbol" w:hint="default"/>
      </w:rPr>
    </w:lvl>
    <w:lvl w:ilvl="4" w:tplc="390A9A6A" w:tentative="1">
      <w:start w:val="1"/>
      <w:numFmt w:val="bullet"/>
      <w:lvlText w:val="o"/>
      <w:lvlJc w:val="left"/>
      <w:pPr>
        <w:ind w:left="3600" w:hanging="360"/>
      </w:pPr>
      <w:rPr>
        <w:rFonts w:ascii="Courier New" w:hAnsi="Courier New" w:cs="Courier New" w:hint="default"/>
      </w:rPr>
    </w:lvl>
    <w:lvl w:ilvl="5" w:tplc="5CF81024" w:tentative="1">
      <w:start w:val="1"/>
      <w:numFmt w:val="bullet"/>
      <w:lvlText w:val=""/>
      <w:lvlJc w:val="left"/>
      <w:pPr>
        <w:ind w:left="4320" w:hanging="360"/>
      </w:pPr>
      <w:rPr>
        <w:rFonts w:ascii="Wingdings" w:hAnsi="Wingdings" w:hint="default"/>
      </w:rPr>
    </w:lvl>
    <w:lvl w:ilvl="6" w:tplc="9C68D00A" w:tentative="1">
      <w:start w:val="1"/>
      <w:numFmt w:val="bullet"/>
      <w:lvlText w:val=""/>
      <w:lvlJc w:val="left"/>
      <w:pPr>
        <w:ind w:left="5040" w:hanging="360"/>
      </w:pPr>
      <w:rPr>
        <w:rFonts w:ascii="Symbol" w:hAnsi="Symbol" w:hint="default"/>
      </w:rPr>
    </w:lvl>
    <w:lvl w:ilvl="7" w:tplc="897CF660" w:tentative="1">
      <w:start w:val="1"/>
      <w:numFmt w:val="bullet"/>
      <w:lvlText w:val="o"/>
      <w:lvlJc w:val="left"/>
      <w:pPr>
        <w:ind w:left="5760" w:hanging="360"/>
      </w:pPr>
      <w:rPr>
        <w:rFonts w:ascii="Courier New" w:hAnsi="Courier New" w:cs="Courier New" w:hint="default"/>
      </w:rPr>
    </w:lvl>
    <w:lvl w:ilvl="8" w:tplc="424CB1FE" w:tentative="1">
      <w:start w:val="1"/>
      <w:numFmt w:val="bullet"/>
      <w:lvlText w:val=""/>
      <w:lvlJc w:val="left"/>
      <w:pPr>
        <w:ind w:left="6480" w:hanging="360"/>
      </w:pPr>
      <w:rPr>
        <w:rFonts w:ascii="Wingdings" w:hAnsi="Wingdings" w:hint="default"/>
      </w:rPr>
    </w:lvl>
  </w:abstractNum>
  <w:abstractNum w:abstractNumId="27" w15:restartNumberingAfterBreak="0">
    <w:nsid w:val="7F0529C0"/>
    <w:multiLevelType w:val="hybridMultilevel"/>
    <w:tmpl w:val="A9EA26D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FE300E1"/>
    <w:multiLevelType w:val="hybridMultilevel"/>
    <w:tmpl w:val="A7BA24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3"/>
  </w:num>
  <w:num w:numId="5">
    <w:abstractNumId w:val="28"/>
  </w:num>
  <w:num w:numId="6">
    <w:abstractNumId w:val="6"/>
  </w:num>
  <w:num w:numId="7">
    <w:abstractNumId w:val="24"/>
  </w:num>
  <w:num w:numId="8">
    <w:abstractNumId w:val="17"/>
  </w:num>
  <w:num w:numId="9">
    <w:abstractNumId w:val="9"/>
  </w:num>
  <w:num w:numId="10">
    <w:abstractNumId w:val="25"/>
  </w:num>
  <w:num w:numId="11">
    <w:abstractNumId w:val="26"/>
  </w:num>
  <w:num w:numId="12">
    <w:abstractNumId w:val="23"/>
  </w:num>
  <w:num w:numId="13">
    <w:abstractNumId w:val="7"/>
  </w:num>
  <w:num w:numId="14">
    <w:abstractNumId w:val="1"/>
  </w:num>
  <w:num w:numId="15">
    <w:abstractNumId w:val="19"/>
  </w:num>
  <w:num w:numId="16">
    <w:abstractNumId w:val="15"/>
  </w:num>
  <w:num w:numId="17">
    <w:abstractNumId w:val="12"/>
  </w:num>
  <w:num w:numId="18">
    <w:abstractNumId w:val="18"/>
  </w:num>
  <w:num w:numId="19">
    <w:abstractNumId w:val="4"/>
  </w:num>
  <w:num w:numId="20">
    <w:abstractNumId w:val="5"/>
  </w:num>
  <w:num w:numId="21">
    <w:abstractNumId w:val="14"/>
  </w:num>
  <w:num w:numId="22">
    <w:abstractNumId w:val="22"/>
  </w:num>
  <w:num w:numId="23">
    <w:abstractNumId w:val="2"/>
  </w:num>
  <w:num w:numId="24">
    <w:abstractNumId w:val="21"/>
  </w:num>
  <w:num w:numId="25">
    <w:abstractNumId w:val="21"/>
  </w:num>
  <w:num w:numId="26">
    <w:abstractNumId w:val="27"/>
  </w:num>
  <w:num w:numId="27">
    <w:abstractNumId w:val="16"/>
  </w:num>
  <w:num w:numId="28">
    <w:abstractNumId w:val="3"/>
  </w:num>
  <w:num w:numId="29">
    <w:abstractNumId w:val="10"/>
  </w:num>
  <w:num w:numId="30">
    <w:abstractNumId w:val="11"/>
  </w:num>
  <w:num w:numId="31">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14B"/>
    <w:rsid w:val="00000226"/>
    <w:rsid w:val="00000367"/>
    <w:rsid w:val="00000A60"/>
    <w:rsid w:val="0000345F"/>
    <w:rsid w:val="00004508"/>
    <w:rsid w:val="00004750"/>
    <w:rsid w:val="00005E97"/>
    <w:rsid w:val="00006F82"/>
    <w:rsid w:val="00007ABD"/>
    <w:rsid w:val="000107D4"/>
    <w:rsid w:val="00011322"/>
    <w:rsid w:val="00011F81"/>
    <w:rsid w:val="00012F22"/>
    <w:rsid w:val="00012F78"/>
    <w:rsid w:val="0001357F"/>
    <w:rsid w:val="00014498"/>
    <w:rsid w:val="00014511"/>
    <w:rsid w:val="0001498F"/>
    <w:rsid w:val="00015BE3"/>
    <w:rsid w:val="00016E00"/>
    <w:rsid w:val="000231C4"/>
    <w:rsid w:val="000256A3"/>
    <w:rsid w:val="00025A5F"/>
    <w:rsid w:val="0002672F"/>
    <w:rsid w:val="00026B8B"/>
    <w:rsid w:val="000302C9"/>
    <w:rsid w:val="00031874"/>
    <w:rsid w:val="0003293A"/>
    <w:rsid w:val="00033CDC"/>
    <w:rsid w:val="00033EC2"/>
    <w:rsid w:val="00034153"/>
    <w:rsid w:val="0003514B"/>
    <w:rsid w:val="000357E1"/>
    <w:rsid w:val="000373E4"/>
    <w:rsid w:val="00037831"/>
    <w:rsid w:val="00037D15"/>
    <w:rsid w:val="00040DAB"/>
    <w:rsid w:val="000416A5"/>
    <w:rsid w:val="00041A2E"/>
    <w:rsid w:val="0004238C"/>
    <w:rsid w:val="00043C11"/>
    <w:rsid w:val="00044FB6"/>
    <w:rsid w:val="00046C90"/>
    <w:rsid w:val="00047DC2"/>
    <w:rsid w:val="000511DE"/>
    <w:rsid w:val="000531B4"/>
    <w:rsid w:val="000539D0"/>
    <w:rsid w:val="000541E3"/>
    <w:rsid w:val="00054D73"/>
    <w:rsid w:val="00055A53"/>
    <w:rsid w:val="00055D92"/>
    <w:rsid w:val="00056E89"/>
    <w:rsid w:val="00056FA5"/>
    <w:rsid w:val="00060052"/>
    <w:rsid w:val="00060AC2"/>
    <w:rsid w:val="00061827"/>
    <w:rsid w:val="00062112"/>
    <w:rsid w:val="0006300D"/>
    <w:rsid w:val="00063434"/>
    <w:rsid w:val="000637A3"/>
    <w:rsid w:val="00063EB5"/>
    <w:rsid w:val="00063F4E"/>
    <w:rsid w:val="000647A5"/>
    <w:rsid w:val="00064D84"/>
    <w:rsid w:val="0006772B"/>
    <w:rsid w:val="0007045B"/>
    <w:rsid w:val="000704CB"/>
    <w:rsid w:val="000725B7"/>
    <w:rsid w:val="000729D8"/>
    <w:rsid w:val="00072E3D"/>
    <w:rsid w:val="000741AE"/>
    <w:rsid w:val="00074B3D"/>
    <w:rsid w:val="00075384"/>
    <w:rsid w:val="0007568F"/>
    <w:rsid w:val="0007671C"/>
    <w:rsid w:val="000767E7"/>
    <w:rsid w:val="00080767"/>
    <w:rsid w:val="00080773"/>
    <w:rsid w:val="000817FC"/>
    <w:rsid w:val="00081C5C"/>
    <w:rsid w:val="0008215E"/>
    <w:rsid w:val="00082604"/>
    <w:rsid w:val="00083E45"/>
    <w:rsid w:val="00083FE3"/>
    <w:rsid w:val="00084607"/>
    <w:rsid w:val="00084B08"/>
    <w:rsid w:val="000856CC"/>
    <w:rsid w:val="000876C1"/>
    <w:rsid w:val="00087DE9"/>
    <w:rsid w:val="00087E9F"/>
    <w:rsid w:val="00087FAC"/>
    <w:rsid w:val="0009028A"/>
    <w:rsid w:val="0009176E"/>
    <w:rsid w:val="00092932"/>
    <w:rsid w:val="00092F2E"/>
    <w:rsid w:val="00093555"/>
    <w:rsid w:val="0009372D"/>
    <w:rsid w:val="00093EAD"/>
    <w:rsid w:val="00096260"/>
    <w:rsid w:val="000A1199"/>
    <w:rsid w:val="000A1234"/>
    <w:rsid w:val="000A16D5"/>
    <w:rsid w:val="000A19B7"/>
    <w:rsid w:val="000A1EAB"/>
    <w:rsid w:val="000A279E"/>
    <w:rsid w:val="000A2990"/>
    <w:rsid w:val="000A3116"/>
    <w:rsid w:val="000A345A"/>
    <w:rsid w:val="000A432C"/>
    <w:rsid w:val="000A4ADF"/>
    <w:rsid w:val="000A50E7"/>
    <w:rsid w:val="000A56C1"/>
    <w:rsid w:val="000A677A"/>
    <w:rsid w:val="000A6A14"/>
    <w:rsid w:val="000A6F3B"/>
    <w:rsid w:val="000A7702"/>
    <w:rsid w:val="000A7E1C"/>
    <w:rsid w:val="000A7E4E"/>
    <w:rsid w:val="000B09E5"/>
    <w:rsid w:val="000B128B"/>
    <w:rsid w:val="000B1657"/>
    <w:rsid w:val="000B1ADD"/>
    <w:rsid w:val="000B1B41"/>
    <w:rsid w:val="000B23C3"/>
    <w:rsid w:val="000B478D"/>
    <w:rsid w:val="000B549F"/>
    <w:rsid w:val="000B60BD"/>
    <w:rsid w:val="000B7ED5"/>
    <w:rsid w:val="000C0863"/>
    <w:rsid w:val="000C0D35"/>
    <w:rsid w:val="000C2950"/>
    <w:rsid w:val="000C2C70"/>
    <w:rsid w:val="000C5351"/>
    <w:rsid w:val="000C5FEC"/>
    <w:rsid w:val="000C6129"/>
    <w:rsid w:val="000C7C9E"/>
    <w:rsid w:val="000D260F"/>
    <w:rsid w:val="000D2B35"/>
    <w:rsid w:val="000D2BC7"/>
    <w:rsid w:val="000D352C"/>
    <w:rsid w:val="000D411D"/>
    <w:rsid w:val="000E0330"/>
    <w:rsid w:val="000E07E0"/>
    <w:rsid w:val="000E0AEF"/>
    <w:rsid w:val="000E0DB5"/>
    <w:rsid w:val="000E0DE9"/>
    <w:rsid w:val="000E124A"/>
    <w:rsid w:val="000E2057"/>
    <w:rsid w:val="000E282D"/>
    <w:rsid w:val="000E2A12"/>
    <w:rsid w:val="000E4224"/>
    <w:rsid w:val="000E450F"/>
    <w:rsid w:val="000E470D"/>
    <w:rsid w:val="000E5B0E"/>
    <w:rsid w:val="000E6212"/>
    <w:rsid w:val="000E63C6"/>
    <w:rsid w:val="000E7F9A"/>
    <w:rsid w:val="000F0F0E"/>
    <w:rsid w:val="000F1478"/>
    <w:rsid w:val="000F14B9"/>
    <w:rsid w:val="000F2233"/>
    <w:rsid w:val="000F279D"/>
    <w:rsid w:val="000F37F3"/>
    <w:rsid w:val="000F380E"/>
    <w:rsid w:val="000F3CC9"/>
    <w:rsid w:val="000F3F2C"/>
    <w:rsid w:val="000F40B2"/>
    <w:rsid w:val="000F4923"/>
    <w:rsid w:val="000F4E8A"/>
    <w:rsid w:val="000F56C0"/>
    <w:rsid w:val="000F5746"/>
    <w:rsid w:val="000F5E4C"/>
    <w:rsid w:val="000F6424"/>
    <w:rsid w:val="000F65B4"/>
    <w:rsid w:val="000F689F"/>
    <w:rsid w:val="000F7CEB"/>
    <w:rsid w:val="000F7D9F"/>
    <w:rsid w:val="00100919"/>
    <w:rsid w:val="00100C0E"/>
    <w:rsid w:val="00100DD1"/>
    <w:rsid w:val="00100F46"/>
    <w:rsid w:val="0010101F"/>
    <w:rsid w:val="0010361F"/>
    <w:rsid w:val="0010375E"/>
    <w:rsid w:val="0010401E"/>
    <w:rsid w:val="001065F8"/>
    <w:rsid w:val="001077E9"/>
    <w:rsid w:val="001113A8"/>
    <w:rsid w:val="001115F0"/>
    <w:rsid w:val="001120A5"/>
    <w:rsid w:val="00112827"/>
    <w:rsid w:val="00113AD1"/>
    <w:rsid w:val="00114492"/>
    <w:rsid w:val="00114BC0"/>
    <w:rsid w:val="00114C8A"/>
    <w:rsid w:val="00115778"/>
    <w:rsid w:val="00115EBF"/>
    <w:rsid w:val="00116EDE"/>
    <w:rsid w:val="00116F2B"/>
    <w:rsid w:val="00117324"/>
    <w:rsid w:val="00117AE6"/>
    <w:rsid w:val="00117D89"/>
    <w:rsid w:val="0012371C"/>
    <w:rsid w:val="001242BF"/>
    <w:rsid w:val="001244B3"/>
    <w:rsid w:val="00124C1F"/>
    <w:rsid w:val="00125E7F"/>
    <w:rsid w:val="00125ED6"/>
    <w:rsid w:val="0012609E"/>
    <w:rsid w:val="00127DE3"/>
    <w:rsid w:val="00127E55"/>
    <w:rsid w:val="00130245"/>
    <w:rsid w:val="00130590"/>
    <w:rsid w:val="00131C6F"/>
    <w:rsid w:val="00132104"/>
    <w:rsid w:val="00132290"/>
    <w:rsid w:val="00133B49"/>
    <w:rsid w:val="00133F78"/>
    <w:rsid w:val="0013487E"/>
    <w:rsid w:val="0014119F"/>
    <w:rsid w:val="00141315"/>
    <w:rsid w:val="001415D1"/>
    <w:rsid w:val="001419C6"/>
    <w:rsid w:val="00141BA1"/>
    <w:rsid w:val="00141FA1"/>
    <w:rsid w:val="001425BB"/>
    <w:rsid w:val="00142A87"/>
    <w:rsid w:val="00142E01"/>
    <w:rsid w:val="00143477"/>
    <w:rsid w:val="0014354E"/>
    <w:rsid w:val="0014380F"/>
    <w:rsid w:val="00143C48"/>
    <w:rsid w:val="001443D2"/>
    <w:rsid w:val="00144E52"/>
    <w:rsid w:val="00144EC7"/>
    <w:rsid w:val="001462A6"/>
    <w:rsid w:val="00146AC2"/>
    <w:rsid w:val="00151B03"/>
    <w:rsid w:val="001531DB"/>
    <w:rsid w:val="00153311"/>
    <w:rsid w:val="00153DFF"/>
    <w:rsid w:val="00154087"/>
    <w:rsid w:val="001542F5"/>
    <w:rsid w:val="0015468A"/>
    <w:rsid w:val="001556D8"/>
    <w:rsid w:val="00155DF3"/>
    <w:rsid w:val="00157374"/>
    <w:rsid w:val="00161B31"/>
    <w:rsid w:val="0016268C"/>
    <w:rsid w:val="001626DF"/>
    <w:rsid w:val="001637E6"/>
    <w:rsid w:val="00164C33"/>
    <w:rsid w:val="001658E3"/>
    <w:rsid w:val="001668A9"/>
    <w:rsid w:val="00167507"/>
    <w:rsid w:val="00167D8D"/>
    <w:rsid w:val="00170B0F"/>
    <w:rsid w:val="00170BE2"/>
    <w:rsid w:val="001715EB"/>
    <w:rsid w:val="00171C99"/>
    <w:rsid w:val="00174527"/>
    <w:rsid w:val="00174BE5"/>
    <w:rsid w:val="00174D28"/>
    <w:rsid w:val="00175746"/>
    <w:rsid w:val="001758F2"/>
    <w:rsid w:val="001761E1"/>
    <w:rsid w:val="00176F19"/>
    <w:rsid w:val="00177321"/>
    <w:rsid w:val="00177CD5"/>
    <w:rsid w:val="00177E72"/>
    <w:rsid w:val="001804A3"/>
    <w:rsid w:val="00183E18"/>
    <w:rsid w:val="00184086"/>
    <w:rsid w:val="00184F1F"/>
    <w:rsid w:val="001875A6"/>
    <w:rsid w:val="0018773C"/>
    <w:rsid w:val="0019059F"/>
    <w:rsid w:val="0019319F"/>
    <w:rsid w:val="001969BD"/>
    <w:rsid w:val="0019717C"/>
    <w:rsid w:val="00197B13"/>
    <w:rsid w:val="001A00EF"/>
    <w:rsid w:val="001A0A47"/>
    <w:rsid w:val="001A0BB6"/>
    <w:rsid w:val="001A1A44"/>
    <w:rsid w:val="001A222C"/>
    <w:rsid w:val="001A29B8"/>
    <w:rsid w:val="001A2A8D"/>
    <w:rsid w:val="001A33CC"/>
    <w:rsid w:val="001A3455"/>
    <w:rsid w:val="001A4012"/>
    <w:rsid w:val="001A552F"/>
    <w:rsid w:val="001A5E73"/>
    <w:rsid w:val="001A5FBF"/>
    <w:rsid w:val="001A6230"/>
    <w:rsid w:val="001A68F6"/>
    <w:rsid w:val="001A7874"/>
    <w:rsid w:val="001A7B15"/>
    <w:rsid w:val="001A7D42"/>
    <w:rsid w:val="001A7DBA"/>
    <w:rsid w:val="001B0C81"/>
    <w:rsid w:val="001B1381"/>
    <w:rsid w:val="001B161C"/>
    <w:rsid w:val="001B1E49"/>
    <w:rsid w:val="001B21F8"/>
    <w:rsid w:val="001B226F"/>
    <w:rsid w:val="001B231F"/>
    <w:rsid w:val="001B2515"/>
    <w:rsid w:val="001B2E0E"/>
    <w:rsid w:val="001B313A"/>
    <w:rsid w:val="001B3C78"/>
    <w:rsid w:val="001B3E4B"/>
    <w:rsid w:val="001B45C2"/>
    <w:rsid w:val="001B7171"/>
    <w:rsid w:val="001C048A"/>
    <w:rsid w:val="001C05D6"/>
    <w:rsid w:val="001C1090"/>
    <w:rsid w:val="001C1C35"/>
    <w:rsid w:val="001C29D6"/>
    <w:rsid w:val="001C3015"/>
    <w:rsid w:val="001C3348"/>
    <w:rsid w:val="001C3CC8"/>
    <w:rsid w:val="001C5A5E"/>
    <w:rsid w:val="001C6075"/>
    <w:rsid w:val="001C63C6"/>
    <w:rsid w:val="001C6472"/>
    <w:rsid w:val="001C65C5"/>
    <w:rsid w:val="001C6B15"/>
    <w:rsid w:val="001C713B"/>
    <w:rsid w:val="001C73A8"/>
    <w:rsid w:val="001D0556"/>
    <w:rsid w:val="001D0FAE"/>
    <w:rsid w:val="001D2F38"/>
    <w:rsid w:val="001D37DF"/>
    <w:rsid w:val="001D3CF3"/>
    <w:rsid w:val="001D5A7A"/>
    <w:rsid w:val="001D6B21"/>
    <w:rsid w:val="001D734B"/>
    <w:rsid w:val="001E095D"/>
    <w:rsid w:val="001E275D"/>
    <w:rsid w:val="001E2DA4"/>
    <w:rsid w:val="001E3C51"/>
    <w:rsid w:val="001E3CBA"/>
    <w:rsid w:val="001E3ED5"/>
    <w:rsid w:val="001E4492"/>
    <w:rsid w:val="001E4931"/>
    <w:rsid w:val="001E4CFE"/>
    <w:rsid w:val="001E67F3"/>
    <w:rsid w:val="001E7702"/>
    <w:rsid w:val="001E7E0F"/>
    <w:rsid w:val="001F0B2B"/>
    <w:rsid w:val="001F1B5C"/>
    <w:rsid w:val="001F1DF6"/>
    <w:rsid w:val="001F2C39"/>
    <w:rsid w:val="001F3DAC"/>
    <w:rsid w:val="001F4B42"/>
    <w:rsid w:val="001F4EC8"/>
    <w:rsid w:val="001F5956"/>
    <w:rsid w:val="001F5B56"/>
    <w:rsid w:val="001F5CD4"/>
    <w:rsid w:val="001F5FB2"/>
    <w:rsid w:val="00200D49"/>
    <w:rsid w:val="00201641"/>
    <w:rsid w:val="0020544E"/>
    <w:rsid w:val="00206110"/>
    <w:rsid w:val="002079AF"/>
    <w:rsid w:val="0021201D"/>
    <w:rsid w:val="00212AD7"/>
    <w:rsid w:val="002134B2"/>
    <w:rsid w:val="00213D01"/>
    <w:rsid w:val="00213F5C"/>
    <w:rsid w:val="002141AF"/>
    <w:rsid w:val="00214F12"/>
    <w:rsid w:val="002151D7"/>
    <w:rsid w:val="002153F4"/>
    <w:rsid w:val="002155AF"/>
    <w:rsid w:val="00215D4C"/>
    <w:rsid w:val="002176B8"/>
    <w:rsid w:val="00221046"/>
    <w:rsid w:val="0022143B"/>
    <w:rsid w:val="002224BE"/>
    <w:rsid w:val="002229F6"/>
    <w:rsid w:val="00222FBF"/>
    <w:rsid w:val="00224336"/>
    <w:rsid w:val="00224900"/>
    <w:rsid w:val="002253D6"/>
    <w:rsid w:val="00225BD7"/>
    <w:rsid w:val="00226EBC"/>
    <w:rsid w:val="002300D3"/>
    <w:rsid w:val="002305E9"/>
    <w:rsid w:val="00231415"/>
    <w:rsid w:val="0023293B"/>
    <w:rsid w:val="002336B7"/>
    <w:rsid w:val="002358AB"/>
    <w:rsid w:val="00235C58"/>
    <w:rsid w:val="00237FFD"/>
    <w:rsid w:val="0024111B"/>
    <w:rsid w:val="00241266"/>
    <w:rsid w:val="00241799"/>
    <w:rsid w:val="00242659"/>
    <w:rsid w:val="00242D2A"/>
    <w:rsid w:val="00244AFE"/>
    <w:rsid w:val="00247019"/>
    <w:rsid w:val="0025063D"/>
    <w:rsid w:val="002514E1"/>
    <w:rsid w:val="002522A2"/>
    <w:rsid w:val="00252700"/>
    <w:rsid w:val="00253735"/>
    <w:rsid w:val="00253DCD"/>
    <w:rsid w:val="00254AD9"/>
    <w:rsid w:val="00255210"/>
    <w:rsid w:val="002555BC"/>
    <w:rsid w:val="00255F4C"/>
    <w:rsid w:val="00256604"/>
    <w:rsid w:val="0025704D"/>
    <w:rsid w:val="0026087E"/>
    <w:rsid w:val="00263011"/>
    <w:rsid w:val="00263E72"/>
    <w:rsid w:val="00264649"/>
    <w:rsid w:val="0026596A"/>
    <w:rsid w:val="002659A5"/>
    <w:rsid w:val="00265E89"/>
    <w:rsid w:val="00266CA4"/>
    <w:rsid w:val="00267B27"/>
    <w:rsid w:val="002703AE"/>
    <w:rsid w:val="00272B0C"/>
    <w:rsid w:val="00272F40"/>
    <w:rsid w:val="0027423F"/>
    <w:rsid w:val="00274288"/>
    <w:rsid w:val="002744C6"/>
    <w:rsid w:val="00277260"/>
    <w:rsid w:val="00280B04"/>
    <w:rsid w:val="002813CE"/>
    <w:rsid w:val="002816CA"/>
    <w:rsid w:val="002828B2"/>
    <w:rsid w:val="002829A3"/>
    <w:rsid w:val="00282D41"/>
    <w:rsid w:val="002832E0"/>
    <w:rsid w:val="002849B1"/>
    <w:rsid w:val="00284A3C"/>
    <w:rsid w:val="00285894"/>
    <w:rsid w:val="0028615C"/>
    <w:rsid w:val="00286D17"/>
    <w:rsid w:val="00287699"/>
    <w:rsid w:val="00287AD0"/>
    <w:rsid w:val="00291205"/>
    <w:rsid w:val="00291DBF"/>
    <w:rsid w:val="00292DA3"/>
    <w:rsid w:val="0029315F"/>
    <w:rsid w:val="002943CE"/>
    <w:rsid w:val="002957DB"/>
    <w:rsid w:val="00296519"/>
    <w:rsid w:val="00296E82"/>
    <w:rsid w:val="0029718F"/>
    <w:rsid w:val="0029751E"/>
    <w:rsid w:val="00297A37"/>
    <w:rsid w:val="00297B7D"/>
    <w:rsid w:val="002A09A8"/>
    <w:rsid w:val="002A1CF6"/>
    <w:rsid w:val="002A2D63"/>
    <w:rsid w:val="002A2FED"/>
    <w:rsid w:val="002A3944"/>
    <w:rsid w:val="002A3EEA"/>
    <w:rsid w:val="002A3F1B"/>
    <w:rsid w:val="002A431C"/>
    <w:rsid w:val="002A4780"/>
    <w:rsid w:val="002A5241"/>
    <w:rsid w:val="002A5857"/>
    <w:rsid w:val="002A6ADF"/>
    <w:rsid w:val="002A6D9C"/>
    <w:rsid w:val="002A75F6"/>
    <w:rsid w:val="002A7A6E"/>
    <w:rsid w:val="002A7EFA"/>
    <w:rsid w:val="002B0405"/>
    <w:rsid w:val="002B0D3E"/>
    <w:rsid w:val="002B1386"/>
    <w:rsid w:val="002B1ACF"/>
    <w:rsid w:val="002B3481"/>
    <w:rsid w:val="002B5233"/>
    <w:rsid w:val="002B5601"/>
    <w:rsid w:val="002B5763"/>
    <w:rsid w:val="002B5922"/>
    <w:rsid w:val="002B64D1"/>
    <w:rsid w:val="002B719C"/>
    <w:rsid w:val="002C0D76"/>
    <w:rsid w:val="002C1E50"/>
    <w:rsid w:val="002C1EF2"/>
    <w:rsid w:val="002C2AED"/>
    <w:rsid w:val="002C2B37"/>
    <w:rsid w:val="002C306D"/>
    <w:rsid w:val="002C33DD"/>
    <w:rsid w:val="002C3D5D"/>
    <w:rsid w:val="002C41EC"/>
    <w:rsid w:val="002C4989"/>
    <w:rsid w:val="002C543B"/>
    <w:rsid w:val="002C547A"/>
    <w:rsid w:val="002C708E"/>
    <w:rsid w:val="002C77AD"/>
    <w:rsid w:val="002D033C"/>
    <w:rsid w:val="002D0B5A"/>
    <w:rsid w:val="002D1E8B"/>
    <w:rsid w:val="002D245D"/>
    <w:rsid w:val="002D2879"/>
    <w:rsid w:val="002D297D"/>
    <w:rsid w:val="002D32A4"/>
    <w:rsid w:val="002D3988"/>
    <w:rsid w:val="002D447F"/>
    <w:rsid w:val="002D5535"/>
    <w:rsid w:val="002D6207"/>
    <w:rsid w:val="002D6B3C"/>
    <w:rsid w:val="002E00D9"/>
    <w:rsid w:val="002E08A8"/>
    <w:rsid w:val="002E0BC5"/>
    <w:rsid w:val="002E129F"/>
    <w:rsid w:val="002E1CE6"/>
    <w:rsid w:val="002E2330"/>
    <w:rsid w:val="002E24A1"/>
    <w:rsid w:val="002E2AD0"/>
    <w:rsid w:val="002E2D51"/>
    <w:rsid w:val="002E3206"/>
    <w:rsid w:val="002E34BB"/>
    <w:rsid w:val="002E3704"/>
    <w:rsid w:val="002E37AB"/>
    <w:rsid w:val="002E4374"/>
    <w:rsid w:val="002E4EAB"/>
    <w:rsid w:val="002E531C"/>
    <w:rsid w:val="002E5886"/>
    <w:rsid w:val="002E6F30"/>
    <w:rsid w:val="002E71AC"/>
    <w:rsid w:val="002E7735"/>
    <w:rsid w:val="002E7AB5"/>
    <w:rsid w:val="002F1F13"/>
    <w:rsid w:val="002F3363"/>
    <w:rsid w:val="002F54AA"/>
    <w:rsid w:val="002F5A45"/>
    <w:rsid w:val="002F5C9D"/>
    <w:rsid w:val="002F77A9"/>
    <w:rsid w:val="002F7883"/>
    <w:rsid w:val="003008C8"/>
    <w:rsid w:val="00300DA0"/>
    <w:rsid w:val="00300ED6"/>
    <w:rsid w:val="0030145B"/>
    <w:rsid w:val="00301735"/>
    <w:rsid w:val="003039AA"/>
    <w:rsid w:val="00303D7D"/>
    <w:rsid w:val="003054E3"/>
    <w:rsid w:val="0030698D"/>
    <w:rsid w:val="00306DC1"/>
    <w:rsid w:val="00307765"/>
    <w:rsid w:val="003102DC"/>
    <w:rsid w:val="003108E3"/>
    <w:rsid w:val="00310951"/>
    <w:rsid w:val="00312AC3"/>
    <w:rsid w:val="0031570A"/>
    <w:rsid w:val="003169B7"/>
    <w:rsid w:val="0031731C"/>
    <w:rsid w:val="00317E9F"/>
    <w:rsid w:val="00320A75"/>
    <w:rsid w:val="00320C8D"/>
    <w:rsid w:val="00320D6C"/>
    <w:rsid w:val="0032115A"/>
    <w:rsid w:val="00321C4C"/>
    <w:rsid w:val="00322CB9"/>
    <w:rsid w:val="003257DA"/>
    <w:rsid w:val="00325A04"/>
    <w:rsid w:val="00325CDF"/>
    <w:rsid w:val="00325EE1"/>
    <w:rsid w:val="00326B95"/>
    <w:rsid w:val="003272E1"/>
    <w:rsid w:val="00327503"/>
    <w:rsid w:val="00331116"/>
    <w:rsid w:val="00331919"/>
    <w:rsid w:val="0033205F"/>
    <w:rsid w:val="003337E7"/>
    <w:rsid w:val="00334835"/>
    <w:rsid w:val="00334A54"/>
    <w:rsid w:val="0033570B"/>
    <w:rsid w:val="00336AD3"/>
    <w:rsid w:val="003371E1"/>
    <w:rsid w:val="003454F0"/>
    <w:rsid w:val="003456AB"/>
    <w:rsid w:val="00345744"/>
    <w:rsid w:val="003459E3"/>
    <w:rsid w:val="003460FD"/>
    <w:rsid w:val="00346383"/>
    <w:rsid w:val="00346A73"/>
    <w:rsid w:val="003504F8"/>
    <w:rsid w:val="00350820"/>
    <w:rsid w:val="00350C33"/>
    <w:rsid w:val="00351132"/>
    <w:rsid w:val="00351B44"/>
    <w:rsid w:val="00351E3D"/>
    <w:rsid w:val="00353879"/>
    <w:rsid w:val="003540BD"/>
    <w:rsid w:val="003556A9"/>
    <w:rsid w:val="003563A6"/>
    <w:rsid w:val="00356CE4"/>
    <w:rsid w:val="00357D20"/>
    <w:rsid w:val="00360C51"/>
    <w:rsid w:val="00361674"/>
    <w:rsid w:val="00361A7A"/>
    <w:rsid w:val="00363D9A"/>
    <w:rsid w:val="00364001"/>
    <w:rsid w:val="00365A89"/>
    <w:rsid w:val="003663E2"/>
    <w:rsid w:val="00367027"/>
    <w:rsid w:val="003675BE"/>
    <w:rsid w:val="003679BC"/>
    <w:rsid w:val="00367AE8"/>
    <w:rsid w:val="00367C98"/>
    <w:rsid w:val="00371058"/>
    <w:rsid w:val="003723C8"/>
    <w:rsid w:val="003729B7"/>
    <w:rsid w:val="00373367"/>
    <w:rsid w:val="003741EE"/>
    <w:rsid w:val="00374501"/>
    <w:rsid w:val="00375815"/>
    <w:rsid w:val="00377E51"/>
    <w:rsid w:val="00381115"/>
    <w:rsid w:val="00382B18"/>
    <w:rsid w:val="00384A33"/>
    <w:rsid w:val="00384E4C"/>
    <w:rsid w:val="003854C5"/>
    <w:rsid w:val="00385C66"/>
    <w:rsid w:val="00386060"/>
    <w:rsid w:val="00386202"/>
    <w:rsid w:val="0038692E"/>
    <w:rsid w:val="003878E0"/>
    <w:rsid w:val="003903AD"/>
    <w:rsid w:val="003906C1"/>
    <w:rsid w:val="00390755"/>
    <w:rsid w:val="00390ACE"/>
    <w:rsid w:val="003933E7"/>
    <w:rsid w:val="00393B7D"/>
    <w:rsid w:val="0039415C"/>
    <w:rsid w:val="00394A12"/>
    <w:rsid w:val="00394AAC"/>
    <w:rsid w:val="00394D79"/>
    <w:rsid w:val="0039505D"/>
    <w:rsid w:val="00395185"/>
    <w:rsid w:val="00395B00"/>
    <w:rsid w:val="0039690F"/>
    <w:rsid w:val="00396D28"/>
    <w:rsid w:val="00397E09"/>
    <w:rsid w:val="003A03A6"/>
    <w:rsid w:val="003A04AD"/>
    <w:rsid w:val="003A0749"/>
    <w:rsid w:val="003A1558"/>
    <w:rsid w:val="003A1E8E"/>
    <w:rsid w:val="003A35FC"/>
    <w:rsid w:val="003A3C17"/>
    <w:rsid w:val="003B0E18"/>
    <w:rsid w:val="003B1714"/>
    <w:rsid w:val="003B1BE3"/>
    <w:rsid w:val="003B2A36"/>
    <w:rsid w:val="003B2A3F"/>
    <w:rsid w:val="003B3E21"/>
    <w:rsid w:val="003B47EB"/>
    <w:rsid w:val="003B4EF2"/>
    <w:rsid w:val="003B5D3D"/>
    <w:rsid w:val="003B60AB"/>
    <w:rsid w:val="003B650B"/>
    <w:rsid w:val="003B69A6"/>
    <w:rsid w:val="003B702A"/>
    <w:rsid w:val="003C0802"/>
    <w:rsid w:val="003C088D"/>
    <w:rsid w:val="003C0DA1"/>
    <w:rsid w:val="003C65DE"/>
    <w:rsid w:val="003C6A54"/>
    <w:rsid w:val="003C72D5"/>
    <w:rsid w:val="003C7D34"/>
    <w:rsid w:val="003D0E57"/>
    <w:rsid w:val="003D0FE2"/>
    <w:rsid w:val="003D121B"/>
    <w:rsid w:val="003D136B"/>
    <w:rsid w:val="003D1578"/>
    <w:rsid w:val="003D1EFF"/>
    <w:rsid w:val="003D2F1A"/>
    <w:rsid w:val="003D3162"/>
    <w:rsid w:val="003D324D"/>
    <w:rsid w:val="003D50AF"/>
    <w:rsid w:val="003D59A5"/>
    <w:rsid w:val="003D65AC"/>
    <w:rsid w:val="003D6B96"/>
    <w:rsid w:val="003D6BB8"/>
    <w:rsid w:val="003D6DA3"/>
    <w:rsid w:val="003D7DFA"/>
    <w:rsid w:val="003D7E04"/>
    <w:rsid w:val="003E133B"/>
    <w:rsid w:val="003E177B"/>
    <w:rsid w:val="003E1906"/>
    <w:rsid w:val="003E1B95"/>
    <w:rsid w:val="003E2438"/>
    <w:rsid w:val="003E3E77"/>
    <w:rsid w:val="003E426D"/>
    <w:rsid w:val="003E44DD"/>
    <w:rsid w:val="003E54D5"/>
    <w:rsid w:val="003E5CDF"/>
    <w:rsid w:val="003E6360"/>
    <w:rsid w:val="003E6E21"/>
    <w:rsid w:val="003E7857"/>
    <w:rsid w:val="003E79F5"/>
    <w:rsid w:val="003E7B80"/>
    <w:rsid w:val="003F0B87"/>
    <w:rsid w:val="003F0F41"/>
    <w:rsid w:val="003F11E5"/>
    <w:rsid w:val="003F22BC"/>
    <w:rsid w:val="003F441B"/>
    <w:rsid w:val="003F4ADC"/>
    <w:rsid w:val="003F54D4"/>
    <w:rsid w:val="003F66F1"/>
    <w:rsid w:val="003F6AA8"/>
    <w:rsid w:val="003F6D37"/>
    <w:rsid w:val="003F7031"/>
    <w:rsid w:val="003F76E2"/>
    <w:rsid w:val="003F7E63"/>
    <w:rsid w:val="00400615"/>
    <w:rsid w:val="004012CB"/>
    <w:rsid w:val="00403759"/>
    <w:rsid w:val="004042CA"/>
    <w:rsid w:val="004063C0"/>
    <w:rsid w:val="00406AF5"/>
    <w:rsid w:val="00407548"/>
    <w:rsid w:val="00407573"/>
    <w:rsid w:val="00412366"/>
    <w:rsid w:val="004137D9"/>
    <w:rsid w:val="00413803"/>
    <w:rsid w:val="00413C30"/>
    <w:rsid w:val="00414788"/>
    <w:rsid w:val="00415E46"/>
    <w:rsid w:val="004175D0"/>
    <w:rsid w:val="00420948"/>
    <w:rsid w:val="00420DF2"/>
    <w:rsid w:val="00421979"/>
    <w:rsid w:val="00421F83"/>
    <w:rsid w:val="00422537"/>
    <w:rsid w:val="00422F2C"/>
    <w:rsid w:val="0042354E"/>
    <w:rsid w:val="00423578"/>
    <w:rsid w:val="00423C2B"/>
    <w:rsid w:val="004257EF"/>
    <w:rsid w:val="00426DD7"/>
    <w:rsid w:val="00427668"/>
    <w:rsid w:val="00430F8D"/>
    <w:rsid w:val="004318E5"/>
    <w:rsid w:val="00431AC3"/>
    <w:rsid w:val="00433EFB"/>
    <w:rsid w:val="00434708"/>
    <w:rsid w:val="004361C4"/>
    <w:rsid w:val="00436DCE"/>
    <w:rsid w:val="00437D4C"/>
    <w:rsid w:val="0044055E"/>
    <w:rsid w:val="004423C2"/>
    <w:rsid w:val="00442AF1"/>
    <w:rsid w:val="00442FAD"/>
    <w:rsid w:val="00443021"/>
    <w:rsid w:val="00445089"/>
    <w:rsid w:val="00446253"/>
    <w:rsid w:val="0044686B"/>
    <w:rsid w:val="004476AC"/>
    <w:rsid w:val="00450452"/>
    <w:rsid w:val="0045125A"/>
    <w:rsid w:val="00451B30"/>
    <w:rsid w:val="00451E01"/>
    <w:rsid w:val="004561E9"/>
    <w:rsid w:val="0046085D"/>
    <w:rsid w:val="004609CB"/>
    <w:rsid w:val="00461607"/>
    <w:rsid w:val="00461BF1"/>
    <w:rsid w:val="00461DC4"/>
    <w:rsid w:val="0046225B"/>
    <w:rsid w:val="00462A15"/>
    <w:rsid w:val="00462E82"/>
    <w:rsid w:val="00463276"/>
    <w:rsid w:val="004633A9"/>
    <w:rsid w:val="00463659"/>
    <w:rsid w:val="00463956"/>
    <w:rsid w:val="0046613C"/>
    <w:rsid w:val="0046678C"/>
    <w:rsid w:val="00466912"/>
    <w:rsid w:val="004678A7"/>
    <w:rsid w:val="00467A32"/>
    <w:rsid w:val="00472B51"/>
    <w:rsid w:val="004734C0"/>
    <w:rsid w:val="00474815"/>
    <w:rsid w:val="00474AF8"/>
    <w:rsid w:val="00474C63"/>
    <w:rsid w:val="00475360"/>
    <w:rsid w:val="00475603"/>
    <w:rsid w:val="004759AE"/>
    <w:rsid w:val="00475B63"/>
    <w:rsid w:val="00475B88"/>
    <w:rsid w:val="00476073"/>
    <w:rsid w:val="00476C5F"/>
    <w:rsid w:val="00477697"/>
    <w:rsid w:val="00480B93"/>
    <w:rsid w:val="004829D8"/>
    <w:rsid w:val="00482D05"/>
    <w:rsid w:val="00482D70"/>
    <w:rsid w:val="00483C1C"/>
    <w:rsid w:val="00484004"/>
    <w:rsid w:val="004843F1"/>
    <w:rsid w:val="00484CB4"/>
    <w:rsid w:val="00484E68"/>
    <w:rsid w:val="004863AB"/>
    <w:rsid w:val="004870BB"/>
    <w:rsid w:val="004874D2"/>
    <w:rsid w:val="00490707"/>
    <w:rsid w:val="004909A5"/>
    <w:rsid w:val="00490A91"/>
    <w:rsid w:val="00491B03"/>
    <w:rsid w:val="004920F6"/>
    <w:rsid w:val="00492773"/>
    <w:rsid w:val="00492AFE"/>
    <w:rsid w:val="00493E31"/>
    <w:rsid w:val="00493FDA"/>
    <w:rsid w:val="00494D36"/>
    <w:rsid w:val="00495280"/>
    <w:rsid w:val="00495FDF"/>
    <w:rsid w:val="004971D3"/>
    <w:rsid w:val="00497252"/>
    <w:rsid w:val="004A0171"/>
    <w:rsid w:val="004A0A01"/>
    <w:rsid w:val="004A112D"/>
    <w:rsid w:val="004A1F2D"/>
    <w:rsid w:val="004A269D"/>
    <w:rsid w:val="004A2D61"/>
    <w:rsid w:val="004A2FDA"/>
    <w:rsid w:val="004A4B8B"/>
    <w:rsid w:val="004A532D"/>
    <w:rsid w:val="004A5FDB"/>
    <w:rsid w:val="004A6A9D"/>
    <w:rsid w:val="004A6D8E"/>
    <w:rsid w:val="004A735A"/>
    <w:rsid w:val="004A7FC0"/>
    <w:rsid w:val="004B0310"/>
    <w:rsid w:val="004B322C"/>
    <w:rsid w:val="004B3F86"/>
    <w:rsid w:val="004B6805"/>
    <w:rsid w:val="004B7BDD"/>
    <w:rsid w:val="004C068F"/>
    <w:rsid w:val="004C06DC"/>
    <w:rsid w:val="004C0A23"/>
    <w:rsid w:val="004C19DE"/>
    <w:rsid w:val="004C4820"/>
    <w:rsid w:val="004C4D19"/>
    <w:rsid w:val="004D00D8"/>
    <w:rsid w:val="004D045C"/>
    <w:rsid w:val="004D07AF"/>
    <w:rsid w:val="004D125C"/>
    <w:rsid w:val="004D5D08"/>
    <w:rsid w:val="004D6522"/>
    <w:rsid w:val="004D734C"/>
    <w:rsid w:val="004E08F1"/>
    <w:rsid w:val="004E1341"/>
    <w:rsid w:val="004E2366"/>
    <w:rsid w:val="004E38F9"/>
    <w:rsid w:val="004E3D6A"/>
    <w:rsid w:val="004E61A8"/>
    <w:rsid w:val="004E7CC9"/>
    <w:rsid w:val="004F090A"/>
    <w:rsid w:val="004F1176"/>
    <w:rsid w:val="004F30C6"/>
    <w:rsid w:val="004F549B"/>
    <w:rsid w:val="004F6012"/>
    <w:rsid w:val="004F7F1D"/>
    <w:rsid w:val="005007F8"/>
    <w:rsid w:val="005010BB"/>
    <w:rsid w:val="00502289"/>
    <w:rsid w:val="005025B4"/>
    <w:rsid w:val="00503117"/>
    <w:rsid w:val="00503FE3"/>
    <w:rsid w:val="00504ED0"/>
    <w:rsid w:val="0050659A"/>
    <w:rsid w:val="0050727E"/>
    <w:rsid w:val="00510587"/>
    <w:rsid w:val="00512290"/>
    <w:rsid w:val="00512B60"/>
    <w:rsid w:val="0051317D"/>
    <w:rsid w:val="005131B9"/>
    <w:rsid w:val="00513735"/>
    <w:rsid w:val="005142E9"/>
    <w:rsid w:val="00514BC7"/>
    <w:rsid w:val="00515840"/>
    <w:rsid w:val="005166A7"/>
    <w:rsid w:val="00516A8C"/>
    <w:rsid w:val="00516D05"/>
    <w:rsid w:val="00517727"/>
    <w:rsid w:val="00517B33"/>
    <w:rsid w:val="005209E4"/>
    <w:rsid w:val="00521F96"/>
    <w:rsid w:val="005224FC"/>
    <w:rsid w:val="00522DCC"/>
    <w:rsid w:val="005243D8"/>
    <w:rsid w:val="005264B3"/>
    <w:rsid w:val="005271B6"/>
    <w:rsid w:val="005272F6"/>
    <w:rsid w:val="00531B8D"/>
    <w:rsid w:val="00532A8D"/>
    <w:rsid w:val="005332F7"/>
    <w:rsid w:val="0053416E"/>
    <w:rsid w:val="005351B5"/>
    <w:rsid w:val="00535860"/>
    <w:rsid w:val="00536F64"/>
    <w:rsid w:val="00537783"/>
    <w:rsid w:val="00537BD2"/>
    <w:rsid w:val="00540337"/>
    <w:rsid w:val="00540D4F"/>
    <w:rsid w:val="00541001"/>
    <w:rsid w:val="00543723"/>
    <w:rsid w:val="00543E9C"/>
    <w:rsid w:val="00544865"/>
    <w:rsid w:val="0054664A"/>
    <w:rsid w:val="005471B3"/>
    <w:rsid w:val="00547783"/>
    <w:rsid w:val="00547C93"/>
    <w:rsid w:val="0055114F"/>
    <w:rsid w:val="00551FF9"/>
    <w:rsid w:val="0055270D"/>
    <w:rsid w:val="00553FFB"/>
    <w:rsid w:val="005540F2"/>
    <w:rsid w:val="00554944"/>
    <w:rsid w:val="00554E89"/>
    <w:rsid w:val="00555690"/>
    <w:rsid w:val="00556D5F"/>
    <w:rsid w:val="00557611"/>
    <w:rsid w:val="00562D30"/>
    <w:rsid w:val="0056377E"/>
    <w:rsid w:val="005639D6"/>
    <w:rsid w:val="00563DB8"/>
    <w:rsid w:val="0056454D"/>
    <w:rsid w:val="00564A31"/>
    <w:rsid w:val="00565D08"/>
    <w:rsid w:val="00565D4F"/>
    <w:rsid w:val="00566367"/>
    <w:rsid w:val="005668EF"/>
    <w:rsid w:val="005673F0"/>
    <w:rsid w:val="00570007"/>
    <w:rsid w:val="005700B9"/>
    <w:rsid w:val="005715DC"/>
    <w:rsid w:val="00571F1B"/>
    <w:rsid w:val="00572052"/>
    <w:rsid w:val="005724C4"/>
    <w:rsid w:val="0057371D"/>
    <w:rsid w:val="0057399C"/>
    <w:rsid w:val="00574295"/>
    <w:rsid w:val="0057452F"/>
    <w:rsid w:val="00574783"/>
    <w:rsid w:val="005747CC"/>
    <w:rsid w:val="00575714"/>
    <w:rsid w:val="00575969"/>
    <w:rsid w:val="00576655"/>
    <w:rsid w:val="00576805"/>
    <w:rsid w:val="00577298"/>
    <w:rsid w:val="0057735F"/>
    <w:rsid w:val="005773F4"/>
    <w:rsid w:val="00577497"/>
    <w:rsid w:val="00581FC1"/>
    <w:rsid w:val="005826E7"/>
    <w:rsid w:val="00582D6E"/>
    <w:rsid w:val="005833C7"/>
    <w:rsid w:val="00583630"/>
    <w:rsid w:val="00585658"/>
    <w:rsid w:val="0058629B"/>
    <w:rsid w:val="00590225"/>
    <w:rsid w:val="00591277"/>
    <w:rsid w:val="00591BAE"/>
    <w:rsid w:val="00592FFA"/>
    <w:rsid w:val="005937D8"/>
    <w:rsid w:val="00595780"/>
    <w:rsid w:val="005958FE"/>
    <w:rsid w:val="0059714B"/>
    <w:rsid w:val="0059762C"/>
    <w:rsid w:val="00597C70"/>
    <w:rsid w:val="005A01B7"/>
    <w:rsid w:val="005A0323"/>
    <w:rsid w:val="005A08DD"/>
    <w:rsid w:val="005A157A"/>
    <w:rsid w:val="005A2180"/>
    <w:rsid w:val="005A2E4F"/>
    <w:rsid w:val="005A339D"/>
    <w:rsid w:val="005A4B33"/>
    <w:rsid w:val="005A544F"/>
    <w:rsid w:val="005A604F"/>
    <w:rsid w:val="005A7CBF"/>
    <w:rsid w:val="005A7EF0"/>
    <w:rsid w:val="005B00F5"/>
    <w:rsid w:val="005B09C0"/>
    <w:rsid w:val="005B21B0"/>
    <w:rsid w:val="005B32A8"/>
    <w:rsid w:val="005B3307"/>
    <w:rsid w:val="005B3A14"/>
    <w:rsid w:val="005B3E9E"/>
    <w:rsid w:val="005B4252"/>
    <w:rsid w:val="005B5A86"/>
    <w:rsid w:val="005B6F9B"/>
    <w:rsid w:val="005C068F"/>
    <w:rsid w:val="005C1049"/>
    <w:rsid w:val="005C130A"/>
    <w:rsid w:val="005C2638"/>
    <w:rsid w:val="005C3277"/>
    <w:rsid w:val="005C5142"/>
    <w:rsid w:val="005C550A"/>
    <w:rsid w:val="005C772D"/>
    <w:rsid w:val="005C7B52"/>
    <w:rsid w:val="005C7F95"/>
    <w:rsid w:val="005D2301"/>
    <w:rsid w:val="005D398E"/>
    <w:rsid w:val="005D4AD4"/>
    <w:rsid w:val="005D56DE"/>
    <w:rsid w:val="005D655C"/>
    <w:rsid w:val="005D6DC6"/>
    <w:rsid w:val="005D7E66"/>
    <w:rsid w:val="005D7F9D"/>
    <w:rsid w:val="005E0169"/>
    <w:rsid w:val="005E033D"/>
    <w:rsid w:val="005E0BCF"/>
    <w:rsid w:val="005E1577"/>
    <w:rsid w:val="005E2968"/>
    <w:rsid w:val="005E2E3D"/>
    <w:rsid w:val="005E3D65"/>
    <w:rsid w:val="005E4209"/>
    <w:rsid w:val="005E4228"/>
    <w:rsid w:val="005E51D0"/>
    <w:rsid w:val="005E53D0"/>
    <w:rsid w:val="005E6765"/>
    <w:rsid w:val="005E6B19"/>
    <w:rsid w:val="005E6BBA"/>
    <w:rsid w:val="005F1240"/>
    <w:rsid w:val="005F1F2A"/>
    <w:rsid w:val="005F280D"/>
    <w:rsid w:val="005F3578"/>
    <w:rsid w:val="005F3B94"/>
    <w:rsid w:val="005F3E03"/>
    <w:rsid w:val="005F4279"/>
    <w:rsid w:val="005F427C"/>
    <w:rsid w:val="005F5846"/>
    <w:rsid w:val="005F689D"/>
    <w:rsid w:val="00600710"/>
    <w:rsid w:val="006019EC"/>
    <w:rsid w:val="00602225"/>
    <w:rsid w:val="006035B8"/>
    <w:rsid w:val="00603CCE"/>
    <w:rsid w:val="00604E96"/>
    <w:rsid w:val="006058AF"/>
    <w:rsid w:val="00605CEB"/>
    <w:rsid w:val="00606D01"/>
    <w:rsid w:val="00607BA6"/>
    <w:rsid w:val="00610139"/>
    <w:rsid w:val="00610798"/>
    <w:rsid w:val="00610FD8"/>
    <w:rsid w:val="00611048"/>
    <w:rsid w:val="006126A0"/>
    <w:rsid w:val="00612CFE"/>
    <w:rsid w:val="00614402"/>
    <w:rsid w:val="00614680"/>
    <w:rsid w:val="006147EE"/>
    <w:rsid w:val="00614E06"/>
    <w:rsid w:val="00615220"/>
    <w:rsid w:val="00615CC5"/>
    <w:rsid w:val="0061720B"/>
    <w:rsid w:val="00617B80"/>
    <w:rsid w:val="00620174"/>
    <w:rsid w:val="00621009"/>
    <w:rsid w:val="00621F77"/>
    <w:rsid w:val="00623741"/>
    <w:rsid w:val="006243D6"/>
    <w:rsid w:val="00624BA7"/>
    <w:rsid w:val="00625942"/>
    <w:rsid w:val="00626712"/>
    <w:rsid w:val="00627DC2"/>
    <w:rsid w:val="006301BF"/>
    <w:rsid w:val="00630B2B"/>
    <w:rsid w:val="00631DC0"/>
    <w:rsid w:val="00632778"/>
    <w:rsid w:val="00632931"/>
    <w:rsid w:val="006329E1"/>
    <w:rsid w:val="00632A63"/>
    <w:rsid w:val="00632D3F"/>
    <w:rsid w:val="0063339E"/>
    <w:rsid w:val="0063363A"/>
    <w:rsid w:val="00634222"/>
    <w:rsid w:val="00634B3E"/>
    <w:rsid w:val="00634B8F"/>
    <w:rsid w:val="0063666F"/>
    <w:rsid w:val="00636854"/>
    <w:rsid w:val="00637BDF"/>
    <w:rsid w:val="006409DB"/>
    <w:rsid w:val="006417E9"/>
    <w:rsid w:val="00641E7F"/>
    <w:rsid w:val="006433FA"/>
    <w:rsid w:val="00644629"/>
    <w:rsid w:val="00644636"/>
    <w:rsid w:val="00645EBD"/>
    <w:rsid w:val="0064662E"/>
    <w:rsid w:val="00646BA6"/>
    <w:rsid w:val="00651FD7"/>
    <w:rsid w:val="006535CD"/>
    <w:rsid w:val="006535D4"/>
    <w:rsid w:val="00653705"/>
    <w:rsid w:val="00654553"/>
    <w:rsid w:val="00655215"/>
    <w:rsid w:val="00655373"/>
    <w:rsid w:val="00655392"/>
    <w:rsid w:val="00655B0B"/>
    <w:rsid w:val="00656972"/>
    <w:rsid w:val="006574F5"/>
    <w:rsid w:val="006607D7"/>
    <w:rsid w:val="006609C7"/>
    <w:rsid w:val="00661B26"/>
    <w:rsid w:val="006623D1"/>
    <w:rsid w:val="006629C1"/>
    <w:rsid w:val="0066360A"/>
    <w:rsid w:val="00663621"/>
    <w:rsid w:val="0066379E"/>
    <w:rsid w:val="00665FA8"/>
    <w:rsid w:val="00666C84"/>
    <w:rsid w:val="0067001F"/>
    <w:rsid w:val="0067050C"/>
    <w:rsid w:val="00670F0D"/>
    <w:rsid w:val="00671AE4"/>
    <w:rsid w:val="00671DBA"/>
    <w:rsid w:val="00672144"/>
    <w:rsid w:val="00672492"/>
    <w:rsid w:val="00673970"/>
    <w:rsid w:val="00674A30"/>
    <w:rsid w:val="00676388"/>
    <w:rsid w:val="006766F8"/>
    <w:rsid w:val="006825A5"/>
    <w:rsid w:val="006842E4"/>
    <w:rsid w:val="00684472"/>
    <w:rsid w:val="0068489C"/>
    <w:rsid w:val="00685A49"/>
    <w:rsid w:val="006861E5"/>
    <w:rsid w:val="00686F90"/>
    <w:rsid w:val="0069028F"/>
    <w:rsid w:val="00691BD1"/>
    <w:rsid w:val="00692C29"/>
    <w:rsid w:val="0069360B"/>
    <w:rsid w:val="00694891"/>
    <w:rsid w:val="00694D19"/>
    <w:rsid w:val="006957F6"/>
    <w:rsid w:val="00696064"/>
    <w:rsid w:val="006966F8"/>
    <w:rsid w:val="00696970"/>
    <w:rsid w:val="00697B94"/>
    <w:rsid w:val="00697C14"/>
    <w:rsid w:val="00697EDD"/>
    <w:rsid w:val="006A1772"/>
    <w:rsid w:val="006A2CB2"/>
    <w:rsid w:val="006A2D52"/>
    <w:rsid w:val="006A3C19"/>
    <w:rsid w:val="006A4604"/>
    <w:rsid w:val="006A4B17"/>
    <w:rsid w:val="006A4EC3"/>
    <w:rsid w:val="006A5517"/>
    <w:rsid w:val="006A5F4D"/>
    <w:rsid w:val="006A688C"/>
    <w:rsid w:val="006A7555"/>
    <w:rsid w:val="006A7751"/>
    <w:rsid w:val="006A79BA"/>
    <w:rsid w:val="006A7B2C"/>
    <w:rsid w:val="006B088C"/>
    <w:rsid w:val="006B2F08"/>
    <w:rsid w:val="006B2FEA"/>
    <w:rsid w:val="006B43BA"/>
    <w:rsid w:val="006B4B55"/>
    <w:rsid w:val="006B5C73"/>
    <w:rsid w:val="006C0BBE"/>
    <w:rsid w:val="006C18CB"/>
    <w:rsid w:val="006C1987"/>
    <w:rsid w:val="006C1F79"/>
    <w:rsid w:val="006C23FA"/>
    <w:rsid w:val="006C2A02"/>
    <w:rsid w:val="006C38D0"/>
    <w:rsid w:val="006C440F"/>
    <w:rsid w:val="006C5F55"/>
    <w:rsid w:val="006C6A05"/>
    <w:rsid w:val="006C739D"/>
    <w:rsid w:val="006C7660"/>
    <w:rsid w:val="006C7BB7"/>
    <w:rsid w:val="006D1438"/>
    <w:rsid w:val="006D21DE"/>
    <w:rsid w:val="006D2348"/>
    <w:rsid w:val="006D2D13"/>
    <w:rsid w:val="006D2FA5"/>
    <w:rsid w:val="006D35F9"/>
    <w:rsid w:val="006D383D"/>
    <w:rsid w:val="006D5BC8"/>
    <w:rsid w:val="006D5E61"/>
    <w:rsid w:val="006D6DB8"/>
    <w:rsid w:val="006D7B17"/>
    <w:rsid w:val="006E0477"/>
    <w:rsid w:val="006E07B0"/>
    <w:rsid w:val="006E0CF9"/>
    <w:rsid w:val="006E24EA"/>
    <w:rsid w:val="006E438E"/>
    <w:rsid w:val="006E492E"/>
    <w:rsid w:val="006E56DF"/>
    <w:rsid w:val="006E580D"/>
    <w:rsid w:val="006F1659"/>
    <w:rsid w:val="006F1B06"/>
    <w:rsid w:val="006F30BF"/>
    <w:rsid w:val="006F3B1C"/>
    <w:rsid w:val="006F43F1"/>
    <w:rsid w:val="006F4FD7"/>
    <w:rsid w:val="006F5342"/>
    <w:rsid w:val="006F58AD"/>
    <w:rsid w:val="006F73A6"/>
    <w:rsid w:val="00700142"/>
    <w:rsid w:val="007009B6"/>
    <w:rsid w:val="00700A25"/>
    <w:rsid w:val="00701F89"/>
    <w:rsid w:val="00702E3D"/>
    <w:rsid w:val="0070333B"/>
    <w:rsid w:val="00703864"/>
    <w:rsid w:val="00703B75"/>
    <w:rsid w:val="00703E18"/>
    <w:rsid w:val="00704218"/>
    <w:rsid w:val="00705454"/>
    <w:rsid w:val="00705661"/>
    <w:rsid w:val="00705DDA"/>
    <w:rsid w:val="007064F9"/>
    <w:rsid w:val="00707166"/>
    <w:rsid w:val="007074AE"/>
    <w:rsid w:val="00710F85"/>
    <w:rsid w:val="00711A6A"/>
    <w:rsid w:val="00711DEB"/>
    <w:rsid w:val="00711FCB"/>
    <w:rsid w:val="0071222C"/>
    <w:rsid w:val="007130C3"/>
    <w:rsid w:val="007139E6"/>
    <w:rsid w:val="00713FA3"/>
    <w:rsid w:val="00715903"/>
    <w:rsid w:val="00715E8D"/>
    <w:rsid w:val="00716418"/>
    <w:rsid w:val="007165C4"/>
    <w:rsid w:val="00716804"/>
    <w:rsid w:val="007175AE"/>
    <w:rsid w:val="00720B1D"/>
    <w:rsid w:val="00720EDC"/>
    <w:rsid w:val="00721A4C"/>
    <w:rsid w:val="007222AB"/>
    <w:rsid w:val="00722658"/>
    <w:rsid w:val="007230F2"/>
    <w:rsid w:val="00723C13"/>
    <w:rsid w:val="007249E3"/>
    <w:rsid w:val="007260B1"/>
    <w:rsid w:val="007263F8"/>
    <w:rsid w:val="00726471"/>
    <w:rsid w:val="00726FBB"/>
    <w:rsid w:val="00727315"/>
    <w:rsid w:val="007273F5"/>
    <w:rsid w:val="00730BB9"/>
    <w:rsid w:val="007322FC"/>
    <w:rsid w:val="00732626"/>
    <w:rsid w:val="0073296E"/>
    <w:rsid w:val="00732AA9"/>
    <w:rsid w:val="00732E25"/>
    <w:rsid w:val="00733288"/>
    <w:rsid w:val="00733C13"/>
    <w:rsid w:val="00733C67"/>
    <w:rsid w:val="00733F6A"/>
    <w:rsid w:val="0073416A"/>
    <w:rsid w:val="007344CE"/>
    <w:rsid w:val="0073457D"/>
    <w:rsid w:val="007351D0"/>
    <w:rsid w:val="00735E7A"/>
    <w:rsid w:val="00736A40"/>
    <w:rsid w:val="00740B93"/>
    <w:rsid w:val="0074139C"/>
    <w:rsid w:val="007421F2"/>
    <w:rsid w:val="007433BC"/>
    <w:rsid w:val="00744CDD"/>
    <w:rsid w:val="007476CE"/>
    <w:rsid w:val="00747B78"/>
    <w:rsid w:val="00750711"/>
    <w:rsid w:val="00751351"/>
    <w:rsid w:val="00751556"/>
    <w:rsid w:val="0075238A"/>
    <w:rsid w:val="00752A3B"/>
    <w:rsid w:val="00753441"/>
    <w:rsid w:val="007534A8"/>
    <w:rsid w:val="00756AEE"/>
    <w:rsid w:val="00756BDE"/>
    <w:rsid w:val="007575A6"/>
    <w:rsid w:val="007607EB"/>
    <w:rsid w:val="00760D8E"/>
    <w:rsid w:val="00760F76"/>
    <w:rsid w:val="007611A6"/>
    <w:rsid w:val="0076196B"/>
    <w:rsid w:val="007625CB"/>
    <w:rsid w:val="00762AB1"/>
    <w:rsid w:val="00762C02"/>
    <w:rsid w:val="007633F1"/>
    <w:rsid w:val="00766C4F"/>
    <w:rsid w:val="00770D48"/>
    <w:rsid w:val="00772303"/>
    <w:rsid w:val="007731EC"/>
    <w:rsid w:val="007759D1"/>
    <w:rsid w:val="00775D0A"/>
    <w:rsid w:val="0077723B"/>
    <w:rsid w:val="007773AD"/>
    <w:rsid w:val="007778C1"/>
    <w:rsid w:val="00777C37"/>
    <w:rsid w:val="00777E5F"/>
    <w:rsid w:val="00781285"/>
    <w:rsid w:val="00781B79"/>
    <w:rsid w:val="00783D4E"/>
    <w:rsid w:val="0078460D"/>
    <w:rsid w:val="00784CEE"/>
    <w:rsid w:val="00784F51"/>
    <w:rsid w:val="0078518C"/>
    <w:rsid w:val="0078640A"/>
    <w:rsid w:val="007869B8"/>
    <w:rsid w:val="0078712E"/>
    <w:rsid w:val="00787834"/>
    <w:rsid w:val="00790B79"/>
    <w:rsid w:val="00790DCF"/>
    <w:rsid w:val="00791718"/>
    <w:rsid w:val="00791DBD"/>
    <w:rsid w:val="0079279B"/>
    <w:rsid w:val="00794060"/>
    <w:rsid w:val="00794B31"/>
    <w:rsid w:val="00794B5C"/>
    <w:rsid w:val="00794CA2"/>
    <w:rsid w:val="007965E4"/>
    <w:rsid w:val="00796C8E"/>
    <w:rsid w:val="00797347"/>
    <w:rsid w:val="007A0820"/>
    <w:rsid w:val="007A175E"/>
    <w:rsid w:val="007A1898"/>
    <w:rsid w:val="007A2DC3"/>
    <w:rsid w:val="007A3D0D"/>
    <w:rsid w:val="007A45B2"/>
    <w:rsid w:val="007A4915"/>
    <w:rsid w:val="007A576B"/>
    <w:rsid w:val="007A61C6"/>
    <w:rsid w:val="007A714B"/>
    <w:rsid w:val="007A7F3D"/>
    <w:rsid w:val="007B0BB7"/>
    <w:rsid w:val="007B0F6B"/>
    <w:rsid w:val="007B1E2F"/>
    <w:rsid w:val="007B36C9"/>
    <w:rsid w:val="007B3BA9"/>
    <w:rsid w:val="007B4408"/>
    <w:rsid w:val="007B46CC"/>
    <w:rsid w:val="007B4BFE"/>
    <w:rsid w:val="007B4EAD"/>
    <w:rsid w:val="007B5737"/>
    <w:rsid w:val="007B6267"/>
    <w:rsid w:val="007B6D4D"/>
    <w:rsid w:val="007B7ABD"/>
    <w:rsid w:val="007B7B4F"/>
    <w:rsid w:val="007C0143"/>
    <w:rsid w:val="007C330F"/>
    <w:rsid w:val="007C4A69"/>
    <w:rsid w:val="007C6221"/>
    <w:rsid w:val="007C65F6"/>
    <w:rsid w:val="007D21E6"/>
    <w:rsid w:val="007D2842"/>
    <w:rsid w:val="007D2F43"/>
    <w:rsid w:val="007D4224"/>
    <w:rsid w:val="007D4736"/>
    <w:rsid w:val="007D4B37"/>
    <w:rsid w:val="007D58C2"/>
    <w:rsid w:val="007D5CF0"/>
    <w:rsid w:val="007D6868"/>
    <w:rsid w:val="007E1E59"/>
    <w:rsid w:val="007E49E6"/>
    <w:rsid w:val="007E4F61"/>
    <w:rsid w:val="007E5205"/>
    <w:rsid w:val="007F06E3"/>
    <w:rsid w:val="007F0EA8"/>
    <w:rsid w:val="007F1506"/>
    <w:rsid w:val="007F1D40"/>
    <w:rsid w:val="007F472C"/>
    <w:rsid w:val="007F4E20"/>
    <w:rsid w:val="007F62BE"/>
    <w:rsid w:val="007F6BDF"/>
    <w:rsid w:val="0080200D"/>
    <w:rsid w:val="008021E5"/>
    <w:rsid w:val="0080451C"/>
    <w:rsid w:val="00804C2E"/>
    <w:rsid w:val="00805553"/>
    <w:rsid w:val="008063DE"/>
    <w:rsid w:val="00807E2F"/>
    <w:rsid w:val="00814336"/>
    <w:rsid w:val="00816ABD"/>
    <w:rsid w:val="00820634"/>
    <w:rsid w:val="00820A0C"/>
    <w:rsid w:val="008210FF"/>
    <w:rsid w:val="00821908"/>
    <w:rsid w:val="008220BF"/>
    <w:rsid w:val="00822CD6"/>
    <w:rsid w:val="0082315E"/>
    <w:rsid w:val="00823C61"/>
    <w:rsid w:val="008257EA"/>
    <w:rsid w:val="00826801"/>
    <w:rsid w:val="00826965"/>
    <w:rsid w:val="0083037F"/>
    <w:rsid w:val="008318E5"/>
    <w:rsid w:val="00831A82"/>
    <w:rsid w:val="00832A33"/>
    <w:rsid w:val="00834C0B"/>
    <w:rsid w:val="008366F9"/>
    <w:rsid w:val="0083752E"/>
    <w:rsid w:val="00837EA9"/>
    <w:rsid w:val="008408B7"/>
    <w:rsid w:val="0084142C"/>
    <w:rsid w:val="00842CD9"/>
    <w:rsid w:val="00843195"/>
    <w:rsid w:val="008443A8"/>
    <w:rsid w:val="00844AE4"/>
    <w:rsid w:val="008452B6"/>
    <w:rsid w:val="00846193"/>
    <w:rsid w:val="008467EC"/>
    <w:rsid w:val="00846CEC"/>
    <w:rsid w:val="00846FF3"/>
    <w:rsid w:val="0084738A"/>
    <w:rsid w:val="00847586"/>
    <w:rsid w:val="00851B51"/>
    <w:rsid w:val="00851C01"/>
    <w:rsid w:val="00851D3D"/>
    <w:rsid w:val="00852A09"/>
    <w:rsid w:val="00852AD5"/>
    <w:rsid w:val="008534E0"/>
    <w:rsid w:val="00853894"/>
    <w:rsid w:val="00853D58"/>
    <w:rsid w:val="00853FCC"/>
    <w:rsid w:val="00855E56"/>
    <w:rsid w:val="00856219"/>
    <w:rsid w:val="00856735"/>
    <w:rsid w:val="00856A66"/>
    <w:rsid w:val="00860438"/>
    <w:rsid w:val="00860C63"/>
    <w:rsid w:val="0086189E"/>
    <w:rsid w:val="008624E0"/>
    <w:rsid w:val="0086379D"/>
    <w:rsid w:val="00864CDC"/>
    <w:rsid w:val="00864D84"/>
    <w:rsid w:val="00865F5A"/>
    <w:rsid w:val="00866ED3"/>
    <w:rsid w:val="00871AA1"/>
    <w:rsid w:val="00871F87"/>
    <w:rsid w:val="00872E79"/>
    <w:rsid w:val="00873B8C"/>
    <w:rsid w:val="00876F97"/>
    <w:rsid w:val="008771BE"/>
    <w:rsid w:val="008809E4"/>
    <w:rsid w:val="00880EFF"/>
    <w:rsid w:val="00881ECB"/>
    <w:rsid w:val="00883E2C"/>
    <w:rsid w:val="00883E4C"/>
    <w:rsid w:val="0088445D"/>
    <w:rsid w:val="00885C75"/>
    <w:rsid w:val="0088719C"/>
    <w:rsid w:val="00892252"/>
    <w:rsid w:val="008930CC"/>
    <w:rsid w:val="008941CB"/>
    <w:rsid w:val="00894624"/>
    <w:rsid w:val="00895FFE"/>
    <w:rsid w:val="00896218"/>
    <w:rsid w:val="00896E4A"/>
    <w:rsid w:val="00897727"/>
    <w:rsid w:val="00897BFB"/>
    <w:rsid w:val="008A0158"/>
    <w:rsid w:val="008A1854"/>
    <w:rsid w:val="008A1C3D"/>
    <w:rsid w:val="008A1EA3"/>
    <w:rsid w:val="008A20C5"/>
    <w:rsid w:val="008A260C"/>
    <w:rsid w:val="008A3EA3"/>
    <w:rsid w:val="008A4B2B"/>
    <w:rsid w:val="008A5550"/>
    <w:rsid w:val="008A58EC"/>
    <w:rsid w:val="008A6BB7"/>
    <w:rsid w:val="008A701C"/>
    <w:rsid w:val="008A7E49"/>
    <w:rsid w:val="008A7F84"/>
    <w:rsid w:val="008B07DD"/>
    <w:rsid w:val="008B156A"/>
    <w:rsid w:val="008B1586"/>
    <w:rsid w:val="008B1E56"/>
    <w:rsid w:val="008B2522"/>
    <w:rsid w:val="008B36D5"/>
    <w:rsid w:val="008B3797"/>
    <w:rsid w:val="008B3FD4"/>
    <w:rsid w:val="008B4779"/>
    <w:rsid w:val="008B4950"/>
    <w:rsid w:val="008B599A"/>
    <w:rsid w:val="008B7366"/>
    <w:rsid w:val="008B7843"/>
    <w:rsid w:val="008C0639"/>
    <w:rsid w:val="008C0BB6"/>
    <w:rsid w:val="008C1378"/>
    <w:rsid w:val="008C1D24"/>
    <w:rsid w:val="008C2220"/>
    <w:rsid w:val="008C2EFD"/>
    <w:rsid w:val="008C2FB9"/>
    <w:rsid w:val="008C4F42"/>
    <w:rsid w:val="008C57B4"/>
    <w:rsid w:val="008C587B"/>
    <w:rsid w:val="008C5E2D"/>
    <w:rsid w:val="008C69AB"/>
    <w:rsid w:val="008C6FE1"/>
    <w:rsid w:val="008C739C"/>
    <w:rsid w:val="008C7919"/>
    <w:rsid w:val="008D1F2D"/>
    <w:rsid w:val="008D2942"/>
    <w:rsid w:val="008D2C31"/>
    <w:rsid w:val="008D3907"/>
    <w:rsid w:val="008D3DD5"/>
    <w:rsid w:val="008D54EB"/>
    <w:rsid w:val="008D558C"/>
    <w:rsid w:val="008D5A21"/>
    <w:rsid w:val="008D6134"/>
    <w:rsid w:val="008D6333"/>
    <w:rsid w:val="008D6422"/>
    <w:rsid w:val="008D6838"/>
    <w:rsid w:val="008D71C8"/>
    <w:rsid w:val="008D7884"/>
    <w:rsid w:val="008D7CA8"/>
    <w:rsid w:val="008E0646"/>
    <w:rsid w:val="008E06B9"/>
    <w:rsid w:val="008E1A97"/>
    <w:rsid w:val="008E2BDE"/>
    <w:rsid w:val="008E5F0C"/>
    <w:rsid w:val="008E62E8"/>
    <w:rsid w:val="008E6434"/>
    <w:rsid w:val="008E7B3E"/>
    <w:rsid w:val="008E7DF3"/>
    <w:rsid w:val="008F01BC"/>
    <w:rsid w:val="008F0610"/>
    <w:rsid w:val="008F0D5B"/>
    <w:rsid w:val="008F0FCE"/>
    <w:rsid w:val="008F3F87"/>
    <w:rsid w:val="008F4604"/>
    <w:rsid w:val="008F4A93"/>
    <w:rsid w:val="008F4AC9"/>
    <w:rsid w:val="008F62E1"/>
    <w:rsid w:val="0090071D"/>
    <w:rsid w:val="00900F8C"/>
    <w:rsid w:val="00901D2E"/>
    <w:rsid w:val="00902E7F"/>
    <w:rsid w:val="00903AF6"/>
    <w:rsid w:val="00903BD5"/>
    <w:rsid w:val="00905C08"/>
    <w:rsid w:val="00907070"/>
    <w:rsid w:val="0090733C"/>
    <w:rsid w:val="00910550"/>
    <w:rsid w:val="00910DBF"/>
    <w:rsid w:val="009110E3"/>
    <w:rsid w:val="00912402"/>
    <w:rsid w:val="00912B3C"/>
    <w:rsid w:val="00912EF3"/>
    <w:rsid w:val="0091452E"/>
    <w:rsid w:val="00914B8B"/>
    <w:rsid w:val="009203EE"/>
    <w:rsid w:val="009216EC"/>
    <w:rsid w:val="00921A4D"/>
    <w:rsid w:val="00921BF3"/>
    <w:rsid w:val="00921F5C"/>
    <w:rsid w:val="00923198"/>
    <w:rsid w:val="00923490"/>
    <w:rsid w:val="00923CAD"/>
    <w:rsid w:val="00923FAE"/>
    <w:rsid w:val="00925F42"/>
    <w:rsid w:val="009271A4"/>
    <w:rsid w:val="00927354"/>
    <w:rsid w:val="00927405"/>
    <w:rsid w:val="00927FB9"/>
    <w:rsid w:val="00930B0F"/>
    <w:rsid w:val="00931749"/>
    <w:rsid w:val="00931DD1"/>
    <w:rsid w:val="00932003"/>
    <w:rsid w:val="00932BC0"/>
    <w:rsid w:val="0093334E"/>
    <w:rsid w:val="00934760"/>
    <w:rsid w:val="00934AEA"/>
    <w:rsid w:val="0093549F"/>
    <w:rsid w:val="009355F9"/>
    <w:rsid w:val="009363D2"/>
    <w:rsid w:val="009364A2"/>
    <w:rsid w:val="00936E36"/>
    <w:rsid w:val="00936F46"/>
    <w:rsid w:val="00937B4B"/>
    <w:rsid w:val="00937CE4"/>
    <w:rsid w:val="009407F4"/>
    <w:rsid w:val="009411BA"/>
    <w:rsid w:val="0094135D"/>
    <w:rsid w:val="009415AA"/>
    <w:rsid w:val="00941762"/>
    <w:rsid w:val="00941BF6"/>
    <w:rsid w:val="00942E59"/>
    <w:rsid w:val="00944B13"/>
    <w:rsid w:val="009469B8"/>
    <w:rsid w:val="00946B19"/>
    <w:rsid w:val="00946EF3"/>
    <w:rsid w:val="00946FAA"/>
    <w:rsid w:val="0094763B"/>
    <w:rsid w:val="00947735"/>
    <w:rsid w:val="00947D0D"/>
    <w:rsid w:val="00947DAF"/>
    <w:rsid w:val="0095082F"/>
    <w:rsid w:val="00950FFA"/>
    <w:rsid w:val="00951845"/>
    <w:rsid w:val="00951B33"/>
    <w:rsid w:val="00953837"/>
    <w:rsid w:val="009539E9"/>
    <w:rsid w:val="00954913"/>
    <w:rsid w:val="0095561D"/>
    <w:rsid w:val="00955B57"/>
    <w:rsid w:val="00956564"/>
    <w:rsid w:val="009566BB"/>
    <w:rsid w:val="009569F9"/>
    <w:rsid w:val="009576EF"/>
    <w:rsid w:val="009608C6"/>
    <w:rsid w:val="009615AB"/>
    <w:rsid w:val="0096234F"/>
    <w:rsid w:val="00964707"/>
    <w:rsid w:val="0096475C"/>
    <w:rsid w:val="00964C1A"/>
    <w:rsid w:val="00964FCC"/>
    <w:rsid w:val="00965128"/>
    <w:rsid w:val="00965989"/>
    <w:rsid w:val="009661B4"/>
    <w:rsid w:val="0096673D"/>
    <w:rsid w:val="00966AED"/>
    <w:rsid w:val="00966DF5"/>
    <w:rsid w:val="009679A8"/>
    <w:rsid w:val="009708AB"/>
    <w:rsid w:val="00973A48"/>
    <w:rsid w:val="00974577"/>
    <w:rsid w:val="009746D0"/>
    <w:rsid w:val="00974D14"/>
    <w:rsid w:val="00974E99"/>
    <w:rsid w:val="0097502C"/>
    <w:rsid w:val="00975B0D"/>
    <w:rsid w:val="00975E45"/>
    <w:rsid w:val="0097642D"/>
    <w:rsid w:val="009764C4"/>
    <w:rsid w:val="00977FB9"/>
    <w:rsid w:val="009819A8"/>
    <w:rsid w:val="009821A9"/>
    <w:rsid w:val="0098292E"/>
    <w:rsid w:val="00982E73"/>
    <w:rsid w:val="00982F25"/>
    <w:rsid w:val="00983CC0"/>
    <w:rsid w:val="0098421B"/>
    <w:rsid w:val="00984B55"/>
    <w:rsid w:val="009860D7"/>
    <w:rsid w:val="009866AC"/>
    <w:rsid w:val="00987DE5"/>
    <w:rsid w:val="009904E3"/>
    <w:rsid w:val="0099054E"/>
    <w:rsid w:val="00990FAF"/>
    <w:rsid w:val="00991EEF"/>
    <w:rsid w:val="0099239D"/>
    <w:rsid w:val="00992D6D"/>
    <w:rsid w:val="009939C1"/>
    <w:rsid w:val="009946BA"/>
    <w:rsid w:val="009949C6"/>
    <w:rsid w:val="009967FF"/>
    <w:rsid w:val="00997E3C"/>
    <w:rsid w:val="009A08F5"/>
    <w:rsid w:val="009A173D"/>
    <w:rsid w:val="009A2C46"/>
    <w:rsid w:val="009A3996"/>
    <w:rsid w:val="009A40EC"/>
    <w:rsid w:val="009A41B8"/>
    <w:rsid w:val="009A5612"/>
    <w:rsid w:val="009A6493"/>
    <w:rsid w:val="009A695F"/>
    <w:rsid w:val="009A6B7F"/>
    <w:rsid w:val="009B0192"/>
    <w:rsid w:val="009B1F1F"/>
    <w:rsid w:val="009B2AAB"/>
    <w:rsid w:val="009B30D4"/>
    <w:rsid w:val="009B31F2"/>
    <w:rsid w:val="009B329B"/>
    <w:rsid w:val="009B532E"/>
    <w:rsid w:val="009B590C"/>
    <w:rsid w:val="009B5C51"/>
    <w:rsid w:val="009B5D1C"/>
    <w:rsid w:val="009B5F98"/>
    <w:rsid w:val="009B6917"/>
    <w:rsid w:val="009B71E9"/>
    <w:rsid w:val="009B77CF"/>
    <w:rsid w:val="009B7B0D"/>
    <w:rsid w:val="009C1CA0"/>
    <w:rsid w:val="009C1D31"/>
    <w:rsid w:val="009C218D"/>
    <w:rsid w:val="009C2F87"/>
    <w:rsid w:val="009C3BB8"/>
    <w:rsid w:val="009C4281"/>
    <w:rsid w:val="009C4E43"/>
    <w:rsid w:val="009C514B"/>
    <w:rsid w:val="009C561F"/>
    <w:rsid w:val="009C6883"/>
    <w:rsid w:val="009C6F8C"/>
    <w:rsid w:val="009C7A90"/>
    <w:rsid w:val="009C7C70"/>
    <w:rsid w:val="009D0C88"/>
    <w:rsid w:val="009D1FC0"/>
    <w:rsid w:val="009D51FE"/>
    <w:rsid w:val="009D68C1"/>
    <w:rsid w:val="009E1AFC"/>
    <w:rsid w:val="009E1CB4"/>
    <w:rsid w:val="009E1DE8"/>
    <w:rsid w:val="009E2644"/>
    <w:rsid w:val="009E2EE6"/>
    <w:rsid w:val="009E36CC"/>
    <w:rsid w:val="009E3BA8"/>
    <w:rsid w:val="009E40DD"/>
    <w:rsid w:val="009E4AA3"/>
    <w:rsid w:val="009E6548"/>
    <w:rsid w:val="009E6CBA"/>
    <w:rsid w:val="009E6F56"/>
    <w:rsid w:val="009E72B6"/>
    <w:rsid w:val="009F3305"/>
    <w:rsid w:val="009F3554"/>
    <w:rsid w:val="009F40E3"/>
    <w:rsid w:val="009F533C"/>
    <w:rsid w:val="009F5ABF"/>
    <w:rsid w:val="009F6543"/>
    <w:rsid w:val="00A018C4"/>
    <w:rsid w:val="00A01D16"/>
    <w:rsid w:val="00A02C3C"/>
    <w:rsid w:val="00A03162"/>
    <w:rsid w:val="00A03442"/>
    <w:rsid w:val="00A04460"/>
    <w:rsid w:val="00A05182"/>
    <w:rsid w:val="00A051E1"/>
    <w:rsid w:val="00A059F2"/>
    <w:rsid w:val="00A05D8E"/>
    <w:rsid w:val="00A06451"/>
    <w:rsid w:val="00A067B5"/>
    <w:rsid w:val="00A072F4"/>
    <w:rsid w:val="00A07FC6"/>
    <w:rsid w:val="00A1057B"/>
    <w:rsid w:val="00A115D2"/>
    <w:rsid w:val="00A16936"/>
    <w:rsid w:val="00A16A0C"/>
    <w:rsid w:val="00A16B30"/>
    <w:rsid w:val="00A16C19"/>
    <w:rsid w:val="00A17A52"/>
    <w:rsid w:val="00A20E3F"/>
    <w:rsid w:val="00A21253"/>
    <w:rsid w:val="00A21C2D"/>
    <w:rsid w:val="00A2248B"/>
    <w:rsid w:val="00A232D0"/>
    <w:rsid w:val="00A24B2C"/>
    <w:rsid w:val="00A24F68"/>
    <w:rsid w:val="00A25225"/>
    <w:rsid w:val="00A252CE"/>
    <w:rsid w:val="00A264C0"/>
    <w:rsid w:val="00A266EB"/>
    <w:rsid w:val="00A26E0E"/>
    <w:rsid w:val="00A3230E"/>
    <w:rsid w:val="00A32C40"/>
    <w:rsid w:val="00A32D6D"/>
    <w:rsid w:val="00A32DE7"/>
    <w:rsid w:val="00A334A3"/>
    <w:rsid w:val="00A339AC"/>
    <w:rsid w:val="00A339B1"/>
    <w:rsid w:val="00A33AFC"/>
    <w:rsid w:val="00A342F3"/>
    <w:rsid w:val="00A354A1"/>
    <w:rsid w:val="00A35551"/>
    <w:rsid w:val="00A35ABB"/>
    <w:rsid w:val="00A35F5B"/>
    <w:rsid w:val="00A3607C"/>
    <w:rsid w:val="00A3622A"/>
    <w:rsid w:val="00A36C2C"/>
    <w:rsid w:val="00A3740C"/>
    <w:rsid w:val="00A40884"/>
    <w:rsid w:val="00A41438"/>
    <w:rsid w:val="00A41449"/>
    <w:rsid w:val="00A4239F"/>
    <w:rsid w:val="00A4313A"/>
    <w:rsid w:val="00A43BAC"/>
    <w:rsid w:val="00A44863"/>
    <w:rsid w:val="00A44986"/>
    <w:rsid w:val="00A44C44"/>
    <w:rsid w:val="00A455D5"/>
    <w:rsid w:val="00A468EF"/>
    <w:rsid w:val="00A4757C"/>
    <w:rsid w:val="00A478D6"/>
    <w:rsid w:val="00A50D05"/>
    <w:rsid w:val="00A528CD"/>
    <w:rsid w:val="00A52E4A"/>
    <w:rsid w:val="00A53828"/>
    <w:rsid w:val="00A53986"/>
    <w:rsid w:val="00A53A17"/>
    <w:rsid w:val="00A54450"/>
    <w:rsid w:val="00A54D65"/>
    <w:rsid w:val="00A55755"/>
    <w:rsid w:val="00A55842"/>
    <w:rsid w:val="00A55A9A"/>
    <w:rsid w:val="00A560CB"/>
    <w:rsid w:val="00A56307"/>
    <w:rsid w:val="00A565CD"/>
    <w:rsid w:val="00A61105"/>
    <w:rsid w:val="00A622CA"/>
    <w:rsid w:val="00A62D77"/>
    <w:rsid w:val="00A63213"/>
    <w:rsid w:val="00A63953"/>
    <w:rsid w:val="00A64E43"/>
    <w:rsid w:val="00A65593"/>
    <w:rsid w:val="00A65680"/>
    <w:rsid w:val="00A65854"/>
    <w:rsid w:val="00A65B0E"/>
    <w:rsid w:val="00A65CC6"/>
    <w:rsid w:val="00A65FFC"/>
    <w:rsid w:val="00A71402"/>
    <w:rsid w:val="00A718EA"/>
    <w:rsid w:val="00A71FDB"/>
    <w:rsid w:val="00A720B1"/>
    <w:rsid w:val="00A720F7"/>
    <w:rsid w:val="00A72D89"/>
    <w:rsid w:val="00A730AD"/>
    <w:rsid w:val="00A73F36"/>
    <w:rsid w:val="00A73FDC"/>
    <w:rsid w:val="00A7402C"/>
    <w:rsid w:val="00A747A4"/>
    <w:rsid w:val="00A74EAF"/>
    <w:rsid w:val="00A76710"/>
    <w:rsid w:val="00A76E4B"/>
    <w:rsid w:val="00A77C87"/>
    <w:rsid w:val="00A80714"/>
    <w:rsid w:val="00A81370"/>
    <w:rsid w:val="00A81F02"/>
    <w:rsid w:val="00A82126"/>
    <w:rsid w:val="00A82C72"/>
    <w:rsid w:val="00A82E1D"/>
    <w:rsid w:val="00A82FAC"/>
    <w:rsid w:val="00A84DFE"/>
    <w:rsid w:val="00A8502D"/>
    <w:rsid w:val="00A851CC"/>
    <w:rsid w:val="00A85AA7"/>
    <w:rsid w:val="00A866FC"/>
    <w:rsid w:val="00A86733"/>
    <w:rsid w:val="00A86C93"/>
    <w:rsid w:val="00A92050"/>
    <w:rsid w:val="00A932CE"/>
    <w:rsid w:val="00A945CF"/>
    <w:rsid w:val="00A9538B"/>
    <w:rsid w:val="00A958C1"/>
    <w:rsid w:val="00A9604B"/>
    <w:rsid w:val="00A96CA2"/>
    <w:rsid w:val="00A978E2"/>
    <w:rsid w:val="00A97C5A"/>
    <w:rsid w:val="00AA0E14"/>
    <w:rsid w:val="00AA0E3E"/>
    <w:rsid w:val="00AA112D"/>
    <w:rsid w:val="00AA19A5"/>
    <w:rsid w:val="00AA21AA"/>
    <w:rsid w:val="00AA392C"/>
    <w:rsid w:val="00AA3C86"/>
    <w:rsid w:val="00AA429B"/>
    <w:rsid w:val="00AA4E6C"/>
    <w:rsid w:val="00AA6527"/>
    <w:rsid w:val="00AA7B70"/>
    <w:rsid w:val="00AA7F23"/>
    <w:rsid w:val="00AB02A1"/>
    <w:rsid w:val="00AB0ED2"/>
    <w:rsid w:val="00AB0EFB"/>
    <w:rsid w:val="00AB17CC"/>
    <w:rsid w:val="00AB1EB3"/>
    <w:rsid w:val="00AB241B"/>
    <w:rsid w:val="00AB2A45"/>
    <w:rsid w:val="00AB375E"/>
    <w:rsid w:val="00AB4323"/>
    <w:rsid w:val="00AB4A10"/>
    <w:rsid w:val="00AB59A7"/>
    <w:rsid w:val="00AB59B5"/>
    <w:rsid w:val="00AB7530"/>
    <w:rsid w:val="00AB75A4"/>
    <w:rsid w:val="00AB7A98"/>
    <w:rsid w:val="00AC0D6A"/>
    <w:rsid w:val="00AC15D2"/>
    <w:rsid w:val="00AC1617"/>
    <w:rsid w:val="00AC1B6A"/>
    <w:rsid w:val="00AC4E3F"/>
    <w:rsid w:val="00AC61AF"/>
    <w:rsid w:val="00AC68D0"/>
    <w:rsid w:val="00AC6B45"/>
    <w:rsid w:val="00AC754B"/>
    <w:rsid w:val="00AC754E"/>
    <w:rsid w:val="00AD01FF"/>
    <w:rsid w:val="00AD39F1"/>
    <w:rsid w:val="00AD3D13"/>
    <w:rsid w:val="00AD4430"/>
    <w:rsid w:val="00AD46ED"/>
    <w:rsid w:val="00AD4F53"/>
    <w:rsid w:val="00AD50B0"/>
    <w:rsid w:val="00AD5661"/>
    <w:rsid w:val="00AD7C6B"/>
    <w:rsid w:val="00AE090B"/>
    <w:rsid w:val="00AE13DC"/>
    <w:rsid w:val="00AE1971"/>
    <w:rsid w:val="00AE1DAE"/>
    <w:rsid w:val="00AE2377"/>
    <w:rsid w:val="00AE23C5"/>
    <w:rsid w:val="00AE3446"/>
    <w:rsid w:val="00AE53FA"/>
    <w:rsid w:val="00AE61AB"/>
    <w:rsid w:val="00AE7832"/>
    <w:rsid w:val="00AF141B"/>
    <w:rsid w:val="00AF1A73"/>
    <w:rsid w:val="00AF1BBE"/>
    <w:rsid w:val="00AF218C"/>
    <w:rsid w:val="00AF28BC"/>
    <w:rsid w:val="00AF30DC"/>
    <w:rsid w:val="00AF3B60"/>
    <w:rsid w:val="00AF4746"/>
    <w:rsid w:val="00AF4FD7"/>
    <w:rsid w:val="00AF51E1"/>
    <w:rsid w:val="00AF5207"/>
    <w:rsid w:val="00AF79E4"/>
    <w:rsid w:val="00B00154"/>
    <w:rsid w:val="00B00BB5"/>
    <w:rsid w:val="00B01388"/>
    <w:rsid w:val="00B01804"/>
    <w:rsid w:val="00B035D1"/>
    <w:rsid w:val="00B03EBA"/>
    <w:rsid w:val="00B043FD"/>
    <w:rsid w:val="00B04EB8"/>
    <w:rsid w:val="00B05D5E"/>
    <w:rsid w:val="00B05EED"/>
    <w:rsid w:val="00B062BB"/>
    <w:rsid w:val="00B06A5C"/>
    <w:rsid w:val="00B06B06"/>
    <w:rsid w:val="00B06DFE"/>
    <w:rsid w:val="00B1153E"/>
    <w:rsid w:val="00B12CC8"/>
    <w:rsid w:val="00B12E9F"/>
    <w:rsid w:val="00B14CB3"/>
    <w:rsid w:val="00B1585F"/>
    <w:rsid w:val="00B15DD7"/>
    <w:rsid w:val="00B1698C"/>
    <w:rsid w:val="00B16BEB"/>
    <w:rsid w:val="00B17D77"/>
    <w:rsid w:val="00B17DAD"/>
    <w:rsid w:val="00B20F4D"/>
    <w:rsid w:val="00B2371F"/>
    <w:rsid w:val="00B239A6"/>
    <w:rsid w:val="00B23EB4"/>
    <w:rsid w:val="00B24855"/>
    <w:rsid w:val="00B24E5B"/>
    <w:rsid w:val="00B254F0"/>
    <w:rsid w:val="00B2659A"/>
    <w:rsid w:val="00B30746"/>
    <w:rsid w:val="00B30D9B"/>
    <w:rsid w:val="00B30FE3"/>
    <w:rsid w:val="00B31F50"/>
    <w:rsid w:val="00B3421B"/>
    <w:rsid w:val="00B34E88"/>
    <w:rsid w:val="00B34F48"/>
    <w:rsid w:val="00B359CA"/>
    <w:rsid w:val="00B35CE0"/>
    <w:rsid w:val="00B36805"/>
    <w:rsid w:val="00B368C7"/>
    <w:rsid w:val="00B3786B"/>
    <w:rsid w:val="00B408F0"/>
    <w:rsid w:val="00B41697"/>
    <w:rsid w:val="00B41FB6"/>
    <w:rsid w:val="00B42083"/>
    <w:rsid w:val="00B43465"/>
    <w:rsid w:val="00B43979"/>
    <w:rsid w:val="00B4656B"/>
    <w:rsid w:val="00B501B7"/>
    <w:rsid w:val="00B5046D"/>
    <w:rsid w:val="00B50AAA"/>
    <w:rsid w:val="00B53B44"/>
    <w:rsid w:val="00B54668"/>
    <w:rsid w:val="00B5471D"/>
    <w:rsid w:val="00B54752"/>
    <w:rsid w:val="00B560F8"/>
    <w:rsid w:val="00B562A3"/>
    <w:rsid w:val="00B56D82"/>
    <w:rsid w:val="00B56EDF"/>
    <w:rsid w:val="00B57176"/>
    <w:rsid w:val="00B5775B"/>
    <w:rsid w:val="00B57B19"/>
    <w:rsid w:val="00B60445"/>
    <w:rsid w:val="00B605D9"/>
    <w:rsid w:val="00B60821"/>
    <w:rsid w:val="00B622A3"/>
    <w:rsid w:val="00B626AB"/>
    <w:rsid w:val="00B628A9"/>
    <w:rsid w:val="00B62ABA"/>
    <w:rsid w:val="00B63523"/>
    <w:rsid w:val="00B66962"/>
    <w:rsid w:val="00B66F4C"/>
    <w:rsid w:val="00B700D0"/>
    <w:rsid w:val="00B704D4"/>
    <w:rsid w:val="00B70CC2"/>
    <w:rsid w:val="00B718E2"/>
    <w:rsid w:val="00B71DA4"/>
    <w:rsid w:val="00B71E54"/>
    <w:rsid w:val="00B750F9"/>
    <w:rsid w:val="00B76794"/>
    <w:rsid w:val="00B771F4"/>
    <w:rsid w:val="00B7753B"/>
    <w:rsid w:val="00B800A6"/>
    <w:rsid w:val="00B80574"/>
    <w:rsid w:val="00B82BA0"/>
    <w:rsid w:val="00B832D3"/>
    <w:rsid w:val="00B8419B"/>
    <w:rsid w:val="00B8446C"/>
    <w:rsid w:val="00B855D0"/>
    <w:rsid w:val="00B8799F"/>
    <w:rsid w:val="00B87E16"/>
    <w:rsid w:val="00B91DB0"/>
    <w:rsid w:val="00B930A5"/>
    <w:rsid w:val="00B93174"/>
    <w:rsid w:val="00B93584"/>
    <w:rsid w:val="00B94CFE"/>
    <w:rsid w:val="00B95A9E"/>
    <w:rsid w:val="00B96AF4"/>
    <w:rsid w:val="00B96D61"/>
    <w:rsid w:val="00B97971"/>
    <w:rsid w:val="00B97BCF"/>
    <w:rsid w:val="00BA055E"/>
    <w:rsid w:val="00BA07A5"/>
    <w:rsid w:val="00BA093A"/>
    <w:rsid w:val="00BA0F47"/>
    <w:rsid w:val="00BA1410"/>
    <w:rsid w:val="00BA1ABB"/>
    <w:rsid w:val="00BA1E1B"/>
    <w:rsid w:val="00BA26B3"/>
    <w:rsid w:val="00BA3B82"/>
    <w:rsid w:val="00BA4816"/>
    <w:rsid w:val="00BA544E"/>
    <w:rsid w:val="00BA5668"/>
    <w:rsid w:val="00BA5EF0"/>
    <w:rsid w:val="00BA6167"/>
    <w:rsid w:val="00BA70AC"/>
    <w:rsid w:val="00BA711A"/>
    <w:rsid w:val="00BA7142"/>
    <w:rsid w:val="00BA73AC"/>
    <w:rsid w:val="00BB0F67"/>
    <w:rsid w:val="00BB10B8"/>
    <w:rsid w:val="00BB245D"/>
    <w:rsid w:val="00BB35D8"/>
    <w:rsid w:val="00BB46CD"/>
    <w:rsid w:val="00BB4CE7"/>
    <w:rsid w:val="00BB62A3"/>
    <w:rsid w:val="00BC0198"/>
    <w:rsid w:val="00BC0466"/>
    <w:rsid w:val="00BC0A1F"/>
    <w:rsid w:val="00BC0E0F"/>
    <w:rsid w:val="00BC1C47"/>
    <w:rsid w:val="00BC249E"/>
    <w:rsid w:val="00BC2BA1"/>
    <w:rsid w:val="00BC3C53"/>
    <w:rsid w:val="00BC3DE3"/>
    <w:rsid w:val="00BC433C"/>
    <w:rsid w:val="00BC444A"/>
    <w:rsid w:val="00BC50AD"/>
    <w:rsid w:val="00BC52FA"/>
    <w:rsid w:val="00BC5FA3"/>
    <w:rsid w:val="00BC7051"/>
    <w:rsid w:val="00BD0EE9"/>
    <w:rsid w:val="00BD2117"/>
    <w:rsid w:val="00BD3021"/>
    <w:rsid w:val="00BD4066"/>
    <w:rsid w:val="00BD40C4"/>
    <w:rsid w:val="00BD45B2"/>
    <w:rsid w:val="00BD6654"/>
    <w:rsid w:val="00BD69AC"/>
    <w:rsid w:val="00BD716C"/>
    <w:rsid w:val="00BD7C83"/>
    <w:rsid w:val="00BD7DA0"/>
    <w:rsid w:val="00BE02E6"/>
    <w:rsid w:val="00BE2139"/>
    <w:rsid w:val="00BE2F5B"/>
    <w:rsid w:val="00BE382E"/>
    <w:rsid w:val="00BE3D6D"/>
    <w:rsid w:val="00BE43E1"/>
    <w:rsid w:val="00BE447C"/>
    <w:rsid w:val="00BE45B1"/>
    <w:rsid w:val="00BE600F"/>
    <w:rsid w:val="00BE621B"/>
    <w:rsid w:val="00BE7901"/>
    <w:rsid w:val="00BF016B"/>
    <w:rsid w:val="00BF0170"/>
    <w:rsid w:val="00BF0F01"/>
    <w:rsid w:val="00BF2942"/>
    <w:rsid w:val="00BF2C0A"/>
    <w:rsid w:val="00BF35C2"/>
    <w:rsid w:val="00BF3C14"/>
    <w:rsid w:val="00BF4E0A"/>
    <w:rsid w:val="00BF6326"/>
    <w:rsid w:val="00BF67CA"/>
    <w:rsid w:val="00BF6C77"/>
    <w:rsid w:val="00C00970"/>
    <w:rsid w:val="00C0122C"/>
    <w:rsid w:val="00C01B0F"/>
    <w:rsid w:val="00C01BF3"/>
    <w:rsid w:val="00C0220A"/>
    <w:rsid w:val="00C02AB9"/>
    <w:rsid w:val="00C03265"/>
    <w:rsid w:val="00C0379C"/>
    <w:rsid w:val="00C0417F"/>
    <w:rsid w:val="00C041A5"/>
    <w:rsid w:val="00C04B5C"/>
    <w:rsid w:val="00C04C9B"/>
    <w:rsid w:val="00C0662B"/>
    <w:rsid w:val="00C066C9"/>
    <w:rsid w:val="00C069AA"/>
    <w:rsid w:val="00C077E1"/>
    <w:rsid w:val="00C07FB1"/>
    <w:rsid w:val="00C10529"/>
    <w:rsid w:val="00C10C3A"/>
    <w:rsid w:val="00C11709"/>
    <w:rsid w:val="00C123F3"/>
    <w:rsid w:val="00C135A7"/>
    <w:rsid w:val="00C13B27"/>
    <w:rsid w:val="00C14694"/>
    <w:rsid w:val="00C14B84"/>
    <w:rsid w:val="00C14DD5"/>
    <w:rsid w:val="00C1595B"/>
    <w:rsid w:val="00C17919"/>
    <w:rsid w:val="00C17BF7"/>
    <w:rsid w:val="00C21533"/>
    <w:rsid w:val="00C21604"/>
    <w:rsid w:val="00C216FA"/>
    <w:rsid w:val="00C21933"/>
    <w:rsid w:val="00C22221"/>
    <w:rsid w:val="00C22E9E"/>
    <w:rsid w:val="00C23AD6"/>
    <w:rsid w:val="00C24125"/>
    <w:rsid w:val="00C261A3"/>
    <w:rsid w:val="00C2671B"/>
    <w:rsid w:val="00C271F9"/>
    <w:rsid w:val="00C27AB2"/>
    <w:rsid w:val="00C27D8D"/>
    <w:rsid w:val="00C305C3"/>
    <w:rsid w:val="00C30914"/>
    <w:rsid w:val="00C30C00"/>
    <w:rsid w:val="00C30EB3"/>
    <w:rsid w:val="00C31007"/>
    <w:rsid w:val="00C3162C"/>
    <w:rsid w:val="00C31BD0"/>
    <w:rsid w:val="00C32118"/>
    <w:rsid w:val="00C334A9"/>
    <w:rsid w:val="00C34C50"/>
    <w:rsid w:val="00C3505A"/>
    <w:rsid w:val="00C35C18"/>
    <w:rsid w:val="00C35FB5"/>
    <w:rsid w:val="00C373C0"/>
    <w:rsid w:val="00C376DD"/>
    <w:rsid w:val="00C378AE"/>
    <w:rsid w:val="00C409FB"/>
    <w:rsid w:val="00C40AC7"/>
    <w:rsid w:val="00C4121B"/>
    <w:rsid w:val="00C41476"/>
    <w:rsid w:val="00C416D2"/>
    <w:rsid w:val="00C416F1"/>
    <w:rsid w:val="00C42B90"/>
    <w:rsid w:val="00C42DA7"/>
    <w:rsid w:val="00C443ED"/>
    <w:rsid w:val="00C44660"/>
    <w:rsid w:val="00C45D94"/>
    <w:rsid w:val="00C51756"/>
    <w:rsid w:val="00C51A04"/>
    <w:rsid w:val="00C51A2E"/>
    <w:rsid w:val="00C51FB7"/>
    <w:rsid w:val="00C52DA3"/>
    <w:rsid w:val="00C53661"/>
    <w:rsid w:val="00C53FBC"/>
    <w:rsid w:val="00C54AEA"/>
    <w:rsid w:val="00C55156"/>
    <w:rsid w:val="00C5633A"/>
    <w:rsid w:val="00C569A3"/>
    <w:rsid w:val="00C60A55"/>
    <w:rsid w:val="00C60CD1"/>
    <w:rsid w:val="00C62D23"/>
    <w:rsid w:val="00C64DC3"/>
    <w:rsid w:val="00C650EA"/>
    <w:rsid w:val="00C65600"/>
    <w:rsid w:val="00C67DE1"/>
    <w:rsid w:val="00C70E45"/>
    <w:rsid w:val="00C7271B"/>
    <w:rsid w:val="00C7327E"/>
    <w:rsid w:val="00C74B42"/>
    <w:rsid w:val="00C74C47"/>
    <w:rsid w:val="00C750BE"/>
    <w:rsid w:val="00C7545E"/>
    <w:rsid w:val="00C75BD7"/>
    <w:rsid w:val="00C76CCD"/>
    <w:rsid w:val="00C777CB"/>
    <w:rsid w:val="00C778D1"/>
    <w:rsid w:val="00C81680"/>
    <w:rsid w:val="00C824FF"/>
    <w:rsid w:val="00C83A67"/>
    <w:rsid w:val="00C8501F"/>
    <w:rsid w:val="00C85137"/>
    <w:rsid w:val="00C852D5"/>
    <w:rsid w:val="00C85E44"/>
    <w:rsid w:val="00C86480"/>
    <w:rsid w:val="00C86C3F"/>
    <w:rsid w:val="00C90F22"/>
    <w:rsid w:val="00C92523"/>
    <w:rsid w:val="00C92707"/>
    <w:rsid w:val="00C92848"/>
    <w:rsid w:val="00C92AD8"/>
    <w:rsid w:val="00C937FC"/>
    <w:rsid w:val="00C93B01"/>
    <w:rsid w:val="00C95206"/>
    <w:rsid w:val="00C96679"/>
    <w:rsid w:val="00C973E1"/>
    <w:rsid w:val="00CA122A"/>
    <w:rsid w:val="00CA1764"/>
    <w:rsid w:val="00CA20A2"/>
    <w:rsid w:val="00CA29DC"/>
    <w:rsid w:val="00CA3449"/>
    <w:rsid w:val="00CA34C1"/>
    <w:rsid w:val="00CA3A30"/>
    <w:rsid w:val="00CA3B2B"/>
    <w:rsid w:val="00CA4921"/>
    <w:rsid w:val="00CA4B17"/>
    <w:rsid w:val="00CA4DF9"/>
    <w:rsid w:val="00CA7B7D"/>
    <w:rsid w:val="00CA7DB8"/>
    <w:rsid w:val="00CB0A32"/>
    <w:rsid w:val="00CB1860"/>
    <w:rsid w:val="00CB19F2"/>
    <w:rsid w:val="00CB4384"/>
    <w:rsid w:val="00CB43E0"/>
    <w:rsid w:val="00CB57CC"/>
    <w:rsid w:val="00CB6F25"/>
    <w:rsid w:val="00CB77DC"/>
    <w:rsid w:val="00CB7AC1"/>
    <w:rsid w:val="00CC06CA"/>
    <w:rsid w:val="00CC11D5"/>
    <w:rsid w:val="00CC18CC"/>
    <w:rsid w:val="00CC33B1"/>
    <w:rsid w:val="00CC399E"/>
    <w:rsid w:val="00CC4526"/>
    <w:rsid w:val="00CC59AD"/>
    <w:rsid w:val="00CC782A"/>
    <w:rsid w:val="00CD04CB"/>
    <w:rsid w:val="00CD1B2B"/>
    <w:rsid w:val="00CD1BE0"/>
    <w:rsid w:val="00CD1C29"/>
    <w:rsid w:val="00CD421A"/>
    <w:rsid w:val="00CD55A1"/>
    <w:rsid w:val="00CD567A"/>
    <w:rsid w:val="00CD5DB2"/>
    <w:rsid w:val="00CD6454"/>
    <w:rsid w:val="00CD6C0D"/>
    <w:rsid w:val="00CD6E8A"/>
    <w:rsid w:val="00CD7A21"/>
    <w:rsid w:val="00CD7F1C"/>
    <w:rsid w:val="00CE0299"/>
    <w:rsid w:val="00CE1851"/>
    <w:rsid w:val="00CE19CD"/>
    <w:rsid w:val="00CE1B8A"/>
    <w:rsid w:val="00CE2B82"/>
    <w:rsid w:val="00CE36BD"/>
    <w:rsid w:val="00CE3C9F"/>
    <w:rsid w:val="00CF0B41"/>
    <w:rsid w:val="00CF0EE4"/>
    <w:rsid w:val="00CF2526"/>
    <w:rsid w:val="00CF265A"/>
    <w:rsid w:val="00CF3D3A"/>
    <w:rsid w:val="00CF4CC5"/>
    <w:rsid w:val="00CF51DB"/>
    <w:rsid w:val="00CF5E20"/>
    <w:rsid w:val="00CF7A2D"/>
    <w:rsid w:val="00D009BF"/>
    <w:rsid w:val="00D0165D"/>
    <w:rsid w:val="00D029ED"/>
    <w:rsid w:val="00D055AB"/>
    <w:rsid w:val="00D07545"/>
    <w:rsid w:val="00D11102"/>
    <w:rsid w:val="00D1437D"/>
    <w:rsid w:val="00D15976"/>
    <w:rsid w:val="00D15A7C"/>
    <w:rsid w:val="00D2018D"/>
    <w:rsid w:val="00D21A8C"/>
    <w:rsid w:val="00D236AB"/>
    <w:rsid w:val="00D24212"/>
    <w:rsid w:val="00D263B8"/>
    <w:rsid w:val="00D3086F"/>
    <w:rsid w:val="00D30AEE"/>
    <w:rsid w:val="00D319D2"/>
    <w:rsid w:val="00D33D30"/>
    <w:rsid w:val="00D3483E"/>
    <w:rsid w:val="00D34A16"/>
    <w:rsid w:val="00D34F0C"/>
    <w:rsid w:val="00D35C98"/>
    <w:rsid w:val="00D36E7D"/>
    <w:rsid w:val="00D41349"/>
    <w:rsid w:val="00D424BF"/>
    <w:rsid w:val="00D43E5F"/>
    <w:rsid w:val="00D44176"/>
    <w:rsid w:val="00D44D4B"/>
    <w:rsid w:val="00D46558"/>
    <w:rsid w:val="00D468B8"/>
    <w:rsid w:val="00D47EEB"/>
    <w:rsid w:val="00D5143C"/>
    <w:rsid w:val="00D537BF"/>
    <w:rsid w:val="00D56AEC"/>
    <w:rsid w:val="00D609B9"/>
    <w:rsid w:val="00D60F3D"/>
    <w:rsid w:val="00D60FE7"/>
    <w:rsid w:val="00D6185E"/>
    <w:rsid w:val="00D61FF7"/>
    <w:rsid w:val="00D6265C"/>
    <w:rsid w:val="00D62EB8"/>
    <w:rsid w:val="00D6419D"/>
    <w:rsid w:val="00D64BEA"/>
    <w:rsid w:val="00D65E25"/>
    <w:rsid w:val="00D6656B"/>
    <w:rsid w:val="00D6699F"/>
    <w:rsid w:val="00D67016"/>
    <w:rsid w:val="00D67283"/>
    <w:rsid w:val="00D67F6F"/>
    <w:rsid w:val="00D705DD"/>
    <w:rsid w:val="00D72EC9"/>
    <w:rsid w:val="00D72F4F"/>
    <w:rsid w:val="00D73447"/>
    <w:rsid w:val="00D7346F"/>
    <w:rsid w:val="00D735C3"/>
    <w:rsid w:val="00D74183"/>
    <w:rsid w:val="00D7443B"/>
    <w:rsid w:val="00D74830"/>
    <w:rsid w:val="00D75164"/>
    <w:rsid w:val="00D778F9"/>
    <w:rsid w:val="00D80C4E"/>
    <w:rsid w:val="00D811A8"/>
    <w:rsid w:val="00D822F8"/>
    <w:rsid w:val="00D823A9"/>
    <w:rsid w:val="00D83500"/>
    <w:rsid w:val="00D835B7"/>
    <w:rsid w:val="00D850A7"/>
    <w:rsid w:val="00D85B29"/>
    <w:rsid w:val="00D863D6"/>
    <w:rsid w:val="00D8641F"/>
    <w:rsid w:val="00D8766A"/>
    <w:rsid w:val="00D878FC"/>
    <w:rsid w:val="00D87BBD"/>
    <w:rsid w:val="00D90B47"/>
    <w:rsid w:val="00D9103B"/>
    <w:rsid w:val="00D91075"/>
    <w:rsid w:val="00D913A8"/>
    <w:rsid w:val="00D914F2"/>
    <w:rsid w:val="00D9172A"/>
    <w:rsid w:val="00D929F1"/>
    <w:rsid w:val="00D953C2"/>
    <w:rsid w:val="00D95A49"/>
    <w:rsid w:val="00D95CD8"/>
    <w:rsid w:val="00D95DB9"/>
    <w:rsid w:val="00D96B86"/>
    <w:rsid w:val="00D972E7"/>
    <w:rsid w:val="00D97448"/>
    <w:rsid w:val="00DA089E"/>
    <w:rsid w:val="00DA2378"/>
    <w:rsid w:val="00DA256B"/>
    <w:rsid w:val="00DA2714"/>
    <w:rsid w:val="00DA3050"/>
    <w:rsid w:val="00DA3508"/>
    <w:rsid w:val="00DA4C6C"/>
    <w:rsid w:val="00DA4F5C"/>
    <w:rsid w:val="00DA5DAF"/>
    <w:rsid w:val="00DA654F"/>
    <w:rsid w:val="00DA72D3"/>
    <w:rsid w:val="00DA7DA6"/>
    <w:rsid w:val="00DB09A8"/>
    <w:rsid w:val="00DB09E6"/>
    <w:rsid w:val="00DB0AC1"/>
    <w:rsid w:val="00DB1566"/>
    <w:rsid w:val="00DB2330"/>
    <w:rsid w:val="00DB2BDD"/>
    <w:rsid w:val="00DB377B"/>
    <w:rsid w:val="00DB39E6"/>
    <w:rsid w:val="00DB3AD3"/>
    <w:rsid w:val="00DB3F55"/>
    <w:rsid w:val="00DB4D93"/>
    <w:rsid w:val="00DB56B6"/>
    <w:rsid w:val="00DB6008"/>
    <w:rsid w:val="00DB618E"/>
    <w:rsid w:val="00DB6FAA"/>
    <w:rsid w:val="00DB733E"/>
    <w:rsid w:val="00DB776B"/>
    <w:rsid w:val="00DC03BE"/>
    <w:rsid w:val="00DC058A"/>
    <w:rsid w:val="00DC063F"/>
    <w:rsid w:val="00DC0B1C"/>
    <w:rsid w:val="00DC1621"/>
    <w:rsid w:val="00DC17F3"/>
    <w:rsid w:val="00DC184E"/>
    <w:rsid w:val="00DC28D2"/>
    <w:rsid w:val="00DC2CD6"/>
    <w:rsid w:val="00DC3570"/>
    <w:rsid w:val="00DC3C21"/>
    <w:rsid w:val="00DC4166"/>
    <w:rsid w:val="00DC4456"/>
    <w:rsid w:val="00DC4703"/>
    <w:rsid w:val="00DC49C2"/>
    <w:rsid w:val="00DC4D99"/>
    <w:rsid w:val="00DC588E"/>
    <w:rsid w:val="00DC5C24"/>
    <w:rsid w:val="00DC61CE"/>
    <w:rsid w:val="00DC65D9"/>
    <w:rsid w:val="00DC739D"/>
    <w:rsid w:val="00DD05D1"/>
    <w:rsid w:val="00DD0E1F"/>
    <w:rsid w:val="00DD62CD"/>
    <w:rsid w:val="00DD6D02"/>
    <w:rsid w:val="00DD6EF1"/>
    <w:rsid w:val="00DD7173"/>
    <w:rsid w:val="00DE0156"/>
    <w:rsid w:val="00DE02DF"/>
    <w:rsid w:val="00DE065A"/>
    <w:rsid w:val="00DE0CB7"/>
    <w:rsid w:val="00DE1450"/>
    <w:rsid w:val="00DE2688"/>
    <w:rsid w:val="00DE274C"/>
    <w:rsid w:val="00DE317D"/>
    <w:rsid w:val="00DE37DB"/>
    <w:rsid w:val="00DE42FF"/>
    <w:rsid w:val="00DE5DB6"/>
    <w:rsid w:val="00DE61A1"/>
    <w:rsid w:val="00DE6579"/>
    <w:rsid w:val="00DF0D0D"/>
    <w:rsid w:val="00DF11DD"/>
    <w:rsid w:val="00DF2D62"/>
    <w:rsid w:val="00DF3061"/>
    <w:rsid w:val="00DF37ED"/>
    <w:rsid w:val="00DF45EE"/>
    <w:rsid w:val="00DF5071"/>
    <w:rsid w:val="00DF5475"/>
    <w:rsid w:val="00E0112A"/>
    <w:rsid w:val="00E01476"/>
    <w:rsid w:val="00E01BEB"/>
    <w:rsid w:val="00E02492"/>
    <w:rsid w:val="00E03118"/>
    <w:rsid w:val="00E038EC"/>
    <w:rsid w:val="00E050D0"/>
    <w:rsid w:val="00E050D1"/>
    <w:rsid w:val="00E05E60"/>
    <w:rsid w:val="00E05EDD"/>
    <w:rsid w:val="00E068A8"/>
    <w:rsid w:val="00E06A49"/>
    <w:rsid w:val="00E07848"/>
    <w:rsid w:val="00E07E95"/>
    <w:rsid w:val="00E11091"/>
    <w:rsid w:val="00E12023"/>
    <w:rsid w:val="00E1240C"/>
    <w:rsid w:val="00E12E3E"/>
    <w:rsid w:val="00E1359F"/>
    <w:rsid w:val="00E13DEB"/>
    <w:rsid w:val="00E145DF"/>
    <w:rsid w:val="00E14EC9"/>
    <w:rsid w:val="00E1533A"/>
    <w:rsid w:val="00E157AD"/>
    <w:rsid w:val="00E1598C"/>
    <w:rsid w:val="00E16A1D"/>
    <w:rsid w:val="00E1734C"/>
    <w:rsid w:val="00E218A2"/>
    <w:rsid w:val="00E226B8"/>
    <w:rsid w:val="00E2300B"/>
    <w:rsid w:val="00E2349C"/>
    <w:rsid w:val="00E2473D"/>
    <w:rsid w:val="00E268A4"/>
    <w:rsid w:val="00E30A2A"/>
    <w:rsid w:val="00E3149B"/>
    <w:rsid w:val="00E31541"/>
    <w:rsid w:val="00E319BE"/>
    <w:rsid w:val="00E33699"/>
    <w:rsid w:val="00E3573F"/>
    <w:rsid w:val="00E35A9E"/>
    <w:rsid w:val="00E3703F"/>
    <w:rsid w:val="00E4485B"/>
    <w:rsid w:val="00E44884"/>
    <w:rsid w:val="00E44EEC"/>
    <w:rsid w:val="00E456BA"/>
    <w:rsid w:val="00E46D3A"/>
    <w:rsid w:val="00E46DAA"/>
    <w:rsid w:val="00E47307"/>
    <w:rsid w:val="00E474A4"/>
    <w:rsid w:val="00E51077"/>
    <w:rsid w:val="00E514F5"/>
    <w:rsid w:val="00E51FB2"/>
    <w:rsid w:val="00E51FC5"/>
    <w:rsid w:val="00E5463F"/>
    <w:rsid w:val="00E55B3B"/>
    <w:rsid w:val="00E605BD"/>
    <w:rsid w:val="00E610FE"/>
    <w:rsid w:val="00E61568"/>
    <w:rsid w:val="00E618D3"/>
    <w:rsid w:val="00E62190"/>
    <w:rsid w:val="00E6220C"/>
    <w:rsid w:val="00E65430"/>
    <w:rsid w:val="00E67219"/>
    <w:rsid w:val="00E708C6"/>
    <w:rsid w:val="00E709C5"/>
    <w:rsid w:val="00E70BE4"/>
    <w:rsid w:val="00E73E35"/>
    <w:rsid w:val="00E74007"/>
    <w:rsid w:val="00E742C1"/>
    <w:rsid w:val="00E7465E"/>
    <w:rsid w:val="00E75457"/>
    <w:rsid w:val="00E759ED"/>
    <w:rsid w:val="00E76E1F"/>
    <w:rsid w:val="00E80247"/>
    <w:rsid w:val="00E813F8"/>
    <w:rsid w:val="00E82CFD"/>
    <w:rsid w:val="00E8430D"/>
    <w:rsid w:val="00E8451E"/>
    <w:rsid w:val="00E90707"/>
    <w:rsid w:val="00E90796"/>
    <w:rsid w:val="00E90948"/>
    <w:rsid w:val="00E90FAE"/>
    <w:rsid w:val="00E91015"/>
    <w:rsid w:val="00E91BEA"/>
    <w:rsid w:val="00E91C53"/>
    <w:rsid w:val="00E92191"/>
    <w:rsid w:val="00E944CD"/>
    <w:rsid w:val="00E94558"/>
    <w:rsid w:val="00E94C77"/>
    <w:rsid w:val="00E94FA2"/>
    <w:rsid w:val="00E95C38"/>
    <w:rsid w:val="00E95F39"/>
    <w:rsid w:val="00E96DC4"/>
    <w:rsid w:val="00E96FB6"/>
    <w:rsid w:val="00EA0542"/>
    <w:rsid w:val="00EA0961"/>
    <w:rsid w:val="00EA09BD"/>
    <w:rsid w:val="00EA0B09"/>
    <w:rsid w:val="00EA10E7"/>
    <w:rsid w:val="00EA1363"/>
    <w:rsid w:val="00EA27F3"/>
    <w:rsid w:val="00EA3F85"/>
    <w:rsid w:val="00EA5730"/>
    <w:rsid w:val="00EA5E1F"/>
    <w:rsid w:val="00EA6733"/>
    <w:rsid w:val="00EA70AF"/>
    <w:rsid w:val="00EA71D9"/>
    <w:rsid w:val="00EA73AB"/>
    <w:rsid w:val="00EA7E54"/>
    <w:rsid w:val="00EB0BDB"/>
    <w:rsid w:val="00EB1869"/>
    <w:rsid w:val="00EB501D"/>
    <w:rsid w:val="00EB50C8"/>
    <w:rsid w:val="00EB5BE2"/>
    <w:rsid w:val="00EB5E5A"/>
    <w:rsid w:val="00EC0E9D"/>
    <w:rsid w:val="00EC1853"/>
    <w:rsid w:val="00EC2D41"/>
    <w:rsid w:val="00EC3286"/>
    <w:rsid w:val="00EC47DE"/>
    <w:rsid w:val="00EC4DBE"/>
    <w:rsid w:val="00EC563C"/>
    <w:rsid w:val="00EC6476"/>
    <w:rsid w:val="00EC7039"/>
    <w:rsid w:val="00EC7323"/>
    <w:rsid w:val="00EC7851"/>
    <w:rsid w:val="00EC7B35"/>
    <w:rsid w:val="00ED000C"/>
    <w:rsid w:val="00ED15A1"/>
    <w:rsid w:val="00ED3015"/>
    <w:rsid w:val="00ED372E"/>
    <w:rsid w:val="00ED3E26"/>
    <w:rsid w:val="00ED4DD8"/>
    <w:rsid w:val="00ED5B23"/>
    <w:rsid w:val="00ED6248"/>
    <w:rsid w:val="00ED65D3"/>
    <w:rsid w:val="00ED6751"/>
    <w:rsid w:val="00ED77D6"/>
    <w:rsid w:val="00EE23EE"/>
    <w:rsid w:val="00EE3D93"/>
    <w:rsid w:val="00EE4477"/>
    <w:rsid w:val="00EE4C21"/>
    <w:rsid w:val="00EE68CB"/>
    <w:rsid w:val="00EE6933"/>
    <w:rsid w:val="00EE750C"/>
    <w:rsid w:val="00EE76A7"/>
    <w:rsid w:val="00EE76E1"/>
    <w:rsid w:val="00EE7800"/>
    <w:rsid w:val="00EE78EA"/>
    <w:rsid w:val="00EF0FB7"/>
    <w:rsid w:val="00EF1733"/>
    <w:rsid w:val="00EF2B46"/>
    <w:rsid w:val="00EF2D84"/>
    <w:rsid w:val="00EF2DBF"/>
    <w:rsid w:val="00EF3387"/>
    <w:rsid w:val="00EF3818"/>
    <w:rsid w:val="00EF385B"/>
    <w:rsid w:val="00EF4206"/>
    <w:rsid w:val="00EF4729"/>
    <w:rsid w:val="00EF5247"/>
    <w:rsid w:val="00EF6670"/>
    <w:rsid w:val="00F0154E"/>
    <w:rsid w:val="00F01A01"/>
    <w:rsid w:val="00F0249F"/>
    <w:rsid w:val="00F07D6D"/>
    <w:rsid w:val="00F10408"/>
    <w:rsid w:val="00F10C8A"/>
    <w:rsid w:val="00F10F8B"/>
    <w:rsid w:val="00F1251E"/>
    <w:rsid w:val="00F13141"/>
    <w:rsid w:val="00F13987"/>
    <w:rsid w:val="00F14C4A"/>
    <w:rsid w:val="00F15240"/>
    <w:rsid w:val="00F15BAD"/>
    <w:rsid w:val="00F15CBB"/>
    <w:rsid w:val="00F15DB3"/>
    <w:rsid w:val="00F225B8"/>
    <w:rsid w:val="00F22B98"/>
    <w:rsid w:val="00F23364"/>
    <w:rsid w:val="00F23FE7"/>
    <w:rsid w:val="00F27D90"/>
    <w:rsid w:val="00F30022"/>
    <w:rsid w:val="00F3125B"/>
    <w:rsid w:val="00F31DA9"/>
    <w:rsid w:val="00F36190"/>
    <w:rsid w:val="00F36310"/>
    <w:rsid w:val="00F36DA7"/>
    <w:rsid w:val="00F3701E"/>
    <w:rsid w:val="00F372AF"/>
    <w:rsid w:val="00F3793E"/>
    <w:rsid w:val="00F37F5C"/>
    <w:rsid w:val="00F40495"/>
    <w:rsid w:val="00F41C80"/>
    <w:rsid w:val="00F41FBB"/>
    <w:rsid w:val="00F4291F"/>
    <w:rsid w:val="00F432FB"/>
    <w:rsid w:val="00F434D7"/>
    <w:rsid w:val="00F4378E"/>
    <w:rsid w:val="00F43907"/>
    <w:rsid w:val="00F43B45"/>
    <w:rsid w:val="00F44669"/>
    <w:rsid w:val="00F471B5"/>
    <w:rsid w:val="00F507FD"/>
    <w:rsid w:val="00F51278"/>
    <w:rsid w:val="00F51745"/>
    <w:rsid w:val="00F5199F"/>
    <w:rsid w:val="00F523E4"/>
    <w:rsid w:val="00F523EC"/>
    <w:rsid w:val="00F52B6A"/>
    <w:rsid w:val="00F530E1"/>
    <w:rsid w:val="00F54733"/>
    <w:rsid w:val="00F54933"/>
    <w:rsid w:val="00F553B3"/>
    <w:rsid w:val="00F55998"/>
    <w:rsid w:val="00F55EB7"/>
    <w:rsid w:val="00F561EE"/>
    <w:rsid w:val="00F56BB0"/>
    <w:rsid w:val="00F57EAC"/>
    <w:rsid w:val="00F60584"/>
    <w:rsid w:val="00F606C8"/>
    <w:rsid w:val="00F61249"/>
    <w:rsid w:val="00F61ED3"/>
    <w:rsid w:val="00F62040"/>
    <w:rsid w:val="00F62D3D"/>
    <w:rsid w:val="00F62E50"/>
    <w:rsid w:val="00F63475"/>
    <w:rsid w:val="00F63DAE"/>
    <w:rsid w:val="00F63E09"/>
    <w:rsid w:val="00F65792"/>
    <w:rsid w:val="00F66131"/>
    <w:rsid w:val="00F66333"/>
    <w:rsid w:val="00F67528"/>
    <w:rsid w:val="00F713DD"/>
    <w:rsid w:val="00F713ED"/>
    <w:rsid w:val="00F7146C"/>
    <w:rsid w:val="00F71674"/>
    <w:rsid w:val="00F71ECF"/>
    <w:rsid w:val="00F73576"/>
    <w:rsid w:val="00F74353"/>
    <w:rsid w:val="00F74B89"/>
    <w:rsid w:val="00F75274"/>
    <w:rsid w:val="00F75547"/>
    <w:rsid w:val="00F764C9"/>
    <w:rsid w:val="00F77916"/>
    <w:rsid w:val="00F77DAF"/>
    <w:rsid w:val="00F80FBA"/>
    <w:rsid w:val="00F81261"/>
    <w:rsid w:val="00F81768"/>
    <w:rsid w:val="00F82408"/>
    <w:rsid w:val="00F825A4"/>
    <w:rsid w:val="00F838EB"/>
    <w:rsid w:val="00F841AD"/>
    <w:rsid w:val="00F853EA"/>
    <w:rsid w:val="00F87194"/>
    <w:rsid w:val="00F903A9"/>
    <w:rsid w:val="00F906E7"/>
    <w:rsid w:val="00F91491"/>
    <w:rsid w:val="00F9328F"/>
    <w:rsid w:val="00F937E7"/>
    <w:rsid w:val="00F9395C"/>
    <w:rsid w:val="00F93DDD"/>
    <w:rsid w:val="00F94498"/>
    <w:rsid w:val="00F947BF"/>
    <w:rsid w:val="00F971E3"/>
    <w:rsid w:val="00F97F8B"/>
    <w:rsid w:val="00FA20D9"/>
    <w:rsid w:val="00FA2A9D"/>
    <w:rsid w:val="00FA31B4"/>
    <w:rsid w:val="00FA3255"/>
    <w:rsid w:val="00FA3901"/>
    <w:rsid w:val="00FA4579"/>
    <w:rsid w:val="00FA459F"/>
    <w:rsid w:val="00FA4A0D"/>
    <w:rsid w:val="00FA54D0"/>
    <w:rsid w:val="00FA7F7B"/>
    <w:rsid w:val="00FB05D7"/>
    <w:rsid w:val="00FB0809"/>
    <w:rsid w:val="00FB1316"/>
    <w:rsid w:val="00FB1614"/>
    <w:rsid w:val="00FB306E"/>
    <w:rsid w:val="00FB358D"/>
    <w:rsid w:val="00FB5F63"/>
    <w:rsid w:val="00FB6498"/>
    <w:rsid w:val="00FB702D"/>
    <w:rsid w:val="00FC0D93"/>
    <w:rsid w:val="00FC15B7"/>
    <w:rsid w:val="00FC17F0"/>
    <w:rsid w:val="00FC1D90"/>
    <w:rsid w:val="00FC235D"/>
    <w:rsid w:val="00FC2C80"/>
    <w:rsid w:val="00FC34C9"/>
    <w:rsid w:val="00FC3D24"/>
    <w:rsid w:val="00FC5D08"/>
    <w:rsid w:val="00FC7E17"/>
    <w:rsid w:val="00FC7E64"/>
    <w:rsid w:val="00FC7F27"/>
    <w:rsid w:val="00FD13E6"/>
    <w:rsid w:val="00FD1CD9"/>
    <w:rsid w:val="00FD207F"/>
    <w:rsid w:val="00FD395A"/>
    <w:rsid w:val="00FD49CD"/>
    <w:rsid w:val="00FD4AED"/>
    <w:rsid w:val="00FD7004"/>
    <w:rsid w:val="00FD7CA8"/>
    <w:rsid w:val="00FE0145"/>
    <w:rsid w:val="00FE0169"/>
    <w:rsid w:val="00FE0D5C"/>
    <w:rsid w:val="00FE19A4"/>
    <w:rsid w:val="00FE40B2"/>
    <w:rsid w:val="00FE46CF"/>
    <w:rsid w:val="00FE4EAB"/>
    <w:rsid w:val="00FE5056"/>
    <w:rsid w:val="00FE58C0"/>
    <w:rsid w:val="00FE6792"/>
    <w:rsid w:val="00FE68B5"/>
    <w:rsid w:val="00FF1AD2"/>
    <w:rsid w:val="00FF1EC3"/>
    <w:rsid w:val="00FF2E77"/>
    <w:rsid w:val="00FF31CF"/>
    <w:rsid w:val="00FF3257"/>
    <w:rsid w:val="00FF3488"/>
    <w:rsid w:val="00FF3788"/>
    <w:rsid w:val="00FF3D26"/>
    <w:rsid w:val="00FF3DEB"/>
    <w:rsid w:val="00FF3FD7"/>
    <w:rsid w:val="00FF4072"/>
    <w:rsid w:val="00FF5B9E"/>
    <w:rsid w:val="00FF66A6"/>
    <w:rsid w:val="00FF6A64"/>
    <w:rsid w:val="00FF73E6"/>
    <w:rsid w:val="00FF77AE"/>
    <w:rsid w:val="00FF7A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8223C3"/>
  <w15:docId w15:val="{6B011F66-A232-4CFD-BE8C-97C056684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4E3"/>
    <w:pPr>
      <w:spacing w:after="0" w:line="240" w:lineRule="auto"/>
    </w:pPr>
    <w:rPr>
      <w:rFonts w:eastAsia="Times New Roman" w:cs="Times New Roman"/>
      <w:szCs w:val="24"/>
      <w:lang w:eastAsia="en-AU"/>
    </w:rPr>
  </w:style>
  <w:style w:type="paragraph" w:styleId="Heading1">
    <w:name w:val="heading 1"/>
    <w:basedOn w:val="Default"/>
    <w:next w:val="Normal"/>
    <w:link w:val="Heading1Char"/>
    <w:uiPriority w:val="9"/>
    <w:qFormat/>
    <w:rsid w:val="001B0C81"/>
    <w:pPr>
      <w:jc w:val="center"/>
      <w:outlineLvl w:val="0"/>
    </w:pPr>
    <w:rPr>
      <w:sz w:val="32"/>
      <w:szCs w:val="32"/>
    </w:rPr>
  </w:style>
  <w:style w:type="paragraph" w:styleId="Heading2">
    <w:name w:val="heading 2"/>
    <w:basedOn w:val="Normal"/>
    <w:next w:val="Normal"/>
    <w:link w:val="Heading2Char"/>
    <w:uiPriority w:val="9"/>
    <w:unhideWhenUsed/>
    <w:qFormat/>
    <w:rsid w:val="001B0C81"/>
    <w:pPr>
      <w:outlineLvl w:val="1"/>
    </w:pPr>
    <w:rPr>
      <w:rFonts w:asciiTheme="majorHAnsi" w:hAnsiTheme="majorHAnsi"/>
      <w:b/>
      <w:color w:val="548DD4" w:themeColor="text2" w:themeTint="99"/>
      <w:sz w:val="26"/>
      <w:szCs w:val="26"/>
    </w:rPr>
  </w:style>
  <w:style w:type="paragraph" w:styleId="Heading3">
    <w:name w:val="heading 3"/>
    <w:basedOn w:val="Normal"/>
    <w:next w:val="Normal"/>
    <w:link w:val="Heading3Char"/>
    <w:unhideWhenUsed/>
    <w:qFormat/>
    <w:rsid w:val="001B0C81"/>
    <w:pPr>
      <w:outlineLvl w:val="2"/>
    </w:pPr>
    <w:rPr>
      <w:u w:val="single"/>
    </w:rPr>
  </w:style>
  <w:style w:type="paragraph" w:styleId="Heading4">
    <w:name w:val="heading 4"/>
    <w:basedOn w:val="Normal"/>
    <w:next w:val="Normal"/>
    <w:link w:val="Heading4Char"/>
    <w:uiPriority w:val="9"/>
    <w:unhideWhenUsed/>
    <w:qFormat/>
    <w:rsid w:val="001B0C81"/>
    <w:pPr>
      <w:outlineLvl w:val="3"/>
    </w:pPr>
    <w:rPr>
      <w:rFonts w:cs="Arial"/>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A714B"/>
    <w:pPr>
      <w:tabs>
        <w:tab w:val="center" w:pos="4153"/>
        <w:tab w:val="right" w:pos="8306"/>
      </w:tabs>
    </w:pPr>
  </w:style>
  <w:style w:type="character" w:customStyle="1" w:styleId="HeaderChar">
    <w:name w:val="Header Char"/>
    <w:basedOn w:val="DefaultParagraphFont"/>
    <w:link w:val="Header"/>
    <w:rsid w:val="007A714B"/>
    <w:rPr>
      <w:rFonts w:eastAsia="Times New Roman" w:cs="Times New Roman"/>
      <w:szCs w:val="24"/>
      <w:lang w:eastAsia="en-AU"/>
    </w:rPr>
  </w:style>
  <w:style w:type="paragraph" w:styleId="Footer">
    <w:name w:val="footer"/>
    <w:basedOn w:val="Normal"/>
    <w:link w:val="FooterChar"/>
    <w:uiPriority w:val="99"/>
    <w:rsid w:val="007A714B"/>
    <w:pPr>
      <w:tabs>
        <w:tab w:val="center" w:pos="4153"/>
        <w:tab w:val="right" w:pos="8306"/>
      </w:tabs>
    </w:pPr>
  </w:style>
  <w:style w:type="character" w:customStyle="1" w:styleId="FooterChar">
    <w:name w:val="Footer Char"/>
    <w:basedOn w:val="DefaultParagraphFont"/>
    <w:link w:val="Footer"/>
    <w:uiPriority w:val="99"/>
    <w:rsid w:val="007A714B"/>
    <w:rPr>
      <w:rFonts w:eastAsia="Times New Roman" w:cs="Times New Roman"/>
      <w:szCs w:val="24"/>
      <w:lang w:eastAsia="en-AU"/>
    </w:rPr>
  </w:style>
  <w:style w:type="character" w:styleId="PageNumber">
    <w:name w:val="page number"/>
    <w:basedOn w:val="DefaultParagraphFont"/>
    <w:rsid w:val="007A714B"/>
  </w:style>
  <w:style w:type="paragraph" w:styleId="Title">
    <w:name w:val="Title"/>
    <w:basedOn w:val="Normal"/>
    <w:next w:val="Normal"/>
    <w:link w:val="TitleChar"/>
    <w:qFormat/>
    <w:rsid w:val="007A714B"/>
    <w:pPr>
      <w:autoSpaceDE w:val="0"/>
      <w:autoSpaceDN w:val="0"/>
      <w:adjustRightInd w:val="0"/>
      <w:ind w:left="720" w:right="186"/>
    </w:pPr>
    <w:rPr>
      <w:rFonts w:ascii="Arial Narrow" w:eastAsia="Andale WT" w:hAnsi="Arial Narrow" w:cs="Andale WT"/>
      <w:b/>
      <w:bCs/>
      <w:sz w:val="56"/>
      <w:szCs w:val="56"/>
    </w:rPr>
  </w:style>
  <w:style w:type="character" w:customStyle="1" w:styleId="TitleChar">
    <w:name w:val="Title Char"/>
    <w:basedOn w:val="DefaultParagraphFont"/>
    <w:link w:val="Title"/>
    <w:rsid w:val="007A714B"/>
    <w:rPr>
      <w:rFonts w:ascii="Arial Narrow" w:eastAsia="Andale WT" w:hAnsi="Arial Narrow" w:cs="Andale WT"/>
      <w:b/>
      <w:bCs/>
      <w:sz w:val="56"/>
      <w:szCs w:val="56"/>
      <w:lang w:eastAsia="en-AU"/>
    </w:rPr>
  </w:style>
  <w:style w:type="paragraph" w:styleId="BalloonText">
    <w:name w:val="Balloon Text"/>
    <w:basedOn w:val="Normal"/>
    <w:link w:val="BalloonTextChar"/>
    <w:uiPriority w:val="99"/>
    <w:semiHidden/>
    <w:unhideWhenUsed/>
    <w:rsid w:val="007A714B"/>
    <w:rPr>
      <w:rFonts w:ascii="Tahoma" w:hAnsi="Tahoma" w:cs="Tahoma"/>
      <w:sz w:val="16"/>
      <w:szCs w:val="16"/>
    </w:rPr>
  </w:style>
  <w:style w:type="character" w:customStyle="1" w:styleId="BalloonTextChar">
    <w:name w:val="Balloon Text Char"/>
    <w:basedOn w:val="DefaultParagraphFont"/>
    <w:link w:val="BalloonText"/>
    <w:uiPriority w:val="99"/>
    <w:semiHidden/>
    <w:rsid w:val="007A714B"/>
    <w:rPr>
      <w:rFonts w:ascii="Tahoma" w:eastAsia="Times New Roman" w:hAnsi="Tahoma" w:cs="Tahoma"/>
      <w:sz w:val="16"/>
      <w:szCs w:val="16"/>
      <w:lang w:eastAsia="en-AU"/>
    </w:rPr>
  </w:style>
  <w:style w:type="character" w:styleId="Hyperlink">
    <w:name w:val="Hyperlink"/>
    <w:uiPriority w:val="99"/>
    <w:rsid w:val="007A714B"/>
    <w:rPr>
      <w:color w:val="00605C"/>
      <w:u w:val="single"/>
    </w:rPr>
  </w:style>
  <w:style w:type="paragraph" w:styleId="ListParagraph">
    <w:name w:val="List Paragraph"/>
    <w:aliases w:val="List Paragraph1,List Paragraph11,Recommendation,L,Bullet Point,Bullet point,Bulletr List Paragraph,Content descriptions,FooterText,List Bullet 1,List Paragraph2,List Paragraph21,Listeafsnit1,NFP GP Bulleted List,Paragraphe de liste1,リスト段落"/>
    <w:basedOn w:val="Normal"/>
    <w:link w:val="ListParagraphChar"/>
    <w:uiPriority w:val="34"/>
    <w:qFormat/>
    <w:rsid w:val="007A714B"/>
    <w:pPr>
      <w:spacing w:after="200" w:line="276" w:lineRule="auto"/>
      <w:ind w:left="720"/>
      <w:contextualSpacing/>
    </w:pPr>
    <w:rPr>
      <w:rFonts w:eastAsia="Calibri"/>
      <w:szCs w:val="22"/>
      <w:lang w:eastAsia="en-US"/>
    </w:rPr>
  </w:style>
  <w:style w:type="character" w:customStyle="1" w:styleId="Heading1Char">
    <w:name w:val="Heading 1 Char"/>
    <w:basedOn w:val="DefaultParagraphFont"/>
    <w:link w:val="Heading1"/>
    <w:uiPriority w:val="9"/>
    <w:rsid w:val="001B0C81"/>
    <w:rPr>
      <w:rFonts w:cs="Times New Roman"/>
      <w:color w:val="000000"/>
      <w:sz w:val="32"/>
      <w:szCs w:val="32"/>
    </w:rPr>
  </w:style>
  <w:style w:type="character" w:customStyle="1" w:styleId="Heading2Char">
    <w:name w:val="Heading 2 Char"/>
    <w:basedOn w:val="DefaultParagraphFont"/>
    <w:link w:val="Heading2"/>
    <w:uiPriority w:val="9"/>
    <w:rsid w:val="001B0C81"/>
    <w:rPr>
      <w:rFonts w:asciiTheme="majorHAnsi" w:eastAsia="Times New Roman" w:hAnsiTheme="majorHAnsi" w:cs="Times New Roman"/>
      <w:b/>
      <w:color w:val="548DD4" w:themeColor="text2" w:themeTint="99"/>
      <w:sz w:val="26"/>
      <w:szCs w:val="26"/>
      <w:lang w:eastAsia="en-AU"/>
    </w:rPr>
  </w:style>
  <w:style w:type="paragraph" w:styleId="TOCHeading">
    <w:name w:val="TOC Heading"/>
    <w:basedOn w:val="Heading1"/>
    <w:next w:val="Normal"/>
    <w:uiPriority w:val="39"/>
    <w:unhideWhenUsed/>
    <w:qFormat/>
    <w:rsid w:val="005C130A"/>
    <w:pPr>
      <w:spacing w:line="276" w:lineRule="auto"/>
      <w:outlineLvl w:val="9"/>
    </w:pPr>
    <w:rPr>
      <w:lang w:val="en-US" w:eastAsia="ja-JP"/>
    </w:rPr>
  </w:style>
  <w:style w:type="paragraph" w:styleId="TOC1">
    <w:name w:val="toc 1"/>
    <w:basedOn w:val="Normal"/>
    <w:next w:val="Normal"/>
    <w:autoRedefine/>
    <w:uiPriority w:val="39"/>
    <w:unhideWhenUsed/>
    <w:rsid w:val="005C130A"/>
    <w:pPr>
      <w:spacing w:after="100"/>
    </w:pPr>
  </w:style>
  <w:style w:type="paragraph" w:styleId="TOC2">
    <w:name w:val="toc 2"/>
    <w:basedOn w:val="Normal"/>
    <w:next w:val="Normal"/>
    <w:autoRedefine/>
    <w:uiPriority w:val="39"/>
    <w:unhideWhenUsed/>
    <w:rsid w:val="005C130A"/>
    <w:pPr>
      <w:spacing w:after="100"/>
      <w:ind w:left="240"/>
    </w:pPr>
  </w:style>
  <w:style w:type="paragraph" w:customStyle="1" w:styleId="CharCharChar">
    <w:name w:val="Char Char Char"/>
    <w:basedOn w:val="Normal"/>
    <w:rsid w:val="00CA20A2"/>
    <w:rPr>
      <w:rFonts w:ascii="Arial" w:hAnsi="Arial" w:cs="Arial"/>
      <w:sz w:val="22"/>
      <w:szCs w:val="22"/>
      <w:lang w:eastAsia="en-US"/>
    </w:rPr>
  </w:style>
  <w:style w:type="paragraph" w:customStyle="1" w:styleId="a">
    <w:name w:val="_"/>
    <w:basedOn w:val="Normal"/>
    <w:rsid w:val="003257DA"/>
    <w:pPr>
      <w:widowControl w:val="0"/>
      <w:ind w:left="770" w:hanging="770"/>
    </w:pPr>
    <w:rPr>
      <w:snapToGrid w:val="0"/>
      <w:szCs w:val="20"/>
      <w:lang w:val="en-US" w:eastAsia="en-US"/>
    </w:rPr>
  </w:style>
  <w:style w:type="character" w:styleId="CommentReference">
    <w:name w:val="annotation reference"/>
    <w:basedOn w:val="DefaultParagraphFont"/>
    <w:uiPriority w:val="99"/>
    <w:unhideWhenUsed/>
    <w:rsid w:val="008C587B"/>
    <w:rPr>
      <w:sz w:val="16"/>
      <w:szCs w:val="16"/>
    </w:rPr>
  </w:style>
  <w:style w:type="paragraph" w:styleId="CommentText">
    <w:name w:val="annotation text"/>
    <w:basedOn w:val="Normal"/>
    <w:link w:val="CommentTextChar"/>
    <w:unhideWhenUsed/>
    <w:rsid w:val="008C587B"/>
    <w:pPr>
      <w:spacing w:after="200"/>
    </w:pPr>
    <w:rPr>
      <w:rFonts w:eastAsiaTheme="minorHAnsi" w:cstheme="minorBidi"/>
      <w:sz w:val="20"/>
      <w:szCs w:val="20"/>
      <w:lang w:eastAsia="en-US"/>
    </w:rPr>
  </w:style>
  <w:style w:type="character" w:customStyle="1" w:styleId="CommentTextChar">
    <w:name w:val="Comment Text Char"/>
    <w:basedOn w:val="DefaultParagraphFont"/>
    <w:link w:val="CommentText"/>
    <w:rsid w:val="008C587B"/>
    <w:rPr>
      <w:sz w:val="20"/>
      <w:szCs w:val="20"/>
    </w:rPr>
  </w:style>
  <w:style w:type="paragraph" w:styleId="CommentSubject">
    <w:name w:val="annotation subject"/>
    <w:basedOn w:val="CommentText"/>
    <w:next w:val="CommentText"/>
    <w:link w:val="CommentSubjectChar"/>
    <w:uiPriority w:val="99"/>
    <w:semiHidden/>
    <w:unhideWhenUsed/>
    <w:rsid w:val="004A7FC0"/>
    <w:pPr>
      <w:spacing w:after="0"/>
    </w:pPr>
    <w:rPr>
      <w:rFonts w:eastAsia="Times New Roman" w:cs="Times New Roman"/>
      <w:b/>
      <w:bCs/>
      <w:lang w:eastAsia="en-AU"/>
    </w:rPr>
  </w:style>
  <w:style w:type="character" w:customStyle="1" w:styleId="CommentSubjectChar">
    <w:name w:val="Comment Subject Char"/>
    <w:basedOn w:val="CommentTextChar"/>
    <w:link w:val="CommentSubject"/>
    <w:uiPriority w:val="99"/>
    <w:semiHidden/>
    <w:rsid w:val="004A7FC0"/>
    <w:rPr>
      <w:rFonts w:eastAsia="Times New Roman" w:cs="Times New Roman"/>
      <w:b/>
      <w:bCs/>
      <w:sz w:val="20"/>
      <w:szCs w:val="20"/>
      <w:lang w:eastAsia="en-AU"/>
    </w:rPr>
  </w:style>
  <w:style w:type="paragraph" w:customStyle="1" w:styleId="Char2Char">
    <w:name w:val="Char2 Char"/>
    <w:basedOn w:val="Normal"/>
    <w:rsid w:val="00DE61A1"/>
    <w:pPr>
      <w:spacing w:after="160" w:line="240" w:lineRule="exact"/>
    </w:pPr>
    <w:rPr>
      <w:rFonts w:ascii="Verdana" w:hAnsi="Verdana" w:cs="Verdana"/>
      <w:sz w:val="21"/>
      <w:szCs w:val="21"/>
      <w:lang w:val="en-US" w:eastAsia="en-US"/>
    </w:rPr>
  </w:style>
  <w:style w:type="paragraph" w:styleId="FootnoteText">
    <w:name w:val="footnote text"/>
    <w:basedOn w:val="Normal"/>
    <w:link w:val="FootnoteTextChar"/>
    <w:uiPriority w:val="99"/>
    <w:unhideWhenUsed/>
    <w:rsid w:val="00CA3449"/>
    <w:rPr>
      <w:sz w:val="20"/>
      <w:szCs w:val="20"/>
    </w:rPr>
  </w:style>
  <w:style w:type="character" w:customStyle="1" w:styleId="FootnoteTextChar">
    <w:name w:val="Footnote Text Char"/>
    <w:basedOn w:val="DefaultParagraphFont"/>
    <w:link w:val="FootnoteText"/>
    <w:uiPriority w:val="99"/>
    <w:rsid w:val="00CA3449"/>
    <w:rPr>
      <w:rFonts w:eastAsia="Times New Roman" w:cs="Times New Roman"/>
      <w:sz w:val="20"/>
      <w:szCs w:val="20"/>
      <w:lang w:eastAsia="en-AU"/>
    </w:rPr>
  </w:style>
  <w:style w:type="character" w:styleId="FootnoteReference">
    <w:name w:val="footnote reference"/>
    <w:basedOn w:val="DefaultParagraphFont"/>
    <w:uiPriority w:val="99"/>
    <w:unhideWhenUsed/>
    <w:rsid w:val="00CA3449"/>
    <w:rPr>
      <w:vertAlign w:val="superscript"/>
    </w:rPr>
  </w:style>
  <w:style w:type="character" w:styleId="FollowedHyperlink">
    <w:name w:val="FollowedHyperlink"/>
    <w:basedOn w:val="DefaultParagraphFont"/>
    <w:uiPriority w:val="99"/>
    <w:semiHidden/>
    <w:unhideWhenUsed/>
    <w:rsid w:val="001120A5"/>
    <w:rPr>
      <w:color w:val="800080" w:themeColor="followedHyperlink"/>
      <w:u w:val="single"/>
    </w:rPr>
  </w:style>
  <w:style w:type="paragraph" w:styleId="BodyText">
    <w:name w:val="Body Text"/>
    <w:basedOn w:val="Normal"/>
    <w:link w:val="BodyTextChar"/>
    <w:autoRedefine/>
    <w:uiPriority w:val="99"/>
    <w:qFormat/>
    <w:rsid w:val="002D2879"/>
    <w:pPr>
      <w:spacing w:after="120"/>
    </w:pPr>
    <w:rPr>
      <w:rFonts w:eastAsiaTheme="minorHAnsi"/>
      <w:bCs/>
      <w:iCs/>
      <w:color w:val="E36C0A" w:themeColor="accent6" w:themeShade="BF"/>
      <w:lang w:eastAsia="en-US"/>
    </w:rPr>
  </w:style>
  <w:style w:type="character" w:customStyle="1" w:styleId="BodyTextChar">
    <w:name w:val="Body Text Char"/>
    <w:basedOn w:val="DefaultParagraphFont"/>
    <w:link w:val="BodyText"/>
    <w:uiPriority w:val="99"/>
    <w:rsid w:val="002D2879"/>
    <w:rPr>
      <w:rFonts w:cs="Times New Roman"/>
      <w:bCs/>
      <w:iCs/>
      <w:color w:val="E36C0A" w:themeColor="accent6" w:themeShade="BF"/>
      <w:szCs w:val="24"/>
    </w:rPr>
  </w:style>
  <w:style w:type="paragraph" w:styleId="EndnoteText">
    <w:name w:val="endnote text"/>
    <w:basedOn w:val="Normal"/>
    <w:link w:val="EndnoteTextChar"/>
    <w:rsid w:val="005C772D"/>
    <w:rPr>
      <w:rFonts w:ascii="Univers 45 Light" w:hAnsi="Univers 45 Light"/>
      <w:sz w:val="22"/>
      <w:szCs w:val="20"/>
      <w:lang w:eastAsia="en-US"/>
    </w:rPr>
  </w:style>
  <w:style w:type="character" w:customStyle="1" w:styleId="EndnoteTextChar">
    <w:name w:val="Endnote Text Char"/>
    <w:basedOn w:val="DefaultParagraphFont"/>
    <w:link w:val="EndnoteText"/>
    <w:rsid w:val="005C772D"/>
    <w:rPr>
      <w:rFonts w:ascii="Univers 45 Light" w:eastAsia="Times New Roman" w:hAnsi="Univers 45 Light" w:cs="Times New Roman"/>
      <w:sz w:val="22"/>
      <w:szCs w:val="20"/>
    </w:rPr>
  </w:style>
  <w:style w:type="character" w:styleId="EndnoteReference">
    <w:name w:val="endnote reference"/>
    <w:basedOn w:val="DefaultParagraphFont"/>
    <w:rsid w:val="005C772D"/>
    <w:rPr>
      <w:vertAlign w:val="superscript"/>
    </w:rPr>
  </w:style>
  <w:style w:type="paragraph" w:customStyle="1" w:styleId="normaltimesnewroman10pt">
    <w:name w:val="normaltimesnewroman10pt"/>
    <w:basedOn w:val="Normal"/>
    <w:rsid w:val="006C440F"/>
    <w:pPr>
      <w:spacing w:before="100" w:beforeAutospacing="1" w:after="100" w:afterAutospacing="1"/>
    </w:pPr>
    <w:rPr>
      <w:color w:val="000000"/>
    </w:rPr>
  </w:style>
  <w:style w:type="character" w:customStyle="1" w:styleId="highlight">
    <w:name w:val="highlight"/>
    <w:basedOn w:val="DefaultParagraphFont"/>
    <w:rsid w:val="006C440F"/>
  </w:style>
  <w:style w:type="paragraph" w:customStyle="1" w:styleId="Default">
    <w:name w:val="Default"/>
    <w:rsid w:val="00721A4C"/>
    <w:pPr>
      <w:autoSpaceDE w:val="0"/>
      <w:autoSpaceDN w:val="0"/>
      <w:adjustRightInd w:val="0"/>
      <w:spacing w:after="0" w:line="240" w:lineRule="auto"/>
    </w:pPr>
    <w:rPr>
      <w:rFonts w:cs="Times New Roman"/>
      <w:color w:val="000000"/>
      <w:szCs w:val="24"/>
    </w:rPr>
  </w:style>
  <w:style w:type="character" w:styleId="Strong">
    <w:name w:val="Strong"/>
    <w:basedOn w:val="DefaultParagraphFont"/>
    <w:uiPriority w:val="22"/>
    <w:qFormat/>
    <w:rsid w:val="00F225B8"/>
    <w:rPr>
      <w:b/>
      <w:bCs/>
    </w:rPr>
  </w:style>
  <w:style w:type="paragraph" w:styleId="NormalWeb">
    <w:name w:val="Normal (Web)"/>
    <w:basedOn w:val="Normal"/>
    <w:uiPriority w:val="99"/>
    <w:unhideWhenUsed/>
    <w:rsid w:val="00F225B8"/>
    <w:pPr>
      <w:spacing w:before="100" w:beforeAutospacing="1" w:after="100" w:afterAutospacing="1"/>
    </w:pPr>
  </w:style>
  <w:style w:type="character" w:customStyle="1" w:styleId="Heading3Char">
    <w:name w:val="Heading 3 Char"/>
    <w:basedOn w:val="DefaultParagraphFont"/>
    <w:link w:val="Heading3"/>
    <w:rsid w:val="001B0C81"/>
    <w:rPr>
      <w:rFonts w:eastAsia="Times New Roman" w:cs="Times New Roman"/>
      <w:szCs w:val="24"/>
      <w:u w:val="single"/>
      <w:lang w:eastAsia="en-AU"/>
    </w:rPr>
  </w:style>
  <w:style w:type="paragraph" w:customStyle="1" w:styleId="Agenda3">
    <w:name w:val="Agenda 3"/>
    <w:basedOn w:val="Normal"/>
    <w:rsid w:val="009B5C51"/>
    <w:rPr>
      <w:lang w:eastAsia="en-US"/>
    </w:rPr>
  </w:style>
  <w:style w:type="paragraph" w:styleId="ListBullet2">
    <w:name w:val="List Bullet 2"/>
    <w:basedOn w:val="Normal"/>
    <w:qFormat/>
    <w:rsid w:val="009B5C51"/>
    <w:pPr>
      <w:numPr>
        <w:numId w:val="1"/>
      </w:numPr>
      <w:spacing w:after="200" w:line="180" w:lineRule="atLeast"/>
      <w:ind w:left="714" w:hanging="357"/>
    </w:pPr>
    <w:rPr>
      <w:rFonts w:ascii="Arial" w:hAnsi="Arial"/>
      <w:sz w:val="20"/>
    </w:rPr>
  </w:style>
  <w:style w:type="paragraph" w:styleId="Revision">
    <w:name w:val="Revision"/>
    <w:hidden/>
    <w:uiPriority w:val="99"/>
    <w:semiHidden/>
    <w:rsid w:val="002522A2"/>
    <w:pPr>
      <w:spacing w:after="0" w:line="240" w:lineRule="auto"/>
    </w:pPr>
    <w:rPr>
      <w:rFonts w:eastAsia="Times New Roman" w:cs="Times New Roman"/>
      <w:szCs w:val="24"/>
      <w:lang w:eastAsia="en-AU"/>
    </w:rPr>
  </w:style>
  <w:style w:type="character" w:styleId="BookTitle">
    <w:name w:val="Book Title"/>
    <w:basedOn w:val="DefaultParagraphFont"/>
    <w:uiPriority w:val="33"/>
    <w:qFormat/>
    <w:rsid w:val="008408B7"/>
    <w:rPr>
      <w:i/>
      <w:iCs/>
      <w:smallCaps/>
      <w:spacing w:val="5"/>
    </w:rPr>
  </w:style>
  <w:style w:type="character" w:customStyle="1" w:styleId="st1">
    <w:name w:val="st1"/>
    <w:rsid w:val="00242659"/>
  </w:style>
  <w:style w:type="character" w:styleId="IntenseReference">
    <w:name w:val="Intense Reference"/>
    <w:uiPriority w:val="32"/>
    <w:qFormat/>
    <w:rsid w:val="00E44884"/>
    <w:rPr>
      <w:smallCaps/>
      <w:spacing w:val="5"/>
      <w:u w:val="single"/>
    </w:rPr>
  </w:style>
  <w:style w:type="character" w:customStyle="1" w:styleId="ListParagraphChar">
    <w:name w:val="List Paragraph Char"/>
    <w:aliases w:val="List Paragraph1 Char,List Paragraph11 Char,Recommendation Char,L Char,Bullet Point Char,Bullet point Char,Bulletr List Paragraph Char,Content descriptions Char,FooterText Char,List Bullet 1 Char,List Paragraph2 Char,Listeafsnit1 Char"/>
    <w:basedOn w:val="DefaultParagraphFont"/>
    <w:link w:val="ListParagraph"/>
    <w:uiPriority w:val="34"/>
    <w:qFormat/>
    <w:rsid w:val="00E44884"/>
    <w:rPr>
      <w:rFonts w:eastAsia="Calibri" w:cs="Times New Roman"/>
    </w:rPr>
  </w:style>
  <w:style w:type="paragraph" w:styleId="PlainText">
    <w:name w:val="Plain Text"/>
    <w:basedOn w:val="Normal"/>
    <w:link w:val="PlainTextChar"/>
    <w:uiPriority w:val="99"/>
    <w:semiHidden/>
    <w:unhideWhenUsed/>
    <w:rsid w:val="00A64E43"/>
    <w:rPr>
      <w:rFonts w:ascii="Arial" w:eastAsiaTheme="minorHAnsi" w:hAnsi="Arial" w:cs="Arial"/>
      <w:sz w:val="22"/>
      <w:szCs w:val="22"/>
      <w:lang w:eastAsia="en-US"/>
    </w:rPr>
  </w:style>
  <w:style w:type="character" w:customStyle="1" w:styleId="PlainTextChar">
    <w:name w:val="Plain Text Char"/>
    <w:basedOn w:val="DefaultParagraphFont"/>
    <w:link w:val="PlainText"/>
    <w:uiPriority w:val="99"/>
    <w:semiHidden/>
    <w:rsid w:val="00A64E43"/>
    <w:rPr>
      <w:rFonts w:ascii="Arial" w:hAnsi="Arial" w:cs="Arial"/>
      <w:sz w:val="22"/>
    </w:rPr>
  </w:style>
  <w:style w:type="paragraph" w:customStyle="1" w:styleId="Style20ptCentered">
    <w:name w:val="Style 20 pt Centered"/>
    <w:basedOn w:val="Normal"/>
    <w:rsid w:val="00DA7DA6"/>
    <w:pPr>
      <w:jc w:val="center"/>
    </w:pPr>
    <w:rPr>
      <w:rFonts w:ascii="Arial Bold" w:eastAsiaTheme="minorHAnsi" w:hAnsi="Arial Bold"/>
      <w:b/>
      <w:bCs/>
      <w:sz w:val="40"/>
      <w:szCs w:val="40"/>
      <w:lang w:eastAsia="en-US"/>
    </w:rPr>
  </w:style>
  <w:style w:type="paragraph" w:styleId="ListNumber">
    <w:name w:val="List Number"/>
    <w:basedOn w:val="Normal"/>
    <w:uiPriority w:val="99"/>
    <w:semiHidden/>
    <w:unhideWhenUsed/>
    <w:rsid w:val="00997E3C"/>
    <w:pPr>
      <w:numPr>
        <w:numId w:val="2"/>
      </w:numPr>
      <w:spacing w:after="200" w:line="276" w:lineRule="auto"/>
    </w:pPr>
    <w:rPr>
      <w:rFonts w:ascii="Arial" w:eastAsiaTheme="minorHAnsi" w:hAnsi="Arial" w:cs="Arial"/>
      <w:sz w:val="22"/>
      <w:szCs w:val="22"/>
      <w:lang w:eastAsia="en-US"/>
    </w:rPr>
  </w:style>
  <w:style w:type="paragraph" w:styleId="ListNumber2">
    <w:name w:val="List Number 2"/>
    <w:basedOn w:val="Normal"/>
    <w:uiPriority w:val="99"/>
    <w:semiHidden/>
    <w:unhideWhenUsed/>
    <w:rsid w:val="00997E3C"/>
    <w:pPr>
      <w:numPr>
        <w:ilvl w:val="1"/>
        <w:numId w:val="2"/>
      </w:numPr>
      <w:spacing w:after="200" w:line="276" w:lineRule="auto"/>
    </w:pPr>
    <w:rPr>
      <w:rFonts w:ascii="Arial" w:eastAsiaTheme="minorHAnsi" w:hAnsi="Arial" w:cs="Arial"/>
      <w:sz w:val="22"/>
      <w:szCs w:val="22"/>
      <w:lang w:eastAsia="en-US"/>
    </w:rPr>
  </w:style>
  <w:style w:type="paragraph" w:styleId="ListNumber3">
    <w:name w:val="List Number 3"/>
    <w:basedOn w:val="Normal"/>
    <w:uiPriority w:val="99"/>
    <w:semiHidden/>
    <w:unhideWhenUsed/>
    <w:rsid w:val="00997E3C"/>
    <w:pPr>
      <w:numPr>
        <w:ilvl w:val="2"/>
        <w:numId w:val="2"/>
      </w:numPr>
      <w:spacing w:after="200" w:line="276" w:lineRule="auto"/>
    </w:pPr>
    <w:rPr>
      <w:rFonts w:ascii="Arial" w:eastAsiaTheme="minorHAnsi" w:hAnsi="Arial" w:cs="Arial"/>
      <w:sz w:val="22"/>
      <w:szCs w:val="22"/>
      <w:lang w:eastAsia="en-US"/>
    </w:rPr>
  </w:style>
  <w:style w:type="paragraph" w:styleId="ListNumber4">
    <w:name w:val="List Number 4"/>
    <w:basedOn w:val="Normal"/>
    <w:uiPriority w:val="99"/>
    <w:semiHidden/>
    <w:unhideWhenUsed/>
    <w:rsid w:val="00997E3C"/>
    <w:pPr>
      <w:numPr>
        <w:ilvl w:val="3"/>
        <w:numId w:val="2"/>
      </w:numPr>
      <w:spacing w:after="200" w:line="276" w:lineRule="auto"/>
    </w:pPr>
    <w:rPr>
      <w:rFonts w:ascii="Arial" w:eastAsiaTheme="minorHAnsi" w:hAnsi="Arial" w:cs="Arial"/>
      <w:sz w:val="22"/>
      <w:szCs w:val="22"/>
      <w:lang w:eastAsia="en-US"/>
    </w:rPr>
  </w:style>
  <w:style w:type="paragraph" w:styleId="ListNumber5">
    <w:name w:val="List Number 5"/>
    <w:basedOn w:val="Normal"/>
    <w:uiPriority w:val="99"/>
    <w:semiHidden/>
    <w:unhideWhenUsed/>
    <w:rsid w:val="00997E3C"/>
    <w:pPr>
      <w:numPr>
        <w:ilvl w:val="4"/>
        <w:numId w:val="2"/>
      </w:numPr>
      <w:spacing w:after="200" w:line="276" w:lineRule="auto"/>
    </w:pPr>
    <w:rPr>
      <w:rFonts w:ascii="Arial" w:eastAsiaTheme="minorHAnsi" w:hAnsi="Arial" w:cs="Arial"/>
      <w:sz w:val="22"/>
      <w:szCs w:val="22"/>
      <w:lang w:eastAsia="en-US"/>
    </w:rPr>
  </w:style>
  <w:style w:type="character" w:styleId="Emphasis">
    <w:name w:val="Emphasis"/>
    <w:basedOn w:val="DefaultParagraphFont"/>
    <w:uiPriority w:val="20"/>
    <w:qFormat/>
    <w:rsid w:val="002A7EFA"/>
    <w:rPr>
      <w:b/>
      <w:bCs/>
      <w:i w:val="0"/>
      <w:iCs w:val="0"/>
    </w:rPr>
  </w:style>
  <w:style w:type="character" w:customStyle="1" w:styleId="y0nh2b">
    <w:name w:val="y0nh2b"/>
    <w:basedOn w:val="DefaultParagraphFont"/>
    <w:rsid w:val="002A7EFA"/>
  </w:style>
  <w:style w:type="paragraph" w:customStyle="1" w:styleId="IntroPara">
    <w:name w:val="Intro Para"/>
    <w:basedOn w:val="Normal"/>
    <w:qFormat/>
    <w:rsid w:val="00F41C80"/>
    <w:pPr>
      <w:spacing w:after="120" w:line="320" w:lineRule="auto"/>
    </w:pPr>
    <w:rPr>
      <w:rFonts w:ascii="Arial" w:eastAsiaTheme="minorEastAsia" w:hAnsi="Arial" w:cstheme="minorBidi"/>
      <w:sz w:val="23"/>
    </w:rPr>
  </w:style>
  <w:style w:type="paragraph" w:customStyle="1" w:styleId="paragraph">
    <w:name w:val="paragraph"/>
    <w:aliases w:val="a"/>
    <w:basedOn w:val="Normal"/>
    <w:link w:val="paragraphChar"/>
    <w:rsid w:val="00F937E7"/>
    <w:pPr>
      <w:tabs>
        <w:tab w:val="right" w:pos="1531"/>
      </w:tabs>
      <w:spacing w:before="40"/>
      <w:ind w:left="1644" w:hanging="1644"/>
    </w:pPr>
    <w:rPr>
      <w:sz w:val="22"/>
      <w:szCs w:val="20"/>
    </w:rPr>
  </w:style>
  <w:style w:type="character" w:customStyle="1" w:styleId="paragraphChar">
    <w:name w:val="paragraph Char"/>
    <w:aliases w:val="a Char"/>
    <w:basedOn w:val="DefaultParagraphFont"/>
    <w:link w:val="paragraph"/>
    <w:rsid w:val="00F937E7"/>
    <w:rPr>
      <w:rFonts w:eastAsia="Times New Roman" w:cs="Times New Roman"/>
      <w:sz w:val="22"/>
      <w:szCs w:val="20"/>
      <w:lang w:eastAsia="en-AU"/>
    </w:rPr>
  </w:style>
  <w:style w:type="paragraph" w:customStyle="1" w:styleId="Bullet">
    <w:name w:val="Bullet"/>
    <w:basedOn w:val="Normal"/>
    <w:uiPriority w:val="99"/>
    <w:qFormat/>
    <w:rsid w:val="00EE23EE"/>
    <w:pPr>
      <w:keepNext/>
      <w:spacing w:before="60" w:after="60" w:line="300" w:lineRule="auto"/>
    </w:pPr>
    <w:rPr>
      <w:rFonts w:eastAsiaTheme="minorHAnsi"/>
      <w:lang w:eastAsia="en-US"/>
    </w:rPr>
  </w:style>
  <w:style w:type="character" w:customStyle="1" w:styleId="Heading4Char">
    <w:name w:val="Heading 4 Char"/>
    <w:basedOn w:val="DefaultParagraphFont"/>
    <w:link w:val="Heading4"/>
    <w:uiPriority w:val="9"/>
    <w:rsid w:val="001B0C81"/>
    <w:rPr>
      <w:rFonts w:eastAsia="Times New Roman" w:cs="Arial"/>
      <w:szCs w:val="28"/>
      <w:u w:val="single"/>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55252">
      <w:bodyDiv w:val="1"/>
      <w:marLeft w:val="0"/>
      <w:marRight w:val="0"/>
      <w:marTop w:val="0"/>
      <w:marBottom w:val="0"/>
      <w:divBdr>
        <w:top w:val="none" w:sz="0" w:space="0" w:color="auto"/>
        <w:left w:val="none" w:sz="0" w:space="0" w:color="auto"/>
        <w:bottom w:val="none" w:sz="0" w:space="0" w:color="auto"/>
        <w:right w:val="none" w:sz="0" w:space="0" w:color="auto"/>
      </w:divBdr>
    </w:div>
    <w:div w:id="124781442">
      <w:bodyDiv w:val="1"/>
      <w:marLeft w:val="0"/>
      <w:marRight w:val="0"/>
      <w:marTop w:val="0"/>
      <w:marBottom w:val="0"/>
      <w:divBdr>
        <w:top w:val="none" w:sz="0" w:space="0" w:color="auto"/>
        <w:left w:val="none" w:sz="0" w:space="0" w:color="auto"/>
        <w:bottom w:val="none" w:sz="0" w:space="0" w:color="auto"/>
        <w:right w:val="none" w:sz="0" w:space="0" w:color="auto"/>
      </w:divBdr>
    </w:div>
    <w:div w:id="128598476">
      <w:bodyDiv w:val="1"/>
      <w:marLeft w:val="0"/>
      <w:marRight w:val="0"/>
      <w:marTop w:val="0"/>
      <w:marBottom w:val="0"/>
      <w:divBdr>
        <w:top w:val="none" w:sz="0" w:space="0" w:color="auto"/>
        <w:left w:val="none" w:sz="0" w:space="0" w:color="auto"/>
        <w:bottom w:val="none" w:sz="0" w:space="0" w:color="auto"/>
        <w:right w:val="none" w:sz="0" w:space="0" w:color="auto"/>
      </w:divBdr>
    </w:div>
    <w:div w:id="144707496">
      <w:bodyDiv w:val="1"/>
      <w:marLeft w:val="0"/>
      <w:marRight w:val="0"/>
      <w:marTop w:val="0"/>
      <w:marBottom w:val="0"/>
      <w:divBdr>
        <w:top w:val="none" w:sz="0" w:space="0" w:color="auto"/>
        <w:left w:val="none" w:sz="0" w:space="0" w:color="auto"/>
        <w:bottom w:val="none" w:sz="0" w:space="0" w:color="auto"/>
        <w:right w:val="none" w:sz="0" w:space="0" w:color="auto"/>
      </w:divBdr>
    </w:div>
    <w:div w:id="178668029">
      <w:bodyDiv w:val="1"/>
      <w:marLeft w:val="0"/>
      <w:marRight w:val="0"/>
      <w:marTop w:val="0"/>
      <w:marBottom w:val="0"/>
      <w:divBdr>
        <w:top w:val="none" w:sz="0" w:space="0" w:color="auto"/>
        <w:left w:val="none" w:sz="0" w:space="0" w:color="auto"/>
        <w:bottom w:val="none" w:sz="0" w:space="0" w:color="auto"/>
        <w:right w:val="none" w:sz="0" w:space="0" w:color="auto"/>
      </w:divBdr>
    </w:div>
    <w:div w:id="198055951">
      <w:bodyDiv w:val="1"/>
      <w:marLeft w:val="0"/>
      <w:marRight w:val="0"/>
      <w:marTop w:val="0"/>
      <w:marBottom w:val="0"/>
      <w:divBdr>
        <w:top w:val="none" w:sz="0" w:space="0" w:color="auto"/>
        <w:left w:val="none" w:sz="0" w:space="0" w:color="auto"/>
        <w:bottom w:val="none" w:sz="0" w:space="0" w:color="auto"/>
        <w:right w:val="none" w:sz="0" w:space="0" w:color="auto"/>
      </w:divBdr>
    </w:div>
    <w:div w:id="209728324">
      <w:bodyDiv w:val="1"/>
      <w:marLeft w:val="0"/>
      <w:marRight w:val="0"/>
      <w:marTop w:val="0"/>
      <w:marBottom w:val="0"/>
      <w:divBdr>
        <w:top w:val="none" w:sz="0" w:space="0" w:color="auto"/>
        <w:left w:val="none" w:sz="0" w:space="0" w:color="auto"/>
        <w:bottom w:val="none" w:sz="0" w:space="0" w:color="auto"/>
        <w:right w:val="none" w:sz="0" w:space="0" w:color="auto"/>
      </w:divBdr>
    </w:div>
    <w:div w:id="245893330">
      <w:bodyDiv w:val="1"/>
      <w:marLeft w:val="0"/>
      <w:marRight w:val="0"/>
      <w:marTop w:val="0"/>
      <w:marBottom w:val="0"/>
      <w:divBdr>
        <w:top w:val="none" w:sz="0" w:space="0" w:color="auto"/>
        <w:left w:val="none" w:sz="0" w:space="0" w:color="auto"/>
        <w:bottom w:val="none" w:sz="0" w:space="0" w:color="auto"/>
        <w:right w:val="none" w:sz="0" w:space="0" w:color="auto"/>
      </w:divBdr>
    </w:div>
    <w:div w:id="271976448">
      <w:bodyDiv w:val="1"/>
      <w:marLeft w:val="0"/>
      <w:marRight w:val="0"/>
      <w:marTop w:val="0"/>
      <w:marBottom w:val="0"/>
      <w:divBdr>
        <w:top w:val="none" w:sz="0" w:space="0" w:color="auto"/>
        <w:left w:val="none" w:sz="0" w:space="0" w:color="auto"/>
        <w:bottom w:val="none" w:sz="0" w:space="0" w:color="auto"/>
        <w:right w:val="none" w:sz="0" w:space="0" w:color="auto"/>
      </w:divBdr>
    </w:div>
    <w:div w:id="274796654">
      <w:bodyDiv w:val="1"/>
      <w:marLeft w:val="0"/>
      <w:marRight w:val="0"/>
      <w:marTop w:val="0"/>
      <w:marBottom w:val="0"/>
      <w:divBdr>
        <w:top w:val="none" w:sz="0" w:space="0" w:color="auto"/>
        <w:left w:val="none" w:sz="0" w:space="0" w:color="auto"/>
        <w:bottom w:val="none" w:sz="0" w:space="0" w:color="auto"/>
        <w:right w:val="none" w:sz="0" w:space="0" w:color="auto"/>
      </w:divBdr>
    </w:div>
    <w:div w:id="278218986">
      <w:bodyDiv w:val="1"/>
      <w:marLeft w:val="0"/>
      <w:marRight w:val="0"/>
      <w:marTop w:val="0"/>
      <w:marBottom w:val="0"/>
      <w:divBdr>
        <w:top w:val="none" w:sz="0" w:space="0" w:color="auto"/>
        <w:left w:val="none" w:sz="0" w:space="0" w:color="auto"/>
        <w:bottom w:val="none" w:sz="0" w:space="0" w:color="auto"/>
        <w:right w:val="none" w:sz="0" w:space="0" w:color="auto"/>
      </w:divBdr>
    </w:div>
    <w:div w:id="301473086">
      <w:bodyDiv w:val="1"/>
      <w:marLeft w:val="0"/>
      <w:marRight w:val="0"/>
      <w:marTop w:val="0"/>
      <w:marBottom w:val="0"/>
      <w:divBdr>
        <w:top w:val="none" w:sz="0" w:space="0" w:color="auto"/>
        <w:left w:val="none" w:sz="0" w:space="0" w:color="auto"/>
        <w:bottom w:val="none" w:sz="0" w:space="0" w:color="auto"/>
        <w:right w:val="none" w:sz="0" w:space="0" w:color="auto"/>
      </w:divBdr>
    </w:div>
    <w:div w:id="350030365">
      <w:bodyDiv w:val="1"/>
      <w:marLeft w:val="0"/>
      <w:marRight w:val="0"/>
      <w:marTop w:val="0"/>
      <w:marBottom w:val="0"/>
      <w:divBdr>
        <w:top w:val="none" w:sz="0" w:space="0" w:color="auto"/>
        <w:left w:val="none" w:sz="0" w:space="0" w:color="auto"/>
        <w:bottom w:val="none" w:sz="0" w:space="0" w:color="auto"/>
        <w:right w:val="none" w:sz="0" w:space="0" w:color="auto"/>
      </w:divBdr>
    </w:div>
    <w:div w:id="376705851">
      <w:bodyDiv w:val="1"/>
      <w:marLeft w:val="0"/>
      <w:marRight w:val="0"/>
      <w:marTop w:val="0"/>
      <w:marBottom w:val="0"/>
      <w:divBdr>
        <w:top w:val="none" w:sz="0" w:space="0" w:color="auto"/>
        <w:left w:val="none" w:sz="0" w:space="0" w:color="auto"/>
        <w:bottom w:val="none" w:sz="0" w:space="0" w:color="auto"/>
        <w:right w:val="none" w:sz="0" w:space="0" w:color="auto"/>
      </w:divBdr>
    </w:div>
    <w:div w:id="384069449">
      <w:bodyDiv w:val="1"/>
      <w:marLeft w:val="0"/>
      <w:marRight w:val="0"/>
      <w:marTop w:val="0"/>
      <w:marBottom w:val="0"/>
      <w:divBdr>
        <w:top w:val="none" w:sz="0" w:space="0" w:color="auto"/>
        <w:left w:val="none" w:sz="0" w:space="0" w:color="auto"/>
        <w:bottom w:val="none" w:sz="0" w:space="0" w:color="auto"/>
        <w:right w:val="none" w:sz="0" w:space="0" w:color="auto"/>
      </w:divBdr>
    </w:div>
    <w:div w:id="410737855">
      <w:bodyDiv w:val="1"/>
      <w:marLeft w:val="0"/>
      <w:marRight w:val="0"/>
      <w:marTop w:val="0"/>
      <w:marBottom w:val="0"/>
      <w:divBdr>
        <w:top w:val="none" w:sz="0" w:space="0" w:color="auto"/>
        <w:left w:val="none" w:sz="0" w:space="0" w:color="auto"/>
        <w:bottom w:val="none" w:sz="0" w:space="0" w:color="auto"/>
        <w:right w:val="none" w:sz="0" w:space="0" w:color="auto"/>
      </w:divBdr>
    </w:div>
    <w:div w:id="423963998">
      <w:bodyDiv w:val="1"/>
      <w:marLeft w:val="0"/>
      <w:marRight w:val="0"/>
      <w:marTop w:val="0"/>
      <w:marBottom w:val="0"/>
      <w:divBdr>
        <w:top w:val="none" w:sz="0" w:space="0" w:color="auto"/>
        <w:left w:val="none" w:sz="0" w:space="0" w:color="auto"/>
        <w:bottom w:val="none" w:sz="0" w:space="0" w:color="auto"/>
        <w:right w:val="none" w:sz="0" w:space="0" w:color="auto"/>
      </w:divBdr>
    </w:div>
    <w:div w:id="434524029">
      <w:bodyDiv w:val="1"/>
      <w:marLeft w:val="0"/>
      <w:marRight w:val="0"/>
      <w:marTop w:val="0"/>
      <w:marBottom w:val="0"/>
      <w:divBdr>
        <w:top w:val="none" w:sz="0" w:space="0" w:color="auto"/>
        <w:left w:val="none" w:sz="0" w:space="0" w:color="auto"/>
        <w:bottom w:val="none" w:sz="0" w:space="0" w:color="auto"/>
        <w:right w:val="none" w:sz="0" w:space="0" w:color="auto"/>
      </w:divBdr>
    </w:div>
    <w:div w:id="453331569">
      <w:bodyDiv w:val="1"/>
      <w:marLeft w:val="0"/>
      <w:marRight w:val="0"/>
      <w:marTop w:val="0"/>
      <w:marBottom w:val="0"/>
      <w:divBdr>
        <w:top w:val="none" w:sz="0" w:space="0" w:color="auto"/>
        <w:left w:val="none" w:sz="0" w:space="0" w:color="auto"/>
        <w:bottom w:val="none" w:sz="0" w:space="0" w:color="auto"/>
        <w:right w:val="none" w:sz="0" w:space="0" w:color="auto"/>
      </w:divBdr>
    </w:div>
    <w:div w:id="455369592">
      <w:bodyDiv w:val="1"/>
      <w:marLeft w:val="0"/>
      <w:marRight w:val="0"/>
      <w:marTop w:val="0"/>
      <w:marBottom w:val="0"/>
      <w:divBdr>
        <w:top w:val="none" w:sz="0" w:space="0" w:color="auto"/>
        <w:left w:val="none" w:sz="0" w:space="0" w:color="auto"/>
        <w:bottom w:val="none" w:sz="0" w:space="0" w:color="auto"/>
        <w:right w:val="none" w:sz="0" w:space="0" w:color="auto"/>
      </w:divBdr>
    </w:div>
    <w:div w:id="481778833">
      <w:bodyDiv w:val="1"/>
      <w:marLeft w:val="0"/>
      <w:marRight w:val="0"/>
      <w:marTop w:val="0"/>
      <w:marBottom w:val="0"/>
      <w:divBdr>
        <w:top w:val="none" w:sz="0" w:space="0" w:color="auto"/>
        <w:left w:val="none" w:sz="0" w:space="0" w:color="auto"/>
        <w:bottom w:val="none" w:sz="0" w:space="0" w:color="auto"/>
        <w:right w:val="none" w:sz="0" w:space="0" w:color="auto"/>
      </w:divBdr>
    </w:div>
    <w:div w:id="507259571">
      <w:bodyDiv w:val="1"/>
      <w:marLeft w:val="0"/>
      <w:marRight w:val="0"/>
      <w:marTop w:val="0"/>
      <w:marBottom w:val="0"/>
      <w:divBdr>
        <w:top w:val="none" w:sz="0" w:space="0" w:color="auto"/>
        <w:left w:val="none" w:sz="0" w:space="0" w:color="auto"/>
        <w:bottom w:val="none" w:sz="0" w:space="0" w:color="auto"/>
        <w:right w:val="none" w:sz="0" w:space="0" w:color="auto"/>
      </w:divBdr>
    </w:div>
    <w:div w:id="508762947">
      <w:bodyDiv w:val="1"/>
      <w:marLeft w:val="0"/>
      <w:marRight w:val="0"/>
      <w:marTop w:val="0"/>
      <w:marBottom w:val="0"/>
      <w:divBdr>
        <w:top w:val="none" w:sz="0" w:space="0" w:color="auto"/>
        <w:left w:val="none" w:sz="0" w:space="0" w:color="auto"/>
        <w:bottom w:val="none" w:sz="0" w:space="0" w:color="auto"/>
        <w:right w:val="none" w:sz="0" w:space="0" w:color="auto"/>
      </w:divBdr>
    </w:div>
    <w:div w:id="526917070">
      <w:bodyDiv w:val="1"/>
      <w:marLeft w:val="0"/>
      <w:marRight w:val="0"/>
      <w:marTop w:val="0"/>
      <w:marBottom w:val="0"/>
      <w:divBdr>
        <w:top w:val="none" w:sz="0" w:space="0" w:color="auto"/>
        <w:left w:val="none" w:sz="0" w:space="0" w:color="auto"/>
        <w:bottom w:val="none" w:sz="0" w:space="0" w:color="auto"/>
        <w:right w:val="none" w:sz="0" w:space="0" w:color="auto"/>
      </w:divBdr>
    </w:div>
    <w:div w:id="530260689">
      <w:bodyDiv w:val="1"/>
      <w:marLeft w:val="0"/>
      <w:marRight w:val="0"/>
      <w:marTop w:val="0"/>
      <w:marBottom w:val="0"/>
      <w:divBdr>
        <w:top w:val="single" w:sz="2" w:space="0" w:color="000000"/>
        <w:left w:val="none" w:sz="0" w:space="0" w:color="auto"/>
        <w:bottom w:val="none" w:sz="0" w:space="0" w:color="auto"/>
        <w:right w:val="none" w:sz="0" w:space="0" w:color="auto"/>
      </w:divBdr>
      <w:divsChild>
        <w:div w:id="1815490521">
          <w:marLeft w:val="0"/>
          <w:marRight w:val="0"/>
          <w:marTop w:val="0"/>
          <w:marBottom w:val="0"/>
          <w:divBdr>
            <w:top w:val="none" w:sz="0" w:space="0" w:color="auto"/>
            <w:left w:val="none" w:sz="0" w:space="0" w:color="auto"/>
            <w:bottom w:val="none" w:sz="0" w:space="0" w:color="auto"/>
            <w:right w:val="none" w:sz="0" w:space="0" w:color="auto"/>
          </w:divBdr>
          <w:divsChild>
            <w:div w:id="342361538">
              <w:marLeft w:val="0"/>
              <w:marRight w:val="0"/>
              <w:marTop w:val="0"/>
              <w:marBottom w:val="0"/>
              <w:divBdr>
                <w:top w:val="none" w:sz="0" w:space="0" w:color="auto"/>
                <w:left w:val="none" w:sz="0" w:space="0" w:color="auto"/>
                <w:bottom w:val="none" w:sz="0" w:space="0" w:color="auto"/>
                <w:right w:val="none" w:sz="0" w:space="0" w:color="auto"/>
              </w:divBdr>
              <w:divsChild>
                <w:div w:id="1626235241">
                  <w:marLeft w:val="0"/>
                  <w:marRight w:val="0"/>
                  <w:marTop w:val="0"/>
                  <w:marBottom w:val="0"/>
                  <w:divBdr>
                    <w:top w:val="none" w:sz="0" w:space="0" w:color="auto"/>
                    <w:left w:val="none" w:sz="0" w:space="0" w:color="auto"/>
                    <w:bottom w:val="none" w:sz="0" w:space="0" w:color="auto"/>
                    <w:right w:val="none" w:sz="0" w:space="0" w:color="auto"/>
                  </w:divBdr>
                  <w:divsChild>
                    <w:div w:id="721514580">
                      <w:marLeft w:val="0"/>
                      <w:marRight w:val="0"/>
                      <w:marTop w:val="0"/>
                      <w:marBottom w:val="0"/>
                      <w:divBdr>
                        <w:top w:val="none" w:sz="0" w:space="0" w:color="auto"/>
                        <w:left w:val="none" w:sz="0" w:space="0" w:color="auto"/>
                        <w:bottom w:val="none" w:sz="0" w:space="0" w:color="auto"/>
                        <w:right w:val="none" w:sz="0" w:space="0" w:color="auto"/>
                      </w:divBdr>
                      <w:divsChild>
                        <w:div w:id="186320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284070">
      <w:bodyDiv w:val="1"/>
      <w:marLeft w:val="0"/>
      <w:marRight w:val="0"/>
      <w:marTop w:val="0"/>
      <w:marBottom w:val="0"/>
      <w:divBdr>
        <w:top w:val="none" w:sz="0" w:space="0" w:color="auto"/>
        <w:left w:val="none" w:sz="0" w:space="0" w:color="auto"/>
        <w:bottom w:val="none" w:sz="0" w:space="0" w:color="auto"/>
        <w:right w:val="none" w:sz="0" w:space="0" w:color="auto"/>
      </w:divBdr>
    </w:div>
    <w:div w:id="554124640">
      <w:bodyDiv w:val="1"/>
      <w:marLeft w:val="0"/>
      <w:marRight w:val="0"/>
      <w:marTop w:val="0"/>
      <w:marBottom w:val="0"/>
      <w:divBdr>
        <w:top w:val="none" w:sz="0" w:space="0" w:color="auto"/>
        <w:left w:val="none" w:sz="0" w:space="0" w:color="auto"/>
        <w:bottom w:val="none" w:sz="0" w:space="0" w:color="auto"/>
        <w:right w:val="none" w:sz="0" w:space="0" w:color="auto"/>
      </w:divBdr>
    </w:div>
    <w:div w:id="628324336">
      <w:bodyDiv w:val="1"/>
      <w:marLeft w:val="0"/>
      <w:marRight w:val="0"/>
      <w:marTop w:val="0"/>
      <w:marBottom w:val="0"/>
      <w:divBdr>
        <w:top w:val="none" w:sz="0" w:space="0" w:color="auto"/>
        <w:left w:val="none" w:sz="0" w:space="0" w:color="auto"/>
        <w:bottom w:val="none" w:sz="0" w:space="0" w:color="auto"/>
        <w:right w:val="none" w:sz="0" w:space="0" w:color="auto"/>
      </w:divBdr>
    </w:div>
    <w:div w:id="683016898">
      <w:bodyDiv w:val="1"/>
      <w:marLeft w:val="0"/>
      <w:marRight w:val="0"/>
      <w:marTop w:val="0"/>
      <w:marBottom w:val="0"/>
      <w:divBdr>
        <w:top w:val="none" w:sz="0" w:space="0" w:color="auto"/>
        <w:left w:val="none" w:sz="0" w:space="0" w:color="auto"/>
        <w:bottom w:val="none" w:sz="0" w:space="0" w:color="auto"/>
        <w:right w:val="none" w:sz="0" w:space="0" w:color="auto"/>
      </w:divBdr>
      <w:divsChild>
        <w:div w:id="574321486">
          <w:marLeft w:val="0"/>
          <w:marRight w:val="0"/>
          <w:marTop w:val="0"/>
          <w:marBottom w:val="0"/>
          <w:divBdr>
            <w:top w:val="none" w:sz="0" w:space="0" w:color="auto"/>
            <w:left w:val="none" w:sz="0" w:space="0" w:color="auto"/>
            <w:bottom w:val="none" w:sz="0" w:space="0" w:color="auto"/>
            <w:right w:val="none" w:sz="0" w:space="0" w:color="auto"/>
          </w:divBdr>
          <w:divsChild>
            <w:div w:id="1452019197">
              <w:marLeft w:val="0"/>
              <w:marRight w:val="0"/>
              <w:marTop w:val="0"/>
              <w:marBottom w:val="0"/>
              <w:divBdr>
                <w:top w:val="none" w:sz="0" w:space="0" w:color="auto"/>
                <w:left w:val="none" w:sz="0" w:space="0" w:color="auto"/>
                <w:bottom w:val="none" w:sz="0" w:space="0" w:color="auto"/>
                <w:right w:val="none" w:sz="0" w:space="0" w:color="auto"/>
              </w:divBdr>
              <w:divsChild>
                <w:div w:id="839124558">
                  <w:marLeft w:val="0"/>
                  <w:marRight w:val="0"/>
                  <w:marTop w:val="0"/>
                  <w:marBottom w:val="0"/>
                  <w:divBdr>
                    <w:top w:val="none" w:sz="0" w:space="0" w:color="auto"/>
                    <w:left w:val="none" w:sz="0" w:space="0" w:color="auto"/>
                    <w:bottom w:val="none" w:sz="0" w:space="0" w:color="auto"/>
                    <w:right w:val="none" w:sz="0" w:space="0" w:color="auto"/>
                  </w:divBdr>
                  <w:divsChild>
                    <w:div w:id="756756918">
                      <w:marLeft w:val="0"/>
                      <w:marRight w:val="0"/>
                      <w:marTop w:val="0"/>
                      <w:marBottom w:val="0"/>
                      <w:divBdr>
                        <w:top w:val="none" w:sz="0" w:space="0" w:color="auto"/>
                        <w:left w:val="none" w:sz="0" w:space="0" w:color="auto"/>
                        <w:bottom w:val="none" w:sz="0" w:space="0" w:color="auto"/>
                        <w:right w:val="none" w:sz="0" w:space="0" w:color="auto"/>
                      </w:divBdr>
                      <w:divsChild>
                        <w:div w:id="1970240288">
                          <w:marLeft w:val="0"/>
                          <w:marRight w:val="0"/>
                          <w:marTop w:val="0"/>
                          <w:marBottom w:val="0"/>
                          <w:divBdr>
                            <w:top w:val="none" w:sz="0" w:space="0" w:color="auto"/>
                            <w:left w:val="none" w:sz="0" w:space="0" w:color="auto"/>
                            <w:bottom w:val="none" w:sz="0" w:space="0" w:color="auto"/>
                            <w:right w:val="none" w:sz="0" w:space="0" w:color="auto"/>
                          </w:divBdr>
                          <w:divsChild>
                            <w:div w:id="1955987813">
                              <w:marLeft w:val="0"/>
                              <w:marRight w:val="0"/>
                              <w:marTop w:val="0"/>
                              <w:marBottom w:val="0"/>
                              <w:divBdr>
                                <w:top w:val="none" w:sz="0" w:space="0" w:color="auto"/>
                                <w:left w:val="none" w:sz="0" w:space="0" w:color="auto"/>
                                <w:bottom w:val="none" w:sz="0" w:space="0" w:color="auto"/>
                                <w:right w:val="none" w:sz="0" w:space="0" w:color="auto"/>
                              </w:divBdr>
                              <w:divsChild>
                                <w:div w:id="1000737926">
                                  <w:marLeft w:val="0"/>
                                  <w:marRight w:val="0"/>
                                  <w:marTop w:val="0"/>
                                  <w:marBottom w:val="0"/>
                                  <w:divBdr>
                                    <w:top w:val="none" w:sz="0" w:space="0" w:color="auto"/>
                                    <w:left w:val="none" w:sz="0" w:space="0" w:color="auto"/>
                                    <w:bottom w:val="none" w:sz="0" w:space="0" w:color="auto"/>
                                    <w:right w:val="none" w:sz="0" w:space="0" w:color="auto"/>
                                  </w:divBdr>
                                  <w:divsChild>
                                    <w:div w:id="794981926">
                                      <w:marLeft w:val="0"/>
                                      <w:marRight w:val="150"/>
                                      <w:marTop w:val="0"/>
                                      <w:marBottom w:val="0"/>
                                      <w:divBdr>
                                        <w:top w:val="none" w:sz="0" w:space="0" w:color="auto"/>
                                        <w:left w:val="none" w:sz="0" w:space="0" w:color="auto"/>
                                        <w:bottom w:val="none" w:sz="0" w:space="0" w:color="auto"/>
                                        <w:right w:val="none" w:sz="0" w:space="0" w:color="auto"/>
                                      </w:divBdr>
                                      <w:divsChild>
                                        <w:div w:id="1038554989">
                                          <w:marLeft w:val="0"/>
                                          <w:marRight w:val="0"/>
                                          <w:marTop w:val="75"/>
                                          <w:marBottom w:val="0"/>
                                          <w:divBdr>
                                            <w:top w:val="none" w:sz="0" w:space="0" w:color="auto"/>
                                            <w:left w:val="none" w:sz="0" w:space="0" w:color="auto"/>
                                            <w:bottom w:val="none" w:sz="0" w:space="0" w:color="auto"/>
                                            <w:right w:val="none" w:sz="0" w:space="0" w:color="auto"/>
                                          </w:divBdr>
                                          <w:divsChild>
                                            <w:div w:id="429354587">
                                              <w:marLeft w:val="0"/>
                                              <w:marRight w:val="0"/>
                                              <w:marTop w:val="0"/>
                                              <w:marBottom w:val="0"/>
                                              <w:divBdr>
                                                <w:top w:val="none" w:sz="0" w:space="0" w:color="auto"/>
                                                <w:left w:val="none" w:sz="0" w:space="0" w:color="auto"/>
                                                <w:bottom w:val="none" w:sz="0" w:space="0" w:color="auto"/>
                                                <w:right w:val="none" w:sz="0" w:space="0" w:color="auto"/>
                                              </w:divBdr>
                                              <w:divsChild>
                                                <w:div w:id="1247299373">
                                                  <w:marLeft w:val="0"/>
                                                  <w:marRight w:val="0"/>
                                                  <w:marTop w:val="0"/>
                                                  <w:marBottom w:val="0"/>
                                                  <w:divBdr>
                                                    <w:top w:val="none" w:sz="0" w:space="0" w:color="auto"/>
                                                    <w:left w:val="none" w:sz="0" w:space="0" w:color="auto"/>
                                                    <w:bottom w:val="none" w:sz="0" w:space="0" w:color="auto"/>
                                                    <w:right w:val="none" w:sz="0" w:space="0" w:color="auto"/>
                                                  </w:divBdr>
                                                </w:div>
                                                <w:div w:id="87111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4816635">
      <w:bodyDiv w:val="1"/>
      <w:marLeft w:val="0"/>
      <w:marRight w:val="0"/>
      <w:marTop w:val="0"/>
      <w:marBottom w:val="0"/>
      <w:divBdr>
        <w:top w:val="none" w:sz="0" w:space="0" w:color="auto"/>
        <w:left w:val="none" w:sz="0" w:space="0" w:color="auto"/>
        <w:bottom w:val="none" w:sz="0" w:space="0" w:color="auto"/>
        <w:right w:val="none" w:sz="0" w:space="0" w:color="auto"/>
      </w:divBdr>
    </w:div>
    <w:div w:id="741371115">
      <w:bodyDiv w:val="1"/>
      <w:marLeft w:val="0"/>
      <w:marRight w:val="0"/>
      <w:marTop w:val="0"/>
      <w:marBottom w:val="0"/>
      <w:divBdr>
        <w:top w:val="none" w:sz="0" w:space="0" w:color="auto"/>
        <w:left w:val="none" w:sz="0" w:space="0" w:color="auto"/>
        <w:bottom w:val="none" w:sz="0" w:space="0" w:color="auto"/>
        <w:right w:val="none" w:sz="0" w:space="0" w:color="auto"/>
      </w:divBdr>
    </w:div>
    <w:div w:id="742794445">
      <w:bodyDiv w:val="1"/>
      <w:marLeft w:val="0"/>
      <w:marRight w:val="0"/>
      <w:marTop w:val="0"/>
      <w:marBottom w:val="0"/>
      <w:divBdr>
        <w:top w:val="none" w:sz="0" w:space="0" w:color="auto"/>
        <w:left w:val="none" w:sz="0" w:space="0" w:color="auto"/>
        <w:bottom w:val="none" w:sz="0" w:space="0" w:color="auto"/>
        <w:right w:val="none" w:sz="0" w:space="0" w:color="auto"/>
      </w:divBdr>
      <w:divsChild>
        <w:div w:id="459567413">
          <w:marLeft w:val="0"/>
          <w:marRight w:val="0"/>
          <w:marTop w:val="0"/>
          <w:marBottom w:val="0"/>
          <w:divBdr>
            <w:top w:val="none" w:sz="0" w:space="0" w:color="auto"/>
            <w:left w:val="none" w:sz="0" w:space="0" w:color="auto"/>
            <w:bottom w:val="none" w:sz="0" w:space="0" w:color="auto"/>
            <w:right w:val="none" w:sz="0" w:space="0" w:color="auto"/>
          </w:divBdr>
          <w:divsChild>
            <w:div w:id="2041124596">
              <w:marLeft w:val="0"/>
              <w:marRight w:val="0"/>
              <w:marTop w:val="0"/>
              <w:marBottom w:val="0"/>
              <w:divBdr>
                <w:top w:val="none" w:sz="0" w:space="0" w:color="auto"/>
                <w:left w:val="none" w:sz="0" w:space="0" w:color="auto"/>
                <w:bottom w:val="none" w:sz="0" w:space="0" w:color="auto"/>
                <w:right w:val="none" w:sz="0" w:space="0" w:color="auto"/>
              </w:divBdr>
              <w:divsChild>
                <w:div w:id="499543144">
                  <w:marLeft w:val="0"/>
                  <w:marRight w:val="0"/>
                  <w:marTop w:val="0"/>
                  <w:marBottom w:val="0"/>
                  <w:divBdr>
                    <w:top w:val="none" w:sz="0" w:space="0" w:color="auto"/>
                    <w:left w:val="none" w:sz="0" w:space="0" w:color="auto"/>
                    <w:bottom w:val="none" w:sz="0" w:space="0" w:color="auto"/>
                    <w:right w:val="none" w:sz="0" w:space="0" w:color="auto"/>
                  </w:divBdr>
                  <w:divsChild>
                    <w:div w:id="1006976342">
                      <w:marLeft w:val="0"/>
                      <w:marRight w:val="0"/>
                      <w:marTop w:val="0"/>
                      <w:marBottom w:val="0"/>
                      <w:divBdr>
                        <w:top w:val="none" w:sz="0" w:space="0" w:color="auto"/>
                        <w:left w:val="none" w:sz="0" w:space="0" w:color="auto"/>
                        <w:bottom w:val="none" w:sz="0" w:space="0" w:color="auto"/>
                        <w:right w:val="none" w:sz="0" w:space="0" w:color="auto"/>
                      </w:divBdr>
                      <w:divsChild>
                        <w:div w:id="677536503">
                          <w:marLeft w:val="-225"/>
                          <w:marRight w:val="-225"/>
                          <w:marTop w:val="0"/>
                          <w:marBottom w:val="0"/>
                          <w:divBdr>
                            <w:top w:val="none" w:sz="0" w:space="0" w:color="auto"/>
                            <w:left w:val="none" w:sz="0" w:space="0" w:color="auto"/>
                            <w:bottom w:val="none" w:sz="0" w:space="0" w:color="auto"/>
                            <w:right w:val="none" w:sz="0" w:space="0" w:color="auto"/>
                          </w:divBdr>
                          <w:divsChild>
                            <w:div w:id="943611461">
                              <w:marLeft w:val="0"/>
                              <w:marRight w:val="0"/>
                              <w:marTop w:val="0"/>
                              <w:marBottom w:val="0"/>
                              <w:divBdr>
                                <w:top w:val="none" w:sz="0" w:space="0" w:color="auto"/>
                                <w:left w:val="none" w:sz="0" w:space="0" w:color="auto"/>
                                <w:bottom w:val="none" w:sz="0" w:space="0" w:color="auto"/>
                                <w:right w:val="none" w:sz="0" w:space="0" w:color="auto"/>
                              </w:divBdr>
                              <w:divsChild>
                                <w:div w:id="1867213212">
                                  <w:marLeft w:val="0"/>
                                  <w:marRight w:val="0"/>
                                  <w:marTop w:val="0"/>
                                  <w:marBottom w:val="0"/>
                                  <w:divBdr>
                                    <w:top w:val="none" w:sz="0" w:space="0" w:color="auto"/>
                                    <w:left w:val="none" w:sz="0" w:space="0" w:color="auto"/>
                                    <w:bottom w:val="none" w:sz="0" w:space="0" w:color="auto"/>
                                    <w:right w:val="none" w:sz="0" w:space="0" w:color="auto"/>
                                  </w:divBdr>
                                  <w:divsChild>
                                    <w:div w:id="1125847664">
                                      <w:marLeft w:val="0"/>
                                      <w:marRight w:val="0"/>
                                      <w:marTop w:val="0"/>
                                      <w:marBottom w:val="0"/>
                                      <w:divBdr>
                                        <w:top w:val="none" w:sz="0" w:space="0" w:color="auto"/>
                                        <w:left w:val="none" w:sz="0" w:space="0" w:color="auto"/>
                                        <w:bottom w:val="none" w:sz="0" w:space="0" w:color="auto"/>
                                        <w:right w:val="none" w:sz="0" w:space="0" w:color="auto"/>
                                      </w:divBdr>
                                      <w:divsChild>
                                        <w:div w:id="34413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0978283">
      <w:bodyDiv w:val="1"/>
      <w:marLeft w:val="0"/>
      <w:marRight w:val="0"/>
      <w:marTop w:val="0"/>
      <w:marBottom w:val="0"/>
      <w:divBdr>
        <w:top w:val="none" w:sz="0" w:space="0" w:color="auto"/>
        <w:left w:val="none" w:sz="0" w:space="0" w:color="auto"/>
        <w:bottom w:val="none" w:sz="0" w:space="0" w:color="auto"/>
        <w:right w:val="none" w:sz="0" w:space="0" w:color="auto"/>
      </w:divBdr>
    </w:div>
    <w:div w:id="842016980">
      <w:bodyDiv w:val="1"/>
      <w:marLeft w:val="0"/>
      <w:marRight w:val="0"/>
      <w:marTop w:val="0"/>
      <w:marBottom w:val="0"/>
      <w:divBdr>
        <w:top w:val="none" w:sz="0" w:space="0" w:color="auto"/>
        <w:left w:val="none" w:sz="0" w:space="0" w:color="auto"/>
        <w:bottom w:val="none" w:sz="0" w:space="0" w:color="auto"/>
        <w:right w:val="none" w:sz="0" w:space="0" w:color="auto"/>
      </w:divBdr>
    </w:div>
    <w:div w:id="844982501">
      <w:bodyDiv w:val="1"/>
      <w:marLeft w:val="0"/>
      <w:marRight w:val="0"/>
      <w:marTop w:val="0"/>
      <w:marBottom w:val="0"/>
      <w:divBdr>
        <w:top w:val="none" w:sz="0" w:space="0" w:color="auto"/>
        <w:left w:val="none" w:sz="0" w:space="0" w:color="auto"/>
        <w:bottom w:val="none" w:sz="0" w:space="0" w:color="auto"/>
        <w:right w:val="none" w:sz="0" w:space="0" w:color="auto"/>
      </w:divBdr>
    </w:div>
    <w:div w:id="930890800">
      <w:bodyDiv w:val="1"/>
      <w:marLeft w:val="0"/>
      <w:marRight w:val="0"/>
      <w:marTop w:val="0"/>
      <w:marBottom w:val="0"/>
      <w:divBdr>
        <w:top w:val="none" w:sz="0" w:space="0" w:color="auto"/>
        <w:left w:val="none" w:sz="0" w:space="0" w:color="auto"/>
        <w:bottom w:val="none" w:sz="0" w:space="0" w:color="auto"/>
        <w:right w:val="none" w:sz="0" w:space="0" w:color="auto"/>
      </w:divBdr>
    </w:div>
    <w:div w:id="942616761">
      <w:bodyDiv w:val="1"/>
      <w:marLeft w:val="0"/>
      <w:marRight w:val="0"/>
      <w:marTop w:val="0"/>
      <w:marBottom w:val="0"/>
      <w:divBdr>
        <w:top w:val="none" w:sz="0" w:space="0" w:color="auto"/>
        <w:left w:val="none" w:sz="0" w:space="0" w:color="auto"/>
        <w:bottom w:val="none" w:sz="0" w:space="0" w:color="auto"/>
        <w:right w:val="none" w:sz="0" w:space="0" w:color="auto"/>
      </w:divBdr>
    </w:div>
    <w:div w:id="943145501">
      <w:bodyDiv w:val="1"/>
      <w:marLeft w:val="0"/>
      <w:marRight w:val="0"/>
      <w:marTop w:val="0"/>
      <w:marBottom w:val="0"/>
      <w:divBdr>
        <w:top w:val="none" w:sz="0" w:space="0" w:color="auto"/>
        <w:left w:val="none" w:sz="0" w:space="0" w:color="auto"/>
        <w:bottom w:val="none" w:sz="0" w:space="0" w:color="auto"/>
        <w:right w:val="none" w:sz="0" w:space="0" w:color="auto"/>
      </w:divBdr>
    </w:div>
    <w:div w:id="990796435">
      <w:bodyDiv w:val="1"/>
      <w:marLeft w:val="0"/>
      <w:marRight w:val="0"/>
      <w:marTop w:val="0"/>
      <w:marBottom w:val="0"/>
      <w:divBdr>
        <w:top w:val="none" w:sz="0" w:space="0" w:color="auto"/>
        <w:left w:val="none" w:sz="0" w:space="0" w:color="auto"/>
        <w:bottom w:val="none" w:sz="0" w:space="0" w:color="auto"/>
        <w:right w:val="none" w:sz="0" w:space="0" w:color="auto"/>
      </w:divBdr>
    </w:div>
    <w:div w:id="1066801620">
      <w:bodyDiv w:val="1"/>
      <w:marLeft w:val="0"/>
      <w:marRight w:val="0"/>
      <w:marTop w:val="0"/>
      <w:marBottom w:val="0"/>
      <w:divBdr>
        <w:top w:val="none" w:sz="0" w:space="0" w:color="auto"/>
        <w:left w:val="none" w:sz="0" w:space="0" w:color="auto"/>
        <w:bottom w:val="none" w:sz="0" w:space="0" w:color="auto"/>
        <w:right w:val="none" w:sz="0" w:space="0" w:color="auto"/>
      </w:divBdr>
    </w:div>
    <w:div w:id="1070078302">
      <w:bodyDiv w:val="1"/>
      <w:marLeft w:val="0"/>
      <w:marRight w:val="0"/>
      <w:marTop w:val="0"/>
      <w:marBottom w:val="0"/>
      <w:divBdr>
        <w:top w:val="none" w:sz="0" w:space="0" w:color="auto"/>
        <w:left w:val="none" w:sz="0" w:space="0" w:color="auto"/>
        <w:bottom w:val="none" w:sz="0" w:space="0" w:color="auto"/>
        <w:right w:val="none" w:sz="0" w:space="0" w:color="auto"/>
      </w:divBdr>
      <w:divsChild>
        <w:div w:id="1364403237">
          <w:marLeft w:val="0"/>
          <w:marRight w:val="0"/>
          <w:marTop w:val="0"/>
          <w:marBottom w:val="0"/>
          <w:divBdr>
            <w:top w:val="none" w:sz="0" w:space="0" w:color="auto"/>
            <w:left w:val="none" w:sz="0" w:space="0" w:color="auto"/>
            <w:bottom w:val="none" w:sz="0" w:space="0" w:color="auto"/>
            <w:right w:val="none" w:sz="0" w:space="0" w:color="auto"/>
          </w:divBdr>
          <w:divsChild>
            <w:div w:id="1337463388">
              <w:marLeft w:val="0"/>
              <w:marRight w:val="0"/>
              <w:marTop w:val="0"/>
              <w:marBottom w:val="0"/>
              <w:divBdr>
                <w:top w:val="none" w:sz="0" w:space="0" w:color="auto"/>
                <w:left w:val="none" w:sz="0" w:space="0" w:color="auto"/>
                <w:bottom w:val="none" w:sz="0" w:space="0" w:color="auto"/>
                <w:right w:val="none" w:sz="0" w:space="0" w:color="auto"/>
              </w:divBdr>
              <w:divsChild>
                <w:div w:id="928347343">
                  <w:marLeft w:val="0"/>
                  <w:marRight w:val="0"/>
                  <w:marTop w:val="0"/>
                  <w:marBottom w:val="0"/>
                  <w:divBdr>
                    <w:top w:val="none" w:sz="0" w:space="0" w:color="auto"/>
                    <w:left w:val="none" w:sz="0" w:space="0" w:color="auto"/>
                    <w:bottom w:val="none" w:sz="0" w:space="0" w:color="auto"/>
                    <w:right w:val="none" w:sz="0" w:space="0" w:color="auto"/>
                  </w:divBdr>
                  <w:divsChild>
                    <w:div w:id="1344895469">
                      <w:marLeft w:val="0"/>
                      <w:marRight w:val="0"/>
                      <w:marTop w:val="0"/>
                      <w:marBottom w:val="0"/>
                      <w:divBdr>
                        <w:top w:val="none" w:sz="0" w:space="0" w:color="auto"/>
                        <w:left w:val="none" w:sz="0" w:space="0" w:color="auto"/>
                        <w:bottom w:val="none" w:sz="0" w:space="0" w:color="auto"/>
                        <w:right w:val="none" w:sz="0" w:space="0" w:color="auto"/>
                      </w:divBdr>
                      <w:divsChild>
                        <w:div w:id="231432084">
                          <w:marLeft w:val="0"/>
                          <w:marRight w:val="0"/>
                          <w:marTop w:val="0"/>
                          <w:marBottom w:val="0"/>
                          <w:divBdr>
                            <w:top w:val="none" w:sz="0" w:space="0" w:color="auto"/>
                            <w:left w:val="none" w:sz="0" w:space="0" w:color="auto"/>
                            <w:bottom w:val="none" w:sz="0" w:space="0" w:color="auto"/>
                            <w:right w:val="none" w:sz="0" w:space="0" w:color="auto"/>
                          </w:divBdr>
                          <w:divsChild>
                            <w:div w:id="1973291269">
                              <w:marLeft w:val="0"/>
                              <w:marRight w:val="0"/>
                              <w:marTop w:val="0"/>
                              <w:marBottom w:val="0"/>
                              <w:divBdr>
                                <w:top w:val="none" w:sz="0" w:space="0" w:color="auto"/>
                                <w:left w:val="none" w:sz="0" w:space="0" w:color="auto"/>
                                <w:bottom w:val="none" w:sz="0" w:space="0" w:color="auto"/>
                                <w:right w:val="none" w:sz="0" w:space="0" w:color="auto"/>
                              </w:divBdr>
                              <w:divsChild>
                                <w:div w:id="39287429">
                                  <w:marLeft w:val="0"/>
                                  <w:marRight w:val="0"/>
                                  <w:marTop w:val="0"/>
                                  <w:marBottom w:val="0"/>
                                  <w:divBdr>
                                    <w:top w:val="none" w:sz="0" w:space="0" w:color="auto"/>
                                    <w:left w:val="none" w:sz="0" w:space="0" w:color="auto"/>
                                    <w:bottom w:val="none" w:sz="0" w:space="0" w:color="auto"/>
                                    <w:right w:val="none" w:sz="0" w:space="0" w:color="auto"/>
                                  </w:divBdr>
                                  <w:divsChild>
                                    <w:div w:id="1569075170">
                                      <w:marLeft w:val="0"/>
                                      <w:marRight w:val="0"/>
                                      <w:marTop w:val="0"/>
                                      <w:marBottom w:val="0"/>
                                      <w:divBdr>
                                        <w:top w:val="none" w:sz="0" w:space="0" w:color="auto"/>
                                        <w:left w:val="none" w:sz="0" w:space="0" w:color="auto"/>
                                        <w:bottom w:val="none" w:sz="0" w:space="0" w:color="auto"/>
                                        <w:right w:val="none" w:sz="0" w:space="0" w:color="auto"/>
                                      </w:divBdr>
                                      <w:divsChild>
                                        <w:div w:id="1151409109">
                                          <w:marLeft w:val="0"/>
                                          <w:marRight w:val="0"/>
                                          <w:marTop w:val="0"/>
                                          <w:marBottom w:val="0"/>
                                          <w:divBdr>
                                            <w:top w:val="none" w:sz="0" w:space="0" w:color="auto"/>
                                            <w:left w:val="none" w:sz="0" w:space="0" w:color="auto"/>
                                            <w:bottom w:val="none" w:sz="0" w:space="0" w:color="auto"/>
                                            <w:right w:val="none" w:sz="0" w:space="0" w:color="auto"/>
                                          </w:divBdr>
                                          <w:divsChild>
                                            <w:div w:id="84286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387599">
      <w:bodyDiv w:val="1"/>
      <w:marLeft w:val="0"/>
      <w:marRight w:val="0"/>
      <w:marTop w:val="0"/>
      <w:marBottom w:val="0"/>
      <w:divBdr>
        <w:top w:val="none" w:sz="0" w:space="0" w:color="auto"/>
        <w:left w:val="none" w:sz="0" w:space="0" w:color="auto"/>
        <w:bottom w:val="none" w:sz="0" w:space="0" w:color="auto"/>
        <w:right w:val="none" w:sz="0" w:space="0" w:color="auto"/>
      </w:divBdr>
    </w:div>
    <w:div w:id="1102072726">
      <w:bodyDiv w:val="1"/>
      <w:marLeft w:val="0"/>
      <w:marRight w:val="0"/>
      <w:marTop w:val="0"/>
      <w:marBottom w:val="0"/>
      <w:divBdr>
        <w:top w:val="none" w:sz="0" w:space="0" w:color="auto"/>
        <w:left w:val="none" w:sz="0" w:space="0" w:color="auto"/>
        <w:bottom w:val="none" w:sz="0" w:space="0" w:color="auto"/>
        <w:right w:val="none" w:sz="0" w:space="0" w:color="auto"/>
      </w:divBdr>
    </w:div>
    <w:div w:id="1103573158">
      <w:bodyDiv w:val="1"/>
      <w:marLeft w:val="0"/>
      <w:marRight w:val="0"/>
      <w:marTop w:val="0"/>
      <w:marBottom w:val="0"/>
      <w:divBdr>
        <w:top w:val="none" w:sz="0" w:space="0" w:color="auto"/>
        <w:left w:val="none" w:sz="0" w:space="0" w:color="auto"/>
        <w:bottom w:val="none" w:sz="0" w:space="0" w:color="auto"/>
        <w:right w:val="none" w:sz="0" w:space="0" w:color="auto"/>
      </w:divBdr>
    </w:div>
    <w:div w:id="1107502767">
      <w:bodyDiv w:val="1"/>
      <w:marLeft w:val="0"/>
      <w:marRight w:val="0"/>
      <w:marTop w:val="0"/>
      <w:marBottom w:val="0"/>
      <w:divBdr>
        <w:top w:val="none" w:sz="0" w:space="0" w:color="auto"/>
        <w:left w:val="none" w:sz="0" w:space="0" w:color="auto"/>
        <w:bottom w:val="none" w:sz="0" w:space="0" w:color="auto"/>
        <w:right w:val="none" w:sz="0" w:space="0" w:color="auto"/>
      </w:divBdr>
    </w:div>
    <w:div w:id="1110857717">
      <w:bodyDiv w:val="1"/>
      <w:marLeft w:val="0"/>
      <w:marRight w:val="0"/>
      <w:marTop w:val="0"/>
      <w:marBottom w:val="0"/>
      <w:divBdr>
        <w:top w:val="none" w:sz="0" w:space="0" w:color="auto"/>
        <w:left w:val="none" w:sz="0" w:space="0" w:color="auto"/>
        <w:bottom w:val="none" w:sz="0" w:space="0" w:color="auto"/>
        <w:right w:val="none" w:sz="0" w:space="0" w:color="auto"/>
      </w:divBdr>
    </w:div>
    <w:div w:id="1115322703">
      <w:bodyDiv w:val="1"/>
      <w:marLeft w:val="0"/>
      <w:marRight w:val="0"/>
      <w:marTop w:val="0"/>
      <w:marBottom w:val="0"/>
      <w:divBdr>
        <w:top w:val="none" w:sz="0" w:space="0" w:color="auto"/>
        <w:left w:val="none" w:sz="0" w:space="0" w:color="auto"/>
        <w:bottom w:val="none" w:sz="0" w:space="0" w:color="auto"/>
        <w:right w:val="none" w:sz="0" w:space="0" w:color="auto"/>
      </w:divBdr>
    </w:div>
    <w:div w:id="1133476867">
      <w:bodyDiv w:val="1"/>
      <w:marLeft w:val="0"/>
      <w:marRight w:val="0"/>
      <w:marTop w:val="0"/>
      <w:marBottom w:val="0"/>
      <w:divBdr>
        <w:top w:val="none" w:sz="0" w:space="0" w:color="auto"/>
        <w:left w:val="none" w:sz="0" w:space="0" w:color="auto"/>
        <w:bottom w:val="none" w:sz="0" w:space="0" w:color="auto"/>
        <w:right w:val="none" w:sz="0" w:space="0" w:color="auto"/>
      </w:divBdr>
    </w:div>
    <w:div w:id="1136802349">
      <w:bodyDiv w:val="1"/>
      <w:marLeft w:val="0"/>
      <w:marRight w:val="0"/>
      <w:marTop w:val="0"/>
      <w:marBottom w:val="0"/>
      <w:divBdr>
        <w:top w:val="none" w:sz="0" w:space="0" w:color="auto"/>
        <w:left w:val="none" w:sz="0" w:space="0" w:color="auto"/>
        <w:bottom w:val="none" w:sz="0" w:space="0" w:color="auto"/>
        <w:right w:val="none" w:sz="0" w:space="0" w:color="auto"/>
      </w:divBdr>
    </w:div>
    <w:div w:id="1185821250">
      <w:bodyDiv w:val="1"/>
      <w:marLeft w:val="0"/>
      <w:marRight w:val="0"/>
      <w:marTop w:val="0"/>
      <w:marBottom w:val="0"/>
      <w:divBdr>
        <w:top w:val="none" w:sz="0" w:space="0" w:color="auto"/>
        <w:left w:val="none" w:sz="0" w:space="0" w:color="auto"/>
        <w:bottom w:val="none" w:sz="0" w:space="0" w:color="auto"/>
        <w:right w:val="none" w:sz="0" w:space="0" w:color="auto"/>
      </w:divBdr>
    </w:div>
    <w:div w:id="1220557132">
      <w:bodyDiv w:val="1"/>
      <w:marLeft w:val="0"/>
      <w:marRight w:val="0"/>
      <w:marTop w:val="0"/>
      <w:marBottom w:val="0"/>
      <w:divBdr>
        <w:top w:val="none" w:sz="0" w:space="0" w:color="auto"/>
        <w:left w:val="none" w:sz="0" w:space="0" w:color="auto"/>
        <w:bottom w:val="none" w:sz="0" w:space="0" w:color="auto"/>
        <w:right w:val="none" w:sz="0" w:space="0" w:color="auto"/>
      </w:divBdr>
      <w:divsChild>
        <w:div w:id="669017831">
          <w:marLeft w:val="0"/>
          <w:marRight w:val="0"/>
          <w:marTop w:val="0"/>
          <w:marBottom w:val="0"/>
          <w:divBdr>
            <w:top w:val="none" w:sz="0" w:space="0" w:color="auto"/>
            <w:left w:val="none" w:sz="0" w:space="0" w:color="auto"/>
            <w:bottom w:val="none" w:sz="0" w:space="0" w:color="auto"/>
            <w:right w:val="none" w:sz="0" w:space="0" w:color="auto"/>
          </w:divBdr>
          <w:divsChild>
            <w:div w:id="399913478">
              <w:marLeft w:val="-300"/>
              <w:marRight w:val="0"/>
              <w:marTop w:val="0"/>
              <w:marBottom w:val="0"/>
              <w:divBdr>
                <w:top w:val="none" w:sz="0" w:space="0" w:color="auto"/>
                <w:left w:val="none" w:sz="0" w:space="0" w:color="auto"/>
                <w:bottom w:val="none" w:sz="0" w:space="0" w:color="auto"/>
                <w:right w:val="none" w:sz="0" w:space="0" w:color="auto"/>
              </w:divBdr>
              <w:divsChild>
                <w:div w:id="748619991">
                  <w:marLeft w:val="0"/>
                  <w:marRight w:val="0"/>
                  <w:marTop w:val="0"/>
                  <w:marBottom w:val="0"/>
                  <w:divBdr>
                    <w:top w:val="none" w:sz="0" w:space="0" w:color="auto"/>
                    <w:left w:val="none" w:sz="0" w:space="0" w:color="auto"/>
                    <w:bottom w:val="none" w:sz="0" w:space="0" w:color="auto"/>
                    <w:right w:val="none" w:sz="0" w:space="0" w:color="auto"/>
                  </w:divBdr>
                  <w:divsChild>
                    <w:div w:id="1052194097">
                      <w:marLeft w:val="0"/>
                      <w:marRight w:val="0"/>
                      <w:marTop w:val="0"/>
                      <w:marBottom w:val="0"/>
                      <w:divBdr>
                        <w:top w:val="none" w:sz="0" w:space="0" w:color="auto"/>
                        <w:left w:val="none" w:sz="0" w:space="0" w:color="auto"/>
                        <w:bottom w:val="none" w:sz="0" w:space="0" w:color="auto"/>
                        <w:right w:val="none" w:sz="0" w:space="0" w:color="auto"/>
                      </w:divBdr>
                      <w:divsChild>
                        <w:div w:id="248924877">
                          <w:marLeft w:val="0"/>
                          <w:marRight w:val="0"/>
                          <w:marTop w:val="0"/>
                          <w:marBottom w:val="0"/>
                          <w:divBdr>
                            <w:top w:val="none" w:sz="0" w:space="0" w:color="auto"/>
                            <w:left w:val="none" w:sz="0" w:space="0" w:color="auto"/>
                            <w:bottom w:val="none" w:sz="0" w:space="0" w:color="auto"/>
                            <w:right w:val="none" w:sz="0" w:space="0" w:color="auto"/>
                          </w:divBdr>
                          <w:divsChild>
                            <w:div w:id="612325623">
                              <w:marLeft w:val="0"/>
                              <w:marRight w:val="0"/>
                              <w:marTop w:val="240"/>
                              <w:marBottom w:val="480"/>
                              <w:divBdr>
                                <w:top w:val="none" w:sz="0" w:space="0" w:color="auto"/>
                                <w:left w:val="none" w:sz="0" w:space="0" w:color="auto"/>
                                <w:bottom w:val="none" w:sz="0" w:space="0" w:color="auto"/>
                                <w:right w:val="none" w:sz="0" w:space="0" w:color="auto"/>
                              </w:divBdr>
                              <w:divsChild>
                                <w:div w:id="273219698">
                                  <w:marLeft w:val="0"/>
                                  <w:marRight w:val="0"/>
                                  <w:marTop w:val="0"/>
                                  <w:marBottom w:val="0"/>
                                  <w:divBdr>
                                    <w:top w:val="none" w:sz="0" w:space="0" w:color="auto"/>
                                    <w:left w:val="none" w:sz="0" w:space="0" w:color="auto"/>
                                    <w:bottom w:val="none" w:sz="0" w:space="0" w:color="auto"/>
                                    <w:right w:val="none" w:sz="0" w:space="0" w:color="auto"/>
                                  </w:divBdr>
                                  <w:divsChild>
                                    <w:div w:id="699016261">
                                      <w:marLeft w:val="0"/>
                                      <w:marRight w:val="0"/>
                                      <w:marTop w:val="240"/>
                                      <w:marBottom w:val="480"/>
                                      <w:divBdr>
                                        <w:top w:val="none" w:sz="0" w:space="0" w:color="auto"/>
                                        <w:left w:val="none" w:sz="0" w:space="0" w:color="auto"/>
                                        <w:bottom w:val="none" w:sz="0" w:space="0" w:color="auto"/>
                                        <w:right w:val="none" w:sz="0" w:space="0" w:color="auto"/>
                                      </w:divBdr>
                                      <w:divsChild>
                                        <w:div w:id="7028555">
                                          <w:marLeft w:val="0"/>
                                          <w:marRight w:val="0"/>
                                          <w:marTop w:val="0"/>
                                          <w:marBottom w:val="0"/>
                                          <w:divBdr>
                                            <w:top w:val="none" w:sz="0" w:space="0" w:color="auto"/>
                                            <w:left w:val="none" w:sz="0" w:space="0" w:color="auto"/>
                                            <w:bottom w:val="none" w:sz="0" w:space="0" w:color="auto"/>
                                            <w:right w:val="none" w:sz="0" w:space="0" w:color="auto"/>
                                          </w:divBdr>
                                          <w:divsChild>
                                            <w:div w:id="78674979">
                                              <w:marLeft w:val="0"/>
                                              <w:marRight w:val="0"/>
                                              <w:marTop w:val="0"/>
                                              <w:marBottom w:val="0"/>
                                              <w:divBdr>
                                                <w:top w:val="none" w:sz="0" w:space="0" w:color="auto"/>
                                                <w:left w:val="none" w:sz="0" w:space="0" w:color="auto"/>
                                                <w:bottom w:val="none" w:sz="0" w:space="0" w:color="auto"/>
                                                <w:right w:val="none" w:sz="0" w:space="0" w:color="auto"/>
                                              </w:divBdr>
                                              <w:divsChild>
                                                <w:div w:id="145355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0075386">
      <w:bodyDiv w:val="1"/>
      <w:marLeft w:val="0"/>
      <w:marRight w:val="0"/>
      <w:marTop w:val="0"/>
      <w:marBottom w:val="0"/>
      <w:divBdr>
        <w:top w:val="none" w:sz="0" w:space="0" w:color="auto"/>
        <w:left w:val="none" w:sz="0" w:space="0" w:color="auto"/>
        <w:bottom w:val="none" w:sz="0" w:space="0" w:color="auto"/>
        <w:right w:val="none" w:sz="0" w:space="0" w:color="auto"/>
      </w:divBdr>
      <w:divsChild>
        <w:div w:id="1780294690">
          <w:marLeft w:val="0"/>
          <w:marRight w:val="0"/>
          <w:marTop w:val="0"/>
          <w:marBottom w:val="0"/>
          <w:divBdr>
            <w:top w:val="none" w:sz="0" w:space="0" w:color="auto"/>
            <w:left w:val="none" w:sz="0" w:space="0" w:color="auto"/>
            <w:bottom w:val="none" w:sz="0" w:space="0" w:color="auto"/>
            <w:right w:val="none" w:sz="0" w:space="0" w:color="auto"/>
          </w:divBdr>
          <w:divsChild>
            <w:div w:id="605579791">
              <w:marLeft w:val="-300"/>
              <w:marRight w:val="0"/>
              <w:marTop w:val="0"/>
              <w:marBottom w:val="0"/>
              <w:divBdr>
                <w:top w:val="none" w:sz="0" w:space="0" w:color="auto"/>
                <w:left w:val="none" w:sz="0" w:space="0" w:color="auto"/>
                <w:bottom w:val="none" w:sz="0" w:space="0" w:color="auto"/>
                <w:right w:val="none" w:sz="0" w:space="0" w:color="auto"/>
              </w:divBdr>
              <w:divsChild>
                <w:div w:id="1644118478">
                  <w:marLeft w:val="0"/>
                  <w:marRight w:val="0"/>
                  <w:marTop w:val="0"/>
                  <w:marBottom w:val="0"/>
                  <w:divBdr>
                    <w:top w:val="none" w:sz="0" w:space="0" w:color="auto"/>
                    <w:left w:val="none" w:sz="0" w:space="0" w:color="auto"/>
                    <w:bottom w:val="none" w:sz="0" w:space="0" w:color="auto"/>
                    <w:right w:val="none" w:sz="0" w:space="0" w:color="auto"/>
                  </w:divBdr>
                  <w:divsChild>
                    <w:div w:id="398406712">
                      <w:marLeft w:val="0"/>
                      <w:marRight w:val="0"/>
                      <w:marTop w:val="0"/>
                      <w:marBottom w:val="0"/>
                      <w:divBdr>
                        <w:top w:val="none" w:sz="0" w:space="0" w:color="auto"/>
                        <w:left w:val="none" w:sz="0" w:space="0" w:color="auto"/>
                        <w:bottom w:val="none" w:sz="0" w:space="0" w:color="auto"/>
                        <w:right w:val="none" w:sz="0" w:space="0" w:color="auto"/>
                      </w:divBdr>
                      <w:divsChild>
                        <w:div w:id="516845133">
                          <w:marLeft w:val="0"/>
                          <w:marRight w:val="0"/>
                          <w:marTop w:val="0"/>
                          <w:marBottom w:val="0"/>
                          <w:divBdr>
                            <w:top w:val="none" w:sz="0" w:space="0" w:color="auto"/>
                            <w:left w:val="none" w:sz="0" w:space="0" w:color="auto"/>
                            <w:bottom w:val="none" w:sz="0" w:space="0" w:color="auto"/>
                            <w:right w:val="none" w:sz="0" w:space="0" w:color="auto"/>
                          </w:divBdr>
                          <w:divsChild>
                            <w:div w:id="1232273872">
                              <w:marLeft w:val="0"/>
                              <w:marRight w:val="0"/>
                              <w:marTop w:val="240"/>
                              <w:marBottom w:val="480"/>
                              <w:divBdr>
                                <w:top w:val="none" w:sz="0" w:space="0" w:color="auto"/>
                                <w:left w:val="none" w:sz="0" w:space="0" w:color="auto"/>
                                <w:bottom w:val="none" w:sz="0" w:space="0" w:color="auto"/>
                                <w:right w:val="none" w:sz="0" w:space="0" w:color="auto"/>
                              </w:divBdr>
                              <w:divsChild>
                                <w:div w:id="1887982863">
                                  <w:marLeft w:val="0"/>
                                  <w:marRight w:val="0"/>
                                  <w:marTop w:val="0"/>
                                  <w:marBottom w:val="0"/>
                                  <w:divBdr>
                                    <w:top w:val="none" w:sz="0" w:space="0" w:color="auto"/>
                                    <w:left w:val="none" w:sz="0" w:space="0" w:color="auto"/>
                                    <w:bottom w:val="none" w:sz="0" w:space="0" w:color="auto"/>
                                    <w:right w:val="none" w:sz="0" w:space="0" w:color="auto"/>
                                  </w:divBdr>
                                  <w:divsChild>
                                    <w:div w:id="368919229">
                                      <w:marLeft w:val="0"/>
                                      <w:marRight w:val="0"/>
                                      <w:marTop w:val="240"/>
                                      <w:marBottom w:val="480"/>
                                      <w:divBdr>
                                        <w:top w:val="none" w:sz="0" w:space="0" w:color="auto"/>
                                        <w:left w:val="none" w:sz="0" w:space="0" w:color="auto"/>
                                        <w:bottom w:val="none" w:sz="0" w:space="0" w:color="auto"/>
                                        <w:right w:val="none" w:sz="0" w:space="0" w:color="auto"/>
                                      </w:divBdr>
                                      <w:divsChild>
                                        <w:div w:id="1755199239">
                                          <w:marLeft w:val="0"/>
                                          <w:marRight w:val="0"/>
                                          <w:marTop w:val="0"/>
                                          <w:marBottom w:val="0"/>
                                          <w:divBdr>
                                            <w:top w:val="none" w:sz="0" w:space="0" w:color="auto"/>
                                            <w:left w:val="none" w:sz="0" w:space="0" w:color="auto"/>
                                            <w:bottom w:val="none" w:sz="0" w:space="0" w:color="auto"/>
                                            <w:right w:val="none" w:sz="0" w:space="0" w:color="auto"/>
                                          </w:divBdr>
                                          <w:divsChild>
                                            <w:div w:id="1041203085">
                                              <w:marLeft w:val="0"/>
                                              <w:marRight w:val="0"/>
                                              <w:marTop w:val="0"/>
                                              <w:marBottom w:val="0"/>
                                              <w:divBdr>
                                                <w:top w:val="none" w:sz="0" w:space="0" w:color="auto"/>
                                                <w:left w:val="none" w:sz="0" w:space="0" w:color="auto"/>
                                                <w:bottom w:val="none" w:sz="0" w:space="0" w:color="auto"/>
                                                <w:right w:val="none" w:sz="0" w:space="0" w:color="auto"/>
                                              </w:divBdr>
                                              <w:divsChild>
                                                <w:div w:id="91809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946011">
      <w:bodyDiv w:val="1"/>
      <w:marLeft w:val="0"/>
      <w:marRight w:val="0"/>
      <w:marTop w:val="0"/>
      <w:marBottom w:val="0"/>
      <w:divBdr>
        <w:top w:val="none" w:sz="0" w:space="0" w:color="auto"/>
        <w:left w:val="none" w:sz="0" w:space="0" w:color="auto"/>
        <w:bottom w:val="none" w:sz="0" w:space="0" w:color="auto"/>
        <w:right w:val="none" w:sz="0" w:space="0" w:color="auto"/>
      </w:divBdr>
    </w:div>
    <w:div w:id="1259480304">
      <w:bodyDiv w:val="1"/>
      <w:marLeft w:val="0"/>
      <w:marRight w:val="0"/>
      <w:marTop w:val="0"/>
      <w:marBottom w:val="0"/>
      <w:divBdr>
        <w:top w:val="none" w:sz="0" w:space="0" w:color="auto"/>
        <w:left w:val="none" w:sz="0" w:space="0" w:color="auto"/>
        <w:bottom w:val="none" w:sz="0" w:space="0" w:color="auto"/>
        <w:right w:val="none" w:sz="0" w:space="0" w:color="auto"/>
      </w:divBdr>
    </w:div>
    <w:div w:id="1281766952">
      <w:bodyDiv w:val="1"/>
      <w:marLeft w:val="0"/>
      <w:marRight w:val="0"/>
      <w:marTop w:val="0"/>
      <w:marBottom w:val="0"/>
      <w:divBdr>
        <w:top w:val="none" w:sz="0" w:space="0" w:color="auto"/>
        <w:left w:val="none" w:sz="0" w:space="0" w:color="auto"/>
        <w:bottom w:val="none" w:sz="0" w:space="0" w:color="auto"/>
        <w:right w:val="none" w:sz="0" w:space="0" w:color="auto"/>
      </w:divBdr>
    </w:div>
    <w:div w:id="1366835054">
      <w:bodyDiv w:val="1"/>
      <w:marLeft w:val="0"/>
      <w:marRight w:val="0"/>
      <w:marTop w:val="0"/>
      <w:marBottom w:val="0"/>
      <w:divBdr>
        <w:top w:val="none" w:sz="0" w:space="0" w:color="auto"/>
        <w:left w:val="none" w:sz="0" w:space="0" w:color="auto"/>
        <w:bottom w:val="none" w:sz="0" w:space="0" w:color="auto"/>
        <w:right w:val="none" w:sz="0" w:space="0" w:color="auto"/>
      </w:divBdr>
    </w:div>
    <w:div w:id="1383334816">
      <w:bodyDiv w:val="1"/>
      <w:marLeft w:val="0"/>
      <w:marRight w:val="0"/>
      <w:marTop w:val="0"/>
      <w:marBottom w:val="0"/>
      <w:divBdr>
        <w:top w:val="none" w:sz="0" w:space="0" w:color="auto"/>
        <w:left w:val="none" w:sz="0" w:space="0" w:color="auto"/>
        <w:bottom w:val="none" w:sz="0" w:space="0" w:color="auto"/>
        <w:right w:val="none" w:sz="0" w:space="0" w:color="auto"/>
      </w:divBdr>
    </w:div>
    <w:div w:id="1446853758">
      <w:bodyDiv w:val="1"/>
      <w:marLeft w:val="0"/>
      <w:marRight w:val="0"/>
      <w:marTop w:val="0"/>
      <w:marBottom w:val="0"/>
      <w:divBdr>
        <w:top w:val="none" w:sz="0" w:space="0" w:color="auto"/>
        <w:left w:val="none" w:sz="0" w:space="0" w:color="auto"/>
        <w:bottom w:val="none" w:sz="0" w:space="0" w:color="auto"/>
        <w:right w:val="none" w:sz="0" w:space="0" w:color="auto"/>
      </w:divBdr>
    </w:div>
    <w:div w:id="1456606909">
      <w:bodyDiv w:val="1"/>
      <w:marLeft w:val="0"/>
      <w:marRight w:val="0"/>
      <w:marTop w:val="0"/>
      <w:marBottom w:val="0"/>
      <w:divBdr>
        <w:top w:val="none" w:sz="0" w:space="0" w:color="auto"/>
        <w:left w:val="none" w:sz="0" w:space="0" w:color="auto"/>
        <w:bottom w:val="none" w:sz="0" w:space="0" w:color="auto"/>
        <w:right w:val="none" w:sz="0" w:space="0" w:color="auto"/>
      </w:divBdr>
    </w:div>
    <w:div w:id="1507817850">
      <w:bodyDiv w:val="1"/>
      <w:marLeft w:val="0"/>
      <w:marRight w:val="0"/>
      <w:marTop w:val="0"/>
      <w:marBottom w:val="0"/>
      <w:divBdr>
        <w:top w:val="none" w:sz="0" w:space="0" w:color="auto"/>
        <w:left w:val="none" w:sz="0" w:space="0" w:color="auto"/>
        <w:bottom w:val="none" w:sz="0" w:space="0" w:color="auto"/>
        <w:right w:val="none" w:sz="0" w:space="0" w:color="auto"/>
      </w:divBdr>
    </w:div>
    <w:div w:id="1556504003">
      <w:bodyDiv w:val="1"/>
      <w:marLeft w:val="0"/>
      <w:marRight w:val="0"/>
      <w:marTop w:val="0"/>
      <w:marBottom w:val="0"/>
      <w:divBdr>
        <w:top w:val="none" w:sz="0" w:space="0" w:color="auto"/>
        <w:left w:val="none" w:sz="0" w:space="0" w:color="auto"/>
        <w:bottom w:val="none" w:sz="0" w:space="0" w:color="auto"/>
        <w:right w:val="none" w:sz="0" w:space="0" w:color="auto"/>
      </w:divBdr>
    </w:div>
    <w:div w:id="1618831521">
      <w:bodyDiv w:val="1"/>
      <w:marLeft w:val="0"/>
      <w:marRight w:val="0"/>
      <w:marTop w:val="0"/>
      <w:marBottom w:val="0"/>
      <w:divBdr>
        <w:top w:val="none" w:sz="0" w:space="0" w:color="auto"/>
        <w:left w:val="none" w:sz="0" w:space="0" w:color="auto"/>
        <w:bottom w:val="none" w:sz="0" w:space="0" w:color="auto"/>
        <w:right w:val="none" w:sz="0" w:space="0" w:color="auto"/>
      </w:divBdr>
    </w:div>
    <w:div w:id="1640764789">
      <w:bodyDiv w:val="1"/>
      <w:marLeft w:val="0"/>
      <w:marRight w:val="0"/>
      <w:marTop w:val="0"/>
      <w:marBottom w:val="0"/>
      <w:divBdr>
        <w:top w:val="none" w:sz="0" w:space="0" w:color="auto"/>
        <w:left w:val="none" w:sz="0" w:space="0" w:color="auto"/>
        <w:bottom w:val="none" w:sz="0" w:space="0" w:color="auto"/>
        <w:right w:val="none" w:sz="0" w:space="0" w:color="auto"/>
      </w:divBdr>
    </w:div>
    <w:div w:id="1642880653">
      <w:bodyDiv w:val="1"/>
      <w:marLeft w:val="0"/>
      <w:marRight w:val="0"/>
      <w:marTop w:val="0"/>
      <w:marBottom w:val="0"/>
      <w:divBdr>
        <w:top w:val="none" w:sz="0" w:space="0" w:color="auto"/>
        <w:left w:val="none" w:sz="0" w:space="0" w:color="auto"/>
        <w:bottom w:val="none" w:sz="0" w:space="0" w:color="auto"/>
        <w:right w:val="none" w:sz="0" w:space="0" w:color="auto"/>
      </w:divBdr>
    </w:div>
    <w:div w:id="1643535135">
      <w:bodyDiv w:val="1"/>
      <w:marLeft w:val="0"/>
      <w:marRight w:val="0"/>
      <w:marTop w:val="0"/>
      <w:marBottom w:val="0"/>
      <w:divBdr>
        <w:top w:val="none" w:sz="0" w:space="0" w:color="auto"/>
        <w:left w:val="none" w:sz="0" w:space="0" w:color="auto"/>
        <w:bottom w:val="none" w:sz="0" w:space="0" w:color="auto"/>
        <w:right w:val="none" w:sz="0" w:space="0" w:color="auto"/>
      </w:divBdr>
    </w:div>
    <w:div w:id="1686512614">
      <w:bodyDiv w:val="1"/>
      <w:marLeft w:val="0"/>
      <w:marRight w:val="0"/>
      <w:marTop w:val="0"/>
      <w:marBottom w:val="0"/>
      <w:divBdr>
        <w:top w:val="none" w:sz="0" w:space="0" w:color="auto"/>
        <w:left w:val="none" w:sz="0" w:space="0" w:color="auto"/>
        <w:bottom w:val="none" w:sz="0" w:space="0" w:color="auto"/>
        <w:right w:val="none" w:sz="0" w:space="0" w:color="auto"/>
      </w:divBdr>
    </w:div>
    <w:div w:id="1714957570">
      <w:bodyDiv w:val="1"/>
      <w:marLeft w:val="0"/>
      <w:marRight w:val="0"/>
      <w:marTop w:val="0"/>
      <w:marBottom w:val="0"/>
      <w:divBdr>
        <w:top w:val="none" w:sz="0" w:space="0" w:color="auto"/>
        <w:left w:val="none" w:sz="0" w:space="0" w:color="auto"/>
        <w:bottom w:val="none" w:sz="0" w:space="0" w:color="auto"/>
        <w:right w:val="none" w:sz="0" w:space="0" w:color="auto"/>
      </w:divBdr>
    </w:div>
    <w:div w:id="1736853483">
      <w:bodyDiv w:val="1"/>
      <w:marLeft w:val="0"/>
      <w:marRight w:val="0"/>
      <w:marTop w:val="0"/>
      <w:marBottom w:val="0"/>
      <w:divBdr>
        <w:top w:val="none" w:sz="0" w:space="0" w:color="auto"/>
        <w:left w:val="none" w:sz="0" w:space="0" w:color="auto"/>
        <w:bottom w:val="none" w:sz="0" w:space="0" w:color="auto"/>
        <w:right w:val="none" w:sz="0" w:space="0" w:color="auto"/>
      </w:divBdr>
    </w:div>
    <w:div w:id="1747335143">
      <w:bodyDiv w:val="1"/>
      <w:marLeft w:val="0"/>
      <w:marRight w:val="0"/>
      <w:marTop w:val="0"/>
      <w:marBottom w:val="0"/>
      <w:divBdr>
        <w:top w:val="none" w:sz="0" w:space="0" w:color="auto"/>
        <w:left w:val="none" w:sz="0" w:space="0" w:color="auto"/>
        <w:bottom w:val="none" w:sz="0" w:space="0" w:color="auto"/>
        <w:right w:val="none" w:sz="0" w:space="0" w:color="auto"/>
      </w:divBdr>
    </w:div>
    <w:div w:id="1782146318">
      <w:bodyDiv w:val="1"/>
      <w:marLeft w:val="0"/>
      <w:marRight w:val="0"/>
      <w:marTop w:val="0"/>
      <w:marBottom w:val="0"/>
      <w:divBdr>
        <w:top w:val="none" w:sz="0" w:space="0" w:color="auto"/>
        <w:left w:val="none" w:sz="0" w:space="0" w:color="auto"/>
        <w:bottom w:val="none" w:sz="0" w:space="0" w:color="auto"/>
        <w:right w:val="none" w:sz="0" w:space="0" w:color="auto"/>
      </w:divBdr>
    </w:div>
    <w:div w:id="1833910125">
      <w:bodyDiv w:val="1"/>
      <w:marLeft w:val="0"/>
      <w:marRight w:val="0"/>
      <w:marTop w:val="0"/>
      <w:marBottom w:val="0"/>
      <w:divBdr>
        <w:top w:val="none" w:sz="0" w:space="0" w:color="auto"/>
        <w:left w:val="none" w:sz="0" w:space="0" w:color="auto"/>
        <w:bottom w:val="none" w:sz="0" w:space="0" w:color="auto"/>
        <w:right w:val="none" w:sz="0" w:space="0" w:color="auto"/>
      </w:divBdr>
    </w:div>
    <w:div w:id="1839224505">
      <w:bodyDiv w:val="1"/>
      <w:marLeft w:val="0"/>
      <w:marRight w:val="0"/>
      <w:marTop w:val="0"/>
      <w:marBottom w:val="0"/>
      <w:divBdr>
        <w:top w:val="none" w:sz="0" w:space="0" w:color="auto"/>
        <w:left w:val="none" w:sz="0" w:space="0" w:color="auto"/>
        <w:bottom w:val="none" w:sz="0" w:space="0" w:color="auto"/>
        <w:right w:val="none" w:sz="0" w:space="0" w:color="auto"/>
      </w:divBdr>
    </w:div>
    <w:div w:id="2029791518">
      <w:bodyDiv w:val="1"/>
      <w:marLeft w:val="0"/>
      <w:marRight w:val="0"/>
      <w:marTop w:val="0"/>
      <w:marBottom w:val="0"/>
      <w:divBdr>
        <w:top w:val="none" w:sz="0" w:space="0" w:color="auto"/>
        <w:left w:val="none" w:sz="0" w:space="0" w:color="auto"/>
        <w:bottom w:val="none" w:sz="0" w:space="0" w:color="auto"/>
        <w:right w:val="none" w:sz="0" w:space="0" w:color="auto"/>
      </w:divBdr>
    </w:div>
    <w:div w:id="2042969321">
      <w:bodyDiv w:val="1"/>
      <w:marLeft w:val="0"/>
      <w:marRight w:val="0"/>
      <w:marTop w:val="0"/>
      <w:marBottom w:val="0"/>
      <w:divBdr>
        <w:top w:val="none" w:sz="0" w:space="0" w:color="auto"/>
        <w:left w:val="none" w:sz="0" w:space="0" w:color="auto"/>
        <w:bottom w:val="none" w:sz="0" w:space="0" w:color="auto"/>
        <w:right w:val="none" w:sz="0" w:space="0" w:color="auto"/>
      </w:divBdr>
    </w:div>
    <w:div w:id="2098164101">
      <w:bodyDiv w:val="1"/>
      <w:marLeft w:val="0"/>
      <w:marRight w:val="0"/>
      <w:marTop w:val="0"/>
      <w:marBottom w:val="0"/>
      <w:divBdr>
        <w:top w:val="none" w:sz="0" w:space="0" w:color="auto"/>
        <w:left w:val="none" w:sz="0" w:space="0" w:color="auto"/>
        <w:bottom w:val="none" w:sz="0" w:space="0" w:color="auto"/>
        <w:right w:val="none" w:sz="0" w:space="0" w:color="auto"/>
      </w:divBdr>
    </w:div>
    <w:div w:id="212981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budget.gov.au/2019-20/content/bp1/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EA927164838BD4BB90D0ABE7093D2DA" ma:contentTypeVersion="" ma:contentTypeDescription="PDMS Document Site Content Type" ma:contentTypeScope="" ma:versionID="927a290b77be030e522446f8efc68fa7">
  <xsd:schema xmlns:xsd="http://www.w3.org/2001/XMLSchema" xmlns:xs="http://www.w3.org/2001/XMLSchema" xmlns:p="http://schemas.microsoft.com/office/2006/metadata/properties" xmlns:ns2="CF9931B6-DEB0-461C-AE35-6B4AA476256B" targetNamespace="http://schemas.microsoft.com/office/2006/metadata/properties" ma:root="true" ma:fieldsID="364a7986268159645322ce628f6bf6ad" ns2:_="">
    <xsd:import namespace="CF9931B6-DEB0-461C-AE35-6B4AA476256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931B6-DEB0-461C-AE35-6B4AA476256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CF9931B6-DEB0-461C-AE35-6B4AA476256B" xsi:nil="true"/>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5439B08-C54C-488B-9A3F-F252B04ADA8D}">
  <ds:schemaRefs>
    <ds:schemaRef ds:uri="http://schemas.microsoft.com/sharepoint/v3/contenttype/forms"/>
  </ds:schemaRefs>
</ds:datastoreItem>
</file>

<file path=customXml/itemProps2.xml><?xml version="1.0" encoding="utf-8"?>
<ds:datastoreItem xmlns:ds="http://schemas.openxmlformats.org/officeDocument/2006/customXml" ds:itemID="{4D245D4D-C002-441C-A230-C9BA58C51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931B6-DEB0-461C-AE35-6B4AA4762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BEE8C2-0A25-49C7-A59C-8F2BA838F0F0}">
  <ds:schemaRefs>
    <ds:schemaRef ds:uri="http://schemas.microsoft.com/office/2006/documentManagement/types"/>
    <ds:schemaRef ds:uri="CF9931B6-DEB0-461C-AE35-6B4AA476256B"/>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B139747-A1D5-4E28-AA2F-21F60E13B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5481</Words>
  <Characters>31246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Australian Government response to the House of Representatives Standing Committee on Health and Ageing report:</vt:lpstr>
    </vt:vector>
  </TitlesOfParts>
  <Company>Dept Health And Ageing</Company>
  <LinksUpToDate>false</LinksUpToDate>
  <CharactersWithSpaces>36654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House of Representatives Standing Committee on Health and Ageing report:</dc:title>
  <dc:creator>Bardsley, Anthony</dc:creator>
  <cp:lastModifiedBy>ROBERTSON, Jennifer</cp:lastModifiedBy>
  <cp:revision>4</cp:revision>
  <cp:lastPrinted>2019-10-22T23:45:00Z</cp:lastPrinted>
  <dcterms:created xsi:type="dcterms:W3CDTF">2019-10-23T01:40:00Z</dcterms:created>
  <dcterms:modified xsi:type="dcterms:W3CDTF">2019-12-18T00:35:00Z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0x010100266966F133664895A6EE3632470D45F5004EA927164838BD4BB90D0ABE7093D2DA</vt:lpwstr>
  </property>
</Properties>
</file>