
<file path=[Content_Types].xml><?xml version="1.0" encoding="utf-8"?>
<Types xmlns="http://schemas.openxmlformats.org/package/2006/content-types">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495D679" w14:textId="77777777" w:rsidR="004E37AE" w:rsidRPr="00D82E12" w:rsidRDefault="00920F9F" w:rsidP="00D82E12">
      <w:pPr>
        <w:pStyle w:val="Title"/>
        <w:jc w:val="left"/>
        <w:rPr>
          <w:rFonts w:ascii="Arial" w:hAnsi="Arial" w:cs="Arial"/>
          <w:b w:val="0"/>
        </w:rPr>
      </w:pPr>
      <w:bookmarkStart w:id="0" w:name="_GoBack"/>
      <w:bookmarkEnd w:id="0"/>
      <w:r w:rsidRPr="00D82E12">
        <w:rPr>
          <w:rFonts w:ascii="Arial" w:hAnsi="Arial" w:cs="Arial"/>
          <w:b w:val="0"/>
          <w:lang w:val="en"/>
        </w:rPr>
        <w:t>HPV vaccination coverage (Australia) for</w:t>
      </w:r>
      <w:r w:rsidR="009C0411" w:rsidRPr="00D82E12">
        <w:rPr>
          <w:rFonts w:ascii="Arial" w:hAnsi="Arial" w:cs="Arial"/>
          <w:b w:val="0"/>
          <w:lang w:val="en"/>
        </w:rPr>
        <w:t xml:space="preserve"> </w:t>
      </w:r>
      <w:r w:rsidR="00E964CD" w:rsidRPr="00D82E12">
        <w:rPr>
          <w:rFonts w:ascii="Arial" w:hAnsi="Arial" w:cs="Arial"/>
          <w:b w:val="0"/>
          <w:lang w:val="en"/>
        </w:rPr>
        <w:t xml:space="preserve">females by </w:t>
      </w:r>
      <w:r w:rsidR="002E51F4" w:rsidRPr="00D82E12">
        <w:rPr>
          <w:rFonts w:ascii="Arial" w:hAnsi="Arial" w:cs="Arial"/>
          <w:b w:val="0"/>
          <w:lang w:val="en"/>
        </w:rPr>
        <w:t>year of age in mid</w:t>
      </w:r>
      <w:r w:rsidR="00D82E12">
        <w:rPr>
          <w:rFonts w:ascii="Arial" w:hAnsi="Arial" w:cs="Arial"/>
          <w:b w:val="0"/>
          <w:lang w:val="en"/>
        </w:rPr>
        <w:t xml:space="preserve"> </w:t>
      </w:r>
      <w:r w:rsidR="00DA3035" w:rsidRPr="00D82E12">
        <w:rPr>
          <w:rFonts w:ascii="Arial" w:hAnsi="Arial" w:cs="Arial"/>
          <w:b w:val="0"/>
          <w:lang w:val="en"/>
        </w:rPr>
        <w:t>2009</w:t>
      </w:r>
      <w:r w:rsidR="002E51F4" w:rsidRPr="00D82E12">
        <w:rPr>
          <w:rFonts w:ascii="Arial" w:hAnsi="Arial" w:cs="Arial"/>
          <w:b w:val="0"/>
          <w:lang w:val="en"/>
        </w:rPr>
        <w:t xml:space="preserve"> – final data</w:t>
      </w:r>
    </w:p>
    <w:p w14:paraId="0351A246" w14:textId="77777777" w:rsidR="004E37AE" w:rsidRPr="00D82E12" w:rsidRDefault="004E37AE" w:rsidP="00D82E12">
      <w:pPr>
        <w:spacing w:after="120" w:line="240" w:lineRule="auto"/>
        <w:rPr>
          <w:rFonts w:ascii="Arial" w:hAnsi="Arial" w:cs="Arial"/>
          <w:lang w:eastAsia="en-AU"/>
        </w:rPr>
      </w:pPr>
    </w:p>
    <w:p w14:paraId="6DCB0163" w14:textId="5199A02B" w:rsidR="004E37AE" w:rsidRPr="00D82E12" w:rsidRDefault="004E37AE" w:rsidP="00D82E12">
      <w:pPr>
        <w:pStyle w:val="Caption"/>
        <w:spacing w:after="120" w:line="240" w:lineRule="auto"/>
        <w:rPr>
          <w:rFonts w:ascii="Arial" w:hAnsi="Arial" w:cs="Arial"/>
          <w:b w:val="0"/>
          <w:sz w:val="24"/>
        </w:rPr>
      </w:pPr>
      <w:r w:rsidRPr="00D82E12">
        <w:rPr>
          <w:rFonts w:ascii="Arial" w:hAnsi="Arial" w:cs="Arial"/>
          <w:b w:val="0"/>
          <w:sz w:val="24"/>
        </w:rPr>
        <w:t xml:space="preserve">Graph </w:t>
      </w:r>
      <w:r w:rsidRPr="00D82E12">
        <w:rPr>
          <w:rFonts w:ascii="Arial" w:hAnsi="Arial" w:cs="Arial"/>
          <w:b w:val="0"/>
          <w:sz w:val="24"/>
        </w:rPr>
        <w:fldChar w:fldCharType="begin"/>
      </w:r>
      <w:r w:rsidRPr="00D82E12">
        <w:rPr>
          <w:rFonts w:ascii="Arial" w:hAnsi="Arial" w:cs="Arial"/>
          <w:b w:val="0"/>
          <w:sz w:val="24"/>
        </w:rPr>
        <w:instrText xml:space="preserve"> SEQ Graph \* ARABIC </w:instrText>
      </w:r>
      <w:r w:rsidRPr="00D82E12">
        <w:rPr>
          <w:rFonts w:ascii="Arial" w:hAnsi="Arial" w:cs="Arial"/>
          <w:b w:val="0"/>
          <w:sz w:val="24"/>
        </w:rPr>
        <w:fldChar w:fldCharType="separate"/>
      </w:r>
      <w:r w:rsidRPr="00D82E12">
        <w:rPr>
          <w:rFonts w:ascii="Arial" w:hAnsi="Arial" w:cs="Arial"/>
          <w:b w:val="0"/>
          <w:noProof/>
          <w:sz w:val="24"/>
        </w:rPr>
        <w:t>1</w:t>
      </w:r>
      <w:r w:rsidRPr="00D82E12">
        <w:rPr>
          <w:rFonts w:ascii="Arial" w:hAnsi="Arial" w:cs="Arial"/>
          <w:b w:val="0"/>
          <w:sz w:val="24"/>
        </w:rPr>
        <w:fldChar w:fldCharType="end"/>
      </w:r>
      <w:r w:rsidR="00E929FD">
        <w:rPr>
          <w:rFonts w:ascii="Arial" w:hAnsi="Arial" w:cs="Arial"/>
          <w:b w:val="0"/>
          <w:sz w:val="24"/>
        </w:rPr>
        <w:t>.</w:t>
      </w:r>
      <w:r w:rsidRPr="00D82E12">
        <w:rPr>
          <w:rFonts w:ascii="Arial" w:hAnsi="Arial" w:cs="Arial"/>
          <w:b w:val="0"/>
          <w:sz w:val="24"/>
        </w:rPr>
        <w:t xml:space="preserve"> </w:t>
      </w:r>
      <w:r w:rsidR="00920F9F" w:rsidRPr="00D82E12">
        <w:rPr>
          <w:rFonts w:ascii="Arial" w:hAnsi="Arial" w:cs="Arial"/>
          <w:b w:val="0"/>
          <w:sz w:val="24"/>
        </w:rPr>
        <w:t xml:space="preserve">HPV vaccination coverage </w:t>
      </w:r>
      <w:r w:rsidR="00C267B3" w:rsidRPr="00D82E12">
        <w:rPr>
          <w:rFonts w:ascii="Arial" w:hAnsi="Arial" w:cs="Arial"/>
          <w:b w:val="0"/>
          <w:sz w:val="24"/>
        </w:rPr>
        <w:t xml:space="preserve">for females </w:t>
      </w:r>
      <w:r w:rsidR="00D82E12">
        <w:rPr>
          <w:rFonts w:ascii="Arial" w:hAnsi="Arial" w:cs="Arial"/>
          <w:b w:val="0"/>
          <w:sz w:val="24"/>
        </w:rPr>
        <w:t xml:space="preserve">by year of age in mid </w:t>
      </w:r>
      <w:r w:rsidR="002E51F4" w:rsidRPr="00D82E12">
        <w:rPr>
          <w:rFonts w:ascii="Arial" w:hAnsi="Arial" w:cs="Arial"/>
          <w:b w:val="0"/>
          <w:sz w:val="24"/>
        </w:rPr>
        <w:t>200</w:t>
      </w:r>
      <w:r w:rsidR="00DA3035" w:rsidRPr="00D82E12">
        <w:rPr>
          <w:rFonts w:ascii="Arial" w:hAnsi="Arial" w:cs="Arial"/>
          <w:b w:val="0"/>
          <w:sz w:val="24"/>
        </w:rPr>
        <w:t>9</w:t>
      </w:r>
      <w:r w:rsidR="002E51F4" w:rsidRPr="00D82E12">
        <w:rPr>
          <w:rFonts w:ascii="Arial" w:hAnsi="Arial" w:cs="Arial"/>
          <w:b w:val="0"/>
          <w:sz w:val="24"/>
        </w:rPr>
        <w:t xml:space="preserve"> – final data</w:t>
      </w:r>
      <w:r w:rsidR="00D82E12">
        <w:rPr>
          <w:rFonts w:ascii="Arial" w:hAnsi="Arial" w:cs="Arial"/>
          <w:b w:val="0"/>
          <w:sz w:val="24"/>
        </w:rPr>
        <w:t>.</w:t>
      </w:r>
    </w:p>
    <w:p w14:paraId="20012862" w14:textId="77777777" w:rsidR="004E37AE" w:rsidRPr="00D82E12" w:rsidRDefault="005C5F45" w:rsidP="004E37AE">
      <w:pPr>
        <w:rPr>
          <w:rFonts w:ascii="Arial" w:hAnsi="Arial" w:cs="Arial"/>
        </w:rPr>
      </w:pPr>
      <w:r w:rsidRPr="00D82E12">
        <w:rPr>
          <w:rFonts w:ascii="Arial" w:hAnsi="Arial" w:cs="Arial"/>
          <w:noProof/>
          <w:lang w:eastAsia="en-AU"/>
        </w:rPr>
        <w:drawing>
          <wp:inline distT="0" distB="0" distL="0" distR="0" wp14:anchorId="5877C568" wp14:editId="12488B4D">
            <wp:extent cx="5486400" cy="3200400"/>
            <wp:effectExtent l="0" t="0" r="0" b="0"/>
            <wp:docPr id="2"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5"/>
              </a:graphicData>
            </a:graphic>
          </wp:inline>
        </w:drawing>
      </w:r>
    </w:p>
    <w:p w14:paraId="59DA22E3" w14:textId="77777777" w:rsidR="00E929FD" w:rsidRPr="002C29B8" w:rsidRDefault="00E929FD" w:rsidP="00E929FD">
      <w:pPr>
        <w:spacing w:after="120" w:line="240" w:lineRule="auto"/>
        <w:rPr>
          <w:rFonts w:ascii="Arial" w:hAnsi="Arial" w:cs="Arial"/>
        </w:rPr>
      </w:pPr>
    </w:p>
    <w:p w14:paraId="207952E8" w14:textId="231DE7AE" w:rsidR="00E929FD" w:rsidRPr="002C29B8" w:rsidRDefault="00E929FD" w:rsidP="00E929FD">
      <w:pPr>
        <w:pStyle w:val="Caption"/>
        <w:spacing w:after="120" w:line="240" w:lineRule="auto"/>
        <w:rPr>
          <w:rFonts w:ascii="Arial" w:hAnsi="Arial" w:cs="Arial"/>
          <w:b w:val="0"/>
          <w:sz w:val="24"/>
          <w:szCs w:val="24"/>
        </w:rPr>
      </w:pPr>
      <w:r w:rsidRPr="002C29B8">
        <w:rPr>
          <w:rFonts w:ascii="Arial" w:hAnsi="Arial" w:cs="Arial"/>
          <w:b w:val="0"/>
          <w:sz w:val="24"/>
          <w:szCs w:val="24"/>
        </w:rPr>
        <w:t xml:space="preserve">Table </w:t>
      </w:r>
      <w:r w:rsidRPr="002C29B8">
        <w:rPr>
          <w:rFonts w:ascii="Arial" w:hAnsi="Arial" w:cs="Arial"/>
          <w:b w:val="0"/>
          <w:sz w:val="24"/>
          <w:szCs w:val="24"/>
        </w:rPr>
        <w:fldChar w:fldCharType="begin"/>
      </w:r>
      <w:r w:rsidRPr="002C29B8">
        <w:rPr>
          <w:rFonts w:ascii="Arial" w:hAnsi="Arial" w:cs="Arial"/>
          <w:b w:val="0"/>
          <w:sz w:val="24"/>
          <w:szCs w:val="24"/>
        </w:rPr>
        <w:instrText xml:space="preserve"> SEQ Table \* ARABIC </w:instrText>
      </w:r>
      <w:r w:rsidRPr="002C29B8">
        <w:rPr>
          <w:rFonts w:ascii="Arial" w:hAnsi="Arial" w:cs="Arial"/>
          <w:b w:val="0"/>
          <w:sz w:val="24"/>
          <w:szCs w:val="24"/>
        </w:rPr>
        <w:fldChar w:fldCharType="separate"/>
      </w:r>
      <w:r w:rsidRPr="002C29B8">
        <w:rPr>
          <w:rFonts w:ascii="Arial" w:hAnsi="Arial" w:cs="Arial"/>
          <w:b w:val="0"/>
          <w:noProof/>
          <w:sz w:val="24"/>
          <w:szCs w:val="24"/>
        </w:rPr>
        <w:t>1</w:t>
      </w:r>
      <w:r w:rsidRPr="002C29B8">
        <w:rPr>
          <w:rFonts w:ascii="Arial" w:hAnsi="Arial" w:cs="Arial"/>
          <w:b w:val="0"/>
          <w:sz w:val="24"/>
          <w:szCs w:val="24"/>
        </w:rPr>
        <w:fldChar w:fldCharType="end"/>
      </w:r>
      <w:r w:rsidRPr="002C29B8">
        <w:rPr>
          <w:rFonts w:ascii="Arial" w:hAnsi="Arial" w:cs="Arial"/>
          <w:b w:val="0"/>
          <w:sz w:val="24"/>
          <w:szCs w:val="24"/>
        </w:rPr>
        <w:t xml:space="preserve">. HPV vaccination coverage for females by year of age </w:t>
      </w:r>
      <w:r>
        <w:rPr>
          <w:rFonts w:ascii="Arial" w:hAnsi="Arial" w:cs="Arial"/>
          <w:b w:val="0"/>
          <w:sz w:val="24"/>
          <w:szCs w:val="24"/>
        </w:rPr>
        <w:t xml:space="preserve">in mid </w:t>
      </w:r>
      <w:r w:rsidRPr="002C29B8">
        <w:rPr>
          <w:rFonts w:ascii="Arial" w:hAnsi="Arial" w:cs="Arial"/>
          <w:b w:val="0"/>
          <w:sz w:val="24"/>
          <w:szCs w:val="24"/>
        </w:rPr>
        <w:t>200</w:t>
      </w:r>
      <w:r>
        <w:rPr>
          <w:rFonts w:ascii="Arial" w:hAnsi="Arial" w:cs="Arial"/>
          <w:b w:val="0"/>
          <w:sz w:val="24"/>
          <w:szCs w:val="24"/>
        </w:rPr>
        <w:t>9 – final data.</w:t>
      </w:r>
    </w:p>
    <w:tbl>
      <w:tblPr>
        <w:tblStyle w:val="GridTable4-Accent51"/>
        <w:tblW w:w="10349" w:type="dxa"/>
        <w:jc w:val="center"/>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Layout w:type="fixed"/>
        <w:tblLook w:val="04A0" w:firstRow="1" w:lastRow="0" w:firstColumn="1" w:lastColumn="0" w:noHBand="0" w:noVBand="1"/>
        <w:tblCaption w:val="Table 1 Number of doses and coverage per cent for dose 1, 2 and 3 by age"/>
        <w:tblDescription w:val="Table 1 Number of doses and coverage per cent for dose 1, 2 and 3 by age in 2007. "/>
      </w:tblPr>
      <w:tblGrid>
        <w:gridCol w:w="1566"/>
        <w:gridCol w:w="955"/>
        <w:gridCol w:w="521"/>
        <w:gridCol w:w="522"/>
        <w:gridCol w:w="522"/>
        <w:gridCol w:w="522"/>
        <w:gridCol w:w="522"/>
        <w:gridCol w:w="522"/>
        <w:gridCol w:w="522"/>
        <w:gridCol w:w="521"/>
        <w:gridCol w:w="522"/>
        <w:gridCol w:w="522"/>
        <w:gridCol w:w="522"/>
        <w:gridCol w:w="522"/>
        <w:gridCol w:w="522"/>
        <w:gridCol w:w="522"/>
        <w:gridCol w:w="522"/>
      </w:tblGrid>
      <w:tr w:rsidR="00E929FD" w:rsidRPr="0070736E" w14:paraId="2DAD0696" w14:textId="77777777" w:rsidTr="00E929FD">
        <w:trPr>
          <w:cnfStyle w:val="100000000000" w:firstRow="1" w:lastRow="0" w:firstColumn="0" w:lastColumn="0" w:oddVBand="0" w:evenVBand="0" w:oddHBand="0" w:evenHBand="0" w:firstRowFirstColumn="0" w:firstRowLastColumn="0" w:lastRowFirstColumn="0" w:lastRowLastColumn="0"/>
          <w:trHeight w:val="786"/>
          <w:jc w:val="center"/>
        </w:trPr>
        <w:tc>
          <w:tcPr>
            <w:cnfStyle w:val="001000000000" w:firstRow="0" w:lastRow="0" w:firstColumn="1" w:lastColumn="0" w:oddVBand="0" w:evenVBand="0" w:oddHBand="0" w:evenHBand="0" w:firstRowFirstColumn="0" w:firstRowLastColumn="0" w:lastRowFirstColumn="0" w:lastRowLastColumn="0"/>
            <w:tcW w:w="2521" w:type="dxa"/>
            <w:gridSpan w:val="2"/>
            <w:tcBorders>
              <w:top w:val="none" w:sz="0" w:space="0" w:color="auto"/>
              <w:left w:val="none" w:sz="0" w:space="0" w:color="auto"/>
              <w:bottom w:val="none" w:sz="0" w:space="0" w:color="auto"/>
              <w:right w:val="none" w:sz="0" w:space="0" w:color="auto"/>
            </w:tcBorders>
            <w:shd w:val="clear" w:color="auto" w:fill="548DD4" w:themeFill="text2" w:themeFillTint="99"/>
            <w:vAlign w:val="center"/>
          </w:tcPr>
          <w:p w14:paraId="696E4C18" w14:textId="446CA481" w:rsidR="00E929FD" w:rsidRPr="0070736E" w:rsidRDefault="00E929FD" w:rsidP="00C26BE6">
            <w:pPr>
              <w:jc w:val="center"/>
              <w:rPr>
                <w:rFonts w:ascii="Arial" w:hAnsi="Arial" w:cs="Arial"/>
                <w:sz w:val="22"/>
                <w:szCs w:val="22"/>
              </w:rPr>
            </w:pPr>
            <w:r w:rsidRPr="0070736E">
              <w:rPr>
                <w:rFonts w:ascii="Arial" w:hAnsi="Arial" w:cs="Arial"/>
                <w:sz w:val="22"/>
                <w:szCs w:val="22"/>
              </w:rPr>
              <w:t>Age (in years at mid-200</w:t>
            </w:r>
            <w:r>
              <w:rPr>
                <w:rFonts w:ascii="Arial" w:hAnsi="Arial" w:cs="Arial"/>
                <w:sz w:val="22"/>
                <w:szCs w:val="22"/>
              </w:rPr>
              <w:t>9</w:t>
            </w:r>
            <w:r w:rsidRPr="0070736E">
              <w:rPr>
                <w:rFonts w:ascii="Arial" w:hAnsi="Arial" w:cs="Arial"/>
                <w:sz w:val="22"/>
                <w:szCs w:val="22"/>
              </w:rPr>
              <w:t>)</w:t>
            </w:r>
          </w:p>
        </w:tc>
        <w:tc>
          <w:tcPr>
            <w:tcW w:w="521" w:type="dxa"/>
            <w:tcBorders>
              <w:top w:val="none" w:sz="0" w:space="0" w:color="auto"/>
              <w:left w:val="none" w:sz="0" w:space="0" w:color="auto"/>
              <w:bottom w:val="none" w:sz="0" w:space="0" w:color="auto"/>
              <w:right w:val="none" w:sz="0" w:space="0" w:color="auto"/>
            </w:tcBorders>
            <w:shd w:val="clear" w:color="auto" w:fill="548DD4" w:themeFill="text2" w:themeFillTint="99"/>
            <w:vAlign w:val="center"/>
          </w:tcPr>
          <w:p w14:paraId="476A2F4D" w14:textId="77777777" w:rsidR="00E929FD" w:rsidRPr="0070736E" w:rsidRDefault="00E929FD" w:rsidP="00C26BE6">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2"/>
                <w:szCs w:val="22"/>
              </w:rPr>
            </w:pPr>
            <w:r w:rsidRPr="0070736E">
              <w:rPr>
                <w:rFonts w:ascii="Arial" w:hAnsi="Arial" w:cs="Arial"/>
                <w:sz w:val="22"/>
                <w:szCs w:val="22"/>
              </w:rPr>
              <w:t>12</w:t>
            </w:r>
          </w:p>
        </w:tc>
        <w:tc>
          <w:tcPr>
            <w:tcW w:w="522" w:type="dxa"/>
            <w:tcBorders>
              <w:top w:val="none" w:sz="0" w:space="0" w:color="auto"/>
              <w:left w:val="none" w:sz="0" w:space="0" w:color="auto"/>
              <w:bottom w:val="none" w:sz="0" w:space="0" w:color="auto"/>
              <w:right w:val="none" w:sz="0" w:space="0" w:color="auto"/>
            </w:tcBorders>
            <w:shd w:val="clear" w:color="auto" w:fill="548DD4" w:themeFill="text2" w:themeFillTint="99"/>
            <w:vAlign w:val="center"/>
          </w:tcPr>
          <w:p w14:paraId="4FA57D1B" w14:textId="77777777" w:rsidR="00E929FD" w:rsidRPr="0070736E" w:rsidRDefault="00E929FD" w:rsidP="00C26BE6">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2"/>
                <w:szCs w:val="22"/>
              </w:rPr>
            </w:pPr>
            <w:r w:rsidRPr="0070736E">
              <w:rPr>
                <w:rFonts w:ascii="Arial" w:hAnsi="Arial" w:cs="Arial"/>
                <w:sz w:val="22"/>
                <w:szCs w:val="22"/>
              </w:rPr>
              <w:t>13</w:t>
            </w:r>
          </w:p>
        </w:tc>
        <w:tc>
          <w:tcPr>
            <w:tcW w:w="522" w:type="dxa"/>
            <w:tcBorders>
              <w:top w:val="none" w:sz="0" w:space="0" w:color="auto"/>
              <w:left w:val="none" w:sz="0" w:space="0" w:color="auto"/>
              <w:bottom w:val="none" w:sz="0" w:space="0" w:color="auto"/>
              <w:right w:val="none" w:sz="0" w:space="0" w:color="auto"/>
            </w:tcBorders>
            <w:shd w:val="clear" w:color="auto" w:fill="548DD4" w:themeFill="text2" w:themeFillTint="99"/>
            <w:vAlign w:val="center"/>
          </w:tcPr>
          <w:p w14:paraId="1ABD5060" w14:textId="77777777" w:rsidR="00E929FD" w:rsidRPr="0070736E" w:rsidRDefault="00E929FD" w:rsidP="00C26BE6">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2"/>
                <w:szCs w:val="22"/>
              </w:rPr>
            </w:pPr>
            <w:r w:rsidRPr="0070736E">
              <w:rPr>
                <w:rFonts w:ascii="Arial" w:hAnsi="Arial" w:cs="Arial"/>
                <w:sz w:val="22"/>
                <w:szCs w:val="22"/>
              </w:rPr>
              <w:t>14</w:t>
            </w:r>
          </w:p>
        </w:tc>
        <w:tc>
          <w:tcPr>
            <w:tcW w:w="522" w:type="dxa"/>
            <w:tcBorders>
              <w:top w:val="none" w:sz="0" w:space="0" w:color="auto"/>
              <w:left w:val="none" w:sz="0" w:space="0" w:color="auto"/>
              <w:bottom w:val="none" w:sz="0" w:space="0" w:color="auto"/>
              <w:right w:val="none" w:sz="0" w:space="0" w:color="auto"/>
            </w:tcBorders>
            <w:shd w:val="clear" w:color="auto" w:fill="548DD4" w:themeFill="text2" w:themeFillTint="99"/>
            <w:vAlign w:val="center"/>
          </w:tcPr>
          <w:p w14:paraId="6BC12500" w14:textId="77777777" w:rsidR="00E929FD" w:rsidRPr="0070736E" w:rsidRDefault="00E929FD" w:rsidP="00C26BE6">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2"/>
                <w:szCs w:val="22"/>
              </w:rPr>
            </w:pPr>
            <w:r w:rsidRPr="0070736E">
              <w:rPr>
                <w:rFonts w:ascii="Arial" w:hAnsi="Arial" w:cs="Arial"/>
                <w:sz w:val="22"/>
                <w:szCs w:val="22"/>
              </w:rPr>
              <w:t>15</w:t>
            </w:r>
          </w:p>
        </w:tc>
        <w:tc>
          <w:tcPr>
            <w:tcW w:w="522" w:type="dxa"/>
            <w:tcBorders>
              <w:top w:val="none" w:sz="0" w:space="0" w:color="auto"/>
              <w:left w:val="none" w:sz="0" w:space="0" w:color="auto"/>
              <w:bottom w:val="none" w:sz="0" w:space="0" w:color="auto"/>
              <w:right w:val="none" w:sz="0" w:space="0" w:color="auto"/>
            </w:tcBorders>
            <w:shd w:val="clear" w:color="auto" w:fill="548DD4" w:themeFill="text2" w:themeFillTint="99"/>
            <w:vAlign w:val="center"/>
          </w:tcPr>
          <w:p w14:paraId="6BB55EB1" w14:textId="77777777" w:rsidR="00E929FD" w:rsidRPr="0070736E" w:rsidRDefault="00E929FD" w:rsidP="00C26BE6">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2"/>
                <w:szCs w:val="22"/>
              </w:rPr>
            </w:pPr>
            <w:r w:rsidRPr="0070736E">
              <w:rPr>
                <w:rFonts w:ascii="Arial" w:hAnsi="Arial" w:cs="Arial"/>
                <w:sz w:val="22"/>
                <w:szCs w:val="22"/>
              </w:rPr>
              <w:t>16</w:t>
            </w:r>
          </w:p>
        </w:tc>
        <w:tc>
          <w:tcPr>
            <w:tcW w:w="522" w:type="dxa"/>
            <w:tcBorders>
              <w:top w:val="none" w:sz="0" w:space="0" w:color="auto"/>
              <w:left w:val="none" w:sz="0" w:space="0" w:color="auto"/>
              <w:bottom w:val="none" w:sz="0" w:space="0" w:color="auto"/>
              <w:right w:val="none" w:sz="0" w:space="0" w:color="auto"/>
            </w:tcBorders>
            <w:shd w:val="clear" w:color="auto" w:fill="548DD4" w:themeFill="text2" w:themeFillTint="99"/>
            <w:vAlign w:val="center"/>
          </w:tcPr>
          <w:p w14:paraId="27FEA982" w14:textId="77777777" w:rsidR="00E929FD" w:rsidRPr="0070736E" w:rsidRDefault="00E929FD" w:rsidP="00C26BE6">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2"/>
                <w:szCs w:val="22"/>
              </w:rPr>
            </w:pPr>
            <w:r w:rsidRPr="0070736E">
              <w:rPr>
                <w:rFonts w:ascii="Arial" w:hAnsi="Arial" w:cs="Arial"/>
                <w:sz w:val="22"/>
                <w:szCs w:val="22"/>
              </w:rPr>
              <w:t>17</w:t>
            </w:r>
          </w:p>
        </w:tc>
        <w:tc>
          <w:tcPr>
            <w:tcW w:w="522" w:type="dxa"/>
            <w:tcBorders>
              <w:top w:val="none" w:sz="0" w:space="0" w:color="auto"/>
              <w:left w:val="none" w:sz="0" w:space="0" w:color="auto"/>
              <w:bottom w:val="none" w:sz="0" w:space="0" w:color="auto"/>
              <w:right w:val="none" w:sz="0" w:space="0" w:color="auto"/>
            </w:tcBorders>
            <w:shd w:val="clear" w:color="auto" w:fill="548DD4" w:themeFill="text2" w:themeFillTint="99"/>
            <w:vAlign w:val="center"/>
          </w:tcPr>
          <w:p w14:paraId="6FB9A7C8" w14:textId="77777777" w:rsidR="00E929FD" w:rsidRPr="0070736E" w:rsidRDefault="00E929FD" w:rsidP="00C26BE6">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2"/>
                <w:szCs w:val="22"/>
              </w:rPr>
            </w:pPr>
            <w:r w:rsidRPr="0070736E">
              <w:rPr>
                <w:rFonts w:ascii="Arial" w:hAnsi="Arial" w:cs="Arial"/>
                <w:sz w:val="22"/>
                <w:szCs w:val="22"/>
              </w:rPr>
              <w:t>18</w:t>
            </w:r>
          </w:p>
        </w:tc>
        <w:tc>
          <w:tcPr>
            <w:tcW w:w="521" w:type="dxa"/>
            <w:tcBorders>
              <w:top w:val="none" w:sz="0" w:space="0" w:color="auto"/>
              <w:left w:val="none" w:sz="0" w:space="0" w:color="auto"/>
              <w:bottom w:val="none" w:sz="0" w:space="0" w:color="auto"/>
              <w:right w:val="none" w:sz="0" w:space="0" w:color="auto"/>
            </w:tcBorders>
            <w:shd w:val="clear" w:color="auto" w:fill="548DD4" w:themeFill="text2" w:themeFillTint="99"/>
            <w:vAlign w:val="center"/>
          </w:tcPr>
          <w:p w14:paraId="40668F67" w14:textId="77777777" w:rsidR="00E929FD" w:rsidRPr="0070736E" w:rsidRDefault="00E929FD" w:rsidP="00C26BE6">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2"/>
                <w:szCs w:val="22"/>
              </w:rPr>
            </w:pPr>
            <w:r w:rsidRPr="0070736E">
              <w:rPr>
                <w:rFonts w:ascii="Arial" w:hAnsi="Arial" w:cs="Arial"/>
                <w:sz w:val="22"/>
                <w:szCs w:val="22"/>
              </w:rPr>
              <w:t>19</w:t>
            </w:r>
          </w:p>
        </w:tc>
        <w:tc>
          <w:tcPr>
            <w:tcW w:w="522" w:type="dxa"/>
            <w:tcBorders>
              <w:top w:val="none" w:sz="0" w:space="0" w:color="auto"/>
              <w:left w:val="none" w:sz="0" w:space="0" w:color="auto"/>
              <w:bottom w:val="none" w:sz="0" w:space="0" w:color="auto"/>
              <w:right w:val="none" w:sz="0" w:space="0" w:color="auto"/>
            </w:tcBorders>
            <w:shd w:val="clear" w:color="auto" w:fill="548DD4" w:themeFill="text2" w:themeFillTint="99"/>
            <w:vAlign w:val="center"/>
          </w:tcPr>
          <w:p w14:paraId="3998440D" w14:textId="77777777" w:rsidR="00E929FD" w:rsidRPr="0070736E" w:rsidRDefault="00E929FD" w:rsidP="00C26BE6">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2"/>
                <w:szCs w:val="22"/>
              </w:rPr>
            </w:pPr>
            <w:r w:rsidRPr="0070736E">
              <w:rPr>
                <w:rFonts w:ascii="Arial" w:hAnsi="Arial" w:cs="Arial"/>
                <w:sz w:val="22"/>
                <w:szCs w:val="22"/>
              </w:rPr>
              <w:t>20</w:t>
            </w:r>
          </w:p>
        </w:tc>
        <w:tc>
          <w:tcPr>
            <w:tcW w:w="522" w:type="dxa"/>
            <w:tcBorders>
              <w:top w:val="none" w:sz="0" w:space="0" w:color="auto"/>
              <w:left w:val="none" w:sz="0" w:space="0" w:color="auto"/>
              <w:bottom w:val="none" w:sz="0" w:space="0" w:color="auto"/>
              <w:right w:val="none" w:sz="0" w:space="0" w:color="auto"/>
            </w:tcBorders>
            <w:shd w:val="clear" w:color="auto" w:fill="548DD4" w:themeFill="text2" w:themeFillTint="99"/>
            <w:vAlign w:val="center"/>
          </w:tcPr>
          <w:p w14:paraId="21777433" w14:textId="77777777" w:rsidR="00E929FD" w:rsidRPr="0070736E" w:rsidRDefault="00E929FD" w:rsidP="00C26BE6">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2"/>
                <w:szCs w:val="22"/>
              </w:rPr>
            </w:pPr>
            <w:r w:rsidRPr="0070736E">
              <w:rPr>
                <w:rFonts w:ascii="Arial" w:hAnsi="Arial" w:cs="Arial"/>
                <w:sz w:val="22"/>
                <w:szCs w:val="22"/>
              </w:rPr>
              <w:t>21</w:t>
            </w:r>
          </w:p>
        </w:tc>
        <w:tc>
          <w:tcPr>
            <w:tcW w:w="522" w:type="dxa"/>
            <w:tcBorders>
              <w:top w:val="none" w:sz="0" w:space="0" w:color="auto"/>
              <w:left w:val="none" w:sz="0" w:space="0" w:color="auto"/>
              <w:bottom w:val="none" w:sz="0" w:space="0" w:color="auto"/>
              <w:right w:val="none" w:sz="0" w:space="0" w:color="auto"/>
            </w:tcBorders>
            <w:shd w:val="clear" w:color="auto" w:fill="548DD4" w:themeFill="text2" w:themeFillTint="99"/>
            <w:vAlign w:val="center"/>
          </w:tcPr>
          <w:p w14:paraId="7EB19B52" w14:textId="77777777" w:rsidR="00E929FD" w:rsidRPr="0070736E" w:rsidRDefault="00E929FD" w:rsidP="00C26BE6">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2"/>
                <w:szCs w:val="22"/>
              </w:rPr>
            </w:pPr>
            <w:r w:rsidRPr="0070736E">
              <w:rPr>
                <w:rFonts w:ascii="Arial" w:hAnsi="Arial" w:cs="Arial"/>
                <w:sz w:val="22"/>
                <w:szCs w:val="22"/>
              </w:rPr>
              <w:t>22</w:t>
            </w:r>
          </w:p>
        </w:tc>
        <w:tc>
          <w:tcPr>
            <w:tcW w:w="522" w:type="dxa"/>
            <w:tcBorders>
              <w:top w:val="none" w:sz="0" w:space="0" w:color="auto"/>
              <w:left w:val="none" w:sz="0" w:space="0" w:color="auto"/>
              <w:bottom w:val="none" w:sz="0" w:space="0" w:color="auto"/>
              <w:right w:val="none" w:sz="0" w:space="0" w:color="auto"/>
            </w:tcBorders>
            <w:shd w:val="clear" w:color="auto" w:fill="548DD4" w:themeFill="text2" w:themeFillTint="99"/>
            <w:vAlign w:val="center"/>
          </w:tcPr>
          <w:p w14:paraId="7EA08DF9" w14:textId="77777777" w:rsidR="00E929FD" w:rsidRPr="0070736E" w:rsidRDefault="00E929FD" w:rsidP="00C26BE6">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2"/>
                <w:szCs w:val="22"/>
              </w:rPr>
            </w:pPr>
            <w:r w:rsidRPr="0070736E">
              <w:rPr>
                <w:rFonts w:ascii="Arial" w:hAnsi="Arial" w:cs="Arial"/>
                <w:sz w:val="22"/>
                <w:szCs w:val="22"/>
              </w:rPr>
              <w:t>23</w:t>
            </w:r>
          </w:p>
        </w:tc>
        <w:tc>
          <w:tcPr>
            <w:tcW w:w="522" w:type="dxa"/>
            <w:tcBorders>
              <w:top w:val="none" w:sz="0" w:space="0" w:color="auto"/>
              <w:left w:val="none" w:sz="0" w:space="0" w:color="auto"/>
              <w:bottom w:val="none" w:sz="0" w:space="0" w:color="auto"/>
              <w:right w:val="none" w:sz="0" w:space="0" w:color="auto"/>
            </w:tcBorders>
            <w:shd w:val="clear" w:color="auto" w:fill="548DD4" w:themeFill="text2" w:themeFillTint="99"/>
            <w:vAlign w:val="center"/>
          </w:tcPr>
          <w:p w14:paraId="70738CF4" w14:textId="77777777" w:rsidR="00E929FD" w:rsidRPr="0070736E" w:rsidRDefault="00E929FD" w:rsidP="00C26BE6">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2"/>
                <w:szCs w:val="22"/>
              </w:rPr>
            </w:pPr>
            <w:r w:rsidRPr="0070736E">
              <w:rPr>
                <w:rFonts w:ascii="Arial" w:hAnsi="Arial" w:cs="Arial"/>
                <w:sz w:val="22"/>
                <w:szCs w:val="22"/>
              </w:rPr>
              <w:t>24</w:t>
            </w:r>
          </w:p>
        </w:tc>
        <w:tc>
          <w:tcPr>
            <w:tcW w:w="522" w:type="dxa"/>
            <w:tcBorders>
              <w:top w:val="none" w:sz="0" w:space="0" w:color="auto"/>
              <w:left w:val="none" w:sz="0" w:space="0" w:color="auto"/>
              <w:bottom w:val="none" w:sz="0" w:space="0" w:color="auto"/>
              <w:right w:val="none" w:sz="0" w:space="0" w:color="auto"/>
            </w:tcBorders>
            <w:shd w:val="clear" w:color="auto" w:fill="548DD4" w:themeFill="text2" w:themeFillTint="99"/>
            <w:vAlign w:val="center"/>
          </w:tcPr>
          <w:p w14:paraId="1BF36474" w14:textId="77777777" w:rsidR="00E929FD" w:rsidRPr="0070736E" w:rsidRDefault="00E929FD" w:rsidP="00C26BE6">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2"/>
                <w:szCs w:val="22"/>
              </w:rPr>
            </w:pPr>
            <w:r w:rsidRPr="0070736E">
              <w:rPr>
                <w:rFonts w:ascii="Arial" w:hAnsi="Arial" w:cs="Arial"/>
                <w:sz w:val="22"/>
                <w:szCs w:val="22"/>
              </w:rPr>
              <w:t>25</w:t>
            </w:r>
          </w:p>
        </w:tc>
        <w:tc>
          <w:tcPr>
            <w:tcW w:w="522" w:type="dxa"/>
            <w:tcBorders>
              <w:top w:val="none" w:sz="0" w:space="0" w:color="auto"/>
              <w:left w:val="none" w:sz="0" w:space="0" w:color="auto"/>
              <w:bottom w:val="none" w:sz="0" w:space="0" w:color="auto"/>
              <w:right w:val="none" w:sz="0" w:space="0" w:color="auto"/>
            </w:tcBorders>
            <w:shd w:val="clear" w:color="auto" w:fill="548DD4" w:themeFill="text2" w:themeFillTint="99"/>
            <w:vAlign w:val="center"/>
          </w:tcPr>
          <w:p w14:paraId="63617AB3" w14:textId="77777777" w:rsidR="00E929FD" w:rsidRPr="0070736E" w:rsidRDefault="00E929FD" w:rsidP="00C26BE6">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2"/>
                <w:szCs w:val="22"/>
              </w:rPr>
            </w:pPr>
            <w:r w:rsidRPr="0070736E">
              <w:rPr>
                <w:rFonts w:ascii="Arial" w:hAnsi="Arial" w:cs="Arial"/>
                <w:sz w:val="22"/>
                <w:szCs w:val="22"/>
              </w:rPr>
              <w:t>26</w:t>
            </w:r>
          </w:p>
        </w:tc>
      </w:tr>
      <w:tr w:rsidR="00E929FD" w:rsidRPr="002C29B8" w14:paraId="537EB2A0" w14:textId="77777777" w:rsidTr="00C26BE6">
        <w:trPr>
          <w:cnfStyle w:val="000000100000" w:firstRow="0" w:lastRow="0" w:firstColumn="0" w:lastColumn="0" w:oddVBand="0" w:evenVBand="0" w:oddHBand="1" w:evenHBand="0" w:firstRowFirstColumn="0" w:firstRowLastColumn="0" w:lastRowFirstColumn="0" w:lastRowLastColumn="0"/>
          <w:trHeight w:val="552"/>
          <w:jc w:val="center"/>
        </w:trPr>
        <w:tc>
          <w:tcPr>
            <w:cnfStyle w:val="001000000000" w:firstRow="0" w:lastRow="0" w:firstColumn="1" w:lastColumn="0" w:oddVBand="0" w:evenVBand="0" w:oddHBand="0" w:evenHBand="0" w:firstRowFirstColumn="0" w:firstRowLastColumn="0" w:lastRowFirstColumn="0" w:lastRowLastColumn="0"/>
            <w:tcW w:w="1566" w:type="dxa"/>
            <w:vMerge w:val="restart"/>
            <w:shd w:val="clear" w:color="auto" w:fill="548DD4" w:themeFill="text2" w:themeFillTint="99"/>
            <w:vAlign w:val="center"/>
          </w:tcPr>
          <w:p w14:paraId="61E26EFF" w14:textId="77777777" w:rsidR="00E929FD" w:rsidRPr="0070736E" w:rsidRDefault="00E929FD" w:rsidP="00E929FD">
            <w:pPr>
              <w:jc w:val="center"/>
              <w:rPr>
                <w:rFonts w:ascii="Arial" w:hAnsi="Arial" w:cs="Arial"/>
                <w:b w:val="0"/>
                <w:color w:val="FFFFFF" w:themeColor="background1"/>
                <w:sz w:val="22"/>
                <w:szCs w:val="22"/>
              </w:rPr>
            </w:pPr>
            <w:r w:rsidRPr="0070736E">
              <w:rPr>
                <w:rFonts w:ascii="Arial" w:hAnsi="Arial" w:cs="Arial"/>
                <w:color w:val="FFFFFF" w:themeColor="background1"/>
                <w:sz w:val="22"/>
                <w:szCs w:val="22"/>
              </w:rPr>
              <w:t xml:space="preserve">Coverage Rate </w:t>
            </w:r>
            <w:r w:rsidRPr="0070736E">
              <w:rPr>
                <w:rFonts w:ascii="Arial" w:hAnsi="Arial" w:cs="Arial"/>
                <w:color w:val="FFFFFF" w:themeColor="background1"/>
                <w:sz w:val="22"/>
                <w:szCs w:val="22"/>
              </w:rPr>
              <w:br/>
              <w:t xml:space="preserve">(as at </w:t>
            </w:r>
            <w:r w:rsidRPr="0070736E">
              <w:rPr>
                <w:rFonts w:ascii="Arial" w:hAnsi="Arial" w:cs="Arial"/>
                <w:color w:val="FFFFFF" w:themeColor="background1"/>
                <w:sz w:val="22"/>
                <w:szCs w:val="22"/>
              </w:rPr>
              <w:br/>
              <w:t>31 Dec 2015)</w:t>
            </w:r>
          </w:p>
        </w:tc>
        <w:tc>
          <w:tcPr>
            <w:tcW w:w="955" w:type="dxa"/>
            <w:shd w:val="clear" w:color="auto" w:fill="8DB3E2" w:themeFill="text2" w:themeFillTint="66"/>
            <w:vAlign w:val="center"/>
          </w:tcPr>
          <w:p w14:paraId="46C929EB" w14:textId="77777777" w:rsidR="00E929FD" w:rsidRPr="0070736E" w:rsidRDefault="00E929FD" w:rsidP="00E929FD">
            <w:pPr>
              <w:jc w:val="center"/>
              <w:cnfStyle w:val="000000100000" w:firstRow="0" w:lastRow="0" w:firstColumn="0" w:lastColumn="0" w:oddVBand="0" w:evenVBand="0" w:oddHBand="1" w:evenHBand="0" w:firstRowFirstColumn="0" w:firstRowLastColumn="0" w:lastRowFirstColumn="0" w:lastRowLastColumn="0"/>
              <w:rPr>
                <w:rFonts w:ascii="Arial" w:hAnsi="Arial" w:cs="Arial"/>
                <w:b/>
                <w:bCs/>
                <w:color w:val="FFFFFF" w:themeColor="background1"/>
                <w:sz w:val="20"/>
                <w:szCs w:val="20"/>
              </w:rPr>
            </w:pPr>
            <w:r w:rsidRPr="0070736E">
              <w:rPr>
                <w:rFonts w:ascii="Arial" w:hAnsi="Arial" w:cs="Arial"/>
                <w:b/>
                <w:bCs/>
                <w:color w:val="FFFFFF" w:themeColor="background1"/>
                <w:sz w:val="20"/>
                <w:szCs w:val="20"/>
              </w:rPr>
              <w:t>DOSE 1</w:t>
            </w:r>
          </w:p>
        </w:tc>
        <w:tc>
          <w:tcPr>
            <w:tcW w:w="521" w:type="dxa"/>
            <w:shd w:val="clear" w:color="auto" w:fill="DBE5F1" w:themeFill="accent1" w:themeFillTint="33"/>
            <w:vAlign w:val="center"/>
          </w:tcPr>
          <w:p w14:paraId="2E59EAD3" w14:textId="6452B4F4" w:rsidR="00E929FD" w:rsidRPr="002C29B8" w:rsidRDefault="00E929FD" w:rsidP="00E929F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D82E12">
              <w:rPr>
                <w:rFonts w:ascii="Arial" w:hAnsi="Arial" w:cs="Arial"/>
                <w:sz w:val="20"/>
                <w:szCs w:val="20"/>
              </w:rPr>
              <w:t>84%</w:t>
            </w:r>
          </w:p>
        </w:tc>
        <w:tc>
          <w:tcPr>
            <w:tcW w:w="522" w:type="dxa"/>
            <w:shd w:val="clear" w:color="auto" w:fill="DBE5F1" w:themeFill="accent1" w:themeFillTint="33"/>
            <w:vAlign w:val="center"/>
          </w:tcPr>
          <w:p w14:paraId="4A925AF2" w14:textId="7459B70E" w:rsidR="00E929FD" w:rsidRPr="002C29B8" w:rsidRDefault="00E929FD" w:rsidP="00E929F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D82E12">
              <w:rPr>
                <w:rFonts w:ascii="Arial" w:hAnsi="Arial" w:cs="Arial"/>
                <w:sz w:val="20"/>
                <w:szCs w:val="20"/>
              </w:rPr>
              <w:t>85%</w:t>
            </w:r>
          </w:p>
        </w:tc>
        <w:tc>
          <w:tcPr>
            <w:tcW w:w="522" w:type="dxa"/>
            <w:shd w:val="clear" w:color="auto" w:fill="DBE5F1" w:themeFill="accent1" w:themeFillTint="33"/>
            <w:vAlign w:val="center"/>
          </w:tcPr>
          <w:p w14:paraId="6BB7DBE4" w14:textId="4CCA2D25" w:rsidR="00E929FD" w:rsidRPr="002C29B8" w:rsidRDefault="00E929FD" w:rsidP="00E929F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D82E12">
              <w:rPr>
                <w:rFonts w:ascii="Arial" w:hAnsi="Arial" w:cs="Arial"/>
                <w:sz w:val="20"/>
                <w:szCs w:val="20"/>
              </w:rPr>
              <w:t>84%</w:t>
            </w:r>
          </w:p>
        </w:tc>
        <w:tc>
          <w:tcPr>
            <w:tcW w:w="522" w:type="dxa"/>
            <w:shd w:val="clear" w:color="auto" w:fill="DBE5F1" w:themeFill="accent1" w:themeFillTint="33"/>
            <w:vAlign w:val="center"/>
          </w:tcPr>
          <w:p w14:paraId="077B9BD7" w14:textId="502D1A20" w:rsidR="00E929FD" w:rsidRPr="002C29B8" w:rsidRDefault="00E929FD" w:rsidP="00E929F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D82E12">
              <w:rPr>
                <w:rFonts w:ascii="Arial" w:hAnsi="Arial" w:cs="Arial"/>
                <w:sz w:val="20"/>
                <w:szCs w:val="20"/>
              </w:rPr>
              <w:t>84%</w:t>
            </w:r>
          </w:p>
        </w:tc>
        <w:tc>
          <w:tcPr>
            <w:tcW w:w="522" w:type="dxa"/>
            <w:shd w:val="clear" w:color="auto" w:fill="DBE5F1" w:themeFill="accent1" w:themeFillTint="33"/>
            <w:vAlign w:val="center"/>
          </w:tcPr>
          <w:p w14:paraId="2C162AB3" w14:textId="34AF7842" w:rsidR="00E929FD" w:rsidRPr="002C29B8" w:rsidRDefault="00E929FD" w:rsidP="00E929F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D82E12">
              <w:rPr>
                <w:rFonts w:ascii="Arial" w:hAnsi="Arial" w:cs="Arial"/>
                <w:sz w:val="20"/>
                <w:szCs w:val="20"/>
              </w:rPr>
              <w:t>84%</w:t>
            </w:r>
          </w:p>
        </w:tc>
        <w:tc>
          <w:tcPr>
            <w:tcW w:w="522" w:type="dxa"/>
            <w:shd w:val="clear" w:color="auto" w:fill="DBE5F1" w:themeFill="accent1" w:themeFillTint="33"/>
            <w:vAlign w:val="center"/>
          </w:tcPr>
          <w:p w14:paraId="6970D337" w14:textId="451BF61D" w:rsidR="00E929FD" w:rsidRPr="002C29B8" w:rsidRDefault="00E929FD" w:rsidP="00E929F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D82E12">
              <w:rPr>
                <w:rFonts w:ascii="Arial" w:hAnsi="Arial" w:cs="Arial"/>
                <w:sz w:val="20"/>
                <w:szCs w:val="20"/>
              </w:rPr>
              <w:t>84%</w:t>
            </w:r>
          </w:p>
        </w:tc>
        <w:tc>
          <w:tcPr>
            <w:tcW w:w="522" w:type="dxa"/>
            <w:shd w:val="clear" w:color="auto" w:fill="DBE5F1" w:themeFill="accent1" w:themeFillTint="33"/>
            <w:vAlign w:val="center"/>
          </w:tcPr>
          <w:p w14:paraId="2863DC0B" w14:textId="6F194764" w:rsidR="00E929FD" w:rsidRPr="002C29B8" w:rsidRDefault="00E929FD" w:rsidP="00E929F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D82E12">
              <w:rPr>
                <w:rFonts w:ascii="Arial" w:hAnsi="Arial" w:cs="Arial"/>
                <w:sz w:val="20"/>
                <w:szCs w:val="20"/>
              </w:rPr>
              <w:t>81%</w:t>
            </w:r>
          </w:p>
        </w:tc>
        <w:tc>
          <w:tcPr>
            <w:tcW w:w="521" w:type="dxa"/>
            <w:shd w:val="clear" w:color="auto" w:fill="DBE5F1" w:themeFill="accent1" w:themeFillTint="33"/>
            <w:vAlign w:val="center"/>
          </w:tcPr>
          <w:p w14:paraId="19FD5D87" w14:textId="753D2916" w:rsidR="00E929FD" w:rsidRPr="002C29B8" w:rsidRDefault="00E929FD" w:rsidP="00E929F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D82E12">
              <w:rPr>
                <w:rFonts w:ascii="Arial" w:hAnsi="Arial" w:cs="Arial"/>
                <w:sz w:val="20"/>
                <w:szCs w:val="20"/>
              </w:rPr>
              <w:t>75%</w:t>
            </w:r>
          </w:p>
        </w:tc>
        <w:tc>
          <w:tcPr>
            <w:tcW w:w="522" w:type="dxa"/>
            <w:shd w:val="clear" w:color="auto" w:fill="DBE5F1" w:themeFill="accent1" w:themeFillTint="33"/>
            <w:vAlign w:val="center"/>
          </w:tcPr>
          <w:p w14:paraId="27F9BB1E" w14:textId="259DC7FB" w:rsidR="00E929FD" w:rsidRPr="002C29B8" w:rsidRDefault="00E929FD" w:rsidP="00E929F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D82E12">
              <w:rPr>
                <w:rFonts w:ascii="Arial" w:hAnsi="Arial" w:cs="Arial"/>
                <w:sz w:val="20"/>
                <w:szCs w:val="20"/>
              </w:rPr>
              <w:t>62%</w:t>
            </w:r>
          </w:p>
        </w:tc>
        <w:tc>
          <w:tcPr>
            <w:tcW w:w="522" w:type="dxa"/>
            <w:shd w:val="clear" w:color="auto" w:fill="DBE5F1" w:themeFill="accent1" w:themeFillTint="33"/>
            <w:vAlign w:val="center"/>
          </w:tcPr>
          <w:p w14:paraId="328C34C8" w14:textId="74DF741F" w:rsidR="00E929FD" w:rsidRPr="002C29B8" w:rsidRDefault="00E929FD" w:rsidP="00E929F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D82E12">
              <w:rPr>
                <w:rFonts w:ascii="Arial" w:hAnsi="Arial" w:cs="Arial"/>
                <w:sz w:val="20"/>
                <w:szCs w:val="20"/>
              </w:rPr>
              <w:t>58%</w:t>
            </w:r>
          </w:p>
        </w:tc>
        <w:tc>
          <w:tcPr>
            <w:tcW w:w="522" w:type="dxa"/>
            <w:shd w:val="clear" w:color="auto" w:fill="DBE5F1" w:themeFill="accent1" w:themeFillTint="33"/>
            <w:vAlign w:val="center"/>
          </w:tcPr>
          <w:p w14:paraId="47D1B00D" w14:textId="53F9AFFC" w:rsidR="00E929FD" w:rsidRPr="002C29B8" w:rsidRDefault="00E929FD" w:rsidP="00E929F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D82E12">
              <w:rPr>
                <w:rFonts w:ascii="Arial" w:hAnsi="Arial" w:cs="Arial"/>
                <w:sz w:val="20"/>
                <w:szCs w:val="20"/>
              </w:rPr>
              <w:t>57%</w:t>
            </w:r>
          </w:p>
        </w:tc>
        <w:tc>
          <w:tcPr>
            <w:tcW w:w="522" w:type="dxa"/>
            <w:shd w:val="clear" w:color="auto" w:fill="DBE5F1" w:themeFill="accent1" w:themeFillTint="33"/>
            <w:vAlign w:val="center"/>
          </w:tcPr>
          <w:p w14:paraId="525BC2EE" w14:textId="55CDBA5A" w:rsidR="00E929FD" w:rsidRPr="002C29B8" w:rsidRDefault="00E929FD" w:rsidP="00E929F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D82E12">
              <w:rPr>
                <w:rFonts w:ascii="Arial" w:hAnsi="Arial" w:cs="Arial"/>
                <w:sz w:val="20"/>
                <w:szCs w:val="20"/>
              </w:rPr>
              <w:t>55%</w:t>
            </w:r>
          </w:p>
        </w:tc>
        <w:tc>
          <w:tcPr>
            <w:tcW w:w="522" w:type="dxa"/>
            <w:shd w:val="clear" w:color="auto" w:fill="DBE5F1" w:themeFill="accent1" w:themeFillTint="33"/>
            <w:vAlign w:val="center"/>
          </w:tcPr>
          <w:p w14:paraId="255206FE" w14:textId="64B6F146" w:rsidR="00E929FD" w:rsidRPr="002C29B8" w:rsidRDefault="00E929FD" w:rsidP="00E929F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D82E12">
              <w:rPr>
                <w:rFonts w:ascii="Arial" w:hAnsi="Arial" w:cs="Arial"/>
                <w:sz w:val="20"/>
                <w:szCs w:val="20"/>
              </w:rPr>
              <w:t>54%</w:t>
            </w:r>
          </w:p>
        </w:tc>
        <w:tc>
          <w:tcPr>
            <w:tcW w:w="522" w:type="dxa"/>
            <w:shd w:val="clear" w:color="auto" w:fill="DBE5F1" w:themeFill="accent1" w:themeFillTint="33"/>
            <w:vAlign w:val="center"/>
          </w:tcPr>
          <w:p w14:paraId="56E312A4" w14:textId="5F44F79F" w:rsidR="00E929FD" w:rsidRPr="002C29B8" w:rsidRDefault="00E929FD" w:rsidP="00E929F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D82E12">
              <w:rPr>
                <w:rFonts w:ascii="Arial" w:hAnsi="Arial" w:cs="Arial"/>
                <w:sz w:val="20"/>
                <w:szCs w:val="20"/>
              </w:rPr>
              <w:t>54%</w:t>
            </w:r>
          </w:p>
        </w:tc>
        <w:tc>
          <w:tcPr>
            <w:tcW w:w="522" w:type="dxa"/>
            <w:shd w:val="clear" w:color="auto" w:fill="DBE5F1" w:themeFill="accent1" w:themeFillTint="33"/>
            <w:vAlign w:val="center"/>
          </w:tcPr>
          <w:p w14:paraId="604F0BA5" w14:textId="6A8E8324" w:rsidR="00E929FD" w:rsidRPr="002C29B8" w:rsidRDefault="00E929FD" w:rsidP="00E929F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D82E12">
              <w:rPr>
                <w:rFonts w:ascii="Arial" w:hAnsi="Arial" w:cs="Arial"/>
                <w:sz w:val="20"/>
                <w:szCs w:val="20"/>
              </w:rPr>
              <w:t>53%</w:t>
            </w:r>
          </w:p>
        </w:tc>
      </w:tr>
      <w:tr w:rsidR="00E929FD" w:rsidRPr="002C29B8" w14:paraId="34B9487B" w14:textId="77777777" w:rsidTr="00C26BE6">
        <w:trPr>
          <w:trHeight w:val="552"/>
          <w:jc w:val="center"/>
        </w:trPr>
        <w:tc>
          <w:tcPr>
            <w:cnfStyle w:val="001000000000" w:firstRow="0" w:lastRow="0" w:firstColumn="1" w:lastColumn="0" w:oddVBand="0" w:evenVBand="0" w:oddHBand="0" w:evenHBand="0" w:firstRowFirstColumn="0" w:firstRowLastColumn="0" w:lastRowFirstColumn="0" w:lastRowLastColumn="0"/>
            <w:tcW w:w="1566" w:type="dxa"/>
            <w:vMerge/>
            <w:shd w:val="clear" w:color="auto" w:fill="548DD4" w:themeFill="text2" w:themeFillTint="99"/>
            <w:vAlign w:val="center"/>
          </w:tcPr>
          <w:p w14:paraId="3E977D5D" w14:textId="77777777" w:rsidR="00E929FD" w:rsidRPr="002C29B8" w:rsidRDefault="00E929FD" w:rsidP="00E929FD">
            <w:pPr>
              <w:jc w:val="center"/>
              <w:rPr>
                <w:rFonts w:ascii="Arial" w:hAnsi="Arial" w:cs="Arial"/>
                <w:b w:val="0"/>
              </w:rPr>
            </w:pPr>
          </w:p>
        </w:tc>
        <w:tc>
          <w:tcPr>
            <w:tcW w:w="955" w:type="dxa"/>
            <w:shd w:val="clear" w:color="auto" w:fill="8DB3E2" w:themeFill="text2" w:themeFillTint="66"/>
            <w:vAlign w:val="center"/>
          </w:tcPr>
          <w:p w14:paraId="54B13F70" w14:textId="77777777" w:rsidR="00E929FD" w:rsidRPr="0070736E" w:rsidRDefault="00E929FD" w:rsidP="00E929FD">
            <w:pPr>
              <w:jc w:val="center"/>
              <w:cnfStyle w:val="000000000000" w:firstRow="0" w:lastRow="0" w:firstColumn="0" w:lastColumn="0" w:oddVBand="0" w:evenVBand="0" w:oddHBand="0" w:evenHBand="0" w:firstRowFirstColumn="0" w:firstRowLastColumn="0" w:lastRowFirstColumn="0" w:lastRowLastColumn="0"/>
              <w:rPr>
                <w:rFonts w:ascii="Arial" w:hAnsi="Arial" w:cs="Arial"/>
                <w:b/>
                <w:bCs/>
                <w:color w:val="FFFFFF" w:themeColor="background1"/>
                <w:sz w:val="20"/>
                <w:szCs w:val="20"/>
              </w:rPr>
            </w:pPr>
            <w:r w:rsidRPr="0070736E">
              <w:rPr>
                <w:rFonts w:ascii="Arial" w:hAnsi="Arial" w:cs="Arial"/>
                <w:b/>
                <w:bCs/>
                <w:color w:val="FFFFFF" w:themeColor="background1"/>
                <w:sz w:val="20"/>
                <w:szCs w:val="20"/>
              </w:rPr>
              <w:t>DOSE 2</w:t>
            </w:r>
          </w:p>
        </w:tc>
        <w:tc>
          <w:tcPr>
            <w:tcW w:w="521" w:type="dxa"/>
            <w:shd w:val="clear" w:color="auto" w:fill="FFFFFF" w:themeFill="background1"/>
            <w:vAlign w:val="center"/>
          </w:tcPr>
          <w:p w14:paraId="2EDB7FAF" w14:textId="4549D6E7" w:rsidR="00E929FD" w:rsidRPr="002C29B8" w:rsidRDefault="00E929FD" w:rsidP="00E929F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D82E12">
              <w:rPr>
                <w:rFonts w:ascii="Arial" w:hAnsi="Arial" w:cs="Arial"/>
                <w:sz w:val="20"/>
                <w:szCs w:val="20"/>
              </w:rPr>
              <w:t>81%</w:t>
            </w:r>
          </w:p>
        </w:tc>
        <w:tc>
          <w:tcPr>
            <w:tcW w:w="522" w:type="dxa"/>
            <w:shd w:val="clear" w:color="auto" w:fill="FFFFFF" w:themeFill="background1"/>
            <w:vAlign w:val="center"/>
          </w:tcPr>
          <w:p w14:paraId="35BE27CE" w14:textId="1B931EF1" w:rsidR="00E929FD" w:rsidRPr="002C29B8" w:rsidRDefault="00E929FD" w:rsidP="00E929F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D82E12">
              <w:rPr>
                <w:rFonts w:ascii="Arial" w:hAnsi="Arial" w:cs="Arial"/>
                <w:sz w:val="20"/>
                <w:szCs w:val="20"/>
              </w:rPr>
              <w:t>81%</w:t>
            </w:r>
          </w:p>
        </w:tc>
        <w:tc>
          <w:tcPr>
            <w:tcW w:w="522" w:type="dxa"/>
            <w:shd w:val="clear" w:color="auto" w:fill="FFFFFF" w:themeFill="background1"/>
            <w:vAlign w:val="center"/>
          </w:tcPr>
          <w:p w14:paraId="5B09CB66" w14:textId="6540E21F" w:rsidR="00E929FD" w:rsidRPr="002C29B8" w:rsidRDefault="00E929FD" w:rsidP="00E929F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D82E12">
              <w:rPr>
                <w:rFonts w:ascii="Arial" w:hAnsi="Arial" w:cs="Arial"/>
                <w:sz w:val="20"/>
                <w:szCs w:val="20"/>
              </w:rPr>
              <w:t>80%</w:t>
            </w:r>
          </w:p>
        </w:tc>
        <w:tc>
          <w:tcPr>
            <w:tcW w:w="522" w:type="dxa"/>
            <w:shd w:val="clear" w:color="auto" w:fill="FFFFFF" w:themeFill="background1"/>
            <w:vAlign w:val="center"/>
          </w:tcPr>
          <w:p w14:paraId="21CCDF6C" w14:textId="0F5EBD1E" w:rsidR="00E929FD" w:rsidRPr="002C29B8" w:rsidRDefault="00E929FD" w:rsidP="00E929F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D82E12">
              <w:rPr>
                <w:rFonts w:ascii="Arial" w:hAnsi="Arial" w:cs="Arial"/>
                <w:sz w:val="20"/>
                <w:szCs w:val="20"/>
              </w:rPr>
              <w:t>80%</w:t>
            </w:r>
          </w:p>
        </w:tc>
        <w:tc>
          <w:tcPr>
            <w:tcW w:w="522" w:type="dxa"/>
            <w:shd w:val="clear" w:color="auto" w:fill="FFFFFF" w:themeFill="background1"/>
            <w:vAlign w:val="center"/>
          </w:tcPr>
          <w:p w14:paraId="4BA40421" w14:textId="06B9E0A2" w:rsidR="00E929FD" w:rsidRPr="002C29B8" w:rsidRDefault="00E929FD" w:rsidP="00E929F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D82E12">
              <w:rPr>
                <w:rFonts w:ascii="Arial" w:hAnsi="Arial" w:cs="Arial"/>
                <w:sz w:val="20"/>
                <w:szCs w:val="20"/>
              </w:rPr>
              <w:t>80%</w:t>
            </w:r>
          </w:p>
        </w:tc>
        <w:tc>
          <w:tcPr>
            <w:tcW w:w="522" w:type="dxa"/>
            <w:shd w:val="clear" w:color="auto" w:fill="FFFFFF" w:themeFill="background1"/>
            <w:vAlign w:val="center"/>
          </w:tcPr>
          <w:p w14:paraId="6E3F5448" w14:textId="16DE1B3A" w:rsidR="00E929FD" w:rsidRPr="002C29B8" w:rsidRDefault="00E929FD" w:rsidP="00E929F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D82E12">
              <w:rPr>
                <w:rFonts w:ascii="Arial" w:hAnsi="Arial" w:cs="Arial"/>
                <w:sz w:val="20"/>
                <w:szCs w:val="20"/>
              </w:rPr>
              <w:t>80%</w:t>
            </w:r>
          </w:p>
        </w:tc>
        <w:tc>
          <w:tcPr>
            <w:tcW w:w="522" w:type="dxa"/>
            <w:shd w:val="clear" w:color="auto" w:fill="FFFFFF" w:themeFill="background1"/>
            <w:vAlign w:val="center"/>
          </w:tcPr>
          <w:p w14:paraId="0E913663" w14:textId="31311D9F" w:rsidR="00E929FD" w:rsidRPr="002C29B8" w:rsidRDefault="00E929FD" w:rsidP="00E929F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D82E12">
              <w:rPr>
                <w:rFonts w:ascii="Arial" w:hAnsi="Arial" w:cs="Arial"/>
                <w:sz w:val="20"/>
                <w:szCs w:val="20"/>
              </w:rPr>
              <w:t>76%</w:t>
            </w:r>
          </w:p>
        </w:tc>
        <w:tc>
          <w:tcPr>
            <w:tcW w:w="521" w:type="dxa"/>
            <w:shd w:val="clear" w:color="auto" w:fill="FFFFFF" w:themeFill="background1"/>
            <w:vAlign w:val="center"/>
          </w:tcPr>
          <w:p w14:paraId="73E01A8D" w14:textId="6A7A2D84" w:rsidR="00E929FD" w:rsidRPr="002C29B8" w:rsidRDefault="00E929FD" w:rsidP="00E929F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D82E12">
              <w:rPr>
                <w:rFonts w:ascii="Arial" w:hAnsi="Arial" w:cs="Arial"/>
                <w:sz w:val="20"/>
                <w:szCs w:val="20"/>
              </w:rPr>
              <w:t>68%</w:t>
            </w:r>
          </w:p>
        </w:tc>
        <w:tc>
          <w:tcPr>
            <w:tcW w:w="522" w:type="dxa"/>
            <w:shd w:val="clear" w:color="auto" w:fill="FFFFFF" w:themeFill="background1"/>
            <w:vAlign w:val="center"/>
          </w:tcPr>
          <w:p w14:paraId="776781F7" w14:textId="32A11AEA" w:rsidR="00E929FD" w:rsidRPr="002C29B8" w:rsidRDefault="00E929FD" w:rsidP="00E929F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D82E12">
              <w:rPr>
                <w:rFonts w:ascii="Arial" w:hAnsi="Arial" w:cs="Arial"/>
                <w:sz w:val="20"/>
                <w:szCs w:val="20"/>
              </w:rPr>
              <w:t>52%</w:t>
            </w:r>
          </w:p>
        </w:tc>
        <w:tc>
          <w:tcPr>
            <w:tcW w:w="522" w:type="dxa"/>
            <w:shd w:val="clear" w:color="auto" w:fill="FFFFFF" w:themeFill="background1"/>
            <w:vAlign w:val="center"/>
          </w:tcPr>
          <w:p w14:paraId="58F1CC8D" w14:textId="2B68EBE4" w:rsidR="00E929FD" w:rsidRPr="002C29B8" w:rsidRDefault="00E929FD" w:rsidP="00E929F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D82E12">
              <w:rPr>
                <w:rFonts w:ascii="Arial" w:hAnsi="Arial" w:cs="Arial"/>
                <w:sz w:val="20"/>
                <w:szCs w:val="20"/>
              </w:rPr>
              <w:t>47%</w:t>
            </w:r>
          </w:p>
        </w:tc>
        <w:tc>
          <w:tcPr>
            <w:tcW w:w="522" w:type="dxa"/>
            <w:shd w:val="clear" w:color="auto" w:fill="FFFFFF" w:themeFill="background1"/>
            <w:vAlign w:val="center"/>
          </w:tcPr>
          <w:p w14:paraId="4F4125BF" w14:textId="520952F4" w:rsidR="00E929FD" w:rsidRPr="002C29B8" w:rsidRDefault="00E929FD" w:rsidP="00E929F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D82E12">
              <w:rPr>
                <w:rFonts w:ascii="Arial" w:hAnsi="Arial" w:cs="Arial"/>
                <w:sz w:val="20"/>
                <w:szCs w:val="20"/>
              </w:rPr>
              <w:t>46%</w:t>
            </w:r>
          </w:p>
        </w:tc>
        <w:tc>
          <w:tcPr>
            <w:tcW w:w="522" w:type="dxa"/>
            <w:shd w:val="clear" w:color="auto" w:fill="FFFFFF" w:themeFill="background1"/>
            <w:vAlign w:val="center"/>
          </w:tcPr>
          <w:p w14:paraId="1151F924" w14:textId="4AB5A3D6" w:rsidR="00E929FD" w:rsidRPr="002C29B8" w:rsidRDefault="00E929FD" w:rsidP="00E929F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D82E12">
              <w:rPr>
                <w:rFonts w:ascii="Arial" w:hAnsi="Arial" w:cs="Arial"/>
                <w:sz w:val="20"/>
                <w:szCs w:val="20"/>
              </w:rPr>
              <w:t>45%</w:t>
            </w:r>
          </w:p>
        </w:tc>
        <w:tc>
          <w:tcPr>
            <w:tcW w:w="522" w:type="dxa"/>
            <w:shd w:val="clear" w:color="auto" w:fill="FFFFFF" w:themeFill="background1"/>
            <w:vAlign w:val="center"/>
          </w:tcPr>
          <w:p w14:paraId="10CF8B02" w14:textId="07809AD1" w:rsidR="00E929FD" w:rsidRPr="002C29B8" w:rsidRDefault="00E929FD" w:rsidP="00E929F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D82E12">
              <w:rPr>
                <w:rFonts w:ascii="Arial" w:hAnsi="Arial" w:cs="Arial"/>
                <w:sz w:val="20"/>
                <w:szCs w:val="20"/>
              </w:rPr>
              <w:t>44%</w:t>
            </w:r>
          </w:p>
        </w:tc>
        <w:tc>
          <w:tcPr>
            <w:tcW w:w="522" w:type="dxa"/>
            <w:shd w:val="clear" w:color="auto" w:fill="FFFFFF" w:themeFill="background1"/>
            <w:vAlign w:val="center"/>
          </w:tcPr>
          <w:p w14:paraId="051496A9" w14:textId="4009EA80" w:rsidR="00E929FD" w:rsidRPr="002C29B8" w:rsidRDefault="00E929FD" w:rsidP="00E929F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D82E12">
              <w:rPr>
                <w:rFonts w:ascii="Arial" w:hAnsi="Arial" w:cs="Arial"/>
                <w:sz w:val="20"/>
                <w:szCs w:val="20"/>
              </w:rPr>
              <w:t>44%</w:t>
            </w:r>
          </w:p>
        </w:tc>
        <w:tc>
          <w:tcPr>
            <w:tcW w:w="522" w:type="dxa"/>
            <w:shd w:val="clear" w:color="auto" w:fill="FFFFFF" w:themeFill="background1"/>
            <w:vAlign w:val="center"/>
          </w:tcPr>
          <w:p w14:paraId="01E47716" w14:textId="68AAE3ED" w:rsidR="00E929FD" w:rsidRPr="002C29B8" w:rsidRDefault="00E929FD" w:rsidP="00E929F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D82E12">
              <w:rPr>
                <w:rFonts w:ascii="Arial" w:hAnsi="Arial" w:cs="Arial"/>
                <w:sz w:val="20"/>
                <w:szCs w:val="20"/>
              </w:rPr>
              <w:t>43%</w:t>
            </w:r>
          </w:p>
        </w:tc>
      </w:tr>
      <w:tr w:rsidR="00E929FD" w:rsidRPr="002C29B8" w14:paraId="6F8120B8" w14:textId="77777777" w:rsidTr="00C26BE6">
        <w:trPr>
          <w:cnfStyle w:val="000000100000" w:firstRow="0" w:lastRow="0" w:firstColumn="0" w:lastColumn="0" w:oddVBand="0" w:evenVBand="0" w:oddHBand="1" w:evenHBand="0" w:firstRowFirstColumn="0" w:firstRowLastColumn="0" w:lastRowFirstColumn="0" w:lastRowLastColumn="0"/>
          <w:trHeight w:val="552"/>
          <w:jc w:val="center"/>
        </w:trPr>
        <w:tc>
          <w:tcPr>
            <w:cnfStyle w:val="001000000000" w:firstRow="0" w:lastRow="0" w:firstColumn="1" w:lastColumn="0" w:oddVBand="0" w:evenVBand="0" w:oddHBand="0" w:evenHBand="0" w:firstRowFirstColumn="0" w:firstRowLastColumn="0" w:lastRowFirstColumn="0" w:lastRowLastColumn="0"/>
            <w:tcW w:w="1566" w:type="dxa"/>
            <w:vMerge/>
            <w:shd w:val="clear" w:color="auto" w:fill="548DD4" w:themeFill="text2" w:themeFillTint="99"/>
            <w:vAlign w:val="center"/>
          </w:tcPr>
          <w:p w14:paraId="431E6716" w14:textId="77777777" w:rsidR="00E929FD" w:rsidRPr="002C29B8" w:rsidRDefault="00E929FD" w:rsidP="00E929FD">
            <w:pPr>
              <w:jc w:val="center"/>
              <w:rPr>
                <w:rFonts w:ascii="Arial" w:hAnsi="Arial" w:cs="Arial"/>
                <w:b w:val="0"/>
              </w:rPr>
            </w:pPr>
          </w:p>
        </w:tc>
        <w:tc>
          <w:tcPr>
            <w:tcW w:w="955" w:type="dxa"/>
            <w:shd w:val="clear" w:color="auto" w:fill="8DB3E2" w:themeFill="text2" w:themeFillTint="66"/>
            <w:vAlign w:val="center"/>
          </w:tcPr>
          <w:p w14:paraId="00657DA7" w14:textId="77777777" w:rsidR="00E929FD" w:rsidRPr="0070736E" w:rsidRDefault="00E929FD" w:rsidP="00E929FD">
            <w:pPr>
              <w:jc w:val="center"/>
              <w:cnfStyle w:val="000000100000" w:firstRow="0" w:lastRow="0" w:firstColumn="0" w:lastColumn="0" w:oddVBand="0" w:evenVBand="0" w:oddHBand="1" w:evenHBand="0" w:firstRowFirstColumn="0" w:firstRowLastColumn="0" w:lastRowFirstColumn="0" w:lastRowLastColumn="0"/>
              <w:rPr>
                <w:rFonts w:ascii="Arial" w:hAnsi="Arial" w:cs="Arial"/>
                <w:b/>
                <w:bCs/>
                <w:color w:val="FFFFFF" w:themeColor="background1"/>
                <w:sz w:val="20"/>
                <w:szCs w:val="20"/>
              </w:rPr>
            </w:pPr>
            <w:r w:rsidRPr="0070736E">
              <w:rPr>
                <w:rFonts w:ascii="Arial" w:hAnsi="Arial" w:cs="Arial"/>
                <w:b/>
                <w:bCs/>
                <w:color w:val="FFFFFF" w:themeColor="background1"/>
                <w:sz w:val="20"/>
                <w:szCs w:val="20"/>
              </w:rPr>
              <w:t>DOSE 3</w:t>
            </w:r>
          </w:p>
        </w:tc>
        <w:tc>
          <w:tcPr>
            <w:tcW w:w="521" w:type="dxa"/>
            <w:shd w:val="clear" w:color="auto" w:fill="DBE5F1" w:themeFill="accent1" w:themeFillTint="33"/>
            <w:vAlign w:val="center"/>
          </w:tcPr>
          <w:p w14:paraId="50922E28" w14:textId="63B1CF0A" w:rsidR="00E929FD" w:rsidRPr="002C29B8" w:rsidRDefault="00E929FD" w:rsidP="00E929F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D82E12">
              <w:rPr>
                <w:rFonts w:ascii="Arial" w:hAnsi="Arial" w:cs="Arial"/>
                <w:sz w:val="20"/>
                <w:szCs w:val="20"/>
              </w:rPr>
              <w:t>73%</w:t>
            </w:r>
          </w:p>
        </w:tc>
        <w:tc>
          <w:tcPr>
            <w:tcW w:w="522" w:type="dxa"/>
            <w:shd w:val="clear" w:color="auto" w:fill="DBE5F1" w:themeFill="accent1" w:themeFillTint="33"/>
            <w:vAlign w:val="center"/>
          </w:tcPr>
          <w:p w14:paraId="1301A11B" w14:textId="11A8A537" w:rsidR="00E929FD" w:rsidRPr="002C29B8" w:rsidRDefault="00E929FD" w:rsidP="00E929F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D82E12">
              <w:rPr>
                <w:rFonts w:ascii="Arial" w:hAnsi="Arial" w:cs="Arial"/>
                <w:sz w:val="20"/>
                <w:szCs w:val="20"/>
              </w:rPr>
              <w:t>74%</w:t>
            </w:r>
          </w:p>
        </w:tc>
        <w:tc>
          <w:tcPr>
            <w:tcW w:w="522" w:type="dxa"/>
            <w:shd w:val="clear" w:color="auto" w:fill="DBE5F1" w:themeFill="accent1" w:themeFillTint="33"/>
            <w:vAlign w:val="center"/>
          </w:tcPr>
          <w:p w14:paraId="408E523D" w14:textId="0650447A" w:rsidR="00E929FD" w:rsidRPr="002C29B8" w:rsidRDefault="00E929FD" w:rsidP="00E929F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D82E12">
              <w:rPr>
                <w:rFonts w:ascii="Arial" w:hAnsi="Arial" w:cs="Arial"/>
                <w:sz w:val="20"/>
                <w:szCs w:val="20"/>
              </w:rPr>
              <w:t>74%</w:t>
            </w:r>
          </w:p>
        </w:tc>
        <w:tc>
          <w:tcPr>
            <w:tcW w:w="522" w:type="dxa"/>
            <w:shd w:val="clear" w:color="auto" w:fill="DBE5F1" w:themeFill="accent1" w:themeFillTint="33"/>
            <w:vAlign w:val="center"/>
          </w:tcPr>
          <w:p w14:paraId="2EF5C84D" w14:textId="7F2A9655" w:rsidR="00E929FD" w:rsidRPr="002C29B8" w:rsidRDefault="00E929FD" w:rsidP="00E929F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D82E12">
              <w:rPr>
                <w:rFonts w:ascii="Arial" w:hAnsi="Arial" w:cs="Arial"/>
                <w:sz w:val="20"/>
                <w:szCs w:val="20"/>
              </w:rPr>
              <w:t>73%</w:t>
            </w:r>
          </w:p>
        </w:tc>
        <w:tc>
          <w:tcPr>
            <w:tcW w:w="522" w:type="dxa"/>
            <w:shd w:val="clear" w:color="auto" w:fill="DBE5F1" w:themeFill="accent1" w:themeFillTint="33"/>
            <w:vAlign w:val="center"/>
          </w:tcPr>
          <w:p w14:paraId="2611F928" w14:textId="79CA992E" w:rsidR="00E929FD" w:rsidRPr="002C29B8" w:rsidRDefault="00E929FD" w:rsidP="00E929F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D82E12">
              <w:rPr>
                <w:rFonts w:ascii="Arial" w:hAnsi="Arial" w:cs="Arial"/>
                <w:sz w:val="20"/>
                <w:szCs w:val="20"/>
              </w:rPr>
              <w:t>72%</w:t>
            </w:r>
          </w:p>
        </w:tc>
        <w:tc>
          <w:tcPr>
            <w:tcW w:w="522" w:type="dxa"/>
            <w:shd w:val="clear" w:color="auto" w:fill="DBE5F1" w:themeFill="accent1" w:themeFillTint="33"/>
            <w:vAlign w:val="center"/>
          </w:tcPr>
          <w:p w14:paraId="1A903C70" w14:textId="40822995" w:rsidR="00E929FD" w:rsidRPr="002C29B8" w:rsidRDefault="00E929FD" w:rsidP="00E929F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D82E12">
              <w:rPr>
                <w:rFonts w:ascii="Arial" w:hAnsi="Arial" w:cs="Arial"/>
                <w:sz w:val="20"/>
                <w:szCs w:val="20"/>
              </w:rPr>
              <w:t>72%</w:t>
            </w:r>
          </w:p>
        </w:tc>
        <w:tc>
          <w:tcPr>
            <w:tcW w:w="522" w:type="dxa"/>
            <w:shd w:val="clear" w:color="auto" w:fill="DBE5F1" w:themeFill="accent1" w:themeFillTint="33"/>
            <w:vAlign w:val="center"/>
          </w:tcPr>
          <w:p w14:paraId="2A6B646A" w14:textId="06BC7326" w:rsidR="00E929FD" w:rsidRPr="002C29B8" w:rsidRDefault="00E929FD" w:rsidP="00E929F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D82E12">
              <w:rPr>
                <w:rFonts w:ascii="Arial" w:hAnsi="Arial" w:cs="Arial"/>
                <w:sz w:val="20"/>
                <w:szCs w:val="20"/>
              </w:rPr>
              <w:t>68%</w:t>
            </w:r>
          </w:p>
        </w:tc>
        <w:tc>
          <w:tcPr>
            <w:tcW w:w="521" w:type="dxa"/>
            <w:shd w:val="clear" w:color="auto" w:fill="DBE5F1" w:themeFill="accent1" w:themeFillTint="33"/>
            <w:vAlign w:val="center"/>
          </w:tcPr>
          <w:p w14:paraId="74F7F42C" w14:textId="60DE77A4" w:rsidR="00E929FD" w:rsidRPr="002C29B8" w:rsidRDefault="00E929FD" w:rsidP="00E929F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D82E12">
              <w:rPr>
                <w:rFonts w:ascii="Arial" w:hAnsi="Arial" w:cs="Arial"/>
                <w:sz w:val="20"/>
                <w:szCs w:val="20"/>
              </w:rPr>
              <w:t>59%</w:t>
            </w:r>
          </w:p>
        </w:tc>
        <w:tc>
          <w:tcPr>
            <w:tcW w:w="522" w:type="dxa"/>
            <w:shd w:val="clear" w:color="auto" w:fill="DBE5F1" w:themeFill="accent1" w:themeFillTint="33"/>
            <w:vAlign w:val="center"/>
          </w:tcPr>
          <w:p w14:paraId="675F28A1" w14:textId="1DCB4721" w:rsidR="00E929FD" w:rsidRPr="002C29B8" w:rsidRDefault="00E929FD" w:rsidP="00E929F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D82E12">
              <w:rPr>
                <w:rFonts w:ascii="Arial" w:hAnsi="Arial" w:cs="Arial"/>
                <w:sz w:val="20"/>
                <w:szCs w:val="20"/>
              </w:rPr>
              <w:t>39%</w:t>
            </w:r>
          </w:p>
        </w:tc>
        <w:tc>
          <w:tcPr>
            <w:tcW w:w="522" w:type="dxa"/>
            <w:shd w:val="clear" w:color="auto" w:fill="DBE5F1" w:themeFill="accent1" w:themeFillTint="33"/>
            <w:vAlign w:val="center"/>
          </w:tcPr>
          <w:p w14:paraId="48A69103" w14:textId="014788AE" w:rsidR="00E929FD" w:rsidRPr="002C29B8" w:rsidRDefault="00E929FD" w:rsidP="00E929F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D82E12">
              <w:rPr>
                <w:rFonts w:ascii="Arial" w:hAnsi="Arial" w:cs="Arial"/>
                <w:sz w:val="20"/>
                <w:szCs w:val="20"/>
              </w:rPr>
              <w:t>34%</w:t>
            </w:r>
          </w:p>
        </w:tc>
        <w:tc>
          <w:tcPr>
            <w:tcW w:w="522" w:type="dxa"/>
            <w:shd w:val="clear" w:color="auto" w:fill="DBE5F1" w:themeFill="accent1" w:themeFillTint="33"/>
            <w:vAlign w:val="center"/>
          </w:tcPr>
          <w:p w14:paraId="391608D7" w14:textId="032FDC3C" w:rsidR="00E929FD" w:rsidRPr="002C29B8" w:rsidRDefault="00E929FD" w:rsidP="00E929F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D82E12">
              <w:rPr>
                <w:rFonts w:ascii="Arial" w:hAnsi="Arial" w:cs="Arial"/>
                <w:sz w:val="20"/>
                <w:szCs w:val="20"/>
              </w:rPr>
              <w:t>33%</w:t>
            </w:r>
          </w:p>
        </w:tc>
        <w:tc>
          <w:tcPr>
            <w:tcW w:w="522" w:type="dxa"/>
            <w:shd w:val="clear" w:color="auto" w:fill="DBE5F1" w:themeFill="accent1" w:themeFillTint="33"/>
            <w:vAlign w:val="center"/>
          </w:tcPr>
          <w:p w14:paraId="1D5DF766" w14:textId="234B7309" w:rsidR="00E929FD" w:rsidRPr="002C29B8" w:rsidRDefault="00E929FD" w:rsidP="00E929F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D82E12">
              <w:rPr>
                <w:rFonts w:ascii="Arial" w:hAnsi="Arial" w:cs="Arial"/>
                <w:sz w:val="20"/>
                <w:szCs w:val="20"/>
              </w:rPr>
              <w:t>31%</w:t>
            </w:r>
          </w:p>
        </w:tc>
        <w:tc>
          <w:tcPr>
            <w:tcW w:w="522" w:type="dxa"/>
            <w:shd w:val="clear" w:color="auto" w:fill="DBE5F1" w:themeFill="accent1" w:themeFillTint="33"/>
            <w:vAlign w:val="center"/>
          </w:tcPr>
          <w:p w14:paraId="38E8CEFC" w14:textId="3D218D32" w:rsidR="00E929FD" w:rsidRPr="002C29B8" w:rsidRDefault="00E929FD" w:rsidP="00E929F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D82E12">
              <w:rPr>
                <w:rFonts w:ascii="Arial" w:hAnsi="Arial" w:cs="Arial"/>
                <w:sz w:val="20"/>
                <w:szCs w:val="20"/>
              </w:rPr>
              <w:t>31%</w:t>
            </w:r>
          </w:p>
        </w:tc>
        <w:tc>
          <w:tcPr>
            <w:tcW w:w="522" w:type="dxa"/>
            <w:shd w:val="clear" w:color="auto" w:fill="DBE5F1" w:themeFill="accent1" w:themeFillTint="33"/>
            <w:vAlign w:val="center"/>
          </w:tcPr>
          <w:p w14:paraId="56596599" w14:textId="6DBDE75C" w:rsidR="00E929FD" w:rsidRPr="002C29B8" w:rsidRDefault="00E929FD" w:rsidP="00E929F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D82E12">
              <w:rPr>
                <w:rFonts w:ascii="Arial" w:hAnsi="Arial" w:cs="Arial"/>
                <w:sz w:val="20"/>
                <w:szCs w:val="20"/>
              </w:rPr>
              <w:t>31%</w:t>
            </w:r>
          </w:p>
        </w:tc>
        <w:tc>
          <w:tcPr>
            <w:tcW w:w="522" w:type="dxa"/>
            <w:shd w:val="clear" w:color="auto" w:fill="DBE5F1" w:themeFill="accent1" w:themeFillTint="33"/>
            <w:vAlign w:val="center"/>
          </w:tcPr>
          <w:p w14:paraId="3E9B866F" w14:textId="23E8350C" w:rsidR="00E929FD" w:rsidRPr="002C29B8" w:rsidRDefault="00E929FD" w:rsidP="00E929FD">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D82E12">
              <w:rPr>
                <w:rFonts w:ascii="Arial" w:hAnsi="Arial" w:cs="Arial"/>
                <w:sz w:val="20"/>
                <w:szCs w:val="20"/>
              </w:rPr>
              <w:t>30%</w:t>
            </w:r>
          </w:p>
        </w:tc>
      </w:tr>
    </w:tbl>
    <w:p w14:paraId="47D12F39" w14:textId="77777777" w:rsidR="00E929FD" w:rsidRPr="00BA5BA7" w:rsidRDefault="00E929FD" w:rsidP="00E929FD">
      <w:pPr>
        <w:spacing w:after="120" w:line="240" w:lineRule="auto"/>
        <w:rPr>
          <w:rFonts w:ascii="Arial" w:hAnsi="Arial" w:cs="Arial"/>
          <w:u w:val="single"/>
        </w:rPr>
      </w:pPr>
    </w:p>
    <w:p w14:paraId="3F0D8BA1" w14:textId="77777777" w:rsidR="00E929FD" w:rsidRPr="00BA5BA7" w:rsidRDefault="00E929FD" w:rsidP="00E929FD">
      <w:pPr>
        <w:pStyle w:val="Heading1"/>
        <w:spacing w:before="0" w:after="120"/>
        <w:rPr>
          <w:rFonts w:ascii="Arial" w:hAnsi="Arial"/>
          <w:b w:val="0"/>
        </w:rPr>
      </w:pPr>
      <w:r w:rsidRPr="00BA5BA7">
        <w:rPr>
          <w:rFonts w:ascii="Arial" w:hAnsi="Arial"/>
          <w:b w:val="0"/>
        </w:rPr>
        <w:t>Notes:</w:t>
      </w:r>
    </w:p>
    <w:p w14:paraId="05B264E0" w14:textId="77777777" w:rsidR="00E929FD" w:rsidRPr="0070736E" w:rsidRDefault="00E929FD" w:rsidP="00E929FD">
      <w:pPr>
        <w:numPr>
          <w:ilvl w:val="0"/>
          <w:numId w:val="1"/>
        </w:numPr>
        <w:shd w:val="clear" w:color="auto" w:fill="FFFFFF"/>
        <w:tabs>
          <w:tab w:val="clear" w:pos="720"/>
          <w:tab w:val="num" w:pos="426"/>
        </w:tabs>
        <w:spacing w:after="120" w:line="276" w:lineRule="auto"/>
        <w:ind w:left="426" w:hanging="426"/>
        <w:rPr>
          <w:rFonts w:ascii="Arial" w:eastAsia="Times New Roman" w:hAnsi="Arial" w:cs="Arial"/>
          <w:b/>
          <w:bCs/>
          <w:sz w:val="20"/>
          <w:szCs w:val="20"/>
          <w:lang w:eastAsia="en-AU"/>
        </w:rPr>
      </w:pPr>
      <w:r w:rsidRPr="0070736E">
        <w:rPr>
          <w:rFonts w:ascii="Arial" w:eastAsia="Times New Roman" w:hAnsi="Arial" w:cs="Arial"/>
          <w:b/>
          <w:bCs/>
          <w:sz w:val="20"/>
          <w:szCs w:val="20"/>
          <w:lang w:eastAsia="en-AU"/>
        </w:rPr>
        <w:t>Please note coverage estimates are revised from previous reports with increases in numerator data and finalised population estimates from the ABS in denominator data. This has resulted in an overall increase in National Coverage Estimates for most ERP years.</w:t>
      </w:r>
    </w:p>
    <w:p w14:paraId="133D36FA" w14:textId="3B8A44A2" w:rsidR="00DA3035" w:rsidRPr="00E929FD" w:rsidRDefault="00DA3035" w:rsidP="00E929FD">
      <w:pPr>
        <w:numPr>
          <w:ilvl w:val="0"/>
          <w:numId w:val="1"/>
        </w:numPr>
        <w:shd w:val="clear" w:color="auto" w:fill="FFFFFF"/>
        <w:tabs>
          <w:tab w:val="clear" w:pos="720"/>
          <w:tab w:val="num" w:pos="426"/>
        </w:tabs>
        <w:spacing w:after="120" w:line="276" w:lineRule="auto"/>
        <w:ind w:left="426" w:hanging="426"/>
        <w:rPr>
          <w:rFonts w:ascii="Arial" w:eastAsia="Times New Roman" w:hAnsi="Arial" w:cs="Arial"/>
          <w:sz w:val="20"/>
          <w:szCs w:val="20"/>
          <w:lang w:eastAsia="en-AU"/>
        </w:rPr>
      </w:pPr>
      <w:r w:rsidRPr="00E929FD">
        <w:rPr>
          <w:rFonts w:ascii="Arial" w:eastAsia="Times New Roman" w:hAnsi="Arial" w:cs="Arial"/>
          <w:sz w:val="20"/>
          <w:szCs w:val="20"/>
          <w:lang w:eastAsia="en-AU"/>
        </w:rPr>
        <w:t>Data extracted from the National HPV Vaccination Program Register (HPV Register) as at 19</w:t>
      </w:r>
      <w:r w:rsidR="00E929FD">
        <w:rPr>
          <w:rFonts w:ascii="Arial" w:eastAsia="Times New Roman" w:hAnsi="Arial" w:cs="Arial"/>
          <w:sz w:val="20"/>
          <w:szCs w:val="20"/>
          <w:lang w:eastAsia="en-AU"/>
        </w:rPr>
        <w:t> January </w:t>
      </w:r>
      <w:r w:rsidRPr="00E929FD">
        <w:rPr>
          <w:rFonts w:ascii="Arial" w:eastAsia="Times New Roman" w:hAnsi="Arial" w:cs="Arial"/>
          <w:sz w:val="20"/>
          <w:szCs w:val="20"/>
          <w:lang w:eastAsia="en-AU"/>
        </w:rPr>
        <w:t>2016 and includes females vaccinated</w:t>
      </w:r>
      <w:r w:rsidR="00D82E12" w:rsidRPr="00E929FD">
        <w:rPr>
          <w:rFonts w:ascii="Arial" w:eastAsia="Times New Roman" w:hAnsi="Arial" w:cs="Arial"/>
          <w:sz w:val="20"/>
          <w:szCs w:val="20"/>
          <w:lang w:eastAsia="en-AU"/>
        </w:rPr>
        <w:t xml:space="preserve"> between </w:t>
      </w:r>
      <w:r w:rsidR="00E929FD">
        <w:rPr>
          <w:rFonts w:ascii="Arial" w:eastAsia="Times New Roman" w:hAnsi="Arial" w:cs="Arial"/>
          <w:sz w:val="20"/>
          <w:szCs w:val="20"/>
          <w:lang w:eastAsia="en-AU"/>
        </w:rPr>
        <w:t>April</w:t>
      </w:r>
      <w:r w:rsidR="00D82E12" w:rsidRPr="00E929FD">
        <w:rPr>
          <w:rFonts w:ascii="Arial" w:eastAsia="Times New Roman" w:hAnsi="Arial" w:cs="Arial"/>
          <w:sz w:val="20"/>
          <w:szCs w:val="20"/>
          <w:lang w:eastAsia="en-AU"/>
        </w:rPr>
        <w:t xml:space="preserve"> 2007 and </w:t>
      </w:r>
      <w:r w:rsidR="00E929FD">
        <w:rPr>
          <w:rFonts w:ascii="Arial" w:eastAsia="Times New Roman" w:hAnsi="Arial" w:cs="Arial"/>
          <w:sz w:val="20"/>
          <w:szCs w:val="20"/>
          <w:lang w:eastAsia="en-AU"/>
        </w:rPr>
        <w:t>December</w:t>
      </w:r>
      <w:r w:rsidR="00D82E12" w:rsidRPr="00E929FD">
        <w:rPr>
          <w:rFonts w:ascii="Arial" w:eastAsia="Times New Roman" w:hAnsi="Arial" w:cs="Arial"/>
          <w:sz w:val="20"/>
          <w:szCs w:val="20"/>
          <w:lang w:eastAsia="en-AU"/>
        </w:rPr>
        <w:t xml:space="preserve"> 2015.</w:t>
      </w:r>
    </w:p>
    <w:p w14:paraId="2E72C201" w14:textId="77777777" w:rsidR="00DA3035" w:rsidRPr="00E929FD" w:rsidRDefault="00DA3035" w:rsidP="00E929FD">
      <w:pPr>
        <w:numPr>
          <w:ilvl w:val="0"/>
          <w:numId w:val="1"/>
        </w:numPr>
        <w:shd w:val="clear" w:color="auto" w:fill="FFFFFF"/>
        <w:tabs>
          <w:tab w:val="clear" w:pos="720"/>
          <w:tab w:val="num" w:pos="426"/>
        </w:tabs>
        <w:spacing w:after="120" w:line="276" w:lineRule="auto"/>
        <w:ind w:left="426" w:hanging="426"/>
        <w:rPr>
          <w:rFonts w:ascii="Arial" w:eastAsia="Times New Roman" w:hAnsi="Arial" w:cs="Arial"/>
          <w:sz w:val="20"/>
          <w:szCs w:val="20"/>
          <w:lang w:eastAsia="en-AU"/>
        </w:rPr>
      </w:pPr>
      <w:r w:rsidRPr="00E929FD">
        <w:rPr>
          <w:rFonts w:ascii="Arial" w:eastAsia="Times New Roman" w:hAnsi="Arial" w:cs="Arial"/>
          <w:sz w:val="20"/>
          <w:szCs w:val="20"/>
          <w:lang w:eastAsia="en-AU"/>
        </w:rPr>
        <w:t>Includes doses that comply with the recommended vaccine dosage and administration as per the Australian Immunisation Handbook (up to 3 doses adminis</w:t>
      </w:r>
      <w:r w:rsidR="00D82E12" w:rsidRPr="00E929FD">
        <w:rPr>
          <w:rFonts w:ascii="Arial" w:eastAsia="Times New Roman" w:hAnsi="Arial" w:cs="Arial"/>
          <w:sz w:val="20"/>
          <w:szCs w:val="20"/>
          <w:lang w:eastAsia="en-AU"/>
        </w:rPr>
        <w:t>tered at prescribed intervals).</w:t>
      </w:r>
    </w:p>
    <w:p w14:paraId="03896826" w14:textId="77777777" w:rsidR="00DA3035" w:rsidRPr="00E929FD" w:rsidRDefault="00DA3035" w:rsidP="00E929FD">
      <w:pPr>
        <w:numPr>
          <w:ilvl w:val="0"/>
          <w:numId w:val="1"/>
        </w:numPr>
        <w:shd w:val="clear" w:color="auto" w:fill="FFFFFF"/>
        <w:tabs>
          <w:tab w:val="clear" w:pos="720"/>
          <w:tab w:val="num" w:pos="426"/>
        </w:tabs>
        <w:spacing w:after="120" w:line="276" w:lineRule="auto"/>
        <w:ind w:left="426" w:hanging="426"/>
        <w:rPr>
          <w:rFonts w:ascii="Arial" w:eastAsia="Times New Roman" w:hAnsi="Arial" w:cs="Arial"/>
          <w:sz w:val="20"/>
          <w:szCs w:val="20"/>
          <w:lang w:eastAsia="en-AU"/>
        </w:rPr>
      </w:pPr>
      <w:r w:rsidRPr="00E929FD">
        <w:rPr>
          <w:rFonts w:ascii="Arial" w:eastAsia="Times New Roman" w:hAnsi="Arial" w:cs="Arial"/>
          <w:sz w:val="20"/>
          <w:szCs w:val="20"/>
          <w:lang w:eastAsia="en-AU"/>
        </w:rPr>
        <w:t>Population is Estimated Resident Population (ERP) provided by the Australian Bureau of Statistics (ABS): 2009 Estimated Resident Population on 2012 boundaries (final), Females by Single Year of Age 10-40, for all Local Government Areas in Australia - customis</w:t>
      </w:r>
      <w:r w:rsidR="00D82E12" w:rsidRPr="00E929FD">
        <w:rPr>
          <w:rFonts w:ascii="Arial" w:eastAsia="Times New Roman" w:hAnsi="Arial" w:cs="Arial"/>
          <w:sz w:val="20"/>
          <w:szCs w:val="20"/>
          <w:lang w:eastAsia="en-AU"/>
        </w:rPr>
        <w:t>ed reports prepared April 2014.</w:t>
      </w:r>
    </w:p>
    <w:p w14:paraId="496D2DBB" w14:textId="77777777" w:rsidR="00DA3035" w:rsidRPr="00E929FD" w:rsidRDefault="00DA3035" w:rsidP="00E929FD">
      <w:pPr>
        <w:numPr>
          <w:ilvl w:val="0"/>
          <w:numId w:val="1"/>
        </w:numPr>
        <w:shd w:val="clear" w:color="auto" w:fill="FFFFFF"/>
        <w:tabs>
          <w:tab w:val="clear" w:pos="720"/>
          <w:tab w:val="num" w:pos="426"/>
        </w:tabs>
        <w:spacing w:after="120" w:line="276" w:lineRule="auto"/>
        <w:ind w:left="426" w:hanging="426"/>
        <w:rPr>
          <w:rFonts w:ascii="Arial" w:eastAsia="Times New Roman" w:hAnsi="Arial" w:cs="Arial"/>
          <w:sz w:val="20"/>
          <w:szCs w:val="20"/>
          <w:lang w:eastAsia="en-AU"/>
        </w:rPr>
      </w:pPr>
      <w:r w:rsidRPr="00E929FD">
        <w:rPr>
          <w:rFonts w:ascii="Arial" w:eastAsia="Times New Roman" w:hAnsi="Arial" w:cs="Arial"/>
          <w:sz w:val="20"/>
          <w:szCs w:val="20"/>
          <w:lang w:eastAsia="en-AU"/>
        </w:rPr>
        <w:t>Age is age as at da</w:t>
      </w:r>
      <w:r w:rsidR="00D82E12" w:rsidRPr="00E929FD">
        <w:rPr>
          <w:rFonts w:ascii="Arial" w:eastAsia="Times New Roman" w:hAnsi="Arial" w:cs="Arial"/>
          <w:sz w:val="20"/>
          <w:szCs w:val="20"/>
          <w:lang w:eastAsia="en-AU"/>
        </w:rPr>
        <w:t>te of ERP estimate (30th June).</w:t>
      </w:r>
    </w:p>
    <w:p w14:paraId="7C80340C" w14:textId="77777777" w:rsidR="00DA3035" w:rsidRPr="00E929FD" w:rsidRDefault="00DA3035" w:rsidP="00E929FD">
      <w:pPr>
        <w:numPr>
          <w:ilvl w:val="0"/>
          <w:numId w:val="1"/>
        </w:numPr>
        <w:shd w:val="clear" w:color="auto" w:fill="FFFFFF"/>
        <w:tabs>
          <w:tab w:val="clear" w:pos="720"/>
          <w:tab w:val="num" w:pos="426"/>
        </w:tabs>
        <w:spacing w:after="120" w:line="276" w:lineRule="auto"/>
        <w:ind w:left="426" w:hanging="426"/>
        <w:rPr>
          <w:rFonts w:ascii="Arial" w:eastAsia="Times New Roman" w:hAnsi="Arial" w:cs="Arial"/>
          <w:sz w:val="20"/>
          <w:szCs w:val="20"/>
          <w:lang w:eastAsia="en-AU"/>
        </w:rPr>
      </w:pPr>
      <w:r w:rsidRPr="00E929FD">
        <w:rPr>
          <w:rFonts w:ascii="Arial" w:eastAsia="Times New Roman" w:hAnsi="Arial" w:cs="Arial"/>
          <w:sz w:val="20"/>
          <w:szCs w:val="20"/>
          <w:lang w:eastAsia="en-AU"/>
        </w:rPr>
        <w:t>Coverage is calculated as doses administered and reported to the HPV Register/Estimated Resident Popula</w:t>
      </w:r>
      <w:r w:rsidR="00D82E12" w:rsidRPr="00E929FD">
        <w:rPr>
          <w:rFonts w:ascii="Arial" w:eastAsia="Times New Roman" w:hAnsi="Arial" w:cs="Arial"/>
          <w:sz w:val="20"/>
          <w:szCs w:val="20"/>
          <w:lang w:eastAsia="en-AU"/>
        </w:rPr>
        <w:t>tion expressed as a percentage.</w:t>
      </w:r>
    </w:p>
    <w:p w14:paraId="5D59BDBF" w14:textId="77777777" w:rsidR="00DA3035" w:rsidRPr="00E929FD" w:rsidRDefault="00DA3035" w:rsidP="00E929FD">
      <w:pPr>
        <w:numPr>
          <w:ilvl w:val="0"/>
          <w:numId w:val="1"/>
        </w:numPr>
        <w:shd w:val="clear" w:color="auto" w:fill="FFFFFF"/>
        <w:tabs>
          <w:tab w:val="clear" w:pos="720"/>
          <w:tab w:val="num" w:pos="426"/>
        </w:tabs>
        <w:spacing w:after="120" w:line="276" w:lineRule="auto"/>
        <w:ind w:left="426" w:hanging="426"/>
        <w:rPr>
          <w:rFonts w:ascii="Arial" w:eastAsia="Times New Roman" w:hAnsi="Arial" w:cs="Arial"/>
          <w:sz w:val="20"/>
          <w:szCs w:val="20"/>
          <w:lang w:eastAsia="en-AU"/>
        </w:rPr>
      </w:pPr>
      <w:r w:rsidRPr="00E929FD">
        <w:rPr>
          <w:rFonts w:ascii="Arial" w:eastAsia="Times New Roman" w:hAnsi="Arial" w:cs="Arial"/>
          <w:sz w:val="20"/>
          <w:szCs w:val="20"/>
          <w:lang w:eastAsia="en-AU"/>
        </w:rPr>
        <w:lastRenderedPageBreak/>
        <w:t>Excludes consumers who do not wish their details to b</w:t>
      </w:r>
      <w:r w:rsidR="00D82E12" w:rsidRPr="00E929FD">
        <w:rPr>
          <w:rFonts w:ascii="Arial" w:eastAsia="Times New Roman" w:hAnsi="Arial" w:cs="Arial"/>
          <w:sz w:val="20"/>
          <w:szCs w:val="20"/>
          <w:lang w:eastAsia="en-AU"/>
        </w:rPr>
        <w:t>e recorded on the HPV Register.</w:t>
      </w:r>
    </w:p>
    <w:p w14:paraId="56D13F4C" w14:textId="77777777" w:rsidR="00DA3035" w:rsidRPr="00E929FD" w:rsidRDefault="00DA3035" w:rsidP="00E929FD">
      <w:pPr>
        <w:numPr>
          <w:ilvl w:val="0"/>
          <w:numId w:val="1"/>
        </w:numPr>
        <w:shd w:val="clear" w:color="auto" w:fill="FFFFFF"/>
        <w:tabs>
          <w:tab w:val="clear" w:pos="720"/>
          <w:tab w:val="num" w:pos="426"/>
        </w:tabs>
        <w:spacing w:after="120" w:line="276" w:lineRule="auto"/>
        <w:ind w:left="426" w:hanging="426"/>
        <w:rPr>
          <w:rFonts w:ascii="Arial" w:eastAsia="Times New Roman" w:hAnsi="Arial" w:cs="Arial"/>
          <w:sz w:val="20"/>
          <w:szCs w:val="20"/>
          <w:lang w:eastAsia="en-AU"/>
        </w:rPr>
      </w:pPr>
      <w:r w:rsidRPr="00E929FD">
        <w:rPr>
          <w:rFonts w:ascii="Arial" w:eastAsia="Times New Roman" w:hAnsi="Arial" w:cs="Arial"/>
          <w:sz w:val="20"/>
          <w:szCs w:val="20"/>
          <w:lang w:eastAsia="en-AU"/>
        </w:rPr>
        <w:t>Dose number is calculated according to the number of doses held by the register for each person. Incoming records are matched to existing records for that person and date of administration is use</w:t>
      </w:r>
      <w:r w:rsidR="00D82E12" w:rsidRPr="00E929FD">
        <w:rPr>
          <w:rFonts w:ascii="Arial" w:eastAsia="Times New Roman" w:hAnsi="Arial" w:cs="Arial"/>
          <w:sz w:val="20"/>
          <w:szCs w:val="20"/>
          <w:lang w:eastAsia="en-AU"/>
        </w:rPr>
        <w:t>d to determine the dose number.</w:t>
      </w:r>
    </w:p>
    <w:p w14:paraId="34762A91" w14:textId="24FD55DE" w:rsidR="00DA3035" w:rsidRPr="00E929FD" w:rsidRDefault="00DA3035" w:rsidP="00E929FD">
      <w:pPr>
        <w:numPr>
          <w:ilvl w:val="0"/>
          <w:numId w:val="1"/>
        </w:numPr>
        <w:shd w:val="clear" w:color="auto" w:fill="FFFFFF"/>
        <w:tabs>
          <w:tab w:val="clear" w:pos="720"/>
          <w:tab w:val="num" w:pos="426"/>
        </w:tabs>
        <w:spacing w:after="120" w:line="276" w:lineRule="auto"/>
        <w:ind w:left="426" w:hanging="426"/>
        <w:rPr>
          <w:rFonts w:ascii="Arial" w:eastAsia="Times New Roman" w:hAnsi="Arial" w:cs="Arial"/>
          <w:sz w:val="20"/>
          <w:szCs w:val="20"/>
          <w:lang w:eastAsia="en-AU"/>
        </w:rPr>
      </w:pPr>
      <w:r w:rsidRPr="00E929FD">
        <w:rPr>
          <w:rFonts w:ascii="Arial" w:eastAsia="Times New Roman" w:hAnsi="Arial" w:cs="Arial"/>
          <w:sz w:val="20"/>
          <w:szCs w:val="20"/>
          <w:lang w:eastAsia="en-AU"/>
        </w:rPr>
        <w:t>The National HPV Vaccination Program initially provided quadrivalent HPV vaccine for all females aged 12-26 years as at mid 2007 (school program commenced April 2007 and GP/community program in July 2007) until end December 2009. From 2009 the Program offered HPV vaccination routinely to females in the first year of high school (usually at 12-13 years). From 2013, males were also offered HPV vaccination routinely in the first year of high school (age 12-13 years), with a catch-up program available for males age</w:t>
      </w:r>
      <w:r w:rsidR="00D82E12" w:rsidRPr="00E929FD">
        <w:rPr>
          <w:rFonts w:ascii="Arial" w:eastAsia="Times New Roman" w:hAnsi="Arial" w:cs="Arial"/>
          <w:sz w:val="20"/>
          <w:szCs w:val="20"/>
          <w:lang w:eastAsia="en-AU"/>
        </w:rPr>
        <w:t>d 14-15 years in 2013 and 2014.</w:t>
      </w:r>
    </w:p>
    <w:p w14:paraId="344BBBFE" w14:textId="77777777" w:rsidR="00280050" w:rsidRPr="00E929FD" w:rsidRDefault="00DA3035" w:rsidP="00E929FD">
      <w:pPr>
        <w:numPr>
          <w:ilvl w:val="0"/>
          <w:numId w:val="1"/>
        </w:numPr>
        <w:shd w:val="clear" w:color="auto" w:fill="FFFFFF"/>
        <w:tabs>
          <w:tab w:val="clear" w:pos="720"/>
          <w:tab w:val="num" w:pos="426"/>
        </w:tabs>
        <w:spacing w:after="120" w:line="276" w:lineRule="auto"/>
        <w:ind w:left="426" w:hanging="426"/>
        <w:rPr>
          <w:rFonts w:ascii="Arial" w:eastAsia="Times New Roman" w:hAnsi="Arial" w:cs="Arial"/>
          <w:sz w:val="20"/>
          <w:szCs w:val="20"/>
          <w:lang w:eastAsia="en-AU"/>
        </w:rPr>
      </w:pPr>
      <w:r w:rsidRPr="00E929FD">
        <w:rPr>
          <w:rFonts w:ascii="Arial" w:eastAsia="Times New Roman" w:hAnsi="Arial" w:cs="Arial"/>
          <w:sz w:val="20"/>
          <w:szCs w:val="20"/>
          <w:lang w:eastAsia="en-AU"/>
        </w:rPr>
        <w:t>HPV Vaccination doses administered through general practice and in other community settings may be incompletely notified to the HPV Register. The extent of under notification differs by jurisdiction, with the Northern Territory and Queensland expected to have the most complete notification, due to notification of doses via Stat</w:t>
      </w:r>
      <w:r w:rsidR="00D82E12" w:rsidRPr="00E929FD">
        <w:rPr>
          <w:rFonts w:ascii="Arial" w:eastAsia="Times New Roman" w:hAnsi="Arial" w:cs="Arial"/>
          <w:sz w:val="20"/>
          <w:szCs w:val="20"/>
          <w:lang w:eastAsia="en-AU"/>
        </w:rPr>
        <w:t>e based immunisation registers.</w:t>
      </w:r>
    </w:p>
    <w:sectPr w:rsidR="00280050" w:rsidRPr="00E929FD" w:rsidSect="00725BF5">
      <w:pgSz w:w="11906" w:h="16838"/>
      <w:pgMar w:top="709" w:right="991" w:bottom="568"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15B7AC6"/>
    <w:multiLevelType w:val="multilevel"/>
    <w:tmpl w:val="972043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D51472C"/>
    <w:multiLevelType w:val="multilevel"/>
    <w:tmpl w:val="699878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F2D1A34"/>
    <w:multiLevelType w:val="multilevel"/>
    <w:tmpl w:val="F16C6E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E6D2EC1"/>
    <w:multiLevelType w:val="multilevel"/>
    <w:tmpl w:val="997CCE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0D02836"/>
    <w:multiLevelType w:val="multilevel"/>
    <w:tmpl w:val="9FBA38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 w:numId="3">
    <w:abstractNumId w:val="3"/>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revisionView w:inkAnnotation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37AE"/>
    <w:rsid w:val="0000128D"/>
    <w:rsid w:val="0001098C"/>
    <w:rsid w:val="00053E9B"/>
    <w:rsid w:val="00065EE3"/>
    <w:rsid w:val="000867AB"/>
    <w:rsid w:val="00095859"/>
    <w:rsid w:val="000C5420"/>
    <w:rsid w:val="000D49BE"/>
    <w:rsid w:val="00174B0E"/>
    <w:rsid w:val="001B4435"/>
    <w:rsid w:val="001B69E9"/>
    <w:rsid w:val="00242419"/>
    <w:rsid w:val="00280050"/>
    <w:rsid w:val="002E51F4"/>
    <w:rsid w:val="00335A34"/>
    <w:rsid w:val="00401732"/>
    <w:rsid w:val="00427702"/>
    <w:rsid w:val="00451FFE"/>
    <w:rsid w:val="0046507C"/>
    <w:rsid w:val="004E37AE"/>
    <w:rsid w:val="005405FF"/>
    <w:rsid w:val="005431DE"/>
    <w:rsid w:val="00575F7A"/>
    <w:rsid w:val="005C26DC"/>
    <w:rsid w:val="005C333E"/>
    <w:rsid w:val="005C5F45"/>
    <w:rsid w:val="005E1659"/>
    <w:rsid w:val="00604419"/>
    <w:rsid w:val="00635D9E"/>
    <w:rsid w:val="00727CF6"/>
    <w:rsid w:val="0076169F"/>
    <w:rsid w:val="007B68E3"/>
    <w:rsid w:val="008033E5"/>
    <w:rsid w:val="00864BEE"/>
    <w:rsid w:val="00887DF3"/>
    <w:rsid w:val="008B4E8C"/>
    <w:rsid w:val="008F6809"/>
    <w:rsid w:val="00920F9F"/>
    <w:rsid w:val="00932139"/>
    <w:rsid w:val="009C0411"/>
    <w:rsid w:val="009E71C5"/>
    <w:rsid w:val="00A64A40"/>
    <w:rsid w:val="00B6437C"/>
    <w:rsid w:val="00C061D5"/>
    <w:rsid w:val="00C267B3"/>
    <w:rsid w:val="00CB2E78"/>
    <w:rsid w:val="00CC6916"/>
    <w:rsid w:val="00D417A6"/>
    <w:rsid w:val="00D81EF9"/>
    <w:rsid w:val="00D82E12"/>
    <w:rsid w:val="00DA3035"/>
    <w:rsid w:val="00E10BFC"/>
    <w:rsid w:val="00E11AA8"/>
    <w:rsid w:val="00E919AF"/>
    <w:rsid w:val="00E929FD"/>
    <w:rsid w:val="00E964CD"/>
    <w:rsid w:val="00EB6D87"/>
    <w:rsid w:val="00ED3A7B"/>
    <w:rsid w:val="00F14D6C"/>
    <w:rsid w:val="00F9558A"/>
    <w:rsid w:val="00FA1A79"/>
    <w:rsid w:val="00FB2AD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BC7ECD"/>
  <w15:chartTrackingRefBased/>
  <w15:docId w15:val="{7C54B179-E27D-4BB6-AC9E-777AFAFB67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sz w:val="24"/>
        <w:szCs w:val="24"/>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E37AE"/>
  </w:style>
  <w:style w:type="paragraph" w:styleId="Heading1">
    <w:name w:val="heading 1"/>
    <w:next w:val="Normal"/>
    <w:link w:val="Heading1Char"/>
    <w:uiPriority w:val="9"/>
    <w:qFormat/>
    <w:rsid w:val="004E37AE"/>
    <w:pPr>
      <w:keepNext/>
      <w:spacing w:before="120" w:after="60" w:line="240" w:lineRule="auto"/>
      <w:outlineLvl w:val="0"/>
    </w:pPr>
    <w:rPr>
      <w:rFonts w:asciiTheme="minorHAnsi" w:eastAsia="Times New Roman" w:hAnsiTheme="minorHAnsi" w:cs="Arial"/>
      <w:b/>
      <w:bCs/>
      <w:kern w:val="28"/>
      <w:sz w:val="28"/>
      <w:szCs w:val="32"/>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E37AE"/>
    <w:rPr>
      <w:rFonts w:asciiTheme="minorHAnsi" w:eastAsia="Times New Roman" w:hAnsiTheme="minorHAnsi" w:cs="Arial"/>
      <w:b/>
      <w:bCs/>
      <w:kern w:val="28"/>
      <w:sz w:val="28"/>
      <w:szCs w:val="32"/>
      <w:lang w:eastAsia="en-AU"/>
    </w:rPr>
  </w:style>
  <w:style w:type="paragraph" w:styleId="Title">
    <w:name w:val="Title"/>
    <w:basedOn w:val="Normal"/>
    <w:next w:val="Normal"/>
    <w:link w:val="TitleChar"/>
    <w:uiPriority w:val="10"/>
    <w:qFormat/>
    <w:rsid w:val="004E37AE"/>
    <w:pPr>
      <w:pBdr>
        <w:bottom w:val="single" w:sz="8" w:space="4" w:color="4F81BD" w:themeColor="accent1"/>
      </w:pBdr>
      <w:contextualSpacing/>
      <w:jc w:val="center"/>
    </w:pPr>
    <w:rPr>
      <w:rFonts w:eastAsiaTheme="majorEastAsia" w:cstheme="majorBidi"/>
      <w:b/>
      <w:kern w:val="28"/>
      <w:sz w:val="32"/>
      <w:szCs w:val="52"/>
    </w:rPr>
  </w:style>
  <w:style w:type="character" w:customStyle="1" w:styleId="TitleChar">
    <w:name w:val="Title Char"/>
    <w:basedOn w:val="DefaultParagraphFont"/>
    <w:link w:val="Title"/>
    <w:uiPriority w:val="10"/>
    <w:rsid w:val="004E37AE"/>
    <w:rPr>
      <w:rFonts w:eastAsiaTheme="majorEastAsia" w:cstheme="majorBidi"/>
      <w:b/>
      <w:kern w:val="28"/>
      <w:sz w:val="32"/>
      <w:szCs w:val="52"/>
    </w:rPr>
  </w:style>
  <w:style w:type="paragraph" w:styleId="Caption">
    <w:name w:val="caption"/>
    <w:basedOn w:val="Normal"/>
    <w:next w:val="Normal"/>
    <w:unhideWhenUsed/>
    <w:qFormat/>
    <w:rsid w:val="004E37AE"/>
    <w:pPr>
      <w:keepNext/>
      <w:spacing w:after="60"/>
    </w:pPr>
    <w:rPr>
      <w:b/>
      <w:bCs/>
      <w:sz w:val="20"/>
      <w:szCs w:val="18"/>
    </w:rPr>
  </w:style>
  <w:style w:type="table" w:customStyle="1" w:styleId="GridTable4-Accent51">
    <w:name w:val="Grid Table 4 - Accent 51"/>
    <w:basedOn w:val="TableNormal"/>
    <w:uiPriority w:val="49"/>
    <w:rsid w:val="004E37AE"/>
    <w:pPr>
      <w:spacing w:after="0" w:line="240" w:lineRule="auto"/>
    </w:p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TableGrid">
    <w:name w:val="Table Grid"/>
    <w:basedOn w:val="TableNormal"/>
    <w:uiPriority w:val="39"/>
    <w:rsid w:val="004E37A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PlainTable3">
    <w:name w:val="Plain Table 3"/>
    <w:basedOn w:val="TableNormal"/>
    <w:uiPriority w:val="43"/>
    <w:rsid w:val="00427702"/>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GridTable1Light-Accent6">
    <w:name w:val="Grid Table 1 Light Accent 6"/>
    <w:basedOn w:val="TableNormal"/>
    <w:uiPriority w:val="46"/>
    <w:rsid w:val="00427702"/>
    <w:pPr>
      <w:spacing w:after="0" w:line="240" w:lineRule="auto"/>
    </w:pPr>
    <w:tblPr>
      <w:tblStyleRowBandSize w:val="1"/>
      <w:tblStyleColBandSize w:val="1"/>
      <w:tblBorders>
        <w:top w:val="single" w:sz="4" w:space="0" w:color="FBD4B4" w:themeColor="accent6" w:themeTint="66"/>
        <w:left w:val="single" w:sz="4" w:space="0" w:color="FBD4B4" w:themeColor="accent6" w:themeTint="66"/>
        <w:bottom w:val="single" w:sz="4" w:space="0" w:color="FBD4B4" w:themeColor="accent6" w:themeTint="66"/>
        <w:right w:val="single" w:sz="4" w:space="0" w:color="FBD4B4" w:themeColor="accent6" w:themeTint="66"/>
        <w:insideH w:val="single" w:sz="4" w:space="0" w:color="FBD4B4" w:themeColor="accent6" w:themeTint="66"/>
        <w:insideV w:val="single" w:sz="4" w:space="0" w:color="FBD4B4" w:themeColor="accent6" w:themeTint="66"/>
      </w:tblBorders>
    </w:tblPr>
    <w:tblStylePr w:type="firstRow">
      <w:rPr>
        <w:b/>
        <w:bCs/>
      </w:rPr>
      <w:tblPr/>
      <w:tcPr>
        <w:tcBorders>
          <w:bottom w:val="single" w:sz="12" w:space="0" w:color="FABF8F" w:themeColor="accent6" w:themeTint="99"/>
        </w:tcBorders>
      </w:tcPr>
    </w:tblStylePr>
    <w:tblStylePr w:type="lastRow">
      <w:rPr>
        <w:b/>
        <w:bCs/>
      </w:rPr>
      <w:tblPr/>
      <w:tcPr>
        <w:tcBorders>
          <w:top w:val="double" w:sz="2" w:space="0" w:color="FABF8F" w:themeColor="accent6" w:themeTint="99"/>
        </w:tcBorders>
      </w:tcPr>
    </w:tblStylePr>
    <w:tblStylePr w:type="firstCol">
      <w:rPr>
        <w:b/>
        <w:bCs/>
      </w:rPr>
    </w:tblStylePr>
    <w:tblStylePr w:type="lastCol">
      <w:rPr>
        <w:b/>
        <w:bCs/>
      </w:rPr>
    </w:tblStylePr>
  </w:style>
  <w:style w:type="paragraph" w:styleId="NormalWeb">
    <w:name w:val="Normal (Web)"/>
    <w:basedOn w:val="Normal"/>
    <w:uiPriority w:val="99"/>
    <w:semiHidden/>
    <w:unhideWhenUsed/>
    <w:rsid w:val="0076169F"/>
    <w:pPr>
      <w:spacing w:before="100" w:beforeAutospacing="1" w:after="100" w:afterAutospacing="1" w:line="240" w:lineRule="auto"/>
    </w:pPr>
    <w:rPr>
      <w:rFonts w:eastAsia="Times New Roman"/>
      <w:lang w:eastAsia="en-AU"/>
    </w:rPr>
  </w:style>
  <w:style w:type="paragraph" w:styleId="BalloonText">
    <w:name w:val="Balloon Text"/>
    <w:basedOn w:val="Normal"/>
    <w:link w:val="BalloonTextChar"/>
    <w:uiPriority w:val="99"/>
    <w:semiHidden/>
    <w:unhideWhenUsed/>
    <w:rsid w:val="00C267B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267B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6526610">
      <w:bodyDiv w:val="1"/>
      <w:marLeft w:val="0"/>
      <w:marRight w:val="0"/>
      <w:marTop w:val="0"/>
      <w:marBottom w:val="0"/>
      <w:divBdr>
        <w:top w:val="none" w:sz="0" w:space="0" w:color="auto"/>
        <w:left w:val="none" w:sz="0" w:space="0" w:color="auto"/>
        <w:bottom w:val="none" w:sz="0" w:space="0" w:color="auto"/>
        <w:right w:val="none" w:sz="0" w:space="0" w:color="auto"/>
      </w:divBdr>
      <w:divsChild>
        <w:div w:id="1301811815">
          <w:marLeft w:val="0"/>
          <w:marRight w:val="0"/>
          <w:marTop w:val="0"/>
          <w:marBottom w:val="0"/>
          <w:divBdr>
            <w:top w:val="none" w:sz="0" w:space="0" w:color="auto"/>
            <w:left w:val="none" w:sz="0" w:space="0" w:color="auto"/>
            <w:bottom w:val="none" w:sz="0" w:space="0" w:color="auto"/>
            <w:right w:val="none" w:sz="0" w:space="0" w:color="auto"/>
          </w:divBdr>
        </w:div>
      </w:divsChild>
    </w:div>
    <w:div w:id="275990273">
      <w:bodyDiv w:val="1"/>
      <w:marLeft w:val="0"/>
      <w:marRight w:val="0"/>
      <w:marTop w:val="0"/>
      <w:marBottom w:val="0"/>
      <w:divBdr>
        <w:top w:val="none" w:sz="0" w:space="0" w:color="auto"/>
        <w:left w:val="none" w:sz="0" w:space="0" w:color="auto"/>
        <w:bottom w:val="none" w:sz="0" w:space="0" w:color="auto"/>
        <w:right w:val="none" w:sz="0" w:space="0" w:color="auto"/>
      </w:divBdr>
      <w:divsChild>
        <w:div w:id="927465756">
          <w:marLeft w:val="0"/>
          <w:marRight w:val="0"/>
          <w:marTop w:val="0"/>
          <w:marBottom w:val="0"/>
          <w:divBdr>
            <w:top w:val="none" w:sz="0" w:space="0" w:color="auto"/>
            <w:left w:val="none" w:sz="0" w:space="0" w:color="auto"/>
            <w:bottom w:val="none" w:sz="0" w:space="0" w:color="auto"/>
            <w:right w:val="none" w:sz="0" w:space="0" w:color="auto"/>
          </w:divBdr>
        </w:div>
      </w:divsChild>
    </w:div>
    <w:div w:id="314336087">
      <w:bodyDiv w:val="1"/>
      <w:marLeft w:val="0"/>
      <w:marRight w:val="0"/>
      <w:marTop w:val="0"/>
      <w:marBottom w:val="0"/>
      <w:divBdr>
        <w:top w:val="none" w:sz="0" w:space="0" w:color="auto"/>
        <w:left w:val="none" w:sz="0" w:space="0" w:color="auto"/>
        <w:bottom w:val="none" w:sz="0" w:space="0" w:color="auto"/>
        <w:right w:val="none" w:sz="0" w:space="0" w:color="auto"/>
      </w:divBdr>
      <w:divsChild>
        <w:div w:id="1037781408">
          <w:marLeft w:val="0"/>
          <w:marRight w:val="0"/>
          <w:marTop w:val="0"/>
          <w:marBottom w:val="0"/>
          <w:divBdr>
            <w:top w:val="none" w:sz="0" w:space="0" w:color="auto"/>
            <w:left w:val="none" w:sz="0" w:space="0" w:color="auto"/>
            <w:bottom w:val="none" w:sz="0" w:space="0" w:color="auto"/>
            <w:right w:val="none" w:sz="0" w:space="0" w:color="auto"/>
          </w:divBdr>
          <w:divsChild>
            <w:div w:id="1959605597">
              <w:marLeft w:val="0"/>
              <w:marRight w:val="0"/>
              <w:marTop w:val="0"/>
              <w:marBottom w:val="450"/>
              <w:divBdr>
                <w:top w:val="none" w:sz="0" w:space="0" w:color="auto"/>
                <w:left w:val="none" w:sz="0" w:space="0" w:color="auto"/>
                <w:bottom w:val="none" w:sz="0" w:space="0" w:color="auto"/>
                <w:right w:val="none" w:sz="0" w:space="0" w:color="auto"/>
              </w:divBdr>
              <w:divsChild>
                <w:div w:id="1919244114">
                  <w:marLeft w:val="0"/>
                  <w:marRight w:val="0"/>
                  <w:marTop w:val="0"/>
                  <w:marBottom w:val="0"/>
                  <w:divBdr>
                    <w:top w:val="none" w:sz="0" w:space="0" w:color="auto"/>
                    <w:left w:val="none" w:sz="0" w:space="0" w:color="auto"/>
                    <w:bottom w:val="none" w:sz="0" w:space="0" w:color="auto"/>
                    <w:right w:val="none" w:sz="0" w:space="0" w:color="auto"/>
                  </w:divBdr>
                  <w:divsChild>
                    <w:div w:id="1653868941">
                      <w:marLeft w:val="0"/>
                      <w:marRight w:val="0"/>
                      <w:marTop w:val="0"/>
                      <w:marBottom w:val="0"/>
                      <w:divBdr>
                        <w:top w:val="none" w:sz="0" w:space="0" w:color="auto"/>
                        <w:left w:val="none" w:sz="0" w:space="0" w:color="auto"/>
                        <w:bottom w:val="none" w:sz="0" w:space="0" w:color="auto"/>
                        <w:right w:val="none" w:sz="0" w:space="0" w:color="auto"/>
                      </w:divBdr>
                      <w:divsChild>
                        <w:div w:id="170225741">
                          <w:marLeft w:val="0"/>
                          <w:marRight w:val="0"/>
                          <w:marTop w:val="0"/>
                          <w:marBottom w:val="0"/>
                          <w:divBdr>
                            <w:top w:val="none" w:sz="0" w:space="0" w:color="auto"/>
                            <w:left w:val="none" w:sz="0" w:space="0" w:color="auto"/>
                            <w:bottom w:val="none" w:sz="0" w:space="0" w:color="auto"/>
                            <w:right w:val="none" w:sz="0" w:space="0" w:color="auto"/>
                          </w:divBdr>
                          <w:divsChild>
                            <w:div w:id="1442258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347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8338182">
      <w:bodyDiv w:val="1"/>
      <w:marLeft w:val="0"/>
      <w:marRight w:val="0"/>
      <w:marTop w:val="0"/>
      <w:marBottom w:val="0"/>
      <w:divBdr>
        <w:top w:val="none" w:sz="0" w:space="0" w:color="auto"/>
        <w:left w:val="none" w:sz="0" w:space="0" w:color="auto"/>
        <w:bottom w:val="none" w:sz="0" w:space="0" w:color="auto"/>
        <w:right w:val="none" w:sz="0" w:space="0" w:color="auto"/>
      </w:divBdr>
      <w:divsChild>
        <w:div w:id="1469908">
          <w:marLeft w:val="0"/>
          <w:marRight w:val="0"/>
          <w:marTop w:val="0"/>
          <w:marBottom w:val="0"/>
          <w:divBdr>
            <w:top w:val="none" w:sz="0" w:space="0" w:color="auto"/>
            <w:left w:val="none" w:sz="0" w:space="0" w:color="auto"/>
            <w:bottom w:val="none" w:sz="0" w:space="0" w:color="auto"/>
            <w:right w:val="none" w:sz="0" w:space="0" w:color="auto"/>
          </w:divBdr>
        </w:div>
      </w:divsChild>
    </w:div>
    <w:div w:id="416557224">
      <w:bodyDiv w:val="1"/>
      <w:marLeft w:val="0"/>
      <w:marRight w:val="0"/>
      <w:marTop w:val="0"/>
      <w:marBottom w:val="0"/>
      <w:divBdr>
        <w:top w:val="none" w:sz="0" w:space="0" w:color="auto"/>
        <w:left w:val="none" w:sz="0" w:space="0" w:color="auto"/>
        <w:bottom w:val="none" w:sz="0" w:space="0" w:color="auto"/>
        <w:right w:val="none" w:sz="0" w:space="0" w:color="auto"/>
      </w:divBdr>
      <w:divsChild>
        <w:div w:id="1984389604">
          <w:marLeft w:val="0"/>
          <w:marRight w:val="0"/>
          <w:marTop w:val="0"/>
          <w:marBottom w:val="0"/>
          <w:divBdr>
            <w:top w:val="none" w:sz="0" w:space="0" w:color="auto"/>
            <w:left w:val="none" w:sz="0" w:space="0" w:color="auto"/>
            <w:bottom w:val="none" w:sz="0" w:space="0" w:color="auto"/>
            <w:right w:val="none" w:sz="0" w:space="0" w:color="auto"/>
          </w:divBdr>
        </w:div>
      </w:divsChild>
    </w:div>
    <w:div w:id="455409790">
      <w:bodyDiv w:val="1"/>
      <w:marLeft w:val="0"/>
      <w:marRight w:val="0"/>
      <w:marTop w:val="0"/>
      <w:marBottom w:val="0"/>
      <w:divBdr>
        <w:top w:val="none" w:sz="0" w:space="0" w:color="auto"/>
        <w:left w:val="none" w:sz="0" w:space="0" w:color="auto"/>
        <w:bottom w:val="none" w:sz="0" w:space="0" w:color="auto"/>
        <w:right w:val="none" w:sz="0" w:space="0" w:color="auto"/>
      </w:divBdr>
      <w:divsChild>
        <w:div w:id="1507594956">
          <w:marLeft w:val="0"/>
          <w:marRight w:val="0"/>
          <w:marTop w:val="0"/>
          <w:marBottom w:val="0"/>
          <w:divBdr>
            <w:top w:val="none" w:sz="0" w:space="0" w:color="auto"/>
            <w:left w:val="none" w:sz="0" w:space="0" w:color="auto"/>
            <w:bottom w:val="none" w:sz="0" w:space="0" w:color="auto"/>
            <w:right w:val="none" w:sz="0" w:space="0" w:color="auto"/>
          </w:divBdr>
        </w:div>
      </w:divsChild>
    </w:div>
    <w:div w:id="586227250">
      <w:bodyDiv w:val="1"/>
      <w:marLeft w:val="0"/>
      <w:marRight w:val="0"/>
      <w:marTop w:val="0"/>
      <w:marBottom w:val="0"/>
      <w:divBdr>
        <w:top w:val="none" w:sz="0" w:space="0" w:color="auto"/>
        <w:left w:val="none" w:sz="0" w:space="0" w:color="auto"/>
        <w:bottom w:val="none" w:sz="0" w:space="0" w:color="auto"/>
        <w:right w:val="none" w:sz="0" w:space="0" w:color="auto"/>
      </w:divBdr>
      <w:divsChild>
        <w:div w:id="486480125">
          <w:marLeft w:val="0"/>
          <w:marRight w:val="0"/>
          <w:marTop w:val="0"/>
          <w:marBottom w:val="0"/>
          <w:divBdr>
            <w:top w:val="none" w:sz="0" w:space="0" w:color="auto"/>
            <w:left w:val="none" w:sz="0" w:space="0" w:color="auto"/>
            <w:bottom w:val="none" w:sz="0" w:space="0" w:color="auto"/>
            <w:right w:val="none" w:sz="0" w:space="0" w:color="auto"/>
          </w:divBdr>
        </w:div>
      </w:divsChild>
    </w:div>
    <w:div w:id="815030570">
      <w:bodyDiv w:val="1"/>
      <w:marLeft w:val="0"/>
      <w:marRight w:val="0"/>
      <w:marTop w:val="0"/>
      <w:marBottom w:val="0"/>
      <w:divBdr>
        <w:top w:val="none" w:sz="0" w:space="0" w:color="auto"/>
        <w:left w:val="none" w:sz="0" w:space="0" w:color="auto"/>
        <w:bottom w:val="none" w:sz="0" w:space="0" w:color="auto"/>
        <w:right w:val="none" w:sz="0" w:space="0" w:color="auto"/>
      </w:divBdr>
      <w:divsChild>
        <w:div w:id="978993331">
          <w:marLeft w:val="0"/>
          <w:marRight w:val="0"/>
          <w:marTop w:val="0"/>
          <w:marBottom w:val="0"/>
          <w:divBdr>
            <w:top w:val="none" w:sz="0" w:space="0" w:color="auto"/>
            <w:left w:val="none" w:sz="0" w:space="0" w:color="auto"/>
            <w:bottom w:val="none" w:sz="0" w:space="0" w:color="auto"/>
            <w:right w:val="none" w:sz="0" w:space="0" w:color="auto"/>
          </w:divBdr>
        </w:div>
      </w:divsChild>
    </w:div>
    <w:div w:id="1224675304">
      <w:bodyDiv w:val="1"/>
      <w:marLeft w:val="0"/>
      <w:marRight w:val="0"/>
      <w:marTop w:val="0"/>
      <w:marBottom w:val="0"/>
      <w:divBdr>
        <w:top w:val="none" w:sz="0" w:space="0" w:color="auto"/>
        <w:left w:val="none" w:sz="0" w:space="0" w:color="auto"/>
        <w:bottom w:val="none" w:sz="0" w:space="0" w:color="auto"/>
        <w:right w:val="none" w:sz="0" w:space="0" w:color="auto"/>
      </w:divBdr>
      <w:divsChild>
        <w:div w:id="999430888">
          <w:marLeft w:val="0"/>
          <w:marRight w:val="0"/>
          <w:marTop w:val="0"/>
          <w:marBottom w:val="0"/>
          <w:divBdr>
            <w:top w:val="none" w:sz="0" w:space="0" w:color="auto"/>
            <w:left w:val="none" w:sz="0" w:space="0" w:color="auto"/>
            <w:bottom w:val="none" w:sz="0" w:space="0" w:color="auto"/>
            <w:right w:val="none" w:sz="0" w:space="0" w:color="auto"/>
          </w:divBdr>
        </w:div>
      </w:divsChild>
    </w:div>
    <w:div w:id="1460877704">
      <w:bodyDiv w:val="1"/>
      <w:marLeft w:val="0"/>
      <w:marRight w:val="0"/>
      <w:marTop w:val="0"/>
      <w:marBottom w:val="0"/>
      <w:divBdr>
        <w:top w:val="none" w:sz="0" w:space="0" w:color="auto"/>
        <w:left w:val="none" w:sz="0" w:space="0" w:color="auto"/>
        <w:bottom w:val="none" w:sz="0" w:space="0" w:color="auto"/>
        <w:right w:val="none" w:sz="0" w:space="0" w:color="auto"/>
      </w:divBdr>
      <w:divsChild>
        <w:div w:id="490604110">
          <w:marLeft w:val="0"/>
          <w:marRight w:val="0"/>
          <w:marTop w:val="0"/>
          <w:marBottom w:val="0"/>
          <w:divBdr>
            <w:top w:val="none" w:sz="0" w:space="0" w:color="auto"/>
            <w:left w:val="none" w:sz="0" w:space="0" w:color="auto"/>
            <w:bottom w:val="none" w:sz="0" w:space="0" w:color="auto"/>
            <w:right w:val="none" w:sz="0" w:space="0" w:color="auto"/>
          </w:divBdr>
        </w:div>
      </w:divsChild>
    </w:div>
    <w:div w:id="1513101901">
      <w:bodyDiv w:val="1"/>
      <w:marLeft w:val="0"/>
      <w:marRight w:val="0"/>
      <w:marTop w:val="0"/>
      <w:marBottom w:val="0"/>
      <w:divBdr>
        <w:top w:val="none" w:sz="0" w:space="0" w:color="auto"/>
        <w:left w:val="none" w:sz="0" w:space="0" w:color="auto"/>
        <w:bottom w:val="none" w:sz="0" w:space="0" w:color="auto"/>
        <w:right w:val="none" w:sz="0" w:space="0" w:color="auto"/>
      </w:divBdr>
      <w:divsChild>
        <w:div w:id="986785653">
          <w:marLeft w:val="0"/>
          <w:marRight w:val="0"/>
          <w:marTop w:val="0"/>
          <w:marBottom w:val="0"/>
          <w:divBdr>
            <w:top w:val="none" w:sz="0" w:space="0" w:color="auto"/>
            <w:left w:val="none" w:sz="0" w:space="0" w:color="auto"/>
            <w:bottom w:val="none" w:sz="0" w:space="0" w:color="auto"/>
            <w:right w:val="none" w:sz="0" w:space="0" w:color="auto"/>
          </w:divBdr>
        </w:div>
      </w:divsChild>
    </w:div>
    <w:div w:id="1591546794">
      <w:bodyDiv w:val="1"/>
      <w:marLeft w:val="0"/>
      <w:marRight w:val="0"/>
      <w:marTop w:val="0"/>
      <w:marBottom w:val="0"/>
      <w:divBdr>
        <w:top w:val="none" w:sz="0" w:space="0" w:color="auto"/>
        <w:left w:val="none" w:sz="0" w:space="0" w:color="auto"/>
        <w:bottom w:val="none" w:sz="0" w:space="0" w:color="auto"/>
        <w:right w:val="none" w:sz="0" w:space="0" w:color="auto"/>
      </w:divBdr>
      <w:divsChild>
        <w:div w:id="1776905720">
          <w:marLeft w:val="0"/>
          <w:marRight w:val="0"/>
          <w:marTop w:val="0"/>
          <w:marBottom w:val="0"/>
          <w:divBdr>
            <w:top w:val="none" w:sz="0" w:space="0" w:color="auto"/>
            <w:left w:val="none" w:sz="0" w:space="0" w:color="auto"/>
            <w:bottom w:val="none" w:sz="0" w:space="0" w:color="auto"/>
            <w:right w:val="none" w:sz="0" w:space="0" w:color="auto"/>
          </w:divBdr>
        </w:div>
      </w:divsChild>
    </w:div>
    <w:div w:id="1693652345">
      <w:bodyDiv w:val="1"/>
      <w:marLeft w:val="0"/>
      <w:marRight w:val="0"/>
      <w:marTop w:val="0"/>
      <w:marBottom w:val="0"/>
      <w:divBdr>
        <w:top w:val="none" w:sz="0" w:space="0" w:color="auto"/>
        <w:left w:val="none" w:sz="0" w:space="0" w:color="auto"/>
        <w:bottom w:val="none" w:sz="0" w:space="0" w:color="auto"/>
        <w:right w:val="none" w:sz="0" w:space="0" w:color="auto"/>
      </w:divBdr>
      <w:divsChild>
        <w:div w:id="221526883">
          <w:marLeft w:val="0"/>
          <w:marRight w:val="0"/>
          <w:marTop w:val="0"/>
          <w:marBottom w:val="0"/>
          <w:divBdr>
            <w:top w:val="none" w:sz="0" w:space="0" w:color="auto"/>
            <w:left w:val="none" w:sz="0" w:space="0" w:color="auto"/>
            <w:bottom w:val="none" w:sz="0" w:space="0" w:color="auto"/>
            <w:right w:val="none" w:sz="0" w:space="0" w:color="auto"/>
          </w:divBdr>
        </w:div>
      </w:divsChild>
    </w:div>
    <w:div w:id="1706717145">
      <w:bodyDiv w:val="1"/>
      <w:marLeft w:val="0"/>
      <w:marRight w:val="0"/>
      <w:marTop w:val="0"/>
      <w:marBottom w:val="0"/>
      <w:divBdr>
        <w:top w:val="none" w:sz="0" w:space="0" w:color="auto"/>
        <w:left w:val="none" w:sz="0" w:space="0" w:color="auto"/>
        <w:bottom w:val="none" w:sz="0" w:space="0" w:color="auto"/>
        <w:right w:val="none" w:sz="0" w:space="0" w:color="auto"/>
      </w:divBdr>
      <w:divsChild>
        <w:div w:id="1720662526">
          <w:marLeft w:val="0"/>
          <w:marRight w:val="0"/>
          <w:marTop w:val="0"/>
          <w:marBottom w:val="0"/>
          <w:divBdr>
            <w:top w:val="none" w:sz="0" w:space="0" w:color="auto"/>
            <w:left w:val="none" w:sz="0" w:space="0" w:color="auto"/>
            <w:bottom w:val="none" w:sz="0" w:space="0" w:color="auto"/>
            <w:right w:val="none" w:sz="0" w:space="0" w:color="auto"/>
          </w:divBdr>
        </w:div>
      </w:divsChild>
    </w:div>
    <w:div w:id="1826897764">
      <w:bodyDiv w:val="1"/>
      <w:marLeft w:val="0"/>
      <w:marRight w:val="0"/>
      <w:marTop w:val="0"/>
      <w:marBottom w:val="0"/>
      <w:divBdr>
        <w:top w:val="none" w:sz="0" w:space="0" w:color="auto"/>
        <w:left w:val="none" w:sz="0" w:space="0" w:color="auto"/>
        <w:bottom w:val="none" w:sz="0" w:space="0" w:color="auto"/>
        <w:right w:val="none" w:sz="0" w:space="0" w:color="auto"/>
      </w:divBdr>
      <w:divsChild>
        <w:div w:id="1371108359">
          <w:marLeft w:val="0"/>
          <w:marRight w:val="0"/>
          <w:marTop w:val="0"/>
          <w:marBottom w:val="0"/>
          <w:divBdr>
            <w:top w:val="none" w:sz="0" w:space="0" w:color="auto"/>
            <w:left w:val="none" w:sz="0" w:space="0" w:color="auto"/>
            <w:bottom w:val="none" w:sz="0" w:space="0" w:color="auto"/>
            <w:right w:val="none" w:sz="0" w:space="0" w:color="auto"/>
          </w:divBdr>
        </w:div>
      </w:divsChild>
    </w:div>
    <w:div w:id="1910001109">
      <w:bodyDiv w:val="1"/>
      <w:marLeft w:val="0"/>
      <w:marRight w:val="0"/>
      <w:marTop w:val="0"/>
      <w:marBottom w:val="0"/>
      <w:divBdr>
        <w:top w:val="none" w:sz="0" w:space="0" w:color="auto"/>
        <w:left w:val="none" w:sz="0" w:space="0" w:color="auto"/>
        <w:bottom w:val="none" w:sz="0" w:space="0" w:color="auto"/>
        <w:right w:val="none" w:sz="0" w:space="0" w:color="auto"/>
      </w:divBdr>
      <w:divsChild>
        <w:div w:id="1593857473">
          <w:marLeft w:val="0"/>
          <w:marRight w:val="0"/>
          <w:marTop w:val="0"/>
          <w:marBottom w:val="0"/>
          <w:divBdr>
            <w:top w:val="none" w:sz="0" w:space="0" w:color="auto"/>
            <w:left w:val="none" w:sz="0" w:space="0" w:color="auto"/>
            <w:bottom w:val="none" w:sz="0" w:space="0" w:color="auto"/>
            <w:right w:val="none" w:sz="0" w:space="0" w:color="auto"/>
          </w:divBdr>
        </w:div>
      </w:divsChild>
    </w:div>
    <w:div w:id="2050912513">
      <w:bodyDiv w:val="1"/>
      <w:marLeft w:val="0"/>
      <w:marRight w:val="0"/>
      <w:marTop w:val="0"/>
      <w:marBottom w:val="0"/>
      <w:divBdr>
        <w:top w:val="none" w:sz="0" w:space="0" w:color="auto"/>
        <w:left w:val="none" w:sz="0" w:space="0" w:color="auto"/>
        <w:bottom w:val="none" w:sz="0" w:space="0" w:color="auto"/>
        <w:right w:val="none" w:sz="0" w:space="0" w:color="auto"/>
      </w:divBdr>
      <w:divsChild>
        <w:div w:id="1718042441">
          <w:marLeft w:val="0"/>
          <w:marRight w:val="0"/>
          <w:marTop w:val="0"/>
          <w:marBottom w:val="0"/>
          <w:divBdr>
            <w:top w:val="none" w:sz="0" w:space="0" w:color="auto"/>
            <w:left w:val="none" w:sz="0" w:space="0" w:color="auto"/>
            <w:bottom w:val="none" w:sz="0" w:space="0" w:color="auto"/>
            <w:right w:val="none" w:sz="0" w:space="0" w:color="auto"/>
          </w:divBdr>
        </w:div>
      </w:divsChild>
    </w:div>
    <w:div w:id="2078933274">
      <w:bodyDiv w:val="1"/>
      <w:marLeft w:val="0"/>
      <w:marRight w:val="0"/>
      <w:marTop w:val="0"/>
      <w:marBottom w:val="0"/>
      <w:divBdr>
        <w:top w:val="none" w:sz="0" w:space="0" w:color="auto"/>
        <w:left w:val="none" w:sz="0" w:space="0" w:color="auto"/>
        <w:bottom w:val="none" w:sz="0" w:space="0" w:color="auto"/>
        <w:right w:val="none" w:sz="0" w:space="0" w:color="auto"/>
      </w:divBdr>
      <w:divsChild>
        <w:div w:id="198693322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chart" Target="charts/chart1.xml"/><Relationship Id="rId4" Type="http://schemas.openxmlformats.org/officeDocument/2006/relationships/webSettings" Target="webSettings.xml"/></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AU"/>
          </a:p>
        </c:rich>
      </c:tx>
      <c:layout/>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Sheet1!$B$1</c:f>
              <c:strCache>
                <c:ptCount val="1"/>
                <c:pt idx="0">
                  <c:v>Dose 1</c:v>
                </c:pt>
              </c:strCache>
            </c:strRef>
          </c:tx>
          <c:spPr>
            <a:solidFill>
              <a:schemeClr val="accent1"/>
            </a:solidFill>
            <a:ln>
              <a:noFill/>
            </a:ln>
            <a:effectLst/>
          </c:spPr>
          <c:invertIfNegative val="0"/>
          <c:cat>
            <c:strRef>
              <c:f>Sheet1!$A$2:$A$16</c:f>
              <c:strCache>
                <c:ptCount val="15"/>
                <c:pt idx="0">
                  <c:v>12</c:v>
                </c:pt>
                <c:pt idx="1">
                  <c:v>13</c:v>
                </c:pt>
                <c:pt idx="2">
                  <c:v>14</c:v>
                </c:pt>
                <c:pt idx="3">
                  <c:v>15</c:v>
                </c:pt>
                <c:pt idx="4">
                  <c:v>16</c:v>
                </c:pt>
                <c:pt idx="5">
                  <c:v>17</c:v>
                </c:pt>
                <c:pt idx="6">
                  <c:v>18</c:v>
                </c:pt>
                <c:pt idx="7">
                  <c:v>19</c:v>
                </c:pt>
                <c:pt idx="8">
                  <c:v>20</c:v>
                </c:pt>
                <c:pt idx="9">
                  <c:v>21</c:v>
                </c:pt>
                <c:pt idx="10">
                  <c:v>22</c:v>
                </c:pt>
                <c:pt idx="11">
                  <c:v>23</c:v>
                </c:pt>
                <c:pt idx="12">
                  <c:v>24</c:v>
                </c:pt>
                <c:pt idx="13">
                  <c:v>25</c:v>
                </c:pt>
                <c:pt idx="14">
                  <c:v>26</c:v>
                </c:pt>
              </c:strCache>
            </c:strRef>
          </c:cat>
          <c:val>
            <c:numRef>
              <c:f>Sheet1!$B$2:$B$16</c:f>
              <c:numCache>
                <c:formatCode>0%</c:formatCode>
                <c:ptCount val="15"/>
                <c:pt idx="0">
                  <c:v>0.84</c:v>
                </c:pt>
                <c:pt idx="1">
                  <c:v>0.85</c:v>
                </c:pt>
                <c:pt idx="2">
                  <c:v>0.84</c:v>
                </c:pt>
                <c:pt idx="3">
                  <c:v>0.84</c:v>
                </c:pt>
                <c:pt idx="4">
                  <c:v>0.84</c:v>
                </c:pt>
                <c:pt idx="5">
                  <c:v>0.84</c:v>
                </c:pt>
                <c:pt idx="6">
                  <c:v>0.81</c:v>
                </c:pt>
                <c:pt idx="7">
                  <c:v>0.75</c:v>
                </c:pt>
                <c:pt idx="8">
                  <c:v>0.62</c:v>
                </c:pt>
                <c:pt idx="9">
                  <c:v>0.57999999999999996</c:v>
                </c:pt>
                <c:pt idx="10">
                  <c:v>0.56999999999999995</c:v>
                </c:pt>
                <c:pt idx="11">
                  <c:v>0.55000000000000004</c:v>
                </c:pt>
                <c:pt idx="12">
                  <c:v>0.54</c:v>
                </c:pt>
                <c:pt idx="13">
                  <c:v>0.54</c:v>
                </c:pt>
                <c:pt idx="14">
                  <c:v>0.53</c:v>
                </c:pt>
              </c:numCache>
            </c:numRef>
          </c:val>
          <c:extLst>
            <c:ext xmlns:c16="http://schemas.microsoft.com/office/drawing/2014/chart" uri="{C3380CC4-5D6E-409C-BE32-E72D297353CC}">
              <c16:uniqueId val="{00000000-9B19-442D-90EF-22098709A4E6}"/>
            </c:ext>
          </c:extLst>
        </c:ser>
        <c:ser>
          <c:idx val="1"/>
          <c:order val="1"/>
          <c:tx>
            <c:strRef>
              <c:f>Sheet1!$C$1</c:f>
              <c:strCache>
                <c:ptCount val="1"/>
                <c:pt idx="0">
                  <c:v>Dose 2</c:v>
                </c:pt>
              </c:strCache>
            </c:strRef>
          </c:tx>
          <c:spPr>
            <a:solidFill>
              <a:schemeClr val="accent2"/>
            </a:solidFill>
            <a:ln>
              <a:noFill/>
            </a:ln>
            <a:effectLst/>
          </c:spPr>
          <c:invertIfNegative val="0"/>
          <c:cat>
            <c:strRef>
              <c:f>Sheet1!$A$2:$A$16</c:f>
              <c:strCache>
                <c:ptCount val="15"/>
                <c:pt idx="0">
                  <c:v>12</c:v>
                </c:pt>
                <c:pt idx="1">
                  <c:v>13</c:v>
                </c:pt>
                <c:pt idx="2">
                  <c:v>14</c:v>
                </c:pt>
                <c:pt idx="3">
                  <c:v>15</c:v>
                </c:pt>
                <c:pt idx="4">
                  <c:v>16</c:v>
                </c:pt>
                <c:pt idx="5">
                  <c:v>17</c:v>
                </c:pt>
                <c:pt idx="6">
                  <c:v>18</c:v>
                </c:pt>
                <c:pt idx="7">
                  <c:v>19</c:v>
                </c:pt>
                <c:pt idx="8">
                  <c:v>20</c:v>
                </c:pt>
                <c:pt idx="9">
                  <c:v>21</c:v>
                </c:pt>
                <c:pt idx="10">
                  <c:v>22</c:v>
                </c:pt>
                <c:pt idx="11">
                  <c:v>23</c:v>
                </c:pt>
                <c:pt idx="12">
                  <c:v>24</c:v>
                </c:pt>
                <c:pt idx="13">
                  <c:v>25</c:v>
                </c:pt>
                <c:pt idx="14">
                  <c:v>26</c:v>
                </c:pt>
              </c:strCache>
            </c:strRef>
          </c:cat>
          <c:val>
            <c:numRef>
              <c:f>Sheet1!$C$2:$C$16</c:f>
              <c:numCache>
                <c:formatCode>0%</c:formatCode>
                <c:ptCount val="15"/>
                <c:pt idx="0">
                  <c:v>0.81</c:v>
                </c:pt>
                <c:pt idx="1">
                  <c:v>0.81</c:v>
                </c:pt>
                <c:pt idx="2">
                  <c:v>0.8</c:v>
                </c:pt>
                <c:pt idx="3">
                  <c:v>0.8</c:v>
                </c:pt>
                <c:pt idx="4">
                  <c:v>0.8</c:v>
                </c:pt>
                <c:pt idx="5">
                  <c:v>0.8</c:v>
                </c:pt>
                <c:pt idx="6">
                  <c:v>0.76</c:v>
                </c:pt>
                <c:pt idx="7">
                  <c:v>0.68</c:v>
                </c:pt>
                <c:pt idx="8">
                  <c:v>0.52</c:v>
                </c:pt>
                <c:pt idx="9">
                  <c:v>0.47</c:v>
                </c:pt>
                <c:pt idx="10">
                  <c:v>0.46</c:v>
                </c:pt>
                <c:pt idx="11">
                  <c:v>0.45</c:v>
                </c:pt>
                <c:pt idx="12">
                  <c:v>0.44</c:v>
                </c:pt>
                <c:pt idx="13">
                  <c:v>0.44</c:v>
                </c:pt>
                <c:pt idx="14">
                  <c:v>0.43</c:v>
                </c:pt>
              </c:numCache>
            </c:numRef>
          </c:val>
          <c:extLst>
            <c:ext xmlns:c16="http://schemas.microsoft.com/office/drawing/2014/chart" uri="{C3380CC4-5D6E-409C-BE32-E72D297353CC}">
              <c16:uniqueId val="{00000001-9B19-442D-90EF-22098709A4E6}"/>
            </c:ext>
          </c:extLst>
        </c:ser>
        <c:ser>
          <c:idx val="2"/>
          <c:order val="2"/>
          <c:tx>
            <c:strRef>
              <c:f>Sheet1!$D$1</c:f>
              <c:strCache>
                <c:ptCount val="1"/>
                <c:pt idx="0">
                  <c:v>Dose 3</c:v>
                </c:pt>
              </c:strCache>
            </c:strRef>
          </c:tx>
          <c:spPr>
            <a:solidFill>
              <a:schemeClr val="accent3"/>
            </a:solidFill>
            <a:ln>
              <a:noFill/>
            </a:ln>
            <a:effectLst/>
          </c:spPr>
          <c:invertIfNegative val="0"/>
          <c:cat>
            <c:strRef>
              <c:f>Sheet1!$A$2:$A$16</c:f>
              <c:strCache>
                <c:ptCount val="15"/>
                <c:pt idx="0">
                  <c:v>12</c:v>
                </c:pt>
                <c:pt idx="1">
                  <c:v>13</c:v>
                </c:pt>
                <c:pt idx="2">
                  <c:v>14</c:v>
                </c:pt>
                <c:pt idx="3">
                  <c:v>15</c:v>
                </c:pt>
                <c:pt idx="4">
                  <c:v>16</c:v>
                </c:pt>
                <c:pt idx="5">
                  <c:v>17</c:v>
                </c:pt>
                <c:pt idx="6">
                  <c:v>18</c:v>
                </c:pt>
                <c:pt idx="7">
                  <c:v>19</c:v>
                </c:pt>
                <c:pt idx="8">
                  <c:v>20</c:v>
                </c:pt>
                <c:pt idx="9">
                  <c:v>21</c:v>
                </c:pt>
                <c:pt idx="10">
                  <c:v>22</c:v>
                </c:pt>
                <c:pt idx="11">
                  <c:v>23</c:v>
                </c:pt>
                <c:pt idx="12">
                  <c:v>24</c:v>
                </c:pt>
                <c:pt idx="13">
                  <c:v>25</c:v>
                </c:pt>
                <c:pt idx="14">
                  <c:v>26</c:v>
                </c:pt>
              </c:strCache>
            </c:strRef>
          </c:cat>
          <c:val>
            <c:numRef>
              <c:f>Sheet1!$D$2:$D$16</c:f>
              <c:numCache>
                <c:formatCode>0%</c:formatCode>
                <c:ptCount val="15"/>
                <c:pt idx="0">
                  <c:v>0.73</c:v>
                </c:pt>
                <c:pt idx="1">
                  <c:v>0.74</c:v>
                </c:pt>
                <c:pt idx="2">
                  <c:v>0.74</c:v>
                </c:pt>
                <c:pt idx="3">
                  <c:v>0.73</c:v>
                </c:pt>
                <c:pt idx="4">
                  <c:v>0.72</c:v>
                </c:pt>
                <c:pt idx="5">
                  <c:v>0.72</c:v>
                </c:pt>
                <c:pt idx="6">
                  <c:v>0.68</c:v>
                </c:pt>
                <c:pt idx="7">
                  <c:v>0.59</c:v>
                </c:pt>
                <c:pt idx="8">
                  <c:v>0.39</c:v>
                </c:pt>
                <c:pt idx="9">
                  <c:v>0.34</c:v>
                </c:pt>
                <c:pt idx="10">
                  <c:v>0.33</c:v>
                </c:pt>
                <c:pt idx="11">
                  <c:v>0.31</c:v>
                </c:pt>
                <c:pt idx="12">
                  <c:v>0.31</c:v>
                </c:pt>
                <c:pt idx="13">
                  <c:v>0.31</c:v>
                </c:pt>
                <c:pt idx="14">
                  <c:v>0.3</c:v>
                </c:pt>
              </c:numCache>
            </c:numRef>
          </c:val>
          <c:extLst>
            <c:ext xmlns:c16="http://schemas.microsoft.com/office/drawing/2014/chart" uri="{C3380CC4-5D6E-409C-BE32-E72D297353CC}">
              <c16:uniqueId val="{00000002-9B19-442D-90EF-22098709A4E6}"/>
            </c:ext>
          </c:extLst>
        </c:ser>
        <c:dLbls>
          <c:showLegendKey val="0"/>
          <c:showVal val="0"/>
          <c:showCatName val="0"/>
          <c:showSerName val="0"/>
          <c:showPercent val="0"/>
          <c:showBubbleSize val="0"/>
        </c:dLbls>
        <c:gapWidth val="219"/>
        <c:overlap val="-27"/>
        <c:axId val="145281672"/>
        <c:axId val="145279376"/>
      </c:barChart>
      <c:catAx>
        <c:axId val="145281672"/>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Age in Years as at 2009</a:t>
                </a:r>
                <a:endParaRPr lang="en-AU" baseline="0"/>
              </a:p>
            </c:rich>
          </c:tx>
          <c:layout/>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45279376"/>
        <c:crosses val="autoZero"/>
        <c:auto val="1"/>
        <c:lblAlgn val="ctr"/>
        <c:lblOffset val="100"/>
        <c:noMultiLvlLbl val="0"/>
      </c:catAx>
      <c:valAx>
        <c:axId val="145279376"/>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Per cent immunised</a:t>
                </a:r>
              </a:p>
            </c:rich>
          </c:tx>
          <c:layout/>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45281672"/>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2007-2010">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440</Words>
  <Characters>2508</Characters>
  <Application>Microsoft Office Word</Application>
  <DocSecurity>4</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Department of Health</Company>
  <LinksUpToDate>false</LinksUpToDate>
  <CharactersWithSpaces>2943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Franklin, Ancel</dc:creator>
  <cp:keywords/>
  <dc:description/>
  <cp:lastModifiedBy>RYAN, Kimberley</cp:lastModifiedBy>
  <cp:revision>2</cp:revision>
  <dcterms:created xsi:type="dcterms:W3CDTF">2019-12-24T00:27:00Z</dcterms:created>
  <dcterms:modified xsi:type="dcterms:W3CDTF">2019-12-24T00:27:00Z</dcterms:modified>
</cp:coreProperties>
</file>