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FB11E" w14:textId="77777777" w:rsidR="004E37AE" w:rsidRPr="002C29B8" w:rsidRDefault="00920F9F" w:rsidP="002C29B8">
      <w:pPr>
        <w:pStyle w:val="Title"/>
        <w:jc w:val="left"/>
        <w:rPr>
          <w:rFonts w:ascii="Arial" w:hAnsi="Arial" w:cs="Arial"/>
          <w:b w:val="0"/>
        </w:rPr>
      </w:pPr>
      <w:bookmarkStart w:id="0" w:name="_GoBack"/>
      <w:bookmarkEnd w:id="0"/>
      <w:r w:rsidRPr="002C29B8">
        <w:rPr>
          <w:rFonts w:ascii="Arial" w:hAnsi="Arial" w:cs="Arial"/>
          <w:b w:val="0"/>
          <w:lang w:val="en"/>
        </w:rPr>
        <w:t>HPV vaccination coverage (Australia) for</w:t>
      </w:r>
      <w:r w:rsidR="009C0411" w:rsidRPr="002C29B8">
        <w:rPr>
          <w:rFonts w:ascii="Arial" w:hAnsi="Arial" w:cs="Arial"/>
          <w:b w:val="0"/>
          <w:lang w:val="en"/>
        </w:rPr>
        <w:t xml:space="preserve"> </w:t>
      </w:r>
      <w:r w:rsidR="00E964CD" w:rsidRPr="002C29B8">
        <w:rPr>
          <w:rFonts w:ascii="Arial" w:hAnsi="Arial" w:cs="Arial"/>
          <w:b w:val="0"/>
          <w:lang w:val="en"/>
        </w:rPr>
        <w:t xml:space="preserve">females by </w:t>
      </w:r>
      <w:r w:rsidR="002C29B8">
        <w:rPr>
          <w:rFonts w:ascii="Arial" w:hAnsi="Arial" w:cs="Arial"/>
          <w:b w:val="0"/>
          <w:lang w:val="en"/>
        </w:rPr>
        <w:t xml:space="preserve">year of age in mid </w:t>
      </w:r>
      <w:r w:rsidR="002E51F4" w:rsidRPr="002C29B8">
        <w:rPr>
          <w:rFonts w:ascii="Arial" w:hAnsi="Arial" w:cs="Arial"/>
          <w:b w:val="0"/>
          <w:lang w:val="en"/>
        </w:rPr>
        <w:t>2007 – final data</w:t>
      </w:r>
    </w:p>
    <w:p w14:paraId="75BA84B1" w14:textId="77777777" w:rsidR="004E37AE" w:rsidRPr="002C29B8" w:rsidRDefault="004E37AE" w:rsidP="002C29B8">
      <w:pPr>
        <w:spacing w:after="120" w:line="240" w:lineRule="auto"/>
        <w:rPr>
          <w:rFonts w:ascii="Arial" w:hAnsi="Arial" w:cs="Arial"/>
          <w:lang w:eastAsia="en-AU"/>
        </w:rPr>
      </w:pPr>
    </w:p>
    <w:p w14:paraId="0F816E5E" w14:textId="6DA1C5A6" w:rsidR="004E37AE" w:rsidRPr="002C29B8" w:rsidRDefault="004E37AE" w:rsidP="002C29B8">
      <w:pPr>
        <w:pStyle w:val="Caption"/>
        <w:spacing w:after="120" w:line="240" w:lineRule="auto"/>
        <w:rPr>
          <w:rFonts w:ascii="Arial" w:hAnsi="Arial" w:cs="Arial"/>
          <w:b w:val="0"/>
          <w:sz w:val="24"/>
        </w:rPr>
      </w:pPr>
      <w:r w:rsidRPr="002C29B8">
        <w:rPr>
          <w:rFonts w:ascii="Arial" w:hAnsi="Arial" w:cs="Arial"/>
          <w:b w:val="0"/>
          <w:sz w:val="24"/>
        </w:rPr>
        <w:t xml:space="preserve">Graph </w:t>
      </w:r>
      <w:r w:rsidRPr="002C29B8">
        <w:rPr>
          <w:rFonts w:ascii="Arial" w:hAnsi="Arial" w:cs="Arial"/>
          <w:b w:val="0"/>
          <w:sz w:val="24"/>
        </w:rPr>
        <w:fldChar w:fldCharType="begin"/>
      </w:r>
      <w:r w:rsidRPr="002C29B8">
        <w:rPr>
          <w:rFonts w:ascii="Arial" w:hAnsi="Arial" w:cs="Arial"/>
          <w:b w:val="0"/>
          <w:sz w:val="24"/>
        </w:rPr>
        <w:instrText xml:space="preserve"> SEQ Graph \* ARABIC </w:instrText>
      </w:r>
      <w:r w:rsidRPr="002C29B8">
        <w:rPr>
          <w:rFonts w:ascii="Arial" w:hAnsi="Arial" w:cs="Arial"/>
          <w:b w:val="0"/>
          <w:sz w:val="24"/>
        </w:rPr>
        <w:fldChar w:fldCharType="separate"/>
      </w:r>
      <w:r w:rsidRPr="002C29B8">
        <w:rPr>
          <w:rFonts w:ascii="Arial" w:hAnsi="Arial" w:cs="Arial"/>
          <w:b w:val="0"/>
          <w:noProof/>
          <w:sz w:val="24"/>
        </w:rPr>
        <w:t>1</w:t>
      </w:r>
      <w:r w:rsidRPr="002C29B8">
        <w:rPr>
          <w:rFonts w:ascii="Arial" w:hAnsi="Arial" w:cs="Arial"/>
          <w:b w:val="0"/>
          <w:sz w:val="24"/>
        </w:rPr>
        <w:fldChar w:fldCharType="end"/>
      </w:r>
      <w:r w:rsidR="0070736E">
        <w:rPr>
          <w:rFonts w:ascii="Arial" w:hAnsi="Arial" w:cs="Arial"/>
          <w:b w:val="0"/>
          <w:sz w:val="24"/>
        </w:rPr>
        <w:t xml:space="preserve">. </w:t>
      </w:r>
      <w:r w:rsidR="00920F9F" w:rsidRPr="002C29B8">
        <w:rPr>
          <w:rFonts w:ascii="Arial" w:hAnsi="Arial" w:cs="Arial"/>
          <w:b w:val="0"/>
          <w:sz w:val="24"/>
        </w:rPr>
        <w:t>HPV vaccination coverage</w:t>
      </w:r>
      <w:r w:rsidR="00FE22CB" w:rsidRPr="002C29B8">
        <w:rPr>
          <w:rFonts w:ascii="Arial" w:hAnsi="Arial" w:cs="Arial"/>
          <w:b w:val="0"/>
          <w:sz w:val="24"/>
        </w:rPr>
        <w:t xml:space="preserve"> for females</w:t>
      </w:r>
      <w:r w:rsidR="00920F9F" w:rsidRPr="002C29B8">
        <w:rPr>
          <w:rFonts w:ascii="Arial" w:hAnsi="Arial" w:cs="Arial"/>
          <w:b w:val="0"/>
          <w:sz w:val="24"/>
        </w:rPr>
        <w:t xml:space="preserve"> </w:t>
      </w:r>
      <w:r w:rsidR="002C29B8">
        <w:rPr>
          <w:rFonts w:ascii="Arial" w:hAnsi="Arial" w:cs="Arial"/>
          <w:b w:val="0"/>
          <w:sz w:val="24"/>
        </w:rPr>
        <w:t xml:space="preserve">by year of age in mid </w:t>
      </w:r>
      <w:r w:rsidR="002E51F4" w:rsidRPr="002C29B8">
        <w:rPr>
          <w:rFonts w:ascii="Arial" w:hAnsi="Arial" w:cs="Arial"/>
          <w:b w:val="0"/>
          <w:sz w:val="24"/>
        </w:rPr>
        <w:t>2007 – final data</w:t>
      </w:r>
      <w:r w:rsidR="002C29B8">
        <w:rPr>
          <w:rFonts w:ascii="Arial" w:hAnsi="Arial" w:cs="Arial"/>
          <w:b w:val="0"/>
          <w:sz w:val="24"/>
        </w:rPr>
        <w:t>.</w:t>
      </w:r>
    </w:p>
    <w:p w14:paraId="7373CD8F" w14:textId="77777777" w:rsidR="004E37AE" w:rsidRPr="002C29B8" w:rsidRDefault="005C5F45" w:rsidP="004E37AE">
      <w:pPr>
        <w:rPr>
          <w:rFonts w:ascii="Arial" w:hAnsi="Arial" w:cs="Arial"/>
        </w:rPr>
      </w:pPr>
      <w:r w:rsidRPr="002C29B8">
        <w:rPr>
          <w:rFonts w:ascii="Arial" w:hAnsi="Arial" w:cs="Arial"/>
          <w:noProof/>
          <w:lang w:eastAsia="en-AU"/>
        </w:rPr>
        <w:drawing>
          <wp:inline distT="0" distB="0" distL="0" distR="0" wp14:anchorId="7D5CCA8A" wp14:editId="7949D61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CA1D6BE" w14:textId="77777777" w:rsidR="004E37AE" w:rsidRPr="002C29B8" w:rsidRDefault="004E37AE" w:rsidP="002C29B8">
      <w:pPr>
        <w:spacing w:after="120" w:line="240" w:lineRule="auto"/>
        <w:rPr>
          <w:rFonts w:ascii="Arial" w:hAnsi="Arial" w:cs="Arial"/>
        </w:rPr>
      </w:pPr>
    </w:p>
    <w:p w14:paraId="27B8112A" w14:textId="77777777" w:rsidR="004E37AE" w:rsidRPr="002C29B8" w:rsidRDefault="004E37AE" w:rsidP="002C29B8">
      <w:pPr>
        <w:pStyle w:val="Caption"/>
        <w:spacing w:after="120" w:line="240" w:lineRule="auto"/>
        <w:rPr>
          <w:rFonts w:ascii="Arial" w:hAnsi="Arial" w:cs="Arial"/>
          <w:b w:val="0"/>
          <w:sz w:val="24"/>
          <w:szCs w:val="24"/>
        </w:rPr>
      </w:pPr>
      <w:r w:rsidRPr="002C29B8">
        <w:rPr>
          <w:rFonts w:ascii="Arial" w:hAnsi="Arial" w:cs="Arial"/>
          <w:b w:val="0"/>
          <w:sz w:val="24"/>
          <w:szCs w:val="24"/>
        </w:rPr>
        <w:t xml:space="preserve">Table </w:t>
      </w:r>
      <w:r w:rsidRPr="002C29B8">
        <w:rPr>
          <w:rFonts w:ascii="Arial" w:hAnsi="Arial" w:cs="Arial"/>
          <w:b w:val="0"/>
          <w:sz w:val="24"/>
          <w:szCs w:val="24"/>
        </w:rPr>
        <w:fldChar w:fldCharType="begin"/>
      </w:r>
      <w:r w:rsidRPr="002C29B8">
        <w:rPr>
          <w:rFonts w:ascii="Arial" w:hAnsi="Arial" w:cs="Arial"/>
          <w:b w:val="0"/>
          <w:sz w:val="24"/>
          <w:szCs w:val="24"/>
        </w:rPr>
        <w:instrText xml:space="preserve"> SEQ Table \* ARABIC </w:instrText>
      </w:r>
      <w:r w:rsidRPr="002C29B8">
        <w:rPr>
          <w:rFonts w:ascii="Arial" w:hAnsi="Arial" w:cs="Arial"/>
          <w:b w:val="0"/>
          <w:sz w:val="24"/>
          <w:szCs w:val="24"/>
        </w:rPr>
        <w:fldChar w:fldCharType="separate"/>
      </w:r>
      <w:r w:rsidRPr="002C29B8">
        <w:rPr>
          <w:rFonts w:ascii="Arial" w:hAnsi="Arial" w:cs="Arial"/>
          <w:b w:val="0"/>
          <w:noProof/>
          <w:sz w:val="24"/>
          <w:szCs w:val="24"/>
        </w:rPr>
        <w:t>1</w:t>
      </w:r>
      <w:r w:rsidRPr="002C29B8">
        <w:rPr>
          <w:rFonts w:ascii="Arial" w:hAnsi="Arial" w:cs="Arial"/>
          <w:b w:val="0"/>
          <w:sz w:val="24"/>
          <w:szCs w:val="24"/>
        </w:rPr>
        <w:fldChar w:fldCharType="end"/>
      </w:r>
      <w:r w:rsidRPr="002C29B8">
        <w:rPr>
          <w:rFonts w:ascii="Arial" w:hAnsi="Arial" w:cs="Arial"/>
          <w:b w:val="0"/>
          <w:sz w:val="24"/>
          <w:szCs w:val="24"/>
        </w:rPr>
        <w:t xml:space="preserve">. </w:t>
      </w:r>
      <w:r w:rsidR="00920F9F" w:rsidRPr="002C29B8">
        <w:rPr>
          <w:rFonts w:ascii="Arial" w:hAnsi="Arial" w:cs="Arial"/>
          <w:b w:val="0"/>
          <w:sz w:val="24"/>
          <w:szCs w:val="24"/>
        </w:rPr>
        <w:t>HPV vaccination coverage for</w:t>
      </w:r>
      <w:r w:rsidR="0046507C" w:rsidRPr="002C29B8">
        <w:rPr>
          <w:rFonts w:ascii="Arial" w:hAnsi="Arial" w:cs="Arial"/>
          <w:b w:val="0"/>
          <w:sz w:val="24"/>
          <w:szCs w:val="24"/>
        </w:rPr>
        <w:t xml:space="preserve"> females by </w:t>
      </w:r>
      <w:r w:rsidR="00FE22CB" w:rsidRPr="002C29B8">
        <w:rPr>
          <w:rFonts w:ascii="Arial" w:hAnsi="Arial" w:cs="Arial"/>
          <w:b w:val="0"/>
          <w:sz w:val="24"/>
          <w:szCs w:val="24"/>
        </w:rPr>
        <w:t xml:space="preserve">year of </w:t>
      </w:r>
      <w:r w:rsidR="0046507C" w:rsidRPr="002C29B8">
        <w:rPr>
          <w:rFonts w:ascii="Arial" w:hAnsi="Arial" w:cs="Arial"/>
          <w:b w:val="0"/>
          <w:sz w:val="24"/>
          <w:szCs w:val="24"/>
        </w:rPr>
        <w:t xml:space="preserve">age </w:t>
      </w:r>
      <w:r w:rsidR="002C29B8">
        <w:rPr>
          <w:rFonts w:ascii="Arial" w:hAnsi="Arial" w:cs="Arial"/>
          <w:b w:val="0"/>
          <w:sz w:val="24"/>
          <w:szCs w:val="24"/>
        </w:rPr>
        <w:t xml:space="preserve">in mid </w:t>
      </w:r>
      <w:r w:rsidR="0046507C" w:rsidRPr="002C29B8">
        <w:rPr>
          <w:rFonts w:ascii="Arial" w:hAnsi="Arial" w:cs="Arial"/>
          <w:b w:val="0"/>
          <w:sz w:val="24"/>
          <w:szCs w:val="24"/>
        </w:rPr>
        <w:t>2007</w:t>
      </w:r>
      <w:r w:rsidR="002C29B8">
        <w:rPr>
          <w:rFonts w:ascii="Arial" w:hAnsi="Arial" w:cs="Arial"/>
          <w:b w:val="0"/>
          <w:sz w:val="24"/>
          <w:szCs w:val="24"/>
        </w:rPr>
        <w:t xml:space="preserve"> – final data.</w:t>
      </w:r>
    </w:p>
    <w:tbl>
      <w:tblPr>
        <w:tblStyle w:val="GridTable4-Accent51"/>
        <w:tblW w:w="10349"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66"/>
        <w:gridCol w:w="955"/>
        <w:gridCol w:w="521"/>
        <w:gridCol w:w="522"/>
        <w:gridCol w:w="522"/>
        <w:gridCol w:w="522"/>
        <w:gridCol w:w="522"/>
        <w:gridCol w:w="522"/>
        <w:gridCol w:w="522"/>
        <w:gridCol w:w="521"/>
        <w:gridCol w:w="522"/>
        <w:gridCol w:w="522"/>
        <w:gridCol w:w="522"/>
        <w:gridCol w:w="522"/>
        <w:gridCol w:w="522"/>
        <w:gridCol w:w="522"/>
        <w:gridCol w:w="522"/>
      </w:tblGrid>
      <w:tr w:rsidR="0070736E" w:rsidRPr="0070736E" w14:paraId="5C6ABD36" w14:textId="77777777" w:rsidTr="004F6315">
        <w:trPr>
          <w:cnfStyle w:val="100000000000" w:firstRow="1" w:lastRow="0" w:firstColumn="0" w:lastColumn="0" w:oddVBand="0" w:evenVBand="0" w:oddHBand="0" w:evenHBand="0" w:firstRowFirstColumn="0" w:firstRowLastColumn="0" w:lastRowFirstColumn="0" w:lastRowLastColumn="0"/>
          <w:trHeight w:val="786"/>
          <w:jc w:val="center"/>
        </w:trPr>
        <w:tc>
          <w:tcPr>
            <w:cnfStyle w:val="001000000000" w:firstRow="0" w:lastRow="0" w:firstColumn="1" w:lastColumn="0" w:oddVBand="0" w:evenVBand="0" w:oddHBand="0" w:evenHBand="0" w:firstRowFirstColumn="0" w:firstRowLastColumn="0" w:lastRowFirstColumn="0" w:lastRowLastColumn="0"/>
            <w:tcW w:w="252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B773F70" w14:textId="77777777" w:rsidR="00EB6D87" w:rsidRPr="0070736E" w:rsidRDefault="00EB6D87" w:rsidP="0030102E">
            <w:pPr>
              <w:jc w:val="center"/>
              <w:rPr>
                <w:rFonts w:ascii="Arial" w:hAnsi="Arial" w:cs="Arial"/>
                <w:sz w:val="22"/>
                <w:szCs w:val="22"/>
              </w:rPr>
            </w:pPr>
            <w:r w:rsidRPr="0070736E">
              <w:rPr>
                <w:rFonts w:ascii="Arial" w:hAnsi="Arial" w:cs="Arial"/>
                <w:sz w:val="22"/>
                <w:szCs w:val="22"/>
              </w:rPr>
              <w:t>Age (in years at mid-2007)</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8C99AF6"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94A78BA"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9065B99"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3F4E93B"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5A43E98"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16</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90235F7"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17</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4DD4263"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18</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7489AE6"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19</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76B0F3F"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20</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134A560"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21</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BB92446"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8B16773"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8DA6E55"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EC79EA1"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B1D419B" w14:textId="77777777" w:rsidR="00EB6D87" w:rsidRPr="0070736E" w:rsidRDefault="00EB6D87" w:rsidP="003010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26</w:t>
            </w:r>
          </w:p>
        </w:tc>
      </w:tr>
      <w:tr w:rsidR="0030102E" w:rsidRPr="002C29B8" w14:paraId="65391212" w14:textId="77777777" w:rsidTr="0070736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val="restart"/>
            <w:shd w:val="clear" w:color="auto" w:fill="548DD4" w:themeFill="text2" w:themeFillTint="99"/>
            <w:vAlign w:val="center"/>
          </w:tcPr>
          <w:p w14:paraId="05E99BA9" w14:textId="7073B185" w:rsidR="00EB6D87" w:rsidRPr="0070736E" w:rsidRDefault="00EB6D87" w:rsidP="0030102E">
            <w:pPr>
              <w:jc w:val="center"/>
              <w:rPr>
                <w:rFonts w:ascii="Arial" w:hAnsi="Arial" w:cs="Arial"/>
                <w:b w:val="0"/>
                <w:color w:val="FFFFFF" w:themeColor="background1"/>
                <w:sz w:val="22"/>
                <w:szCs w:val="22"/>
              </w:rPr>
            </w:pPr>
            <w:r w:rsidRPr="0070736E">
              <w:rPr>
                <w:rFonts w:ascii="Arial" w:hAnsi="Arial" w:cs="Arial"/>
                <w:color w:val="FFFFFF" w:themeColor="background1"/>
                <w:sz w:val="22"/>
                <w:szCs w:val="22"/>
              </w:rPr>
              <w:t xml:space="preserve">Coverage Rate </w:t>
            </w:r>
            <w:r w:rsidR="0030102E" w:rsidRPr="0070736E">
              <w:rPr>
                <w:rFonts w:ascii="Arial" w:hAnsi="Arial" w:cs="Arial"/>
                <w:color w:val="FFFFFF" w:themeColor="background1"/>
                <w:sz w:val="22"/>
                <w:szCs w:val="22"/>
              </w:rPr>
              <w:br/>
            </w:r>
            <w:r w:rsidRPr="0070736E">
              <w:rPr>
                <w:rFonts w:ascii="Arial" w:hAnsi="Arial" w:cs="Arial"/>
                <w:color w:val="FFFFFF" w:themeColor="background1"/>
                <w:sz w:val="22"/>
                <w:szCs w:val="22"/>
              </w:rPr>
              <w:t xml:space="preserve">(as at </w:t>
            </w:r>
            <w:r w:rsidR="0030102E" w:rsidRPr="0070736E">
              <w:rPr>
                <w:rFonts w:ascii="Arial" w:hAnsi="Arial" w:cs="Arial"/>
                <w:color w:val="FFFFFF" w:themeColor="background1"/>
                <w:sz w:val="22"/>
                <w:szCs w:val="22"/>
              </w:rPr>
              <w:br/>
            </w:r>
            <w:r w:rsidRPr="0070736E">
              <w:rPr>
                <w:rFonts w:ascii="Arial" w:hAnsi="Arial" w:cs="Arial"/>
                <w:color w:val="FFFFFF" w:themeColor="background1"/>
                <w:sz w:val="22"/>
                <w:szCs w:val="22"/>
              </w:rPr>
              <w:t>31 Dec 2015)</w:t>
            </w:r>
          </w:p>
        </w:tc>
        <w:tc>
          <w:tcPr>
            <w:tcW w:w="955" w:type="dxa"/>
            <w:shd w:val="clear" w:color="auto" w:fill="8DB3E2" w:themeFill="text2" w:themeFillTint="66"/>
            <w:vAlign w:val="center"/>
          </w:tcPr>
          <w:p w14:paraId="6E054A1B" w14:textId="77777777" w:rsidR="00EB6D87" w:rsidRPr="0070736E"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1</w:t>
            </w:r>
          </w:p>
        </w:tc>
        <w:tc>
          <w:tcPr>
            <w:tcW w:w="521" w:type="dxa"/>
            <w:shd w:val="clear" w:color="auto" w:fill="DBE5F1" w:themeFill="accent1" w:themeFillTint="33"/>
            <w:vAlign w:val="center"/>
          </w:tcPr>
          <w:p w14:paraId="5BF8D1FD"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85%</w:t>
            </w:r>
          </w:p>
        </w:tc>
        <w:tc>
          <w:tcPr>
            <w:tcW w:w="522" w:type="dxa"/>
            <w:shd w:val="clear" w:color="auto" w:fill="DBE5F1" w:themeFill="accent1" w:themeFillTint="33"/>
            <w:vAlign w:val="center"/>
          </w:tcPr>
          <w:p w14:paraId="739CAB34"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85%</w:t>
            </w:r>
          </w:p>
        </w:tc>
        <w:tc>
          <w:tcPr>
            <w:tcW w:w="522" w:type="dxa"/>
            <w:shd w:val="clear" w:color="auto" w:fill="DBE5F1" w:themeFill="accent1" w:themeFillTint="33"/>
            <w:vAlign w:val="center"/>
          </w:tcPr>
          <w:p w14:paraId="5C60D0FE"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85%</w:t>
            </w:r>
          </w:p>
        </w:tc>
        <w:tc>
          <w:tcPr>
            <w:tcW w:w="522" w:type="dxa"/>
            <w:shd w:val="clear" w:color="auto" w:fill="DBE5F1" w:themeFill="accent1" w:themeFillTint="33"/>
            <w:vAlign w:val="center"/>
          </w:tcPr>
          <w:p w14:paraId="093E77B8"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86%</w:t>
            </w:r>
          </w:p>
        </w:tc>
        <w:tc>
          <w:tcPr>
            <w:tcW w:w="522" w:type="dxa"/>
            <w:shd w:val="clear" w:color="auto" w:fill="DBE5F1" w:themeFill="accent1" w:themeFillTint="33"/>
            <w:vAlign w:val="center"/>
          </w:tcPr>
          <w:p w14:paraId="3C838059"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85%</w:t>
            </w:r>
          </w:p>
        </w:tc>
        <w:tc>
          <w:tcPr>
            <w:tcW w:w="522" w:type="dxa"/>
            <w:shd w:val="clear" w:color="auto" w:fill="DBE5F1" w:themeFill="accent1" w:themeFillTint="33"/>
            <w:vAlign w:val="center"/>
          </w:tcPr>
          <w:p w14:paraId="1BDF9A25"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81%</w:t>
            </w:r>
          </w:p>
        </w:tc>
        <w:tc>
          <w:tcPr>
            <w:tcW w:w="522" w:type="dxa"/>
            <w:shd w:val="clear" w:color="auto" w:fill="DBE5F1" w:themeFill="accent1" w:themeFillTint="33"/>
            <w:vAlign w:val="center"/>
          </w:tcPr>
          <w:p w14:paraId="6C293FAD"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67%</w:t>
            </w:r>
          </w:p>
        </w:tc>
        <w:tc>
          <w:tcPr>
            <w:tcW w:w="521" w:type="dxa"/>
            <w:shd w:val="clear" w:color="auto" w:fill="DBE5F1" w:themeFill="accent1" w:themeFillTint="33"/>
            <w:vAlign w:val="center"/>
          </w:tcPr>
          <w:p w14:paraId="057CBF92"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63%</w:t>
            </w:r>
          </w:p>
        </w:tc>
        <w:tc>
          <w:tcPr>
            <w:tcW w:w="522" w:type="dxa"/>
            <w:shd w:val="clear" w:color="auto" w:fill="DBE5F1" w:themeFill="accent1" w:themeFillTint="33"/>
            <w:vAlign w:val="center"/>
          </w:tcPr>
          <w:p w14:paraId="1DCDF0EC"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61%</w:t>
            </w:r>
          </w:p>
        </w:tc>
        <w:tc>
          <w:tcPr>
            <w:tcW w:w="522" w:type="dxa"/>
            <w:shd w:val="clear" w:color="auto" w:fill="DBE5F1" w:themeFill="accent1" w:themeFillTint="33"/>
            <w:vAlign w:val="center"/>
          </w:tcPr>
          <w:p w14:paraId="00A06003"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60%</w:t>
            </w:r>
          </w:p>
        </w:tc>
        <w:tc>
          <w:tcPr>
            <w:tcW w:w="522" w:type="dxa"/>
            <w:shd w:val="clear" w:color="auto" w:fill="DBE5F1" w:themeFill="accent1" w:themeFillTint="33"/>
            <w:vAlign w:val="center"/>
          </w:tcPr>
          <w:p w14:paraId="238FF123"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59%</w:t>
            </w:r>
          </w:p>
        </w:tc>
        <w:tc>
          <w:tcPr>
            <w:tcW w:w="522" w:type="dxa"/>
            <w:shd w:val="clear" w:color="auto" w:fill="DBE5F1" w:themeFill="accent1" w:themeFillTint="33"/>
            <w:vAlign w:val="center"/>
          </w:tcPr>
          <w:p w14:paraId="64229F56"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58%</w:t>
            </w:r>
          </w:p>
        </w:tc>
        <w:tc>
          <w:tcPr>
            <w:tcW w:w="522" w:type="dxa"/>
            <w:shd w:val="clear" w:color="auto" w:fill="DBE5F1" w:themeFill="accent1" w:themeFillTint="33"/>
            <w:vAlign w:val="center"/>
          </w:tcPr>
          <w:p w14:paraId="1F47807F"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57%</w:t>
            </w:r>
          </w:p>
        </w:tc>
        <w:tc>
          <w:tcPr>
            <w:tcW w:w="522" w:type="dxa"/>
            <w:shd w:val="clear" w:color="auto" w:fill="DBE5F1" w:themeFill="accent1" w:themeFillTint="33"/>
            <w:vAlign w:val="center"/>
          </w:tcPr>
          <w:p w14:paraId="151946A1"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50%</w:t>
            </w:r>
          </w:p>
        </w:tc>
        <w:tc>
          <w:tcPr>
            <w:tcW w:w="522" w:type="dxa"/>
            <w:shd w:val="clear" w:color="auto" w:fill="DBE5F1" w:themeFill="accent1" w:themeFillTint="33"/>
            <w:vAlign w:val="center"/>
          </w:tcPr>
          <w:p w14:paraId="05B754B3" w14:textId="77777777" w:rsidR="00EB6D87" w:rsidRPr="002C29B8"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30%</w:t>
            </w:r>
          </w:p>
        </w:tc>
      </w:tr>
      <w:tr w:rsidR="0070736E" w:rsidRPr="002C29B8" w14:paraId="0D6C0ECD" w14:textId="77777777" w:rsidTr="0070736E">
        <w:trPr>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59771B79" w14:textId="77777777" w:rsidR="00EB6D87" w:rsidRPr="002C29B8" w:rsidRDefault="00EB6D87" w:rsidP="0030102E">
            <w:pPr>
              <w:jc w:val="center"/>
              <w:rPr>
                <w:rFonts w:ascii="Arial" w:hAnsi="Arial" w:cs="Arial"/>
                <w:b w:val="0"/>
              </w:rPr>
            </w:pPr>
          </w:p>
        </w:tc>
        <w:tc>
          <w:tcPr>
            <w:tcW w:w="955" w:type="dxa"/>
            <w:shd w:val="clear" w:color="auto" w:fill="8DB3E2" w:themeFill="text2" w:themeFillTint="66"/>
            <w:vAlign w:val="center"/>
          </w:tcPr>
          <w:p w14:paraId="4965D01E" w14:textId="77777777" w:rsidR="00EB6D87" w:rsidRPr="0070736E" w:rsidRDefault="00EB6D87"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2</w:t>
            </w:r>
          </w:p>
        </w:tc>
        <w:tc>
          <w:tcPr>
            <w:tcW w:w="521" w:type="dxa"/>
            <w:shd w:val="clear" w:color="auto" w:fill="FFFFFF" w:themeFill="background1"/>
            <w:vAlign w:val="center"/>
          </w:tcPr>
          <w:p w14:paraId="61EDDC99"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82%</w:t>
            </w:r>
          </w:p>
        </w:tc>
        <w:tc>
          <w:tcPr>
            <w:tcW w:w="522" w:type="dxa"/>
            <w:shd w:val="clear" w:color="auto" w:fill="FFFFFF" w:themeFill="background1"/>
            <w:vAlign w:val="center"/>
          </w:tcPr>
          <w:p w14:paraId="7D34C148"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81%</w:t>
            </w:r>
          </w:p>
        </w:tc>
        <w:tc>
          <w:tcPr>
            <w:tcW w:w="522" w:type="dxa"/>
            <w:shd w:val="clear" w:color="auto" w:fill="FFFFFF" w:themeFill="background1"/>
            <w:vAlign w:val="center"/>
          </w:tcPr>
          <w:p w14:paraId="6BE7CFFB"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81%</w:t>
            </w:r>
          </w:p>
        </w:tc>
        <w:tc>
          <w:tcPr>
            <w:tcW w:w="522" w:type="dxa"/>
            <w:shd w:val="clear" w:color="auto" w:fill="FFFFFF" w:themeFill="background1"/>
            <w:vAlign w:val="center"/>
          </w:tcPr>
          <w:p w14:paraId="3722AE85"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81%</w:t>
            </w:r>
          </w:p>
        </w:tc>
        <w:tc>
          <w:tcPr>
            <w:tcW w:w="522" w:type="dxa"/>
            <w:shd w:val="clear" w:color="auto" w:fill="FFFFFF" w:themeFill="background1"/>
            <w:vAlign w:val="center"/>
          </w:tcPr>
          <w:p w14:paraId="488DF22B"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79%</w:t>
            </w:r>
          </w:p>
        </w:tc>
        <w:tc>
          <w:tcPr>
            <w:tcW w:w="522" w:type="dxa"/>
            <w:shd w:val="clear" w:color="auto" w:fill="FFFFFF" w:themeFill="background1"/>
            <w:vAlign w:val="center"/>
          </w:tcPr>
          <w:p w14:paraId="08902AE6"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74%</w:t>
            </w:r>
          </w:p>
        </w:tc>
        <w:tc>
          <w:tcPr>
            <w:tcW w:w="522" w:type="dxa"/>
            <w:shd w:val="clear" w:color="auto" w:fill="FFFFFF" w:themeFill="background1"/>
            <w:vAlign w:val="center"/>
          </w:tcPr>
          <w:p w14:paraId="1DCA73C7"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56%</w:t>
            </w:r>
          </w:p>
        </w:tc>
        <w:tc>
          <w:tcPr>
            <w:tcW w:w="521" w:type="dxa"/>
            <w:shd w:val="clear" w:color="auto" w:fill="FFFFFF" w:themeFill="background1"/>
            <w:vAlign w:val="center"/>
          </w:tcPr>
          <w:p w14:paraId="7AC851EF"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52%</w:t>
            </w:r>
          </w:p>
        </w:tc>
        <w:tc>
          <w:tcPr>
            <w:tcW w:w="522" w:type="dxa"/>
            <w:shd w:val="clear" w:color="auto" w:fill="FFFFFF" w:themeFill="background1"/>
            <w:vAlign w:val="center"/>
          </w:tcPr>
          <w:p w14:paraId="71FC4A50"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50%</w:t>
            </w:r>
          </w:p>
        </w:tc>
        <w:tc>
          <w:tcPr>
            <w:tcW w:w="522" w:type="dxa"/>
            <w:shd w:val="clear" w:color="auto" w:fill="FFFFFF" w:themeFill="background1"/>
            <w:vAlign w:val="center"/>
          </w:tcPr>
          <w:p w14:paraId="76BBCF14"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48%</w:t>
            </w:r>
          </w:p>
        </w:tc>
        <w:tc>
          <w:tcPr>
            <w:tcW w:w="522" w:type="dxa"/>
            <w:shd w:val="clear" w:color="auto" w:fill="FFFFFF" w:themeFill="background1"/>
            <w:vAlign w:val="center"/>
          </w:tcPr>
          <w:p w14:paraId="1E042163"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48%</w:t>
            </w:r>
          </w:p>
        </w:tc>
        <w:tc>
          <w:tcPr>
            <w:tcW w:w="522" w:type="dxa"/>
            <w:shd w:val="clear" w:color="auto" w:fill="FFFFFF" w:themeFill="background1"/>
            <w:vAlign w:val="center"/>
          </w:tcPr>
          <w:p w14:paraId="1F8194D4"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47%</w:t>
            </w:r>
          </w:p>
        </w:tc>
        <w:tc>
          <w:tcPr>
            <w:tcW w:w="522" w:type="dxa"/>
            <w:shd w:val="clear" w:color="auto" w:fill="FFFFFF" w:themeFill="background1"/>
            <w:vAlign w:val="center"/>
          </w:tcPr>
          <w:p w14:paraId="493755E4"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46%</w:t>
            </w:r>
          </w:p>
        </w:tc>
        <w:tc>
          <w:tcPr>
            <w:tcW w:w="522" w:type="dxa"/>
            <w:shd w:val="clear" w:color="auto" w:fill="FFFFFF" w:themeFill="background1"/>
            <w:vAlign w:val="center"/>
          </w:tcPr>
          <w:p w14:paraId="6AE6F39A"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41%</w:t>
            </w:r>
          </w:p>
        </w:tc>
        <w:tc>
          <w:tcPr>
            <w:tcW w:w="522" w:type="dxa"/>
            <w:shd w:val="clear" w:color="auto" w:fill="FFFFFF" w:themeFill="background1"/>
            <w:vAlign w:val="center"/>
          </w:tcPr>
          <w:p w14:paraId="391C4ABD" w14:textId="77777777" w:rsidR="00EB6D87" w:rsidRPr="002C29B8" w:rsidRDefault="00242419" w:rsidP="003010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29B8">
              <w:rPr>
                <w:rFonts w:ascii="Arial" w:hAnsi="Arial" w:cs="Arial"/>
                <w:sz w:val="20"/>
                <w:szCs w:val="20"/>
              </w:rPr>
              <w:t>25%</w:t>
            </w:r>
          </w:p>
        </w:tc>
      </w:tr>
      <w:tr w:rsidR="0070736E" w:rsidRPr="002C29B8" w14:paraId="3DC47432" w14:textId="77777777" w:rsidTr="004F6315">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058095A9" w14:textId="77777777" w:rsidR="00EB6D87" w:rsidRPr="002C29B8" w:rsidRDefault="00EB6D87" w:rsidP="0030102E">
            <w:pPr>
              <w:jc w:val="center"/>
              <w:rPr>
                <w:rFonts w:ascii="Arial" w:hAnsi="Arial" w:cs="Arial"/>
                <w:b w:val="0"/>
              </w:rPr>
            </w:pPr>
          </w:p>
        </w:tc>
        <w:tc>
          <w:tcPr>
            <w:tcW w:w="955" w:type="dxa"/>
            <w:shd w:val="clear" w:color="auto" w:fill="8DB3E2" w:themeFill="text2" w:themeFillTint="66"/>
            <w:vAlign w:val="center"/>
          </w:tcPr>
          <w:p w14:paraId="30FA16F0" w14:textId="77777777" w:rsidR="00EB6D87" w:rsidRPr="0070736E" w:rsidRDefault="00EB6D87"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3</w:t>
            </w:r>
          </w:p>
        </w:tc>
        <w:tc>
          <w:tcPr>
            <w:tcW w:w="521" w:type="dxa"/>
            <w:shd w:val="clear" w:color="auto" w:fill="DBE5F1" w:themeFill="accent1" w:themeFillTint="33"/>
            <w:vAlign w:val="center"/>
          </w:tcPr>
          <w:p w14:paraId="054EC4EA"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75%</w:t>
            </w:r>
          </w:p>
        </w:tc>
        <w:tc>
          <w:tcPr>
            <w:tcW w:w="522" w:type="dxa"/>
            <w:shd w:val="clear" w:color="auto" w:fill="DBE5F1" w:themeFill="accent1" w:themeFillTint="33"/>
            <w:vAlign w:val="center"/>
          </w:tcPr>
          <w:p w14:paraId="39E502AD"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74%</w:t>
            </w:r>
          </w:p>
        </w:tc>
        <w:tc>
          <w:tcPr>
            <w:tcW w:w="522" w:type="dxa"/>
            <w:shd w:val="clear" w:color="auto" w:fill="DBE5F1" w:themeFill="accent1" w:themeFillTint="33"/>
            <w:vAlign w:val="center"/>
          </w:tcPr>
          <w:p w14:paraId="21A46D22"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73%</w:t>
            </w:r>
          </w:p>
        </w:tc>
        <w:tc>
          <w:tcPr>
            <w:tcW w:w="522" w:type="dxa"/>
            <w:shd w:val="clear" w:color="auto" w:fill="DBE5F1" w:themeFill="accent1" w:themeFillTint="33"/>
            <w:vAlign w:val="center"/>
          </w:tcPr>
          <w:p w14:paraId="3BFB735D"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74%</w:t>
            </w:r>
          </w:p>
        </w:tc>
        <w:tc>
          <w:tcPr>
            <w:tcW w:w="522" w:type="dxa"/>
            <w:shd w:val="clear" w:color="auto" w:fill="DBE5F1" w:themeFill="accent1" w:themeFillTint="33"/>
            <w:vAlign w:val="center"/>
          </w:tcPr>
          <w:p w14:paraId="38859199"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71%</w:t>
            </w:r>
          </w:p>
        </w:tc>
        <w:tc>
          <w:tcPr>
            <w:tcW w:w="522" w:type="dxa"/>
            <w:shd w:val="clear" w:color="auto" w:fill="DBE5F1" w:themeFill="accent1" w:themeFillTint="33"/>
            <w:vAlign w:val="center"/>
          </w:tcPr>
          <w:p w14:paraId="772F7A1D"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64%</w:t>
            </w:r>
          </w:p>
        </w:tc>
        <w:tc>
          <w:tcPr>
            <w:tcW w:w="522" w:type="dxa"/>
            <w:shd w:val="clear" w:color="auto" w:fill="DBE5F1" w:themeFill="accent1" w:themeFillTint="33"/>
            <w:vAlign w:val="center"/>
          </w:tcPr>
          <w:p w14:paraId="736C9B13"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42%</w:t>
            </w:r>
          </w:p>
        </w:tc>
        <w:tc>
          <w:tcPr>
            <w:tcW w:w="521" w:type="dxa"/>
            <w:shd w:val="clear" w:color="auto" w:fill="DBE5F1" w:themeFill="accent1" w:themeFillTint="33"/>
            <w:vAlign w:val="center"/>
          </w:tcPr>
          <w:p w14:paraId="28862183"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37%</w:t>
            </w:r>
          </w:p>
        </w:tc>
        <w:tc>
          <w:tcPr>
            <w:tcW w:w="522" w:type="dxa"/>
            <w:shd w:val="clear" w:color="auto" w:fill="DBE5F1" w:themeFill="accent1" w:themeFillTint="33"/>
            <w:vAlign w:val="center"/>
          </w:tcPr>
          <w:p w14:paraId="3CC070F0"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35%</w:t>
            </w:r>
          </w:p>
        </w:tc>
        <w:tc>
          <w:tcPr>
            <w:tcW w:w="522" w:type="dxa"/>
            <w:shd w:val="clear" w:color="auto" w:fill="DBE5F1" w:themeFill="accent1" w:themeFillTint="33"/>
            <w:vAlign w:val="center"/>
          </w:tcPr>
          <w:p w14:paraId="3DB97291"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34%</w:t>
            </w:r>
          </w:p>
        </w:tc>
        <w:tc>
          <w:tcPr>
            <w:tcW w:w="522" w:type="dxa"/>
            <w:shd w:val="clear" w:color="auto" w:fill="DBE5F1" w:themeFill="accent1" w:themeFillTint="33"/>
            <w:vAlign w:val="center"/>
          </w:tcPr>
          <w:p w14:paraId="0E6CF42E"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33%</w:t>
            </w:r>
          </w:p>
        </w:tc>
        <w:tc>
          <w:tcPr>
            <w:tcW w:w="522" w:type="dxa"/>
            <w:shd w:val="clear" w:color="auto" w:fill="DBE5F1" w:themeFill="accent1" w:themeFillTint="33"/>
            <w:vAlign w:val="center"/>
          </w:tcPr>
          <w:p w14:paraId="04E0317A"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33%</w:t>
            </w:r>
          </w:p>
        </w:tc>
        <w:tc>
          <w:tcPr>
            <w:tcW w:w="522" w:type="dxa"/>
            <w:shd w:val="clear" w:color="auto" w:fill="DBE5F1" w:themeFill="accent1" w:themeFillTint="33"/>
            <w:vAlign w:val="center"/>
          </w:tcPr>
          <w:p w14:paraId="27D6C19B"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33%</w:t>
            </w:r>
          </w:p>
        </w:tc>
        <w:tc>
          <w:tcPr>
            <w:tcW w:w="522" w:type="dxa"/>
            <w:shd w:val="clear" w:color="auto" w:fill="DBE5F1" w:themeFill="accent1" w:themeFillTint="33"/>
            <w:vAlign w:val="center"/>
          </w:tcPr>
          <w:p w14:paraId="74CE1832"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29%</w:t>
            </w:r>
          </w:p>
        </w:tc>
        <w:tc>
          <w:tcPr>
            <w:tcW w:w="522" w:type="dxa"/>
            <w:shd w:val="clear" w:color="auto" w:fill="DBE5F1" w:themeFill="accent1" w:themeFillTint="33"/>
            <w:vAlign w:val="center"/>
          </w:tcPr>
          <w:p w14:paraId="21831B8B" w14:textId="77777777" w:rsidR="00EB6D87" w:rsidRPr="002C29B8" w:rsidRDefault="00242419" w:rsidP="003010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29B8">
              <w:rPr>
                <w:rFonts w:ascii="Arial" w:hAnsi="Arial" w:cs="Arial"/>
                <w:sz w:val="20"/>
                <w:szCs w:val="20"/>
              </w:rPr>
              <w:t>17%</w:t>
            </w:r>
          </w:p>
        </w:tc>
      </w:tr>
    </w:tbl>
    <w:p w14:paraId="4FD6E0D8" w14:textId="77777777" w:rsidR="0070736E" w:rsidRPr="00BA5BA7" w:rsidRDefault="0070736E" w:rsidP="0070736E">
      <w:pPr>
        <w:spacing w:after="120" w:line="240" w:lineRule="auto"/>
        <w:rPr>
          <w:rFonts w:ascii="Arial" w:hAnsi="Arial" w:cs="Arial"/>
          <w:u w:val="single"/>
        </w:rPr>
      </w:pPr>
    </w:p>
    <w:p w14:paraId="017CB17D" w14:textId="77777777" w:rsidR="0070736E" w:rsidRPr="00BA5BA7" w:rsidRDefault="0070736E" w:rsidP="0070736E">
      <w:pPr>
        <w:pStyle w:val="Heading1"/>
        <w:spacing w:before="0" w:after="120"/>
        <w:rPr>
          <w:rFonts w:ascii="Arial" w:hAnsi="Arial"/>
          <w:b w:val="0"/>
        </w:rPr>
      </w:pPr>
      <w:r w:rsidRPr="00BA5BA7">
        <w:rPr>
          <w:rFonts w:ascii="Arial" w:hAnsi="Arial"/>
          <w:b w:val="0"/>
        </w:rPr>
        <w:t>Notes:</w:t>
      </w:r>
    </w:p>
    <w:p w14:paraId="5072A58B"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b/>
          <w:bCs/>
          <w:sz w:val="20"/>
          <w:szCs w:val="20"/>
          <w:lang w:eastAsia="en-AU"/>
        </w:rPr>
      </w:pPr>
      <w:r w:rsidRPr="0070736E">
        <w:rPr>
          <w:rFonts w:ascii="Arial" w:eastAsia="Times New Roman" w:hAnsi="Arial" w:cs="Arial"/>
          <w:b/>
          <w:bCs/>
          <w:sz w:val="20"/>
          <w:szCs w:val="20"/>
          <w:lang w:eastAsia="en-AU"/>
        </w:rPr>
        <w:t>Please note coverage estimates are revised from previous reports with increases in numerator data and finalised population estimates fr</w:t>
      </w:r>
      <w:r w:rsidR="002C29B8" w:rsidRPr="0070736E">
        <w:rPr>
          <w:rFonts w:ascii="Arial" w:eastAsia="Times New Roman" w:hAnsi="Arial" w:cs="Arial"/>
          <w:b/>
          <w:bCs/>
          <w:sz w:val="20"/>
          <w:szCs w:val="20"/>
          <w:lang w:eastAsia="en-AU"/>
        </w:rPr>
        <w:t>om the ABS in denominator data.</w:t>
      </w:r>
      <w:r w:rsidRPr="0070736E">
        <w:rPr>
          <w:rFonts w:ascii="Arial" w:eastAsia="Times New Roman" w:hAnsi="Arial" w:cs="Arial"/>
          <w:b/>
          <w:bCs/>
          <w:sz w:val="20"/>
          <w:szCs w:val="20"/>
          <w:lang w:eastAsia="en-AU"/>
        </w:rPr>
        <w:t xml:space="preserve"> This has resulted in an overall increase in National Coverage Estimates for most ERP yea</w:t>
      </w:r>
      <w:r w:rsidR="002C29B8" w:rsidRPr="0070736E">
        <w:rPr>
          <w:rFonts w:ascii="Arial" w:eastAsia="Times New Roman" w:hAnsi="Arial" w:cs="Arial"/>
          <w:b/>
          <w:bCs/>
          <w:sz w:val="20"/>
          <w:szCs w:val="20"/>
          <w:lang w:eastAsia="en-AU"/>
        </w:rPr>
        <w:t>rs.</w:t>
      </w:r>
    </w:p>
    <w:p w14:paraId="594598E4" w14:textId="204E61F0"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Data extracted from the National HPV Vaccination Program Register (HPV Register) as at 19</w:t>
      </w:r>
      <w:r w:rsidR="0070736E">
        <w:rPr>
          <w:rFonts w:ascii="Arial" w:eastAsia="Times New Roman" w:hAnsi="Arial" w:cs="Arial"/>
          <w:sz w:val="20"/>
          <w:szCs w:val="20"/>
          <w:lang w:eastAsia="en-AU"/>
        </w:rPr>
        <w:t> January </w:t>
      </w:r>
      <w:r w:rsidRPr="0070736E">
        <w:rPr>
          <w:rFonts w:ascii="Arial" w:eastAsia="Times New Roman" w:hAnsi="Arial" w:cs="Arial"/>
          <w:sz w:val="20"/>
          <w:szCs w:val="20"/>
          <w:lang w:eastAsia="en-AU"/>
        </w:rPr>
        <w:t>2016 and includes females vaccinated</w:t>
      </w:r>
      <w:r w:rsidR="002C29B8" w:rsidRPr="0070736E">
        <w:rPr>
          <w:rFonts w:ascii="Arial" w:eastAsia="Times New Roman" w:hAnsi="Arial" w:cs="Arial"/>
          <w:sz w:val="20"/>
          <w:szCs w:val="20"/>
          <w:lang w:eastAsia="en-AU"/>
        </w:rPr>
        <w:t xml:space="preserve"> between </w:t>
      </w:r>
      <w:r w:rsidR="0070736E">
        <w:rPr>
          <w:rFonts w:ascii="Arial" w:eastAsia="Times New Roman" w:hAnsi="Arial" w:cs="Arial"/>
          <w:sz w:val="20"/>
          <w:szCs w:val="20"/>
          <w:lang w:eastAsia="en-AU"/>
        </w:rPr>
        <w:t>April</w:t>
      </w:r>
      <w:r w:rsidR="002C29B8" w:rsidRPr="0070736E">
        <w:rPr>
          <w:rFonts w:ascii="Arial" w:eastAsia="Times New Roman" w:hAnsi="Arial" w:cs="Arial"/>
          <w:sz w:val="20"/>
          <w:szCs w:val="20"/>
          <w:lang w:eastAsia="en-AU"/>
        </w:rPr>
        <w:t xml:space="preserve"> 2007 and </w:t>
      </w:r>
      <w:r w:rsidR="0070736E">
        <w:rPr>
          <w:rFonts w:ascii="Arial" w:eastAsia="Times New Roman" w:hAnsi="Arial" w:cs="Arial"/>
          <w:sz w:val="20"/>
          <w:szCs w:val="20"/>
          <w:lang w:eastAsia="en-AU"/>
        </w:rPr>
        <w:t>December</w:t>
      </w:r>
      <w:r w:rsidR="002C29B8" w:rsidRPr="0070736E">
        <w:rPr>
          <w:rFonts w:ascii="Arial" w:eastAsia="Times New Roman" w:hAnsi="Arial" w:cs="Arial"/>
          <w:sz w:val="20"/>
          <w:szCs w:val="20"/>
          <w:lang w:eastAsia="en-AU"/>
        </w:rPr>
        <w:t xml:space="preserve"> 2015.</w:t>
      </w:r>
    </w:p>
    <w:p w14:paraId="5E074309"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2C29B8" w:rsidRPr="0070736E">
        <w:rPr>
          <w:rFonts w:ascii="Arial" w:eastAsia="Times New Roman" w:hAnsi="Arial" w:cs="Arial"/>
          <w:sz w:val="20"/>
          <w:szCs w:val="20"/>
          <w:lang w:eastAsia="en-AU"/>
        </w:rPr>
        <w:t>tered at prescribed intervals).</w:t>
      </w:r>
    </w:p>
    <w:p w14:paraId="57A392CD"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Population is Estimated Resident Population (ERP) provided by the Australian Bureau of Statistics (ABS): 2007 Estimated Resident Population on 2012 boundaries (final), Females by Single Year of Age 10-40, for all Local Government Areas in Australia - customis</w:t>
      </w:r>
      <w:r w:rsidR="002C29B8" w:rsidRPr="0070736E">
        <w:rPr>
          <w:rFonts w:ascii="Arial" w:eastAsia="Times New Roman" w:hAnsi="Arial" w:cs="Arial"/>
          <w:sz w:val="20"/>
          <w:szCs w:val="20"/>
          <w:lang w:eastAsia="en-AU"/>
        </w:rPr>
        <w:t>ed reports prepared April 2014.</w:t>
      </w:r>
    </w:p>
    <w:p w14:paraId="394396D8"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Age is age as at da</w:t>
      </w:r>
      <w:r w:rsidR="002C29B8" w:rsidRPr="0070736E">
        <w:rPr>
          <w:rFonts w:ascii="Arial" w:eastAsia="Times New Roman" w:hAnsi="Arial" w:cs="Arial"/>
          <w:sz w:val="20"/>
          <w:szCs w:val="20"/>
          <w:lang w:eastAsia="en-AU"/>
        </w:rPr>
        <w:t>te of ERP estimate (30th June).</w:t>
      </w:r>
    </w:p>
    <w:p w14:paraId="70FEA42C"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Coverage is calculated as doses administered and reported to the HPV Register/Estimated Resident Popula</w:t>
      </w:r>
      <w:r w:rsidR="002C29B8" w:rsidRPr="0070736E">
        <w:rPr>
          <w:rFonts w:ascii="Arial" w:eastAsia="Times New Roman" w:hAnsi="Arial" w:cs="Arial"/>
          <w:sz w:val="20"/>
          <w:szCs w:val="20"/>
          <w:lang w:eastAsia="en-AU"/>
        </w:rPr>
        <w:t>tion expressed as a percentage.</w:t>
      </w:r>
    </w:p>
    <w:p w14:paraId="73ED25AA"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lastRenderedPageBreak/>
        <w:t>Excludes consumers who do not wish their details to b</w:t>
      </w:r>
      <w:r w:rsidR="002C29B8" w:rsidRPr="0070736E">
        <w:rPr>
          <w:rFonts w:ascii="Arial" w:eastAsia="Times New Roman" w:hAnsi="Arial" w:cs="Arial"/>
          <w:sz w:val="20"/>
          <w:szCs w:val="20"/>
          <w:lang w:eastAsia="en-AU"/>
        </w:rPr>
        <w:t>e recorded on the HPV Register.</w:t>
      </w:r>
    </w:p>
    <w:p w14:paraId="6BCAEA5C" w14:textId="77777777"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2C29B8" w:rsidRPr="0070736E">
        <w:rPr>
          <w:rFonts w:ascii="Arial" w:eastAsia="Times New Roman" w:hAnsi="Arial" w:cs="Arial"/>
          <w:sz w:val="20"/>
          <w:szCs w:val="20"/>
          <w:lang w:eastAsia="en-AU"/>
        </w:rPr>
        <w:t>d to determine the dose number.</w:t>
      </w:r>
    </w:p>
    <w:p w14:paraId="628DB226" w14:textId="3195F655" w:rsidR="00864BEE"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2C29B8" w:rsidRPr="0070736E">
        <w:rPr>
          <w:rFonts w:ascii="Arial" w:eastAsia="Times New Roman" w:hAnsi="Arial" w:cs="Arial"/>
          <w:sz w:val="20"/>
          <w:szCs w:val="20"/>
          <w:lang w:eastAsia="en-AU"/>
        </w:rPr>
        <w:t>d 14-15 years in 2013 and 2014.</w:t>
      </w:r>
    </w:p>
    <w:p w14:paraId="70F836D7" w14:textId="77777777" w:rsidR="00280050" w:rsidRPr="0070736E" w:rsidRDefault="00864BEE" w:rsidP="0070736E">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70736E">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2C29B8" w:rsidRPr="0070736E">
        <w:rPr>
          <w:rFonts w:ascii="Arial" w:eastAsia="Times New Roman" w:hAnsi="Arial" w:cs="Arial"/>
          <w:sz w:val="20"/>
          <w:szCs w:val="20"/>
          <w:lang w:eastAsia="en-AU"/>
        </w:rPr>
        <w:t>e based immunisation registers.</w:t>
      </w:r>
    </w:p>
    <w:sectPr w:rsidR="00280050" w:rsidRPr="0070736E"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174B0E"/>
    <w:rsid w:val="001B4435"/>
    <w:rsid w:val="001B69E9"/>
    <w:rsid w:val="00242419"/>
    <w:rsid w:val="00280050"/>
    <w:rsid w:val="002C29B8"/>
    <w:rsid w:val="002E51F4"/>
    <w:rsid w:val="0030102E"/>
    <w:rsid w:val="0030403B"/>
    <w:rsid w:val="00335A34"/>
    <w:rsid w:val="00427702"/>
    <w:rsid w:val="00451FFE"/>
    <w:rsid w:val="0046507C"/>
    <w:rsid w:val="004E37AE"/>
    <w:rsid w:val="004F6315"/>
    <w:rsid w:val="005405FF"/>
    <w:rsid w:val="005431DE"/>
    <w:rsid w:val="005C26DC"/>
    <w:rsid w:val="005C333E"/>
    <w:rsid w:val="005C5F45"/>
    <w:rsid w:val="005E1659"/>
    <w:rsid w:val="00635D9E"/>
    <w:rsid w:val="0070736E"/>
    <w:rsid w:val="00727CF6"/>
    <w:rsid w:val="007B68E3"/>
    <w:rsid w:val="008033E5"/>
    <w:rsid w:val="00864BEE"/>
    <w:rsid w:val="008B4E8C"/>
    <w:rsid w:val="008F6809"/>
    <w:rsid w:val="00920F9F"/>
    <w:rsid w:val="00932139"/>
    <w:rsid w:val="009C0411"/>
    <w:rsid w:val="00A64A40"/>
    <w:rsid w:val="00A869CA"/>
    <w:rsid w:val="00B6437C"/>
    <w:rsid w:val="00C061D5"/>
    <w:rsid w:val="00CB2E78"/>
    <w:rsid w:val="00CC6916"/>
    <w:rsid w:val="00CF25E5"/>
    <w:rsid w:val="00D417A6"/>
    <w:rsid w:val="00D81EF9"/>
    <w:rsid w:val="00E10BFC"/>
    <w:rsid w:val="00E919AF"/>
    <w:rsid w:val="00E964CD"/>
    <w:rsid w:val="00EB6D87"/>
    <w:rsid w:val="00ED3A7B"/>
    <w:rsid w:val="00F14D6C"/>
    <w:rsid w:val="00F9558A"/>
    <w:rsid w:val="00FA1A79"/>
    <w:rsid w:val="00FA47D5"/>
    <w:rsid w:val="00FE2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6206"/>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E2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078933274">
      <w:bodyDiv w:val="1"/>
      <w:marLeft w:val="0"/>
      <w:marRight w:val="0"/>
      <w:marTop w:val="0"/>
      <w:marBottom w:val="0"/>
      <w:divBdr>
        <w:top w:val="none" w:sz="0" w:space="0" w:color="auto"/>
        <w:left w:val="none" w:sz="0" w:space="0" w:color="auto"/>
        <w:bottom w:val="none" w:sz="0" w:space="0" w:color="auto"/>
        <w:right w:val="none" w:sz="0" w:space="0" w:color="auto"/>
      </w:divBdr>
      <w:divsChild>
        <w:div w:id="198693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Sheet1!$B$2:$B$16</c:f>
              <c:numCache>
                <c:formatCode>0%</c:formatCode>
                <c:ptCount val="15"/>
                <c:pt idx="0">
                  <c:v>0.85</c:v>
                </c:pt>
                <c:pt idx="1">
                  <c:v>0.85</c:v>
                </c:pt>
                <c:pt idx="2">
                  <c:v>0.85</c:v>
                </c:pt>
                <c:pt idx="3">
                  <c:v>0.86</c:v>
                </c:pt>
                <c:pt idx="4">
                  <c:v>0.85</c:v>
                </c:pt>
                <c:pt idx="5">
                  <c:v>0.81</c:v>
                </c:pt>
                <c:pt idx="6">
                  <c:v>0.67</c:v>
                </c:pt>
                <c:pt idx="7">
                  <c:v>0.63</c:v>
                </c:pt>
                <c:pt idx="8">
                  <c:v>0.61</c:v>
                </c:pt>
                <c:pt idx="9">
                  <c:v>0.6</c:v>
                </c:pt>
                <c:pt idx="10">
                  <c:v>0.59</c:v>
                </c:pt>
                <c:pt idx="11">
                  <c:v>0.57999999999999996</c:v>
                </c:pt>
                <c:pt idx="12">
                  <c:v>0.56999999999999995</c:v>
                </c:pt>
                <c:pt idx="13">
                  <c:v>0.5</c:v>
                </c:pt>
                <c:pt idx="14">
                  <c:v>0.3</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Sheet1!$C$2:$C$16</c:f>
              <c:numCache>
                <c:formatCode>0%</c:formatCode>
                <c:ptCount val="15"/>
                <c:pt idx="0">
                  <c:v>0.82</c:v>
                </c:pt>
                <c:pt idx="1">
                  <c:v>0.81</c:v>
                </c:pt>
                <c:pt idx="2">
                  <c:v>0.81</c:v>
                </c:pt>
                <c:pt idx="3">
                  <c:v>0.81</c:v>
                </c:pt>
                <c:pt idx="4">
                  <c:v>0.79</c:v>
                </c:pt>
                <c:pt idx="5">
                  <c:v>0.74</c:v>
                </c:pt>
                <c:pt idx="6">
                  <c:v>0.56000000000000005</c:v>
                </c:pt>
                <c:pt idx="7">
                  <c:v>0.52</c:v>
                </c:pt>
                <c:pt idx="8">
                  <c:v>0.5</c:v>
                </c:pt>
                <c:pt idx="9">
                  <c:v>0.48</c:v>
                </c:pt>
                <c:pt idx="10">
                  <c:v>0.48</c:v>
                </c:pt>
                <c:pt idx="11">
                  <c:v>0.47</c:v>
                </c:pt>
                <c:pt idx="12">
                  <c:v>0.46</c:v>
                </c:pt>
                <c:pt idx="13">
                  <c:v>0.41</c:v>
                </c:pt>
                <c:pt idx="14">
                  <c:v>0.25</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Sheet1!$D$2:$D$16</c:f>
              <c:numCache>
                <c:formatCode>0%</c:formatCode>
                <c:ptCount val="15"/>
                <c:pt idx="0">
                  <c:v>0.75</c:v>
                </c:pt>
                <c:pt idx="1">
                  <c:v>0.74</c:v>
                </c:pt>
                <c:pt idx="2">
                  <c:v>0.73</c:v>
                </c:pt>
                <c:pt idx="3">
                  <c:v>0.74</c:v>
                </c:pt>
                <c:pt idx="4">
                  <c:v>0.71</c:v>
                </c:pt>
                <c:pt idx="5">
                  <c:v>0.64</c:v>
                </c:pt>
                <c:pt idx="6">
                  <c:v>0.42</c:v>
                </c:pt>
                <c:pt idx="7">
                  <c:v>0.37</c:v>
                </c:pt>
                <c:pt idx="8">
                  <c:v>0.35</c:v>
                </c:pt>
                <c:pt idx="9">
                  <c:v>0.34</c:v>
                </c:pt>
                <c:pt idx="10">
                  <c:v>0.33</c:v>
                </c:pt>
                <c:pt idx="11">
                  <c:v>0.33</c:v>
                </c:pt>
                <c:pt idx="12">
                  <c:v>0.33</c:v>
                </c:pt>
                <c:pt idx="13">
                  <c:v>0.28999999999999998</c:v>
                </c:pt>
                <c:pt idx="14">
                  <c:v>0.17</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as at 2007</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2019-12-24T00:31:00Z</dcterms:created>
  <dcterms:modified xsi:type="dcterms:W3CDTF">2019-12-24T00:31:00Z</dcterms:modified>
</cp:coreProperties>
</file>