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D841" w14:textId="4EC9869F" w:rsidR="00A41B94" w:rsidRPr="004651D6" w:rsidRDefault="00A41B94" w:rsidP="004651D6">
      <w:pPr>
        <w:pStyle w:val="Title"/>
        <w:jc w:val="left"/>
        <w:rPr>
          <w:rFonts w:ascii="Arial" w:hAnsi="Arial" w:cs="Arial"/>
          <w:b w:val="0"/>
        </w:rPr>
      </w:pPr>
      <w:bookmarkStart w:id="0" w:name="_GoBack"/>
      <w:bookmarkEnd w:id="0"/>
      <w:r w:rsidRPr="004651D6">
        <w:rPr>
          <w:rFonts w:ascii="Arial" w:hAnsi="Arial" w:cs="Arial"/>
          <w:b w:val="0"/>
          <w:lang w:val="en"/>
        </w:rPr>
        <w:t xml:space="preserve">HPV vaccination coverage by </w:t>
      </w:r>
      <w:r w:rsidR="00795111">
        <w:rPr>
          <w:rFonts w:ascii="Arial" w:hAnsi="Arial" w:cs="Arial"/>
          <w:b w:val="0"/>
          <w:lang w:val="en"/>
        </w:rPr>
        <w:t>R</w:t>
      </w:r>
      <w:r w:rsidR="006E56C4" w:rsidRPr="004651D6">
        <w:rPr>
          <w:rFonts w:ascii="Arial" w:hAnsi="Arial" w:cs="Arial"/>
          <w:b w:val="0"/>
          <w:lang w:val="en"/>
        </w:rPr>
        <w:t>emoteness of area of residence</w:t>
      </w:r>
      <w:r w:rsidRPr="004651D6">
        <w:rPr>
          <w:rFonts w:ascii="Arial" w:hAnsi="Arial" w:cs="Arial"/>
          <w:b w:val="0"/>
          <w:lang w:val="en"/>
        </w:rPr>
        <w:t xml:space="preserve"> for</w:t>
      </w:r>
      <w:r w:rsidR="00A14D5B" w:rsidRPr="004651D6">
        <w:rPr>
          <w:rFonts w:ascii="Arial" w:hAnsi="Arial" w:cs="Arial"/>
          <w:b w:val="0"/>
          <w:lang w:val="en"/>
        </w:rPr>
        <w:t xml:space="preserve"> </w:t>
      </w:r>
      <w:r w:rsidR="00DD2CAF" w:rsidRPr="004651D6">
        <w:rPr>
          <w:rFonts w:ascii="Arial" w:hAnsi="Arial" w:cs="Arial"/>
          <w:b w:val="0"/>
          <w:lang w:val="en"/>
        </w:rPr>
        <w:t>males aged 12-13 years in 201</w:t>
      </w:r>
      <w:r w:rsidR="00903030" w:rsidRPr="004651D6">
        <w:rPr>
          <w:rFonts w:ascii="Arial" w:hAnsi="Arial" w:cs="Arial"/>
          <w:b w:val="0"/>
          <w:lang w:val="en"/>
        </w:rPr>
        <w:t>3</w:t>
      </w:r>
    </w:p>
    <w:p w14:paraId="674FEDF5" w14:textId="77777777" w:rsidR="00A41B94" w:rsidRPr="004651D6" w:rsidRDefault="00A41B94" w:rsidP="004651D6">
      <w:pPr>
        <w:spacing w:after="120" w:line="240" w:lineRule="auto"/>
        <w:rPr>
          <w:rFonts w:ascii="Arial" w:hAnsi="Arial" w:cs="Arial"/>
          <w:lang w:eastAsia="en-AU"/>
        </w:rPr>
      </w:pPr>
    </w:p>
    <w:p w14:paraId="0068C0A0" w14:textId="69A7DF18" w:rsidR="00A41B94" w:rsidRPr="004651D6" w:rsidRDefault="00A41B94" w:rsidP="004651D6">
      <w:pPr>
        <w:pStyle w:val="Caption"/>
        <w:spacing w:after="120" w:line="240" w:lineRule="auto"/>
        <w:rPr>
          <w:rFonts w:ascii="Arial" w:hAnsi="Arial" w:cs="Arial"/>
          <w:b w:val="0"/>
          <w:sz w:val="24"/>
        </w:rPr>
      </w:pPr>
      <w:r w:rsidRPr="004651D6">
        <w:rPr>
          <w:rFonts w:ascii="Arial" w:hAnsi="Arial" w:cs="Arial"/>
          <w:b w:val="0"/>
          <w:sz w:val="24"/>
        </w:rPr>
        <w:t xml:space="preserve">Graph </w:t>
      </w:r>
      <w:r w:rsidRPr="004651D6">
        <w:rPr>
          <w:rFonts w:ascii="Arial" w:hAnsi="Arial" w:cs="Arial"/>
          <w:b w:val="0"/>
          <w:sz w:val="24"/>
        </w:rPr>
        <w:fldChar w:fldCharType="begin"/>
      </w:r>
      <w:r w:rsidRPr="004651D6">
        <w:rPr>
          <w:rFonts w:ascii="Arial" w:hAnsi="Arial" w:cs="Arial"/>
          <w:b w:val="0"/>
          <w:sz w:val="24"/>
        </w:rPr>
        <w:instrText xml:space="preserve"> SEQ Graph \* ARABIC </w:instrText>
      </w:r>
      <w:r w:rsidRPr="004651D6">
        <w:rPr>
          <w:rFonts w:ascii="Arial" w:hAnsi="Arial" w:cs="Arial"/>
          <w:b w:val="0"/>
          <w:sz w:val="24"/>
        </w:rPr>
        <w:fldChar w:fldCharType="separate"/>
      </w:r>
      <w:r w:rsidRPr="004651D6">
        <w:rPr>
          <w:rFonts w:ascii="Arial" w:hAnsi="Arial" w:cs="Arial"/>
          <w:b w:val="0"/>
          <w:noProof/>
          <w:sz w:val="24"/>
        </w:rPr>
        <w:t>1</w:t>
      </w:r>
      <w:r w:rsidRPr="004651D6">
        <w:rPr>
          <w:rFonts w:ascii="Arial" w:hAnsi="Arial" w:cs="Arial"/>
          <w:b w:val="0"/>
          <w:sz w:val="24"/>
        </w:rPr>
        <w:fldChar w:fldCharType="end"/>
      </w:r>
      <w:r w:rsidR="00186A70">
        <w:rPr>
          <w:rFonts w:ascii="Arial" w:hAnsi="Arial" w:cs="Arial"/>
          <w:b w:val="0"/>
          <w:sz w:val="24"/>
        </w:rPr>
        <w:t xml:space="preserve">. </w:t>
      </w:r>
      <w:r w:rsidRPr="004651D6">
        <w:rPr>
          <w:rFonts w:ascii="Arial" w:hAnsi="Arial" w:cs="Arial"/>
          <w:b w:val="0"/>
          <w:sz w:val="24"/>
        </w:rPr>
        <w:t xml:space="preserve">HPV vaccination coverage by </w:t>
      </w:r>
      <w:r w:rsidR="005141B3" w:rsidRPr="004651D6">
        <w:rPr>
          <w:rFonts w:ascii="Arial" w:hAnsi="Arial" w:cs="Arial"/>
          <w:b w:val="0"/>
          <w:sz w:val="24"/>
        </w:rPr>
        <w:t>r</w:t>
      </w:r>
      <w:r w:rsidR="006E56C4" w:rsidRPr="004651D6">
        <w:rPr>
          <w:rFonts w:ascii="Arial" w:hAnsi="Arial" w:cs="Arial"/>
          <w:b w:val="0"/>
          <w:sz w:val="24"/>
        </w:rPr>
        <w:t>emoteness</w:t>
      </w:r>
      <w:r w:rsidRPr="004651D6">
        <w:rPr>
          <w:rFonts w:ascii="Arial" w:hAnsi="Arial" w:cs="Arial"/>
          <w:b w:val="0"/>
          <w:sz w:val="24"/>
        </w:rPr>
        <w:t xml:space="preserve"> of area of residence for males aged </w:t>
      </w:r>
      <w:r w:rsidR="00186A70">
        <w:rPr>
          <w:rFonts w:ascii="Arial" w:hAnsi="Arial" w:cs="Arial"/>
          <w:b w:val="0"/>
          <w:sz w:val="24"/>
        </w:rPr>
        <w:br/>
      </w:r>
      <w:r w:rsidRPr="004651D6">
        <w:rPr>
          <w:rFonts w:ascii="Arial" w:hAnsi="Arial" w:cs="Arial"/>
          <w:b w:val="0"/>
          <w:sz w:val="24"/>
        </w:rPr>
        <w:t>12-13 years in 20</w:t>
      </w:r>
      <w:r w:rsidR="00A14D5B" w:rsidRPr="004651D6">
        <w:rPr>
          <w:rFonts w:ascii="Arial" w:hAnsi="Arial" w:cs="Arial"/>
          <w:b w:val="0"/>
          <w:sz w:val="24"/>
        </w:rPr>
        <w:t>1</w:t>
      </w:r>
      <w:r w:rsidR="00903030" w:rsidRPr="004651D6">
        <w:rPr>
          <w:rFonts w:ascii="Arial" w:hAnsi="Arial" w:cs="Arial"/>
          <w:b w:val="0"/>
          <w:sz w:val="24"/>
        </w:rPr>
        <w:t>3</w:t>
      </w:r>
      <w:r w:rsidRPr="004651D6">
        <w:rPr>
          <w:rFonts w:ascii="Arial" w:hAnsi="Arial" w:cs="Arial"/>
          <w:b w:val="0"/>
          <w:sz w:val="24"/>
        </w:rPr>
        <w:t>.</w:t>
      </w:r>
    </w:p>
    <w:p w14:paraId="4DB26DD3" w14:textId="77777777" w:rsidR="00A41B94" w:rsidRPr="004651D6" w:rsidRDefault="00A41B94" w:rsidP="00A41B94">
      <w:pPr>
        <w:rPr>
          <w:rFonts w:ascii="Arial" w:hAnsi="Arial" w:cs="Arial"/>
        </w:rPr>
      </w:pPr>
      <w:r w:rsidRPr="004651D6">
        <w:rPr>
          <w:rFonts w:ascii="Arial" w:hAnsi="Arial" w:cs="Arial"/>
          <w:noProof/>
          <w:lang w:eastAsia="en-AU"/>
        </w:rPr>
        <w:drawing>
          <wp:inline distT="0" distB="0" distL="0" distR="0" wp14:anchorId="39BF87A0" wp14:editId="03C2C7F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FC2062A" w14:textId="77777777" w:rsidR="00186A70" w:rsidRPr="00A37817" w:rsidRDefault="00186A70" w:rsidP="00186A70">
      <w:pPr>
        <w:spacing w:after="120" w:line="240" w:lineRule="auto"/>
        <w:rPr>
          <w:rFonts w:ascii="Arial" w:hAnsi="Arial" w:cs="Arial"/>
        </w:rPr>
      </w:pPr>
      <w:bookmarkStart w:id="1" w:name="_Hlk23800912"/>
    </w:p>
    <w:p w14:paraId="21731FC6" w14:textId="248AEB64" w:rsidR="00186A70" w:rsidRPr="00136340" w:rsidRDefault="00186A70" w:rsidP="00186A70">
      <w:pPr>
        <w:pStyle w:val="Caption"/>
        <w:spacing w:after="120" w:line="240" w:lineRule="auto"/>
        <w:rPr>
          <w:rFonts w:ascii="Arial" w:hAnsi="Arial" w:cs="Arial"/>
          <w:b w:val="0"/>
          <w:sz w:val="24"/>
        </w:rPr>
      </w:pPr>
      <w:bookmarkStart w:id="2" w:name="_Hlk23799997"/>
      <w:bookmarkStart w:id="3"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HPV vaccination coverage by remoteness of area o</w:t>
      </w:r>
      <w:r>
        <w:rPr>
          <w:rFonts w:ascii="Arial" w:hAnsi="Arial" w:cs="Arial"/>
          <w:b w:val="0"/>
          <w:sz w:val="24"/>
        </w:rPr>
        <w:t xml:space="preserve">f residence for males aged </w:t>
      </w:r>
      <w:bookmarkStart w:id="4" w:name="_Hlk23799895"/>
      <w:r>
        <w:rPr>
          <w:rFonts w:ascii="Arial" w:hAnsi="Arial" w:cs="Arial"/>
          <w:b w:val="0"/>
          <w:sz w:val="24"/>
        </w:rPr>
        <w:br/>
        <w:t>12-</w:t>
      </w:r>
      <w:r w:rsidRPr="00136340">
        <w:rPr>
          <w:rFonts w:ascii="Arial" w:hAnsi="Arial" w:cs="Arial"/>
          <w:b w:val="0"/>
          <w:sz w:val="24"/>
        </w:rPr>
        <w:t xml:space="preserve">13 </w:t>
      </w:r>
      <w:bookmarkEnd w:id="4"/>
      <w:r w:rsidRPr="00136340">
        <w:rPr>
          <w:rFonts w:ascii="Arial" w:hAnsi="Arial" w:cs="Arial"/>
          <w:b w:val="0"/>
          <w:sz w:val="24"/>
        </w:rPr>
        <w:t xml:space="preserve">years in </w:t>
      </w:r>
      <w:r>
        <w:rPr>
          <w:rFonts w:ascii="Arial" w:hAnsi="Arial" w:cs="Arial"/>
          <w:b w:val="0"/>
          <w:sz w:val="24"/>
        </w:rPr>
        <w:t>2013</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13"/>
      </w:tblPr>
      <w:tblGrid>
        <w:gridCol w:w="3938"/>
        <w:gridCol w:w="1946"/>
        <w:gridCol w:w="1946"/>
        <w:gridCol w:w="1941"/>
      </w:tblGrid>
      <w:tr w:rsidR="00186A70" w:rsidRPr="00136340" w14:paraId="20833864" w14:textId="77777777" w:rsidTr="00517B84">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896B057" w14:textId="77777777" w:rsidR="00186A70" w:rsidRPr="00136340" w:rsidRDefault="00186A70" w:rsidP="008538C1">
            <w:pPr>
              <w:jc w:val="center"/>
              <w:rPr>
                <w:rFonts w:ascii="Arial" w:hAnsi="Arial" w:cs="Arial"/>
              </w:rPr>
            </w:pPr>
            <w:bookmarkStart w:id="5"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7F7E966" w14:textId="77777777" w:rsidR="00186A70" w:rsidRPr="00136340" w:rsidRDefault="00186A70"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CC1C831" w14:textId="77777777" w:rsidR="00186A70" w:rsidRPr="00136340" w:rsidRDefault="00186A70"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129ED58" w14:textId="77777777" w:rsidR="00186A70" w:rsidRPr="00136340" w:rsidRDefault="00186A70"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186A70" w:rsidRPr="00136340" w14:paraId="6F1077B2" w14:textId="77777777" w:rsidTr="00517B8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5170BA0" w14:textId="77777777" w:rsidR="00186A70" w:rsidRPr="00136340" w:rsidRDefault="00186A70" w:rsidP="00186A70">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4025D4EA" w14:textId="7D1B970D"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81.5%</w:t>
            </w:r>
          </w:p>
        </w:tc>
        <w:tc>
          <w:tcPr>
            <w:tcW w:w="996" w:type="pct"/>
            <w:shd w:val="clear" w:color="auto" w:fill="DBE5F1" w:themeFill="accent1" w:themeFillTint="33"/>
            <w:vAlign w:val="center"/>
          </w:tcPr>
          <w:p w14:paraId="0665DC0B" w14:textId="6ACE41E9"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78.7%</w:t>
            </w:r>
          </w:p>
        </w:tc>
        <w:tc>
          <w:tcPr>
            <w:tcW w:w="994" w:type="pct"/>
            <w:shd w:val="clear" w:color="auto" w:fill="DBE5F1" w:themeFill="accent1" w:themeFillTint="33"/>
            <w:vAlign w:val="center"/>
          </w:tcPr>
          <w:p w14:paraId="0CB74CF8" w14:textId="35F5278C"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72.3%</w:t>
            </w:r>
          </w:p>
        </w:tc>
      </w:tr>
      <w:tr w:rsidR="00186A70" w:rsidRPr="00136340" w14:paraId="6D6F80B5" w14:textId="77777777" w:rsidTr="00517B84">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65CCCAF1" w14:textId="77777777" w:rsidR="00186A70" w:rsidRPr="00136340" w:rsidRDefault="00186A70" w:rsidP="00186A70">
            <w:pPr>
              <w:jc w:val="center"/>
              <w:rPr>
                <w:rFonts w:ascii="Arial" w:hAnsi="Arial" w:cs="Arial"/>
              </w:rPr>
            </w:pPr>
            <w:r w:rsidRPr="00136340">
              <w:rPr>
                <w:rFonts w:ascii="Arial" w:hAnsi="Arial" w:cs="Arial"/>
              </w:rPr>
              <w:t>Inner Regional</w:t>
            </w:r>
          </w:p>
        </w:tc>
        <w:tc>
          <w:tcPr>
            <w:tcW w:w="996" w:type="pct"/>
            <w:vAlign w:val="center"/>
          </w:tcPr>
          <w:p w14:paraId="7C927350" w14:textId="6F307335" w:rsidR="00186A70" w:rsidRPr="0013634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51D6">
              <w:rPr>
                <w:rFonts w:ascii="Arial" w:hAnsi="Arial" w:cs="Arial"/>
              </w:rPr>
              <w:t>79.4%</w:t>
            </w:r>
          </w:p>
        </w:tc>
        <w:tc>
          <w:tcPr>
            <w:tcW w:w="996" w:type="pct"/>
            <w:vAlign w:val="center"/>
          </w:tcPr>
          <w:p w14:paraId="195EB642" w14:textId="69D9300C" w:rsidR="00186A70" w:rsidRPr="0013634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51D6">
              <w:rPr>
                <w:rFonts w:ascii="Arial" w:hAnsi="Arial" w:cs="Arial"/>
              </w:rPr>
              <w:t>76.3%</w:t>
            </w:r>
          </w:p>
        </w:tc>
        <w:tc>
          <w:tcPr>
            <w:tcW w:w="994" w:type="pct"/>
            <w:vAlign w:val="center"/>
          </w:tcPr>
          <w:p w14:paraId="6182AE8F" w14:textId="649EDF0B" w:rsidR="00186A70" w:rsidRPr="0013634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51D6">
              <w:rPr>
                <w:rFonts w:ascii="Arial" w:hAnsi="Arial" w:cs="Arial"/>
              </w:rPr>
              <w:t>69.6%</w:t>
            </w:r>
          </w:p>
        </w:tc>
      </w:tr>
      <w:tr w:rsidR="00186A70" w:rsidRPr="00136340" w14:paraId="62204291" w14:textId="77777777" w:rsidTr="00517B8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9A99B02" w14:textId="77777777" w:rsidR="00186A70" w:rsidRPr="00136340" w:rsidRDefault="00186A70" w:rsidP="00186A70">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2AAC944A" w14:textId="477C45EF"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80.2%</w:t>
            </w:r>
          </w:p>
        </w:tc>
        <w:tc>
          <w:tcPr>
            <w:tcW w:w="996" w:type="pct"/>
            <w:shd w:val="clear" w:color="auto" w:fill="DBE5F1" w:themeFill="accent1" w:themeFillTint="33"/>
            <w:vAlign w:val="center"/>
          </w:tcPr>
          <w:p w14:paraId="39C19853" w14:textId="0F0660C5"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77.0%</w:t>
            </w:r>
          </w:p>
        </w:tc>
        <w:tc>
          <w:tcPr>
            <w:tcW w:w="994" w:type="pct"/>
            <w:shd w:val="clear" w:color="auto" w:fill="DBE5F1" w:themeFill="accent1" w:themeFillTint="33"/>
            <w:vAlign w:val="center"/>
          </w:tcPr>
          <w:p w14:paraId="52FD7FE4" w14:textId="602F5BFC"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70.3%</w:t>
            </w:r>
          </w:p>
        </w:tc>
      </w:tr>
      <w:tr w:rsidR="00186A70" w:rsidRPr="00136340" w14:paraId="3AE415BA" w14:textId="77777777" w:rsidTr="00517B84">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0AA68E5E" w14:textId="77777777" w:rsidR="00186A70" w:rsidRPr="00136340" w:rsidRDefault="00186A70" w:rsidP="00186A70">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32B06FE2" w14:textId="60EAD1F9" w:rsidR="00186A70" w:rsidRPr="0013634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51D6">
              <w:rPr>
                <w:rFonts w:ascii="Arial" w:hAnsi="Arial" w:cs="Arial"/>
              </w:rPr>
              <w:t>81.3%</w:t>
            </w:r>
          </w:p>
        </w:tc>
        <w:tc>
          <w:tcPr>
            <w:tcW w:w="996" w:type="pct"/>
            <w:shd w:val="clear" w:color="auto" w:fill="FFFFFF" w:themeFill="background1"/>
            <w:vAlign w:val="center"/>
          </w:tcPr>
          <w:p w14:paraId="35C112BC" w14:textId="5568EB8D" w:rsidR="00186A70" w:rsidRPr="0013634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51D6">
              <w:rPr>
                <w:rFonts w:ascii="Arial" w:hAnsi="Arial" w:cs="Arial"/>
              </w:rPr>
              <w:t>76.3%</w:t>
            </w:r>
          </w:p>
        </w:tc>
        <w:tc>
          <w:tcPr>
            <w:tcW w:w="994" w:type="pct"/>
            <w:shd w:val="clear" w:color="auto" w:fill="FFFFFF" w:themeFill="background1"/>
            <w:vAlign w:val="center"/>
          </w:tcPr>
          <w:p w14:paraId="4AF883C6" w14:textId="5E4C09AB" w:rsidR="00186A70" w:rsidRPr="0013634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51D6">
              <w:rPr>
                <w:rFonts w:ascii="Arial" w:hAnsi="Arial" w:cs="Arial"/>
              </w:rPr>
              <w:t>68.5%</w:t>
            </w:r>
          </w:p>
        </w:tc>
      </w:tr>
      <w:tr w:rsidR="00186A70" w:rsidRPr="00136340" w14:paraId="6504B240" w14:textId="77777777" w:rsidTr="00517B8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B224F65" w14:textId="77777777" w:rsidR="00186A70" w:rsidRPr="00136340" w:rsidRDefault="00186A70" w:rsidP="00186A70">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4E4CB2D4" w14:textId="14B58FCC"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73.3%</w:t>
            </w:r>
          </w:p>
        </w:tc>
        <w:tc>
          <w:tcPr>
            <w:tcW w:w="996" w:type="pct"/>
            <w:shd w:val="clear" w:color="auto" w:fill="DBE5F1" w:themeFill="accent1" w:themeFillTint="33"/>
            <w:vAlign w:val="center"/>
          </w:tcPr>
          <w:p w14:paraId="6F754063" w14:textId="648460CD"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67.1%</w:t>
            </w:r>
          </w:p>
        </w:tc>
        <w:tc>
          <w:tcPr>
            <w:tcW w:w="994" w:type="pct"/>
            <w:shd w:val="clear" w:color="auto" w:fill="DBE5F1" w:themeFill="accent1" w:themeFillTint="33"/>
            <w:vAlign w:val="center"/>
          </w:tcPr>
          <w:p w14:paraId="0033F9D9" w14:textId="3987ABCD" w:rsidR="00186A70" w:rsidRPr="00136340" w:rsidRDefault="00186A70" w:rsidP="00186A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51D6">
              <w:rPr>
                <w:rFonts w:ascii="Arial" w:hAnsi="Arial" w:cs="Arial"/>
              </w:rPr>
              <w:t>58.2%</w:t>
            </w:r>
          </w:p>
        </w:tc>
      </w:tr>
      <w:tr w:rsidR="00186A70" w:rsidRPr="00150C62" w14:paraId="5269B911" w14:textId="77777777" w:rsidTr="00517B84">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003738D7" w14:textId="77777777" w:rsidR="00186A70" w:rsidRPr="00150C62" w:rsidRDefault="00186A70" w:rsidP="00186A70">
            <w:pPr>
              <w:jc w:val="center"/>
              <w:rPr>
                <w:rFonts w:ascii="Arial" w:hAnsi="Arial" w:cs="Arial"/>
                <w:color w:val="FFFFFF" w:themeColor="background1"/>
              </w:rPr>
            </w:pPr>
            <w:r w:rsidRPr="00150C62">
              <w:rPr>
                <w:rFonts w:ascii="Arial" w:hAnsi="Arial" w:cs="Arial"/>
                <w:color w:val="FFFFFF" w:themeColor="background1"/>
              </w:rPr>
              <w:t>Total</w:t>
            </w:r>
          </w:p>
        </w:tc>
        <w:tc>
          <w:tcPr>
            <w:tcW w:w="996" w:type="pct"/>
            <w:shd w:val="clear" w:color="auto" w:fill="548DD4" w:themeFill="text2" w:themeFillTint="99"/>
            <w:vAlign w:val="center"/>
          </w:tcPr>
          <w:p w14:paraId="618C4E12" w14:textId="5CC74B70" w:rsidR="00186A70" w:rsidRPr="00186A7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186A70">
              <w:rPr>
                <w:rFonts w:ascii="Arial" w:hAnsi="Arial" w:cs="Arial"/>
                <w:b/>
                <w:bCs/>
                <w:color w:val="FFFFFF" w:themeColor="background1"/>
              </w:rPr>
              <w:t>80.9%</w:t>
            </w:r>
          </w:p>
        </w:tc>
        <w:tc>
          <w:tcPr>
            <w:tcW w:w="996" w:type="pct"/>
            <w:shd w:val="clear" w:color="auto" w:fill="548DD4" w:themeFill="text2" w:themeFillTint="99"/>
            <w:vAlign w:val="center"/>
          </w:tcPr>
          <w:p w14:paraId="5E9BEAB2" w14:textId="4D64ABB6" w:rsidR="00186A70" w:rsidRPr="00186A7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186A70">
              <w:rPr>
                <w:rFonts w:ascii="Arial" w:hAnsi="Arial" w:cs="Arial"/>
                <w:b/>
                <w:bCs/>
                <w:color w:val="FFFFFF" w:themeColor="background1"/>
              </w:rPr>
              <w:t>77.9%</w:t>
            </w:r>
          </w:p>
        </w:tc>
        <w:tc>
          <w:tcPr>
            <w:tcW w:w="994" w:type="pct"/>
            <w:shd w:val="clear" w:color="auto" w:fill="548DD4" w:themeFill="text2" w:themeFillTint="99"/>
            <w:vAlign w:val="center"/>
          </w:tcPr>
          <w:p w14:paraId="1E8794F2" w14:textId="1909CA48" w:rsidR="00186A70" w:rsidRPr="00186A70" w:rsidRDefault="00186A70" w:rsidP="00186A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186A70">
              <w:rPr>
                <w:rFonts w:ascii="Arial" w:hAnsi="Arial" w:cs="Arial"/>
                <w:b/>
                <w:bCs/>
                <w:color w:val="FFFFFF" w:themeColor="background1"/>
              </w:rPr>
              <w:t>71.4%</w:t>
            </w:r>
          </w:p>
        </w:tc>
      </w:tr>
    </w:tbl>
    <w:p w14:paraId="3CEDA102" w14:textId="77777777" w:rsidR="00186A70" w:rsidRPr="00150C62" w:rsidRDefault="00186A70" w:rsidP="00186A70">
      <w:pPr>
        <w:spacing w:after="120" w:line="240" w:lineRule="auto"/>
        <w:rPr>
          <w:rFonts w:ascii="Arial" w:hAnsi="Arial" w:cs="Arial"/>
          <w:sz w:val="28"/>
          <w:szCs w:val="28"/>
        </w:rPr>
      </w:pPr>
    </w:p>
    <w:bookmarkEnd w:id="2"/>
    <w:p w14:paraId="0346AFC8" w14:textId="77777777" w:rsidR="00186A70" w:rsidRPr="00150C62" w:rsidRDefault="00186A70" w:rsidP="00186A70">
      <w:pPr>
        <w:pStyle w:val="Heading1"/>
        <w:spacing w:before="0" w:after="120"/>
        <w:rPr>
          <w:rFonts w:ascii="Arial" w:hAnsi="Arial"/>
          <w:b w:val="0"/>
          <w:szCs w:val="28"/>
        </w:rPr>
      </w:pPr>
      <w:r w:rsidRPr="00150C62">
        <w:rPr>
          <w:rFonts w:ascii="Arial" w:hAnsi="Arial"/>
          <w:b w:val="0"/>
          <w:szCs w:val="28"/>
        </w:rPr>
        <w:t>Notes:</w:t>
      </w:r>
    </w:p>
    <w:p w14:paraId="49D24E44" w14:textId="4854502C" w:rsidR="00186A70" w:rsidRPr="00C84E7B" w:rsidRDefault="00186A70"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bookmarkStart w:id="6" w:name="_Hlk23800601"/>
      <w:bookmarkEnd w:id="3"/>
      <w:bookmarkEnd w:id="5"/>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1"/>
    <w:bookmarkEnd w:id="6"/>
    <w:p w14:paraId="6BD07667"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4651D6">
        <w:rPr>
          <w:rFonts w:ascii="Arial" w:eastAsia="Times New Roman" w:hAnsi="Arial" w:cs="Arial"/>
          <w:sz w:val="20"/>
          <w:szCs w:val="20"/>
          <w:lang w:val="en" w:eastAsia="en-AU"/>
        </w:rPr>
        <w:t>ered at prescribed intervals).</w:t>
      </w:r>
    </w:p>
    <w:p w14:paraId="375B44C8"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Estimated resident populations for 2013 were derived from ABS Census Colle</w:t>
      </w:r>
      <w:r w:rsidR="004651D6">
        <w:rPr>
          <w:rFonts w:ascii="Arial" w:eastAsia="Times New Roman" w:hAnsi="Arial" w:cs="Arial"/>
          <w:sz w:val="20"/>
          <w:szCs w:val="20"/>
          <w:lang w:val="en" w:eastAsia="en-AU"/>
        </w:rPr>
        <w:t>ction Districts (CD’s).</w:t>
      </w:r>
    </w:p>
    <w:p w14:paraId="436A6DC5"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Age is age as at date of ERP estimate (30th June).  Note that these estimates are for cohorts at age 12-13 and are therefore not comparable to other same year coverage est</w:t>
      </w:r>
      <w:r w:rsidR="004651D6">
        <w:rPr>
          <w:rFonts w:ascii="Arial" w:eastAsia="Times New Roman" w:hAnsi="Arial" w:cs="Arial"/>
          <w:sz w:val="20"/>
          <w:szCs w:val="20"/>
          <w:lang w:val="en" w:eastAsia="en-AU"/>
        </w:rPr>
        <w:t>imates for those aged 15 years.</w:t>
      </w:r>
    </w:p>
    <w:p w14:paraId="6501F27C"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ABS Australian Statistical Geography Standard: Vol 5 - Remoteness Structure, July 2011 wa</w:t>
      </w:r>
      <w:r w:rsidR="004651D6">
        <w:rPr>
          <w:rFonts w:ascii="Arial" w:eastAsia="Times New Roman" w:hAnsi="Arial" w:cs="Arial"/>
          <w:sz w:val="20"/>
          <w:szCs w:val="20"/>
          <w:lang w:val="en" w:eastAsia="en-AU"/>
        </w:rPr>
        <w:t>s used to classify remoteness.</w:t>
      </w:r>
    </w:p>
    <w:p w14:paraId="16C069AC"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lastRenderedPageBreak/>
        <w:t>Coverage is calculated as doses administered and reported to the HPV Register/Estimated Populat</w:t>
      </w:r>
      <w:r w:rsidR="004651D6">
        <w:rPr>
          <w:rFonts w:ascii="Arial" w:eastAsia="Times New Roman" w:hAnsi="Arial" w:cs="Arial"/>
          <w:sz w:val="20"/>
          <w:szCs w:val="20"/>
          <w:lang w:val="en" w:eastAsia="en-AU"/>
        </w:rPr>
        <w:t>ion expressed as a percentage.</w:t>
      </w:r>
    </w:p>
    <w:p w14:paraId="6EA2B12A"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Excludes consumers who do not wish their details to be</w:t>
      </w:r>
      <w:r w:rsidR="004651D6">
        <w:rPr>
          <w:rFonts w:ascii="Arial" w:eastAsia="Times New Roman" w:hAnsi="Arial" w:cs="Arial"/>
          <w:sz w:val="20"/>
          <w:szCs w:val="20"/>
          <w:lang w:val="en" w:eastAsia="en-AU"/>
        </w:rPr>
        <w:t xml:space="preserve"> recorded on the HPV Register.</w:t>
      </w:r>
    </w:p>
    <w:p w14:paraId="7273959C" w14:textId="77777777" w:rsidR="00BF0FA1" w:rsidRPr="004651D6"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4651D6">
        <w:rPr>
          <w:rFonts w:ascii="Arial" w:eastAsia="Times New Roman" w:hAnsi="Arial" w:cs="Arial"/>
          <w:sz w:val="20"/>
          <w:szCs w:val="20"/>
          <w:lang w:val="en" w:eastAsia="en-AU"/>
        </w:rPr>
        <w:t xml:space="preserve"> 14-15 years in 2013 and 2014.</w:t>
      </w:r>
    </w:p>
    <w:p w14:paraId="573F7D87" w14:textId="77777777" w:rsidR="00280050" w:rsidRPr="00186A70" w:rsidRDefault="00BF0FA1" w:rsidP="00186A70">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4651D6">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4651D6">
        <w:rPr>
          <w:rFonts w:ascii="Arial" w:eastAsia="Times New Roman" w:hAnsi="Arial" w:cs="Arial"/>
          <w:sz w:val="20"/>
          <w:szCs w:val="20"/>
          <w:lang w:val="en" w:eastAsia="en-AU"/>
        </w:rPr>
        <w:t>e based immunisation registers.</w:t>
      </w:r>
    </w:p>
    <w:sectPr w:rsidR="00280050" w:rsidRPr="00186A70"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D16FA"/>
    <w:multiLevelType w:val="multilevel"/>
    <w:tmpl w:val="3ECC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253FE"/>
    <w:multiLevelType w:val="multilevel"/>
    <w:tmpl w:val="FC0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E179B"/>
    <w:multiLevelType w:val="multilevel"/>
    <w:tmpl w:val="75C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6653C"/>
    <w:multiLevelType w:val="multilevel"/>
    <w:tmpl w:val="D65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4"/>
  </w:num>
  <w:num w:numId="5">
    <w:abstractNumId w:val="1"/>
  </w:num>
  <w:num w:numId="6">
    <w:abstractNumId w:val="8"/>
  </w:num>
  <w:num w:numId="7">
    <w:abstractNumId w:val="6"/>
  </w:num>
  <w:num w:numId="8">
    <w:abstractNumId w:val="11"/>
  </w:num>
  <w:num w:numId="9">
    <w:abstractNumId w:val="0"/>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03B4A"/>
    <w:rsid w:val="0001098C"/>
    <w:rsid w:val="000513F6"/>
    <w:rsid w:val="00053CC4"/>
    <w:rsid w:val="00053E9B"/>
    <w:rsid w:val="00065EE3"/>
    <w:rsid w:val="000867AB"/>
    <w:rsid w:val="00095859"/>
    <w:rsid w:val="000B250C"/>
    <w:rsid w:val="000C5420"/>
    <w:rsid w:val="00174B0E"/>
    <w:rsid w:val="00186A70"/>
    <w:rsid w:val="001A77AE"/>
    <w:rsid w:val="001B4435"/>
    <w:rsid w:val="001B69E9"/>
    <w:rsid w:val="002025B1"/>
    <w:rsid w:val="00230A45"/>
    <w:rsid w:val="0026258E"/>
    <w:rsid w:val="00267FB3"/>
    <w:rsid w:val="00280050"/>
    <w:rsid w:val="00335A34"/>
    <w:rsid w:val="0036007F"/>
    <w:rsid w:val="00362495"/>
    <w:rsid w:val="003F322E"/>
    <w:rsid w:val="004040B8"/>
    <w:rsid w:val="00421D01"/>
    <w:rsid w:val="00425020"/>
    <w:rsid w:val="00427702"/>
    <w:rsid w:val="00451FFE"/>
    <w:rsid w:val="004651D6"/>
    <w:rsid w:val="004B4339"/>
    <w:rsid w:val="004C27AC"/>
    <w:rsid w:val="004D718B"/>
    <w:rsid w:val="004E37AE"/>
    <w:rsid w:val="005141B3"/>
    <w:rsid w:val="00517B84"/>
    <w:rsid w:val="005405FF"/>
    <w:rsid w:val="005431DE"/>
    <w:rsid w:val="00544486"/>
    <w:rsid w:val="005A32B8"/>
    <w:rsid w:val="005C26DC"/>
    <w:rsid w:val="005C333E"/>
    <w:rsid w:val="005C5F45"/>
    <w:rsid w:val="005E1659"/>
    <w:rsid w:val="00635D9E"/>
    <w:rsid w:val="006E56C4"/>
    <w:rsid w:val="007136FF"/>
    <w:rsid w:val="00727CF6"/>
    <w:rsid w:val="00795111"/>
    <w:rsid w:val="007B68E3"/>
    <w:rsid w:val="0080203E"/>
    <w:rsid w:val="008033E5"/>
    <w:rsid w:val="00882681"/>
    <w:rsid w:val="0089196D"/>
    <w:rsid w:val="008F6809"/>
    <w:rsid w:val="00903030"/>
    <w:rsid w:val="00920F9F"/>
    <w:rsid w:val="00932139"/>
    <w:rsid w:val="00935E63"/>
    <w:rsid w:val="009556B4"/>
    <w:rsid w:val="009C0411"/>
    <w:rsid w:val="009D5705"/>
    <w:rsid w:val="00A14D5B"/>
    <w:rsid w:val="00A41B94"/>
    <w:rsid w:val="00A64A40"/>
    <w:rsid w:val="00B13FD0"/>
    <w:rsid w:val="00B37717"/>
    <w:rsid w:val="00B6437C"/>
    <w:rsid w:val="00B74086"/>
    <w:rsid w:val="00BF0FA1"/>
    <w:rsid w:val="00C061D5"/>
    <w:rsid w:val="00C077D5"/>
    <w:rsid w:val="00CC6916"/>
    <w:rsid w:val="00D417A6"/>
    <w:rsid w:val="00D57C73"/>
    <w:rsid w:val="00D81EF9"/>
    <w:rsid w:val="00DD2CAF"/>
    <w:rsid w:val="00E10BFC"/>
    <w:rsid w:val="00E40C2C"/>
    <w:rsid w:val="00E75599"/>
    <w:rsid w:val="00E919AF"/>
    <w:rsid w:val="00EC2BCC"/>
    <w:rsid w:val="00ED29A4"/>
    <w:rsid w:val="00ED3A7B"/>
    <w:rsid w:val="00EF44F6"/>
    <w:rsid w:val="00EF7D45"/>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0EF2"/>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14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7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524">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169517358">
      <w:bodyDiv w:val="1"/>
      <w:marLeft w:val="0"/>
      <w:marRight w:val="0"/>
      <w:marTop w:val="0"/>
      <w:marBottom w:val="0"/>
      <w:divBdr>
        <w:top w:val="none" w:sz="0" w:space="0" w:color="auto"/>
        <w:left w:val="none" w:sz="0" w:space="0" w:color="auto"/>
        <w:bottom w:val="none" w:sz="0" w:space="0" w:color="auto"/>
        <w:right w:val="none" w:sz="0" w:space="0" w:color="auto"/>
      </w:divBdr>
      <w:divsChild>
        <w:div w:id="1958289282">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337925529">
      <w:bodyDiv w:val="1"/>
      <w:marLeft w:val="0"/>
      <w:marRight w:val="0"/>
      <w:marTop w:val="0"/>
      <w:marBottom w:val="0"/>
      <w:divBdr>
        <w:top w:val="none" w:sz="0" w:space="0" w:color="auto"/>
        <w:left w:val="none" w:sz="0" w:space="0" w:color="auto"/>
        <w:bottom w:val="none" w:sz="0" w:space="0" w:color="auto"/>
        <w:right w:val="none" w:sz="0" w:space="0" w:color="auto"/>
      </w:divBdr>
      <w:divsChild>
        <w:div w:id="218177857">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32258515">
      <w:bodyDiv w:val="1"/>
      <w:marLeft w:val="0"/>
      <w:marRight w:val="0"/>
      <w:marTop w:val="0"/>
      <w:marBottom w:val="0"/>
      <w:divBdr>
        <w:top w:val="none" w:sz="0" w:space="0" w:color="auto"/>
        <w:left w:val="none" w:sz="0" w:space="0" w:color="auto"/>
        <w:bottom w:val="none" w:sz="0" w:space="0" w:color="auto"/>
        <w:right w:val="none" w:sz="0" w:space="0" w:color="auto"/>
      </w:divBdr>
      <w:divsChild>
        <w:div w:id="34413260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1847161918">
      <w:bodyDiv w:val="1"/>
      <w:marLeft w:val="0"/>
      <w:marRight w:val="0"/>
      <w:marTop w:val="0"/>
      <w:marBottom w:val="0"/>
      <w:divBdr>
        <w:top w:val="none" w:sz="0" w:space="0" w:color="auto"/>
        <w:left w:val="none" w:sz="0" w:space="0" w:color="auto"/>
        <w:bottom w:val="none" w:sz="0" w:space="0" w:color="auto"/>
        <w:right w:val="none" w:sz="0" w:space="0" w:color="auto"/>
      </w:divBdr>
      <w:divsChild>
        <w:div w:id="1892376842">
          <w:marLeft w:val="0"/>
          <w:marRight w:val="0"/>
          <w:marTop w:val="0"/>
          <w:marBottom w:val="0"/>
          <w:divBdr>
            <w:top w:val="none" w:sz="0" w:space="0" w:color="auto"/>
            <w:left w:val="none" w:sz="0" w:space="0" w:color="auto"/>
            <w:bottom w:val="none" w:sz="0" w:space="0" w:color="auto"/>
            <w:right w:val="none" w:sz="0" w:space="0" w:color="auto"/>
          </w:divBdr>
        </w:div>
      </w:divsChild>
    </w:div>
    <w:div w:id="1974671077">
      <w:bodyDiv w:val="1"/>
      <w:marLeft w:val="0"/>
      <w:marRight w:val="0"/>
      <w:marTop w:val="0"/>
      <w:marBottom w:val="0"/>
      <w:divBdr>
        <w:top w:val="none" w:sz="0" w:space="0" w:color="auto"/>
        <w:left w:val="none" w:sz="0" w:space="0" w:color="auto"/>
        <w:bottom w:val="none" w:sz="0" w:space="0" w:color="auto"/>
        <w:right w:val="none" w:sz="0" w:space="0" w:color="auto"/>
      </w:divBdr>
      <w:divsChild>
        <w:div w:id="2043557558">
          <w:marLeft w:val="0"/>
          <w:marRight w:val="0"/>
          <w:marTop w:val="0"/>
          <w:marBottom w:val="0"/>
          <w:divBdr>
            <w:top w:val="none" w:sz="0" w:space="0" w:color="auto"/>
            <w:left w:val="none" w:sz="0" w:space="0" w:color="auto"/>
            <w:bottom w:val="none" w:sz="0" w:space="0" w:color="auto"/>
            <w:right w:val="none" w:sz="0" w:space="0" w:color="auto"/>
          </w:divBdr>
        </w:div>
      </w:divsChild>
    </w:div>
    <w:div w:id="2013603529">
      <w:bodyDiv w:val="1"/>
      <w:marLeft w:val="0"/>
      <w:marRight w:val="0"/>
      <w:marTop w:val="0"/>
      <w:marBottom w:val="0"/>
      <w:divBdr>
        <w:top w:val="none" w:sz="0" w:space="0" w:color="auto"/>
        <w:left w:val="none" w:sz="0" w:space="0" w:color="auto"/>
        <w:bottom w:val="none" w:sz="0" w:space="0" w:color="auto"/>
        <w:right w:val="none" w:sz="0" w:space="0" w:color="auto"/>
      </w:divBdr>
      <w:divsChild>
        <w:div w:id="510527358">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 w:id="2142376918">
      <w:bodyDiv w:val="1"/>
      <w:marLeft w:val="0"/>
      <w:marRight w:val="0"/>
      <w:marTop w:val="0"/>
      <w:marBottom w:val="0"/>
      <w:divBdr>
        <w:top w:val="none" w:sz="0" w:space="0" w:color="auto"/>
        <w:left w:val="none" w:sz="0" w:space="0" w:color="auto"/>
        <w:bottom w:val="none" w:sz="0" w:space="0" w:color="auto"/>
        <w:right w:val="none" w:sz="0" w:space="0" w:color="auto"/>
      </w:divBdr>
      <w:divsChild>
        <w:div w:id="55898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0.81499999999999995</c:v>
                </c:pt>
                <c:pt idx="1">
                  <c:v>0.79400000000000004</c:v>
                </c:pt>
                <c:pt idx="2">
                  <c:v>0.80200000000000005</c:v>
                </c:pt>
                <c:pt idx="3">
                  <c:v>0.81299999999999994</c:v>
                </c:pt>
                <c:pt idx="4">
                  <c:v>0.73299999999999998</c:v>
                </c:pt>
                <c:pt idx="5">
                  <c:v>0.80900000000000005</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0.78700000000000003</c:v>
                </c:pt>
                <c:pt idx="1">
                  <c:v>0.76300000000000001</c:v>
                </c:pt>
                <c:pt idx="2">
                  <c:v>0.77</c:v>
                </c:pt>
                <c:pt idx="3">
                  <c:v>0.76300000000000001</c:v>
                </c:pt>
                <c:pt idx="4">
                  <c:v>0.67100000000000004</c:v>
                </c:pt>
                <c:pt idx="5">
                  <c:v>0.77900000000000003</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0.72299999999999998</c:v>
                </c:pt>
                <c:pt idx="1">
                  <c:v>0.69599999999999995</c:v>
                </c:pt>
                <c:pt idx="2">
                  <c:v>0.70299999999999996</c:v>
                </c:pt>
                <c:pt idx="3">
                  <c:v>0.68500000000000005</c:v>
                </c:pt>
                <c:pt idx="4">
                  <c:v>0.58199999999999996</c:v>
                </c:pt>
                <c:pt idx="5">
                  <c:v>0.71399999999999997</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2019-12-23T01:06:00Z</dcterms:created>
  <dcterms:modified xsi:type="dcterms:W3CDTF">2019-12-23T01:06:00Z</dcterms:modified>
</cp:coreProperties>
</file>