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DCEE393" w14:textId="0423D85A" w:rsidR="00A41B94" w:rsidRPr="003C14B2" w:rsidRDefault="00A41B94" w:rsidP="003C14B2">
      <w:pPr>
        <w:pStyle w:val="Title"/>
        <w:jc w:val="left"/>
        <w:rPr>
          <w:rFonts w:ascii="Arial" w:hAnsi="Arial" w:cs="Arial"/>
          <w:b w:val="0"/>
        </w:rPr>
      </w:pPr>
      <w:bookmarkStart w:id="0" w:name="_GoBack"/>
      <w:bookmarkEnd w:id="0"/>
      <w:r w:rsidRPr="003C14B2">
        <w:rPr>
          <w:rFonts w:ascii="Arial" w:hAnsi="Arial" w:cs="Arial"/>
          <w:b w:val="0"/>
          <w:lang w:val="en"/>
        </w:rPr>
        <w:t xml:space="preserve">HPV vaccination coverage by </w:t>
      </w:r>
      <w:r w:rsidR="00F94226">
        <w:rPr>
          <w:rFonts w:ascii="Arial" w:hAnsi="Arial" w:cs="Arial"/>
          <w:b w:val="0"/>
          <w:lang w:val="en"/>
        </w:rPr>
        <w:t>R</w:t>
      </w:r>
      <w:r w:rsidR="006E56C4" w:rsidRPr="003C14B2">
        <w:rPr>
          <w:rFonts w:ascii="Arial" w:hAnsi="Arial" w:cs="Arial"/>
          <w:b w:val="0"/>
          <w:lang w:val="en"/>
        </w:rPr>
        <w:t>emoteness of area of residence</w:t>
      </w:r>
      <w:r w:rsidRPr="003C14B2">
        <w:rPr>
          <w:rFonts w:ascii="Arial" w:hAnsi="Arial" w:cs="Arial"/>
          <w:b w:val="0"/>
          <w:lang w:val="en"/>
        </w:rPr>
        <w:t xml:space="preserve"> for females aged 12</w:t>
      </w:r>
      <w:r w:rsidR="00A01B8B">
        <w:rPr>
          <w:rFonts w:ascii="Arial" w:hAnsi="Arial" w:cs="Arial"/>
          <w:b w:val="0"/>
          <w:lang w:val="en"/>
        </w:rPr>
        <w:t>-</w:t>
      </w:r>
      <w:r w:rsidR="00B5328D">
        <w:rPr>
          <w:rFonts w:ascii="Arial" w:hAnsi="Arial" w:cs="Arial"/>
          <w:b w:val="0"/>
          <w:lang w:val="en"/>
        </w:rPr>
        <w:t>1</w:t>
      </w:r>
      <w:r w:rsidRPr="003C14B2">
        <w:rPr>
          <w:rFonts w:ascii="Arial" w:hAnsi="Arial" w:cs="Arial"/>
          <w:b w:val="0"/>
          <w:lang w:val="en"/>
        </w:rPr>
        <w:t>3 years in 200</w:t>
      </w:r>
      <w:r w:rsidR="003F322E" w:rsidRPr="003C14B2">
        <w:rPr>
          <w:rFonts w:ascii="Arial" w:hAnsi="Arial" w:cs="Arial"/>
          <w:b w:val="0"/>
          <w:lang w:val="en"/>
        </w:rPr>
        <w:t>8</w:t>
      </w:r>
    </w:p>
    <w:p w14:paraId="54FD418A" w14:textId="77777777" w:rsidR="003C14B2" w:rsidRPr="003C14B2" w:rsidRDefault="003C14B2" w:rsidP="003C14B2">
      <w:pPr>
        <w:pStyle w:val="Caption"/>
        <w:spacing w:after="120" w:line="240" w:lineRule="auto"/>
        <w:rPr>
          <w:rFonts w:ascii="Arial" w:hAnsi="Arial" w:cs="Arial"/>
          <w:b w:val="0"/>
          <w:sz w:val="24"/>
        </w:rPr>
      </w:pPr>
    </w:p>
    <w:p w14:paraId="12C81B62" w14:textId="0724B642" w:rsidR="00A41B94" w:rsidRPr="003C14B2" w:rsidRDefault="00A41B94" w:rsidP="003C14B2">
      <w:pPr>
        <w:pStyle w:val="Caption"/>
        <w:spacing w:after="120" w:line="240" w:lineRule="auto"/>
        <w:rPr>
          <w:rFonts w:ascii="Arial" w:hAnsi="Arial" w:cs="Arial"/>
          <w:b w:val="0"/>
          <w:sz w:val="24"/>
        </w:rPr>
      </w:pPr>
      <w:r w:rsidRPr="003C14B2">
        <w:rPr>
          <w:rFonts w:ascii="Arial" w:hAnsi="Arial" w:cs="Arial"/>
          <w:b w:val="0"/>
          <w:sz w:val="24"/>
        </w:rPr>
        <w:t xml:space="preserve">Graph </w:t>
      </w:r>
      <w:r w:rsidRPr="003C14B2">
        <w:rPr>
          <w:rFonts w:ascii="Arial" w:hAnsi="Arial" w:cs="Arial"/>
          <w:b w:val="0"/>
          <w:sz w:val="24"/>
        </w:rPr>
        <w:fldChar w:fldCharType="begin"/>
      </w:r>
      <w:r w:rsidRPr="003C14B2">
        <w:rPr>
          <w:rFonts w:ascii="Arial" w:hAnsi="Arial" w:cs="Arial"/>
          <w:b w:val="0"/>
          <w:sz w:val="24"/>
        </w:rPr>
        <w:instrText xml:space="preserve"> SEQ Graph \* ARABIC </w:instrText>
      </w:r>
      <w:r w:rsidRPr="003C14B2">
        <w:rPr>
          <w:rFonts w:ascii="Arial" w:hAnsi="Arial" w:cs="Arial"/>
          <w:b w:val="0"/>
          <w:sz w:val="24"/>
        </w:rPr>
        <w:fldChar w:fldCharType="separate"/>
      </w:r>
      <w:r w:rsidRPr="003C14B2">
        <w:rPr>
          <w:rFonts w:ascii="Arial" w:hAnsi="Arial" w:cs="Arial"/>
          <w:b w:val="0"/>
          <w:noProof/>
          <w:sz w:val="24"/>
        </w:rPr>
        <w:t>1</w:t>
      </w:r>
      <w:r w:rsidRPr="003C14B2">
        <w:rPr>
          <w:rFonts w:ascii="Arial" w:hAnsi="Arial" w:cs="Arial"/>
          <w:b w:val="0"/>
          <w:sz w:val="24"/>
        </w:rPr>
        <w:fldChar w:fldCharType="end"/>
      </w:r>
      <w:r w:rsidR="00AB4369">
        <w:rPr>
          <w:rFonts w:ascii="Arial" w:hAnsi="Arial" w:cs="Arial"/>
          <w:b w:val="0"/>
          <w:sz w:val="24"/>
        </w:rPr>
        <w:t>.</w:t>
      </w:r>
      <w:r w:rsidRPr="003C14B2">
        <w:rPr>
          <w:rFonts w:ascii="Arial" w:hAnsi="Arial" w:cs="Arial"/>
          <w:b w:val="0"/>
          <w:sz w:val="24"/>
        </w:rPr>
        <w:t xml:space="preserve"> HPV vaccination coverage by </w:t>
      </w:r>
      <w:r w:rsidR="00EC65E8" w:rsidRPr="003C14B2">
        <w:rPr>
          <w:rFonts w:ascii="Arial" w:hAnsi="Arial" w:cs="Arial"/>
          <w:b w:val="0"/>
          <w:sz w:val="24"/>
        </w:rPr>
        <w:t>r</w:t>
      </w:r>
      <w:r w:rsidR="006E56C4" w:rsidRPr="003C14B2">
        <w:rPr>
          <w:rFonts w:ascii="Arial" w:hAnsi="Arial" w:cs="Arial"/>
          <w:b w:val="0"/>
          <w:sz w:val="24"/>
        </w:rPr>
        <w:t>emoteness</w:t>
      </w:r>
      <w:r w:rsidRPr="003C14B2">
        <w:rPr>
          <w:rFonts w:ascii="Arial" w:hAnsi="Arial" w:cs="Arial"/>
          <w:b w:val="0"/>
          <w:sz w:val="24"/>
        </w:rPr>
        <w:t xml:space="preserve"> of area of residence for females aged </w:t>
      </w:r>
      <w:r w:rsidR="00B5328D">
        <w:rPr>
          <w:rFonts w:ascii="Arial" w:hAnsi="Arial" w:cs="Arial"/>
          <w:b w:val="0"/>
          <w:sz w:val="24"/>
        </w:rPr>
        <w:t>12</w:t>
      </w:r>
      <w:r w:rsidR="00A01B8B">
        <w:rPr>
          <w:rFonts w:ascii="Arial" w:hAnsi="Arial" w:cs="Arial"/>
          <w:b w:val="0"/>
          <w:sz w:val="24"/>
        </w:rPr>
        <w:t>-</w:t>
      </w:r>
      <w:r w:rsidR="00B5328D" w:rsidRPr="00136340">
        <w:rPr>
          <w:rFonts w:ascii="Arial" w:hAnsi="Arial" w:cs="Arial"/>
          <w:b w:val="0"/>
          <w:sz w:val="24"/>
        </w:rPr>
        <w:t xml:space="preserve">13 </w:t>
      </w:r>
      <w:r w:rsidRPr="003C14B2">
        <w:rPr>
          <w:rFonts w:ascii="Arial" w:hAnsi="Arial" w:cs="Arial"/>
          <w:b w:val="0"/>
          <w:sz w:val="24"/>
        </w:rPr>
        <w:t>years in 200</w:t>
      </w:r>
      <w:r w:rsidR="003F322E" w:rsidRPr="003C14B2">
        <w:rPr>
          <w:rFonts w:ascii="Arial" w:hAnsi="Arial" w:cs="Arial"/>
          <w:b w:val="0"/>
          <w:sz w:val="24"/>
        </w:rPr>
        <w:t>8</w:t>
      </w:r>
      <w:r w:rsidRPr="003C14B2">
        <w:rPr>
          <w:rFonts w:ascii="Arial" w:hAnsi="Arial" w:cs="Arial"/>
          <w:b w:val="0"/>
          <w:sz w:val="24"/>
        </w:rPr>
        <w:t>.</w:t>
      </w:r>
    </w:p>
    <w:p w14:paraId="21CF46AF" w14:textId="77777777" w:rsidR="00A41B94" w:rsidRPr="003C14B2" w:rsidRDefault="00A41B94" w:rsidP="00A41B94">
      <w:pPr>
        <w:rPr>
          <w:rFonts w:ascii="Arial" w:hAnsi="Arial" w:cs="Arial"/>
        </w:rPr>
      </w:pPr>
      <w:r w:rsidRPr="003C14B2">
        <w:rPr>
          <w:rFonts w:ascii="Arial" w:hAnsi="Arial" w:cs="Arial"/>
          <w:noProof/>
          <w:lang w:eastAsia="en-AU"/>
        </w:rPr>
        <w:drawing>
          <wp:inline distT="0" distB="0" distL="0" distR="0" wp14:anchorId="00823EF7" wp14:editId="1FB64381">
            <wp:extent cx="5486400" cy="32004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14:paraId="27D77760" w14:textId="77777777" w:rsidR="00731C2D" w:rsidRPr="00A37817" w:rsidRDefault="00731C2D" w:rsidP="00731C2D">
      <w:pPr>
        <w:spacing w:after="120" w:line="240" w:lineRule="auto"/>
        <w:rPr>
          <w:rFonts w:ascii="Arial" w:hAnsi="Arial" w:cs="Arial"/>
        </w:rPr>
      </w:pPr>
    </w:p>
    <w:p w14:paraId="100B6283" w14:textId="5F093D59" w:rsidR="00731C2D" w:rsidRPr="00136340" w:rsidRDefault="00731C2D" w:rsidP="00731C2D">
      <w:pPr>
        <w:pStyle w:val="Caption"/>
        <w:spacing w:after="120" w:line="240" w:lineRule="auto"/>
        <w:rPr>
          <w:rFonts w:ascii="Arial" w:hAnsi="Arial" w:cs="Arial"/>
          <w:b w:val="0"/>
          <w:sz w:val="24"/>
        </w:rPr>
      </w:pPr>
      <w:r w:rsidRPr="00136340">
        <w:rPr>
          <w:rFonts w:ascii="Arial" w:hAnsi="Arial" w:cs="Arial"/>
          <w:b w:val="0"/>
          <w:sz w:val="24"/>
        </w:rPr>
        <w:t xml:space="preserve">Table </w:t>
      </w:r>
      <w:r w:rsidRPr="00136340">
        <w:rPr>
          <w:rFonts w:ascii="Arial" w:hAnsi="Arial" w:cs="Arial"/>
          <w:b w:val="0"/>
          <w:sz w:val="24"/>
        </w:rPr>
        <w:fldChar w:fldCharType="begin"/>
      </w:r>
      <w:r w:rsidRPr="00136340">
        <w:rPr>
          <w:rFonts w:ascii="Arial" w:hAnsi="Arial" w:cs="Arial"/>
          <w:b w:val="0"/>
          <w:sz w:val="24"/>
        </w:rPr>
        <w:instrText xml:space="preserve"> SEQ Table \* ARABIC </w:instrText>
      </w:r>
      <w:r w:rsidRPr="00136340">
        <w:rPr>
          <w:rFonts w:ascii="Arial" w:hAnsi="Arial" w:cs="Arial"/>
          <w:b w:val="0"/>
          <w:sz w:val="24"/>
        </w:rPr>
        <w:fldChar w:fldCharType="separate"/>
      </w:r>
      <w:r w:rsidRPr="00136340">
        <w:rPr>
          <w:rFonts w:ascii="Arial" w:hAnsi="Arial" w:cs="Arial"/>
          <w:b w:val="0"/>
          <w:noProof/>
          <w:sz w:val="24"/>
        </w:rPr>
        <w:t>1</w:t>
      </w:r>
      <w:r w:rsidRPr="00136340">
        <w:rPr>
          <w:rFonts w:ascii="Arial" w:hAnsi="Arial" w:cs="Arial"/>
          <w:b w:val="0"/>
          <w:sz w:val="24"/>
        </w:rPr>
        <w:fldChar w:fldCharType="end"/>
      </w:r>
      <w:r w:rsidRPr="00136340">
        <w:rPr>
          <w:rFonts w:ascii="Arial" w:hAnsi="Arial" w:cs="Arial"/>
          <w:b w:val="0"/>
          <w:sz w:val="24"/>
        </w:rPr>
        <w:t>. HPV vaccination coverage by remoteness of area o</w:t>
      </w:r>
      <w:r>
        <w:rPr>
          <w:rFonts w:ascii="Arial" w:hAnsi="Arial" w:cs="Arial"/>
          <w:b w:val="0"/>
          <w:sz w:val="24"/>
        </w:rPr>
        <w:t>f residence for females aged 12</w:t>
      </w:r>
      <w:r w:rsidR="00A01B8B">
        <w:rPr>
          <w:rFonts w:ascii="Arial" w:hAnsi="Arial" w:cs="Arial"/>
          <w:b w:val="0"/>
          <w:sz w:val="24"/>
        </w:rPr>
        <w:t>-</w:t>
      </w:r>
      <w:r>
        <w:rPr>
          <w:rFonts w:ascii="Arial" w:hAnsi="Arial" w:cs="Arial"/>
          <w:b w:val="0"/>
          <w:sz w:val="24"/>
        </w:rPr>
        <w:t>13 years in 2008</w:t>
      </w:r>
      <w:r w:rsidRPr="00136340">
        <w:rPr>
          <w:rFonts w:ascii="Arial" w:hAnsi="Arial" w:cs="Arial"/>
          <w:b w:val="0"/>
          <w:sz w:val="24"/>
        </w:rPr>
        <w:t>.</w:t>
      </w:r>
    </w:p>
    <w:tbl>
      <w:tblPr>
        <w:tblStyle w:val="GridTable4-Accent51"/>
        <w:tblW w:w="5000" w:type="pct"/>
        <w:jc w:val="center"/>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Look w:val="04A0" w:firstRow="1" w:lastRow="0" w:firstColumn="1" w:lastColumn="0" w:noHBand="0" w:noVBand="1"/>
        <w:tblCaption w:val="Table 1 Coverage per cent for dose 1, 2 and 3 by remoteness"/>
        <w:tblDescription w:val="Table 1 Coverage per cent for dose 1, 2 and 3 by remoteness for 2008"/>
      </w:tblPr>
      <w:tblGrid>
        <w:gridCol w:w="3938"/>
        <w:gridCol w:w="1946"/>
        <w:gridCol w:w="1946"/>
        <w:gridCol w:w="1941"/>
      </w:tblGrid>
      <w:tr w:rsidR="00731C2D" w:rsidRPr="00136340" w14:paraId="703A36E6" w14:textId="77777777" w:rsidTr="00566FF2">
        <w:trPr>
          <w:cnfStyle w:val="100000000000" w:firstRow="1" w:lastRow="0" w:firstColumn="0" w:lastColumn="0" w:oddVBand="0" w:evenVBand="0" w:oddHBand="0" w:evenHBand="0" w:firstRowFirstColumn="0" w:firstRowLastColumn="0" w:lastRowFirstColumn="0" w:lastRowLastColumn="0"/>
          <w:trHeight w:val="794"/>
          <w:jc w:val="center"/>
        </w:trPr>
        <w:tc>
          <w:tcPr>
            <w:cnfStyle w:val="001000000000" w:firstRow="0" w:lastRow="0" w:firstColumn="1" w:lastColumn="0" w:oddVBand="0" w:evenVBand="0" w:oddHBand="0" w:evenHBand="0" w:firstRowFirstColumn="0" w:firstRowLastColumn="0" w:lastRowFirstColumn="0" w:lastRowLastColumn="0"/>
            <w:tcW w:w="2015" w:type="pct"/>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1FCEFDC1" w14:textId="77777777" w:rsidR="00731C2D" w:rsidRPr="00136340" w:rsidRDefault="00731C2D" w:rsidP="00AE109F">
            <w:pPr>
              <w:jc w:val="center"/>
              <w:rPr>
                <w:rFonts w:ascii="Arial" w:hAnsi="Arial" w:cs="Arial"/>
              </w:rPr>
            </w:pPr>
          </w:p>
        </w:tc>
        <w:tc>
          <w:tcPr>
            <w:tcW w:w="996" w:type="pct"/>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62E9977F" w14:textId="77777777" w:rsidR="00731C2D" w:rsidRPr="00136340" w:rsidRDefault="00731C2D" w:rsidP="00AE109F">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136340">
              <w:rPr>
                <w:rFonts w:ascii="Arial" w:hAnsi="Arial" w:cs="Arial"/>
              </w:rPr>
              <w:t>Coverage Dose 1</w:t>
            </w:r>
          </w:p>
        </w:tc>
        <w:tc>
          <w:tcPr>
            <w:tcW w:w="996" w:type="pct"/>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3665E0CB" w14:textId="77777777" w:rsidR="00731C2D" w:rsidRPr="00136340" w:rsidRDefault="00731C2D" w:rsidP="00AE109F">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136340">
              <w:rPr>
                <w:rFonts w:ascii="Arial" w:hAnsi="Arial" w:cs="Arial"/>
              </w:rPr>
              <w:t>Coverage Dose 2</w:t>
            </w:r>
          </w:p>
        </w:tc>
        <w:tc>
          <w:tcPr>
            <w:tcW w:w="994" w:type="pct"/>
            <w:tcBorders>
              <w:top w:val="none" w:sz="0" w:space="0" w:color="auto"/>
              <w:left w:val="none" w:sz="0" w:space="0" w:color="auto"/>
              <w:bottom w:val="none" w:sz="0" w:space="0" w:color="auto"/>
              <w:right w:val="none" w:sz="0" w:space="0" w:color="auto"/>
            </w:tcBorders>
            <w:shd w:val="clear" w:color="auto" w:fill="548DD4" w:themeFill="text2" w:themeFillTint="99"/>
            <w:vAlign w:val="center"/>
          </w:tcPr>
          <w:p w14:paraId="7D6D96AC" w14:textId="77777777" w:rsidR="00731C2D" w:rsidRPr="00136340" w:rsidRDefault="00731C2D" w:rsidP="00AE109F">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136340">
              <w:rPr>
                <w:rFonts w:ascii="Arial" w:hAnsi="Arial" w:cs="Arial"/>
              </w:rPr>
              <w:t>Coverage Dose 3</w:t>
            </w:r>
          </w:p>
        </w:tc>
      </w:tr>
      <w:tr w:rsidR="00731C2D" w:rsidRPr="00136340" w14:paraId="6DCBDCCD" w14:textId="77777777" w:rsidTr="0037682C">
        <w:trPr>
          <w:cnfStyle w:val="000000100000" w:firstRow="0" w:lastRow="0" w:firstColumn="0" w:lastColumn="0" w:oddVBand="0" w:evenVBand="0" w:oddHBand="1" w:evenHBand="0" w:firstRowFirstColumn="0" w:firstRowLastColumn="0" w:lastRowFirstColumn="0" w:lastRowLastColumn="0"/>
          <w:trHeight w:val="414"/>
          <w:jc w:val="center"/>
        </w:trPr>
        <w:tc>
          <w:tcPr>
            <w:cnfStyle w:val="001000000000" w:firstRow="0" w:lastRow="0" w:firstColumn="1" w:lastColumn="0" w:oddVBand="0" w:evenVBand="0" w:oddHBand="0" w:evenHBand="0" w:firstRowFirstColumn="0" w:firstRowLastColumn="0" w:lastRowFirstColumn="0" w:lastRowLastColumn="0"/>
            <w:tcW w:w="2015" w:type="pct"/>
            <w:shd w:val="clear" w:color="auto" w:fill="DBE5F1" w:themeFill="accent1" w:themeFillTint="33"/>
            <w:vAlign w:val="center"/>
          </w:tcPr>
          <w:p w14:paraId="0458FD7C" w14:textId="77777777" w:rsidR="00731C2D" w:rsidRPr="00136340" w:rsidRDefault="00731C2D" w:rsidP="00731C2D">
            <w:pPr>
              <w:jc w:val="center"/>
              <w:rPr>
                <w:rFonts w:ascii="Arial" w:hAnsi="Arial" w:cs="Arial"/>
              </w:rPr>
            </w:pPr>
            <w:r w:rsidRPr="00136340">
              <w:rPr>
                <w:rFonts w:ascii="Arial" w:hAnsi="Arial" w:cs="Arial"/>
              </w:rPr>
              <w:t>Major Cities</w:t>
            </w:r>
          </w:p>
        </w:tc>
        <w:tc>
          <w:tcPr>
            <w:tcW w:w="996" w:type="pct"/>
            <w:shd w:val="clear" w:color="auto" w:fill="DBE5F1" w:themeFill="accent1" w:themeFillTint="33"/>
            <w:vAlign w:val="center"/>
          </w:tcPr>
          <w:p w14:paraId="65012F1F"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83.9%</w:t>
            </w:r>
          </w:p>
        </w:tc>
        <w:tc>
          <w:tcPr>
            <w:tcW w:w="996" w:type="pct"/>
            <w:shd w:val="clear" w:color="auto" w:fill="DBE5F1" w:themeFill="accent1" w:themeFillTint="33"/>
            <w:vAlign w:val="center"/>
          </w:tcPr>
          <w:p w14:paraId="7979B77D"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80.8%</w:t>
            </w:r>
          </w:p>
        </w:tc>
        <w:tc>
          <w:tcPr>
            <w:tcW w:w="994" w:type="pct"/>
            <w:shd w:val="clear" w:color="auto" w:fill="DBE5F1" w:themeFill="accent1" w:themeFillTint="33"/>
            <w:vAlign w:val="center"/>
          </w:tcPr>
          <w:p w14:paraId="4D812095"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74.2%</w:t>
            </w:r>
          </w:p>
        </w:tc>
      </w:tr>
      <w:tr w:rsidR="00731C2D" w:rsidRPr="00136340" w14:paraId="23F38313" w14:textId="77777777" w:rsidTr="00566FF2">
        <w:trPr>
          <w:trHeight w:val="414"/>
          <w:jc w:val="center"/>
        </w:trPr>
        <w:tc>
          <w:tcPr>
            <w:cnfStyle w:val="001000000000" w:firstRow="0" w:lastRow="0" w:firstColumn="1" w:lastColumn="0" w:oddVBand="0" w:evenVBand="0" w:oddHBand="0" w:evenHBand="0" w:firstRowFirstColumn="0" w:firstRowLastColumn="0" w:lastRowFirstColumn="0" w:lastRowLastColumn="0"/>
            <w:tcW w:w="2015" w:type="pct"/>
            <w:shd w:val="clear" w:color="auto" w:fill="FFFFFF" w:themeFill="background1"/>
            <w:vAlign w:val="center"/>
          </w:tcPr>
          <w:p w14:paraId="40E29B29" w14:textId="77777777" w:rsidR="00731C2D" w:rsidRPr="00136340" w:rsidRDefault="00731C2D" w:rsidP="00731C2D">
            <w:pPr>
              <w:jc w:val="center"/>
              <w:rPr>
                <w:rFonts w:ascii="Arial" w:hAnsi="Arial" w:cs="Arial"/>
              </w:rPr>
            </w:pPr>
            <w:r w:rsidRPr="00136340">
              <w:rPr>
                <w:rFonts w:ascii="Arial" w:hAnsi="Arial" w:cs="Arial"/>
              </w:rPr>
              <w:t>Inner Regional</w:t>
            </w:r>
          </w:p>
        </w:tc>
        <w:tc>
          <w:tcPr>
            <w:tcW w:w="996" w:type="pct"/>
            <w:shd w:val="clear" w:color="auto" w:fill="FFFFFF" w:themeFill="background1"/>
            <w:vAlign w:val="center"/>
          </w:tcPr>
          <w:p w14:paraId="506742F1" w14:textId="77777777" w:rsidR="00731C2D" w:rsidRPr="003C14B2"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3C14B2">
              <w:rPr>
                <w:rFonts w:ascii="Arial" w:hAnsi="Arial" w:cs="Arial"/>
              </w:rPr>
              <w:t>86.2%</w:t>
            </w:r>
          </w:p>
        </w:tc>
        <w:tc>
          <w:tcPr>
            <w:tcW w:w="996" w:type="pct"/>
            <w:shd w:val="clear" w:color="auto" w:fill="FFFFFF" w:themeFill="background1"/>
            <w:vAlign w:val="center"/>
          </w:tcPr>
          <w:p w14:paraId="24800998" w14:textId="77777777" w:rsidR="00731C2D" w:rsidRPr="003C14B2"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3C14B2">
              <w:rPr>
                <w:rFonts w:ascii="Arial" w:hAnsi="Arial" w:cs="Arial"/>
              </w:rPr>
              <w:t>82.6%</w:t>
            </w:r>
          </w:p>
        </w:tc>
        <w:tc>
          <w:tcPr>
            <w:tcW w:w="994" w:type="pct"/>
            <w:shd w:val="clear" w:color="auto" w:fill="FFFFFF" w:themeFill="background1"/>
            <w:vAlign w:val="center"/>
          </w:tcPr>
          <w:p w14:paraId="5EFCD13A" w14:textId="77777777" w:rsidR="00731C2D" w:rsidRPr="003C14B2"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3C14B2">
              <w:rPr>
                <w:rFonts w:ascii="Arial" w:hAnsi="Arial" w:cs="Arial"/>
              </w:rPr>
              <w:t>75.6%</w:t>
            </w:r>
          </w:p>
        </w:tc>
      </w:tr>
      <w:tr w:rsidR="00731C2D" w:rsidRPr="00136340" w14:paraId="3EB41BDA" w14:textId="77777777" w:rsidTr="0037682C">
        <w:trPr>
          <w:cnfStyle w:val="000000100000" w:firstRow="0" w:lastRow="0" w:firstColumn="0" w:lastColumn="0" w:oddVBand="0" w:evenVBand="0" w:oddHBand="1" w:evenHBand="0" w:firstRowFirstColumn="0" w:firstRowLastColumn="0" w:lastRowFirstColumn="0" w:lastRowLastColumn="0"/>
          <w:trHeight w:val="414"/>
          <w:jc w:val="center"/>
        </w:trPr>
        <w:tc>
          <w:tcPr>
            <w:cnfStyle w:val="001000000000" w:firstRow="0" w:lastRow="0" w:firstColumn="1" w:lastColumn="0" w:oddVBand="0" w:evenVBand="0" w:oddHBand="0" w:evenHBand="0" w:firstRowFirstColumn="0" w:firstRowLastColumn="0" w:lastRowFirstColumn="0" w:lastRowLastColumn="0"/>
            <w:tcW w:w="2015" w:type="pct"/>
            <w:shd w:val="clear" w:color="auto" w:fill="DBE5F1" w:themeFill="accent1" w:themeFillTint="33"/>
            <w:vAlign w:val="center"/>
          </w:tcPr>
          <w:p w14:paraId="4FF8440C" w14:textId="77777777" w:rsidR="00731C2D" w:rsidRPr="00136340" w:rsidRDefault="00731C2D" w:rsidP="00731C2D">
            <w:pPr>
              <w:jc w:val="center"/>
              <w:rPr>
                <w:rFonts w:ascii="Arial" w:hAnsi="Arial" w:cs="Arial"/>
              </w:rPr>
            </w:pPr>
            <w:r w:rsidRPr="00136340">
              <w:rPr>
                <w:rFonts w:ascii="Arial" w:hAnsi="Arial" w:cs="Arial"/>
              </w:rPr>
              <w:t>Outer Regional</w:t>
            </w:r>
          </w:p>
        </w:tc>
        <w:tc>
          <w:tcPr>
            <w:tcW w:w="996" w:type="pct"/>
            <w:shd w:val="clear" w:color="auto" w:fill="DBE5F1" w:themeFill="accent1" w:themeFillTint="33"/>
            <w:vAlign w:val="center"/>
          </w:tcPr>
          <w:p w14:paraId="02575987"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85.8%</w:t>
            </w:r>
          </w:p>
        </w:tc>
        <w:tc>
          <w:tcPr>
            <w:tcW w:w="996" w:type="pct"/>
            <w:shd w:val="clear" w:color="auto" w:fill="DBE5F1" w:themeFill="accent1" w:themeFillTint="33"/>
            <w:vAlign w:val="center"/>
          </w:tcPr>
          <w:p w14:paraId="6C12495C"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81.9%</w:t>
            </w:r>
          </w:p>
        </w:tc>
        <w:tc>
          <w:tcPr>
            <w:tcW w:w="994" w:type="pct"/>
            <w:shd w:val="clear" w:color="auto" w:fill="DBE5F1" w:themeFill="accent1" w:themeFillTint="33"/>
            <w:vAlign w:val="center"/>
          </w:tcPr>
          <w:p w14:paraId="14954CE8"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74.4%</w:t>
            </w:r>
          </w:p>
        </w:tc>
      </w:tr>
      <w:tr w:rsidR="00731C2D" w:rsidRPr="00136340" w14:paraId="6394F180" w14:textId="77777777" w:rsidTr="00566FF2">
        <w:trPr>
          <w:trHeight w:val="414"/>
          <w:jc w:val="center"/>
        </w:trPr>
        <w:tc>
          <w:tcPr>
            <w:cnfStyle w:val="001000000000" w:firstRow="0" w:lastRow="0" w:firstColumn="1" w:lastColumn="0" w:oddVBand="0" w:evenVBand="0" w:oddHBand="0" w:evenHBand="0" w:firstRowFirstColumn="0" w:firstRowLastColumn="0" w:lastRowFirstColumn="0" w:lastRowLastColumn="0"/>
            <w:tcW w:w="2015" w:type="pct"/>
            <w:shd w:val="clear" w:color="auto" w:fill="FFFFFF" w:themeFill="background1"/>
            <w:vAlign w:val="center"/>
          </w:tcPr>
          <w:p w14:paraId="1E9D3D2F" w14:textId="77777777" w:rsidR="00731C2D" w:rsidRPr="00136340" w:rsidRDefault="00731C2D" w:rsidP="00731C2D">
            <w:pPr>
              <w:jc w:val="center"/>
              <w:rPr>
                <w:rFonts w:ascii="Arial" w:hAnsi="Arial" w:cs="Arial"/>
              </w:rPr>
            </w:pPr>
            <w:r w:rsidRPr="00136340">
              <w:rPr>
                <w:rFonts w:ascii="Arial" w:hAnsi="Arial" w:cs="Arial"/>
              </w:rPr>
              <w:t>Remote</w:t>
            </w:r>
          </w:p>
        </w:tc>
        <w:tc>
          <w:tcPr>
            <w:tcW w:w="996" w:type="pct"/>
            <w:shd w:val="clear" w:color="auto" w:fill="FFFFFF" w:themeFill="background1"/>
            <w:vAlign w:val="center"/>
          </w:tcPr>
          <w:p w14:paraId="1140F664" w14:textId="77777777" w:rsidR="00731C2D" w:rsidRPr="003C14B2"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3C14B2">
              <w:rPr>
                <w:rFonts w:ascii="Arial" w:hAnsi="Arial" w:cs="Arial"/>
              </w:rPr>
              <w:t>84.9%</w:t>
            </w:r>
          </w:p>
        </w:tc>
        <w:tc>
          <w:tcPr>
            <w:tcW w:w="996" w:type="pct"/>
            <w:shd w:val="clear" w:color="auto" w:fill="FFFFFF" w:themeFill="background1"/>
            <w:vAlign w:val="center"/>
          </w:tcPr>
          <w:p w14:paraId="0439044B" w14:textId="77777777" w:rsidR="00731C2D" w:rsidRPr="003C14B2"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3C14B2">
              <w:rPr>
                <w:rFonts w:ascii="Arial" w:hAnsi="Arial" w:cs="Arial"/>
              </w:rPr>
              <w:t>80.2%</w:t>
            </w:r>
          </w:p>
        </w:tc>
        <w:tc>
          <w:tcPr>
            <w:tcW w:w="994" w:type="pct"/>
            <w:shd w:val="clear" w:color="auto" w:fill="FFFFFF" w:themeFill="background1"/>
            <w:vAlign w:val="center"/>
          </w:tcPr>
          <w:p w14:paraId="1A6659EF" w14:textId="77777777" w:rsidR="00731C2D" w:rsidRPr="003C14B2"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rPr>
            </w:pPr>
            <w:r w:rsidRPr="003C14B2">
              <w:rPr>
                <w:rFonts w:ascii="Arial" w:hAnsi="Arial" w:cs="Arial"/>
              </w:rPr>
              <w:t>72.3%</w:t>
            </w:r>
          </w:p>
        </w:tc>
      </w:tr>
      <w:tr w:rsidR="00731C2D" w:rsidRPr="00136340" w14:paraId="761A1838" w14:textId="77777777" w:rsidTr="0037682C">
        <w:trPr>
          <w:cnfStyle w:val="000000100000" w:firstRow="0" w:lastRow="0" w:firstColumn="0" w:lastColumn="0" w:oddVBand="0" w:evenVBand="0" w:oddHBand="1" w:evenHBand="0" w:firstRowFirstColumn="0" w:firstRowLastColumn="0" w:lastRowFirstColumn="0" w:lastRowLastColumn="0"/>
          <w:trHeight w:val="414"/>
          <w:jc w:val="center"/>
        </w:trPr>
        <w:tc>
          <w:tcPr>
            <w:cnfStyle w:val="001000000000" w:firstRow="0" w:lastRow="0" w:firstColumn="1" w:lastColumn="0" w:oddVBand="0" w:evenVBand="0" w:oddHBand="0" w:evenHBand="0" w:firstRowFirstColumn="0" w:firstRowLastColumn="0" w:lastRowFirstColumn="0" w:lastRowLastColumn="0"/>
            <w:tcW w:w="2015" w:type="pct"/>
            <w:shd w:val="clear" w:color="auto" w:fill="DBE5F1" w:themeFill="accent1" w:themeFillTint="33"/>
            <w:vAlign w:val="center"/>
          </w:tcPr>
          <w:p w14:paraId="6401A6DF" w14:textId="77777777" w:rsidR="00731C2D" w:rsidRPr="00136340" w:rsidRDefault="00731C2D" w:rsidP="00731C2D">
            <w:pPr>
              <w:jc w:val="center"/>
              <w:rPr>
                <w:rFonts w:ascii="Arial" w:hAnsi="Arial" w:cs="Arial"/>
              </w:rPr>
            </w:pPr>
            <w:r w:rsidRPr="00136340">
              <w:rPr>
                <w:rFonts w:ascii="Arial" w:hAnsi="Arial" w:cs="Arial"/>
              </w:rPr>
              <w:t>Very Remote</w:t>
            </w:r>
          </w:p>
        </w:tc>
        <w:tc>
          <w:tcPr>
            <w:tcW w:w="996" w:type="pct"/>
            <w:shd w:val="clear" w:color="auto" w:fill="DBE5F1" w:themeFill="accent1" w:themeFillTint="33"/>
            <w:vAlign w:val="center"/>
          </w:tcPr>
          <w:p w14:paraId="2E6B9E04"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88.2%</w:t>
            </w:r>
          </w:p>
        </w:tc>
        <w:tc>
          <w:tcPr>
            <w:tcW w:w="996" w:type="pct"/>
            <w:shd w:val="clear" w:color="auto" w:fill="DBE5F1" w:themeFill="accent1" w:themeFillTint="33"/>
            <w:vAlign w:val="center"/>
          </w:tcPr>
          <w:p w14:paraId="7199D398"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82.4%</w:t>
            </w:r>
          </w:p>
        </w:tc>
        <w:tc>
          <w:tcPr>
            <w:tcW w:w="994" w:type="pct"/>
            <w:shd w:val="clear" w:color="auto" w:fill="DBE5F1" w:themeFill="accent1" w:themeFillTint="33"/>
            <w:vAlign w:val="center"/>
          </w:tcPr>
          <w:p w14:paraId="35576DBF" w14:textId="77777777" w:rsidR="00731C2D" w:rsidRPr="003C14B2" w:rsidRDefault="00731C2D" w:rsidP="00731C2D">
            <w:pPr>
              <w:jc w:val="center"/>
              <w:cnfStyle w:val="000000100000" w:firstRow="0" w:lastRow="0" w:firstColumn="0" w:lastColumn="0" w:oddVBand="0" w:evenVBand="0" w:oddHBand="1" w:evenHBand="0" w:firstRowFirstColumn="0" w:firstRowLastColumn="0" w:lastRowFirstColumn="0" w:lastRowLastColumn="0"/>
              <w:rPr>
                <w:rFonts w:ascii="Arial" w:hAnsi="Arial" w:cs="Arial"/>
              </w:rPr>
            </w:pPr>
            <w:r w:rsidRPr="003C14B2">
              <w:rPr>
                <w:rFonts w:ascii="Arial" w:hAnsi="Arial" w:cs="Arial"/>
              </w:rPr>
              <w:t>71.9%</w:t>
            </w:r>
          </w:p>
        </w:tc>
      </w:tr>
      <w:tr w:rsidR="00731C2D" w:rsidRPr="00150C62" w14:paraId="1CDB0116" w14:textId="77777777" w:rsidTr="00566FF2">
        <w:trPr>
          <w:trHeight w:val="414"/>
          <w:jc w:val="center"/>
        </w:trPr>
        <w:tc>
          <w:tcPr>
            <w:cnfStyle w:val="001000000000" w:firstRow="0" w:lastRow="0" w:firstColumn="1" w:lastColumn="0" w:oddVBand="0" w:evenVBand="0" w:oddHBand="0" w:evenHBand="0" w:firstRowFirstColumn="0" w:firstRowLastColumn="0" w:lastRowFirstColumn="0" w:lastRowLastColumn="0"/>
            <w:tcW w:w="2015" w:type="pct"/>
            <w:shd w:val="clear" w:color="auto" w:fill="548DD4" w:themeFill="text2" w:themeFillTint="99"/>
            <w:vAlign w:val="center"/>
          </w:tcPr>
          <w:p w14:paraId="62200265" w14:textId="77777777" w:rsidR="00731C2D" w:rsidRPr="00150C62" w:rsidRDefault="00731C2D" w:rsidP="00731C2D">
            <w:pPr>
              <w:jc w:val="center"/>
              <w:rPr>
                <w:rFonts w:ascii="Arial" w:hAnsi="Arial" w:cs="Arial"/>
                <w:color w:val="FFFFFF" w:themeColor="background1"/>
              </w:rPr>
            </w:pPr>
            <w:r w:rsidRPr="00150C62">
              <w:rPr>
                <w:rFonts w:ascii="Arial" w:hAnsi="Arial" w:cs="Arial"/>
                <w:color w:val="FFFFFF" w:themeColor="background1"/>
              </w:rPr>
              <w:t>Total</w:t>
            </w:r>
          </w:p>
        </w:tc>
        <w:tc>
          <w:tcPr>
            <w:tcW w:w="996" w:type="pct"/>
            <w:shd w:val="clear" w:color="auto" w:fill="548DD4" w:themeFill="text2" w:themeFillTint="99"/>
            <w:vAlign w:val="center"/>
          </w:tcPr>
          <w:p w14:paraId="0108C5D2" w14:textId="77777777" w:rsidR="00731C2D" w:rsidRPr="00731C2D"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FFFFFF" w:themeColor="background1"/>
              </w:rPr>
            </w:pPr>
            <w:r w:rsidRPr="00731C2D">
              <w:rPr>
                <w:rFonts w:ascii="Arial" w:hAnsi="Arial" w:cs="Arial"/>
                <w:b/>
                <w:color w:val="FFFFFF" w:themeColor="background1"/>
              </w:rPr>
              <w:t>84.7%</w:t>
            </w:r>
          </w:p>
        </w:tc>
        <w:tc>
          <w:tcPr>
            <w:tcW w:w="996" w:type="pct"/>
            <w:shd w:val="clear" w:color="auto" w:fill="548DD4" w:themeFill="text2" w:themeFillTint="99"/>
            <w:vAlign w:val="center"/>
          </w:tcPr>
          <w:p w14:paraId="4899B6B2" w14:textId="77777777" w:rsidR="00731C2D" w:rsidRPr="00731C2D"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FFFFFF" w:themeColor="background1"/>
              </w:rPr>
            </w:pPr>
            <w:r w:rsidRPr="00731C2D">
              <w:rPr>
                <w:rFonts w:ascii="Arial" w:hAnsi="Arial" w:cs="Arial"/>
                <w:b/>
                <w:color w:val="FFFFFF" w:themeColor="background1"/>
              </w:rPr>
              <w:t>81.3%</w:t>
            </w:r>
          </w:p>
        </w:tc>
        <w:tc>
          <w:tcPr>
            <w:tcW w:w="994" w:type="pct"/>
            <w:shd w:val="clear" w:color="auto" w:fill="548DD4" w:themeFill="text2" w:themeFillTint="99"/>
            <w:vAlign w:val="center"/>
          </w:tcPr>
          <w:p w14:paraId="4C02A75A" w14:textId="77777777" w:rsidR="00731C2D" w:rsidRPr="00731C2D" w:rsidRDefault="00731C2D" w:rsidP="00731C2D">
            <w:pPr>
              <w:jc w:val="center"/>
              <w:cnfStyle w:val="000000000000" w:firstRow="0" w:lastRow="0" w:firstColumn="0" w:lastColumn="0" w:oddVBand="0" w:evenVBand="0" w:oddHBand="0" w:evenHBand="0" w:firstRowFirstColumn="0" w:firstRowLastColumn="0" w:lastRowFirstColumn="0" w:lastRowLastColumn="0"/>
              <w:rPr>
                <w:rFonts w:ascii="Arial" w:hAnsi="Arial" w:cs="Arial"/>
                <w:b/>
                <w:color w:val="FFFFFF" w:themeColor="background1"/>
              </w:rPr>
            </w:pPr>
            <w:r w:rsidRPr="00731C2D">
              <w:rPr>
                <w:rFonts w:ascii="Arial" w:hAnsi="Arial" w:cs="Arial"/>
                <w:b/>
                <w:color w:val="FFFFFF" w:themeColor="background1"/>
              </w:rPr>
              <w:t>74.5%</w:t>
            </w:r>
          </w:p>
        </w:tc>
      </w:tr>
    </w:tbl>
    <w:p w14:paraId="18C57738" w14:textId="77777777" w:rsidR="00731C2D" w:rsidRPr="00731C2D" w:rsidRDefault="00731C2D" w:rsidP="00731C2D">
      <w:pPr>
        <w:spacing w:after="120" w:line="240" w:lineRule="auto"/>
        <w:rPr>
          <w:rFonts w:ascii="Arial" w:hAnsi="Arial" w:cs="Arial"/>
          <w:sz w:val="28"/>
          <w:szCs w:val="28"/>
        </w:rPr>
      </w:pPr>
    </w:p>
    <w:p w14:paraId="6A7B6B18" w14:textId="77777777" w:rsidR="00A41B94" w:rsidRPr="00731C2D" w:rsidRDefault="00A41B94" w:rsidP="003C14B2">
      <w:pPr>
        <w:pStyle w:val="Heading1"/>
        <w:spacing w:before="0" w:after="120"/>
        <w:rPr>
          <w:rFonts w:ascii="Arial" w:hAnsi="Arial"/>
          <w:b w:val="0"/>
          <w:szCs w:val="28"/>
        </w:rPr>
      </w:pPr>
      <w:r w:rsidRPr="00731C2D">
        <w:rPr>
          <w:rFonts w:ascii="Arial" w:hAnsi="Arial"/>
          <w:b w:val="0"/>
          <w:szCs w:val="28"/>
        </w:rPr>
        <w:t>Notes:</w:t>
      </w:r>
    </w:p>
    <w:p w14:paraId="4B231198" w14:textId="52C80967" w:rsidR="00A01B8B" w:rsidRPr="00C84E7B" w:rsidRDefault="00A01B8B" w:rsidP="00A01B8B">
      <w:pPr>
        <w:numPr>
          <w:ilvl w:val="0"/>
          <w:numId w:val="6"/>
        </w:numPr>
        <w:spacing w:after="120" w:line="276" w:lineRule="auto"/>
        <w:rPr>
          <w:rFonts w:ascii="Arial" w:eastAsia="Times New Roman" w:hAnsi="Arial" w:cs="Arial"/>
          <w:sz w:val="20"/>
          <w:szCs w:val="20"/>
          <w:lang w:val="en" w:eastAsia="en-AU"/>
        </w:rPr>
      </w:pPr>
      <w:r w:rsidRPr="00C84E7B">
        <w:rPr>
          <w:rFonts w:ascii="Arial" w:eastAsia="Times New Roman" w:hAnsi="Arial" w:cs="Arial"/>
          <w:sz w:val="20"/>
          <w:szCs w:val="20"/>
          <w:lang w:val="en" w:eastAsia="en-AU"/>
        </w:rPr>
        <w:t xml:space="preserve">Data extracted from the National HPV Vaccination Program Register </w:t>
      </w:r>
      <w:r>
        <w:rPr>
          <w:rFonts w:ascii="Arial" w:eastAsia="Times New Roman" w:hAnsi="Arial" w:cs="Arial"/>
          <w:sz w:val="20"/>
          <w:szCs w:val="20"/>
          <w:lang w:val="en" w:eastAsia="en-AU"/>
        </w:rPr>
        <w:t>(HPV Register) as at December 2014.</w:t>
      </w:r>
    </w:p>
    <w:p w14:paraId="7299A254" w14:textId="77777777" w:rsidR="003F322E" w:rsidRPr="003C14B2" w:rsidRDefault="003F322E" w:rsidP="003C14B2">
      <w:pPr>
        <w:numPr>
          <w:ilvl w:val="0"/>
          <w:numId w:val="6"/>
        </w:numPr>
        <w:spacing w:after="120" w:line="276" w:lineRule="auto"/>
        <w:rPr>
          <w:rFonts w:ascii="Arial" w:eastAsia="Times New Roman" w:hAnsi="Arial" w:cs="Arial"/>
          <w:sz w:val="20"/>
          <w:szCs w:val="20"/>
          <w:lang w:val="en" w:eastAsia="en-AU"/>
        </w:rPr>
      </w:pPr>
      <w:r w:rsidRPr="003C14B2">
        <w:rPr>
          <w:rFonts w:ascii="Arial" w:eastAsia="Times New Roman" w:hAnsi="Arial" w:cs="Arial"/>
          <w:sz w:val="20"/>
          <w:szCs w:val="20"/>
          <w:lang w:val="en" w:eastAsia="en-AU"/>
        </w:rPr>
        <w:t>Includes doses that comply with the recommended vaccine dosage and administration as per the Australian Immunisation Handbook (up to 3 doses administ</w:t>
      </w:r>
      <w:r w:rsidR="003C14B2">
        <w:rPr>
          <w:rFonts w:ascii="Arial" w:eastAsia="Times New Roman" w:hAnsi="Arial" w:cs="Arial"/>
          <w:sz w:val="20"/>
          <w:szCs w:val="20"/>
          <w:lang w:val="en" w:eastAsia="en-AU"/>
        </w:rPr>
        <w:t>ered at prescribed intervals).</w:t>
      </w:r>
    </w:p>
    <w:p w14:paraId="0AF56B67" w14:textId="77777777" w:rsidR="003F322E" w:rsidRPr="003C14B2" w:rsidRDefault="003F322E" w:rsidP="003C14B2">
      <w:pPr>
        <w:numPr>
          <w:ilvl w:val="0"/>
          <w:numId w:val="6"/>
        </w:numPr>
        <w:spacing w:after="120" w:line="276" w:lineRule="auto"/>
        <w:rPr>
          <w:rFonts w:ascii="Arial" w:eastAsia="Times New Roman" w:hAnsi="Arial" w:cs="Arial"/>
          <w:sz w:val="20"/>
          <w:szCs w:val="20"/>
          <w:lang w:val="en" w:eastAsia="en-AU"/>
        </w:rPr>
      </w:pPr>
      <w:r w:rsidRPr="003C14B2">
        <w:rPr>
          <w:rFonts w:ascii="Arial" w:eastAsia="Times New Roman" w:hAnsi="Arial" w:cs="Arial"/>
          <w:sz w:val="20"/>
          <w:szCs w:val="20"/>
          <w:lang w:val="en" w:eastAsia="en-AU"/>
        </w:rPr>
        <w:t>Estimated resident populations for 2008 were derived from ABS Census Colle</w:t>
      </w:r>
      <w:r w:rsidR="003C14B2">
        <w:rPr>
          <w:rFonts w:ascii="Arial" w:eastAsia="Times New Roman" w:hAnsi="Arial" w:cs="Arial"/>
          <w:sz w:val="20"/>
          <w:szCs w:val="20"/>
          <w:lang w:val="en" w:eastAsia="en-AU"/>
        </w:rPr>
        <w:t>ction Districts (CD’s).</w:t>
      </w:r>
    </w:p>
    <w:p w14:paraId="0425FDB4" w14:textId="37FB5F14" w:rsidR="003F322E" w:rsidRPr="003C14B2" w:rsidRDefault="003F322E" w:rsidP="003C14B2">
      <w:pPr>
        <w:numPr>
          <w:ilvl w:val="0"/>
          <w:numId w:val="6"/>
        </w:numPr>
        <w:spacing w:after="120" w:line="276" w:lineRule="auto"/>
        <w:rPr>
          <w:rFonts w:ascii="Arial" w:eastAsia="Times New Roman" w:hAnsi="Arial" w:cs="Arial"/>
          <w:sz w:val="20"/>
          <w:szCs w:val="20"/>
          <w:lang w:val="en" w:eastAsia="en-AU"/>
        </w:rPr>
      </w:pPr>
      <w:r w:rsidRPr="003C14B2">
        <w:rPr>
          <w:rFonts w:ascii="Arial" w:eastAsia="Times New Roman" w:hAnsi="Arial" w:cs="Arial"/>
          <w:sz w:val="20"/>
          <w:szCs w:val="20"/>
          <w:lang w:val="en" w:eastAsia="en-AU"/>
        </w:rPr>
        <w:t>Age is age as at date of ERP estimate (30th June). Note that these estimates are for cohorts at age 12-13 and are therefore not comparable to other same year coverage est</w:t>
      </w:r>
      <w:r w:rsidR="003C14B2">
        <w:rPr>
          <w:rFonts w:ascii="Arial" w:eastAsia="Times New Roman" w:hAnsi="Arial" w:cs="Arial"/>
          <w:sz w:val="20"/>
          <w:szCs w:val="20"/>
          <w:lang w:val="en" w:eastAsia="en-AU"/>
        </w:rPr>
        <w:t>imates for those aged 15 years.</w:t>
      </w:r>
    </w:p>
    <w:p w14:paraId="4082871B" w14:textId="77777777" w:rsidR="003F322E" w:rsidRPr="003C14B2" w:rsidRDefault="003F322E" w:rsidP="003C14B2">
      <w:pPr>
        <w:numPr>
          <w:ilvl w:val="0"/>
          <w:numId w:val="6"/>
        </w:numPr>
        <w:spacing w:after="120" w:line="276" w:lineRule="auto"/>
        <w:rPr>
          <w:rFonts w:ascii="Arial" w:eastAsia="Times New Roman" w:hAnsi="Arial" w:cs="Arial"/>
          <w:sz w:val="20"/>
          <w:szCs w:val="20"/>
          <w:lang w:val="en" w:eastAsia="en-AU"/>
        </w:rPr>
      </w:pPr>
      <w:r w:rsidRPr="003C14B2">
        <w:rPr>
          <w:rFonts w:ascii="Arial" w:eastAsia="Times New Roman" w:hAnsi="Arial" w:cs="Arial"/>
          <w:sz w:val="20"/>
          <w:szCs w:val="20"/>
          <w:lang w:val="en" w:eastAsia="en-AU"/>
        </w:rPr>
        <w:t>ABS Australian Statistical Geography Standard: Vol 5 - Remoteness Structure, July 2011 wa</w:t>
      </w:r>
      <w:r w:rsidR="003C14B2">
        <w:rPr>
          <w:rFonts w:ascii="Arial" w:eastAsia="Times New Roman" w:hAnsi="Arial" w:cs="Arial"/>
          <w:sz w:val="20"/>
          <w:szCs w:val="20"/>
          <w:lang w:val="en" w:eastAsia="en-AU"/>
        </w:rPr>
        <w:t>s used to classify remoteness.</w:t>
      </w:r>
    </w:p>
    <w:p w14:paraId="6A85F0CC" w14:textId="77777777" w:rsidR="003F322E" w:rsidRPr="003C14B2" w:rsidRDefault="003F322E" w:rsidP="003C14B2">
      <w:pPr>
        <w:numPr>
          <w:ilvl w:val="0"/>
          <w:numId w:val="6"/>
        </w:numPr>
        <w:spacing w:after="120" w:line="276" w:lineRule="auto"/>
        <w:rPr>
          <w:rFonts w:ascii="Arial" w:eastAsia="Times New Roman" w:hAnsi="Arial" w:cs="Arial"/>
          <w:sz w:val="20"/>
          <w:szCs w:val="20"/>
          <w:lang w:val="en" w:eastAsia="en-AU"/>
        </w:rPr>
      </w:pPr>
      <w:r w:rsidRPr="003C14B2">
        <w:rPr>
          <w:rFonts w:ascii="Arial" w:eastAsia="Times New Roman" w:hAnsi="Arial" w:cs="Arial"/>
          <w:sz w:val="20"/>
          <w:szCs w:val="20"/>
          <w:lang w:val="en" w:eastAsia="en-AU"/>
        </w:rPr>
        <w:lastRenderedPageBreak/>
        <w:t>Coverage is calculated as doses administered and reported to the HPV Register/Estimated Populat</w:t>
      </w:r>
      <w:r w:rsidR="003C14B2">
        <w:rPr>
          <w:rFonts w:ascii="Arial" w:eastAsia="Times New Roman" w:hAnsi="Arial" w:cs="Arial"/>
          <w:sz w:val="20"/>
          <w:szCs w:val="20"/>
          <w:lang w:val="en" w:eastAsia="en-AU"/>
        </w:rPr>
        <w:t>ion expressed as a percentage.</w:t>
      </w:r>
    </w:p>
    <w:p w14:paraId="2F73A1B8" w14:textId="77777777" w:rsidR="003F322E" w:rsidRPr="003C14B2" w:rsidRDefault="003F322E" w:rsidP="003C14B2">
      <w:pPr>
        <w:numPr>
          <w:ilvl w:val="0"/>
          <w:numId w:val="6"/>
        </w:numPr>
        <w:spacing w:after="120" w:line="276" w:lineRule="auto"/>
        <w:rPr>
          <w:rFonts w:ascii="Arial" w:eastAsia="Times New Roman" w:hAnsi="Arial" w:cs="Arial"/>
          <w:sz w:val="20"/>
          <w:szCs w:val="20"/>
          <w:lang w:val="en" w:eastAsia="en-AU"/>
        </w:rPr>
      </w:pPr>
      <w:r w:rsidRPr="003C14B2">
        <w:rPr>
          <w:rFonts w:ascii="Arial" w:eastAsia="Times New Roman" w:hAnsi="Arial" w:cs="Arial"/>
          <w:sz w:val="20"/>
          <w:szCs w:val="20"/>
          <w:lang w:val="en" w:eastAsia="en-AU"/>
        </w:rPr>
        <w:t>Excludes consumers who do not wish their details to be</w:t>
      </w:r>
      <w:r w:rsidR="003C14B2">
        <w:rPr>
          <w:rFonts w:ascii="Arial" w:eastAsia="Times New Roman" w:hAnsi="Arial" w:cs="Arial"/>
          <w:sz w:val="20"/>
          <w:szCs w:val="20"/>
          <w:lang w:val="en" w:eastAsia="en-AU"/>
        </w:rPr>
        <w:t xml:space="preserve"> recorded on the HPV Register.</w:t>
      </w:r>
    </w:p>
    <w:p w14:paraId="020FE0FF" w14:textId="77777777" w:rsidR="003F322E" w:rsidRPr="003C14B2" w:rsidRDefault="003F322E" w:rsidP="003C14B2">
      <w:pPr>
        <w:numPr>
          <w:ilvl w:val="0"/>
          <w:numId w:val="6"/>
        </w:numPr>
        <w:spacing w:after="120" w:line="276" w:lineRule="auto"/>
        <w:rPr>
          <w:rFonts w:ascii="Arial" w:eastAsia="Times New Roman" w:hAnsi="Arial" w:cs="Arial"/>
          <w:sz w:val="20"/>
          <w:szCs w:val="20"/>
          <w:lang w:val="en" w:eastAsia="en-AU"/>
        </w:rPr>
      </w:pPr>
      <w:r w:rsidRPr="003C14B2">
        <w:rPr>
          <w:rFonts w:ascii="Arial" w:eastAsia="Times New Roman" w:hAnsi="Arial" w:cs="Arial"/>
          <w:sz w:val="20"/>
          <w:szCs w:val="20"/>
          <w:lang w:val="en" w:eastAsia="en-AU"/>
        </w:rPr>
        <w:t>The National HPV Vaccination Program initially provided quadrivalent HPV vaccine for all females aged 12-26 years as at mid 2007 (school program commenced April 2007 and GP/community program in July 2007) until end December 2009. From 2009 the Program offered HPV vaccination routinely to females in the first year of high school (usually at 12-13 years). From 2013, males were also offered HPV vaccination routinely in the first year of high school (age 12-13 years), with a catch-up program available for males aged</w:t>
      </w:r>
      <w:r w:rsidR="003C14B2">
        <w:rPr>
          <w:rFonts w:ascii="Arial" w:eastAsia="Times New Roman" w:hAnsi="Arial" w:cs="Arial"/>
          <w:sz w:val="20"/>
          <w:szCs w:val="20"/>
          <w:lang w:val="en" w:eastAsia="en-AU"/>
        </w:rPr>
        <w:t xml:space="preserve"> 14-15 years in 2013 and 2014.</w:t>
      </w:r>
    </w:p>
    <w:p w14:paraId="36373F40" w14:textId="77777777" w:rsidR="00280050" w:rsidRPr="003C14B2" w:rsidRDefault="003F322E" w:rsidP="00BE2A2D">
      <w:pPr>
        <w:numPr>
          <w:ilvl w:val="0"/>
          <w:numId w:val="6"/>
        </w:numPr>
        <w:spacing w:after="120" w:line="276" w:lineRule="auto"/>
        <w:rPr>
          <w:rFonts w:ascii="Arial" w:hAnsi="Arial" w:cs="Arial"/>
        </w:rPr>
      </w:pPr>
      <w:r w:rsidRPr="003C14B2">
        <w:rPr>
          <w:rFonts w:ascii="Arial" w:eastAsia="Times New Roman" w:hAnsi="Arial" w:cs="Arial"/>
          <w:sz w:val="20"/>
          <w:szCs w:val="20"/>
          <w:lang w:val="en" w:eastAsia="en-AU"/>
        </w:rPr>
        <w:t>HPV Vaccination doses administered through general practice and in other community settings may be incompletely notified to the HPV Register. The extent of under notification differs by jurisdiction, with the Northern Territory and Queensland expected to have the most complete notification, due to notification of doses via Stat</w:t>
      </w:r>
      <w:r w:rsidR="003C14B2">
        <w:rPr>
          <w:rFonts w:ascii="Arial" w:eastAsia="Times New Roman" w:hAnsi="Arial" w:cs="Arial"/>
          <w:sz w:val="20"/>
          <w:szCs w:val="20"/>
          <w:lang w:val="en" w:eastAsia="en-AU"/>
        </w:rPr>
        <w:t>e based immunisation registers.</w:t>
      </w:r>
    </w:p>
    <w:sectPr w:rsidR="00280050" w:rsidRPr="003C14B2" w:rsidSect="00725BF5">
      <w:pgSz w:w="11906" w:h="16838"/>
      <w:pgMar w:top="709" w:right="991" w:bottom="568"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358B4"/>
    <w:multiLevelType w:val="multilevel"/>
    <w:tmpl w:val="965CE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5B7AC6"/>
    <w:multiLevelType w:val="multilevel"/>
    <w:tmpl w:val="97204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2F6100"/>
    <w:multiLevelType w:val="multilevel"/>
    <w:tmpl w:val="F4FC2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D51472C"/>
    <w:multiLevelType w:val="multilevel"/>
    <w:tmpl w:val="69987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6D2EC1"/>
    <w:multiLevelType w:val="multilevel"/>
    <w:tmpl w:val="997CC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6E87989"/>
    <w:multiLevelType w:val="multilevel"/>
    <w:tmpl w:val="9E5A497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1"/>
  </w:num>
  <w:num w:numId="2">
    <w:abstractNumId w:val="3"/>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7AE"/>
    <w:rsid w:val="0000128D"/>
    <w:rsid w:val="0001098C"/>
    <w:rsid w:val="000513F6"/>
    <w:rsid w:val="00053E9B"/>
    <w:rsid w:val="00065EE3"/>
    <w:rsid w:val="000867AB"/>
    <w:rsid w:val="00095859"/>
    <w:rsid w:val="000C5420"/>
    <w:rsid w:val="00174B0E"/>
    <w:rsid w:val="001B4435"/>
    <w:rsid w:val="001B69E9"/>
    <w:rsid w:val="00220773"/>
    <w:rsid w:val="00224C42"/>
    <w:rsid w:val="00230A45"/>
    <w:rsid w:val="00247B36"/>
    <w:rsid w:val="0026258E"/>
    <w:rsid w:val="00267FB3"/>
    <w:rsid w:val="00280050"/>
    <w:rsid w:val="00335A34"/>
    <w:rsid w:val="00362495"/>
    <w:rsid w:val="0037682C"/>
    <w:rsid w:val="003C14B2"/>
    <w:rsid w:val="003F322E"/>
    <w:rsid w:val="00425020"/>
    <w:rsid w:val="00427702"/>
    <w:rsid w:val="00451FFE"/>
    <w:rsid w:val="004E37AE"/>
    <w:rsid w:val="005405FF"/>
    <w:rsid w:val="005431DE"/>
    <w:rsid w:val="00566FF2"/>
    <w:rsid w:val="005C26DC"/>
    <w:rsid w:val="005C333E"/>
    <w:rsid w:val="005C5F45"/>
    <w:rsid w:val="005E1659"/>
    <w:rsid w:val="00635D9E"/>
    <w:rsid w:val="006E56C4"/>
    <w:rsid w:val="007136FF"/>
    <w:rsid w:val="00727CF6"/>
    <w:rsid w:val="00731C2D"/>
    <w:rsid w:val="007B68E3"/>
    <w:rsid w:val="008033E5"/>
    <w:rsid w:val="0089196D"/>
    <w:rsid w:val="008F6809"/>
    <w:rsid w:val="00920F9F"/>
    <w:rsid w:val="00932139"/>
    <w:rsid w:val="009556B4"/>
    <w:rsid w:val="009C0411"/>
    <w:rsid w:val="00A01B8B"/>
    <w:rsid w:val="00A261C0"/>
    <w:rsid w:val="00A41B94"/>
    <w:rsid w:val="00A64A40"/>
    <w:rsid w:val="00AB4369"/>
    <w:rsid w:val="00B13FD0"/>
    <w:rsid w:val="00B37717"/>
    <w:rsid w:val="00B5328D"/>
    <w:rsid w:val="00B6437C"/>
    <w:rsid w:val="00C061D5"/>
    <w:rsid w:val="00C077D5"/>
    <w:rsid w:val="00CC6916"/>
    <w:rsid w:val="00D417A6"/>
    <w:rsid w:val="00D57C73"/>
    <w:rsid w:val="00D81EF9"/>
    <w:rsid w:val="00E10BFC"/>
    <w:rsid w:val="00E37A88"/>
    <w:rsid w:val="00E40C2C"/>
    <w:rsid w:val="00E919AF"/>
    <w:rsid w:val="00EC65E8"/>
    <w:rsid w:val="00ED3A7B"/>
    <w:rsid w:val="00EF44F6"/>
    <w:rsid w:val="00F14D6C"/>
    <w:rsid w:val="00F94226"/>
    <w:rsid w:val="00F9558A"/>
    <w:rsid w:val="00FA1A79"/>
    <w:rsid w:val="00FC7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4B279"/>
  <w15:chartTrackingRefBased/>
  <w15:docId w15:val="{7C54B179-E27D-4BB6-AC9E-777AFAFB6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1B94"/>
  </w:style>
  <w:style w:type="paragraph" w:styleId="Heading1">
    <w:name w:val="heading 1"/>
    <w:next w:val="Normal"/>
    <w:link w:val="Heading1Char"/>
    <w:uiPriority w:val="9"/>
    <w:qFormat/>
    <w:rsid w:val="004E37AE"/>
    <w:pPr>
      <w:keepNext/>
      <w:spacing w:before="120" w:after="60" w:line="240" w:lineRule="auto"/>
      <w:outlineLvl w:val="0"/>
    </w:pPr>
    <w:rPr>
      <w:rFonts w:asciiTheme="minorHAnsi" w:eastAsia="Times New Roman" w:hAnsiTheme="minorHAnsi" w:cs="Arial"/>
      <w:b/>
      <w:bCs/>
      <w:kern w:val="28"/>
      <w:sz w:val="28"/>
      <w:szCs w:val="32"/>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37AE"/>
    <w:rPr>
      <w:rFonts w:asciiTheme="minorHAnsi" w:eastAsia="Times New Roman" w:hAnsiTheme="minorHAnsi" w:cs="Arial"/>
      <w:b/>
      <w:bCs/>
      <w:kern w:val="28"/>
      <w:sz w:val="28"/>
      <w:szCs w:val="32"/>
      <w:lang w:eastAsia="en-AU"/>
    </w:rPr>
  </w:style>
  <w:style w:type="paragraph" w:styleId="Title">
    <w:name w:val="Title"/>
    <w:basedOn w:val="Normal"/>
    <w:next w:val="Normal"/>
    <w:link w:val="TitleChar"/>
    <w:uiPriority w:val="10"/>
    <w:qFormat/>
    <w:rsid w:val="004E37AE"/>
    <w:pPr>
      <w:pBdr>
        <w:bottom w:val="single" w:sz="8" w:space="4" w:color="4F81BD" w:themeColor="accent1"/>
      </w:pBdr>
      <w:contextualSpacing/>
      <w:jc w:val="center"/>
    </w:pPr>
    <w:rPr>
      <w:rFonts w:eastAsiaTheme="majorEastAsia" w:cstheme="majorBidi"/>
      <w:b/>
      <w:kern w:val="28"/>
      <w:sz w:val="32"/>
      <w:szCs w:val="52"/>
    </w:rPr>
  </w:style>
  <w:style w:type="character" w:customStyle="1" w:styleId="TitleChar">
    <w:name w:val="Title Char"/>
    <w:basedOn w:val="DefaultParagraphFont"/>
    <w:link w:val="Title"/>
    <w:uiPriority w:val="10"/>
    <w:rsid w:val="004E37AE"/>
    <w:rPr>
      <w:rFonts w:eastAsiaTheme="majorEastAsia" w:cstheme="majorBidi"/>
      <w:b/>
      <w:kern w:val="28"/>
      <w:sz w:val="32"/>
      <w:szCs w:val="52"/>
    </w:rPr>
  </w:style>
  <w:style w:type="paragraph" w:styleId="Caption">
    <w:name w:val="caption"/>
    <w:basedOn w:val="Normal"/>
    <w:next w:val="Normal"/>
    <w:unhideWhenUsed/>
    <w:qFormat/>
    <w:rsid w:val="004E37AE"/>
    <w:pPr>
      <w:keepNext/>
      <w:spacing w:after="60"/>
    </w:pPr>
    <w:rPr>
      <w:b/>
      <w:bCs/>
      <w:sz w:val="20"/>
      <w:szCs w:val="18"/>
    </w:rPr>
  </w:style>
  <w:style w:type="table" w:customStyle="1" w:styleId="GridTable4-Accent51">
    <w:name w:val="Grid Table 4 - Accent 51"/>
    <w:basedOn w:val="TableNormal"/>
    <w:uiPriority w:val="49"/>
    <w:rsid w:val="004E37AE"/>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TableGrid">
    <w:name w:val="Table Grid"/>
    <w:basedOn w:val="TableNormal"/>
    <w:uiPriority w:val="39"/>
    <w:rsid w:val="004E37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3">
    <w:name w:val="Plain Table 3"/>
    <w:basedOn w:val="TableNormal"/>
    <w:uiPriority w:val="43"/>
    <w:rsid w:val="0042770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1Light-Accent6">
    <w:name w:val="Grid Table 1 Light Accent 6"/>
    <w:basedOn w:val="TableNormal"/>
    <w:uiPriority w:val="46"/>
    <w:rsid w:val="00427702"/>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paragraph" w:styleId="BalloonText">
    <w:name w:val="Balloon Text"/>
    <w:basedOn w:val="Normal"/>
    <w:link w:val="BalloonTextChar"/>
    <w:uiPriority w:val="99"/>
    <w:semiHidden/>
    <w:unhideWhenUsed/>
    <w:rsid w:val="00EC65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5E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526610">
      <w:bodyDiv w:val="1"/>
      <w:marLeft w:val="0"/>
      <w:marRight w:val="0"/>
      <w:marTop w:val="0"/>
      <w:marBottom w:val="0"/>
      <w:divBdr>
        <w:top w:val="none" w:sz="0" w:space="0" w:color="auto"/>
        <w:left w:val="none" w:sz="0" w:space="0" w:color="auto"/>
        <w:bottom w:val="none" w:sz="0" w:space="0" w:color="auto"/>
        <w:right w:val="none" w:sz="0" w:space="0" w:color="auto"/>
      </w:divBdr>
      <w:divsChild>
        <w:div w:id="1301811815">
          <w:marLeft w:val="0"/>
          <w:marRight w:val="0"/>
          <w:marTop w:val="0"/>
          <w:marBottom w:val="0"/>
          <w:divBdr>
            <w:top w:val="none" w:sz="0" w:space="0" w:color="auto"/>
            <w:left w:val="none" w:sz="0" w:space="0" w:color="auto"/>
            <w:bottom w:val="none" w:sz="0" w:space="0" w:color="auto"/>
            <w:right w:val="none" w:sz="0" w:space="0" w:color="auto"/>
          </w:divBdr>
        </w:div>
      </w:divsChild>
    </w:div>
    <w:div w:id="275990273">
      <w:bodyDiv w:val="1"/>
      <w:marLeft w:val="0"/>
      <w:marRight w:val="0"/>
      <w:marTop w:val="0"/>
      <w:marBottom w:val="0"/>
      <w:divBdr>
        <w:top w:val="none" w:sz="0" w:space="0" w:color="auto"/>
        <w:left w:val="none" w:sz="0" w:space="0" w:color="auto"/>
        <w:bottom w:val="none" w:sz="0" w:space="0" w:color="auto"/>
        <w:right w:val="none" w:sz="0" w:space="0" w:color="auto"/>
      </w:divBdr>
      <w:divsChild>
        <w:div w:id="927465756">
          <w:marLeft w:val="0"/>
          <w:marRight w:val="0"/>
          <w:marTop w:val="0"/>
          <w:marBottom w:val="0"/>
          <w:divBdr>
            <w:top w:val="none" w:sz="0" w:space="0" w:color="auto"/>
            <w:left w:val="none" w:sz="0" w:space="0" w:color="auto"/>
            <w:bottom w:val="none" w:sz="0" w:space="0" w:color="auto"/>
            <w:right w:val="none" w:sz="0" w:space="0" w:color="auto"/>
          </w:divBdr>
        </w:div>
      </w:divsChild>
    </w:div>
    <w:div w:id="314336087">
      <w:bodyDiv w:val="1"/>
      <w:marLeft w:val="0"/>
      <w:marRight w:val="0"/>
      <w:marTop w:val="0"/>
      <w:marBottom w:val="0"/>
      <w:divBdr>
        <w:top w:val="none" w:sz="0" w:space="0" w:color="auto"/>
        <w:left w:val="none" w:sz="0" w:space="0" w:color="auto"/>
        <w:bottom w:val="none" w:sz="0" w:space="0" w:color="auto"/>
        <w:right w:val="none" w:sz="0" w:space="0" w:color="auto"/>
      </w:divBdr>
      <w:divsChild>
        <w:div w:id="1037781408">
          <w:marLeft w:val="0"/>
          <w:marRight w:val="0"/>
          <w:marTop w:val="0"/>
          <w:marBottom w:val="0"/>
          <w:divBdr>
            <w:top w:val="none" w:sz="0" w:space="0" w:color="auto"/>
            <w:left w:val="none" w:sz="0" w:space="0" w:color="auto"/>
            <w:bottom w:val="none" w:sz="0" w:space="0" w:color="auto"/>
            <w:right w:val="none" w:sz="0" w:space="0" w:color="auto"/>
          </w:divBdr>
          <w:divsChild>
            <w:div w:id="1959605597">
              <w:marLeft w:val="0"/>
              <w:marRight w:val="0"/>
              <w:marTop w:val="0"/>
              <w:marBottom w:val="450"/>
              <w:divBdr>
                <w:top w:val="none" w:sz="0" w:space="0" w:color="auto"/>
                <w:left w:val="none" w:sz="0" w:space="0" w:color="auto"/>
                <w:bottom w:val="none" w:sz="0" w:space="0" w:color="auto"/>
                <w:right w:val="none" w:sz="0" w:space="0" w:color="auto"/>
              </w:divBdr>
              <w:divsChild>
                <w:div w:id="1919244114">
                  <w:marLeft w:val="0"/>
                  <w:marRight w:val="0"/>
                  <w:marTop w:val="0"/>
                  <w:marBottom w:val="0"/>
                  <w:divBdr>
                    <w:top w:val="none" w:sz="0" w:space="0" w:color="auto"/>
                    <w:left w:val="none" w:sz="0" w:space="0" w:color="auto"/>
                    <w:bottom w:val="none" w:sz="0" w:space="0" w:color="auto"/>
                    <w:right w:val="none" w:sz="0" w:space="0" w:color="auto"/>
                  </w:divBdr>
                  <w:divsChild>
                    <w:div w:id="1653868941">
                      <w:marLeft w:val="0"/>
                      <w:marRight w:val="0"/>
                      <w:marTop w:val="0"/>
                      <w:marBottom w:val="0"/>
                      <w:divBdr>
                        <w:top w:val="none" w:sz="0" w:space="0" w:color="auto"/>
                        <w:left w:val="none" w:sz="0" w:space="0" w:color="auto"/>
                        <w:bottom w:val="none" w:sz="0" w:space="0" w:color="auto"/>
                        <w:right w:val="none" w:sz="0" w:space="0" w:color="auto"/>
                      </w:divBdr>
                      <w:divsChild>
                        <w:div w:id="170225741">
                          <w:marLeft w:val="0"/>
                          <w:marRight w:val="0"/>
                          <w:marTop w:val="0"/>
                          <w:marBottom w:val="0"/>
                          <w:divBdr>
                            <w:top w:val="none" w:sz="0" w:space="0" w:color="auto"/>
                            <w:left w:val="none" w:sz="0" w:space="0" w:color="auto"/>
                            <w:bottom w:val="none" w:sz="0" w:space="0" w:color="auto"/>
                            <w:right w:val="none" w:sz="0" w:space="0" w:color="auto"/>
                          </w:divBdr>
                          <w:divsChild>
                            <w:div w:id="1442258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47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5409790">
      <w:bodyDiv w:val="1"/>
      <w:marLeft w:val="0"/>
      <w:marRight w:val="0"/>
      <w:marTop w:val="0"/>
      <w:marBottom w:val="0"/>
      <w:divBdr>
        <w:top w:val="none" w:sz="0" w:space="0" w:color="auto"/>
        <w:left w:val="none" w:sz="0" w:space="0" w:color="auto"/>
        <w:bottom w:val="none" w:sz="0" w:space="0" w:color="auto"/>
        <w:right w:val="none" w:sz="0" w:space="0" w:color="auto"/>
      </w:divBdr>
      <w:divsChild>
        <w:div w:id="1507594956">
          <w:marLeft w:val="0"/>
          <w:marRight w:val="0"/>
          <w:marTop w:val="0"/>
          <w:marBottom w:val="0"/>
          <w:divBdr>
            <w:top w:val="none" w:sz="0" w:space="0" w:color="auto"/>
            <w:left w:val="none" w:sz="0" w:space="0" w:color="auto"/>
            <w:bottom w:val="none" w:sz="0" w:space="0" w:color="auto"/>
            <w:right w:val="none" w:sz="0" w:space="0" w:color="auto"/>
          </w:divBdr>
        </w:div>
      </w:divsChild>
    </w:div>
    <w:div w:id="586227250">
      <w:bodyDiv w:val="1"/>
      <w:marLeft w:val="0"/>
      <w:marRight w:val="0"/>
      <w:marTop w:val="0"/>
      <w:marBottom w:val="0"/>
      <w:divBdr>
        <w:top w:val="none" w:sz="0" w:space="0" w:color="auto"/>
        <w:left w:val="none" w:sz="0" w:space="0" w:color="auto"/>
        <w:bottom w:val="none" w:sz="0" w:space="0" w:color="auto"/>
        <w:right w:val="none" w:sz="0" w:space="0" w:color="auto"/>
      </w:divBdr>
      <w:divsChild>
        <w:div w:id="486480125">
          <w:marLeft w:val="0"/>
          <w:marRight w:val="0"/>
          <w:marTop w:val="0"/>
          <w:marBottom w:val="0"/>
          <w:divBdr>
            <w:top w:val="none" w:sz="0" w:space="0" w:color="auto"/>
            <w:left w:val="none" w:sz="0" w:space="0" w:color="auto"/>
            <w:bottom w:val="none" w:sz="0" w:space="0" w:color="auto"/>
            <w:right w:val="none" w:sz="0" w:space="0" w:color="auto"/>
          </w:divBdr>
        </w:div>
      </w:divsChild>
    </w:div>
    <w:div w:id="592712583">
      <w:bodyDiv w:val="1"/>
      <w:marLeft w:val="0"/>
      <w:marRight w:val="0"/>
      <w:marTop w:val="0"/>
      <w:marBottom w:val="0"/>
      <w:divBdr>
        <w:top w:val="none" w:sz="0" w:space="0" w:color="auto"/>
        <w:left w:val="none" w:sz="0" w:space="0" w:color="auto"/>
        <w:bottom w:val="none" w:sz="0" w:space="0" w:color="auto"/>
        <w:right w:val="none" w:sz="0" w:space="0" w:color="auto"/>
      </w:divBdr>
      <w:divsChild>
        <w:div w:id="970332349">
          <w:marLeft w:val="0"/>
          <w:marRight w:val="0"/>
          <w:marTop w:val="0"/>
          <w:marBottom w:val="0"/>
          <w:divBdr>
            <w:top w:val="none" w:sz="0" w:space="0" w:color="auto"/>
            <w:left w:val="none" w:sz="0" w:space="0" w:color="auto"/>
            <w:bottom w:val="none" w:sz="0" w:space="0" w:color="auto"/>
            <w:right w:val="none" w:sz="0" w:space="0" w:color="auto"/>
          </w:divBdr>
        </w:div>
      </w:divsChild>
    </w:div>
    <w:div w:id="769011698">
      <w:bodyDiv w:val="1"/>
      <w:marLeft w:val="0"/>
      <w:marRight w:val="0"/>
      <w:marTop w:val="0"/>
      <w:marBottom w:val="0"/>
      <w:divBdr>
        <w:top w:val="none" w:sz="0" w:space="0" w:color="auto"/>
        <w:left w:val="none" w:sz="0" w:space="0" w:color="auto"/>
        <w:bottom w:val="none" w:sz="0" w:space="0" w:color="auto"/>
        <w:right w:val="none" w:sz="0" w:space="0" w:color="auto"/>
      </w:divBdr>
      <w:divsChild>
        <w:div w:id="776946303">
          <w:marLeft w:val="0"/>
          <w:marRight w:val="0"/>
          <w:marTop w:val="0"/>
          <w:marBottom w:val="0"/>
          <w:divBdr>
            <w:top w:val="none" w:sz="0" w:space="0" w:color="auto"/>
            <w:left w:val="none" w:sz="0" w:space="0" w:color="auto"/>
            <w:bottom w:val="none" w:sz="0" w:space="0" w:color="auto"/>
            <w:right w:val="none" w:sz="0" w:space="0" w:color="auto"/>
          </w:divBdr>
        </w:div>
      </w:divsChild>
    </w:div>
    <w:div w:id="815030570">
      <w:bodyDiv w:val="1"/>
      <w:marLeft w:val="0"/>
      <w:marRight w:val="0"/>
      <w:marTop w:val="0"/>
      <w:marBottom w:val="0"/>
      <w:divBdr>
        <w:top w:val="none" w:sz="0" w:space="0" w:color="auto"/>
        <w:left w:val="none" w:sz="0" w:space="0" w:color="auto"/>
        <w:bottom w:val="none" w:sz="0" w:space="0" w:color="auto"/>
        <w:right w:val="none" w:sz="0" w:space="0" w:color="auto"/>
      </w:divBdr>
      <w:divsChild>
        <w:div w:id="978993331">
          <w:marLeft w:val="0"/>
          <w:marRight w:val="0"/>
          <w:marTop w:val="0"/>
          <w:marBottom w:val="0"/>
          <w:divBdr>
            <w:top w:val="none" w:sz="0" w:space="0" w:color="auto"/>
            <w:left w:val="none" w:sz="0" w:space="0" w:color="auto"/>
            <w:bottom w:val="none" w:sz="0" w:space="0" w:color="auto"/>
            <w:right w:val="none" w:sz="0" w:space="0" w:color="auto"/>
          </w:divBdr>
        </w:div>
      </w:divsChild>
    </w:div>
    <w:div w:id="1132358223">
      <w:bodyDiv w:val="1"/>
      <w:marLeft w:val="0"/>
      <w:marRight w:val="0"/>
      <w:marTop w:val="0"/>
      <w:marBottom w:val="0"/>
      <w:divBdr>
        <w:top w:val="none" w:sz="0" w:space="0" w:color="auto"/>
        <w:left w:val="none" w:sz="0" w:space="0" w:color="auto"/>
        <w:bottom w:val="none" w:sz="0" w:space="0" w:color="auto"/>
        <w:right w:val="none" w:sz="0" w:space="0" w:color="auto"/>
      </w:divBdr>
      <w:divsChild>
        <w:div w:id="899251914">
          <w:marLeft w:val="0"/>
          <w:marRight w:val="0"/>
          <w:marTop w:val="0"/>
          <w:marBottom w:val="0"/>
          <w:divBdr>
            <w:top w:val="none" w:sz="0" w:space="0" w:color="auto"/>
            <w:left w:val="none" w:sz="0" w:space="0" w:color="auto"/>
            <w:bottom w:val="none" w:sz="0" w:space="0" w:color="auto"/>
            <w:right w:val="none" w:sz="0" w:space="0" w:color="auto"/>
          </w:divBdr>
        </w:div>
      </w:divsChild>
    </w:div>
    <w:div w:id="1224675304">
      <w:bodyDiv w:val="1"/>
      <w:marLeft w:val="0"/>
      <w:marRight w:val="0"/>
      <w:marTop w:val="0"/>
      <w:marBottom w:val="0"/>
      <w:divBdr>
        <w:top w:val="none" w:sz="0" w:space="0" w:color="auto"/>
        <w:left w:val="none" w:sz="0" w:space="0" w:color="auto"/>
        <w:bottom w:val="none" w:sz="0" w:space="0" w:color="auto"/>
        <w:right w:val="none" w:sz="0" w:space="0" w:color="auto"/>
      </w:divBdr>
      <w:divsChild>
        <w:div w:id="999430888">
          <w:marLeft w:val="0"/>
          <w:marRight w:val="0"/>
          <w:marTop w:val="0"/>
          <w:marBottom w:val="0"/>
          <w:divBdr>
            <w:top w:val="none" w:sz="0" w:space="0" w:color="auto"/>
            <w:left w:val="none" w:sz="0" w:space="0" w:color="auto"/>
            <w:bottom w:val="none" w:sz="0" w:space="0" w:color="auto"/>
            <w:right w:val="none" w:sz="0" w:space="0" w:color="auto"/>
          </w:divBdr>
        </w:div>
      </w:divsChild>
    </w:div>
    <w:div w:id="1334264687">
      <w:bodyDiv w:val="1"/>
      <w:marLeft w:val="0"/>
      <w:marRight w:val="0"/>
      <w:marTop w:val="0"/>
      <w:marBottom w:val="0"/>
      <w:divBdr>
        <w:top w:val="none" w:sz="0" w:space="0" w:color="auto"/>
        <w:left w:val="none" w:sz="0" w:space="0" w:color="auto"/>
        <w:bottom w:val="none" w:sz="0" w:space="0" w:color="auto"/>
        <w:right w:val="none" w:sz="0" w:space="0" w:color="auto"/>
      </w:divBdr>
      <w:divsChild>
        <w:div w:id="1568106946">
          <w:marLeft w:val="0"/>
          <w:marRight w:val="0"/>
          <w:marTop w:val="0"/>
          <w:marBottom w:val="0"/>
          <w:divBdr>
            <w:top w:val="none" w:sz="0" w:space="0" w:color="auto"/>
            <w:left w:val="none" w:sz="0" w:space="0" w:color="auto"/>
            <w:bottom w:val="none" w:sz="0" w:space="0" w:color="auto"/>
            <w:right w:val="none" w:sz="0" w:space="0" w:color="auto"/>
          </w:divBdr>
        </w:div>
      </w:divsChild>
    </w:div>
    <w:div w:id="1511066356">
      <w:bodyDiv w:val="1"/>
      <w:marLeft w:val="0"/>
      <w:marRight w:val="0"/>
      <w:marTop w:val="0"/>
      <w:marBottom w:val="0"/>
      <w:divBdr>
        <w:top w:val="none" w:sz="0" w:space="0" w:color="auto"/>
        <w:left w:val="none" w:sz="0" w:space="0" w:color="auto"/>
        <w:bottom w:val="none" w:sz="0" w:space="0" w:color="auto"/>
        <w:right w:val="none" w:sz="0" w:space="0" w:color="auto"/>
      </w:divBdr>
      <w:divsChild>
        <w:div w:id="319773388">
          <w:marLeft w:val="0"/>
          <w:marRight w:val="0"/>
          <w:marTop w:val="0"/>
          <w:marBottom w:val="0"/>
          <w:divBdr>
            <w:top w:val="none" w:sz="0" w:space="0" w:color="auto"/>
            <w:left w:val="none" w:sz="0" w:space="0" w:color="auto"/>
            <w:bottom w:val="none" w:sz="0" w:space="0" w:color="auto"/>
            <w:right w:val="none" w:sz="0" w:space="0" w:color="auto"/>
          </w:divBdr>
        </w:div>
      </w:divsChild>
    </w:div>
    <w:div w:id="1513101901">
      <w:bodyDiv w:val="1"/>
      <w:marLeft w:val="0"/>
      <w:marRight w:val="0"/>
      <w:marTop w:val="0"/>
      <w:marBottom w:val="0"/>
      <w:divBdr>
        <w:top w:val="none" w:sz="0" w:space="0" w:color="auto"/>
        <w:left w:val="none" w:sz="0" w:space="0" w:color="auto"/>
        <w:bottom w:val="none" w:sz="0" w:space="0" w:color="auto"/>
        <w:right w:val="none" w:sz="0" w:space="0" w:color="auto"/>
      </w:divBdr>
      <w:divsChild>
        <w:div w:id="986785653">
          <w:marLeft w:val="0"/>
          <w:marRight w:val="0"/>
          <w:marTop w:val="0"/>
          <w:marBottom w:val="0"/>
          <w:divBdr>
            <w:top w:val="none" w:sz="0" w:space="0" w:color="auto"/>
            <w:left w:val="none" w:sz="0" w:space="0" w:color="auto"/>
            <w:bottom w:val="none" w:sz="0" w:space="0" w:color="auto"/>
            <w:right w:val="none" w:sz="0" w:space="0" w:color="auto"/>
          </w:divBdr>
        </w:div>
      </w:divsChild>
    </w:div>
    <w:div w:id="1591546794">
      <w:bodyDiv w:val="1"/>
      <w:marLeft w:val="0"/>
      <w:marRight w:val="0"/>
      <w:marTop w:val="0"/>
      <w:marBottom w:val="0"/>
      <w:divBdr>
        <w:top w:val="none" w:sz="0" w:space="0" w:color="auto"/>
        <w:left w:val="none" w:sz="0" w:space="0" w:color="auto"/>
        <w:bottom w:val="none" w:sz="0" w:space="0" w:color="auto"/>
        <w:right w:val="none" w:sz="0" w:space="0" w:color="auto"/>
      </w:divBdr>
      <w:divsChild>
        <w:div w:id="1776905720">
          <w:marLeft w:val="0"/>
          <w:marRight w:val="0"/>
          <w:marTop w:val="0"/>
          <w:marBottom w:val="0"/>
          <w:divBdr>
            <w:top w:val="none" w:sz="0" w:space="0" w:color="auto"/>
            <w:left w:val="none" w:sz="0" w:space="0" w:color="auto"/>
            <w:bottom w:val="none" w:sz="0" w:space="0" w:color="auto"/>
            <w:right w:val="none" w:sz="0" w:space="0" w:color="auto"/>
          </w:divBdr>
        </w:div>
      </w:divsChild>
    </w:div>
    <w:div w:id="1693652345">
      <w:bodyDiv w:val="1"/>
      <w:marLeft w:val="0"/>
      <w:marRight w:val="0"/>
      <w:marTop w:val="0"/>
      <w:marBottom w:val="0"/>
      <w:divBdr>
        <w:top w:val="none" w:sz="0" w:space="0" w:color="auto"/>
        <w:left w:val="none" w:sz="0" w:space="0" w:color="auto"/>
        <w:bottom w:val="none" w:sz="0" w:space="0" w:color="auto"/>
        <w:right w:val="none" w:sz="0" w:space="0" w:color="auto"/>
      </w:divBdr>
      <w:divsChild>
        <w:div w:id="221526883">
          <w:marLeft w:val="0"/>
          <w:marRight w:val="0"/>
          <w:marTop w:val="0"/>
          <w:marBottom w:val="0"/>
          <w:divBdr>
            <w:top w:val="none" w:sz="0" w:space="0" w:color="auto"/>
            <w:left w:val="none" w:sz="0" w:space="0" w:color="auto"/>
            <w:bottom w:val="none" w:sz="0" w:space="0" w:color="auto"/>
            <w:right w:val="none" w:sz="0" w:space="0" w:color="auto"/>
          </w:divBdr>
        </w:div>
      </w:divsChild>
    </w:div>
    <w:div w:id="1826897764">
      <w:bodyDiv w:val="1"/>
      <w:marLeft w:val="0"/>
      <w:marRight w:val="0"/>
      <w:marTop w:val="0"/>
      <w:marBottom w:val="0"/>
      <w:divBdr>
        <w:top w:val="none" w:sz="0" w:space="0" w:color="auto"/>
        <w:left w:val="none" w:sz="0" w:space="0" w:color="auto"/>
        <w:bottom w:val="none" w:sz="0" w:space="0" w:color="auto"/>
        <w:right w:val="none" w:sz="0" w:space="0" w:color="auto"/>
      </w:divBdr>
      <w:divsChild>
        <w:div w:id="1371108359">
          <w:marLeft w:val="0"/>
          <w:marRight w:val="0"/>
          <w:marTop w:val="0"/>
          <w:marBottom w:val="0"/>
          <w:divBdr>
            <w:top w:val="none" w:sz="0" w:space="0" w:color="auto"/>
            <w:left w:val="none" w:sz="0" w:space="0" w:color="auto"/>
            <w:bottom w:val="none" w:sz="0" w:space="0" w:color="auto"/>
            <w:right w:val="none" w:sz="0" w:space="0" w:color="auto"/>
          </w:divBdr>
        </w:div>
      </w:divsChild>
    </w:div>
    <w:div w:id="1827550468">
      <w:bodyDiv w:val="1"/>
      <w:marLeft w:val="0"/>
      <w:marRight w:val="0"/>
      <w:marTop w:val="0"/>
      <w:marBottom w:val="0"/>
      <w:divBdr>
        <w:top w:val="none" w:sz="0" w:space="0" w:color="auto"/>
        <w:left w:val="none" w:sz="0" w:space="0" w:color="auto"/>
        <w:bottom w:val="none" w:sz="0" w:space="0" w:color="auto"/>
        <w:right w:val="none" w:sz="0" w:space="0" w:color="auto"/>
      </w:divBdr>
      <w:divsChild>
        <w:div w:id="11712601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chart" Target="charts/chart1.xml"/><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AU"/>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Sheet1!$B$1</c:f>
              <c:strCache>
                <c:ptCount val="1"/>
                <c:pt idx="0">
                  <c:v>Dose 1</c:v>
                </c:pt>
              </c:strCache>
            </c:strRef>
          </c:tx>
          <c:spPr>
            <a:solidFill>
              <a:schemeClr val="accent1"/>
            </a:solidFill>
            <a:ln>
              <a:noFill/>
            </a:ln>
            <a:effectLst/>
          </c:spPr>
          <c:invertIfNegative val="0"/>
          <c:dPt>
            <c:idx val="5"/>
            <c:invertIfNegative val="0"/>
            <c:bubble3D val="0"/>
            <c:spPr>
              <a:solidFill>
                <a:schemeClr val="accent1"/>
              </a:solidFill>
              <a:ln>
                <a:solidFill>
                  <a:schemeClr val="bg1">
                    <a:lumMod val="50000"/>
                  </a:schemeClr>
                </a:solidFill>
              </a:ln>
              <a:effectLst/>
            </c:spPr>
            <c:extLst>
              <c:ext xmlns:c16="http://schemas.microsoft.com/office/drawing/2014/chart" uri="{C3380CC4-5D6E-409C-BE32-E72D297353CC}">
                <c16:uniqueId val="{00000001-3543-4468-AB7D-28438712BEA5}"/>
              </c:ext>
            </c:extLst>
          </c:dPt>
          <c:cat>
            <c:strRef>
              <c:f>Sheet1!$A$2:$A$7</c:f>
              <c:strCache>
                <c:ptCount val="6"/>
                <c:pt idx="0">
                  <c:v>Major Cities</c:v>
                </c:pt>
                <c:pt idx="1">
                  <c:v>Inner Regional</c:v>
                </c:pt>
                <c:pt idx="2">
                  <c:v>Outer Regional</c:v>
                </c:pt>
                <c:pt idx="3">
                  <c:v>Remote</c:v>
                </c:pt>
                <c:pt idx="4">
                  <c:v>Very Remote</c:v>
                </c:pt>
                <c:pt idx="5">
                  <c:v>Total</c:v>
                </c:pt>
              </c:strCache>
            </c:strRef>
          </c:cat>
          <c:val>
            <c:numRef>
              <c:f>Sheet1!$B$2:$B$7</c:f>
              <c:numCache>
                <c:formatCode>0.00%</c:formatCode>
                <c:ptCount val="6"/>
                <c:pt idx="0">
                  <c:v>0.83899999999999997</c:v>
                </c:pt>
                <c:pt idx="1">
                  <c:v>0.86199999999999999</c:v>
                </c:pt>
                <c:pt idx="2">
                  <c:v>0.85799999999999998</c:v>
                </c:pt>
                <c:pt idx="3">
                  <c:v>0.84899999999999998</c:v>
                </c:pt>
                <c:pt idx="4">
                  <c:v>0.88200000000000001</c:v>
                </c:pt>
                <c:pt idx="5">
                  <c:v>0.84699999999999998</c:v>
                </c:pt>
              </c:numCache>
            </c:numRef>
          </c:val>
          <c:extLst>
            <c:ext xmlns:c16="http://schemas.microsoft.com/office/drawing/2014/chart" uri="{C3380CC4-5D6E-409C-BE32-E72D297353CC}">
              <c16:uniqueId val="{00000002-3543-4468-AB7D-28438712BEA5}"/>
            </c:ext>
          </c:extLst>
        </c:ser>
        <c:ser>
          <c:idx val="1"/>
          <c:order val="1"/>
          <c:tx>
            <c:strRef>
              <c:f>Sheet1!$C$1</c:f>
              <c:strCache>
                <c:ptCount val="1"/>
                <c:pt idx="0">
                  <c:v>Dose 2</c:v>
                </c:pt>
              </c:strCache>
            </c:strRef>
          </c:tx>
          <c:spPr>
            <a:solidFill>
              <a:schemeClr val="accent2"/>
            </a:solidFill>
            <a:ln>
              <a:noFill/>
            </a:ln>
            <a:effectLst/>
          </c:spPr>
          <c:invertIfNegative val="0"/>
          <c:cat>
            <c:strRef>
              <c:f>Sheet1!$A$2:$A$7</c:f>
              <c:strCache>
                <c:ptCount val="6"/>
                <c:pt idx="0">
                  <c:v>Major Cities</c:v>
                </c:pt>
                <c:pt idx="1">
                  <c:v>Inner Regional</c:v>
                </c:pt>
                <c:pt idx="2">
                  <c:v>Outer Regional</c:v>
                </c:pt>
                <c:pt idx="3">
                  <c:v>Remote</c:v>
                </c:pt>
                <c:pt idx="4">
                  <c:v>Very Remote</c:v>
                </c:pt>
                <c:pt idx="5">
                  <c:v>Total</c:v>
                </c:pt>
              </c:strCache>
            </c:strRef>
          </c:cat>
          <c:val>
            <c:numRef>
              <c:f>Sheet1!$C$2:$C$7</c:f>
              <c:numCache>
                <c:formatCode>0.00%</c:formatCode>
                <c:ptCount val="6"/>
                <c:pt idx="0">
                  <c:v>0.80800000000000005</c:v>
                </c:pt>
                <c:pt idx="1">
                  <c:v>0.82599999999999996</c:v>
                </c:pt>
                <c:pt idx="2">
                  <c:v>0.81899999999999995</c:v>
                </c:pt>
                <c:pt idx="3">
                  <c:v>0.80200000000000005</c:v>
                </c:pt>
                <c:pt idx="4">
                  <c:v>0.82399999999999995</c:v>
                </c:pt>
                <c:pt idx="5">
                  <c:v>0.81299999999999994</c:v>
                </c:pt>
              </c:numCache>
            </c:numRef>
          </c:val>
          <c:extLst>
            <c:ext xmlns:c16="http://schemas.microsoft.com/office/drawing/2014/chart" uri="{C3380CC4-5D6E-409C-BE32-E72D297353CC}">
              <c16:uniqueId val="{00000003-3543-4468-AB7D-28438712BEA5}"/>
            </c:ext>
          </c:extLst>
        </c:ser>
        <c:ser>
          <c:idx val="2"/>
          <c:order val="2"/>
          <c:tx>
            <c:strRef>
              <c:f>Sheet1!$D$1</c:f>
              <c:strCache>
                <c:ptCount val="1"/>
                <c:pt idx="0">
                  <c:v>Dose 3</c:v>
                </c:pt>
              </c:strCache>
            </c:strRef>
          </c:tx>
          <c:spPr>
            <a:solidFill>
              <a:schemeClr val="accent3"/>
            </a:solidFill>
            <a:ln>
              <a:noFill/>
            </a:ln>
            <a:effectLst/>
          </c:spPr>
          <c:invertIfNegative val="0"/>
          <c:cat>
            <c:strRef>
              <c:f>Sheet1!$A$2:$A$7</c:f>
              <c:strCache>
                <c:ptCount val="6"/>
                <c:pt idx="0">
                  <c:v>Major Cities</c:v>
                </c:pt>
                <c:pt idx="1">
                  <c:v>Inner Regional</c:v>
                </c:pt>
                <c:pt idx="2">
                  <c:v>Outer Regional</c:v>
                </c:pt>
                <c:pt idx="3">
                  <c:v>Remote</c:v>
                </c:pt>
                <c:pt idx="4">
                  <c:v>Very Remote</c:v>
                </c:pt>
                <c:pt idx="5">
                  <c:v>Total</c:v>
                </c:pt>
              </c:strCache>
            </c:strRef>
          </c:cat>
          <c:val>
            <c:numRef>
              <c:f>Sheet1!$D$2:$D$7</c:f>
              <c:numCache>
                <c:formatCode>0.00%</c:formatCode>
                <c:ptCount val="6"/>
                <c:pt idx="0">
                  <c:v>0.74199999999999999</c:v>
                </c:pt>
                <c:pt idx="1">
                  <c:v>0.75600000000000001</c:v>
                </c:pt>
                <c:pt idx="2">
                  <c:v>0.74399999999999999</c:v>
                </c:pt>
                <c:pt idx="3">
                  <c:v>0.72299999999999998</c:v>
                </c:pt>
                <c:pt idx="4">
                  <c:v>0.71899999999999997</c:v>
                </c:pt>
                <c:pt idx="5">
                  <c:v>0.745</c:v>
                </c:pt>
              </c:numCache>
            </c:numRef>
          </c:val>
          <c:extLst>
            <c:ext xmlns:c16="http://schemas.microsoft.com/office/drawing/2014/chart" uri="{C3380CC4-5D6E-409C-BE32-E72D297353CC}">
              <c16:uniqueId val="{00000004-3543-4468-AB7D-28438712BEA5}"/>
            </c:ext>
          </c:extLst>
        </c:ser>
        <c:dLbls>
          <c:showLegendKey val="0"/>
          <c:showVal val="0"/>
          <c:showCatName val="0"/>
          <c:showSerName val="0"/>
          <c:showPercent val="0"/>
          <c:showBubbleSize val="0"/>
        </c:dLbls>
        <c:gapWidth val="219"/>
        <c:overlap val="-27"/>
        <c:axId val="145281672"/>
        <c:axId val="145279376"/>
      </c:barChart>
      <c:catAx>
        <c:axId val="14528167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5279376"/>
        <c:crosses val="autoZero"/>
        <c:auto val="1"/>
        <c:lblAlgn val="ctr"/>
        <c:lblOffset val="100"/>
        <c:noMultiLvlLbl val="0"/>
      </c:catAx>
      <c:valAx>
        <c:axId val="145279376"/>
        <c:scaling>
          <c:orientation val="minMax"/>
          <c:max val="1"/>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AU"/>
                  <a:t>Per cent immunised</a:t>
                </a:r>
              </a:p>
            </c:rich>
          </c:tx>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4528167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361</Words>
  <Characters>2064</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2421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Franklin, Ancel</dc:creator>
  <cp:keywords/>
  <dc:description/>
  <cp:lastModifiedBy>RYAN, Kimberley</cp:lastModifiedBy>
  <cp:revision>2</cp:revision>
  <dcterms:created xsi:type="dcterms:W3CDTF">2019-12-23T00:57:00Z</dcterms:created>
  <dcterms:modified xsi:type="dcterms:W3CDTF">2019-12-23T00:57:00Z</dcterms:modified>
</cp:coreProperties>
</file>