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F950B" w14:textId="05405E7E" w:rsidR="00A41B94" w:rsidRPr="00136340" w:rsidRDefault="00A41B94" w:rsidP="00136340">
      <w:pPr>
        <w:pStyle w:val="Title"/>
        <w:jc w:val="left"/>
        <w:rPr>
          <w:rFonts w:ascii="Arial" w:hAnsi="Arial" w:cs="Arial"/>
          <w:b w:val="0"/>
        </w:rPr>
      </w:pPr>
      <w:bookmarkStart w:id="0" w:name="_GoBack"/>
      <w:bookmarkEnd w:id="0"/>
      <w:r w:rsidRPr="00136340">
        <w:rPr>
          <w:rFonts w:ascii="Arial" w:hAnsi="Arial" w:cs="Arial"/>
          <w:b w:val="0"/>
          <w:lang w:val="en"/>
        </w:rPr>
        <w:t xml:space="preserve">HPV vaccination coverage by </w:t>
      </w:r>
      <w:r w:rsidR="00293F18">
        <w:rPr>
          <w:rFonts w:ascii="Arial" w:hAnsi="Arial" w:cs="Arial"/>
          <w:b w:val="0"/>
          <w:lang w:val="en"/>
        </w:rPr>
        <w:t>R</w:t>
      </w:r>
      <w:r w:rsidR="006E56C4" w:rsidRPr="00136340">
        <w:rPr>
          <w:rFonts w:ascii="Arial" w:hAnsi="Arial" w:cs="Arial"/>
          <w:b w:val="0"/>
          <w:lang w:val="en"/>
        </w:rPr>
        <w:t>emoteness of area of residence</w:t>
      </w:r>
      <w:r w:rsidRPr="00136340">
        <w:rPr>
          <w:rFonts w:ascii="Arial" w:hAnsi="Arial" w:cs="Arial"/>
          <w:b w:val="0"/>
          <w:lang w:val="en"/>
        </w:rPr>
        <w:t xml:space="preserve"> for females aged 12</w:t>
      </w:r>
      <w:r w:rsidR="009221F1">
        <w:rPr>
          <w:rFonts w:ascii="Arial" w:hAnsi="Arial" w:cs="Arial"/>
          <w:b w:val="0"/>
          <w:lang w:val="en"/>
        </w:rPr>
        <w:t>-</w:t>
      </w:r>
      <w:r w:rsidRPr="00136340">
        <w:rPr>
          <w:rFonts w:ascii="Arial" w:hAnsi="Arial" w:cs="Arial"/>
          <w:b w:val="0"/>
          <w:lang w:val="en"/>
        </w:rPr>
        <w:t>13 years in 2007</w:t>
      </w:r>
    </w:p>
    <w:p w14:paraId="1615C76D" w14:textId="77777777" w:rsidR="00136340" w:rsidRPr="00A37817" w:rsidRDefault="00136340" w:rsidP="00136340">
      <w:pPr>
        <w:spacing w:after="120" w:line="240" w:lineRule="auto"/>
        <w:rPr>
          <w:rFonts w:ascii="Arial" w:hAnsi="Arial" w:cs="Arial"/>
        </w:rPr>
      </w:pPr>
    </w:p>
    <w:p w14:paraId="5C9060CF" w14:textId="699D129F" w:rsidR="00A41B94" w:rsidRPr="00136340" w:rsidRDefault="00A41B94" w:rsidP="00136340">
      <w:pPr>
        <w:pStyle w:val="Caption"/>
        <w:spacing w:after="120" w:line="240" w:lineRule="auto"/>
        <w:rPr>
          <w:rFonts w:ascii="Arial" w:hAnsi="Arial" w:cs="Arial"/>
          <w:b w:val="0"/>
          <w:sz w:val="24"/>
        </w:rPr>
      </w:pPr>
      <w:r w:rsidRPr="00136340">
        <w:rPr>
          <w:rFonts w:ascii="Arial" w:hAnsi="Arial" w:cs="Arial"/>
          <w:b w:val="0"/>
          <w:sz w:val="24"/>
        </w:rPr>
        <w:t xml:space="preserve">Graph </w:t>
      </w:r>
      <w:r w:rsidRPr="00136340">
        <w:rPr>
          <w:rFonts w:ascii="Arial" w:hAnsi="Arial" w:cs="Arial"/>
          <w:b w:val="0"/>
          <w:sz w:val="24"/>
        </w:rPr>
        <w:fldChar w:fldCharType="begin"/>
      </w:r>
      <w:r w:rsidRPr="00136340">
        <w:rPr>
          <w:rFonts w:ascii="Arial" w:hAnsi="Arial" w:cs="Arial"/>
          <w:b w:val="0"/>
          <w:sz w:val="24"/>
        </w:rPr>
        <w:instrText xml:space="preserve"> SEQ Graph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00150C62">
        <w:rPr>
          <w:rFonts w:ascii="Arial" w:hAnsi="Arial" w:cs="Arial"/>
          <w:b w:val="0"/>
          <w:sz w:val="24"/>
        </w:rPr>
        <w:t xml:space="preserve">. </w:t>
      </w:r>
      <w:r w:rsidRPr="00136340">
        <w:rPr>
          <w:rFonts w:ascii="Arial" w:hAnsi="Arial" w:cs="Arial"/>
          <w:b w:val="0"/>
          <w:sz w:val="24"/>
        </w:rPr>
        <w:t xml:space="preserve">HPV vaccination coverage by </w:t>
      </w:r>
      <w:r w:rsidR="00005EEB" w:rsidRPr="00136340">
        <w:rPr>
          <w:rFonts w:ascii="Arial" w:hAnsi="Arial" w:cs="Arial"/>
          <w:b w:val="0"/>
          <w:sz w:val="24"/>
        </w:rPr>
        <w:t>r</w:t>
      </w:r>
      <w:r w:rsidR="006E56C4" w:rsidRPr="00136340">
        <w:rPr>
          <w:rFonts w:ascii="Arial" w:hAnsi="Arial" w:cs="Arial"/>
          <w:b w:val="0"/>
          <w:sz w:val="24"/>
        </w:rPr>
        <w:t>emoteness</w:t>
      </w:r>
      <w:r w:rsidRPr="00136340">
        <w:rPr>
          <w:rFonts w:ascii="Arial" w:hAnsi="Arial" w:cs="Arial"/>
          <w:b w:val="0"/>
          <w:sz w:val="24"/>
        </w:rPr>
        <w:t xml:space="preserve"> of area of residence for females aged </w:t>
      </w:r>
      <w:bookmarkStart w:id="1" w:name="_Hlk23800170"/>
      <w:r w:rsidR="00213D67">
        <w:rPr>
          <w:rFonts w:ascii="Arial" w:hAnsi="Arial" w:cs="Arial"/>
          <w:b w:val="0"/>
          <w:sz w:val="24"/>
        </w:rPr>
        <w:t>12</w:t>
      </w:r>
      <w:r w:rsidR="009221F1">
        <w:rPr>
          <w:rFonts w:ascii="Arial" w:hAnsi="Arial" w:cs="Arial"/>
          <w:b w:val="0"/>
          <w:sz w:val="24"/>
        </w:rPr>
        <w:t>-</w:t>
      </w:r>
      <w:r w:rsidR="00213D67" w:rsidRPr="00136340">
        <w:rPr>
          <w:rFonts w:ascii="Arial" w:hAnsi="Arial" w:cs="Arial"/>
          <w:b w:val="0"/>
          <w:sz w:val="24"/>
        </w:rPr>
        <w:t xml:space="preserve">13 </w:t>
      </w:r>
      <w:bookmarkEnd w:id="1"/>
      <w:r w:rsidRPr="00136340">
        <w:rPr>
          <w:rFonts w:ascii="Arial" w:hAnsi="Arial" w:cs="Arial"/>
          <w:b w:val="0"/>
          <w:sz w:val="24"/>
        </w:rPr>
        <w:t>years in 2007.</w:t>
      </w:r>
    </w:p>
    <w:p w14:paraId="29DED897" w14:textId="77777777" w:rsidR="00A41B94" w:rsidRPr="00136340" w:rsidRDefault="00A41B94" w:rsidP="00A41B94">
      <w:pPr>
        <w:rPr>
          <w:rFonts w:ascii="Arial" w:hAnsi="Arial" w:cs="Arial"/>
        </w:rPr>
      </w:pPr>
      <w:r w:rsidRPr="00136340">
        <w:rPr>
          <w:rFonts w:ascii="Arial" w:hAnsi="Arial" w:cs="Arial"/>
          <w:noProof/>
          <w:lang w:eastAsia="en-AU"/>
        </w:rPr>
        <w:drawing>
          <wp:inline distT="0" distB="0" distL="0" distR="0" wp14:anchorId="0D824CFD" wp14:editId="541CF99E">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527E834" w14:textId="77777777" w:rsidR="00136340" w:rsidRPr="00A37817" w:rsidRDefault="00136340" w:rsidP="00136340">
      <w:pPr>
        <w:spacing w:after="120" w:line="240" w:lineRule="auto"/>
        <w:rPr>
          <w:rFonts w:ascii="Arial" w:hAnsi="Arial" w:cs="Arial"/>
        </w:rPr>
      </w:pPr>
      <w:bookmarkStart w:id="2" w:name="_Hlk23800912"/>
    </w:p>
    <w:p w14:paraId="4703FA71" w14:textId="78C90072" w:rsidR="00A41B94" w:rsidRPr="00136340" w:rsidRDefault="00A41B94" w:rsidP="00136340">
      <w:pPr>
        <w:pStyle w:val="Caption"/>
        <w:spacing w:after="120" w:line="240" w:lineRule="auto"/>
        <w:rPr>
          <w:rFonts w:ascii="Arial" w:hAnsi="Arial" w:cs="Arial"/>
          <w:b w:val="0"/>
          <w:sz w:val="24"/>
        </w:rPr>
      </w:pPr>
      <w:bookmarkStart w:id="3" w:name="_Hlk23799997"/>
      <w:bookmarkStart w:id="4" w:name="_Hlk23800339"/>
      <w:r w:rsidRPr="00136340">
        <w:rPr>
          <w:rFonts w:ascii="Arial" w:hAnsi="Arial" w:cs="Arial"/>
          <w:b w:val="0"/>
          <w:sz w:val="24"/>
        </w:rPr>
        <w:t xml:space="preserve">Table </w:t>
      </w:r>
      <w:r w:rsidRPr="00136340">
        <w:rPr>
          <w:rFonts w:ascii="Arial" w:hAnsi="Arial" w:cs="Arial"/>
          <w:b w:val="0"/>
          <w:sz w:val="24"/>
        </w:rPr>
        <w:fldChar w:fldCharType="begin"/>
      </w:r>
      <w:r w:rsidRPr="00136340">
        <w:rPr>
          <w:rFonts w:ascii="Arial" w:hAnsi="Arial" w:cs="Arial"/>
          <w:b w:val="0"/>
          <w:sz w:val="24"/>
        </w:rPr>
        <w:instrText xml:space="preserve"> SEQ Table \* ARABIC </w:instrText>
      </w:r>
      <w:r w:rsidRPr="00136340">
        <w:rPr>
          <w:rFonts w:ascii="Arial" w:hAnsi="Arial" w:cs="Arial"/>
          <w:b w:val="0"/>
          <w:sz w:val="24"/>
        </w:rPr>
        <w:fldChar w:fldCharType="separate"/>
      </w:r>
      <w:r w:rsidRPr="00136340">
        <w:rPr>
          <w:rFonts w:ascii="Arial" w:hAnsi="Arial" w:cs="Arial"/>
          <w:b w:val="0"/>
          <w:noProof/>
          <w:sz w:val="24"/>
        </w:rPr>
        <w:t>1</w:t>
      </w:r>
      <w:r w:rsidRPr="00136340">
        <w:rPr>
          <w:rFonts w:ascii="Arial" w:hAnsi="Arial" w:cs="Arial"/>
          <w:b w:val="0"/>
          <w:sz w:val="24"/>
        </w:rPr>
        <w:fldChar w:fldCharType="end"/>
      </w:r>
      <w:r w:rsidRPr="00136340">
        <w:rPr>
          <w:rFonts w:ascii="Arial" w:hAnsi="Arial" w:cs="Arial"/>
          <w:b w:val="0"/>
          <w:sz w:val="24"/>
        </w:rPr>
        <w:t xml:space="preserve">. HPV vaccination coverage by </w:t>
      </w:r>
      <w:r w:rsidR="00005EEB" w:rsidRPr="00136340">
        <w:rPr>
          <w:rFonts w:ascii="Arial" w:hAnsi="Arial" w:cs="Arial"/>
          <w:b w:val="0"/>
          <w:sz w:val="24"/>
        </w:rPr>
        <w:t>r</w:t>
      </w:r>
      <w:r w:rsidR="006E56C4" w:rsidRPr="00136340">
        <w:rPr>
          <w:rFonts w:ascii="Arial" w:hAnsi="Arial" w:cs="Arial"/>
          <w:b w:val="0"/>
          <w:sz w:val="24"/>
        </w:rPr>
        <w:t>emoteness</w:t>
      </w:r>
      <w:r w:rsidRPr="00136340">
        <w:rPr>
          <w:rFonts w:ascii="Arial" w:hAnsi="Arial" w:cs="Arial"/>
          <w:b w:val="0"/>
          <w:sz w:val="24"/>
        </w:rPr>
        <w:t xml:space="preserve"> of area o</w:t>
      </w:r>
      <w:r w:rsidR="00150C62">
        <w:rPr>
          <w:rFonts w:ascii="Arial" w:hAnsi="Arial" w:cs="Arial"/>
          <w:b w:val="0"/>
          <w:sz w:val="24"/>
        </w:rPr>
        <w:t xml:space="preserve">f residence for females aged </w:t>
      </w:r>
      <w:bookmarkStart w:id="5" w:name="_Hlk23799895"/>
      <w:r w:rsidR="00150C62">
        <w:rPr>
          <w:rFonts w:ascii="Arial" w:hAnsi="Arial" w:cs="Arial"/>
          <w:b w:val="0"/>
          <w:sz w:val="24"/>
        </w:rPr>
        <w:t>12</w:t>
      </w:r>
      <w:r w:rsidR="009221F1">
        <w:rPr>
          <w:rFonts w:ascii="Arial" w:hAnsi="Arial" w:cs="Arial"/>
          <w:b w:val="0"/>
          <w:sz w:val="24"/>
        </w:rPr>
        <w:t>-</w:t>
      </w:r>
      <w:r w:rsidRPr="00136340">
        <w:rPr>
          <w:rFonts w:ascii="Arial" w:hAnsi="Arial" w:cs="Arial"/>
          <w:b w:val="0"/>
          <w:sz w:val="24"/>
        </w:rPr>
        <w:t xml:space="preserve">13 </w:t>
      </w:r>
      <w:bookmarkEnd w:id="5"/>
      <w:r w:rsidRPr="00136340">
        <w:rPr>
          <w:rFonts w:ascii="Arial" w:hAnsi="Arial" w:cs="Arial"/>
          <w:b w:val="0"/>
          <w:sz w:val="24"/>
        </w:rPr>
        <w:t>years in 2007.</w:t>
      </w:r>
    </w:p>
    <w:tbl>
      <w:tblPr>
        <w:tblStyle w:val="GridTable4-Accent51"/>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Coverage per cent for dose 1, 2 and 3 by remoteness"/>
        <w:tblDescription w:val="Table 1 Coverage per cent for dose 1, 2 and 3 by remoteness for 2007"/>
      </w:tblPr>
      <w:tblGrid>
        <w:gridCol w:w="3937"/>
        <w:gridCol w:w="1946"/>
        <w:gridCol w:w="1946"/>
        <w:gridCol w:w="1942"/>
      </w:tblGrid>
      <w:tr w:rsidR="00136340" w:rsidRPr="00136340" w14:paraId="210B4602" w14:textId="77777777" w:rsidTr="004E3755">
        <w:trPr>
          <w:cnfStyle w:val="100000000000" w:firstRow="1" w:lastRow="0" w:firstColumn="0" w:lastColumn="0" w:oddVBand="0" w:evenVBand="0" w:oddHBand="0"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2014"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EAB9BEF" w14:textId="77777777" w:rsidR="00A41B94" w:rsidRPr="00136340" w:rsidRDefault="00A41B94" w:rsidP="00150C62">
            <w:pPr>
              <w:jc w:val="center"/>
              <w:rPr>
                <w:rFonts w:ascii="Arial" w:hAnsi="Arial" w:cs="Arial"/>
              </w:rPr>
            </w:pPr>
            <w:bookmarkStart w:id="6" w:name="_Hlk23800187"/>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88A2CB1" w14:textId="77777777" w:rsidR="00A41B94" w:rsidRPr="00136340" w:rsidRDefault="00A41B94" w:rsidP="00150C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1</w:t>
            </w:r>
          </w:p>
        </w:tc>
        <w:tc>
          <w:tcPr>
            <w:tcW w:w="996"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7E1485D" w14:textId="77777777" w:rsidR="00A41B94" w:rsidRPr="00136340" w:rsidRDefault="00A41B94" w:rsidP="00150C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2</w:t>
            </w:r>
          </w:p>
        </w:tc>
        <w:tc>
          <w:tcPr>
            <w:tcW w:w="995" w:type="pc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8A1C4E4" w14:textId="77777777" w:rsidR="00A41B94" w:rsidRPr="00136340" w:rsidRDefault="00A41B94" w:rsidP="00150C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Coverage Dose 3</w:t>
            </w:r>
          </w:p>
        </w:tc>
      </w:tr>
      <w:tr w:rsidR="00B37717" w:rsidRPr="00136340" w14:paraId="78B184A8" w14:textId="77777777" w:rsidTr="004E375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4" w:type="pct"/>
            <w:shd w:val="clear" w:color="auto" w:fill="DBE5F1" w:themeFill="accent1" w:themeFillTint="33"/>
            <w:vAlign w:val="center"/>
          </w:tcPr>
          <w:p w14:paraId="488972C6" w14:textId="77777777" w:rsidR="00B37717" w:rsidRPr="00136340" w:rsidRDefault="00B37717" w:rsidP="00150C62">
            <w:pPr>
              <w:jc w:val="center"/>
              <w:rPr>
                <w:rFonts w:ascii="Arial" w:hAnsi="Arial" w:cs="Arial"/>
              </w:rPr>
            </w:pPr>
            <w:r w:rsidRPr="00136340">
              <w:rPr>
                <w:rFonts w:ascii="Arial" w:hAnsi="Arial" w:cs="Arial"/>
              </w:rPr>
              <w:t>Major Cities</w:t>
            </w:r>
          </w:p>
        </w:tc>
        <w:tc>
          <w:tcPr>
            <w:tcW w:w="996" w:type="pct"/>
            <w:shd w:val="clear" w:color="auto" w:fill="DBE5F1" w:themeFill="accent1" w:themeFillTint="33"/>
            <w:vAlign w:val="center"/>
          </w:tcPr>
          <w:p w14:paraId="5C04EAAC" w14:textId="77777777" w:rsidR="00B37717" w:rsidRPr="00136340" w:rsidRDefault="00B37717" w:rsidP="00150C6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6340">
              <w:rPr>
                <w:rFonts w:ascii="Arial" w:hAnsi="Arial" w:cs="Arial"/>
              </w:rPr>
              <w:t>83.4%</w:t>
            </w:r>
          </w:p>
        </w:tc>
        <w:tc>
          <w:tcPr>
            <w:tcW w:w="996" w:type="pct"/>
            <w:shd w:val="clear" w:color="auto" w:fill="DBE5F1" w:themeFill="accent1" w:themeFillTint="33"/>
            <w:vAlign w:val="center"/>
          </w:tcPr>
          <w:p w14:paraId="43ABB308" w14:textId="77777777" w:rsidR="00B37717" w:rsidRPr="00136340" w:rsidRDefault="00B37717" w:rsidP="00150C6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6340">
              <w:rPr>
                <w:rFonts w:ascii="Arial" w:hAnsi="Arial" w:cs="Arial"/>
              </w:rPr>
              <w:t>80.2%</w:t>
            </w:r>
          </w:p>
        </w:tc>
        <w:tc>
          <w:tcPr>
            <w:tcW w:w="995" w:type="pct"/>
            <w:shd w:val="clear" w:color="auto" w:fill="DBE5F1" w:themeFill="accent1" w:themeFillTint="33"/>
            <w:vAlign w:val="center"/>
          </w:tcPr>
          <w:p w14:paraId="2D001EFC" w14:textId="77777777" w:rsidR="00B37717" w:rsidRPr="00136340" w:rsidRDefault="00B37717" w:rsidP="00150C6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6340">
              <w:rPr>
                <w:rFonts w:ascii="Arial" w:hAnsi="Arial" w:cs="Arial"/>
              </w:rPr>
              <w:t>73.6%</w:t>
            </w:r>
          </w:p>
        </w:tc>
      </w:tr>
      <w:tr w:rsidR="00B37717" w:rsidRPr="00136340" w14:paraId="3895CD03" w14:textId="77777777" w:rsidTr="004E3755">
        <w:trPr>
          <w:trHeight w:val="414"/>
          <w:jc w:val="center"/>
        </w:trPr>
        <w:tc>
          <w:tcPr>
            <w:cnfStyle w:val="001000000000" w:firstRow="0" w:lastRow="0" w:firstColumn="1" w:lastColumn="0" w:oddVBand="0" w:evenVBand="0" w:oddHBand="0" w:evenHBand="0" w:firstRowFirstColumn="0" w:firstRowLastColumn="0" w:lastRowFirstColumn="0" w:lastRowLastColumn="0"/>
            <w:tcW w:w="2014" w:type="pct"/>
            <w:vAlign w:val="center"/>
          </w:tcPr>
          <w:p w14:paraId="4D3B1C70" w14:textId="77777777" w:rsidR="00B37717" w:rsidRPr="00136340" w:rsidRDefault="00B37717" w:rsidP="00150C62">
            <w:pPr>
              <w:jc w:val="center"/>
              <w:rPr>
                <w:rFonts w:ascii="Arial" w:hAnsi="Arial" w:cs="Arial"/>
              </w:rPr>
            </w:pPr>
            <w:r w:rsidRPr="00136340">
              <w:rPr>
                <w:rFonts w:ascii="Arial" w:hAnsi="Arial" w:cs="Arial"/>
              </w:rPr>
              <w:t>Inner Regional</w:t>
            </w:r>
          </w:p>
        </w:tc>
        <w:tc>
          <w:tcPr>
            <w:tcW w:w="996" w:type="pct"/>
            <w:vAlign w:val="center"/>
          </w:tcPr>
          <w:p w14:paraId="6FBED4D1" w14:textId="77777777" w:rsidR="00B37717" w:rsidRPr="00136340" w:rsidRDefault="00B37717" w:rsidP="00150C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82.6%</w:t>
            </w:r>
          </w:p>
        </w:tc>
        <w:tc>
          <w:tcPr>
            <w:tcW w:w="996" w:type="pct"/>
            <w:vAlign w:val="center"/>
          </w:tcPr>
          <w:p w14:paraId="06F757DB" w14:textId="77777777" w:rsidR="00B37717" w:rsidRPr="00136340" w:rsidRDefault="00B37717" w:rsidP="00150C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79.1%</w:t>
            </w:r>
          </w:p>
        </w:tc>
        <w:tc>
          <w:tcPr>
            <w:tcW w:w="995" w:type="pct"/>
            <w:vAlign w:val="center"/>
          </w:tcPr>
          <w:p w14:paraId="59F21ED6" w14:textId="77777777" w:rsidR="00B37717" w:rsidRPr="00136340" w:rsidRDefault="00B37717" w:rsidP="00150C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72.1%</w:t>
            </w:r>
          </w:p>
        </w:tc>
      </w:tr>
      <w:tr w:rsidR="00B37717" w:rsidRPr="00136340" w14:paraId="4DE076CD" w14:textId="77777777" w:rsidTr="004C4AA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4" w:type="pct"/>
            <w:shd w:val="clear" w:color="auto" w:fill="DBE5F1" w:themeFill="accent1" w:themeFillTint="33"/>
            <w:vAlign w:val="center"/>
          </w:tcPr>
          <w:p w14:paraId="65E6BAB0" w14:textId="77777777" w:rsidR="00B37717" w:rsidRPr="00136340" w:rsidRDefault="00B37717" w:rsidP="00150C62">
            <w:pPr>
              <w:jc w:val="center"/>
              <w:rPr>
                <w:rFonts w:ascii="Arial" w:hAnsi="Arial" w:cs="Arial"/>
              </w:rPr>
            </w:pPr>
            <w:r w:rsidRPr="00136340">
              <w:rPr>
                <w:rFonts w:ascii="Arial" w:hAnsi="Arial" w:cs="Arial"/>
              </w:rPr>
              <w:t>Outer Regional</w:t>
            </w:r>
          </w:p>
        </w:tc>
        <w:tc>
          <w:tcPr>
            <w:tcW w:w="996" w:type="pct"/>
            <w:shd w:val="clear" w:color="auto" w:fill="DBE5F1" w:themeFill="accent1" w:themeFillTint="33"/>
            <w:vAlign w:val="center"/>
          </w:tcPr>
          <w:p w14:paraId="5F94E088" w14:textId="77777777" w:rsidR="00B37717" w:rsidRPr="00136340" w:rsidRDefault="00B37717" w:rsidP="00150C6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6340">
              <w:rPr>
                <w:rFonts w:ascii="Arial" w:hAnsi="Arial" w:cs="Arial"/>
              </w:rPr>
              <w:t>82.4%</w:t>
            </w:r>
          </w:p>
        </w:tc>
        <w:tc>
          <w:tcPr>
            <w:tcW w:w="996" w:type="pct"/>
            <w:shd w:val="clear" w:color="auto" w:fill="DBE5F1" w:themeFill="accent1" w:themeFillTint="33"/>
            <w:vAlign w:val="center"/>
          </w:tcPr>
          <w:p w14:paraId="6D769F24" w14:textId="77777777" w:rsidR="00B37717" w:rsidRPr="00136340" w:rsidRDefault="00B37717" w:rsidP="00150C6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6340">
              <w:rPr>
                <w:rFonts w:ascii="Arial" w:hAnsi="Arial" w:cs="Arial"/>
              </w:rPr>
              <w:t>78.8%</w:t>
            </w:r>
          </w:p>
        </w:tc>
        <w:tc>
          <w:tcPr>
            <w:tcW w:w="995" w:type="pct"/>
            <w:shd w:val="clear" w:color="auto" w:fill="DBE5F1" w:themeFill="accent1" w:themeFillTint="33"/>
            <w:vAlign w:val="center"/>
          </w:tcPr>
          <w:p w14:paraId="7AC40AD5" w14:textId="77777777" w:rsidR="00B37717" w:rsidRPr="00136340" w:rsidRDefault="00B37717" w:rsidP="00150C6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6340">
              <w:rPr>
                <w:rFonts w:ascii="Arial" w:hAnsi="Arial" w:cs="Arial"/>
              </w:rPr>
              <w:t>72.0%</w:t>
            </w:r>
          </w:p>
        </w:tc>
      </w:tr>
      <w:tr w:rsidR="00B37717" w:rsidRPr="00136340" w14:paraId="7BAFD7C1" w14:textId="77777777" w:rsidTr="004E3755">
        <w:trPr>
          <w:trHeight w:val="414"/>
          <w:jc w:val="center"/>
        </w:trPr>
        <w:tc>
          <w:tcPr>
            <w:cnfStyle w:val="001000000000" w:firstRow="0" w:lastRow="0" w:firstColumn="1" w:lastColumn="0" w:oddVBand="0" w:evenVBand="0" w:oddHBand="0" w:evenHBand="0" w:firstRowFirstColumn="0" w:firstRowLastColumn="0" w:lastRowFirstColumn="0" w:lastRowLastColumn="0"/>
            <w:tcW w:w="2014" w:type="pct"/>
            <w:shd w:val="clear" w:color="auto" w:fill="FFFFFF" w:themeFill="background1"/>
            <w:vAlign w:val="center"/>
          </w:tcPr>
          <w:p w14:paraId="373A8631" w14:textId="77777777" w:rsidR="00B37717" w:rsidRPr="00136340" w:rsidRDefault="00B37717" w:rsidP="00150C62">
            <w:pPr>
              <w:jc w:val="center"/>
              <w:rPr>
                <w:rFonts w:ascii="Arial" w:hAnsi="Arial" w:cs="Arial"/>
              </w:rPr>
            </w:pPr>
            <w:r w:rsidRPr="00136340">
              <w:rPr>
                <w:rFonts w:ascii="Arial" w:hAnsi="Arial" w:cs="Arial"/>
              </w:rPr>
              <w:t>Remote</w:t>
            </w:r>
          </w:p>
        </w:tc>
        <w:tc>
          <w:tcPr>
            <w:tcW w:w="996" w:type="pct"/>
            <w:shd w:val="clear" w:color="auto" w:fill="FFFFFF" w:themeFill="background1"/>
            <w:vAlign w:val="center"/>
          </w:tcPr>
          <w:p w14:paraId="5B3AD8F8" w14:textId="77777777" w:rsidR="00B37717" w:rsidRPr="00136340" w:rsidRDefault="00B37717" w:rsidP="00150C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83.0%</w:t>
            </w:r>
          </w:p>
        </w:tc>
        <w:tc>
          <w:tcPr>
            <w:tcW w:w="996" w:type="pct"/>
            <w:shd w:val="clear" w:color="auto" w:fill="FFFFFF" w:themeFill="background1"/>
            <w:vAlign w:val="center"/>
          </w:tcPr>
          <w:p w14:paraId="7BA293C2" w14:textId="77777777" w:rsidR="00B37717" w:rsidRPr="00136340" w:rsidRDefault="00B37717" w:rsidP="00150C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78.2%</w:t>
            </w:r>
          </w:p>
        </w:tc>
        <w:tc>
          <w:tcPr>
            <w:tcW w:w="995" w:type="pct"/>
            <w:shd w:val="clear" w:color="auto" w:fill="FFFFFF" w:themeFill="background1"/>
            <w:vAlign w:val="center"/>
          </w:tcPr>
          <w:p w14:paraId="270B685F" w14:textId="77777777" w:rsidR="00B37717" w:rsidRPr="00136340" w:rsidRDefault="00B37717" w:rsidP="00150C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6340">
              <w:rPr>
                <w:rFonts w:ascii="Arial" w:hAnsi="Arial" w:cs="Arial"/>
              </w:rPr>
              <w:t>70.1%</w:t>
            </w:r>
          </w:p>
        </w:tc>
      </w:tr>
      <w:tr w:rsidR="00B37717" w:rsidRPr="00136340" w14:paraId="251486F8" w14:textId="77777777" w:rsidTr="004C4AA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014" w:type="pct"/>
            <w:shd w:val="clear" w:color="auto" w:fill="DBE5F1" w:themeFill="accent1" w:themeFillTint="33"/>
            <w:vAlign w:val="center"/>
          </w:tcPr>
          <w:p w14:paraId="23F4FFC0" w14:textId="77777777" w:rsidR="00B37717" w:rsidRPr="00136340" w:rsidRDefault="00B37717" w:rsidP="00150C62">
            <w:pPr>
              <w:jc w:val="center"/>
              <w:rPr>
                <w:rFonts w:ascii="Arial" w:hAnsi="Arial" w:cs="Arial"/>
              </w:rPr>
            </w:pPr>
            <w:r w:rsidRPr="00136340">
              <w:rPr>
                <w:rFonts w:ascii="Arial" w:hAnsi="Arial" w:cs="Arial"/>
              </w:rPr>
              <w:t>Very Remote</w:t>
            </w:r>
          </w:p>
        </w:tc>
        <w:tc>
          <w:tcPr>
            <w:tcW w:w="996" w:type="pct"/>
            <w:shd w:val="clear" w:color="auto" w:fill="DBE5F1" w:themeFill="accent1" w:themeFillTint="33"/>
            <w:vAlign w:val="center"/>
          </w:tcPr>
          <w:p w14:paraId="09042D50" w14:textId="77777777" w:rsidR="00B37717" w:rsidRPr="00136340" w:rsidRDefault="00B37717" w:rsidP="00150C6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6340">
              <w:rPr>
                <w:rFonts w:ascii="Arial" w:hAnsi="Arial" w:cs="Arial"/>
              </w:rPr>
              <w:t>88.5%</w:t>
            </w:r>
          </w:p>
        </w:tc>
        <w:tc>
          <w:tcPr>
            <w:tcW w:w="996" w:type="pct"/>
            <w:shd w:val="clear" w:color="auto" w:fill="DBE5F1" w:themeFill="accent1" w:themeFillTint="33"/>
            <w:vAlign w:val="center"/>
          </w:tcPr>
          <w:p w14:paraId="004B1143" w14:textId="77777777" w:rsidR="00B37717" w:rsidRPr="00136340" w:rsidRDefault="00B37717" w:rsidP="00150C6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6340">
              <w:rPr>
                <w:rFonts w:ascii="Arial" w:hAnsi="Arial" w:cs="Arial"/>
              </w:rPr>
              <w:t>81.8%</w:t>
            </w:r>
          </w:p>
        </w:tc>
        <w:tc>
          <w:tcPr>
            <w:tcW w:w="995" w:type="pct"/>
            <w:shd w:val="clear" w:color="auto" w:fill="DBE5F1" w:themeFill="accent1" w:themeFillTint="33"/>
            <w:vAlign w:val="center"/>
          </w:tcPr>
          <w:p w14:paraId="5AE1D77C" w14:textId="77777777" w:rsidR="00B37717" w:rsidRPr="00136340" w:rsidRDefault="00B37717" w:rsidP="00150C6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6340">
              <w:rPr>
                <w:rFonts w:ascii="Arial" w:hAnsi="Arial" w:cs="Arial"/>
              </w:rPr>
              <w:t>71.4%</w:t>
            </w:r>
          </w:p>
        </w:tc>
      </w:tr>
      <w:tr w:rsidR="00150C62" w:rsidRPr="00150C62" w14:paraId="12F9A5A8" w14:textId="77777777" w:rsidTr="004E3755">
        <w:trPr>
          <w:trHeight w:val="414"/>
          <w:jc w:val="center"/>
        </w:trPr>
        <w:tc>
          <w:tcPr>
            <w:cnfStyle w:val="001000000000" w:firstRow="0" w:lastRow="0" w:firstColumn="1" w:lastColumn="0" w:oddVBand="0" w:evenVBand="0" w:oddHBand="0" w:evenHBand="0" w:firstRowFirstColumn="0" w:firstRowLastColumn="0" w:lastRowFirstColumn="0" w:lastRowLastColumn="0"/>
            <w:tcW w:w="2014" w:type="pct"/>
            <w:shd w:val="clear" w:color="auto" w:fill="548DD4" w:themeFill="text2" w:themeFillTint="99"/>
            <w:vAlign w:val="center"/>
          </w:tcPr>
          <w:p w14:paraId="1F8A8E92" w14:textId="77777777" w:rsidR="00B37717" w:rsidRPr="00150C62" w:rsidRDefault="00B37717" w:rsidP="00150C62">
            <w:pPr>
              <w:jc w:val="center"/>
              <w:rPr>
                <w:rFonts w:ascii="Arial" w:hAnsi="Arial" w:cs="Arial"/>
                <w:color w:val="FFFFFF" w:themeColor="background1"/>
              </w:rPr>
            </w:pPr>
            <w:r w:rsidRPr="00150C62">
              <w:rPr>
                <w:rFonts w:ascii="Arial" w:hAnsi="Arial" w:cs="Arial"/>
                <w:color w:val="FFFFFF" w:themeColor="background1"/>
              </w:rPr>
              <w:t>Total</w:t>
            </w:r>
          </w:p>
        </w:tc>
        <w:tc>
          <w:tcPr>
            <w:tcW w:w="996" w:type="pct"/>
            <w:shd w:val="clear" w:color="auto" w:fill="548DD4" w:themeFill="text2" w:themeFillTint="99"/>
            <w:vAlign w:val="center"/>
          </w:tcPr>
          <w:p w14:paraId="218C2C8A" w14:textId="77777777" w:rsidR="00B37717" w:rsidRPr="00150C62" w:rsidRDefault="00B37717" w:rsidP="00150C6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50C62">
              <w:rPr>
                <w:rFonts w:ascii="Arial" w:hAnsi="Arial" w:cs="Arial"/>
                <w:b/>
                <w:color w:val="FFFFFF" w:themeColor="background1"/>
              </w:rPr>
              <w:t>83.2%</w:t>
            </w:r>
          </w:p>
        </w:tc>
        <w:tc>
          <w:tcPr>
            <w:tcW w:w="996" w:type="pct"/>
            <w:shd w:val="clear" w:color="auto" w:fill="548DD4" w:themeFill="text2" w:themeFillTint="99"/>
            <w:vAlign w:val="center"/>
          </w:tcPr>
          <w:p w14:paraId="19957823" w14:textId="77777777" w:rsidR="00B37717" w:rsidRPr="00150C62" w:rsidRDefault="00B37717" w:rsidP="00150C6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50C62">
              <w:rPr>
                <w:rFonts w:ascii="Arial" w:hAnsi="Arial" w:cs="Arial"/>
                <w:b/>
                <w:color w:val="FFFFFF" w:themeColor="background1"/>
              </w:rPr>
              <w:t>79.8%</w:t>
            </w:r>
          </w:p>
        </w:tc>
        <w:tc>
          <w:tcPr>
            <w:tcW w:w="995" w:type="pct"/>
            <w:shd w:val="clear" w:color="auto" w:fill="548DD4" w:themeFill="text2" w:themeFillTint="99"/>
            <w:vAlign w:val="center"/>
          </w:tcPr>
          <w:p w14:paraId="162E8D91" w14:textId="77777777" w:rsidR="00B37717" w:rsidRPr="00150C62" w:rsidRDefault="00B37717" w:rsidP="00150C6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50C62">
              <w:rPr>
                <w:rFonts w:ascii="Arial" w:hAnsi="Arial" w:cs="Arial"/>
                <w:b/>
                <w:color w:val="FFFFFF" w:themeColor="background1"/>
              </w:rPr>
              <w:t>73.0%</w:t>
            </w:r>
          </w:p>
        </w:tc>
      </w:tr>
    </w:tbl>
    <w:p w14:paraId="0E54D76E" w14:textId="77777777" w:rsidR="00136340" w:rsidRPr="00150C62" w:rsidRDefault="00136340" w:rsidP="001E4B6B">
      <w:pPr>
        <w:spacing w:after="120" w:line="240" w:lineRule="auto"/>
        <w:rPr>
          <w:rFonts w:ascii="Arial" w:hAnsi="Arial" w:cs="Arial"/>
          <w:sz w:val="28"/>
          <w:szCs w:val="28"/>
        </w:rPr>
      </w:pPr>
    </w:p>
    <w:bookmarkEnd w:id="3"/>
    <w:p w14:paraId="67D94FAE" w14:textId="77777777" w:rsidR="00A41B94" w:rsidRPr="00150C62" w:rsidRDefault="00A41B94" w:rsidP="001E4B6B">
      <w:pPr>
        <w:pStyle w:val="Heading1"/>
        <w:spacing w:before="0" w:after="120"/>
        <w:rPr>
          <w:rFonts w:ascii="Arial" w:hAnsi="Arial"/>
          <w:b w:val="0"/>
          <w:szCs w:val="28"/>
        </w:rPr>
      </w:pPr>
      <w:r w:rsidRPr="00150C62">
        <w:rPr>
          <w:rFonts w:ascii="Arial" w:hAnsi="Arial"/>
          <w:b w:val="0"/>
          <w:szCs w:val="28"/>
        </w:rPr>
        <w:t>Notes:</w:t>
      </w:r>
    </w:p>
    <w:p w14:paraId="1B1685E1" w14:textId="64D9E9F4" w:rsidR="00677CC9" w:rsidRPr="00C84E7B" w:rsidRDefault="00677CC9" w:rsidP="00677CC9">
      <w:pPr>
        <w:numPr>
          <w:ilvl w:val="0"/>
          <w:numId w:val="5"/>
        </w:numPr>
        <w:spacing w:after="120" w:line="276" w:lineRule="auto"/>
        <w:rPr>
          <w:rFonts w:ascii="Arial" w:eastAsia="Times New Roman" w:hAnsi="Arial" w:cs="Arial"/>
          <w:sz w:val="20"/>
          <w:szCs w:val="20"/>
          <w:lang w:val="en" w:eastAsia="en-AU"/>
        </w:rPr>
      </w:pPr>
      <w:bookmarkStart w:id="7" w:name="_Hlk23800601"/>
      <w:bookmarkEnd w:id="4"/>
      <w:bookmarkEnd w:id="6"/>
      <w:r w:rsidRPr="00C84E7B">
        <w:rPr>
          <w:rFonts w:ascii="Arial" w:eastAsia="Times New Roman" w:hAnsi="Arial" w:cs="Arial"/>
          <w:sz w:val="20"/>
          <w:szCs w:val="20"/>
          <w:lang w:val="en" w:eastAsia="en-AU"/>
        </w:rPr>
        <w:t xml:space="preserve">Data extracted from the National HPV Vaccination Program Register </w:t>
      </w:r>
      <w:r>
        <w:rPr>
          <w:rFonts w:ascii="Arial" w:eastAsia="Times New Roman" w:hAnsi="Arial" w:cs="Arial"/>
          <w:sz w:val="20"/>
          <w:szCs w:val="20"/>
          <w:lang w:val="en" w:eastAsia="en-AU"/>
        </w:rPr>
        <w:t>(HPV Register) as at December 201</w:t>
      </w:r>
      <w:r w:rsidR="009221F1">
        <w:rPr>
          <w:rFonts w:ascii="Arial" w:eastAsia="Times New Roman" w:hAnsi="Arial" w:cs="Arial"/>
          <w:sz w:val="20"/>
          <w:szCs w:val="20"/>
          <w:lang w:val="en" w:eastAsia="en-AU"/>
        </w:rPr>
        <w:t>1</w:t>
      </w:r>
      <w:r>
        <w:rPr>
          <w:rFonts w:ascii="Arial" w:eastAsia="Times New Roman" w:hAnsi="Arial" w:cs="Arial"/>
          <w:sz w:val="20"/>
          <w:szCs w:val="20"/>
          <w:lang w:val="en" w:eastAsia="en-AU"/>
        </w:rPr>
        <w:t>.</w:t>
      </w:r>
    </w:p>
    <w:bookmarkEnd w:id="2"/>
    <w:bookmarkEnd w:id="7"/>
    <w:p w14:paraId="2C35A329" w14:textId="77777777" w:rsidR="00EF44F6" w:rsidRPr="00136340" w:rsidRDefault="00EF44F6" w:rsidP="00677CC9">
      <w:pPr>
        <w:numPr>
          <w:ilvl w:val="0"/>
          <w:numId w:val="5"/>
        </w:numPr>
        <w:spacing w:after="120" w:line="276" w:lineRule="auto"/>
        <w:rPr>
          <w:rFonts w:ascii="Arial" w:eastAsia="Times New Roman" w:hAnsi="Arial" w:cs="Arial"/>
          <w:sz w:val="20"/>
          <w:szCs w:val="20"/>
          <w:lang w:val="en" w:eastAsia="en-AU"/>
        </w:rPr>
      </w:pPr>
      <w:r w:rsidRPr="00136340">
        <w:rPr>
          <w:rFonts w:ascii="Arial" w:eastAsia="Times New Roman" w:hAnsi="Arial" w:cs="Arial"/>
          <w:sz w:val="20"/>
          <w:szCs w:val="20"/>
          <w:lang w:val="en" w:eastAsia="en-AU"/>
        </w:rPr>
        <w:t>Includes doses that comply with the recommended vaccine dosage and administration as per the Australian Immunisation Handbook (up to 3 doses administ</w:t>
      </w:r>
      <w:r w:rsidR="00C25738">
        <w:rPr>
          <w:rFonts w:ascii="Arial" w:eastAsia="Times New Roman" w:hAnsi="Arial" w:cs="Arial"/>
          <w:sz w:val="20"/>
          <w:szCs w:val="20"/>
          <w:lang w:val="en" w:eastAsia="en-AU"/>
        </w:rPr>
        <w:t>ered at prescribed intervals).</w:t>
      </w:r>
    </w:p>
    <w:p w14:paraId="20C11DFC" w14:textId="77777777" w:rsidR="00EF44F6" w:rsidRPr="00136340" w:rsidRDefault="00EF44F6" w:rsidP="00677CC9">
      <w:pPr>
        <w:numPr>
          <w:ilvl w:val="0"/>
          <w:numId w:val="5"/>
        </w:numPr>
        <w:spacing w:after="120" w:line="276" w:lineRule="auto"/>
        <w:rPr>
          <w:rFonts w:ascii="Arial" w:eastAsia="Times New Roman" w:hAnsi="Arial" w:cs="Arial"/>
          <w:sz w:val="20"/>
          <w:szCs w:val="20"/>
          <w:lang w:val="en" w:eastAsia="en-AU"/>
        </w:rPr>
      </w:pPr>
      <w:r w:rsidRPr="00136340">
        <w:rPr>
          <w:rFonts w:ascii="Arial" w:eastAsia="Times New Roman" w:hAnsi="Arial" w:cs="Arial"/>
          <w:sz w:val="20"/>
          <w:szCs w:val="20"/>
          <w:lang w:val="en" w:eastAsia="en-AU"/>
        </w:rPr>
        <w:t>Estimated resident populations for 2007 were derived from ABS Census Colle</w:t>
      </w:r>
      <w:r w:rsidR="00C25738">
        <w:rPr>
          <w:rFonts w:ascii="Arial" w:eastAsia="Times New Roman" w:hAnsi="Arial" w:cs="Arial"/>
          <w:sz w:val="20"/>
          <w:szCs w:val="20"/>
          <w:lang w:val="en" w:eastAsia="en-AU"/>
        </w:rPr>
        <w:t>ction Districts (CD’s).</w:t>
      </w:r>
    </w:p>
    <w:p w14:paraId="2BA807F7" w14:textId="5BBD818E" w:rsidR="00EF44F6" w:rsidRPr="00136340" w:rsidRDefault="00EF44F6" w:rsidP="00677CC9">
      <w:pPr>
        <w:numPr>
          <w:ilvl w:val="0"/>
          <w:numId w:val="5"/>
        </w:numPr>
        <w:spacing w:after="120" w:line="276" w:lineRule="auto"/>
        <w:rPr>
          <w:rFonts w:ascii="Arial" w:eastAsia="Times New Roman" w:hAnsi="Arial" w:cs="Arial"/>
          <w:sz w:val="20"/>
          <w:szCs w:val="20"/>
          <w:lang w:val="en" w:eastAsia="en-AU"/>
        </w:rPr>
      </w:pPr>
      <w:r w:rsidRPr="00136340">
        <w:rPr>
          <w:rFonts w:ascii="Arial" w:eastAsia="Times New Roman" w:hAnsi="Arial" w:cs="Arial"/>
          <w:sz w:val="20"/>
          <w:szCs w:val="20"/>
          <w:lang w:val="en" w:eastAsia="en-AU"/>
        </w:rPr>
        <w:t>Age is age as at date of ERP estimate (30th June).</w:t>
      </w:r>
      <w:r w:rsidR="007B3B41">
        <w:rPr>
          <w:rFonts w:ascii="Arial" w:eastAsia="Times New Roman" w:hAnsi="Arial" w:cs="Arial"/>
          <w:sz w:val="20"/>
          <w:szCs w:val="20"/>
          <w:lang w:val="en" w:eastAsia="en-AU"/>
        </w:rPr>
        <w:t xml:space="preserve"> </w:t>
      </w:r>
      <w:r w:rsidRPr="00136340">
        <w:rPr>
          <w:rFonts w:ascii="Arial" w:eastAsia="Times New Roman" w:hAnsi="Arial" w:cs="Arial"/>
          <w:sz w:val="20"/>
          <w:szCs w:val="20"/>
          <w:lang w:val="en" w:eastAsia="en-AU"/>
        </w:rPr>
        <w:t>Note that these estimates are for cohorts at age 12-13 and are therefore not comparable to other same year coverage est</w:t>
      </w:r>
      <w:r w:rsidR="00C25738">
        <w:rPr>
          <w:rFonts w:ascii="Arial" w:eastAsia="Times New Roman" w:hAnsi="Arial" w:cs="Arial"/>
          <w:sz w:val="20"/>
          <w:szCs w:val="20"/>
          <w:lang w:val="en" w:eastAsia="en-AU"/>
        </w:rPr>
        <w:t>imates for those aged 15 years.</w:t>
      </w:r>
    </w:p>
    <w:p w14:paraId="68466A24" w14:textId="77777777" w:rsidR="00EF44F6" w:rsidRPr="00136340" w:rsidRDefault="00EF44F6" w:rsidP="00677CC9">
      <w:pPr>
        <w:numPr>
          <w:ilvl w:val="0"/>
          <w:numId w:val="5"/>
        </w:numPr>
        <w:spacing w:after="120" w:line="276" w:lineRule="auto"/>
        <w:rPr>
          <w:rFonts w:ascii="Arial" w:eastAsia="Times New Roman" w:hAnsi="Arial" w:cs="Arial"/>
          <w:sz w:val="20"/>
          <w:szCs w:val="20"/>
          <w:lang w:val="en" w:eastAsia="en-AU"/>
        </w:rPr>
      </w:pPr>
      <w:r w:rsidRPr="00136340">
        <w:rPr>
          <w:rFonts w:ascii="Arial" w:eastAsia="Times New Roman" w:hAnsi="Arial" w:cs="Arial"/>
          <w:sz w:val="20"/>
          <w:szCs w:val="20"/>
          <w:lang w:val="en" w:eastAsia="en-AU"/>
        </w:rPr>
        <w:t>ABS Australian Statistical Geography Standard: Vol 5 - Remoteness Structure wa</w:t>
      </w:r>
      <w:r w:rsidR="00C25738">
        <w:rPr>
          <w:rFonts w:ascii="Arial" w:eastAsia="Times New Roman" w:hAnsi="Arial" w:cs="Arial"/>
          <w:sz w:val="20"/>
          <w:szCs w:val="20"/>
          <w:lang w:val="en" w:eastAsia="en-AU"/>
        </w:rPr>
        <w:t>s used to classify remoteness.</w:t>
      </w:r>
    </w:p>
    <w:p w14:paraId="7062D7FE" w14:textId="77777777" w:rsidR="00EF44F6" w:rsidRPr="00136340" w:rsidRDefault="00EF44F6" w:rsidP="00677CC9">
      <w:pPr>
        <w:numPr>
          <w:ilvl w:val="0"/>
          <w:numId w:val="5"/>
        </w:numPr>
        <w:spacing w:after="120" w:line="276" w:lineRule="auto"/>
        <w:rPr>
          <w:rFonts w:ascii="Arial" w:eastAsia="Times New Roman" w:hAnsi="Arial" w:cs="Arial"/>
          <w:sz w:val="20"/>
          <w:szCs w:val="20"/>
          <w:lang w:val="en" w:eastAsia="en-AU"/>
        </w:rPr>
      </w:pPr>
      <w:r w:rsidRPr="00136340">
        <w:rPr>
          <w:rFonts w:ascii="Arial" w:eastAsia="Times New Roman" w:hAnsi="Arial" w:cs="Arial"/>
          <w:sz w:val="20"/>
          <w:szCs w:val="20"/>
          <w:lang w:val="en" w:eastAsia="en-AU"/>
        </w:rPr>
        <w:lastRenderedPageBreak/>
        <w:t>Coverage is calculated as doses administered and reported to the HPV Register/Estimated Populat</w:t>
      </w:r>
      <w:r w:rsidR="00C25738">
        <w:rPr>
          <w:rFonts w:ascii="Arial" w:eastAsia="Times New Roman" w:hAnsi="Arial" w:cs="Arial"/>
          <w:sz w:val="20"/>
          <w:szCs w:val="20"/>
          <w:lang w:val="en" w:eastAsia="en-AU"/>
        </w:rPr>
        <w:t>ion expressed as a percentage.</w:t>
      </w:r>
    </w:p>
    <w:p w14:paraId="1B052137" w14:textId="77777777" w:rsidR="00EF44F6" w:rsidRPr="00136340" w:rsidRDefault="00EF44F6" w:rsidP="00677CC9">
      <w:pPr>
        <w:numPr>
          <w:ilvl w:val="0"/>
          <w:numId w:val="5"/>
        </w:numPr>
        <w:spacing w:after="120" w:line="276" w:lineRule="auto"/>
        <w:rPr>
          <w:rFonts w:ascii="Arial" w:eastAsia="Times New Roman" w:hAnsi="Arial" w:cs="Arial"/>
          <w:sz w:val="20"/>
          <w:szCs w:val="20"/>
          <w:lang w:val="en" w:eastAsia="en-AU"/>
        </w:rPr>
      </w:pPr>
      <w:r w:rsidRPr="00136340">
        <w:rPr>
          <w:rFonts w:ascii="Arial" w:eastAsia="Times New Roman" w:hAnsi="Arial" w:cs="Arial"/>
          <w:sz w:val="20"/>
          <w:szCs w:val="20"/>
          <w:lang w:val="en" w:eastAsia="en-AU"/>
        </w:rPr>
        <w:t>Excludes consumers who do not wish their details to be</w:t>
      </w:r>
      <w:r w:rsidR="00C25738">
        <w:rPr>
          <w:rFonts w:ascii="Arial" w:eastAsia="Times New Roman" w:hAnsi="Arial" w:cs="Arial"/>
          <w:sz w:val="20"/>
          <w:szCs w:val="20"/>
          <w:lang w:val="en" w:eastAsia="en-AU"/>
        </w:rPr>
        <w:t xml:space="preserve"> recorded on the HPV Register.</w:t>
      </w:r>
    </w:p>
    <w:p w14:paraId="2ED7EADC" w14:textId="77777777" w:rsidR="00EF44F6" w:rsidRPr="00136340" w:rsidRDefault="00EF44F6" w:rsidP="00677CC9">
      <w:pPr>
        <w:numPr>
          <w:ilvl w:val="0"/>
          <w:numId w:val="5"/>
        </w:numPr>
        <w:spacing w:after="120" w:line="276" w:lineRule="auto"/>
        <w:rPr>
          <w:rFonts w:ascii="Arial" w:eastAsia="Times New Roman" w:hAnsi="Arial" w:cs="Arial"/>
          <w:sz w:val="20"/>
          <w:szCs w:val="20"/>
          <w:lang w:val="en" w:eastAsia="en-AU"/>
        </w:rPr>
      </w:pPr>
      <w:r w:rsidRPr="00136340">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w:t>
      </w:r>
      <w:r w:rsidR="00C25738">
        <w:rPr>
          <w:rFonts w:ascii="Arial" w:eastAsia="Times New Roman" w:hAnsi="Arial" w:cs="Arial"/>
          <w:sz w:val="20"/>
          <w:szCs w:val="20"/>
          <w:lang w:val="en" w:eastAsia="en-AU"/>
        </w:rPr>
        <w:t xml:space="preserve"> 14-15 years in 2013 and 2014.</w:t>
      </w:r>
    </w:p>
    <w:p w14:paraId="2C59D663" w14:textId="77777777" w:rsidR="005C3815" w:rsidRPr="00677CC9" w:rsidRDefault="00EF44F6" w:rsidP="00677CC9">
      <w:pPr>
        <w:numPr>
          <w:ilvl w:val="0"/>
          <w:numId w:val="5"/>
        </w:numPr>
        <w:spacing w:after="120" w:line="276" w:lineRule="auto"/>
        <w:rPr>
          <w:rFonts w:ascii="Arial" w:eastAsia="Times New Roman" w:hAnsi="Arial" w:cs="Arial"/>
          <w:sz w:val="20"/>
          <w:szCs w:val="20"/>
          <w:lang w:val="en" w:eastAsia="en-AU"/>
        </w:rPr>
      </w:pPr>
      <w:r w:rsidRPr="00847097">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C25738">
        <w:rPr>
          <w:rFonts w:ascii="Arial" w:eastAsia="Times New Roman" w:hAnsi="Arial" w:cs="Arial"/>
          <w:sz w:val="20"/>
          <w:szCs w:val="20"/>
          <w:lang w:val="en" w:eastAsia="en-AU"/>
        </w:rPr>
        <w:t>e based immunisation registers.</w:t>
      </w:r>
    </w:p>
    <w:sectPr w:rsidR="005C3815" w:rsidRPr="00677CC9"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3A9"/>
    <w:multiLevelType w:val="multilevel"/>
    <w:tmpl w:val="E82ECE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100"/>
    <w:multiLevelType w:val="multilevel"/>
    <w:tmpl w:val="F4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05EEB"/>
    <w:rsid w:val="0001098C"/>
    <w:rsid w:val="000513F6"/>
    <w:rsid w:val="00053E9B"/>
    <w:rsid w:val="00065EE3"/>
    <w:rsid w:val="000867AB"/>
    <w:rsid w:val="00095859"/>
    <w:rsid w:val="000C5420"/>
    <w:rsid w:val="00136340"/>
    <w:rsid w:val="00150C62"/>
    <w:rsid w:val="00174B0E"/>
    <w:rsid w:val="001B4435"/>
    <w:rsid w:val="001B69E9"/>
    <w:rsid w:val="001E4B6B"/>
    <w:rsid w:val="00213D67"/>
    <w:rsid w:val="00230A45"/>
    <w:rsid w:val="00267FB3"/>
    <w:rsid w:val="00280050"/>
    <w:rsid w:val="00293F18"/>
    <w:rsid w:val="00335A34"/>
    <w:rsid w:val="00362495"/>
    <w:rsid w:val="00425020"/>
    <w:rsid w:val="00427702"/>
    <w:rsid w:val="00451FFE"/>
    <w:rsid w:val="00477FD7"/>
    <w:rsid w:val="004C4AAC"/>
    <w:rsid w:val="004E3755"/>
    <w:rsid w:val="004E37AE"/>
    <w:rsid w:val="005405FF"/>
    <w:rsid w:val="005431DE"/>
    <w:rsid w:val="005C26DC"/>
    <w:rsid w:val="005C333E"/>
    <w:rsid w:val="005C3815"/>
    <w:rsid w:val="005C5F45"/>
    <w:rsid w:val="005E1659"/>
    <w:rsid w:val="00635D9E"/>
    <w:rsid w:val="00677CC9"/>
    <w:rsid w:val="006E56C4"/>
    <w:rsid w:val="00706DB3"/>
    <w:rsid w:val="00727CF6"/>
    <w:rsid w:val="007B3B41"/>
    <w:rsid w:val="007B68E3"/>
    <w:rsid w:val="008033E5"/>
    <w:rsid w:val="00847097"/>
    <w:rsid w:val="0089196D"/>
    <w:rsid w:val="008C0080"/>
    <w:rsid w:val="008F6809"/>
    <w:rsid w:val="00920F9F"/>
    <w:rsid w:val="009221F1"/>
    <w:rsid w:val="00932139"/>
    <w:rsid w:val="009C0411"/>
    <w:rsid w:val="00A41B94"/>
    <w:rsid w:val="00A64A40"/>
    <w:rsid w:val="00B13FD0"/>
    <w:rsid w:val="00B37717"/>
    <w:rsid w:val="00B6437C"/>
    <w:rsid w:val="00C061D5"/>
    <w:rsid w:val="00C077D5"/>
    <w:rsid w:val="00C25738"/>
    <w:rsid w:val="00CC6916"/>
    <w:rsid w:val="00D417A6"/>
    <w:rsid w:val="00D57C73"/>
    <w:rsid w:val="00D81EF9"/>
    <w:rsid w:val="00DB45E5"/>
    <w:rsid w:val="00E10BFC"/>
    <w:rsid w:val="00E40C2C"/>
    <w:rsid w:val="00E919AF"/>
    <w:rsid w:val="00ED3A7B"/>
    <w:rsid w:val="00EF44F6"/>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003B"/>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4"/>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0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769011698">
      <w:bodyDiv w:val="1"/>
      <w:marLeft w:val="0"/>
      <w:marRight w:val="0"/>
      <w:marTop w:val="0"/>
      <w:marBottom w:val="0"/>
      <w:divBdr>
        <w:top w:val="none" w:sz="0" w:space="0" w:color="auto"/>
        <w:left w:val="none" w:sz="0" w:space="0" w:color="auto"/>
        <w:bottom w:val="none" w:sz="0" w:space="0" w:color="auto"/>
        <w:right w:val="none" w:sz="0" w:space="0" w:color="auto"/>
      </w:divBdr>
      <w:divsChild>
        <w:div w:id="776946303">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1066356">
      <w:bodyDiv w:val="1"/>
      <w:marLeft w:val="0"/>
      <w:marRight w:val="0"/>
      <w:marTop w:val="0"/>
      <w:marBottom w:val="0"/>
      <w:divBdr>
        <w:top w:val="none" w:sz="0" w:space="0" w:color="auto"/>
        <w:left w:val="none" w:sz="0" w:space="0" w:color="auto"/>
        <w:bottom w:val="none" w:sz="0" w:space="0" w:color="auto"/>
        <w:right w:val="none" w:sz="0" w:space="0" w:color="auto"/>
      </w:divBdr>
      <w:divsChild>
        <w:div w:id="3197733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dPt>
            <c:idx val="5"/>
            <c:invertIfNegative val="0"/>
            <c:bubble3D val="0"/>
            <c:spPr>
              <a:solidFill>
                <a:schemeClr val="accent1"/>
              </a:solidFill>
              <a:ln>
                <a:solidFill>
                  <a:schemeClr val="bg1">
                    <a:lumMod val="50000"/>
                  </a:schemeClr>
                </a:solidFill>
              </a:ln>
              <a:effectLst/>
            </c:spPr>
            <c:extLst>
              <c:ext xmlns:c16="http://schemas.microsoft.com/office/drawing/2014/chart" uri="{C3380CC4-5D6E-409C-BE32-E72D297353CC}">
                <c16:uniqueId val="{00000001-3543-4468-AB7D-28438712BEA5}"/>
              </c:ext>
            </c:extLst>
          </c:dPt>
          <c:cat>
            <c:strRef>
              <c:f>Sheet1!$A$2:$A$7</c:f>
              <c:strCache>
                <c:ptCount val="6"/>
                <c:pt idx="0">
                  <c:v>Major Cities</c:v>
                </c:pt>
                <c:pt idx="1">
                  <c:v>Inner Regional</c:v>
                </c:pt>
                <c:pt idx="2">
                  <c:v>Outer Regional</c:v>
                </c:pt>
                <c:pt idx="3">
                  <c:v>Remote</c:v>
                </c:pt>
                <c:pt idx="4">
                  <c:v>Very Remote</c:v>
                </c:pt>
                <c:pt idx="5">
                  <c:v>Total</c:v>
                </c:pt>
              </c:strCache>
            </c:strRef>
          </c:cat>
          <c:val>
            <c:numRef>
              <c:f>Sheet1!$B$2:$B$7</c:f>
              <c:numCache>
                <c:formatCode>0.00%</c:formatCode>
                <c:ptCount val="6"/>
                <c:pt idx="0">
                  <c:v>0.83399999999999996</c:v>
                </c:pt>
                <c:pt idx="1">
                  <c:v>0.82599999999999996</c:v>
                </c:pt>
                <c:pt idx="2">
                  <c:v>0.82399999999999995</c:v>
                </c:pt>
                <c:pt idx="3">
                  <c:v>0.83</c:v>
                </c:pt>
                <c:pt idx="4">
                  <c:v>0.88500000000000001</c:v>
                </c:pt>
                <c:pt idx="5">
                  <c:v>0.83199999999999996</c:v>
                </c:pt>
              </c:numCache>
            </c:numRef>
          </c:val>
          <c:extLst>
            <c:ext xmlns:c16="http://schemas.microsoft.com/office/drawing/2014/chart" uri="{C3380CC4-5D6E-409C-BE32-E72D297353CC}">
              <c16:uniqueId val="{00000002-3543-4468-AB7D-28438712BEA5}"/>
            </c:ext>
          </c:extLst>
        </c:ser>
        <c:ser>
          <c:idx val="1"/>
          <c:order val="1"/>
          <c:tx>
            <c:strRef>
              <c:f>Sheet1!$C$1</c:f>
              <c:strCache>
                <c:ptCount val="1"/>
                <c:pt idx="0">
                  <c:v>Dose 2</c:v>
                </c:pt>
              </c:strCache>
            </c:strRef>
          </c:tx>
          <c:spPr>
            <a:solidFill>
              <a:schemeClr val="accent2"/>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Sheet1!$C$2:$C$7</c:f>
              <c:numCache>
                <c:formatCode>0.00%</c:formatCode>
                <c:ptCount val="6"/>
                <c:pt idx="0">
                  <c:v>0.80200000000000005</c:v>
                </c:pt>
                <c:pt idx="1">
                  <c:v>0.79100000000000004</c:v>
                </c:pt>
                <c:pt idx="2">
                  <c:v>0.78800000000000003</c:v>
                </c:pt>
                <c:pt idx="3">
                  <c:v>0.78200000000000003</c:v>
                </c:pt>
                <c:pt idx="4">
                  <c:v>0.81799999999999995</c:v>
                </c:pt>
                <c:pt idx="5">
                  <c:v>0.79800000000000004</c:v>
                </c:pt>
              </c:numCache>
            </c:numRef>
          </c:val>
          <c:extLst>
            <c:ext xmlns:c16="http://schemas.microsoft.com/office/drawing/2014/chart" uri="{C3380CC4-5D6E-409C-BE32-E72D297353CC}">
              <c16:uniqueId val="{00000003-3543-4468-AB7D-28438712BEA5}"/>
            </c:ext>
          </c:extLst>
        </c:ser>
        <c:ser>
          <c:idx val="2"/>
          <c:order val="2"/>
          <c:tx>
            <c:strRef>
              <c:f>Sheet1!$D$1</c:f>
              <c:strCache>
                <c:ptCount val="1"/>
                <c:pt idx="0">
                  <c:v>Dose 3</c:v>
                </c:pt>
              </c:strCache>
            </c:strRef>
          </c:tx>
          <c:spPr>
            <a:solidFill>
              <a:schemeClr val="accent3"/>
            </a:solidFill>
            <a:ln>
              <a:noFill/>
            </a:ln>
            <a:effectLst/>
          </c:spPr>
          <c:invertIfNegative val="0"/>
          <c:cat>
            <c:strRef>
              <c:f>Sheet1!$A$2:$A$7</c:f>
              <c:strCache>
                <c:ptCount val="6"/>
                <c:pt idx="0">
                  <c:v>Major Cities</c:v>
                </c:pt>
                <c:pt idx="1">
                  <c:v>Inner Regional</c:v>
                </c:pt>
                <c:pt idx="2">
                  <c:v>Outer Regional</c:v>
                </c:pt>
                <c:pt idx="3">
                  <c:v>Remote</c:v>
                </c:pt>
                <c:pt idx="4">
                  <c:v>Very Remote</c:v>
                </c:pt>
                <c:pt idx="5">
                  <c:v>Total</c:v>
                </c:pt>
              </c:strCache>
            </c:strRef>
          </c:cat>
          <c:val>
            <c:numRef>
              <c:f>Sheet1!$D$2:$D$7</c:f>
              <c:numCache>
                <c:formatCode>0.00%</c:formatCode>
                <c:ptCount val="6"/>
                <c:pt idx="0">
                  <c:v>0.73599999999999999</c:v>
                </c:pt>
                <c:pt idx="1">
                  <c:v>0.72099999999999997</c:v>
                </c:pt>
                <c:pt idx="2">
                  <c:v>0.72</c:v>
                </c:pt>
                <c:pt idx="3">
                  <c:v>0.70099999999999996</c:v>
                </c:pt>
                <c:pt idx="4">
                  <c:v>0.71399999999999997</c:v>
                </c:pt>
                <c:pt idx="5">
                  <c:v>0.73</c:v>
                </c:pt>
              </c:numCache>
            </c:numRef>
          </c:val>
          <c:extLst>
            <c:ext xmlns:c16="http://schemas.microsoft.com/office/drawing/2014/chart" uri="{C3380CC4-5D6E-409C-BE32-E72D297353CC}">
              <c16:uniqueId val="{00000004-3543-4468-AB7D-28438712BEA5}"/>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2019-12-23T00:59:00Z</dcterms:created>
  <dcterms:modified xsi:type="dcterms:W3CDTF">2019-12-23T00:59:00Z</dcterms:modified>
</cp:coreProperties>
</file>