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E" w:rsidRPr="00BB18CA" w:rsidRDefault="00920F9F" w:rsidP="00BB18CA">
      <w:pPr>
        <w:pStyle w:val="Title"/>
        <w:jc w:val="left"/>
        <w:rPr>
          <w:rFonts w:ascii="Arial" w:hAnsi="Arial" w:cs="Arial"/>
          <w:b w:val="0"/>
          <w:lang w:val="en"/>
        </w:rPr>
      </w:pPr>
      <w:r w:rsidRPr="00BB18CA">
        <w:rPr>
          <w:rFonts w:ascii="Arial" w:hAnsi="Arial" w:cs="Arial"/>
          <w:b w:val="0"/>
          <w:lang w:val="en"/>
        </w:rPr>
        <w:t>HPV vaccination coverage by dose number (Australia) for</w:t>
      </w:r>
      <w:r w:rsidR="009C0411" w:rsidRPr="00BB18CA">
        <w:rPr>
          <w:rFonts w:ascii="Arial" w:hAnsi="Arial" w:cs="Arial"/>
          <w:b w:val="0"/>
          <w:lang w:val="en"/>
        </w:rPr>
        <w:t xml:space="preserve"> </w:t>
      </w:r>
      <w:r w:rsidR="00D31B88">
        <w:rPr>
          <w:rFonts w:ascii="Arial" w:hAnsi="Arial" w:cs="Arial"/>
          <w:b w:val="0"/>
          <w:lang w:val="en"/>
        </w:rPr>
        <w:t xml:space="preserve">males by age group in mid </w:t>
      </w:r>
      <w:r w:rsidR="008A709A" w:rsidRPr="00BB18CA">
        <w:rPr>
          <w:rFonts w:ascii="Arial" w:hAnsi="Arial" w:cs="Arial"/>
          <w:b w:val="0"/>
          <w:lang w:val="en"/>
        </w:rPr>
        <w:t>201</w:t>
      </w:r>
      <w:r w:rsidR="00843E66" w:rsidRPr="00BB18CA">
        <w:rPr>
          <w:rFonts w:ascii="Arial" w:hAnsi="Arial" w:cs="Arial"/>
          <w:b w:val="0"/>
          <w:lang w:val="en"/>
        </w:rPr>
        <w:t>6</w:t>
      </w:r>
    </w:p>
    <w:p w:rsidR="004E37AE" w:rsidRPr="00E9577B" w:rsidRDefault="004E37AE" w:rsidP="00D31B88">
      <w:pPr>
        <w:spacing w:after="120" w:line="240" w:lineRule="auto"/>
        <w:rPr>
          <w:lang w:eastAsia="en-AU"/>
        </w:rPr>
      </w:pPr>
    </w:p>
    <w:p w:rsidR="004E37AE" w:rsidRPr="00BB18CA" w:rsidRDefault="004E37AE" w:rsidP="00D31B88">
      <w:pPr>
        <w:pStyle w:val="Caption"/>
        <w:spacing w:after="120" w:line="240" w:lineRule="auto"/>
        <w:rPr>
          <w:rFonts w:ascii="Arial" w:hAnsi="Arial" w:cs="Arial"/>
          <w:b w:val="0"/>
          <w:sz w:val="24"/>
        </w:rPr>
      </w:pPr>
      <w:r w:rsidRPr="00BB18CA">
        <w:rPr>
          <w:rFonts w:ascii="Arial" w:hAnsi="Arial" w:cs="Arial"/>
          <w:b w:val="0"/>
          <w:sz w:val="24"/>
        </w:rPr>
        <w:t xml:space="preserve">Graph </w:t>
      </w:r>
      <w:r w:rsidRPr="00BB18CA">
        <w:rPr>
          <w:rFonts w:ascii="Arial" w:hAnsi="Arial" w:cs="Arial"/>
          <w:b w:val="0"/>
          <w:sz w:val="24"/>
        </w:rPr>
        <w:fldChar w:fldCharType="begin"/>
      </w:r>
      <w:r w:rsidRPr="00BB18CA">
        <w:rPr>
          <w:rFonts w:ascii="Arial" w:hAnsi="Arial" w:cs="Arial"/>
          <w:b w:val="0"/>
          <w:sz w:val="24"/>
        </w:rPr>
        <w:instrText xml:space="preserve"> SEQ Graph \* ARABIC </w:instrText>
      </w:r>
      <w:r w:rsidRPr="00BB18CA">
        <w:rPr>
          <w:rFonts w:ascii="Arial" w:hAnsi="Arial" w:cs="Arial"/>
          <w:b w:val="0"/>
          <w:sz w:val="24"/>
        </w:rPr>
        <w:fldChar w:fldCharType="separate"/>
      </w:r>
      <w:r w:rsidRPr="00BB18CA">
        <w:rPr>
          <w:rFonts w:ascii="Arial" w:hAnsi="Arial" w:cs="Arial"/>
          <w:b w:val="0"/>
          <w:sz w:val="24"/>
        </w:rPr>
        <w:t>1</w:t>
      </w:r>
      <w:r w:rsidRPr="00BB18CA">
        <w:rPr>
          <w:rFonts w:ascii="Arial" w:hAnsi="Arial" w:cs="Arial"/>
          <w:b w:val="0"/>
          <w:sz w:val="24"/>
        </w:rPr>
        <w:fldChar w:fldCharType="end"/>
      </w:r>
      <w:r w:rsidR="00D31B88">
        <w:rPr>
          <w:rFonts w:ascii="Arial" w:hAnsi="Arial" w:cs="Arial"/>
          <w:b w:val="0"/>
          <w:sz w:val="24"/>
        </w:rPr>
        <w:t xml:space="preserve">. </w:t>
      </w:r>
      <w:r w:rsidR="00920F9F" w:rsidRPr="00BB18CA">
        <w:rPr>
          <w:rFonts w:ascii="Arial" w:hAnsi="Arial" w:cs="Arial"/>
          <w:b w:val="0"/>
          <w:sz w:val="24"/>
        </w:rPr>
        <w:t>HPV vaccination coverage by dose number for</w:t>
      </w:r>
      <w:r w:rsidR="0080313C" w:rsidRPr="00BB18CA">
        <w:rPr>
          <w:rFonts w:ascii="Arial" w:hAnsi="Arial" w:cs="Arial"/>
          <w:b w:val="0"/>
          <w:sz w:val="24"/>
        </w:rPr>
        <w:t xml:space="preserve"> </w:t>
      </w:r>
      <w:r w:rsidR="00D31B88">
        <w:rPr>
          <w:rFonts w:ascii="Arial" w:hAnsi="Arial" w:cs="Arial"/>
          <w:b w:val="0"/>
          <w:sz w:val="24"/>
        </w:rPr>
        <w:t xml:space="preserve">males by age group in mid </w:t>
      </w:r>
      <w:r w:rsidR="009C0411" w:rsidRPr="00BB18CA">
        <w:rPr>
          <w:rFonts w:ascii="Arial" w:hAnsi="Arial" w:cs="Arial"/>
          <w:b w:val="0"/>
          <w:sz w:val="24"/>
        </w:rPr>
        <w:t>201</w:t>
      </w:r>
      <w:r w:rsidR="00843E66" w:rsidRPr="00BB18CA">
        <w:rPr>
          <w:rFonts w:ascii="Arial" w:hAnsi="Arial" w:cs="Arial"/>
          <w:b w:val="0"/>
          <w:sz w:val="24"/>
        </w:rPr>
        <w:t>6</w:t>
      </w:r>
      <w:r w:rsidRPr="00BB18CA">
        <w:rPr>
          <w:rFonts w:ascii="Arial" w:hAnsi="Arial" w:cs="Arial"/>
          <w:b w:val="0"/>
          <w:sz w:val="24"/>
        </w:rPr>
        <w:t>.</w:t>
      </w:r>
    </w:p>
    <w:p w:rsidR="004E37AE" w:rsidRPr="00BB18CA" w:rsidRDefault="005C5F45" w:rsidP="004E37AE">
      <w:r w:rsidRPr="00BB18CA">
        <w:rPr>
          <w:noProof/>
          <w:lang w:eastAsia="en-A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rsidR="00D31B88" w:rsidRPr="00BA5BA7" w:rsidRDefault="00D31B88" w:rsidP="00D31B88">
      <w:pPr>
        <w:spacing w:after="120" w:line="240" w:lineRule="auto"/>
        <w:rPr>
          <w:rFonts w:ascii="Arial" w:hAnsi="Arial" w:cs="Arial"/>
        </w:rPr>
      </w:pPr>
    </w:p>
    <w:p w:rsidR="00D31B88" w:rsidRPr="00BA5BA7" w:rsidRDefault="00D31B88" w:rsidP="00D31B88">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 xml:space="preserve">for females by age group in mid </w:t>
      </w:r>
      <w:r>
        <w:rPr>
          <w:rFonts w:ascii="Arial" w:hAnsi="Arial" w:cs="Arial"/>
          <w:b w:val="0"/>
          <w:sz w:val="24"/>
          <w:szCs w:val="24"/>
        </w:rPr>
        <w:t>2016</w:t>
      </w:r>
      <w:r>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D31B88" w:rsidRPr="00F34B37" w:rsidTr="00F35D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D31B88" w:rsidRPr="00F34B37" w:rsidRDefault="00D31B88" w:rsidP="00D31B88">
            <w:pPr>
              <w:jc w:val="center"/>
              <w:rPr>
                <w:rFonts w:ascii="Arial" w:hAnsi="Arial" w:cs="Arial"/>
              </w:rPr>
            </w:pPr>
            <w:r w:rsidRPr="00F34B37">
              <w:rPr>
                <w:rFonts w:ascii="Arial" w:hAnsi="Arial" w:cs="Arial"/>
              </w:rPr>
              <w:t xml:space="preserve">Age </w:t>
            </w:r>
            <w:r w:rsidRPr="00F34B37">
              <w:rPr>
                <w:rFonts w:ascii="Arial" w:hAnsi="Arial" w:cs="Arial"/>
              </w:rPr>
              <w:br/>
              <w:t>(in years at mid</w:t>
            </w:r>
            <w:r>
              <w:rPr>
                <w:rFonts w:ascii="Arial" w:hAnsi="Arial" w:cs="Arial"/>
              </w:rPr>
              <w:t xml:space="preserve"> 2016</w:t>
            </w:r>
            <w:r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D31B88" w:rsidRPr="00F34B37" w:rsidRDefault="00D31B88"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D31B88" w:rsidRPr="00F34B37" w:rsidRDefault="00D31B88"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D31B88" w:rsidRPr="00F34B37" w:rsidRDefault="00D31B88"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D31B88" w:rsidRPr="00F34B37" w:rsidRDefault="00D31B88"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D31B88" w:rsidRPr="00F34B37" w:rsidRDefault="00D31B88"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D31B88" w:rsidRPr="00BA5BA7" w:rsidTr="00F35D9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D31B88" w:rsidRPr="00494ECD" w:rsidRDefault="00D31B88" w:rsidP="00D31B88">
            <w:pPr>
              <w:jc w:val="center"/>
              <w:rPr>
                <w:rFonts w:ascii="Arial" w:hAnsi="Arial" w:cs="Arial"/>
                <w:b w:val="0"/>
                <w:color w:val="FFFFFF" w:themeColor="background1"/>
              </w:rPr>
            </w:pPr>
            <w:r w:rsidRPr="00494ECD">
              <w:rPr>
                <w:rFonts w:ascii="Arial" w:hAnsi="Arial" w:cs="Arial"/>
                <w:color w:val="FFFFFF" w:themeColor="background1"/>
              </w:rPr>
              <w:t>Population</w:t>
            </w:r>
            <w:r w:rsidRPr="00494ECD">
              <w:rPr>
                <w:rFonts w:ascii="Arial" w:hAnsi="Arial" w:cs="Arial"/>
                <w:color w:val="FFFFFF" w:themeColor="background1"/>
              </w:rPr>
              <w:br/>
            </w:r>
            <w:r>
              <w:rPr>
                <w:rFonts w:ascii="Arial" w:hAnsi="Arial" w:cs="Arial"/>
                <w:color w:val="FFFFFF" w:themeColor="background1"/>
              </w:rPr>
              <w:t>(in years at mid 2016</w:t>
            </w:r>
            <w:r w:rsidRPr="00494ECD">
              <w:rPr>
                <w:rFonts w:ascii="Arial" w:hAnsi="Arial" w:cs="Arial"/>
                <w:color w:val="FFFFFF" w:themeColor="background1"/>
              </w:rPr>
              <w:t>)</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290,105</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290,568</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297,046</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311,420</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1,231,591</w:t>
            </w:r>
          </w:p>
        </w:tc>
      </w:tr>
      <w:tr w:rsidR="00D31B88" w:rsidRPr="00BA5BA7" w:rsidTr="00F35D93">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D31B88" w:rsidRPr="00494ECD" w:rsidRDefault="00D31B88" w:rsidP="00D31B88">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250,129</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698,249</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623,992</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152,906</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5,253</w:t>
            </w:r>
          </w:p>
        </w:tc>
      </w:tr>
      <w:tr w:rsidR="00D31B88"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rsidR="00D31B88" w:rsidRPr="00494ECD" w:rsidRDefault="00D31B88" w:rsidP="00D31B88">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rsidR="00D31B88" w:rsidRPr="00494ECD"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86%</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84%</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75%</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18%</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0%</w:t>
            </w:r>
          </w:p>
        </w:tc>
      </w:tr>
      <w:tr w:rsidR="00D31B88" w:rsidRPr="00BA5BA7" w:rsidTr="00F35D93">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D31B88" w:rsidRPr="00494ECD" w:rsidRDefault="00D31B88" w:rsidP="00D31B88">
            <w:pPr>
              <w:jc w:val="center"/>
              <w:rPr>
                <w:rFonts w:ascii="Arial" w:hAnsi="Arial" w:cs="Arial"/>
                <w:b w:val="0"/>
                <w:color w:val="FFFFFF" w:themeColor="background1"/>
              </w:rPr>
            </w:pPr>
          </w:p>
        </w:tc>
        <w:tc>
          <w:tcPr>
            <w:tcW w:w="1236" w:type="dxa"/>
            <w:shd w:val="clear" w:color="auto" w:fill="8DB3E2" w:themeFill="text2" w:themeFillTint="66"/>
            <w:vAlign w:val="center"/>
          </w:tcPr>
          <w:p w:rsidR="00D31B88" w:rsidRPr="00494ECD"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82%</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81%</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72%</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17%</w:t>
            </w:r>
          </w:p>
        </w:tc>
        <w:tc>
          <w:tcPr>
            <w:tcW w:w="1396" w:type="dxa"/>
            <w:shd w:val="clear" w:color="auto" w:fill="FFFFFF" w:themeFill="background1"/>
            <w:vAlign w:val="center"/>
          </w:tcPr>
          <w:p w:rsidR="00D31B88" w:rsidRPr="00BB18CA" w:rsidRDefault="00D31B88" w:rsidP="00D31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B18CA">
              <w:rPr>
                <w:rFonts w:ascii="Arial" w:hAnsi="Arial" w:cs="Arial"/>
              </w:rPr>
              <w:t>0%</w:t>
            </w:r>
          </w:p>
        </w:tc>
      </w:tr>
      <w:tr w:rsidR="00D31B88"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D31B88" w:rsidRPr="00494ECD" w:rsidRDefault="00D31B88" w:rsidP="00D31B88">
            <w:pPr>
              <w:jc w:val="center"/>
              <w:rPr>
                <w:rFonts w:ascii="Arial" w:hAnsi="Arial" w:cs="Arial"/>
                <w:b w:val="0"/>
                <w:color w:val="FFFFFF" w:themeColor="background1"/>
              </w:rPr>
            </w:pPr>
          </w:p>
        </w:tc>
        <w:tc>
          <w:tcPr>
            <w:tcW w:w="1236" w:type="dxa"/>
            <w:shd w:val="clear" w:color="auto" w:fill="8DB3E2" w:themeFill="text2" w:themeFillTint="66"/>
            <w:vAlign w:val="center"/>
          </w:tcPr>
          <w:p w:rsidR="00D31B88" w:rsidRPr="00494ECD"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73%</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75%</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64%</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14%</w:t>
            </w:r>
          </w:p>
        </w:tc>
        <w:tc>
          <w:tcPr>
            <w:tcW w:w="1396" w:type="dxa"/>
            <w:shd w:val="clear" w:color="auto" w:fill="DBE5F1" w:themeFill="accent1" w:themeFillTint="33"/>
            <w:vAlign w:val="center"/>
          </w:tcPr>
          <w:p w:rsidR="00D31B88" w:rsidRPr="00BB18CA" w:rsidRDefault="00D31B88" w:rsidP="00D31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B18CA">
              <w:rPr>
                <w:rFonts w:ascii="Arial" w:hAnsi="Arial" w:cs="Arial"/>
              </w:rPr>
              <w:t>0%</w:t>
            </w:r>
          </w:p>
        </w:tc>
      </w:tr>
    </w:tbl>
    <w:p w:rsidR="00D31B88" w:rsidRPr="00BA5BA7" w:rsidRDefault="00D31B88" w:rsidP="00D31B88">
      <w:pPr>
        <w:spacing w:after="120" w:line="240" w:lineRule="auto"/>
        <w:rPr>
          <w:rFonts w:ascii="Arial" w:hAnsi="Arial" w:cs="Arial"/>
          <w:u w:val="single"/>
        </w:rPr>
      </w:pPr>
    </w:p>
    <w:p w:rsidR="00D31B88" w:rsidRPr="00BA5BA7" w:rsidRDefault="00D31B88" w:rsidP="00D31B88">
      <w:pPr>
        <w:pStyle w:val="Heading1"/>
        <w:spacing w:before="0" w:after="120"/>
        <w:rPr>
          <w:rFonts w:ascii="Arial" w:hAnsi="Arial"/>
          <w:b w:val="0"/>
        </w:rPr>
      </w:pPr>
      <w:r w:rsidRPr="00BA5BA7">
        <w:rPr>
          <w:rFonts w:ascii="Arial" w:hAnsi="Arial"/>
          <w:b w:val="0"/>
        </w:rPr>
        <w:t>Notes:</w:t>
      </w:r>
    </w:p>
    <w:p w:rsidR="00D31B88" w:rsidRPr="00BA5BA7" w:rsidRDefault="00D31B88" w:rsidP="00D31B88">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Pr>
          <w:rFonts w:ascii="Arial" w:eastAsia="Times New Roman" w:hAnsi="Arial" w:cs="Arial"/>
          <w:sz w:val="20"/>
          <w:szCs w:val="20"/>
          <w:lang w:eastAsia="en-AU"/>
        </w:rPr>
        <w:t xml:space="preserve"> 2018 and includes </w:t>
      </w:r>
      <w:r w:rsidRPr="00BA5BA7">
        <w:rPr>
          <w:rFonts w:ascii="Arial" w:eastAsia="Times New Roman" w:hAnsi="Arial" w:cs="Arial"/>
          <w:sz w:val="20"/>
          <w:szCs w:val="20"/>
          <w:lang w:eastAsia="en-AU"/>
        </w:rPr>
        <w:t>males vaccinated</w:t>
      </w:r>
      <w:r>
        <w:rPr>
          <w:rFonts w:ascii="Arial" w:eastAsia="Times New Roman" w:hAnsi="Arial" w:cs="Arial"/>
          <w:sz w:val="20"/>
          <w:szCs w:val="20"/>
          <w:lang w:eastAsia="en-AU"/>
        </w:rPr>
        <w:t xml:space="preserve"> between April 2007 and June 2018.</w:t>
      </w:r>
    </w:p>
    <w:p w:rsidR="007E2AD8" w:rsidRPr="00D31B88" w:rsidRDefault="007E2AD8" w:rsidP="00D31B88">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31B88">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D31B88">
        <w:rPr>
          <w:rFonts w:ascii="Arial" w:eastAsia="Times New Roman" w:hAnsi="Arial" w:cs="Arial"/>
          <w:sz w:val="20"/>
          <w:szCs w:val="20"/>
          <w:lang w:eastAsia="en-AU"/>
        </w:rPr>
        <w:t>tered at prescribed intervals).</w:t>
      </w:r>
    </w:p>
    <w:p w:rsidR="007E2AD8" w:rsidRPr="00D31B88" w:rsidRDefault="007E2AD8" w:rsidP="00D31B88">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31B88">
        <w:rPr>
          <w:rFonts w:ascii="Arial" w:eastAsia="Times New Roman" w:hAnsi="Arial" w:cs="Arial"/>
          <w:sz w:val="20"/>
          <w:szCs w:val="20"/>
          <w:lang w:eastAsia="en-AU"/>
        </w:rPr>
        <w:t>Estimated Resident Population 2016 (as at 30/6/2016) is from the Australian Bureau of Statistics - CAT 3101.0 Australian Demographic Statistics, Tables 51 to 58: Estimated Resident Population by Single Year of Age by State and Territory, FINAL based on 2016 c</w:t>
      </w:r>
      <w:r w:rsidR="00D31B88">
        <w:rPr>
          <w:rFonts w:ascii="Arial" w:eastAsia="Times New Roman" w:hAnsi="Arial" w:cs="Arial"/>
          <w:sz w:val="20"/>
          <w:szCs w:val="20"/>
          <w:lang w:eastAsia="en-AU"/>
        </w:rPr>
        <w:t>ensus data published June 2018.</w:t>
      </w:r>
    </w:p>
    <w:p w:rsidR="007E2AD8" w:rsidRPr="00D31B88" w:rsidRDefault="007E2AD8" w:rsidP="00D31B88">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31B88">
        <w:rPr>
          <w:rFonts w:ascii="Arial" w:eastAsia="Times New Roman" w:hAnsi="Arial" w:cs="Arial"/>
          <w:sz w:val="20"/>
          <w:szCs w:val="20"/>
          <w:lang w:eastAsia="en-AU"/>
        </w:rPr>
        <w:t>Age is age as at date of</w:t>
      </w:r>
      <w:r w:rsidR="00D31B88">
        <w:rPr>
          <w:rFonts w:ascii="Arial" w:eastAsia="Times New Roman" w:hAnsi="Arial" w:cs="Arial"/>
          <w:sz w:val="20"/>
          <w:szCs w:val="20"/>
          <w:lang w:eastAsia="en-AU"/>
        </w:rPr>
        <w:t xml:space="preserve"> ERP estimate (30th June 2016).</w:t>
      </w:r>
    </w:p>
    <w:p w:rsidR="007E2AD8" w:rsidRPr="00D31B88" w:rsidRDefault="007E2AD8" w:rsidP="00D31B88">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31B88">
        <w:rPr>
          <w:rFonts w:ascii="Arial" w:eastAsia="Times New Roman" w:hAnsi="Arial" w:cs="Arial"/>
          <w:sz w:val="20"/>
          <w:szCs w:val="20"/>
          <w:lang w:eastAsia="en-AU"/>
        </w:rPr>
        <w:lastRenderedPageBreak/>
        <w:t>Coverage is calculated as doses administered and reported to the HPV Register/Estimated Resident Popula</w:t>
      </w:r>
      <w:r w:rsidR="00D31B88">
        <w:rPr>
          <w:rFonts w:ascii="Arial" w:eastAsia="Times New Roman" w:hAnsi="Arial" w:cs="Arial"/>
          <w:sz w:val="20"/>
          <w:szCs w:val="20"/>
          <w:lang w:eastAsia="en-AU"/>
        </w:rPr>
        <w:t>tion expressed as a percentage.</w:t>
      </w:r>
    </w:p>
    <w:p w:rsidR="007E2AD8" w:rsidRPr="00D31B88" w:rsidRDefault="007E2AD8" w:rsidP="00D31B88">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31B88">
        <w:rPr>
          <w:rFonts w:ascii="Arial" w:eastAsia="Times New Roman" w:hAnsi="Arial" w:cs="Arial"/>
          <w:sz w:val="20"/>
          <w:szCs w:val="20"/>
          <w:lang w:eastAsia="en-AU"/>
        </w:rPr>
        <w:t>Excludes consumers who do not wish their details to b</w:t>
      </w:r>
      <w:r w:rsidR="00D31B88">
        <w:rPr>
          <w:rFonts w:ascii="Arial" w:eastAsia="Times New Roman" w:hAnsi="Arial" w:cs="Arial"/>
          <w:sz w:val="20"/>
          <w:szCs w:val="20"/>
          <w:lang w:eastAsia="en-AU"/>
        </w:rPr>
        <w:t>e recorded on the HPV Register.</w:t>
      </w:r>
    </w:p>
    <w:p w:rsidR="007E2AD8" w:rsidRPr="00D31B88" w:rsidRDefault="007E2AD8" w:rsidP="00D31B88">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31B88">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D31B88">
        <w:rPr>
          <w:rFonts w:ascii="Arial" w:eastAsia="Times New Roman" w:hAnsi="Arial" w:cs="Arial"/>
          <w:sz w:val="20"/>
          <w:szCs w:val="20"/>
          <w:lang w:eastAsia="en-AU"/>
        </w:rPr>
        <w:t>d to determine the dose number.</w:t>
      </w:r>
    </w:p>
    <w:p w:rsidR="007E2AD8" w:rsidRPr="00D31B88" w:rsidRDefault="007E2AD8" w:rsidP="00D31B88">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31B88">
        <w:rPr>
          <w:rFonts w:ascii="Arial" w:eastAsia="Times New Roman" w:hAnsi="Arial" w:cs="Arial"/>
          <w:sz w:val="20"/>
          <w:szCs w:val="20"/>
          <w:lang w:eastAsia="en-AU"/>
        </w:rPr>
        <w:t>The National HPV Vaccination Program initially provided quadrivalent HPV vaccine for all females aged 12-26 years as at mid 2007 (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D31B88">
        <w:rPr>
          <w:rFonts w:ascii="Arial" w:eastAsia="Times New Roman" w:hAnsi="Arial" w:cs="Arial"/>
          <w:sz w:val="20"/>
          <w:szCs w:val="20"/>
          <w:lang w:eastAsia="en-AU"/>
        </w:rPr>
        <w:t>d 14-15 years in 2013 and 2014.</w:t>
      </w:r>
    </w:p>
    <w:p w:rsidR="00280050" w:rsidRPr="00D31B88" w:rsidRDefault="007E2AD8" w:rsidP="00D31B88">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31B88">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w:t>
      </w:r>
      <w:r w:rsidR="00D31B88">
        <w:rPr>
          <w:rFonts w:ascii="Arial" w:eastAsia="Times New Roman" w:hAnsi="Arial" w:cs="Arial"/>
          <w:sz w:val="20"/>
          <w:szCs w:val="20"/>
          <w:lang w:eastAsia="en-AU"/>
        </w:rPr>
        <w:t>ion registers.</w:t>
      </w:r>
    </w:p>
    <w:sectPr w:rsidR="00280050" w:rsidRPr="00D31B88"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23B4A"/>
    <w:multiLevelType w:val="multilevel"/>
    <w:tmpl w:val="6AB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06740"/>
    <w:rsid w:val="0001098C"/>
    <w:rsid w:val="00053E9B"/>
    <w:rsid w:val="00065EE3"/>
    <w:rsid w:val="000867AB"/>
    <w:rsid w:val="00095859"/>
    <w:rsid w:val="000C5420"/>
    <w:rsid w:val="00174B0E"/>
    <w:rsid w:val="001B4435"/>
    <w:rsid w:val="001B69E9"/>
    <w:rsid w:val="001C1AA4"/>
    <w:rsid w:val="001E7CA4"/>
    <w:rsid w:val="001F2B06"/>
    <w:rsid w:val="00280050"/>
    <w:rsid w:val="00284665"/>
    <w:rsid w:val="00290679"/>
    <w:rsid w:val="00335A34"/>
    <w:rsid w:val="003D1105"/>
    <w:rsid w:val="003D7F3F"/>
    <w:rsid w:val="00405ECB"/>
    <w:rsid w:val="00421A8B"/>
    <w:rsid w:val="00427702"/>
    <w:rsid w:val="00451FFE"/>
    <w:rsid w:val="004B1C26"/>
    <w:rsid w:val="004B2D27"/>
    <w:rsid w:val="004E37AE"/>
    <w:rsid w:val="005405FF"/>
    <w:rsid w:val="005431DE"/>
    <w:rsid w:val="005A1C17"/>
    <w:rsid w:val="005C26DC"/>
    <w:rsid w:val="005C333E"/>
    <w:rsid w:val="005C5F45"/>
    <w:rsid w:val="005E1659"/>
    <w:rsid w:val="00635D9E"/>
    <w:rsid w:val="00727CF6"/>
    <w:rsid w:val="007B68E3"/>
    <w:rsid w:val="007E2AD8"/>
    <w:rsid w:val="0080313C"/>
    <w:rsid w:val="008033E5"/>
    <w:rsid w:val="00843E66"/>
    <w:rsid w:val="008A709A"/>
    <w:rsid w:val="008B4E8C"/>
    <w:rsid w:val="008F6809"/>
    <w:rsid w:val="00920F9F"/>
    <w:rsid w:val="00932139"/>
    <w:rsid w:val="009C0411"/>
    <w:rsid w:val="00A64A40"/>
    <w:rsid w:val="00A759CF"/>
    <w:rsid w:val="00B6437C"/>
    <w:rsid w:val="00BB18CA"/>
    <w:rsid w:val="00C061D5"/>
    <w:rsid w:val="00CC6916"/>
    <w:rsid w:val="00D31B88"/>
    <w:rsid w:val="00D417A6"/>
    <w:rsid w:val="00D81EF9"/>
    <w:rsid w:val="00E10BFC"/>
    <w:rsid w:val="00E919AF"/>
    <w:rsid w:val="00E9577B"/>
    <w:rsid w:val="00E964CD"/>
    <w:rsid w:val="00ED3A7B"/>
    <w:rsid w:val="00F14D6C"/>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C719"/>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95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0230">
      <w:bodyDiv w:val="1"/>
      <w:marLeft w:val="0"/>
      <w:marRight w:val="0"/>
      <w:marTop w:val="0"/>
      <w:marBottom w:val="0"/>
      <w:divBdr>
        <w:top w:val="none" w:sz="0" w:space="0" w:color="auto"/>
        <w:left w:val="none" w:sz="0" w:space="0" w:color="auto"/>
        <w:bottom w:val="none" w:sz="0" w:space="0" w:color="auto"/>
        <w:right w:val="none" w:sz="0" w:space="0" w:color="auto"/>
      </w:divBdr>
      <w:divsChild>
        <w:div w:id="745420160">
          <w:marLeft w:val="0"/>
          <w:marRight w:val="0"/>
          <w:marTop w:val="0"/>
          <w:marBottom w:val="0"/>
          <w:divBdr>
            <w:top w:val="none" w:sz="0" w:space="0" w:color="auto"/>
            <w:left w:val="none" w:sz="0" w:space="0" w:color="auto"/>
            <w:bottom w:val="none" w:sz="0" w:space="0" w:color="auto"/>
            <w:right w:val="none" w:sz="0" w:space="0" w:color="auto"/>
          </w:divBdr>
        </w:div>
      </w:divsChild>
    </w:div>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09366">
      <w:bodyDiv w:val="1"/>
      <w:marLeft w:val="0"/>
      <w:marRight w:val="0"/>
      <w:marTop w:val="0"/>
      <w:marBottom w:val="0"/>
      <w:divBdr>
        <w:top w:val="none" w:sz="0" w:space="0" w:color="auto"/>
        <w:left w:val="none" w:sz="0" w:space="0" w:color="auto"/>
        <w:bottom w:val="none" w:sz="0" w:space="0" w:color="auto"/>
        <w:right w:val="none" w:sz="0" w:space="0" w:color="auto"/>
      </w:divBdr>
      <w:divsChild>
        <w:div w:id="779641567">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92077991">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5">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16460465">
      <w:bodyDiv w:val="1"/>
      <w:marLeft w:val="0"/>
      <w:marRight w:val="0"/>
      <w:marTop w:val="0"/>
      <w:marBottom w:val="0"/>
      <w:divBdr>
        <w:top w:val="none" w:sz="0" w:space="0" w:color="auto"/>
        <w:left w:val="none" w:sz="0" w:space="0" w:color="auto"/>
        <w:bottom w:val="none" w:sz="0" w:space="0" w:color="auto"/>
        <w:right w:val="none" w:sz="0" w:space="0" w:color="auto"/>
      </w:divBdr>
      <w:divsChild>
        <w:div w:id="1895045344">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 w:id="2140686539">
      <w:bodyDiv w:val="1"/>
      <w:marLeft w:val="0"/>
      <w:marRight w:val="0"/>
      <w:marTop w:val="0"/>
      <w:marBottom w:val="0"/>
      <w:divBdr>
        <w:top w:val="none" w:sz="0" w:space="0" w:color="auto"/>
        <w:left w:val="none" w:sz="0" w:space="0" w:color="auto"/>
        <w:bottom w:val="none" w:sz="0" w:space="0" w:color="auto"/>
        <w:right w:val="none" w:sz="0" w:space="0" w:color="auto"/>
      </w:divBdr>
      <w:divsChild>
        <w:div w:id="156980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0.86</c:v>
                </c:pt>
                <c:pt idx="1">
                  <c:v>0.84</c:v>
                </c:pt>
                <c:pt idx="2">
                  <c:v>0.75</c:v>
                </c:pt>
                <c:pt idx="3">
                  <c:v>0.18</c:v>
                </c:pt>
                <c:pt idx="4">
                  <c:v>0</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0.82</c:v>
                </c:pt>
                <c:pt idx="1">
                  <c:v>0.81</c:v>
                </c:pt>
                <c:pt idx="2">
                  <c:v>0.72</c:v>
                </c:pt>
                <c:pt idx="3">
                  <c:v>0.17</c:v>
                </c:pt>
                <c:pt idx="4">
                  <c:v>0</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0.73</c:v>
                </c:pt>
                <c:pt idx="1">
                  <c:v>0.75</c:v>
                </c:pt>
                <c:pt idx="2">
                  <c:v>0.64</c:v>
                </c:pt>
                <c:pt idx="3">
                  <c:v>0.14000000000000001</c:v>
                </c:pt>
                <c:pt idx="4">
                  <c:v>0</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2016)</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15</cp:revision>
  <dcterms:created xsi:type="dcterms:W3CDTF">2019-07-03T04:52:00Z</dcterms:created>
  <dcterms:modified xsi:type="dcterms:W3CDTF">2019-11-05T03:57:00Z</dcterms:modified>
</cp:coreProperties>
</file>