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048B" w14:textId="77777777" w:rsidR="004E37AE" w:rsidRPr="00B617D1" w:rsidRDefault="004E37AE" w:rsidP="00B617D1">
      <w:pPr>
        <w:pStyle w:val="Title"/>
        <w:jc w:val="left"/>
        <w:rPr>
          <w:rFonts w:ascii="Arial" w:hAnsi="Arial" w:cs="Arial"/>
          <w:b w:val="0"/>
        </w:rPr>
      </w:pPr>
      <w:r w:rsidRPr="00B617D1">
        <w:rPr>
          <w:rFonts w:ascii="Arial" w:hAnsi="Arial" w:cs="Arial"/>
          <w:b w:val="0"/>
          <w:lang w:val="en"/>
        </w:rPr>
        <w:t>National (Australia) HPV 3 dose</w:t>
      </w:r>
      <w:r w:rsidR="003973DB" w:rsidRPr="00B617D1">
        <w:rPr>
          <w:rFonts w:ascii="Arial" w:hAnsi="Arial" w:cs="Arial"/>
          <w:b w:val="0"/>
          <w:lang w:val="en"/>
        </w:rPr>
        <w:t xml:space="preserve"> vaccination coverage for all </w:t>
      </w:r>
      <w:r w:rsidRPr="00B617D1">
        <w:rPr>
          <w:rFonts w:ascii="Arial" w:hAnsi="Arial" w:cs="Arial"/>
          <w:b w:val="0"/>
          <w:lang w:val="en"/>
        </w:rPr>
        <w:t>males turning 15 years of age, 20</w:t>
      </w:r>
      <w:r w:rsidR="00F9558A" w:rsidRPr="00B617D1">
        <w:rPr>
          <w:rFonts w:ascii="Arial" w:hAnsi="Arial" w:cs="Arial"/>
          <w:b w:val="0"/>
          <w:lang w:val="en"/>
        </w:rPr>
        <w:t>1</w:t>
      </w:r>
      <w:r w:rsidR="003973DB" w:rsidRPr="00B617D1">
        <w:rPr>
          <w:rFonts w:ascii="Arial" w:hAnsi="Arial" w:cs="Arial"/>
          <w:b w:val="0"/>
          <w:lang w:val="en"/>
        </w:rPr>
        <w:t>3</w:t>
      </w:r>
      <w:r w:rsidR="00B617D1">
        <w:rPr>
          <w:rFonts w:ascii="Arial" w:hAnsi="Arial" w:cs="Arial"/>
          <w:b w:val="0"/>
          <w:lang w:val="en"/>
        </w:rPr>
        <w:t xml:space="preserve"> – </w:t>
      </w:r>
      <w:r w:rsidR="00F9558A" w:rsidRPr="00B617D1">
        <w:rPr>
          <w:rFonts w:ascii="Arial" w:hAnsi="Arial" w:cs="Arial"/>
          <w:b w:val="0"/>
          <w:lang w:val="en"/>
        </w:rPr>
        <w:t>1</w:t>
      </w:r>
      <w:r w:rsidR="003973DB" w:rsidRPr="00B617D1">
        <w:rPr>
          <w:rFonts w:ascii="Arial" w:hAnsi="Arial" w:cs="Arial"/>
          <w:b w:val="0"/>
          <w:lang w:val="en"/>
        </w:rPr>
        <w:t>7</w:t>
      </w:r>
    </w:p>
    <w:p w14:paraId="2EB2428E" w14:textId="77777777" w:rsidR="0066264A" w:rsidRPr="0066264A" w:rsidRDefault="0066264A" w:rsidP="004435DE">
      <w:pPr>
        <w:spacing w:after="120" w:line="240" w:lineRule="auto"/>
        <w:rPr>
          <w:rFonts w:ascii="Arial" w:hAnsi="Arial" w:cs="Arial"/>
          <w:u w:val="single"/>
        </w:rPr>
      </w:pPr>
    </w:p>
    <w:p w14:paraId="07B0174F" w14:textId="77777777" w:rsidR="004E37AE" w:rsidRPr="00B617D1" w:rsidRDefault="004E37AE" w:rsidP="004435DE">
      <w:pPr>
        <w:pStyle w:val="Caption"/>
        <w:spacing w:after="120" w:line="240" w:lineRule="auto"/>
        <w:rPr>
          <w:rFonts w:ascii="Arial" w:hAnsi="Arial" w:cs="Arial"/>
          <w:b w:val="0"/>
          <w:sz w:val="24"/>
          <w:szCs w:val="24"/>
        </w:rPr>
      </w:pPr>
      <w:r w:rsidRPr="00B617D1">
        <w:rPr>
          <w:rFonts w:ascii="Arial" w:hAnsi="Arial" w:cs="Arial"/>
          <w:b w:val="0"/>
          <w:sz w:val="24"/>
          <w:szCs w:val="24"/>
        </w:rPr>
        <w:t xml:space="preserve">Graph </w:t>
      </w:r>
      <w:r w:rsidRPr="00B617D1">
        <w:rPr>
          <w:rFonts w:ascii="Arial" w:hAnsi="Arial" w:cs="Arial"/>
          <w:b w:val="0"/>
          <w:sz w:val="24"/>
          <w:szCs w:val="24"/>
        </w:rPr>
        <w:fldChar w:fldCharType="begin"/>
      </w:r>
      <w:r w:rsidRPr="00B617D1">
        <w:rPr>
          <w:rFonts w:ascii="Arial" w:hAnsi="Arial" w:cs="Arial"/>
          <w:b w:val="0"/>
          <w:sz w:val="24"/>
          <w:szCs w:val="24"/>
        </w:rPr>
        <w:instrText xml:space="preserve"> SEQ Graph \* ARABIC </w:instrText>
      </w:r>
      <w:r w:rsidRPr="00B617D1">
        <w:rPr>
          <w:rFonts w:ascii="Arial" w:hAnsi="Arial" w:cs="Arial"/>
          <w:b w:val="0"/>
          <w:sz w:val="24"/>
          <w:szCs w:val="24"/>
        </w:rPr>
        <w:fldChar w:fldCharType="separate"/>
      </w:r>
      <w:r w:rsidRPr="00B617D1">
        <w:rPr>
          <w:rFonts w:ascii="Arial" w:hAnsi="Arial" w:cs="Arial"/>
          <w:b w:val="0"/>
          <w:noProof/>
          <w:sz w:val="24"/>
          <w:szCs w:val="24"/>
        </w:rPr>
        <w:t>1</w:t>
      </w:r>
      <w:r w:rsidRPr="00B617D1">
        <w:rPr>
          <w:rFonts w:ascii="Arial" w:hAnsi="Arial" w:cs="Arial"/>
          <w:b w:val="0"/>
          <w:sz w:val="24"/>
          <w:szCs w:val="24"/>
        </w:rPr>
        <w:fldChar w:fldCharType="end"/>
      </w:r>
      <w:r w:rsidR="00893FEE" w:rsidRPr="00B617D1">
        <w:rPr>
          <w:rFonts w:ascii="Arial" w:hAnsi="Arial" w:cs="Arial"/>
          <w:b w:val="0"/>
          <w:sz w:val="24"/>
          <w:szCs w:val="24"/>
        </w:rPr>
        <w:t>.</w:t>
      </w:r>
      <w:r w:rsidRPr="00B617D1">
        <w:rPr>
          <w:rFonts w:ascii="Arial" w:hAnsi="Arial" w:cs="Arial"/>
          <w:b w:val="0"/>
          <w:sz w:val="24"/>
          <w:szCs w:val="24"/>
        </w:rPr>
        <w:t xml:space="preserve"> </w:t>
      </w:r>
      <w:r w:rsidR="00893FEE" w:rsidRPr="00B617D1">
        <w:rPr>
          <w:rFonts w:ascii="Arial" w:hAnsi="Arial" w:cs="Arial"/>
          <w:b w:val="0"/>
          <w:sz w:val="24"/>
          <w:szCs w:val="24"/>
        </w:rPr>
        <w:t>HPV 3 dose</w:t>
      </w:r>
      <w:r w:rsidRPr="00B617D1">
        <w:rPr>
          <w:rFonts w:ascii="Arial" w:hAnsi="Arial" w:cs="Arial"/>
          <w:b w:val="0"/>
          <w:sz w:val="24"/>
          <w:szCs w:val="24"/>
        </w:rPr>
        <w:t xml:space="preserve"> vaccination coverage </w:t>
      </w:r>
      <w:r w:rsidR="003973DB" w:rsidRPr="00B617D1">
        <w:rPr>
          <w:rFonts w:ascii="Arial" w:hAnsi="Arial" w:cs="Arial"/>
          <w:b w:val="0"/>
          <w:sz w:val="24"/>
          <w:szCs w:val="24"/>
        </w:rPr>
        <w:t xml:space="preserve">for all </w:t>
      </w:r>
      <w:r w:rsidRPr="00B617D1">
        <w:rPr>
          <w:rFonts w:ascii="Arial" w:hAnsi="Arial" w:cs="Arial"/>
          <w:b w:val="0"/>
          <w:sz w:val="24"/>
          <w:szCs w:val="24"/>
        </w:rPr>
        <w:t xml:space="preserve">males turning 15 years of age, </w:t>
      </w:r>
      <w:r w:rsidR="00635D9E" w:rsidRPr="00B617D1">
        <w:rPr>
          <w:rFonts w:ascii="Arial" w:hAnsi="Arial" w:cs="Arial"/>
          <w:b w:val="0"/>
          <w:sz w:val="24"/>
          <w:szCs w:val="24"/>
        </w:rPr>
        <w:t>201</w:t>
      </w:r>
      <w:r w:rsidR="003973DB" w:rsidRPr="00B617D1">
        <w:rPr>
          <w:rFonts w:ascii="Arial" w:hAnsi="Arial" w:cs="Arial"/>
          <w:b w:val="0"/>
          <w:sz w:val="24"/>
          <w:szCs w:val="24"/>
        </w:rPr>
        <w:t>3</w:t>
      </w:r>
      <w:r w:rsidR="00635D9E" w:rsidRPr="00B617D1">
        <w:rPr>
          <w:rFonts w:ascii="Arial" w:hAnsi="Arial" w:cs="Arial"/>
          <w:b w:val="0"/>
          <w:sz w:val="24"/>
          <w:szCs w:val="24"/>
        </w:rPr>
        <w:t>-1</w:t>
      </w:r>
      <w:r w:rsidR="003973DB" w:rsidRPr="00B617D1">
        <w:rPr>
          <w:rFonts w:ascii="Arial" w:hAnsi="Arial" w:cs="Arial"/>
          <w:b w:val="0"/>
          <w:sz w:val="24"/>
          <w:szCs w:val="24"/>
        </w:rPr>
        <w:t>7</w:t>
      </w:r>
      <w:r w:rsidRPr="00B617D1">
        <w:rPr>
          <w:rFonts w:ascii="Arial" w:hAnsi="Arial" w:cs="Arial"/>
          <w:b w:val="0"/>
          <w:sz w:val="24"/>
          <w:szCs w:val="24"/>
        </w:rPr>
        <w:t>.</w:t>
      </w:r>
    </w:p>
    <w:p w14:paraId="097ADD63" w14:textId="77777777" w:rsidR="004E37AE" w:rsidRPr="00B617D1" w:rsidRDefault="00E329BF" w:rsidP="00E329BF">
      <w:pPr>
        <w:jc w:val="center"/>
        <w:rPr>
          <w:rFonts w:ascii="Arial" w:hAnsi="Arial" w:cs="Arial"/>
        </w:rPr>
      </w:pPr>
      <w:r w:rsidRPr="00B617D1">
        <w:rPr>
          <w:rFonts w:ascii="Arial" w:hAnsi="Arial" w:cs="Arial"/>
          <w:noProof/>
          <w:lang w:eastAsia="en-AU"/>
        </w:rPr>
        <w:drawing>
          <wp:inline distT="0" distB="0" distL="0" distR="0" wp14:anchorId="5DAC4D13" wp14:editId="31AF8A83">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E3DA8B3" w14:textId="77777777" w:rsidR="00207DAB" w:rsidRPr="00A37817" w:rsidRDefault="00207DAB" w:rsidP="00207DAB">
      <w:pPr>
        <w:spacing w:after="120" w:line="240" w:lineRule="auto"/>
        <w:rPr>
          <w:rFonts w:ascii="Arial" w:hAnsi="Arial" w:cs="Arial"/>
        </w:rPr>
      </w:pPr>
    </w:p>
    <w:p w14:paraId="7E7DD049" w14:textId="380ED697" w:rsidR="00207DAB" w:rsidRPr="00457E09" w:rsidRDefault="00207DAB" w:rsidP="00207DAB">
      <w:pPr>
        <w:pStyle w:val="Caption"/>
        <w:spacing w:after="120" w:line="240" w:lineRule="auto"/>
        <w:rPr>
          <w:rFonts w:ascii="Arial" w:hAnsi="Arial" w:cs="Arial"/>
          <w:b w:val="0"/>
          <w:sz w:val="24"/>
          <w:szCs w:val="24"/>
        </w:rPr>
      </w:pPr>
      <w:r w:rsidRPr="00457E09">
        <w:rPr>
          <w:rFonts w:ascii="Arial" w:hAnsi="Arial" w:cs="Arial"/>
          <w:b w:val="0"/>
          <w:sz w:val="24"/>
          <w:szCs w:val="24"/>
        </w:rPr>
        <w:t xml:space="preserve">Table </w:t>
      </w:r>
      <w:r w:rsidRPr="00457E09">
        <w:rPr>
          <w:rFonts w:ascii="Arial" w:hAnsi="Arial" w:cs="Arial"/>
          <w:b w:val="0"/>
          <w:sz w:val="24"/>
          <w:szCs w:val="24"/>
        </w:rPr>
        <w:fldChar w:fldCharType="begin"/>
      </w:r>
      <w:r w:rsidRPr="00457E09">
        <w:rPr>
          <w:rFonts w:ascii="Arial" w:hAnsi="Arial" w:cs="Arial"/>
          <w:b w:val="0"/>
          <w:sz w:val="24"/>
          <w:szCs w:val="24"/>
        </w:rPr>
        <w:instrText xml:space="preserve"> SEQ Table \* ARABIC </w:instrText>
      </w:r>
      <w:r w:rsidRPr="00457E09">
        <w:rPr>
          <w:rFonts w:ascii="Arial" w:hAnsi="Arial" w:cs="Arial"/>
          <w:b w:val="0"/>
          <w:sz w:val="24"/>
          <w:szCs w:val="24"/>
        </w:rPr>
        <w:fldChar w:fldCharType="separate"/>
      </w:r>
      <w:r w:rsidRPr="00457E09">
        <w:rPr>
          <w:rFonts w:ascii="Arial" w:hAnsi="Arial" w:cs="Arial"/>
          <w:b w:val="0"/>
          <w:sz w:val="24"/>
          <w:szCs w:val="24"/>
        </w:rPr>
        <w:t>1</w:t>
      </w:r>
      <w:r w:rsidRPr="00457E09">
        <w:rPr>
          <w:rFonts w:ascii="Arial" w:hAnsi="Arial" w:cs="Arial"/>
          <w:b w:val="0"/>
          <w:sz w:val="24"/>
          <w:szCs w:val="24"/>
        </w:rPr>
        <w:fldChar w:fldCharType="end"/>
      </w:r>
      <w:r w:rsidRPr="00457E09">
        <w:rPr>
          <w:rFonts w:ascii="Arial" w:hAnsi="Arial" w:cs="Arial"/>
          <w:b w:val="0"/>
          <w:sz w:val="24"/>
          <w:szCs w:val="24"/>
        </w:rPr>
        <w:t xml:space="preserve">. HPV 3 dose vaccination coverage for all males turning 15 years of age, </w:t>
      </w:r>
      <w:r>
        <w:rPr>
          <w:rFonts w:ascii="Arial" w:hAnsi="Arial" w:cs="Arial"/>
          <w:b w:val="0"/>
          <w:sz w:val="24"/>
          <w:szCs w:val="24"/>
        </w:rPr>
        <w:t>2013-17</w:t>
      </w:r>
      <w:r w:rsidRPr="00457E09">
        <w:rPr>
          <w:rFonts w:ascii="Arial" w:hAnsi="Arial" w:cs="Arial"/>
          <w:b w:val="0"/>
          <w:sz w:val="24"/>
          <w:szCs w:val="24"/>
        </w:rPr>
        <w:t>.</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Caption w:val="Table 1 Number of doses and coverage per cent for dose 1, 2 and 3 by state and territory"/>
        <w:tblDescription w:val="Table 1 Number of doses and coverage per cent for dose 1, 2 and 3 by state and territory. Also includes total number of doses by state, territory and nationally."/>
      </w:tblPr>
      <w:tblGrid>
        <w:gridCol w:w="977"/>
        <w:gridCol w:w="977"/>
        <w:gridCol w:w="977"/>
        <w:gridCol w:w="977"/>
        <w:gridCol w:w="977"/>
        <w:gridCol w:w="977"/>
        <w:gridCol w:w="977"/>
        <w:gridCol w:w="977"/>
        <w:gridCol w:w="977"/>
        <w:gridCol w:w="978"/>
      </w:tblGrid>
      <w:tr w:rsidR="00207DAB" w:rsidRPr="00DE7AE9" w14:paraId="21F59BA9" w14:textId="77777777" w:rsidTr="00C4767C">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BAC8AFD" w14:textId="77777777" w:rsidR="00207DAB" w:rsidRPr="00207DAB" w:rsidRDefault="00207DAB" w:rsidP="00C4767C">
            <w:pPr>
              <w:jc w:val="center"/>
              <w:rPr>
                <w:rFonts w:ascii="Arial" w:hAnsi="Arial" w:cs="Arial"/>
                <w:b w:val="0"/>
              </w:rPr>
            </w:pP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55CD929" w14:textId="77777777" w:rsidR="00207DAB" w:rsidRPr="00DE7AE9" w:rsidRDefault="00207DAB"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ACT</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603DE26" w14:textId="77777777" w:rsidR="00207DAB" w:rsidRPr="00DE7AE9" w:rsidRDefault="00207DAB"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NSW</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D6E32FE" w14:textId="77777777" w:rsidR="00207DAB" w:rsidRPr="00DE7AE9" w:rsidRDefault="00207DAB"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NT</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7A7164A" w14:textId="77777777" w:rsidR="00207DAB" w:rsidRPr="00DE7AE9" w:rsidRDefault="00207DAB"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QLD</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00ECA76" w14:textId="77777777" w:rsidR="00207DAB" w:rsidRPr="00DE7AE9" w:rsidRDefault="00207DAB"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SA</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279BF79" w14:textId="77777777" w:rsidR="00207DAB" w:rsidRPr="00DE7AE9" w:rsidRDefault="00207DAB"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TAS</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3B35E0D" w14:textId="77777777" w:rsidR="00207DAB" w:rsidRPr="00DE7AE9" w:rsidRDefault="00207DAB"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VIC</w:t>
            </w:r>
          </w:p>
        </w:tc>
        <w:tc>
          <w:tcPr>
            <w:tcW w:w="977"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32BD8B6" w14:textId="77777777" w:rsidR="00207DAB" w:rsidRPr="00DE7AE9" w:rsidRDefault="00207DAB"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E7AE9">
              <w:rPr>
                <w:rFonts w:ascii="Arial" w:hAnsi="Arial" w:cs="Arial"/>
              </w:rPr>
              <w:t>WA</w:t>
            </w:r>
          </w:p>
        </w:tc>
        <w:tc>
          <w:tcPr>
            <w:tcW w:w="978"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4259C9A" w14:textId="77777777" w:rsidR="00207DAB" w:rsidRPr="00207DAB" w:rsidRDefault="00207DAB" w:rsidP="00C4767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07DAB">
              <w:rPr>
                <w:rFonts w:ascii="Arial" w:hAnsi="Arial" w:cs="Arial"/>
              </w:rPr>
              <w:t>NAT</w:t>
            </w:r>
          </w:p>
        </w:tc>
      </w:tr>
      <w:tr w:rsidR="00207DAB" w:rsidRPr="00457E09" w14:paraId="5E2C9955" w14:textId="77777777" w:rsidTr="00C4767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66616275" w14:textId="71FA8D6D" w:rsidR="00207DAB" w:rsidRPr="00207DAB" w:rsidRDefault="00207DAB" w:rsidP="00207DAB">
            <w:pPr>
              <w:jc w:val="center"/>
              <w:rPr>
                <w:rFonts w:ascii="Arial" w:hAnsi="Arial" w:cs="Arial"/>
                <w:color w:val="FFFFFF" w:themeColor="background1"/>
              </w:rPr>
            </w:pPr>
            <w:r w:rsidRPr="00207DAB">
              <w:rPr>
                <w:rFonts w:ascii="Arial" w:hAnsi="Arial" w:cs="Arial"/>
                <w:color w:val="FFFFFF" w:themeColor="background1"/>
              </w:rPr>
              <w:t>2013</w:t>
            </w:r>
          </w:p>
        </w:tc>
        <w:tc>
          <w:tcPr>
            <w:tcW w:w="977" w:type="dxa"/>
            <w:shd w:val="clear" w:color="auto" w:fill="DBE5F1" w:themeFill="accent1" w:themeFillTint="33"/>
            <w:vAlign w:val="center"/>
          </w:tcPr>
          <w:p w14:paraId="410B07F5" w14:textId="7AA1FBE0"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22.1%</w:t>
            </w:r>
          </w:p>
        </w:tc>
        <w:tc>
          <w:tcPr>
            <w:tcW w:w="977" w:type="dxa"/>
            <w:shd w:val="clear" w:color="auto" w:fill="DBE5F1" w:themeFill="accent1" w:themeFillTint="33"/>
            <w:vAlign w:val="center"/>
          </w:tcPr>
          <w:p w14:paraId="5F3D1998" w14:textId="05DD8473"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16.7%</w:t>
            </w:r>
          </w:p>
        </w:tc>
        <w:tc>
          <w:tcPr>
            <w:tcW w:w="977" w:type="dxa"/>
            <w:shd w:val="clear" w:color="auto" w:fill="DBE5F1" w:themeFill="accent1" w:themeFillTint="33"/>
            <w:vAlign w:val="center"/>
          </w:tcPr>
          <w:p w14:paraId="460BC305" w14:textId="07A0287D"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21.9%</w:t>
            </w:r>
          </w:p>
        </w:tc>
        <w:tc>
          <w:tcPr>
            <w:tcW w:w="977" w:type="dxa"/>
            <w:shd w:val="clear" w:color="auto" w:fill="DBE5F1" w:themeFill="accent1" w:themeFillTint="33"/>
            <w:vAlign w:val="center"/>
          </w:tcPr>
          <w:p w14:paraId="4C4578BF" w14:textId="3124206D"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40.5%</w:t>
            </w:r>
          </w:p>
        </w:tc>
        <w:tc>
          <w:tcPr>
            <w:tcW w:w="977" w:type="dxa"/>
            <w:shd w:val="clear" w:color="auto" w:fill="DBE5F1" w:themeFill="accent1" w:themeFillTint="33"/>
            <w:vAlign w:val="center"/>
          </w:tcPr>
          <w:p w14:paraId="203620BD" w14:textId="660BA2C5"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19.0%</w:t>
            </w:r>
          </w:p>
        </w:tc>
        <w:tc>
          <w:tcPr>
            <w:tcW w:w="977" w:type="dxa"/>
            <w:shd w:val="clear" w:color="auto" w:fill="DBE5F1" w:themeFill="accent1" w:themeFillTint="33"/>
            <w:vAlign w:val="center"/>
          </w:tcPr>
          <w:p w14:paraId="5792B4F8" w14:textId="595F650B"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29.0%</w:t>
            </w:r>
          </w:p>
        </w:tc>
        <w:tc>
          <w:tcPr>
            <w:tcW w:w="977" w:type="dxa"/>
            <w:shd w:val="clear" w:color="auto" w:fill="DBE5F1" w:themeFill="accent1" w:themeFillTint="33"/>
            <w:vAlign w:val="center"/>
          </w:tcPr>
          <w:p w14:paraId="323584C8" w14:textId="0DE44F56"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27.9%</w:t>
            </w:r>
          </w:p>
        </w:tc>
        <w:tc>
          <w:tcPr>
            <w:tcW w:w="977" w:type="dxa"/>
            <w:shd w:val="clear" w:color="auto" w:fill="DBE5F1" w:themeFill="accent1" w:themeFillTint="33"/>
            <w:vAlign w:val="center"/>
          </w:tcPr>
          <w:p w14:paraId="4A33BBB5" w14:textId="2766C85A"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58.6%</w:t>
            </w:r>
          </w:p>
        </w:tc>
        <w:tc>
          <w:tcPr>
            <w:tcW w:w="978" w:type="dxa"/>
            <w:shd w:val="clear" w:color="auto" w:fill="548DD4" w:themeFill="text2" w:themeFillTint="99"/>
            <w:vAlign w:val="center"/>
          </w:tcPr>
          <w:p w14:paraId="3DB4DA6F" w14:textId="65F13E04" w:rsidR="00207DAB" w:rsidRPr="00207DAB"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207DAB">
              <w:rPr>
                <w:rFonts w:ascii="Arial" w:hAnsi="Arial" w:cs="Arial"/>
                <w:b/>
                <w:color w:val="FFFFFF" w:themeColor="background1"/>
              </w:rPr>
              <w:t>29.6%</w:t>
            </w:r>
          </w:p>
        </w:tc>
      </w:tr>
      <w:tr w:rsidR="00207DAB" w:rsidRPr="00457E09" w14:paraId="3A3BE539" w14:textId="77777777" w:rsidTr="00C4767C">
        <w:trPr>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700336E1" w14:textId="59DFAE81" w:rsidR="00207DAB" w:rsidRPr="00207DAB" w:rsidRDefault="00207DAB" w:rsidP="00207DAB">
            <w:pPr>
              <w:jc w:val="center"/>
              <w:rPr>
                <w:rFonts w:ascii="Arial" w:hAnsi="Arial" w:cs="Arial"/>
                <w:color w:val="FFFFFF" w:themeColor="background1"/>
              </w:rPr>
            </w:pPr>
            <w:r w:rsidRPr="00207DAB">
              <w:rPr>
                <w:rFonts w:ascii="Arial" w:hAnsi="Arial" w:cs="Arial"/>
                <w:color w:val="FFFFFF" w:themeColor="background1"/>
              </w:rPr>
              <w:t>2014</w:t>
            </w:r>
          </w:p>
        </w:tc>
        <w:tc>
          <w:tcPr>
            <w:tcW w:w="977" w:type="dxa"/>
            <w:vAlign w:val="center"/>
          </w:tcPr>
          <w:p w14:paraId="465D503F" w14:textId="4659F5AE"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64.6%</w:t>
            </w:r>
          </w:p>
        </w:tc>
        <w:tc>
          <w:tcPr>
            <w:tcW w:w="977" w:type="dxa"/>
            <w:vAlign w:val="center"/>
          </w:tcPr>
          <w:p w14:paraId="04DC5A21" w14:textId="2EAFD3BE"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57.6%</w:t>
            </w:r>
          </w:p>
        </w:tc>
        <w:tc>
          <w:tcPr>
            <w:tcW w:w="977" w:type="dxa"/>
            <w:vAlign w:val="center"/>
          </w:tcPr>
          <w:p w14:paraId="147A6448" w14:textId="7F6FA21C"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64.8%</w:t>
            </w:r>
          </w:p>
        </w:tc>
        <w:tc>
          <w:tcPr>
            <w:tcW w:w="977" w:type="dxa"/>
            <w:vAlign w:val="center"/>
          </w:tcPr>
          <w:p w14:paraId="3665CBCA" w14:textId="52DEA974"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62.4%</w:t>
            </w:r>
          </w:p>
        </w:tc>
        <w:tc>
          <w:tcPr>
            <w:tcW w:w="977" w:type="dxa"/>
            <w:vAlign w:val="center"/>
          </w:tcPr>
          <w:p w14:paraId="7A47CF9C" w14:textId="7B5C9C4D"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64.3%</w:t>
            </w:r>
          </w:p>
        </w:tc>
        <w:tc>
          <w:tcPr>
            <w:tcW w:w="977" w:type="dxa"/>
            <w:vAlign w:val="center"/>
          </w:tcPr>
          <w:p w14:paraId="2FF47B99" w14:textId="3747E37E"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58.2%</w:t>
            </w:r>
          </w:p>
        </w:tc>
        <w:tc>
          <w:tcPr>
            <w:tcW w:w="977" w:type="dxa"/>
            <w:vAlign w:val="center"/>
          </w:tcPr>
          <w:p w14:paraId="51367406" w14:textId="7EC98CFE"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67.8%</w:t>
            </w:r>
          </w:p>
        </w:tc>
        <w:tc>
          <w:tcPr>
            <w:tcW w:w="977" w:type="dxa"/>
            <w:vAlign w:val="center"/>
          </w:tcPr>
          <w:p w14:paraId="310DE30C" w14:textId="5E506E83"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63.1%</w:t>
            </w:r>
          </w:p>
        </w:tc>
        <w:tc>
          <w:tcPr>
            <w:tcW w:w="978" w:type="dxa"/>
            <w:shd w:val="clear" w:color="auto" w:fill="548DD4" w:themeFill="text2" w:themeFillTint="99"/>
            <w:vAlign w:val="center"/>
          </w:tcPr>
          <w:p w14:paraId="7CCC072B" w14:textId="489C79BA" w:rsidR="00207DAB" w:rsidRPr="00207DAB"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207DAB">
              <w:rPr>
                <w:rFonts w:ascii="Arial" w:hAnsi="Arial" w:cs="Arial"/>
                <w:b/>
                <w:color w:val="FFFFFF" w:themeColor="background1"/>
              </w:rPr>
              <w:t>62.4%</w:t>
            </w:r>
          </w:p>
        </w:tc>
      </w:tr>
      <w:tr w:rsidR="00207DAB" w:rsidRPr="00457E09" w14:paraId="6CDDB4B4" w14:textId="77777777" w:rsidTr="00C4767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26D58510" w14:textId="54E9942B" w:rsidR="00207DAB" w:rsidRPr="00207DAB" w:rsidRDefault="00207DAB" w:rsidP="00207DAB">
            <w:pPr>
              <w:jc w:val="center"/>
              <w:rPr>
                <w:rFonts w:ascii="Arial" w:hAnsi="Arial" w:cs="Arial"/>
                <w:color w:val="FFFFFF" w:themeColor="background1"/>
              </w:rPr>
            </w:pPr>
            <w:r w:rsidRPr="00207DAB">
              <w:rPr>
                <w:rFonts w:ascii="Arial" w:hAnsi="Arial" w:cs="Arial"/>
                <w:color w:val="FFFFFF" w:themeColor="background1"/>
              </w:rPr>
              <w:t>2015</w:t>
            </w:r>
          </w:p>
        </w:tc>
        <w:tc>
          <w:tcPr>
            <w:tcW w:w="977" w:type="dxa"/>
            <w:shd w:val="clear" w:color="auto" w:fill="DBE5F1" w:themeFill="accent1" w:themeFillTint="33"/>
            <w:vAlign w:val="center"/>
          </w:tcPr>
          <w:p w14:paraId="685E89FB" w14:textId="57DD942F"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69.3%</w:t>
            </w:r>
          </w:p>
        </w:tc>
        <w:tc>
          <w:tcPr>
            <w:tcW w:w="977" w:type="dxa"/>
            <w:shd w:val="clear" w:color="auto" w:fill="DBE5F1" w:themeFill="accent1" w:themeFillTint="33"/>
            <w:vAlign w:val="center"/>
          </w:tcPr>
          <w:p w14:paraId="0DE053DA" w14:textId="678427E4"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64.8%</w:t>
            </w:r>
          </w:p>
        </w:tc>
        <w:tc>
          <w:tcPr>
            <w:tcW w:w="977" w:type="dxa"/>
            <w:shd w:val="clear" w:color="auto" w:fill="DBE5F1" w:themeFill="accent1" w:themeFillTint="33"/>
            <w:vAlign w:val="center"/>
          </w:tcPr>
          <w:p w14:paraId="71FD9AB9" w14:textId="66E79EB6"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72.5%</w:t>
            </w:r>
          </w:p>
        </w:tc>
        <w:tc>
          <w:tcPr>
            <w:tcW w:w="977" w:type="dxa"/>
            <w:shd w:val="clear" w:color="auto" w:fill="DBE5F1" w:themeFill="accent1" w:themeFillTint="33"/>
            <w:vAlign w:val="center"/>
          </w:tcPr>
          <w:p w14:paraId="2925A4D1" w14:textId="20467B79"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68.7%</w:t>
            </w:r>
          </w:p>
        </w:tc>
        <w:tc>
          <w:tcPr>
            <w:tcW w:w="977" w:type="dxa"/>
            <w:shd w:val="clear" w:color="auto" w:fill="DBE5F1" w:themeFill="accent1" w:themeFillTint="33"/>
            <w:vAlign w:val="center"/>
          </w:tcPr>
          <w:p w14:paraId="2430B846" w14:textId="2FE8F2EB"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69.6%</w:t>
            </w:r>
          </w:p>
        </w:tc>
        <w:tc>
          <w:tcPr>
            <w:tcW w:w="977" w:type="dxa"/>
            <w:shd w:val="clear" w:color="auto" w:fill="DBE5F1" w:themeFill="accent1" w:themeFillTint="33"/>
            <w:vAlign w:val="center"/>
          </w:tcPr>
          <w:p w14:paraId="7C1A20CE" w14:textId="41A19AD2"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61.9%</w:t>
            </w:r>
          </w:p>
        </w:tc>
        <w:tc>
          <w:tcPr>
            <w:tcW w:w="977" w:type="dxa"/>
            <w:shd w:val="clear" w:color="auto" w:fill="DBE5F1" w:themeFill="accent1" w:themeFillTint="33"/>
            <w:vAlign w:val="center"/>
          </w:tcPr>
          <w:p w14:paraId="116974B4" w14:textId="4905AD84"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71.9%</w:t>
            </w:r>
          </w:p>
        </w:tc>
        <w:tc>
          <w:tcPr>
            <w:tcW w:w="977" w:type="dxa"/>
            <w:shd w:val="clear" w:color="auto" w:fill="DBE5F1" w:themeFill="accent1" w:themeFillTint="33"/>
            <w:vAlign w:val="center"/>
          </w:tcPr>
          <w:p w14:paraId="15AEC63B" w14:textId="67EE45D9"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64.8%</w:t>
            </w:r>
          </w:p>
        </w:tc>
        <w:tc>
          <w:tcPr>
            <w:tcW w:w="978" w:type="dxa"/>
            <w:shd w:val="clear" w:color="auto" w:fill="548DD4" w:themeFill="text2" w:themeFillTint="99"/>
            <w:vAlign w:val="center"/>
          </w:tcPr>
          <w:p w14:paraId="6CF778AF" w14:textId="34D46892" w:rsidR="00207DAB" w:rsidRPr="00207DAB"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207DAB">
              <w:rPr>
                <w:rFonts w:ascii="Arial" w:hAnsi="Arial" w:cs="Arial"/>
                <w:b/>
                <w:color w:val="FFFFFF" w:themeColor="background1"/>
              </w:rPr>
              <w:t>67.8%</w:t>
            </w:r>
          </w:p>
        </w:tc>
      </w:tr>
      <w:tr w:rsidR="00207DAB" w:rsidRPr="00457E09" w14:paraId="50B83AEC" w14:textId="77777777" w:rsidTr="00C4767C">
        <w:trPr>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106A4339" w14:textId="010A0E05" w:rsidR="00207DAB" w:rsidRPr="00207DAB" w:rsidRDefault="00207DAB" w:rsidP="00207DAB">
            <w:pPr>
              <w:jc w:val="center"/>
              <w:rPr>
                <w:rFonts w:ascii="Arial" w:hAnsi="Arial" w:cs="Arial"/>
                <w:color w:val="FFFFFF" w:themeColor="background1"/>
              </w:rPr>
            </w:pPr>
            <w:r w:rsidRPr="00207DAB">
              <w:rPr>
                <w:rFonts w:ascii="Arial" w:hAnsi="Arial" w:cs="Arial"/>
                <w:color w:val="FFFFFF" w:themeColor="background1"/>
              </w:rPr>
              <w:t>2016</w:t>
            </w:r>
          </w:p>
        </w:tc>
        <w:tc>
          <w:tcPr>
            <w:tcW w:w="977" w:type="dxa"/>
            <w:vAlign w:val="center"/>
          </w:tcPr>
          <w:p w14:paraId="57A18F7D" w14:textId="1C1CE15F"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71.4%</w:t>
            </w:r>
          </w:p>
        </w:tc>
        <w:tc>
          <w:tcPr>
            <w:tcW w:w="977" w:type="dxa"/>
            <w:vAlign w:val="center"/>
          </w:tcPr>
          <w:p w14:paraId="6C0A8793" w14:textId="39E59910"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74.5%</w:t>
            </w:r>
          </w:p>
        </w:tc>
        <w:tc>
          <w:tcPr>
            <w:tcW w:w="977" w:type="dxa"/>
            <w:vAlign w:val="center"/>
          </w:tcPr>
          <w:p w14:paraId="6AFFF215" w14:textId="4F2D3465"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82.2%</w:t>
            </w:r>
          </w:p>
        </w:tc>
        <w:tc>
          <w:tcPr>
            <w:tcW w:w="977" w:type="dxa"/>
            <w:vAlign w:val="center"/>
          </w:tcPr>
          <w:p w14:paraId="77F70E2E" w14:textId="71679525"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70.8%</w:t>
            </w:r>
          </w:p>
        </w:tc>
        <w:tc>
          <w:tcPr>
            <w:tcW w:w="977" w:type="dxa"/>
            <w:vAlign w:val="center"/>
          </w:tcPr>
          <w:p w14:paraId="5BE7F2F8" w14:textId="5E29DB16"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72.6%</w:t>
            </w:r>
          </w:p>
        </w:tc>
        <w:tc>
          <w:tcPr>
            <w:tcW w:w="977" w:type="dxa"/>
            <w:vAlign w:val="center"/>
          </w:tcPr>
          <w:p w14:paraId="6C610276" w14:textId="11B4EE4D"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63.8%</w:t>
            </w:r>
          </w:p>
        </w:tc>
        <w:tc>
          <w:tcPr>
            <w:tcW w:w="977" w:type="dxa"/>
            <w:vAlign w:val="center"/>
          </w:tcPr>
          <w:p w14:paraId="60A8580F" w14:textId="1B1D992A"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74.5%</w:t>
            </w:r>
          </w:p>
        </w:tc>
        <w:tc>
          <w:tcPr>
            <w:tcW w:w="977" w:type="dxa"/>
            <w:vAlign w:val="center"/>
          </w:tcPr>
          <w:p w14:paraId="35472692" w14:textId="0FCFAFA2" w:rsidR="00207DAB" w:rsidRPr="00457E09"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617D1">
              <w:rPr>
                <w:rFonts w:ascii="Arial" w:hAnsi="Arial" w:cs="Arial"/>
              </w:rPr>
              <w:t>78.1%</w:t>
            </w:r>
          </w:p>
        </w:tc>
        <w:tc>
          <w:tcPr>
            <w:tcW w:w="978" w:type="dxa"/>
            <w:shd w:val="clear" w:color="auto" w:fill="548DD4" w:themeFill="text2" w:themeFillTint="99"/>
            <w:vAlign w:val="center"/>
          </w:tcPr>
          <w:p w14:paraId="059F70D4" w14:textId="456BAFBA" w:rsidR="00207DAB" w:rsidRPr="00207DAB" w:rsidRDefault="00207DAB" w:rsidP="00207DA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rPr>
            </w:pPr>
            <w:r w:rsidRPr="00207DAB">
              <w:rPr>
                <w:rFonts w:ascii="Arial" w:hAnsi="Arial" w:cs="Arial"/>
                <w:b/>
                <w:color w:val="FFFFFF" w:themeColor="background1"/>
              </w:rPr>
              <w:t>73.8%</w:t>
            </w:r>
          </w:p>
        </w:tc>
      </w:tr>
      <w:tr w:rsidR="00207DAB" w:rsidRPr="00457E09" w14:paraId="71B8A2FA" w14:textId="77777777" w:rsidTr="00C4767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77" w:type="dxa"/>
            <w:shd w:val="clear" w:color="auto" w:fill="548DD4" w:themeFill="text2" w:themeFillTint="99"/>
            <w:vAlign w:val="center"/>
          </w:tcPr>
          <w:p w14:paraId="46B95BA2" w14:textId="19E8E99E" w:rsidR="00207DAB" w:rsidRPr="00207DAB" w:rsidRDefault="00207DAB" w:rsidP="00207DAB">
            <w:pPr>
              <w:jc w:val="center"/>
              <w:rPr>
                <w:rFonts w:ascii="Arial" w:hAnsi="Arial" w:cs="Arial"/>
                <w:color w:val="FFFFFF" w:themeColor="background1"/>
              </w:rPr>
            </w:pPr>
            <w:r w:rsidRPr="00207DAB">
              <w:rPr>
                <w:rFonts w:ascii="Arial" w:hAnsi="Arial" w:cs="Arial"/>
                <w:color w:val="FFFFFF" w:themeColor="background1"/>
              </w:rPr>
              <w:t>2017</w:t>
            </w:r>
          </w:p>
        </w:tc>
        <w:tc>
          <w:tcPr>
            <w:tcW w:w="977" w:type="dxa"/>
            <w:shd w:val="clear" w:color="auto" w:fill="DBE5F1" w:themeFill="accent1" w:themeFillTint="33"/>
            <w:vAlign w:val="center"/>
          </w:tcPr>
          <w:p w14:paraId="4FFD1EE8" w14:textId="01EAC425"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78.6%</w:t>
            </w:r>
          </w:p>
        </w:tc>
        <w:tc>
          <w:tcPr>
            <w:tcW w:w="977" w:type="dxa"/>
            <w:shd w:val="clear" w:color="auto" w:fill="DBE5F1" w:themeFill="accent1" w:themeFillTint="33"/>
            <w:vAlign w:val="center"/>
          </w:tcPr>
          <w:p w14:paraId="3C9787F1" w14:textId="34C1E1EB"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78.1%</w:t>
            </w:r>
          </w:p>
        </w:tc>
        <w:tc>
          <w:tcPr>
            <w:tcW w:w="977" w:type="dxa"/>
            <w:shd w:val="clear" w:color="auto" w:fill="DBE5F1" w:themeFill="accent1" w:themeFillTint="33"/>
            <w:vAlign w:val="center"/>
          </w:tcPr>
          <w:p w14:paraId="1C470457" w14:textId="0C11832C"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84.8%</w:t>
            </w:r>
          </w:p>
        </w:tc>
        <w:tc>
          <w:tcPr>
            <w:tcW w:w="977" w:type="dxa"/>
            <w:shd w:val="clear" w:color="auto" w:fill="DBE5F1" w:themeFill="accent1" w:themeFillTint="33"/>
            <w:vAlign w:val="center"/>
          </w:tcPr>
          <w:p w14:paraId="6B7E44A3" w14:textId="73F00C92"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73.7%</w:t>
            </w:r>
          </w:p>
        </w:tc>
        <w:tc>
          <w:tcPr>
            <w:tcW w:w="977" w:type="dxa"/>
            <w:shd w:val="clear" w:color="auto" w:fill="DBE5F1" w:themeFill="accent1" w:themeFillTint="33"/>
            <w:vAlign w:val="center"/>
          </w:tcPr>
          <w:p w14:paraId="661C028B" w14:textId="54F6ADE1"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74.4%</w:t>
            </w:r>
          </w:p>
        </w:tc>
        <w:tc>
          <w:tcPr>
            <w:tcW w:w="977" w:type="dxa"/>
            <w:shd w:val="clear" w:color="auto" w:fill="DBE5F1" w:themeFill="accent1" w:themeFillTint="33"/>
            <w:vAlign w:val="center"/>
          </w:tcPr>
          <w:p w14:paraId="5B9A8CE6" w14:textId="4A67E808"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64.0%</w:t>
            </w:r>
          </w:p>
        </w:tc>
        <w:tc>
          <w:tcPr>
            <w:tcW w:w="977" w:type="dxa"/>
            <w:shd w:val="clear" w:color="auto" w:fill="DBE5F1" w:themeFill="accent1" w:themeFillTint="33"/>
            <w:vAlign w:val="center"/>
          </w:tcPr>
          <w:p w14:paraId="531C3DCD" w14:textId="4197F626"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76.3%</w:t>
            </w:r>
          </w:p>
        </w:tc>
        <w:tc>
          <w:tcPr>
            <w:tcW w:w="977" w:type="dxa"/>
            <w:shd w:val="clear" w:color="auto" w:fill="DBE5F1" w:themeFill="accent1" w:themeFillTint="33"/>
            <w:vAlign w:val="center"/>
          </w:tcPr>
          <w:p w14:paraId="7D7BD10A" w14:textId="6E40FBCA" w:rsidR="00207DAB" w:rsidRPr="00457E09"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617D1">
              <w:rPr>
                <w:rFonts w:ascii="Arial" w:hAnsi="Arial" w:cs="Arial"/>
              </w:rPr>
              <w:t>75.3%</w:t>
            </w:r>
          </w:p>
        </w:tc>
        <w:tc>
          <w:tcPr>
            <w:tcW w:w="978" w:type="dxa"/>
            <w:shd w:val="clear" w:color="auto" w:fill="548DD4" w:themeFill="text2" w:themeFillTint="99"/>
            <w:vAlign w:val="center"/>
          </w:tcPr>
          <w:p w14:paraId="120F583C" w14:textId="33AD046A" w:rsidR="00207DAB" w:rsidRPr="00207DAB" w:rsidRDefault="00207DAB" w:rsidP="00207DA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207DAB">
              <w:rPr>
                <w:rFonts w:ascii="Arial" w:hAnsi="Arial" w:cs="Arial"/>
                <w:b/>
                <w:color w:val="FFFFFF" w:themeColor="background1"/>
              </w:rPr>
              <w:t>75.9%</w:t>
            </w:r>
          </w:p>
        </w:tc>
      </w:tr>
    </w:tbl>
    <w:p w14:paraId="53513EF7" w14:textId="77777777" w:rsidR="00207DAB" w:rsidRPr="00150C62" w:rsidRDefault="00207DAB" w:rsidP="00207DAB">
      <w:pPr>
        <w:spacing w:after="120" w:line="240" w:lineRule="auto"/>
        <w:rPr>
          <w:rFonts w:ascii="Arial" w:hAnsi="Arial" w:cs="Arial"/>
          <w:sz w:val="28"/>
          <w:szCs w:val="28"/>
        </w:rPr>
      </w:pPr>
    </w:p>
    <w:p w14:paraId="6EE9642B" w14:textId="77777777" w:rsidR="00207DAB" w:rsidRPr="00150C62" w:rsidRDefault="00207DAB" w:rsidP="00207DAB">
      <w:pPr>
        <w:pStyle w:val="Heading1"/>
        <w:spacing w:before="0" w:after="120"/>
        <w:rPr>
          <w:rFonts w:ascii="Arial" w:hAnsi="Arial"/>
          <w:b w:val="0"/>
          <w:szCs w:val="28"/>
        </w:rPr>
      </w:pPr>
      <w:r w:rsidRPr="00150C62">
        <w:rPr>
          <w:rFonts w:ascii="Arial" w:hAnsi="Arial"/>
          <w:b w:val="0"/>
          <w:szCs w:val="28"/>
        </w:rPr>
        <w:t>Notes:</w:t>
      </w:r>
    </w:p>
    <w:p w14:paraId="628107F2" w14:textId="6FDD7CBB" w:rsidR="00DF24F5" w:rsidRPr="00207DAB" w:rsidRDefault="00DF24F5" w:rsidP="00207DAB">
      <w:pPr>
        <w:numPr>
          <w:ilvl w:val="0"/>
          <w:numId w:val="2"/>
        </w:numPr>
        <w:spacing w:after="120" w:line="276" w:lineRule="auto"/>
        <w:rPr>
          <w:rFonts w:ascii="Arial" w:eastAsia="Times New Roman" w:hAnsi="Arial" w:cs="Arial"/>
          <w:b/>
          <w:bCs/>
          <w:sz w:val="20"/>
          <w:szCs w:val="20"/>
          <w:lang w:val="en" w:eastAsia="en-AU"/>
        </w:rPr>
      </w:pPr>
      <w:r w:rsidRPr="00207DAB">
        <w:rPr>
          <w:rFonts w:ascii="Arial" w:eastAsia="Times New Roman" w:hAnsi="Arial" w:cs="Arial"/>
          <w:b/>
          <w:bCs/>
          <w:sz w:val="20"/>
          <w:szCs w:val="20"/>
          <w:lang w:val="en" w:eastAsia="en-AU"/>
        </w:rPr>
        <w:t xml:space="preserve">In 2013 some </w:t>
      </w:r>
      <w:proofErr w:type="gramStart"/>
      <w:r w:rsidRPr="00207DAB">
        <w:rPr>
          <w:rFonts w:ascii="Arial" w:eastAsia="Times New Roman" w:hAnsi="Arial" w:cs="Arial"/>
          <w:b/>
          <w:bCs/>
          <w:sz w:val="20"/>
          <w:szCs w:val="20"/>
          <w:lang w:val="en" w:eastAsia="en-AU"/>
        </w:rPr>
        <w:t>15 year</w:t>
      </w:r>
      <w:proofErr w:type="gramEnd"/>
      <w:r w:rsidRPr="00207DAB">
        <w:rPr>
          <w:rFonts w:ascii="Arial" w:eastAsia="Times New Roman" w:hAnsi="Arial" w:cs="Arial"/>
          <w:b/>
          <w:bCs/>
          <w:sz w:val="20"/>
          <w:szCs w:val="20"/>
          <w:lang w:val="en" w:eastAsia="en-AU"/>
        </w:rPr>
        <w:t xml:space="preserve"> olds were eligible for catch-up vaccination as part of the 2013-14 male HPV vaccination catch-up program.  Coverage in </w:t>
      </w:r>
      <w:proofErr w:type="gramStart"/>
      <w:r w:rsidRPr="00207DAB">
        <w:rPr>
          <w:rFonts w:ascii="Arial" w:eastAsia="Times New Roman" w:hAnsi="Arial" w:cs="Arial"/>
          <w:b/>
          <w:bCs/>
          <w:sz w:val="20"/>
          <w:szCs w:val="20"/>
          <w:lang w:val="en" w:eastAsia="en-AU"/>
        </w:rPr>
        <w:t>15 year old</w:t>
      </w:r>
      <w:proofErr w:type="gramEnd"/>
      <w:r w:rsidRPr="00207DAB">
        <w:rPr>
          <w:rFonts w:ascii="Arial" w:eastAsia="Times New Roman" w:hAnsi="Arial" w:cs="Arial"/>
          <w:b/>
          <w:bCs/>
          <w:sz w:val="20"/>
          <w:szCs w:val="20"/>
          <w:lang w:val="en" w:eastAsia="en-AU"/>
        </w:rPr>
        <w:t xml:space="preserve"> males is progressively increasing over time as boys vaccinated at the routine age of 12 to 13 years reach 15 years of age.</w:t>
      </w:r>
    </w:p>
    <w:p w14:paraId="0B1AC634" w14:textId="1F07113D" w:rsidR="00DF24F5" w:rsidRPr="00207DAB" w:rsidRDefault="00DF24F5" w:rsidP="00207DAB">
      <w:pPr>
        <w:numPr>
          <w:ilvl w:val="0"/>
          <w:numId w:val="2"/>
        </w:numPr>
        <w:spacing w:after="120" w:line="276" w:lineRule="auto"/>
        <w:rPr>
          <w:rFonts w:ascii="Arial" w:eastAsia="Times New Roman" w:hAnsi="Arial" w:cs="Arial"/>
          <w:b/>
          <w:bCs/>
          <w:sz w:val="20"/>
          <w:szCs w:val="20"/>
          <w:lang w:val="en" w:eastAsia="en-AU"/>
        </w:rPr>
      </w:pPr>
      <w:r w:rsidRPr="00207DAB">
        <w:rPr>
          <w:rFonts w:ascii="Arial" w:eastAsia="Times New Roman" w:hAnsi="Arial" w:cs="Arial"/>
          <w:b/>
          <w:bCs/>
          <w:sz w:val="20"/>
          <w:szCs w:val="20"/>
          <w:lang w:val="en" w:eastAsia="en-AU"/>
        </w:rPr>
        <w:t>Both numerator and denominator data are regularly updated using latest Registry data and ABS estimates.  This may limit their comparability to earlier published estimates.</w:t>
      </w:r>
    </w:p>
    <w:p w14:paraId="1D3272F6" w14:textId="643CBA38" w:rsidR="00DF24F5"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t xml:space="preserve">Data extracted from the National HPV Vaccination Program Register (HPV Register) as at 4 </w:t>
      </w:r>
      <w:r w:rsidR="00207DAB">
        <w:rPr>
          <w:rFonts w:ascii="Arial" w:eastAsia="Times New Roman" w:hAnsi="Arial" w:cs="Arial"/>
          <w:sz w:val="20"/>
          <w:szCs w:val="20"/>
          <w:lang w:val="en" w:eastAsia="en-AU"/>
        </w:rPr>
        <w:t>July</w:t>
      </w:r>
      <w:r w:rsidRPr="00207DAB">
        <w:rPr>
          <w:rFonts w:ascii="Arial" w:eastAsia="Times New Roman" w:hAnsi="Arial" w:cs="Arial"/>
          <w:sz w:val="20"/>
          <w:szCs w:val="20"/>
          <w:lang w:val="en" w:eastAsia="en-AU"/>
        </w:rPr>
        <w:t xml:space="preserve"> 2018 and includes males vaccinated between </w:t>
      </w:r>
      <w:r w:rsidR="00207DAB">
        <w:rPr>
          <w:rFonts w:ascii="Arial" w:eastAsia="Times New Roman" w:hAnsi="Arial" w:cs="Arial"/>
          <w:sz w:val="20"/>
          <w:szCs w:val="20"/>
          <w:lang w:val="en" w:eastAsia="en-AU"/>
        </w:rPr>
        <w:t>April</w:t>
      </w:r>
      <w:r w:rsidRPr="00207DAB">
        <w:rPr>
          <w:rFonts w:ascii="Arial" w:eastAsia="Times New Roman" w:hAnsi="Arial" w:cs="Arial"/>
          <w:sz w:val="20"/>
          <w:szCs w:val="20"/>
          <w:lang w:val="en" w:eastAsia="en-AU"/>
        </w:rPr>
        <w:t xml:space="preserve"> 2007 and </w:t>
      </w:r>
      <w:r w:rsidR="00207DAB">
        <w:rPr>
          <w:rFonts w:ascii="Arial" w:eastAsia="Times New Roman" w:hAnsi="Arial" w:cs="Arial"/>
          <w:sz w:val="20"/>
          <w:szCs w:val="20"/>
          <w:lang w:val="en" w:eastAsia="en-AU"/>
        </w:rPr>
        <w:t>June</w:t>
      </w:r>
      <w:r w:rsidRPr="00207DAB">
        <w:rPr>
          <w:rFonts w:ascii="Arial" w:eastAsia="Times New Roman" w:hAnsi="Arial" w:cs="Arial"/>
          <w:sz w:val="20"/>
          <w:szCs w:val="20"/>
          <w:lang w:val="en" w:eastAsia="en-AU"/>
        </w:rPr>
        <w:t xml:space="preserve"> 2018.</w:t>
      </w:r>
    </w:p>
    <w:p w14:paraId="33711871" w14:textId="68FC615D" w:rsidR="00DF24F5"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t>Includes doses that comply with the recommended vaccine dosage and administration as per the Australian Immunisation Handbook (up to 3 doses administered at prescribed intervals).</w:t>
      </w:r>
    </w:p>
    <w:p w14:paraId="14C36F0F" w14:textId="4A5892D8" w:rsidR="00DF24F5"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t xml:space="preserve">Estimated Resident Population 2013 (as at 30/06/2013) is from the Australian Bureau of Statistics - Cat 3101.0 Australian Demographic Statistics, Tables 51 to 58:  Estimated Resident Population by Single year of Age by State and Territory, FINAL based on 2016 census data published </w:t>
      </w:r>
      <w:r w:rsidR="00207DAB">
        <w:rPr>
          <w:rFonts w:ascii="Arial" w:eastAsia="Times New Roman" w:hAnsi="Arial" w:cs="Arial"/>
          <w:sz w:val="20"/>
          <w:szCs w:val="20"/>
          <w:lang w:val="en" w:eastAsia="en-AU"/>
        </w:rPr>
        <w:t>June</w:t>
      </w:r>
      <w:r w:rsidRPr="00207DAB">
        <w:rPr>
          <w:rFonts w:ascii="Arial" w:eastAsia="Times New Roman" w:hAnsi="Arial" w:cs="Arial"/>
          <w:sz w:val="20"/>
          <w:szCs w:val="20"/>
          <w:lang w:val="en" w:eastAsia="en-AU"/>
        </w:rPr>
        <w:t xml:space="preserve"> 2018.</w:t>
      </w:r>
    </w:p>
    <w:p w14:paraId="28885B48" w14:textId="523004DB" w:rsidR="00DF24F5"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lastRenderedPageBreak/>
        <w:t xml:space="preserve">Estimated Resident Population 2014 (as at 30/06/2014) is from the Australian Bureau of Statistics - Cat 3101.0 Australian Demographic Statistics, Tables 51 to 58: Estimated Resident Population by Single year of Age by State and Territory, FINAL based on 2016 census data published </w:t>
      </w:r>
      <w:r w:rsidR="00207DAB">
        <w:rPr>
          <w:rFonts w:ascii="Arial" w:eastAsia="Times New Roman" w:hAnsi="Arial" w:cs="Arial"/>
          <w:sz w:val="20"/>
          <w:szCs w:val="20"/>
          <w:lang w:val="en" w:eastAsia="en-AU"/>
        </w:rPr>
        <w:t>June</w:t>
      </w:r>
      <w:r w:rsidRPr="00207DAB">
        <w:rPr>
          <w:rFonts w:ascii="Arial" w:eastAsia="Times New Roman" w:hAnsi="Arial" w:cs="Arial"/>
          <w:sz w:val="20"/>
          <w:szCs w:val="20"/>
          <w:lang w:val="en" w:eastAsia="en-AU"/>
        </w:rPr>
        <w:t xml:space="preserve"> 2018.</w:t>
      </w:r>
    </w:p>
    <w:p w14:paraId="1222A1EA" w14:textId="71B6FAF8" w:rsidR="00DF24F5"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t xml:space="preserve">Estimated Resident Population 2015 (as at 30/06/2015) is from the Australian Bureau of Statistics - Cat 3101.0 Australian Demographic Statistics, Tables 51 to 58: Estimated Resident Population by Single year of Age by State and Territory, FINAL based on 2016 census data published </w:t>
      </w:r>
      <w:r w:rsidR="00207DAB">
        <w:rPr>
          <w:rFonts w:ascii="Arial" w:eastAsia="Times New Roman" w:hAnsi="Arial" w:cs="Arial"/>
          <w:sz w:val="20"/>
          <w:szCs w:val="20"/>
          <w:lang w:val="en" w:eastAsia="en-AU"/>
        </w:rPr>
        <w:t>June</w:t>
      </w:r>
      <w:r w:rsidRPr="00207DAB">
        <w:rPr>
          <w:rFonts w:ascii="Arial" w:eastAsia="Times New Roman" w:hAnsi="Arial" w:cs="Arial"/>
          <w:sz w:val="20"/>
          <w:szCs w:val="20"/>
          <w:lang w:val="en" w:eastAsia="en-AU"/>
        </w:rPr>
        <w:t xml:space="preserve"> 2018.</w:t>
      </w:r>
    </w:p>
    <w:p w14:paraId="55AA4FCB" w14:textId="6127D9E2" w:rsidR="00DF24F5"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t xml:space="preserve">Estimated Resident Population 2016 (as at 30/06/2016) is from the Australian Bureau of Statistics - Cat 3101.0 Australian Demographic Statistics, Tables 51 to 58: Estimated Resident Population by Single year of Age by State and Territory, FINAL based on 2016 census data published </w:t>
      </w:r>
      <w:r w:rsidR="00207DAB">
        <w:rPr>
          <w:rFonts w:ascii="Arial" w:eastAsia="Times New Roman" w:hAnsi="Arial" w:cs="Arial"/>
          <w:sz w:val="20"/>
          <w:szCs w:val="20"/>
          <w:lang w:val="en" w:eastAsia="en-AU"/>
        </w:rPr>
        <w:t>June</w:t>
      </w:r>
      <w:r w:rsidRPr="00207DAB">
        <w:rPr>
          <w:rFonts w:ascii="Arial" w:eastAsia="Times New Roman" w:hAnsi="Arial" w:cs="Arial"/>
          <w:sz w:val="20"/>
          <w:szCs w:val="20"/>
          <w:lang w:val="en" w:eastAsia="en-AU"/>
        </w:rPr>
        <w:t xml:space="preserve"> 2018.</w:t>
      </w:r>
    </w:p>
    <w:p w14:paraId="01C40B06" w14:textId="3F3BAD6E" w:rsidR="00DF24F5"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t xml:space="preserve">Estimated Resident Population 2017 (as at 30/06/2017) is from the Australian Bureau of Statistics - Cat 3010.0 Australian Demographic Statistics, Tables 51 to 58: Estimated Resident Population by Single year of Age by State and Territory, PRELIMINARY based on 2016 census data published </w:t>
      </w:r>
      <w:r w:rsidR="00207DAB">
        <w:rPr>
          <w:rFonts w:ascii="Arial" w:eastAsia="Times New Roman" w:hAnsi="Arial" w:cs="Arial"/>
          <w:sz w:val="20"/>
          <w:szCs w:val="20"/>
          <w:lang w:val="en" w:eastAsia="en-AU"/>
        </w:rPr>
        <w:t>June</w:t>
      </w:r>
      <w:r w:rsidRPr="00207DAB">
        <w:rPr>
          <w:rFonts w:ascii="Arial" w:eastAsia="Times New Roman" w:hAnsi="Arial" w:cs="Arial"/>
          <w:sz w:val="20"/>
          <w:szCs w:val="20"/>
          <w:lang w:val="en" w:eastAsia="en-AU"/>
        </w:rPr>
        <w:t xml:space="preserve"> 2018.</w:t>
      </w:r>
    </w:p>
    <w:p w14:paraId="58E78459" w14:textId="103B5832" w:rsidR="00DF24F5"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t>Age is age as at date of ERP estimate (30th June) for the specified year.</w:t>
      </w:r>
    </w:p>
    <w:p w14:paraId="44CD39C1" w14:textId="4FB32D89" w:rsidR="00DF24F5"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t>Coverage is calculated as doses administered and reported to the HPV Register/Estimated Resident Population expressed as a percentage.</w:t>
      </w:r>
    </w:p>
    <w:p w14:paraId="102D6F6B" w14:textId="27E6C387" w:rsidR="00DF24F5"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t>Excludes consumers who do not wish their details to be recorded on the HPV Register.</w:t>
      </w:r>
    </w:p>
    <w:p w14:paraId="3A18083B" w14:textId="0AE1765A" w:rsidR="00DF24F5"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t xml:space="preserve">The National HPV Vaccination Program initially provided quadrivalent HPV vaccine for all females aged </w:t>
      </w:r>
      <w:bookmarkStart w:id="0" w:name="_GoBack"/>
      <w:bookmarkEnd w:id="0"/>
      <w:r w:rsidRPr="00207DAB">
        <w:rPr>
          <w:rFonts w:ascii="Arial" w:eastAsia="Times New Roman" w:hAnsi="Arial" w:cs="Arial"/>
          <w:sz w:val="20"/>
          <w:szCs w:val="20"/>
          <w:lang w:val="en" w:eastAsia="en-AU"/>
        </w:rPr>
        <w:t>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4700874A" w14:textId="5F0B88F7" w:rsidR="00DF24F5"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t>As the ages of students in the first year of high school varies between jurisdictions, age 15 is used as the age for routine review of vaccination coverage that provides the best comparison to allow for these varying ages in administration, as per World Health Organization (WHO) recommendations.</w:t>
      </w:r>
    </w:p>
    <w:p w14:paraId="7A530323" w14:textId="5892614B" w:rsidR="00280050" w:rsidRPr="00207DAB" w:rsidRDefault="00DF24F5" w:rsidP="00207DAB">
      <w:pPr>
        <w:numPr>
          <w:ilvl w:val="0"/>
          <w:numId w:val="2"/>
        </w:numPr>
        <w:spacing w:after="120" w:line="276" w:lineRule="auto"/>
        <w:rPr>
          <w:rFonts w:ascii="Arial" w:eastAsia="Times New Roman" w:hAnsi="Arial" w:cs="Arial"/>
          <w:sz w:val="20"/>
          <w:szCs w:val="20"/>
          <w:lang w:val="en" w:eastAsia="en-AU"/>
        </w:rPr>
      </w:pPr>
      <w:r w:rsidRPr="00207DAB">
        <w:rPr>
          <w:rFonts w:ascii="Arial" w:eastAsia="Times New Roman" w:hAnsi="Arial" w:cs="Arial"/>
          <w:sz w:val="20"/>
          <w:szCs w:val="20"/>
          <w:lang w:val="en"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280050" w:rsidRPr="00207DAB"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B4"/>
    <w:multiLevelType w:val="multilevel"/>
    <w:tmpl w:val="965CE2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AE"/>
    <w:rsid w:val="00065EE3"/>
    <w:rsid w:val="000867AB"/>
    <w:rsid w:val="00182D32"/>
    <w:rsid w:val="00207DAB"/>
    <w:rsid w:val="00280050"/>
    <w:rsid w:val="00335A34"/>
    <w:rsid w:val="003973DB"/>
    <w:rsid w:val="004435DE"/>
    <w:rsid w:val="004E37AE"/>
    <w:rsid w:val="00635D9E"/>
    <w:rsid w:val="0066264A"/>
    <w:rsid w:val="00893FEE"/>
    <w:rsid w:val="0091425F"/>
    <w:rsid w:val="00B617D1"/>
    <w:rsid w:val="00D417A6"/>
    <w:rsid w:val="00DF24F5"/>
    <w:rsid w:val="00E329BF"/>
    <w:rsid w:val="00F14D6C"/>
    <w:rsid w:val="00F95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1A1D"/>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3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EE"/>
    <w:rPr>
      <w:rFonts w:ascii="Segoe UI" w:hAnsi="Segoe UI" w:cs="Segoe UI"/>
      <w:sz w:val="18"/>
      <w:szCs w:val="18"/>
    </w:rPr>
  </w:style>
  <w:style w:type="paragraph" w:styleId="ListParagraph">
    <w:name w:val="List Paragraph"/>
    <w:basedOn w:val="Normal"/>
    <w:uiPriority w:val="34"/>
    <w:qFormat/>
    <w:rsid w:val="00662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691028624">
      <w:bodyDiv w:val="1"/>
      <w:marLeft w:val="0"/>
      <w:marRight w:val="0"/>
      <w:marTop w:val="0"/>
      <w:marBottom w:val="0"/>
      <w:divBdr>
        <w:top w:val="none" w:sz="0" w:space="0" w:color="auto"/>
        <w:left w:val="none" w:sz="0" w:space="0" w:color="auto"/>
        <w:bottom w:val="none" w:sz="0" w:space="0" w:color="auto"/>
        <w:right w:val="none" w:sz="0" w:space="0" w:color="auto"/>
      </w:divBdr>
      <w:divsChild>
        <w:div w:id="833029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2013</c:v>
                </c:pt>
              </c:strCache>
            </c:strRef>
          </c:tx>
          <c:spPr>
            <a:solidFill>
              <a:schemeClr val="accent1"/>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Sheet1!$B$2:$B$10</c:f>
              <c:numCache>
                <c:formatCode>0.0%</c:formatCode>
                <c:ptCount val="9"/>
                <c:pt idx="0">
                  <c:v>0.221</c:v>
                </c:pt>
                <c:pt idx="1">
                  <c:v>0.16700000000000001</c:v>
                </c:pt>
                <c:pt idx="2">
                  <c:v>0.219</c:v>
                </c:pt>
                <c:pt idx="3">
                  <c:v>0.40500000000000003</c:v>
                </c:pt>
                <c:pt idx="4">
                  <c:v>0.19</c:v>
                </c:pt>
                <c:pt idx="5">
                  <c:v>0.28999999999999998</c:v>
                </c:pt>
                <c:pt idx="6">
                  <c:v>0.27900000000000003</c:v>
                </c:pt>
                <c:pt idx="7">
                  <c:v>0.58599999999999997</c:v>
                </c:pt>
                <c:pt idx="8">
                  <c:v>0.29599999999999999</c:v>
                </c:pt>
              </c:numCache>
            </c:numRef>
          </c:val>
          <c:extLst>
            <c:ext xmlns:c16="http://schemas.microsoft.com/office/drawing/2014/chart" uri="{C3380CC4-5D6E-409C-BE32-E72D297353CC}">
              <c16:uniqueId val="{00000000-1E0B-4298-BA8C-0761D14A08A9}"/>
            </c:ext>
          </c:extLst>
        </c:ser>
        <c:ser>
          <c:idx val="1"/>
          <c:order val="1"/>
          <c:tx>
            <c:strRef>
              <c:f>Sheet1!$C$1</c:f>
              <c:strCache>
                <c:ptCount val="1"/>
                <c:pt idx="0">
                  <c:v>2014</c:v>
                </c:pt>
              </c:strCache>
            </c:strRef>
          </c:tx>
          <c:spPr>
            <a:solidFill>
              <a:schemeClr val="accent2"/>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Sheet1!$C$2:$C$10</c:f>
              <c:numCache>
                <c:formatCode>0.0%</c:formatCode>
                <c:ptCount val="9"/>
                <c:pt idx="0">
                  <c:v>0.64600000000000002</c:v>
                </c:pt>
                <c:pt idx="1">
                  <c:v>0.57599999999999996</c:v>
                </c:pt>
                <c:pt idx="2">
                  <c:v>0.64800000000000002</c:v>
                </c:pt>
                <c:pt idx="3">
                  <c:v>0.624</c:v>
                </c:pt>
                <c:pt idx="4">
                  <c:v>0.64300000000000002</c:v>
                </c:pt>
                <c:pt idx="5">
                  <c:v>0.68200000000000005</c:v>
                </c:pt>
                <c:pt idx="6">
                  <c:v>0.67800000000000005</c:v>
                </c:pt>
                <c:pt idx="7">
                  <c:v>0.63100000000000001</c:v>
                </c:pt>
                <c:pt idx="8">
                  <c:v>0.624</c:v>
                </c:pt>
              </c:numCache>
            </c:numRef>
          </c:val>
          <c:extLst>
            <c:ext xmlns:c16="http://schemas.microsoft.com/office/drawing/2014/chart" uri="{C3380CC4-5D6E-409C-BE32-E72D297353CC}">
              <c16:uniqueId val="{00000001-1E0B-4298-BA8C-0761D14A08A9}"/>
            </c:ext>
          </c:extLst>
        </c:ser>
        <c:ser>
          <c:idx val="2"/>
          <c:order val="2"/>
          <c:tx>
            <c:strRef>
              <c:f>Sheet1!$D$1</c:f>
              <c:strCache>
                <c:ptCount val="1"/>
                <c:pt idx="0">
                  <c:v>2015</c:v>
                </c:pt>
              </c:strCache>
            </c:strRef>
          </c:tx>
          <c:spPr>
            <a:solidFill>
              <a:schemeClr val="accent3"/>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Sheet1!$D$2:$D$10</c:f>
              <c:numCache>
                <c:formatCode>0.0%</c:formatCode>
                <c:ptCount val="9"/>
                <c:pt idx="0">
                  <c:v>0.69299999999999995</c:v>
                </c:pt>
                <c:pt idx="1">
                  <c:v>0.64800000000000002</c:v>
                </c:pt>
                <c:pt idx="2">
                  <c:v>0.72499999999999998</c:v>
                </c:pt>
                <c:pt idx="3">
                  <c:v>0.68700000000000006</c:v>
                </c:pt>
                <c:pt idx="4">
                  <c:v>0.69599999999999995</c:v>
                </c:pt>
                <c:pt idx="5">
                  <c:v>0.61899999999999999</c:v>
                </c:pt>
                <c:pt idx="6">
                  <c:v>0.71899999999999997</c:v>
                </c:pt>
                <c:pt idx="7">
                  <c:v>0.64800000000000002</c:v>
                </c:pt>
                <c:pt idx="8">
                  <c:v>0.67800000000000005</c:v>
                </c:pt>
              </c:numCache>
            </c:numRef>
          </c:val>
          <c:extLst>
            <c:ext xmlns:c16="http://schemas.microsoft.com/office/drawing/2014/chart" uri="{C3380CC4-5D6E-409C-BE32-E72D297353CC}">
              <c16:uniqueId val="{00000002-1E0B-4298-BA8C-0761D14A08A9}"/>
            </c:ext>
          </c:extLst>
        </c:ser>
        <c:ser>
          <c:idx val="3"/>
          <c:order val="3"/>
          <c:tx>
            <c:strRef>
              <c:f>Sheet1!$E$1</c:f>
              <c:strCache>
                <c:ptCount val="1"/>
                <c:pt idx="0">
                  <c:v>2016</c:v>
                </c:pt>
              </c:strCache>
            </c:strRef>
          </c:tx>
          <c:spPr>
            <a:solidFill>
              <a:schemeClr val="accent4"/>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Sheet1!$E$2:$E$10</c:f>
              <c:numCache>
                <c:formatCode>0.0%</c:formatCode>
                <c:ptCount val="9"/>
                <c:pt idx="0">
                  <c:v>0.71399999999999997</c:v>
                </c:pt>
                <c:pt idx="1">
                  <c:v>0.745</c:v>
                </c:pt>
                <c:pt idx="2">
                  <c:v>0.82199999999999995</c:v>
                </c:pt>
                <c:pt idx="3">
                  <c:v>0.70799999999999996</c:v>
                </c:pt>
                <c:pt idx="4">
                  <c:v>0.72599999999999998</c:v>
                </c:pt>
                <c:pt idx="5">
                  <c:v>0.63800000000000001</c:v>
                </c:pt>
                <c:pt idx="6">
                  <c:v>0.745</c:v>
                </c:pt>
                <c:pt idx="7">
                  <c:v>0.78100000000000003</c:v>
                </c:pt>
                <c:pt idx="8">
                  <c:v>0.73799999999999999</c:v>
                </c:pt>
              </c:numCache>
            </c:numRef>
          </c:val>
          <c:extLst>
            <c:ext xmlns:c16="http://schemas.microsoft.com/office/drawing/2014/chart" uri="{C3380CC4-5D6E-409C-BE32-E72D297353CC}">
              <c16:uniqueId val="{00000003-1E0B-4298-BA8C-0761D14A08A9}"/>
            </c:ext>
          </c:extLst>
        </c:ser>
        <c:ser>
          <c:idx val="4"/>
          <c:order val="4"/>
          <c:tx>
            <c:strRef>
              <c:f>Sheet1!$F$1</c:f>
              <c:strCache>
                <c:ptCount val="1"/>
                <c:pt idx="0">
                  <c:v>2017</c:v>
                </c:pt>
              </c:strCache>
            </c:strRef>
          </c:tx>
          <c:spPr>
            <a:solidFill>
              <a:schemeClr val="accent5"/>
            </a:solidFill>
            <a:ln>
              <a:noFill/>
            </a:ln>
            <a:effectLst/>
          </c:spPr>
          <c:invertIfNegative val="0"/>
          <c:cat>
            <c:strRef>
              <c:f>Sheet1!$A$2:$A$10</c:f>
              <c:strCache>
                <c:ptCount val="9"/>
                <c:pt idx="0">
                  <c:v>ACT</c:v>
                </c:pt>
                <c:pt idx="1">
                  <c:v>NSW</c:v>
                </c:pt>
                <c:pt idx="2">
                  <c:v>NT</c:v>
                </c:pt>
                <c:pt idx="3">
                  <c:v>QLD</c:v>
                </c:pt>
                <c:pt idx="4">
                  <c:v>SA</c:v>
                </c:pt>
                <c:pt idx="5">
                  <c:v>TAS</c:v>
                </c:pt>
                <c:pt idx="6">
                  <c:v>VIC</c:v>
                </c:pt>
                <c:pt idx="7">
                  <c:v>WA</c:v>
                </c:pt>
                <c:pt idx="8">
                  <c:v>NAT</c:v>
                </c:pt>
              </c:strCache>
            </c:strRef>
          </c:cat>
          <c:val>
            <c:numRef>
              <c:f>Sheet1!$F$2:$F$10</c:f>
              <c:numCache>
                <c:formatCode>0.0%</c:formatCode>
                <c:ptCount val="9"/>
                <c:pt idx="0">
                  <c:v>0.78600000000000003</c:v>
                </c:pt>
                <c:pt idx="1">
                  <c:v>0.78100000000000003</c:v>
                </c:pt>
                <c:pt idx="2">
                  <c:v>0.84799999999999998</c:v>
                </c:pt>
                <c:pt idx="3">
                  <c:v>0.73699999999999999</c:v>
                </c:pt>
                <c:pt idx="4">
                  <c:v>0.74399999999999999</c:v>
                </c:pt>
                <c:pt idx="5">
                  <c:v>0.64</c:v>
                </c:pt>
                <c:pt idx="6">
                  <c:v>0.76300000000000001</c:v>
                </c:pt>
                <c:pt idx="7">
                  <c:v>0.753</c:v>
                </c:pt>
                <c:pt idx="8">
                  <c:v>0.75900000000000001</c:v>
                </c:pt>
              </c:numCache>
            </c:numRef>
          </c:val>
          <c:extLst>
            <c:ext xmlns:c16="http://schemas.microsoft.com/office/drawing/2014/chart" uri="{C3380CC4-5D6E-409C-BE32-E72D297353CC}">
              <c16:uniqueId val="{00000004-1E0B-4298-BA8C-0761D14A08A9}"/>
            </c:ext>
          </c:extLst>
        </c:ser>
        <c:dLbls>
          <c:showLegendKey val="0"/>
          <c:showVal val="0"/>
          <c:showCatName val="0"/>
          <c:showSerName val="0"/>
          <c:showPercent val="0"/>
          <c:showBubbleSize val="0"/>
        </c:dLbls>
        <c:gapWidth val="219"/>
        <c:overlap val="-27"/>
        <c:axId val="588107696"/>
        <c:axId val="588107040"/>
      </c:barChart>
      <c:catAx>
        <c:axId val="588107696"/>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AU" sz="1050"/>
                  <a:t>State</a:t>
                </a:r>
              </a:p>
            </c:rich>
          </c:tx>
          <c:layout>
            <c:manualLayout>
              <c:xMode val="edge"/>
              <c:yMode val="edge"/>
              <c:x val="0.46405001458151057"/>
              <c:y val="0.80523747031621051"/>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100%"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07040"/>
        <c:crosses val="autoZero"/>
        <c:auto val="1"/>
        <c:lblAlgn val="ctr"/>
        <c:lblOffset val="100"/>
        <c:noMultiLvlLbl val="0"/>
      </c:catAx>
      <c:valAx>
        <c:axId val="58810704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AU" sz="1050"/>
                  <a:t>3 Dose HPV Vaccination Coverage</a:t>
                </a:r>
                <a:r>
                  <a:rPr lang="en-AU" sz="1050" baseline="0"/>
                  <a:t> (%)</a:t>
                </a:r>
                <a:endParaRPr lang="en-AU" sz="1050"/>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107696"/>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11</cp:revision>
  <dcterms:created xsi:type="dcterms:W3CDTF">2019-06-19T06:18:00Z</dcterms:created>
  <dcterms:modified xsi:type="dcterms:W3CDTF">2019-11-04T21:03:00Z</dcterms:modified>
</cp:coreProperties>
</file>