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C80A" w14:textId="77777777" w:rsidR="004E37AE" w:rsidRPr="00E169D5" w:rsidRDefault="004E37AE" w:rsidP="00E169D5">
      <w:pPr>
        <w:pStyle w:val="Title"/>
        <w:jc w:val="left"/>
        <w:rPr>
          <w:rFonts w:ascii="Arial" w:hAnsi="Arial" w:cs="Arial"/>
          <w:b w:val="0"/>
        </w:rPr>
      </w:pPr>
      <w:r w:rsidRPr="00E169D5">
        <w:rPr>
          <w:rFonts w:ascii="Arial" w:hAnsi="Arial" w:cs="Arial"/>
          <w:b w:val="0"/>
          <w:lang w:val="en"/>
        </w:rPr>
        <w:t>National (Australia) HPV 3 dose vaccination coverage for all females turning 15 years of age, 2007</w:t>
      </w:r>
      <w:r w:rsidR="00303CFB">
        <w:rPr>
          <w:rFonts w:ascii="Arial" w:hAnsi="Arial" w:cs="Arial"/>
          <w:b w:val="0"/>
          <w:lang w:val="en"/>
        </w:rPr>
        <w:t xml:space="preserve"> – </w:t>
      </w:r>
      <w:r w:rsidRPr="00E169D5">
        <w:rPr>
          <w:rFonts w:ascii="Arial" w:hAnsi="Arial" w:cs="Arial"/>
          <w:b w:val="0"/>
          <w:lang w:val="en"/>
        </w:rPr>
        <w:t>2011</w:t>
      </w:r>
    </w:p>
    <w:p w14:paraId="56E8F34F" w14:textId="77777777" w:rsidR="00303CFB" w:rsidRPr="00A37817" w:rsidRDefault="00303CFB" w:rsidP="00A37817">
      <w:pPr>
        <w:spacing w:after="120" w:line="240" w:lineRule="auto"/>
        <w:rPr>
          <w:rFonts w:ascii="Arial" w:hAnsi="Arial" w:cs="Arial"/>
        </w:rPr>
      </w:pPr>
    </w:p>
    <w:p w14:paraId="41CB0912" w14:textId="77777777" w:rsidR="004E37AE" w:rsidRPr="00457E09" w:rsidRDefault="004E37AE" w:rsidP="00E169D5">
      <w:pPr>
        <w:pStyle w:val="Caption"/>
        <w:spacing w:after="120" w:line="240" w:lineRule="auto"/>
        <w:rPr>
          <w:rFonts w:ascii="Arial" w:hAnsi="Arial" w:cs="Arial"/>
          <w:b w:val="0"/>
          <w:sz w:val="24"/>
          <w:szCs w:val="24"/>
        </w:rPr>
      </w:pPr>
      <w:r w:rsidRPr="00457E09">
        <w:rPr>
          <w:rFonts w:ascii="Arial" w:hAnsi="Arial" w:cs="Arial"/>
          <w:b w:val="0"/>
          <w:sz w:val="24"/>
          <w:szCs w:val="24"/>
        </w:rPr>
        <w:t xml:space="preserve">Graph </w:t>
      </w:r>
      <w:r w:rsidRPr="00457E09">
        <w:rPr>
          <w:rFonts w:ascii="Arial" w:hAnsi="Arial" w:cs="Arial"/>
          <w:b w:val="0"/>
          <w:sz w:val="24"/>
          <w:szCs w:val="24"/>
        </w:rPr>
        <w:fldChar w:fldCharType="begin"/>
      </w:r>
      <w:r w:rsidRPr="00457E09">
        <w:rPr>
          <w:rFonts w:ascii="Arial" w:hAnsi="Arial" w:cs="Arial"/>
          <w:b w:val="0"/>
          <w:sz w:val="24"/>
          <w:szCs w:val="24"/>
        </w:rPr>
        <w:instrText xml:space="preserve"> SEQ Graph \* ARABIC </w:instrText>
      </w:r>
      <w:r w:rsidRPr="00457E09">
        <w:rPr>
          <w:rFonts w:ascii="Arial" w:hAnsi="Arial" w:cs="Arial"/>
          <w:b w:val="0"/>
          <w:sz w:val="24"/>
          <w:szCs w:val="24"/>
        </w:rPr>
        <w:fldChar w:fldCharType="separate"/>
      </w:r>
      <w:r w:rsidRPr="00457E09">
        <w:rPr>
          <w:rFonts w:ascii="Arial" w:hAnsi="Arial" w:cs="Arial"/>
          <w:b w:val="0"/>
          <w:noProof/>
          <w:sz w:val="24"/>
          <w:szCs w:val="24"/>
        </w:rPr>
        <w:t>1</w:t>
      </w:r>
      <w:r w:rsidRPr="00457E09">
        <w:rPr>
          <w:rFonts w:ascii="Arial" w:hAnsi="Arial" w:cs="Arial"/>
          <w:b w:val="0"/>
          <w:sz w:val="24"/>
          <w:szCs w:val="24"/>
        </w:rPr>
        <w:fldChar w:fldCharType="end"/>
      </w:r>
      <w:r w:rsidR="000C04E8" w:rsidRPr="00457E09">
        <w:rPr>
          <w:rFonts w:ascii="Arial" w:hAnsi="Arial" w:cs="Arial"/>
          <w:b w:val="0"/>
          <w:sz w:val="24"/>
          <w:szCs w:val="24"/>
        </w:rPr>
        <w:t>.</w:t>
      </w:r>
      <w:r w:rsidRPr="00457E09">
        <w:rPr>
          <w:rFonts w:ascii="Arial" w:hAnsi="Arial" w:cs="Arial"/>
          <w:b w:val="0"/>
          <w:sz w:val="24"/>
          <w:szCs w:val="24"/>
        </w:rPr>
        <w:t xml:space="preserve"> </w:t>
      </w:r>
      <w:r w:rsidR="000C04E8" w:rsidRPr="00457E09">
        <w:rPr>
          <w:rFonts w:ascii="Arial" w:hAnsi="Arial" w:cs="Arial"/>
          <w:b w:val="0"/>
          <w:sz w:val="24"/>
          <w:szCs w:val="24"/>
        </w:rPr>
        <w:t>HPV 3 dose</w:t>
      </w:r>
      <w:r w:rsidRPr="00457E09">
        <w:rPr>
          <w:rFonts w:ascii="Arial" w:hAnsi="Arial" w:cs="Arial"/>
          <w:b w:val="0"/>
          <w:sz w:val="24"/>
          <w:szCs w:val="24"/>
        </w:rPr>
        <w:t xml:space="preserve"> vaccination coverage for all females turning 15 years of age, 2007-11.</w:t>
      </w:r>
    </w:p>
    <w:p w14:paraId="2527DC8B" w14:textId="77777777" w:rsidR="00FE6316" w:rsidRPr="00457E09" w:rsidRDefault="00FE6316" w:rsidP="00FE5D86">
      <w:pPr>
        <w:jc w:val="center"/>
        <w:rPr>
          <w:rFonts w:ascii="Arial" w:hAnsi="Arial" w:cs="Arial"/>
        </w:rPr>
      </w:pPr>
      <w:r w:rsidRPr="00457E09">
        <w:rPr>
          <w:rFonts w:ascii="Arial" w:hAnsi="Arial" w:cs="Arial"/>
          <w:noProof/>
          <w:lang w:eastAsia="en-AU"/>
        </w:rPr>
        <w:drawing>
          <wp:inline distT="0" distB="0" distL="0" distR="0" wp14:anchorId="2760A598" wp14:editId="5628932D">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54494A5" w14:textId="77777777" w:rsidR="00A37817" w:rsidRPr="00A37817" w:rsidRDefault="00A37817" w:rsidP="00A37817">
      <w:pPr>
        <w:spacing w:after="120" w:line="240" w:lineRule="auto"/>
        <w:rPr>
          <w:rFonts w:ascii="Arial" w:hAnsi="Arial" w:cs="Arial"/>
        </w:rPr>
      </w:pPr>
    </w:p>
    <w:p w14:paraId="330730BE" w14:textId="77777777" w:rsidR="004E37AE" w:rsidRPr="00457E09" w:rsidRDefault="004E37AE" w:rsidP="00E169D5">
      <w:pPr>
        <w:pStyle w:val="Caption"/>
        <w:spacing w:after="120" w:line="240" w:lineRule="auto"/>
        <w:rPr>
          <w:rFonts w:ascii="Arial" w:hAnsi="Arial" w:cs="Arial"/>
          <w:b w:val="0"/>
          <w:sz w:val="24"/>
          <w:szCs w:val="24"/>
        </w:rPr>
      </w:pPr>
      <w:r w:rsidRPr="00457E09">
        <w:rPr>
          <w:rFonts w:ascii="Arial" w:hAnsi="Arial" w:cs="Arial"/>
          <w:b w:val="0"/>
          <w:sz w:val="24"/>
          <w:szCs w:val="24"/>
        </w:rPr>
        <w:t xml:space="preserve">Table </w:t>
      </w:r>
      <w:r w:rsidRPr="00457E09">
        <w:rPr>
          <w:rFonts w:ascii="Arial" w:hAnsi="Arial" w:cs="Arial"/>
          <w:b w:val="0"/>
          <w:sz w:val="24"/>
          <w:szCs w:val="24"/>
        </w:rPr>
        <w:fldChar w:fldCharType="begin"/>
      </w:r>
      <w:r w:rsidRPr="00457E09">
        <w:rPr>
          <w:rFonts w:ascii="Arial" w:hAnsi="Arial" w:cs="Arial"/>
          <w:b w:val="0"/>
          <w:sz w:val="24"/>
          <w:szCs w:val="24"/>
        </w:rPr>
        <w:instrText xml:space="preserve"> SEQ Table \* ARABIC </w:instrText>
      </w:r>
      <w:r w:rsidRPr="00457E09">
        <w:rPr>
          <w:rFonts w:ascii="Arial" w:hAnsi="Arial" w:cs="Arial"/>
          <w:b w:val="0"/>
          <w:sz w:val="24"/>
          <w:szCs w:val="24"/>
        </w:rPr>
        <w:fldChar w:fldCharType="separate"/>
      </w:r>
      <w:r w:rsidRPr="00457E09">
        <w:rPr>
          <w:rFonts w:ascii="Arial" w:hAnsi="Arial" w:cs="Arial"/>
          <w:b w:val="0"/>
          <w:sz w:val="24"/>
          <w:szCs w:val="24"/>
        </w:rPr>
        <w:t>1</w:t>
      </w:r>
      <w:r w:rsidRPr="00457E09">
        <w:rPr>
          <w:rFonts w:ascii="Arial" w:hAnsi="Arial" w:cs="Arial"/>
          <w:b w:val="0"/>
          <w:sz w:val="24"/>
          <w:szCs w:val="24"/>
        </w:rPr>
        <w:fldChar w:fldCharType="end"/>
      </w:r>
      <w:r w:rsidRPr="00457E09">
        <w:rPr>
          <w:rFonts w:ascii="Arial" w:hAnsi="Arial" w:cs="Arial"/>
          <w:b w:val="0"/>
          <w:sz w:val="24"/>
          <w:szCs w:val="24"/>
        </w:rPr>
        <w:t xml:space="preserve">. </w:t>
      </w:r>
      <w:r w:rsidR="000C04E8" w:rsidRPr="00457E09">
        <w:rPr>
          <w:rFonts w:ascii="Arial" w:hAnsi="Arial" w:cs="Arial"/>
          <w:b w:val="0"/>
          <w:sz w:val="24"/>
          <w:szCs w:val="24"/>
        </w:rPr>
        <w:t>HPV 3 dose vaccination coverage for all females turning 15 years of age, 2007-11.</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977"/>
        <w:gridCol w:w="977"/>
        <w:gridCol w:w="977"/>
        <w:gridCol w:w="977"/>
        <w:gridCol w:w="977"/>
        <w:gridCol w:w="977"/>
        <w:gridCol w:w="977"/>
        <w:gridCol w:w="977"/>
        <w:gridCol w:w="977"/>
        <w:gridCol w:w="978"/>
      </w:tblGrid>
      <w:tr w:rsidR="00941AB0" w:rsidRPr="00DE7AE9" w14:paraId="0C41F0BF" w14:textId="77777777" w:rsidTr="00941AB0">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5E5C8B5" w14:textId="77777777" w:rsidR="00335A34" w:rsidRPr="00941AB0" w:rsidRDefault="00335A34" w:rsidP="00941AB0">
            <w:pPr>
              <w:jc w:val="center"/>
              <w:rPr>
                <w:rFonts w:ascii="Arial" w:hAnsi="Arial" w:cs="Arial"/>
                <w:b w:val="0"/>
              </w:rPr>
            </w:pP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B519FDF" w14:textId="77777777" w:rsidR="00335A34" w:rsidRPr="00DE7AE9" w:rsidRDefault="00335A34" w:rsidP="00941A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ACT</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56EF8DE" w14:textId="77777777" w:rsidR="00335A34" w:rsidRPr="00DE7AE9" w:rsidRDefault="00335A34" w:rsidP="00941A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NSW</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D4E21BB" w14:textId="77777777" w:rsidR="00335A34" w:rsidRPr="00DE7AE9" w:rsidRDefault="00335A34" w:rsidP="00941A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NT</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970EEE8" w14:textId="77777777" w:rsidR="00335A34" w:rsidRPr="00DE7AE9" w:rsidRDefault="00335A34" w:rsidP="00941A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QLD</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C8A0A4F" w14:textId="77777777" w:rsidR="00335A34" w:rsidRPr="00DE7AE9" w:rsidRDefault="00335A34" w:rsidP="00941A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SA</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6BA2BDF" w14:textId="77777777" w:rsidR="00335A34" w:rsidRPr="00DE7AE9" w:rsidRDefault="00335A34" w:rsidP="00941A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TAS</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F320C89" w14:textId="77777777" w:rsidR="00335A34" w:rsidRPr="00DE7AE9" w:rsidRDefault="00335A34" w:rsidP="00941A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VIC</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E17CDCC" w14:textId="77777777" w:rsidR="00335A34" w:rsidRPr="00DE7AE9" w:rsidRDefault="00335A34" w:rsidP="00941AB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WA</w:t>
            </w:r>
          </w:p>
        </w:tc>
        <w:tc>
          <w:tcPr>
            <w:tcW w:w="978"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23EBF6A" w14:textId="77777777" w:rsidR="00335A34" w:rsidRPr="00941AB0" w:rsidRDefault="00335A34" w:rsidP="00941AB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1AB0">
              <w:rPr>
                <w:rFonts w:ascii="Arial" w:hAnsi="Arial" w:cs="Arial"/>
              </w:rPr>
              <w:t>NAT</w:t>
            </w:r>
          </w:p>
        </w:tc>
      </w:tr>
      <w:tr w:rsidR="00941AB0" w:rsidRPr="00457E09" w14:paraId="41176C76" w14:textId="77777777" w:rsidTr="00941AB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58BD7B72" w14:textId="77777777" w:rsidR="00335A34" w:rsidRPr="00941AB0" w:rsidRDefault="00335A34" w:rsidP="00941AB0">
            <w:pPr>
              <w:jc w:val="center"/>
              <w:rPr>
                <w:rFonts w:ascii="Arial" w:hAnsi="Arial" w:cs="Arial"/>
                <w:color w:val="FFFFFF" w:themeColor="background1"/>
              </w:rPr>
            </w:pPr>
            <w:r w:rsidRPr="00941AB0">
              <w:rPr>
                <w:rFonts w:ascii="Arial" w:hAnsi="Arial" w:cs="Arial"/>
                <w:color w:val="FFFFFF" w:themeColor="background1"/>
              </w:rPr>
              <w:t>2007</w:t>
            </w:r>
          </w:p>
        </w:tc>
        <w:tc>
          <w:tcPr>
            <w:tcW w:w="977" w:type="dxa"/>
            <w:shd w:val="clear" w:color="auto" w:fill="DBE5F1" w:themeFill="accent1" w:themeFillTint="33"/>
            <w:vAlign w:val="center"/>
          </w:tcPr>
          <w:p w14:paraId="783596C2"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73.7%</w:t>
            </w:r>
          </w:p>
        </w:tc>
        <w:tc>
          <w:tcPr>
            <w:tcW w:w="977" w:type="dxa"/>
            <w:shd w:val="clear" w:color="auto" w:fill="DBE5F1" w:themeFill="accent1" w:themeFillTint="33"/>
            <w:vAlign w:val="center"/>
          </w:tcPr>
          <w:p w14:paraId="3AE58238"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76.7%</w:t>
            </w:r>
          </w:p>
        </w:tc>
        <w:tc>
          <w:tcPr>
            <w:tcW w:w="977" w:type="dxa"/>
            <w:shd w:val="clear" w:color="auto" w:fill="DBE5F1" w:themeFill="accent1" w:themeFillTint="33"/>
            <w:vAlign w:val="center"/>
          </w:tcPr>
          <w:p w14:paraId="11C16DFF"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75.9%</w:t>
            </w:r>
          </w:p>
        </w:tc>
        <w:tc>
          <w:tcPr>
            <w:tcW w:w="977" w:type="dxa"/>
            <w:shd w:val="clear" w:color="auto" w:fill="DBE5F1" w:themeFill="accent1" w:themeFillTint="33"/>
            <w:vAlign w:val="center"/>
          </w:tcPr>
          <w:p w14:paraId="44A58656"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74.8%</w:t>
            </w:r>
          </w:p>
        </w:tc>
        <w:tc>
          <w:tcPr>
            <w:tcW w:w="977" w:type="dxa"/>
            <w:shd w:val="clear" w:color="auto" w:fill="DBE5F1" w:themeFill="accent1" w:themeFillTint="33"/>
            <w:vAlign w:val="center"/>
          </w:tcPr>
          <w:p w14:paraId="1D1F5BA6"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68.2%</w:t>
            </w:r>
          </w:p>
        </w:tc>
        <w:tc>
          <w:tcPr>
            <w:tcW w:w="977" w:type="dxa"/>
            <w:shd w:val="clear" w:color="auto" w:fill="DBE5F1" w:themeFill="accent1" w:themeFillTint="33"/>
            <w:vAlign w:val="center"/>
          </w:tcPr>
          <w:p w14:paraId="570BB0F1"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66.3%</w:t>
            </w:r>
          </w:p>
        </w:tc>
        <w:tc>
          <w:tcPr>
            <w:tcW w:w="977" w:type="dxa"/>
            <w:shd w:val="clear" w:color="auto" w:fill="DBE5F1" w:themeFill="accent1" w:themeFillTint="33"/>
            <w:vAlign w:val="center"/>
          </w:tcPr>
          <w:p w14:paraId="768FEBE2"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76.9%</w:t>
            </w:r>
          </w:p>
        </w:tc>
        <w:tc>
          <w:tcPr>
            <w:tcW w:w="977" w:type="dxa"/>
            <w:shd w:val="clear" w:color="auto" w:fill="DBE5F1" w:themeFill="accent1" w:themeFillTint="33"/>
            <w:vAlign w:val="center"/>
          </w:tcPr>
          <w:p w14:paraId="0A59313E"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61.5%</w:t>
            </w:r>
          </w:p>
        </w:tc>
        <w:tc>
          <w:tcPr>
            <w:tcW w:w="978" w:type="dxa"/>
            <w:shd w:val="clear" w:color="auto" w:fill="548DD4" w:themeFill="text2" w:themeFillTint="99"/>
            <w:vAlign w:val="center"/>
          </w:tcPr>
          <w:p w14:paraId="1AC2DFFB" w14:textId="77777777" w:rsidR="00335A34" w:rsidRPr="00941AB0"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941AB0">
              <w:rPr>
                <w:rFonts w:ascii="Arial" w:hAnsi="Arial" w:cs="Arial"/>
                <w:b/>
                <w:color w:val="FFFFFF" w:themeColor="background1"/>
              </w:rPr>
              <w:t>73.8%</w:t>
            </w:r>
          </w:p>
        </w:tc>
      </w:tr>
      <w:tr w:rsidR="00335A34" w:rsidRPr="00457E09" w14:paraId="07F63706" w14:textId="77777777" w:rsidTr="00941AB0">
        <w:trPr>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3AA8C143" w14:textId="77777777" w:rsidR="00335A34" w:rsidRPr="00941AB0" w:rsidRDefault="00335A34" w:rsidP="00941AB0">
            <w:pPr>
              <w:jc w:val="center"/>
              <w:rPr>
                <w:rFonts w:ascii="Arial" w:hAnsi="Arial" w:cs="Arial"/>
                <w:color w:val="FFFFFF" w:themeColor="background1"/>
              </w:rPr>
            </w:pPr>
            <w:r w:rsidRPr="00941AB0">
              <w:rPr>
                <w:rFonts w:ascii="Arial" w:hAnsi="Arial" w:cs="Arial"/>
                <w:color w:val="FFFFFF" w:themeColor="background1"/>
              </w:rPr>
              <w:t>2008</w:t>
            </w:r>
          </w:p>
        </w:tc>
        <w:tc>
          <w:tcPr>
            <w:tcW w:w="977" w:type="dxa"/>
            <w:vAlign w:val="center"/>
          </w:tcPr>
          <w:p w14:paraId="770AEB5F"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74.2%</w:t>
            </w:r>
          </w:p>
        </w:tc>
        <w:tc>
          <w:tcPr>
            <w:tcW w:w="977" w:type="dxa"/>
            <w:vAlign w:val="center"/>
          </w:tcPr>
          <w:p w14:paraId="78F49903"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73.4%</w:t>
            </w:r>
          </w:p>
        </w:tc>
        <w:tc>
          <w:tcPr>
            <w:tcW w:w="977" w:type="dxa"/>
            <w:vAlign w:val="center"/>
          </w:tcPr>
          <w:p w14:paraId="5A9F11E2"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71.9%</w:t>
            </w:r>
          </w:p>
        </w:tc>
        <w:tc>
          <w:tcPr>
            <w:tcW w:w="977" w:type="dxa"/>
            <w:vAlign w:val="center"/>
          </w:tcPr>
          <w:p w14:paraId="237DE671"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73.8%</w:t>
            </w:r>
          </w:p>
        </w:tc>
        <w:tc>
          <w:tcPr>
            <w:tcW w:w="977" w:type="dxa"/>
            <w:vAlign w:val="center"/>
          </w:tcPr>
          <w:p w14:paraId="2FFE40A3"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70.9%</w:t>
            </w:r>
          </w:p>
        </w:tc>
        <w:tc>
          <w:tcPr>
            <w:tcW w:w="977" w:type="dxa"/>
            <w:vAlign w:val="center"/>
          </w:tcPr>
          <w:p w14:paraId="480280E9"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65.0%</w:t>
            </w:r>
          </w:p>
        </w:tc>
        <w:tc>
          <w:tcPr>
            <w:tcW w:w="977" w:type="dxa"/>
            <w:vAlign w:val="center"/>
          </w:tcPr>
          <w:p w14:paraId="2318405D"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75.1%</w:t>
            </w:r>
          </w:p>
        </w:tc>
        <w:tc>
          <w:tcPr>
            <w:tcW w:w="977" w:type="dxa"/>
            <w:vAlign w:val="center"/>
          </w:tcPr>
          <w:p w14:paraId="746A01D4"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63.8%</w:t>
            </w:r>
          </w:p>
        </w:tc>
        <w:tc>
          <w:tcPr>
            <w:tcW w:w="978" w:type="dxa"/>
            <w:shd w:val="clear" w:color="auto" w:fill="548DD4" w:themeFill="text2" w:themeFillTint="99"/>
            <w:vAlign w:val="center"/>
          </w:tcPr>
          <w:p w14:paraId="21D51E40" w14:textId="77777777" w:rsidR="00335A34" w:rsidRPr="00941AB0"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41AB0">
              <w:rPr>
                <w:rFonts w:ascii="Arial" w:hAnsi="Arial" w:cs="Arial"/>
                <w:b/>
                <w:color w:val="FFFFFF" w:themeColor="background1"/>
              </w:rPr>
              <w:t>72.5%</w:t>
            </w:r>
          </w:p>
        </w:tc>
      </w:tr>
      <w:tr w:rsidR="00335A34" w:rsidRPr="00457E09" w14:paraId="7EA9BAE1" w14:textId="77777777" w:rsidTr="00941AB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0BA99662" w14:textId="77777777" w:rsidR="00335A34" w:rsidRPr="00941AB0" w:rsidRDefault="00335A34" w:rsidP="00941AB0">
            <w:pPr>
              <w:jc w:val="center"/>
              <w:rPr>
                <w:rFonts w:ascii="Arial" w:hAnsi="Arial" w:cs="Arial"/>
                <w:color w:val="FFFFFF" w:themeColor="background1"/>
              </w:rPr>
            </w:pPr>
            <w:r w:rsidRPr="00941AB0">
              <w:rPr>
                <w:rFonts w:ascii="Arial" w:hAnsi="Arial" w:cs="Arial"/>
                <w:color w:val="FFFFFF" w:themeColor="background1"/>
              </w:rPr>
              <w:t>2009</w:t>
            </w:r>
          </w:p>
        </w:tc>
        <w:tc>
          <w:tcPr>
            <w:tcW w:w="977" w:type="dxa"/>
            <w:shd w:val="clear" w:color="auto" w:fill="DBE5F1" w:themeFill="accent1" w:themeFillTint="33"/>
            <w:vAlign w:val="center"/>
          </w:tcPr>
          <w:p w14:paraId="03FADFBC"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77.8%</w:t>
            </w:r>
          </w:p>
        </w:tc>
        <w:tc>
          <w:tcPr>
            <w:tcW w:w="977" w:type="dxa"/>
            <w:shd w:val="clear" w:color="auto" w:fill="DBE5F1" w:themeFill="accent1" w:themeFillTint="33"/>
            <w:vAlign w:val="center"/>
          </w:tcPr>
          <w:p w14:paraId="4A65D044"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73.9%</w:t>
            </w:r>
          </w:p>
        </w:tc>
        <w:tc>
          <w:tcPr>
            <w:tcW w:w="977" w:type="dxa"/>
            <w:shd w:val="clear" w:color="auto" w:fill="DBE5F1" w:themeFill="accent1" w:themeFillTint="33"/>
            <w:vAlign w:val="center"/>
          </w:tcPr>
          <w:p w14:paraId="3EF3978C"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79.8%</w:t>
            </w:r>
          </w:p>
        </w:tc>
        <w:tc>
          <w:tcPr>
            <w:tcW w:w="977" w:type="dxa"/>
            <w:shd w:val="clear" w:color="auto" w:fill="DBE5F1" w:themeFill="accent1" w:themeFillTint="33"/>
            <w:vAlign w:val="center"/>
          </w:tcPr>
          <w:p w14:paraId="22099D58"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71.8%</w:t>
            </w:r>
          </w:p>
        </w:tc>
        <w:tc>
          <w:tcPr>
            <w:tcW w:w="977" w:type="dxa"/>
            <w:shd w:val="clear" w:color="auto" w:fill="DBE5F1" w:themeFill="accent1" w:themeFillTint="33"/>
            <w:vAlign w:val="center"/>
          </w:tcPr>
          <w:p w14:paraId="65E5F762"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73.1%</w:t>
            </w:r>
          </w:p>
        </w:tc>
        <w:tc>
          <w:tcPr>
            <w:tcW w:w="977" w:type="dxa"/>
            <w:shd w:val="clear" w:color="auto" w:fill="DBE5F1" w:themeFill="accent1" w:themeFillTint="33"/>
            <w:vAlign w:val="center"/>
          </w:tcPr>
          <w:p w14:paraId="42505034"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66.2%</w:t>
            </w:r>
          </w:p>
        </w:tc>
        <w:tc>
          <w:tcPr>
            <w:tcW w:w="977" w:type="dxa"/>
            <w:shd w:val="clear" w:color="auto" w:fill="DBE5F1" w:themeFill="accent1" w:themeFillTint="33"/>
            <w:vAlign w:val="center"/>
          </w:tcPr>
          <w:p w14:paraId="1E21C06C"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76.5%</w:t>
            </w:r>
          </w:p>
        </w:tc>
        <w:tc>
          <w:tcPr>
            <w:tcW w:w="977" w:type="dxa"/>
            <w:shd w:val="clear" w:color="auto" w:fill="DBE5F1" w:themeFill="accent1" w:themeFillTint="33"/>
            <w:vAlign w:val="center"/>
          </w:tcPr>
          <w:p w14:paraId="0FDFA76F"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63.5%</w:t>
            </w:r>
          </w:p>
        </w:tc>
        <w:tc>
          <w:tcPr>
            <w:tcW w:w="978" w:type="dxa"/>
            <w:shd w:val="clear" w:color="auto" w:fill="548DD4" w:themeFill="text2" w:themeFillTint="99"/>
            <w:vAlign w:val="center"/>
          </w:tcPr>
          <w:p w14:paraId="122709A5" w14:textId="77777777" w:rsidR="00335A34" w:rsidRPr="00941AB0"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941AB0">
              <w:rPr>
                <w:rFonts w:ascii="Arial" w:hAnsi="Arial" w:cs="Arial"/>
                <w:b/>
                <w:color w:val="FFFFFF" w:themeColor="background1"/>
              </w:rPr>
              <w:t>72.9%</w:t>
            </w:r>
          </w:p>
        </w:tc>
      </w:tr>
      <w:tr w:rsidR="00335A34" w:rsidRPr="00457E09" w14:paraId="334728FD" w14:textId="77777777" w:rsidTr="00941AB0">
        <w:trPr>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507355EE" w14:textId="77777777" w:rsidR="00335A34" w:rsidRPr="00941AB0" w:rsidRDefault="00335A34" w:rsidP="00941AB0">
            <w:pPr>
              <w:jc w:val="center"/>
              <w:rPr>
                <w:rFonts w:ascii="Arial" w:hAnsi="Arial" w:cs="Arial"/>
                <w:color w:val="FFFFFF" w:themeColor="background1"/>
              </w:rPr>
            </w:pPr>
            <w:r w:rsidRPr="00941AB0">
              <w:rPr>
                <w:rFonts w:ascii="Arial" w:hAnsi="Arial" w:cs="Arial"/>
                <w:color w:val="FFFFFF" w:themeColor="background1"/>
              </w:rPr>
              <w:t>2010</w:t>
            </w:r>
          </w:p>
        </w:tc>
        <w:tc>
          <w:tcPr>
            <w:tcW w:w="977" w:type="dxa"/>
            <w:vAlign w:val="center"/>
          </w:tcPr>
          <w:p w14:paraId="73B45F9A"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79.3%</w:t>
            </w:r>
          </w:p>
        </w:tc>
        <w:tc>
          <w:tcPr>
            <w:tcW w:w="977" w:type="dxa"/>
            <w:vAlign w:val="center"/>
          </w:tcPr>
          <w:p w14:paraId="69C49679"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74.0%</w:t>
            </w:r>
          </w:p>
        </w:tc>
        <w:tc>
          <w:tcPr>
            <w:tcW w:w="977" w:type="dxa"/>
            <w:vAlign w:val="center"/>
          </w:tcPr>
          <w:p w14:paraId="35CD7FCB"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83.3%</w:t>
            </w:r>
          </w:p>
        </w:tc>
        <w:tc>
          <w:tcPr>
            <w:tcW w:w="977" w:type="dxa"/>
            <w:vAlign w:val="center"/>
          </w:tcPr>
          <w:p w14:paraId="27AC4E70"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72.5%</w:t>
            </w:r>
          </w:p>
        </w:tc>
        <w:tc>
          <w:tcPr>
            <w:tcW w:w="977" w:type="dxa"/>
            <w:vAlign w:val="center"/>
          </w:tcPr>
          <w:p w14:paraId="1849E14D"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70.4%</w:t>
            </w:r>
          </w:p>
        </w:tc>
        <w:tc>
          <w:tcPr>
            <w:tcW w:w="977" w:type="dxa"/>
            <w:vAlign w:val="center"/>
          </w:tcPr>
          <w:p w14:paraId="65550CCE"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70.1%</w:t>
            </w:r>
          </w:p>
        </w:tc>
        <w:tc>
          <w:tcPr>
            <w:tcW w:w="977" w:type="dxa"/>
            <w:vAlign w:val="center"/>
          </w:tcPr>
          <w:p w14:paraId="0AD91FC5"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78.7%</w:t>
            </w:r>
          </w:p>
        </w:tc>
        <w:tc>
          <w:tcPr>
            <w:tcW w:w="977" w:type="dxa"/>
            <w:vAlign w:val="center"/>
          </w:tcPr>
          <w:p w14:paraId="46A46F61" w14:textId="77777777" w:rsidR="00335A34" w:rsidRPr="00457E09"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57E09">
              <w:rPr>
                <w:rFonts w:ascii="Arial" w:hAnsi="Arial" w:cs="Arial"/>
              </w:rPr>
              <w:t>63.4%</w:t>
            </w:r>
          </w:p>
        </w:tc>
        <w:tc>
          <w:tcPr>
            <w:tcW w:w="978" w:type="dxa"/>
            <w:shd w:val="clear" w:color="auto" w:fill="548DD4" w:themeFill="text2" w:themeFillTint="99"/>
            <w:vAlign w:val="center"/>
          </w:tcPr>
          <w:p w14:paraId="2D51B987" w14:textId="77777777" w:rsidR="00335A34" w:rsidRPr="00941AB0" w:rsidRDefault="00335A34" w:rsidP="00941AB0">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941AB0">
              <w:rPr>
                <w:rFonts w:ascii="Arial" w:hAnsi="Arial" w:cs="Arial"/>
                <w:b/>
                <w:color w:val="FFFFFF" w:themeColor="background1"/>
              </w:rPr>
              <w:t>73.5%</w:t>
            </w:r>
          </w:p>
        </w:tc>
      </w:tr>
      <w:tr w:rsidR="00335A34" w:rsidRPr="00457E09" w14:paraId="69D5F4E2" w14:textId="77777777" w:rsidTr="00941AB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4BFC4D8C" w14:textId="77777777" w:rsidR="00335A34" w:rsidRPr="00941AB0" w:rsidRDefault="00335A34" w:rsidP="00941AB0">
            <w:pPr>
              <w:jc w:val="center"/>
              <w:rPr>
                <w:rFonts w:ascii="Arial" w:hAnsi="Arial" w:cs="Arial"/>
                <w:color w:val="FFFFFF" w:themeColor="background1"/>
              </w:rPr>
            </w:pPr>
            <w:r w:rsidRPr="00941AB0">
              <w:rPr>
                <w:rFonts w:ascii="Arial" w:hAnsi="Arial" w:cs="Arial"/>
                <w:color w:val="FFFFFF" w:themeColor="background1"/>
              </w:rPr>
              <w:t>2011</w:t>
            </w:r>
          </w:p>
        </w:tc>
        <w:tc>
          <w:tcPr>
            <w:tcW w:w="977" w:type="dxa"/>
            <w:shd w:val="clear" w:color="auto" w:fill="DBE5F1" w:themeFill="accent1" w:themeFillTint="33"/>
            <w:vAlign w:val="center"/>
          </w:tcPr>
          <w:p w14:paraId="2937D352"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74.2%</w:t>
            </w:r>
          </w:p>
        </w:tc>
        <w:tc>
          <w:tcPr>
            <w:tcW w:w="977" w:type="dxa"/>
            <w:shd w:val="clear" w:color="auto" w:fill="DBE5F1" w:themeFill="accent1" w:themeFillTint="33"/>
            <w:vAlign w:val="center"/>
          </w:tcPr>
          <w:p w14:paraId="5DB2B400"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74.5%</w:t>
            </w:r>
          </w:p>
        </w:tc>
        <w:tc>
          <w:tcPr>
            <w:tcW w:w="977" w:type="dxa"/>
            <w:shd w:val="clear" w:color="auto" w:fill="DBE5F1" w:themeFill="accent1" w:themeFillTint="33"/>
            <w:vAlign w:val="center"/>
          </w:tcPr>
          <w:p w14:paraId="2BB03B38"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87.0%</w:t>
            </w:r>
          </w:p>
        </w:tc>
        <w:tc>
          <w:tcPr>
            <w:tcW w:w="977" w:type="dxa"/>
            <w:shd w:val="clear" w:color="auto" w:fill="DBE5F1" w:themeFill="accent1" w:themeFillTint="33"/>
            <w:vAlign w:val="center"/>
          </w:tcPr>
          <w:p w14:paraId="22DC974E"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72.4%</w:t>
            </w:r>
          </w:p>
        </w:tc>
        <w:tc>
          <w:tcPr>
            <w:tcW w:w="977" w:type="dxa"/>
            <w:shd w:val="clear" w:color="auto" w:fill="DBE5F1" w:themeFill="accent1" w:themeFillTint="33"/>
            <w:vAlign w:val="center"/>
          </w:tcPr>
          <w:p w14:paraId="03A55B83"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68.0%</w:t>
            </w:r>
          </w:p>
        </w:tc>
        <w:tc>
          <w:tcPr>
            <w:tcW w:w="977" w:type="dxa"/>
            <w:shd w:val="clear" w:color="auto" w:fill="DBE5F1" w:themeFill="accent1" w:themeFillTint="33"/>
            <w:vAlign w:val="center"/>
          </w:tcPr>
          <w:p w14:paraId="79B471B3"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66.5%</w:t>
            </w:r>
          </w:p>
        </w:tc>
        <w:tc>
          <w:tcPr>
            <w:tcW w:w="977" w:type="dxa"/>
            <w:shd w:val="clear" w:color="auto" w:fill="DBE5F1" w:themeFill="accent1" w:themeFillTint="33"/>
            <w:vAlign w:val="center"/>
          </w:tcPr>
          <w:p w14:paraId="1A7ADA50"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76.5%</w:t>
            </w:r>
          </w:p>
        </w:tc>
        <w:tc>
          <w:tcPr>
            <w:tcW w:w="977" w:type="dxa"/>
            <w:shd w:val="clear" w:color="auto" w:fill="DBE5F1" w:themeFill="accent1" w:themeFillTint="33"/>
            <w:vAlign w:val="center"/>
          </w:tcPr>
          <w:p w14:paraId="7615F352" w14:textId="77777777" w:rsidR="00335A34" w:rsidRPr="00457E09"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57E09">
              <w:rPr>
                <w:rFonts w:ascii="Arial" w:hAnsi="Arial" w:cs="Arial"/>
              </w:rPr>
              <w:t>64.6%</w:t>
            </w:r>
          </w:p>
        </w:tc>
        <w:tc>
          <w:tcPr>
            <w:tcW w:w="978" w:type="dxa"/>
            <w:shd w:val="clear" w:color="auto" w:fill="548DD4" w:themeFill="text2" w:themeFillTint="99"/>
            <w:vAlign w:val="center"/>
          </w:tcPr>
          <w:p w14:paraId="43247CD6" w14:textId="77777777" w:rsidR="00335A34" w:rsidRPr="00941AB0" w:rsidRDefault="00335A34" w:rsidP="00941AB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941AB0">
              <w:rPr>
                <w:rFonts w:ascii="Arial" w:hAnsi="Arial" w:cs="Arial"/>
                <w:b/>
                <w:color w:val="FFFFFF" w:themeColor="background1"/>
              </w:rPr>
              <w:t>72.9%</w:t>
            </w:r>
          </w:p>
        </w:tc>
      </w:tr>
    </w:tbl>
    <w:p w14:paraId="1CF27E30" w14:textId="77777777" w:rsidR="00941AB0" w:rsidRPr="00150C62" w:rsidRDefault="00941AB0" w:rsidP="00941AB0">
      <w:pPr>
        <w:spacing w:after="120" w:line="240" w:lineRule="auto"/>
        <w:rPr>
          <w:rFonts w:ascii="Arial" w:hAnsi="Arial" w:cs="Arial"/>
          <w:sz w:val="28"/>
          <w:szCs w:val="28"/>
        </w:rPr>
      </w:pPr>
    </w:p>
    <w:p w14:paraId="1DDFB089" w14:textId="77777777" w:rsidR="00941AB0" w:rsidRPr="00150C62" w:rsidRDefault="00941AB0" w:rsidP="00941AB0">
      <w:pPr>
        <w:pStyle w:val="Heading1"/>
        <w:spacing w:before="0" w:after="120"/>
        <w:rPr>
          <w:rFonts w:ascii="Arial" w:hAnsi="Arial"/>
          <w:b w:val="0"/>
          <w:szCs w:val="28"/>
        </w:rPr>
      </w:pPr>
      <w:r w:rsidRPr="00150C62">
        <w:rPr>
          <w:rFonts w:ascii="Arial" w:hAnsi="Arial"/>
          <w:b w:val="0"/>
          <w:szCs w:val="28"/>
        </w:rPr>
        <w:t>Notes:</w:t>
      </w:r>
    </w:p>
    <w:p w14:paraId="25DB3236" w14:textId="3512166A" w:rsidR="004E37AE" w:rsidRPr="00941AB0" w:rsidRDefault="004E37AE" w:rsidP="00941AB0">
      <w:pPr>
        <w:numPr>
          <w:ilvl w:val="0"/>
          <w:numId w:val="2"/>
        </w:numPr>
        <w:spacing w:after="120" w:line="276" w:lineRule="auto"/>
        <w:rPr>
          <w:rFonts w:ascii="Arial" w:eastAsia="Times New Roman" w:hAnsi="Arial" w:cs="Arial"/>
          <w:b/>
          <w:bCs/>
          <w:sz w:val="20"/>
          <w:szCs w:val="20"/>
          <w:lang w:val="en" w:eastAsia="en-AU"/>
        </w:rPr>
      </w:pPr>
      <w:r w:rsidRPr="00941AB0">
        <w:rPr>
          <w:rFonts w:ascii="Arial" w:eastAsia="Times New Roman" w:hAnsi="Arial" w:cs="Arial"/>
          <w:b/>
          <w:bCs/>
          <w:sz w:val="20"/>
          <w:szCs w:val="20"/>
          <w:lang w:val="en" w:eastAsia="en-AU"/>
        </w:rPr>
        <w:t>Please note coverage estimates are revised from previous reports with increases in numerator data and finalised population estimates from the ABS in denominator data. This has resulted in an overall increase in National Coverage Estimates for most ERP years.</w:t>
      </w:r>
    </w:p>
    <w:p w14:paraId="6522190E" w14:textId="11F2A1C6" w:rsidR="004E37AE" w:rsidRPr="00941AB0" w:rsidRDefault="004E37AE" w:rsidP="00941AB0">
      <w:pPr>
        <w:numPr>
          <w:ilvl w:val="0"/>
          <w:numId w:val="2"/>
        </w:numPr>
        <w:spacing w:after="120" w:line="276" w:lineRule="auto"/>
        <w:rPr>
          <w:rFonts w:ascii="Arial" w:eastAsia="Times New Roman" w:hAnsi="Arial" w:cs="Arial"/>
          <w:sz w:val="20"/>
          <w:szCs w:val="20"/>
          <w:lang w:val="en" w:eastAsia="en-AU"/>
        </w:rPr>
      </w:pPr>
      <w:r w:rsidRPr="00941AB0">
        <w:rPr>
          <w:rFonts w:ascii="Arial" w:eastAsia="Times New Roman" w:hAnsi="Arial" w:cs="Arial"/>
          <w:sz w:val="20"/>
          <w:szCs w:val="20"/>
          <w:lang w:val="en" w:eastAsia="en-AU"/>
        </w:rPr>
        <w:t>Data extracted from the National HPV Vaccination Program Register (HPV Register) as at 19</w:t>
      </w:r>
      <w:r w:rsidR="00941AB0" w:rsidRPr="00941AB0">
        <w:rPr>
          <w:rFonts w:ascii="Arial" w:eastAsia="Times New Roman" w:hAnsi="Arial" w:cs="Arial"/>
          <w:sz w:val="20"/>
          <w:szCs w:val="20"/>
          <w:lang w:val="en" w:eastAsia="en-AU"/>
        </w:rPr>
        <w:t> January </w:t>
      </w:r>
      <w:r w:rsidRPr="00941AB0">
        <w:rPr>
          <w:rFonts w:ascii="Arial" w:eastAsia="Times New Roman" w:hAnsi="Arial" w:cs="Arial"/>
          <w:sz w:val="20"/>
          <w:szCs w:val="20"/>
          <w:lang w:val="en" w:eastAsia="en-AU"/>
        </w:rPr>
        <w:t xml:space="preserve">2016 and includes females vaccinated between </w:t>
      </w:r>
      <w:r w:rsidR="00941AB0" w:rsidRPr="00941AB0">
        <w:rPr>
          <w:rFonts w:ascii="Arial" w:eastAsia="Times New Roman" w:hAnsi="Arial" w:cs="Arial"/>
          <w:sz w:val="20"/>
          <w:szCs w:val="20"/>
          <w:lang w:val="en" w:eastAsia="en-AU"/>
        </w:rPr>
        <w:t>April</w:t>
      </w:r>
      <w:r w:rsidRPr="00941AB0">
        <w:rPr>
          <w:rFonts w:ascii="Arial" w:eastAsia="Times New Roman" w:hAnsi="Arial" w:cs="Arial"/>
          <w:sz w:val="20"/>
          <w:szCs w:val="20"/>
          <w:lang w:val="en" w:eastAsia="en-AU"/>
        </w:rPr>
        <w:t xml:space="preserve"> 2007 and </w:t>
      </w:r>
      <w:r w:rsidR="00941AB0" w:rsidRPr="00941AB0">
        <w:rPr>
          <w:rFonts w:ascii="Arial" w:eastAsia="Times New Roman" w:hAnsi="Arial" w:cs="Arial"/>
          <w:sz w:val="20"/>
          <w:szCs w:val="20"/>
          <w:lang w:val="en" w:eastAsia="en-AU"/>
        </w:rPr>
        <w:t>December</w:t>
      </w:r>
      <w:r w:rsidRPr="00941AB0">
        <w:rPr>
          <w:rFonts w:ascii="Arial" w:eastAsia="Times New Roman" w:hAnsi="Arial" w:cs="Arial"/>
          <w:sz w:val="20"/>
          <w:szCs w:val="20"/>
          <w:lang w:val="en" w:eastAsia="en-AU"/>
        </w:rPr>
        <w:t xml:space="preserve"> 2015.</w:t>
      </w:r>
    </w:p>
    <w:p w14:paraId="68282D50" w14:textId="2434E46D" w:rsidR="004E37AE" w:rsidRPr="00941AB0" w:rsidRDefault="004E37AE" w:rsidP="00941AB0">
      <w:pPr>
        <w:numPr>
          <w:ilvl w:val="0"/>
          <w:numId w:val="2"/>
        </w:numPr>
        <w:spacing w:after="120" w:line="276" w:lineRule="auto"/>
        <w:rPr>
          <w:rFonts w:ascii="Arial" w:eastAsia="Times New Roman" w:hAnsi="Arial" w:cs="Arial"/>
          <w:sz w:val="20"/>
          <w:szCs w:val="20"/>
          <w:lang w:val="en" w:eastAsia="en-AU"/>
        </w:rPr>
      </w:pPr>
      <w:r w:rsidRPr="00941AB0">
        <w:rPr>
          <w:rFonts w:ascii="Arial" w:eastAsia="Times New Roman" w:hAnsi="Arial" w:cs="Arial"/>
          <w:sz w:val="20"/>
          <w:szCs w:val="20"/>
          <w:lang w:val="en" w:eastAsia="en-AU"/>
        </w:rPr>
        <w:t>Includes doses that comply with the recommended vaccine dosage and administration as per the Australian Immunisation Handbook (up to 3 doses administered at prescribed intervals).</w:t>
      </w:r>
    </w:p>
    <w:p w14:paraId="685F403C" w14:textId="5B14A4D4" w:rsidR="004E37AE" w:rsidRPr="00941AB0" w:rsidRDefault="004E37AE" w:rsidP="00941AB0">
      <w:pPr>
        <w:numPr>
          <w:ilvl w:val="0"/>
          <w:numId w:val="2"/>
        </w:numPr>
        <w:spacing w:after="120" w:line="276" w:lineRule="auto"/>
        <w:rPr>
          <w:rFonts w:ascii="Arial" w:eastAsia="Times New Roman" w:hAnsi="Arial" w:cs="Arial"/>
          <w:sz w:val="20"/>
          <w:szCs w:val="20"/>
          <w:lang w:val="en" w:eastAsia="en-AU"/>
        </w:rPr>
      </w:pPr>
      <w:r w:rsidRPr="00941AB0">
        <w:rPr>
          <w:rFonts w:ascii="Arial" w:eastAsia="Times New Roman" w:hAnsi="Arial" w:cs="Arial"/>
          <w:sz w:val="20"/>
          <w:szCs w:val="20"/>
          <w:lang w:val="en" w:eastAsia="en-AU"/>
        </w:rPr>
        <w:t>Population is Estimated Resident Population (ERP) provided by the Australian Bureau of Statistics (ABS): 2007, 2008, 2009, 2010 &amp; 2011 - Estimated Resident Population on 2012 boundaries (final), females by Single Year of Age 10-40, for all Local Government Areas in Australia - customised reports prepared April 2014.</w:t>
      </w:r>
    </w:p>
    <w:p w14:paraId="29302666" w14:textId="1C2BE59E" w:rsidR="004E37AE" w:rsidRPr="00941AB0" w:rsidRDefault="004E37AE" w:rsidP="00941AB0">
      <w:pPr>
        <w:numPr>
          <w:ilvl w:val="0"/>
          <w:numId w:val="2"/>
        </w:numPr>
        <w:spacing w:after="120" w:line="276" w:lineRule="auto"/>
        <w:rPr>
          <w:rFonts w:ascii="Arial" w:eastAsia="Times New Roman" w:hAnsi="Arial" w:cs="Arial"/>
          <w:sz w:val="20"/>
          <w:szCs w:val="20"/>
          <w:lang w:val="en" w:eastAsia="en-AU"/>
        </w:rPr>
      </w:pPr>
      <w:r w:rsidRPr="00941AB0">
        <w:rPr>
          <w:rFonts w:ascii="Arial" w:eastAsia="Times New Roman" w:hAnsi="Arial" w:cs="Arial"/>
          <w:sz w:val="20"/>
          <w:szCs w:val="20"/>
          <w:lang w:val="en" w:eastAsia="en-AU"/>
        </w:rPr>
        <w:t>Age is age as at date of ERP estimate (30th June) for the specified year.</w:t>
      </w:r>
    </w:p>
    <w:p w14:paraId="373DE069" w14:textId="42044F54" w:rsidR="00303CFB" w:rsidRPr="00941AB0" w:rsidRDefault="004E37AE" w:rsidP="00941AB0">
      <w:pPr>
        <w:numPr>
          <w:ilvl w:val="0"/>
          <w:numId w:val="2"/>
        </w:numPr>
        <w:spacing w:after="120" w:line="276" w:lineRule="auto"/>
        <w:rPr>
          <w:rFonts w:ascii="Arial" w:eastAsia="Times New Roman" w:hAnsi="Arial" w:cs="Arial"/>
          <w:sz w:val="20"/>
          <w:szCs w:val="20"/>
          <w:lang w:val="en" w:eastAsia="en-AU"/>
        </w:rPr>
      </w:pPr>
      <w:r w:rsidRPr="00941AB0">
        <w:rPr>
          <w:rFonts w:ascii="Arial" w:eastAsia="Times New Roman" w:hAnsi="Arial" w:cs="Arial"/>
          <w:sz w:val="20"/>
          <w:szCs w:val="20"/>
          <w:lang w:val="en" w:eastAsia="en-AU"/>
        </w:rPr>
        <w:lastRenderedPageBreak/>
        <w:t>Coverage is calculated as doses administered and reported to the HPV Register/Estimated Resident Population expressed as a percentage.</w:t>
      </w:r>
    </w:p>
    <w:p w14:paraId="5BD6EF50" w14:textId="3A641C16" w:rsidR="004E37AE" w:rsidRPr="00941AB0" w:rsidRDefault="004E37AE" w:rsidP="00941AB0">
      <w:pPr>
        <w:numPr>
          <w:ilvl w:val="0"/>
          <w:numId w:val="2"/>
        </w:numPr>
        <w:spacing w:after="120" w:line="276" w:lineRule="auto"/>
        <w:rPr>
          <w:rFonts w:ascii="Arial" w:eastAsia="Times New Roman" w:hAnsi="Arial" w:cs="Arial"/>
          <w:sz w:val="20"/>
          <w:szCs w:val="20"/>
          <w:lang w:val="en" w:eastAsia="en-AU"/>
        </w:rPr>
      </w:pPr>
      <w:r w:rsidRPr="00941AB0">
        <w:rPr>
          <w:rFonts w:ascii="Arial" w:eastAsia="Times New Roman" w:hAnsi="Arial" w:cs="Arial"/>
          <w:sz w:val="20"/>
          <w:szCs w:val="20"/>
          <w:lang w:val="en" w:eastAsia="en-AU"/>
        </w:rPr>
        <w:t>Excludes consumers who do not wish their details to be recorded on the HPV Register.</w:t>
      </w:r>
    </w:p>
    <w:p w14:paraId="5FA7C1BA" w14:textId="2D965847" w:rsidR="004E37AE" w:rsidRPr="00941AB0" w:rsidRDefault="004E37AE" w:rsidP="00941AB0">
      <w:pPr>
        <w:numPr>
          <w:ilvl w:val="0"/>
          <w:numId w:val="2"/>
        </w:numPr>
        <w:spacing w:after="120" w:line="276" w:lineRule="auto"/>
        <w:rPr>
          <w:rFonts w:ascii="Arial" w:eastAsia="Times New Roman" w:hAnsi="Arial" w:cs="Arial"/>
          <w:sz w:val="20"/>
          <w:szCs w:val="20"/>
          <w:lang w:val="en" w:eastAsia="en-AU"/>
        </w:rPr>
      </w:pPr>
      <w:r w:rsidRPr="00941AB0">
        <w:rPr>
          <w:rFonts w:ascii="Arial" w:eastAsia="Times New Roman" w:hAnsi="Arial" w:cs="Arial"/>
          <w:sz w:val="20"/>
          <w:szCs w:val="20"/>
          <w:lang w:val="en" w:eastAsia="en-AU"/>
        </w:rPr>
        <w:t>The National HPV Vaccination Program initially provided quadrivalent HPV vaccine for all females aged 12-26 years as at mid 2007 (school p</w:t>
      </w:r>
      <w:bookmarkStart w:id="0" w:name="_GoBack"/>
      <w:bookmarkEnd w:id="0"/>
      <w:r w:rsidRPr="00941AB0">
        <w:rPr>
          <w:rFonts w:ascii="Arial" w:eastAsia="Times New Roman" w:hAnsi="Arial" w:cs="Arial"/>
          <w:sz w:val="20"/>
          <w:szCs w:val="20"/>
          <w:lang w:val="en" w:eastAsia="en-AU"/>
        </w:rPr>
        <w:t>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41BFEB77" w14:textId="77777777" w:rsidR="004E37AE" w:rsidRPr="00941AB0" w:rsidRDefault="004E37AE" w:rsidP="00941AB0">
      <w:pPr>
        <w:numPr>
          <w:ilvl w:val="0"/>
          <w:numId w:val="2"/>
        </w:numPr>
        <w:spacing w:after="120" w:line="276" w:lineRule="auto"/>
        <w:rPr>
          <w:rFonts w:ascii="Arial" w:eastAsia="Times New Roman" w:hAnsi="Arial" w:cs="Arial"/>
          <w:sz w:val="20"/>
          <w:szCs w:val="20"/>
          <w:lang w:val="en" w:eastAsia="en-AU"/>
        </w:rPr>
      </w:pPr>
      <w:r w:rsidRPr="00941AB0">
        <w:rPr>
          <w:rFonts w:ascii="Arial" w:eastAsia="Times New Roman" w:hAnsi="Arial" w:cs="Arial"/>
          <w:sz w:val="20"/>
          <w:szCs w:val="20"/>
          <w:lang w:val="en"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w:t>
      </w:r>
      <w:r w:rsidR="00303CFB" w:rsidRPr="00941AB0">
        <w:rPr>
          <w:rFonts w:ascii="Arial" w:eastAsia="Times New Roman" w:hAnsi="Arial" w:cs="Arial"/>
          <w:sz w:val="20"/>
          <w:szCs w:val="20"/>
          <w:lang w:val="en" w:eastAsia="en-AU"/>
        </w:rPr>
        <w:t>.</w:t>
      </w:r>
    </w:p>
    <w:p w14:paraId="7AB90779" w14:textId="77777777" w:rsidR="00280050" w:rsidRPr="00941AB0" w:rsidRDefault="004E37AE" w:rsidP="00941AB0">
      <w:pPr>
        <w:numPr>
          <w:ilvl w:val="0"/>
          <w:numId w:val="2"/>
        </w:numPr>
        <w:spacing w:after="120" w:line="276" w:lineRule="auto"/>
        <w:rPr>
          <w:rFonts w:ascii="Arial" w:eastAsia="Times New Roman" w:hAnsi="Arial" w:cs="Arial"/>
          <w:sz w:val="20"/>
          <w:szCs w:val="20"/>
          <w:lang w:val="en" w:eastAsia="en-AU"/>
        </w:rPr>
      </w:pPr>
      <w:r w:rsidRPr="00941AB0">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941AB0"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867AB"/>
    <w:rsid w:val="000869EE"/>
    <w:rsid w:val="000C04E8"/>
    <w:rsid w:val="00142AB1"/>
    <w:rsid w:val="00266B02"/>
    <w:rsid w:val="00280050"/>
    <w:rsid w:val="00280BF1"/>
    <w:rsid w:val="00303CFB"/>
    <w:rsid w:val="00335A34"/>
    <w:rsid w:val="00457E09"/>
    <w:rsid w:val="004E37AE"/>
    <w:rsid w:val="00573462"/>
    <w:rsid w:val="00850B69"/>
    <w:rsid w:val="00941AB0"/>
    <w:rsid w:val="00A37817"/>
    <w:rsid w:val="00A85ADE"/>
    <w:rsid w:val="00B05A23"/>
    <w:rsid w:val="00B1727D"/>
    <w:rsid w:val="00D319A5"/>
    <w:rsid w:val="00D417A6"/>
    <w:rsid w:val="00DE7AE9"/>
    <w:rsid w:val="00E169D5"/>
    <w:rsid w:val="00F14D6C"/>
    <w:rsid w:val="00FD1B76"/>
    <w:rsid w:val="00FE5D86"/>
    <w:rsid w:val="00FE6316"/>
    <w:rsid w:val="00FF0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4FD8"/>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4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2007</c:v>
                </c:pt>
              </c:strCache>
            </c:strRef>
          </c:tx>
          <c:spPr>
            <a:solidFill>
              <a:schemeClr val="accent1"/>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Sheet1!$B$2:$B$10</c:f>
              <c:numCache>
                <c:formatCode>0.0%</c:formatCode>
                <c:ptCount val="9"/>
                <c:pt idx="0">
                  <c:v>0.73699999999999999</c:v>
                </c:pt>
                <c:pt idx="1">
                  <c:v>0.76700000000000002</c:v>
                </c:pt>
                <c:pt idx="2">
                  <c:v>0.75900000000000001</c:v>
                </c:pt>
                <c:pt idx="3">
                  <c:v>0.748</c:v>
                </c:pt>
                <c:pt idx="4">
                  <c:v>0.68200000000000005</c:v>
                </c:pt>
                <c:pt idx="5">
                  <c:v>0.66300000000000003</c:v>
                </c:pt>
                <c:pt idx="6">
                  <c:v>0.76900000000000002</c:v>
                </c:pt>
                <c:pt idx="7">
                  <c:v>0.61499999999999999</c:v>
                </c:pt>
                <c:pt idx="8">
                  <c:v>0.73799999999999999</c:v>
                </c:pt>
              </c:numCache>
            </c:numRef>
          </c:val>
          <c:extLst>
            <c:ext xmlns:c16="http://schemas.microsoft.com/office/drawing/2014/chart" uri="{C3380CC4-5D6E-409C-BE32-E72D297353CC}">
              <c16:uniqueId val="{00000000-7302-4574-B4C9-71BFFB0B8837}"/>
            </c:ext>
          </c:extLst>
        </c:ser>
        <c:ser>
          <c:idx val="1"/>
          <c:order val="1"/>
          <c:tx>
            <c:strRef>
              <c:f>Sheet1!$C$1</c:f>
              <c:strCache>
                <c:ptCount val="1"/>
                <c:pt idx="0">
                  <c:v>2008</c:v>
                </c:pt>
              </c:strCache>
            </c:strRef>
          </c:tx>
          <c:spPr>
            <a:solidFill>
              <a:schemeClr val="accent2"/>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Sheet1!$C$2:$C$10</c:f>
              <c:numCache>
                <c:formatCode>0.0%</c:formatCode>
                <c:ptCount val="9"/>
                <c:pt idx="0">
                  <c:v>0.74199999999999999</c:v>
                </c:pt>
                <c:pt idx="1">
                  <c:v>0.73399999999999999</c:v>
                </c:pt>
                <c:pt idx="2">
                  <c:v>0.71899999999999997</c:v>
                </c:pt>
                <c:pt idx="3">
                  <c:v>0.73799999999999999</c:v>
                </c:pt>
                <c:pt idx="4">
                  <c:v>0.70899999999999996</c:v>
                </c:pt>
                <c:pt idx="5">
                  <c:v>0.65</c:v>
                </c:pt>
                <c:pt idx="6">
                  <c:v>0.751</c:v>
                </c:pt>
                <c:pt idx="7">
                  <c:v>0.63800000000000001</c:v>
                </c:pt>
                <c:pt idx="8">
                  <c:v>0.72799999999999998</c:v>
                </c:pt>
              </c:numCache>
            </c:numRef>
          </c:val>
          <c:extLst>
            <c:ext xmlns:c16="http://schemas.microsoft.com/office/drawing/2014/chart" uri="{C3380CC4-5D6E-409C-BE32-E72D297353CC}">
              <c16:uniqueId val="{00000001-7302-4574-B4C9-71BFFB0B8837}"/>
            </c:ext>
          </c:extLst>
        </c:ser>
        <c:ser>
          <c:idx val="2"/>
          <c:order val="2"/>
          <c:tx>
            <c:strRef>
              <c:f>Sheet1!$D$1</c:f>
              <c:strCache>
                <c:ptCount val="1"/>
                <c:pt idx="0">
                  <c:v>2009</c:v>
                </c:pt>
              </c:strCache>
            </c:strRef>
          </c:tx>
          <c:spPr>
            <a:solidFill>
              <a:schemeClr val="accent3"/>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Sheet1!$D$2:$D$10</c:f>
              <c:numCache>
                <c:formatCode>0.0%</c:formatCode>
                <c:ptCount val="9"/>
                <c:pt idx="0">
                  <c:v>0.77800000000000002</c:v>
                </c:pt>
                <c:pt idx="1">
                  <c:v>0.73899999999999999</c:v>
                </c:pt>
                <c:pt idx="2">
                  <c:v>0.79800000000000004</c:v>
                </c:pt>
                <c:pt idx="3">
                  <c:v>0.73799999999999999</c:v>
                </c:pt>
                <c:pt idx="4">
                  <c:v>0.73099999999999998</c:v>
                </c:pt>
                <c:pt idx="5">
                  <c:v>0.66200000000000003</c:v>
                </c:pt>
                <c:pt idx="6">
                  <c:v>0.76500000000000001</c:v>
                </c:pt>
                <c:pt idx="7">
                  <c:v>0.63500000000000001</c:v>
                </c:pt>
                <c:pt idx="8">
                  <c:v>0.72899999999999998</c:v>
                </c:pt>
              </c:numCache>
            </c:numRef>
          </c:val>
          <c:extLst>
            <c:ext xmlns:c16="http://schemas.microsoft.com/office/drawing/2014/chart" uri="{C3380CC4-5D6E-409C-BE32-E72D297353CC}">
              <c16:uniqueId val="{00000002-7302-4574-B4C9-71BFFB0B8837}"/>
            </c:ext>
          </c:extLst>
        </c:ser>
        <c:ser>
          <c:idx val="3"/>
          <c:order val="3"/>
          <c:tx>
            <c:strRef>
              <c:f>Sheet1!$E$1</c:f>
              <c:strCache>
                <c:ptCount val="1"/>
                <c:pt idx="0">
                  <c:v>2010</c:v>
                </c:pt>
              </c:strCache>
            </c:strRef>
          </c:tx>
          <c:spPr>
            <a:solidFill>
              <a:schemeClr val="accent4"/>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Sheet1!$E$2:$E$10</c:f>
              <c:numCache>
                <c:formatCode>0.0%</c:formatCode>
                <c:ptCount val="9"/>
                <c:pt idx="0">
                  <c:v>0.79300000000000004</c:v>
                </c:pt>
                <c:pt idx="1">
                  <c:v>0.74</c:v>
                </c:pt>
                <c:pt idx="2">
                  <c:v>0.83299999999999996</c:v>
                </c:pt>
                <c:pt idx="3">
                  <c:v>0.72499999999999998</c:v>
                </c:pt>
                <c:pt idx="4">
                  <c:v>0.70399999999999996</c:v>
                </c:pt>
                <c:pt idx="5">
                  <c:v>0.70099999999999996</c:v>
                </c:pt>
                <c:pt idx="6">
                  <c:v>0.78700000000000003</c:v>
                </c:pt>
                <c:pt idx="7">
                  <c:v>0.63400000000000001</c:v>
                </c:pt>
                <c:pt idx="8">
                  <c:v>0.73499999999999999</c:v>
                </c:pt>
              </c:numCache>
            </c:numRef>
          </c:val>
          <c:extLst>
            <c:ext xmlns:c16="http://schemas.microsoft.com/office/drawing/2014/chart" uri="{C3380CC4-5D6E-409C-BE32-E72D297353CC}">
              <c16:uniqueId val="{00000003-7302-4574-B4C9-71BFFB0B8837}"/>
            </c:ext>
          </c:extLst>
        </c:ser>
        <c:ser>
          <c:idx val="4"/>
          <c:order val="4"/>
          <c:tx>
            <c:strRef>
              <c:f>Sheet1!$F$1</c:f>
              <c:strCache>
                <c:ptCount val="1"/>
                <c:pt idx="0">
                  <c:v>2011</c:v>
                </c:pt>
              </c:strCache>
            </c:strRef>
          </c:tx>
          <c:spPr>
            <a:solidFill>
              <a:schemeClr val="accent5"/>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Sheet1!$F$2:$F$10</c:f>
              <c:numCache>
                <c:formatCode>0.0%</c:formatCode>
                <c:ptCount val="9"/>
                <c:pt idx="0">
                  <c:v>0.74199999999999999</c:v>
                </c:pt>
                <c:pt idx="1">
                  <c:v>0.745</c:v>
                </c:pt>
                <c:pt idx="2">
                  <c:v>0.87</c:v>
                </c:pt>
                <c:pt idx="3">
                  <c:v>0.72399999999999998</c:v>
                </c:pt>
                <c:pt idx="4">
                  <c:v>0.68</c:v>
                </c:pt>
                <c:pt idx="5">
                  <c:v>0.66500000000000004</c:v>
                </c:pt>
                <c:pt idx="6">
                  <c:v>0.76500000000000001</c:v>
                </c:pt>
                <c:pt idx="7">
                  <c:v>0.64600000000000002</c:v>
                </c:pt>
                <c:pt idx="8">
                  <c:v>0.72899999999999998</c:v>
                </c:pt>
              </c:numCache>
            </c:numRef>
          </c:val>
          <c:extLst>
            <c:ext xmlns:c16="http://schemas.microsoft.com/office/drawing/2014/chart" uri="{C3380CC4-5D6E-409C-BE32-E72D297353CC}">
              <c16:uniqueId val="{00000004-7302-4574-B4C9-71BFFB0B8837}"/>
            </c:ext>
          </c:extLst>
        </c:ser>
        <c:dLbls>
          <c:showLegendKey val="0"/>
          <c:showVal val="0"/>
          <c:showCatName val="0"/>
          <c:showSerName val="0"/>
          <c:showPercent val="0"/>
          <c:showBubbleSize val="0"/>
        </c:dLbls>
        <c:gapWidth val="219"/>
        <c:overlap val="-27"/>
        <c:axId val="588107696"/>
        <c:axId val="588107040"/>
      </c:barChart>
      <c:catAx>
        <c:axId val="588107696"/>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a:t>State</a:t>
                </a:r>
              </a:p>
            </c:rich>
          </c:tx>
          <c:layout>
            <c:manualLayout>
              <c:xMode val="edge"/>
              <c:yMode val="edge"/>
              <c:x val="0.46405001458151057"/>
              <c:y val="0.8052374703162105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10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07040"/>
        <c:crosses val="autoZero"/>
        <c:auto val="1"/>
        <c:lblAlgn val="ctr"/>
        <c:lblOffset val="100"/>
        <c:noMultiLvlLbl val="0"/>
      </c:catAx>
      <c:valAx>
        <c:axId val="58810704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a:t>3 Dose HPV Vaccination Coverage</a:t>
                </a:r>
                <a:r>
                  <a:rPr lang="en-AU" sz="1050" baseline="0"/>
                  <a:t> (%)</a:t>
                </a:r>
                <a:endParaRPr lang="en-AU" sz="105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07696"/>
        <c:crossesAt val="1"/>
        <c:crossBetween val="between"/>
      </c:valAx>
      <c:spPr>
        <a:noFill/>
        <a:ln>
          <a:noFill/>
        </a:ln>
        <a:effectLst/>
      </c:spPr>
    </c:plotArea>
    <c:legend>
      <c:legendPos val="b"/>
      <c:layout>
        <c:manualLayout>
          <c:xMode val="edge"/>
          <c:yMode val="edge"/>
          <c:x val="0.30930646689997082"/>
          <c:y val="0.87747969003874515"/>
          <c:w val="0.3906463254593176"/>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10</cp:revision>
  <dcterms:created xsi:type="dcterms:W3CDTF">2019-10-24T03:13:00Z</dcterms:created>
  <dcterms:modified xsi:type="dcterms:W3CDTF">2019-11-04T20:45:00Z</dcterms:modified>
</cp:coreProperties>
</file>