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2B" w:rsidRPr="005219E6" w:rsidRDefault="0086772B" w:rsidP="00121128">
      <w:pPr>
        <w:pBdr>
          <w:bottom w:val="single" w:sz="6" w:space="7" w:color="EEEEEE"/>
        </w:pBdr>
        <w:spacing w:before="300" w:after="120"/>
        <w:outlineLvl w:val="0"/>
        <w:rPr>
          <w:rFonts w:ascii="Open Sans" w:hAnsi="Open Sans" w:cs="Helvetica"/>
          <w:color w:val="111111"/>
          <w:kern w:val="36"/>
          <w:sz w:val="39"/>
          <w:szCs w:val="39"/>
          <w:lang w:val="en" w:eastAsia="en-AU"/>
        </w:rPr>
      </w:pPr>
      <w:bookmarkStart w:id="0" w:name="_GoBack"/>
      <w:r w:rsidRPr="005219E6">
        <w:rPr>
          <w:rFonts w:ascii="Open Sans" w:hAnsi="Open Sans" w:cs="Helvetica"/>
          <w:color w:val="111111"/>
          <w:kern w:val="36"/>
          <w:sz w:val="39"/>
          <w:szCs w:val="39"/>
          <w:lang w:val="en" w:eastAsia="en-AU"/>
        </w:rPr>
        <w:t>National Aboriginal and Torres Strait Islander Flexible Aged Care Program</w:t>
      </w:r>
      <w:r>
        <w:rPr>
          <w:rFonts w:ascii="Open Sans" w:hAnsi="Open Sans" w:cs="Helvetica"/>
          <w:color w:val="111111"/>
          <w:kern w:val="36"/>
          <w:sz w:val="39"/>
          <w:szCs w:val="39"/>
          <w:lang w:val="en" w:eastAsia="en-AU"/>
        </w:rPr>
        <w:t xml:space="preserve"> Entry Pathway</w:t>
      </w:r>
      <w:bookmarkEnd w:id="0"/>
    </w:p>
    <w:p w:rsidR="00121128" w:rsidRDefault="00121128" w:rsidP="00121128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The </w:t>
      </w:r>
      <w:r w:rsidRPr="005219E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National Aboriginal and Torres Strait Islander Flexible Aged Care </w:t>
      </w:r>
      <w:r w:rsidR="001631B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(NATSIFAC) </w:t>
      </w:r>
      <w:r w:rsidRPr="005219E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Program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is a grant funded program and </w:t>
      </w:r>
      <w:r w:rsidRPr="004207E8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is administered outside of the </w:t>
      </w:r>
      <w:r w:rsidRPr="004207E8">
        <w:rPr>
          <w:rFonts w:ascii="Helvetica" w:hAnsi="Helvetica" w:cs="Helvetica"/>
          <w:i/>
          <w:color w:val="222222"/>
          <w:sz w:val="20"/>
          <w:szCs w:val="20"/>
          <w:lang w:val="en" w:eastAsia="en-AU"/>
        </w:rPr>
        <w:t>Aged Care Act 1997</w:t>
      </w:r>
      <w:r w:rsidRPr="004207E8">
        <w:rPr>
          <w:rFonts w:ascii="Helvetica" w:hAnsi="Helvetica" w:cs="Helvetica"/>
          <w:color w:val="222222"/>
          <w:sz w:val="20"/>
          <w:szCs w:val="20"/>
          <w:lang w:val="en" w:eastAsia="en-AU"/>
        </w:rPr>
        <w:t>.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</w:t>
      </w:r>
    </w:p>
    <w:p w:rsidR="00121128" w:rsidRDefault="00121128" w:rsidP="00121128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The Department provides opportunity for </w:t>
      </w:r>
      <w:proofErr w:type="spellStart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organisations</w:t>
      </w:r>
      <w:proofErr w:type="spellEnd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to apply for funding through competitive grant funding rounds.</w:t>
      </w:r>
    </w:p>
    <w:p w:rsidR="00121128" w:rsidRDefault="00121128" w:rsidP="00121128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E81081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The type of selection process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for each competitive funding round is determined by the Department</w:t>
      </w:r>
      <w:r w:rsidRPr="00E81081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and </w:t>
      </w:r>
      <w:r w:rsidRPr="00E81081">
        <w:rPr>
          <w:rFonts w:ascii="Helvetica" w:hAnsi="Helvetica" w:cs="Helvetica"/>
          <w:color w:val="222222"/>
          <w:sz w:val="20"/>
          <w:szCs w:val="20"/>
          <w:lang w:val="en" w:eastAsia="en-AU"/>
        </w:rPr>
        <w:t>guided by Commonwealth Grant Rules and Guidelines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2017 </w:t>
      </w:r>
      <w:r w:rsidRPr="00870CFA">
        <w:rPr>
          <w:rFonts w:ascii="Helvetica" w:hAnsi="Helvetica" w:cs="Helvetica"/>
          <w:color w:val="222222"/>
          <w:sz w:val="20"/>
          <w:szCs w:val="20"/>
          <w:lang w:val="en" w:eastAsia="en-AU"/>
        </w:rPr>
        <w:t>(CGRGs)</w:t>
      </w:r>
      <w:r w:rsidRPr="00E81081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and the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relevant Grant Opportunity Guidelines and can be either open to all </w:t>
      </w:r>
      <w:proofErr w:type="spellStart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organisations</w:t>
      </w:r>
      <w:proofErr w:type="spellEnd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operating in the market or targeted to a specific group of </w:t>
      </w:r>
      <w:proofErr w:type="spellStart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organisations</w:t>
      </w:r>
      <w:proofErr w:type="spellEnd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.</w:t>
      </w:r>
    </w:p>
    <w:p w:rsidR="00121128" w:rsidRDefault="00121128" w:rsidP="00121128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A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targeted</w:t>
      </w: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grant funding round</w:t>
      </w: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is used where there are few providers available due to highly </w:t>
      </w:r>
      <w:proofErr w:type="spellStart"/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>specialised</w:t>
      </w:r>
      <w:proofErr w:type="spellEnd"/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services </w:t>
      </w:r>
      <w:r w:rsid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or </w:t>
      </w:r>
      <w:r w:rsidR="003A4496"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specific expertise </w:t>
      </w:r>
      <w:r w:rsid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>being required or</w:t>
      </w: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geographical considerations</w:t>
      </w:r>
      <w:r w:rsid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. </w:t>
      </w: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A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targeted </w:t>
      </w: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grant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funding </w:t>
      </w: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round is competitive,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and provides opportunity for eligible </w:t>
      </w:r>
      <w:proofErr w:type="spellStart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organisation</w:t>
      </w:r>
      <w:proofErr w:type="spellEnd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to submit an application for funding based on specific requirements.</w:t>
      </w: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</w:t>
      </w:r>
    </w:p>
    <w:p w:rsidR="00121128" w:rsidRDefault="00121128" w:rsidP="00121128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The final selection of a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new </w:t>
      </w:r>
      <w:proofErr w:type="spellStart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organisation</w:t>
      </w:r>
      <w:proofErr w:type="spellEnd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to receive funding under the </w:t>
      </w:r>
      <w:r w:rsid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NATSIFAC </w:t>
      </w:r>
      <w:r w:rsidR="009B6F77">
        <w:rPr>
          <w:rFonts w:ascii="Helvetica" w:hAnsi="Helvetica" w:cs="Helvetica"/>
          <w:color w:val="222222"/>
          <w:sz w:val="20"/>
          <w:szCs w:val="20"/>
          <w:lang w:val="en" w:eastAsia="en-AU"/>
        </w:rPr>
        <w:t>Program</w:t>
      </w:r>
      <w:r w:rsidRPr="007850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will have regard to the following:</w:t>
      </w:r>
    </w:p>
    <w:p w:rsidR="00121128" w:rsidRDefault="00121128" w:rsidP="003A4496">
      <w:pPr>
        <w:pStyle w:val="ListParagraph"/>
        <w:numPr>
          <w:ilvl w:val="0"/>
          <w:numId w:val="2"/>
        </w:num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the overall capacity of the </w:t>
      </w:r>
      <w:proofErr w:type="spellStart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>organisation</w:t>
      </w:r>
      <w:proofErr w:type="spellEnd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to ensure that the objective/s and outcomes of the Program will be met, including a capable and appropriately skilled workforce;</w:t>
      </w:r>
    </w:p>
    <w:p w:rsidR="00121128" w:rsidRDefault="00121128" w:rsidP="003A4496">
      <w:pPr>
        <w:pStyle w:val="ListParagraph"/>
        <w:numPr>
          <w:ilvl w:val="0"/>
          <w:numId w:val="2"/>
        </w:num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>community commitment and engagement;</w:t>
      </w:r>
    </w:p>
    <w:p w:rsidR="00121128" w:rsidRDefault="00121128" w:rsidP="003A4496">
      <w:pPr>
        <w:pStyle w:val="ListParagraph"/>
        <w:numPr>
          <w:ilvl w:val="0"/>
          <w:numId w:val="2"/>
        </w:num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>the geographical location where the services will be delivered;</w:t>
      </w:r>
    </w:p>
    <w:p w:rsidR="00121128" w:rsidRDefault="00121128" w:rsidP="003A4496">
      <w:pPr>
        <w:pStyle w:val="ListParagraph"/>
        <w:numPr>
          <w:ilvl w:val="0"/>
          <w:numId w:val="2"/>
        </w:num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>the location of other mainstream health/aged care services, such as Primary Health Care, the Commonwealth Home Support Program, Home Care Packages Program and/or respite services;</w:t>
      </w:r>
    </w:p>
    <w:p w:rsidR="00121128" w:rsidRDefault="00121128" w:rsidP="003A4496">
      <w:pPr>
        <w:pStyle w:val="ListParagraph"/>
        <w:numPr>
          <w:ilvl w:val="0"/>
          <w:numId w:val="2"/>
        </w:num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the capacity of the </w:t>
      </w:r>
      <w:proofErr w:type="spellStart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>organisation</w:t>
      </w:r>
      <w:proofErr w:type="spellEnd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to deliver services that are sensitive to the needs of the local Aboriginal and Torres Strait Islander communities;</w:t>
      </w:r>
    </w:p>
    <w:p w:rsidR="00121128" w:rsidRDefault="00121128" w:rsidP="003A4496">
      <w:pPr>
        <w:pStyle w:val="ListParagraph"/>
        <w:numPr>
          <w:ilvl w:val="0"/>
          <w:numId w:val="2"/>
        </w:num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the ability of the </w:t>
      </w:r>
      <w:proofErr w:type="spellStart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>organisation</w:t>
      </w:r>
      <w:proofErr w:type="spellEnd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to meet regulatory and legislative requirements;</w:t>
      </w:r>
    </w:p>
    <w:p w:rsidR="00121128" w:rsidRPr="003A4496" w:rsidRDefault="00121128" w:rsidP="003A4496">
      <w:pPr>
        <w:pStyle w:val="ListParagraph"/>
        <w:numPr>
          <w:ilvl w:val="0"/>
          <w:numId w:val="2"/>
        </w:num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</w:t>
      </w:r>
      <w:proofErr w:type="gramStart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>the</w:t>
      </w:r>
      <w:proofErr w:type="gramEnd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capacity of the </w:t>
      </w:r>
      <w:proofErr w:type="spellStart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>organisation</w:t>
      </w:r>
      <w:proofErr w:type="spellEnd"/>
      <w:r w:rsidRPr="003A4496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to deliver care over a sustained period.</w:t>
      </w:r>
    </w:p>
    <w:p w:rsidR="00901F5C" w:rsidRPr="00901F5C" w:rsidRDefault="00121128" w:rsidP="00121128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u w:val="single"/>
          <w:lang w:val="en" w:eastAsia="en-AU"/>
        </w:rPr>
      </w:pP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More details on the </w:t>
      </w:r>
      <w:r w:rsidRPr="0007415C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requirements of the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NATSIFAC</w:t>
      </w:r>
      <w:r w:rsidRPr="0007415C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Program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can be found in the </w:t>
      </w:r>
      <w:hyperlink r:id="rId6" w:history="1">
        <w:r w:rsidR="00901F5C">
          <w:rPr>
            <w:rStyle w:val="Hyperlink"/>
            <w:rFonts w:ascii="Helvetica" w:hAnsi="Helvetica" w:cs="Helvetica"/>
            <w:sz w:val="20"/>
            <w:szCs w:val="20"/>
            <w:lang w:val="en" w:eastAsia="en-AU"/>
          </w:rPr>
          <w:t>Program Manual</w:t>
        </w:r>
      </w:hyperlink>
    </w:p>
    <w:p w:rsidR="00121128" w:rsidRPr="0007415C" w:rsidRDefault="00121128" w:rsidP="00121128">
      <w:pPr>
        <w:spacing w:after="240" w:line="300" w:lineRule="atLeast"/>
        <w:rPr>
          <w:rFonts w:ascii="Helvetica" w:hAnsi="Helvetica" w:cs="Helvetica"/>
          <w:b/>
          <w:color w:val="222222"/>
          <w:sz w:val="20"/>
          <w:szCs w:val="20"/>
          <w:lang w:val="en" w:eastAsia="en-AU"/>
        </w:rPr>
      </w:pPr>
      <w:r w:rsidRPr="0007415C">
        <w:rPr>
          <w:rFonts w:ascii="Helvetica" w:hAnsi="Helvetica" w:cs="Helvetica"/>
          <w:b/>
          <w:color w:val="222222"/>
          <w:sz w:val="20"/>
          <w:szCs w:val="20"/>
          <w:lang w:val="en" w:eastAsia="en-AU"/>
        </w:rPr>
        <w:t>Where are grant opportunities advertised?</w:t>
      </w:r>
    </w:p>
    <w:p w:rsidR="009B6F77" w:rsidRDefault="009B6F77" w:rsidP="009B6F77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 w:rsidRPr="009F7239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All open grant funding processes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are</w:t>
      </w:r>
      <w:r w:rsidRPr="009F7239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advertised on the </w:t>
      </w:r>
      <w:proofErr w:type="spellStart"/>
      <w:r w:rsidRPr="009F7239">
        <w:rPr>
          <w:rFonts w:ascii="Helvetica" w:hAnsi="Helvetica" w:cs="Helvetica"/>
          <w:color w:val="222222"/>
          <w:sz w:val="20"/>
          <w:szCs w:val="20"/>
          <w:lang w:val="en" w:eastAsia="en-AU"/>
        </w:rPr>
        <w:t>GrantConnect</w:t>
      </w:r>
      <w:proofErr w:type="spellEnd"/>
      <w:r w:rsidRPr="009F7239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website as the authoritative source. Grant processes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are</w:t>
      </w:r>
      <w:r w:rsidRPr="009F7239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not published on 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the Department’s</w:t>
      </w:r>
      <w:r w:rsidRPr="009F7239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website, or any other location. </w:t>
      </w:r>
    </w:p>
    <w:p w:rsidR="00121128" w:rsidRDefault="00121128" w:rsidP="00121128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proofErr w:type="spellStart"/>
      <w:r w:rsidRPr="00870CFA">
        <w:rPr>
          <w:rFonts w:ascii="Helvetica" w:hAnsi="Helvetica" w:cs="Helvetica"/>
          <w:color w:val="222222"/>
          <w:sz w:val="20"/>
          <w:szCs w:val="20"/>
          <w:lang w:val="en" w:eastAsia="en-AU"/>
        </w:rPr>
        <w:t>GrantConnect</w:t>
      </w:r>
      <w:proofErr w:type="spellEnd"/>
      <w:r w:rsidRPr="00870CFA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is the Australian Government’s whole-of-government grants information system, which </w:t>
      </w:r>
      <w:proofErr w:type="spellStart"/>
      <w:r w:rsidRPr="00870CFA">
        <w:rPr>
          <w:rFonts w:ascii="Helvetica" w:hAnsi="Helvetica" w:cs="Helvetica"/>
          <w:color w:val="222222"/>
          <w:sz w:val="20"/>
          <w:szCs w:val="20"/>
          <w:lang w:val="en" w:eastAsia="en-AU"/>
        </w:rPr>
        <w:t>centralises</w:t>
      </w:r>
      <w:proofErr w:type="spellEnd"/>
      <w:r w:rsidRPr="00870CFA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the publication and reporting of Commonwealth grants in accordance with the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</w:t>
      </w:r>
      <w:r w:rsidRPr="00870CFA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CGRGs. It is available at </w:t>
      </w:r>
      <w:hyperlink r:id="rId7" w:history="1">
        <w:proofErr w:type="spellStart"/>
        <w:r w:rsidR="007871F4">
          <w:rPr>
            <w:rStyle w:val="Hyperlink"/>
            <w:rFonts w:ascii="Helvetica" w:hAnsi="Helvetica" w:cs="Helvetica"/>
            <w:sz w:val="20"/>
            <w:szCs w:val="20"/>
            <w:lang w:val="en" w:eastAsia="en-AU"/>
          </w:rPr>
          <w:t>GrantConnect</w:t>
        </w:r>
        <w:proofErr w:type="spellEnd"/>
      </w:hyperlink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. </w:t>
      </w:r>
    </w:p>
    <w:p w:rsidR="00121128" w:rsidRDefault="00121128" w:rsidP="00121128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The Department recommends</w:t>
      </w:r>
      <w:r w:rsidRPr="00BD09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that any interested age care providers, register their interest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on the </w:t>
      </w:r>
      <w:proofErr w:type="spellStart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GrantConnect</w:t>
      </w:r>
      <w:proofErr w:type="spellEnd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website</w:t>
      </w:r>
      <w:r w:rsidRPr="00BD09CE"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to receive notifications of grant opportunities as they arise.</w:t>
      </w: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</w:t>
      </w:r>
    </w:p>
    <w:p w:rsidR="00BD09CE" w:rsidRPr="00BE20B1" w:rsidRDefault="00121128" w:rsidP="00121128">
      <w:pPr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val="en" w:eastAsia="en-AU"/>
        </w:rPr>
      </w:pPr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To register on the </w:t>
      </w:r>
      <w:proofErr w:type="spellStart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>GrantConnect</w:t>
      </w:r>
      <w:proofErr w:type="spellEnd"/>
      <w:r>
        <w:rPr>
          <w:rFonts w:ascii="Helvetica" w:hAnsi="Helvetica" w:cs="Helvetica"/>
          <w:color w:val="222222"/>
          <w:sz w:val="20"/>
          <w:szCs w:val="20"/>
          <w:lang w:val="en" w:eastAsia="en-AU"/>
        </w:rPr>
        <w:t xml:space="preserve"> website, click on the New User Registration button (top right hand corner) and enter your details.</w:t>
      </w:r>
    </w:p>
    <w:sectPr w:rsidR="00BD09CE" w:rsidRPr="00BE20B1" w:rsidSect="00121128">
      <w:pgSz w:w="11906" w:h="16838"/>
      <w:pgMar w:top="709" w:right="14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E68"/>
    <w:multiLevelType w:val="hybridMultilevel"/>
    <w:tmpl w:val="02164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75C53"/>
    <w:multiLevelType w:val="hybridMultilevel"/>
    <w:tmpl w:val="3BDAA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2B"/>
    <w:rsid w:val="00003743"/>
    <w:rsid w:val="000355BD"/>
    <w:rsid w:val="00041F62"/>
    <w:rsid w:val="00067456"/>
    <w:rsid w:val="00121128"/>
    <w:rsid w:val="00152DA7"/>
    <w:rsid w:val="001631B6"/>
    <w:rsid w:val="00186001"/>
    <w:rsid w:val="001B3443"/>
    <w:rsid w:val="002F3AE3"/>
    <w:rsid w:val="0030786C"/>
    <w:rsid w:val="003A4496"/>
    <w:rsid w:val="003D17F9"/>
    <w:rsid w:val="00467162"/>
    <w:rsid w:val="004867E2"/>
    <w:rsid w:val="00522CC3"/>
    <w:rsid w:val="00531344"/>
    <w:rsid w:val="00675DF6"/>
    <w:rsid w:val="006D53F9"/>
    <w:rsid w:val="007850CE"/>
    <w:rsid w:val="007871F4"/>
    <w:rsid w:val="008264EB"/>
    <w:rsid w:val="0086772B"/>
    <w:rsid w:val="00870CFA"/>
    <w:rsid w:val="00901F5C"/>
    <w:rsid w:val="00957EA3"/>
    <w:rsid w:val="00982D5A"/>
    <w:rsid w:val="009B6F77"/>
    <w:rsid w:val="009F7239"/>
    <w:rsid w:val="00A4512D"/>
    <w:rsid w:val="00A705AF"/>
    <w:rsid w:val="00B42851"/>
    <w:rsid w:val="00BD09CE"/>
    <w:rsid w:val="00BE20B1"/>
    <w:rsid w:val="00CB5B1A"/>
    <w:rsid w:val="00D43AD9"/>
    <w:rsid w:val="00E81081"/>
    <w:rsid w:val="00E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72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Default">
    <w:name w:val="Default"/>
    <w:rsid w:val="007850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723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7239"/>
    <w:rPr>
      <w:rFonts w:ascii="Calibri" w:eastAsiaTheme="minorHAnsi" w:hAnsi="Calibri" w:cs="Consolas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9F7239"/>
    <w:rPr>
      <w:color w:val="0000FF"/>
      <w:u w:val="single"/>
    </w:rPr>
  </w:style>
  <w:style w:type="character" w:styleId="FollowedHyperlink">
    <w:name w:val="FollowedHyperlink"/>
    <w:basedOn w:val="DefaultParagraphFont"/>
    <w:rsid w:val="00E878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72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Default">
    <w:name w:val="Default"/>
    <w:rsid w:val="007850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723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7239"/>
    <w:rPr>
      <w:rFonts w:ascii="Calibri" w:eastAsiaTheme="minorHAnsi" w:hAnsi="Calibri" w:cs="Consolas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9F7239"/>
    <w:rPr>
      <w:color w:val="0000FF"/>
      <w:u w:val="single"/>
    </w:rPr>
  </w:style>
  <w:style w:type="character" w:styleId="FollowedHyperlink">
    <w:name w:val="FollowedHyperlink"/>
    <w:basedOn w:val="DefaultParagraphFont"/>
    <w:rsid w:val="00E878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nts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edcare.health.gov.au/national-aboriginal-and-torres-strait-islander-flexible-aged-care-program-natsifacp-guideli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2577</Characters>
  <Application>Microsoft Office Word</Application>
  <DocSecurity>0</DocSecurity>
  <Lines>56</Lines>
  <Paragraphs>32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Aboriginal and Torres Strait Islander Flexible Aged Care Program Entry Pathway</dc:title>
  <dc:creator/>
  <cp:lastModifiedBy/>
  <cp:revision>1</cp:revision>
  <dcterms:created xsi:type="dcterms:W3CDTF">2018-08-28T23:32:00Z</dcterms:created>
  <dcterms:modified xsi:type="dcterms:W3CDTF">2018-08-28T23:32:00Z</dcterms:modified>
</cp:coreProperties>
</file>