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E6FD7" w14:textId="77777777" w:rsidR="00523060" w:rsidRDefault="004A602E" w:rsidP="000A4A05">
      <w:pPr>
        <w:pStyle w:val="Title"/>
        <w:jc w:val="left"/>
        <w:rPr>
          <w:rFonts w:ascii="Arial" w:hAnsi="Arial" w:cs="Arial"/>
          <w:b w:val="0"/>
          <w:lang w:val="en"/>
        </w:rPr>
      </w:pPr>
      <w:r w:rsidRPr="000A4A05">
        <w:rPr>
          <w:rFonts w:ascii="Arial" w:hAnsi="Arial" w:cs="Arial"/>
          <w:b w:val="0"/>
          <w:lang w:val="en"/>
        </w:rPr>
        <w:t xml:space="preserve">National </w:t>
      </w:r>
      <w:r w:rsidR="00B3507C" w:rsidRPr="000A4A05">
        <w:rPr>
          <w:rFonts w:ascii="Arial" w:hAnsi="Arial" w:cs="Arial"/>
          <w:b w:val="0"/>
          <w:lang w:val="en"/>
        </w:rPr>
        <w:t>HPV</w:t>
      </w:r>
      <w:r w:rsidRPr="000A4A05">
        <w:rPr>
          <w:rFonts w:ascii="Arial" w:hAnsi="Arial" w:cs="Arial"/>
          <w:b w:val="0"/>
          <w:lang w:val="en"/>
        </w:rPr>
        <w:t xml:space="preserve"> 3 dose vaccination coverage</w:t>
      </w:r>
      <w:r w:rsidR="00B3507C" w:rsidRPr="000A4A05">
        <w:rPr>
          <w:rFonts w:ascii="Arial" w:hAnsi="Arial" w:cs="Arial"/>
          <w:b w:val="0"/>
          <w:lang w:val="en"/>
        </w:rPr>
        <w:t xml:space="preserve"> for f</w:t>
      </w:r>
      <w:r w:rsidRPr="000A4A05">
        <w:rPr>
          <w:rFonts w:ascii="Arial" w:hAnsi="Arial" w:cs="Arial"/>
          <w:b w:val="0"/>
          <w:lang w:val="en"/>
        </w:rPr>
        <w:t>emales</w:t>
      </w:r>
      <w:r w:rsidR="0040180F">
        <w:rPr>
          <w:rFonts w:ascii="Arial" w:hAnsi="Arial" w:cs="Arial"/>
          <w:b w:val="0"/>
          <w:lang w:val="en"/>
        </w:rPr>
        <w:t xml:space="preserve"> turning 15 </w:t>
      </w:r>
      <w:r w:rsidR="001223A8" w:rsidRPr="000A4A05">
        <w:rPr>
          <w:rFonts w:ascii="Arial" w:hAnsi="Arial" w:cs="Arial"/>
          <w:b w:val="0"/>
          <w:lang w:val="en"/>
        </w:rPr>
        <w:t>years of age in 2013</w:t>
      </w:r>
    </w:p>
    <w:p w14:paraId="42759473" w14:textId="77777777" w:rsidR="000A4A05" w:rsidRPr="00EC5BC7" w:rsidRDefault="000A4A05" w:rsidP="0040180F">
      <w:pPr>
        <w:spacing w:after="120" w:line="240" w:lineRule="auto"/>
        <w:rPr>
          <w:lang w:val="en"/>
        </w:rPr>
      </w:pPr>
    </w:p>
    <w:p w14:paraId="33CCD7AB" w14:textId="2457C9DA" w:rsidR="00523060" w:rsidRPr="00EC5BC7" w:rsidRDefault="00523060" w:rsidP="0040180F">
      <w:pPr>
        <w:pStyle w:val="Caption"/>
        <w:spacing w:after="120" w:line="240" w:lineRule="auto"/>
        <w:rPr>
          <w:rFonts w:ascii="Arial" w:hAnsi="Arial" w:cs="Arial"/>
          <w:b w:val="0"/>
          <w:sz w:val="24"/>
          <w:szCs w:val="24"/>
        </w:rPr>
      </w:pPr>
      <w:r w:rsidRPr="00EC5BC7">
        <w:rPr>
          <w:rFonts w:ascii="Arial" w:hAnsi="Arial" w:cs="Arial"/>
          <w:b w:val="0"/>
          <w:sz w:val="24"/>
          <w:szCs w:val="24"/>
        </w:rPr>
        <w:t xml:space="preserve">Graph </w:t>
      </w:r>
      <w:r w:rsidRPr="00EC5BC7">
        <w:rPr>
          <w:rFonts w:ascii="Arial" w:hAnsi="Arial" w:cs="Arial"/>
          <w:b w:val="0"/>
          <w:sz w:val="24"/>
          <w:szCs w:val="24"/>
        </w:rPr>
        <w:fldChar w:fldCharType="begin"/>
      </w:r>
      <w:r w:rsidRPr="00EC5BC7">
        <w:rPr>
          <w:rFonts w:ascii="Arial" w:hAnsi="Arial" w:cs="Arial"/>
          <w:b w:val="0"/>
          <w:sz w:val="24"/>
          <w:szCs w:val="24"/>
        </w:rPr>
        <w:instrText xml:space="preserve"> SEQ Graph \* ARABIC </w:instrText>
      </w:r>
      <w:r w:rsidRPr="00EC5BC7">
        <w:rPr>
          <w:rFonts w:ascii="Arial" w:hAnsi="Arial" w:cs="Arial"/>
          <w:b w:val="0"/>
          <w:sz w:val="24"/>
          <w:szCs w:val="24"/>
        </w:rPr>
        <w:fldChar w:fldCharType="separate"/>
      </w:r>
      <w:r w:rsidR="00E86D65" w:rsidRPr="00EC5BC7">
        <w:rPr>
          <w:rFonts w:ascii="Arial" w:hAnsi="Arial" w:cs="Arial"/>
          <w:b w:val="0"/>
          <w:sz w:val="24"/>
          <w:szCs w:val="24"/>
        </w:rPr>
        <w:t>1</w:t>
      </w:r>
      <w:r w:rsidRPr="00EC5BC7">
        <w:rPr>
          <w:rFonts w:ascii="Arial" w:hAnsi="Arial" w:cs="Arial"/>
          <w:b w:val="0"/>
          <w:sz w:val="24"/>
          <w:szCs w:val="24"/>
        </w:rPr>
        <w:fldChar w:fldCharType="end"/>
      </w:r>
      <w:r w:rsidR="00B3507C" w:rsidRPr="00EC5BC7">
        <w:rPr>
          <w:rFonts w:ascii="Arial" w:hAnsi="Arial" w:cs="Arial"/>
          <w:b w:val="0"/>
          <w:sz w:val="24"/>
          <w:szCs w:val="24"/>
        </w:rPr>
        <w:t>. HPV 3 dose</w:t>
      </w:r>
      <w:r w:rsidRPr="00EC5BC7">
        <w:rPr>
          <w:rFonts w:ascii="Arial" w:hAnsi="Arial" w:cs="Arial"/>
          <w:b w:val="0"/>
          <w:sz w:val="24"/>
          <w:szCs w:val="24"/>
        </w:rPr>
        <w:t xml:space="preserve"> vaccination coverage </w:t>
      </w:r>
      <w:r w:rsidR="001374D5">
        <w:rPr>
          <w:rFonts w:ascii="Arial" w:hAnsi="Arial" w:cs="Arial"/>
          <w:b w:val="0"/>
          <w:sz w:val="24"/>
          <w:szCs w:val="24"/>
        </w:rPr>
        <w:t>for</w:t>
      </w:r>
      <w:r w:rsidRPr="00EC5BC7">
        <w:rPr>
          <w:rFonts w:ascii="Arial" w:hAnsi="Arial" w:cs="Arial"/>
          <w:b w:val="0"/>
          <w:sz w:val="24"/>
          <w:szCs w:val="24"/>
        </w:rPr>
        <w:t xml:space="preserve"> females turning 15 years of age in 201</w:t>
      </w:r>
      <w:r w:rsidR="001223A8" w:rsidRPr="00EC5BC7">
        <w:rPr>
          <w:rFonts w:ascii="Arial" w:hAnsi="Arial" w:cs="Arial"/>
          <w:b w:val="0"/>
          <w:sz w:val="24"/>
          <w:szCs w:val="24"/>
        </w:rPr>
        <w:t>3</w:t>
      </w:r>
      <w:r w:rsidRPr="00EC5BC7">
        <w:rPr>
          <w:rFonts w:ascii="Arial" w:hAnsi="Arial" w:cs="Arial"/>
          <w:b w:val="0"/>
          <w:sz w:val="24"/>
          <w:szCs w:val="24"/>
        </w:rPr>
        <w:t>.</w:t>
      </w:r>
    </w:p>
    <w:p w14:paraId="547A976F" w14:textId="77777777" w:rsidR="004A602E" w:rsidRPr="00EC5BC7" w:rsidRDefault="004A602E" w:rsidP="0040180F">
      <w:pPr>
        <w:spacing w:after="120" w:line="240" w:lineRule="auto"/>
      </w:pPr>
      <w:r w:rsidRPr="00EC5BC7">
        <w:rPr>
          <w:noProof/>
          <w:lang w:eastAsia="en-AU"/>
        </w:rPr>
        <w:drawing>
          <wp:inline distT="0" distB="0" distL="0" distR="0" wp14:anchorId="25FE51E7" wp14:editId="39F973B4">
            <wp:extent cx="6188927" cy="3311913"/>
            <wp:effectExtent l="0" t="0" r="2540" b="3175"/>
            <wp:docPr id="1" name="Chart 1" descr="Three dose human papillomavirus vaccination coverage in 15 year old females in 2013&#10;Australian Capital Territory: 71.4%&#10;New South Wales: 69.3%&#10;Northern Territory: 86.4%&#10;Queensland: 72.1%&#10;South Australia: 73.4%&#10;Tasmania: 65.9%&#10;Victoria: 75.2%&#10;Western Australia: 72.7%&#10;Australia: 72.1%" title="3 Dose human papillomavirus vaccination coverage in females turning 15 years of age in 2013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p w14:paraId="7E104EC5" w14:textId="77777777" w:rsidR="004A602E" w:rsidRDefault="004A602E" w:rsidP="0040180F">
      <w:pPr>
        <w:spacing w:after="120" w:line="240" w:lineRule="auto"/>
      </w:pPr>
    </w:p>
    <w:p w14:paraId="554DA319" w14:textId="29550585" w:rsidR="001374D5" w:rsidRDefault="00EC5BC7" w:rsidP="001374D5">
      <w:pPr>
        <w:pStyle w:val="Caption"/>
        <w:spacing w:after="120" w:line="240" w:lineRule="auto"/>
        <w:rPr>
          <w:rFonts w:ascii="Arial" w:hAnsi="Arial" w:cs="Arial"/>
          <w:b w:val="0"/>
          <w:sz w:val="24"/>
          <w:szCs w:val="24"/>
        </w:rPr>
      </w:pPr>
      <w:r w:rsidRPr="00F71059">
        <w:rPr>
          <w:rFonts w:ascii="Arial" w:hAnsi="Arial" w:cs="Arial"/>
          <w:b w:val="0"/>
          <w:sz w:val="24"/>
          <w:szCs w:val="24"/>
        </w:rPr>
        <w:t xml:space="preserve">Table </w:t>
      </w:r>
      <w:r w:rsidRPr="00F71059">
        <w:rPr>
          <w:rFonts w:ascii="Arial" w:hAnsi="Arial" w:cs="Arial"/>
          <w:b w:val="0"/>
          <w:sz w:val="24"/>
          <w:szCs w:val="24"/>
        </w:rPr>
        <w:fldChar w:fldCharType="begin"/>
      </w:r>
      <w:r w:rsidRPr="00F71059">
        <w:rPr>
          <w:rFonts w:ascii="Arial" w:hAnsi="Arial" w:cs="Arial"/>
          <w:b w:val="0"/>
          <w:sz w:val="24"/>
          <w:szCs w:val="24"/>
        </w:rPr>
        <w:instrText xml:space="preserve"> SEQ Table \* ARABIC </w:instrText>
      </w:r>
      <w:r w:rsidRPr="00F71059">
        <w:rPr>
          <w:rFonts w:ascii="Arial" w:hAnsi="Arial" w:cs="Arial"/>
          <w:b w:val="0"/>
          <w:sz w:val="24"/>
          <w:szCs w:val="24"/>
        </w:rPr>
        <w:fldChar w:fldCharType="separate"/>
      </w:r>
      <w:r w:rsidRPr="00F71059">
        <w:rPr>
          <w:rFonts w:ascii="Arial" w:hAnsi="Arial" w:cs="Arial"/>
          <w:b w:val="0"/>
          <w:sz w:val="24"/>
          <w:szCs w:val="24"/>
        </w:rPr>
        <w:t>1</w:t>
      </w:r>
      <w:r w:rsidRPr="00F71059">
        <w:rPr>
          <w:rFonts w:ascii="Arial" w:hAnsi="Arial" w:cs="Arial"/>
          <w:b w:val="0"/>
          <w:sz w:val="24"/>
          <w:szCs w:val="24"/>
        </w:rPr>
        <w:fldChar w:fldCharType="end"/>
      </w:r>
      <w:r w:rsidRPr="00F71059">
        <w:rPr>
          <w:rFonts w:ascii="Arial" w:hAnsi="Arial" w:cs="Arial"/>
          <w:b w:val="0"/>
          <w:sz w:val="24"/>
          <w:szCs w:val="24"/>
        </w:rPr>
        <w:t xml:space="preserve">. HPV 3 dose vaccination coverage </w:t>
      </w:r>
      <w:r w:rsidR="001374D5">
        <w:rPr>
          <w:rFonts w:ascii="Arial" w:hAnsi="Arial" w:cs="Arial"/>
          <w:b w:val="0"/>
          <w:sz w:val="24"/>
          <w:szCs w:val="24"/>
        </w:rPr>
        <w:t>for</w:t>
      </w:r>
      <w:r w:rsidRPr="00F71059">
        <w:rPr>
          <w:rFonts w:ascii="Arial" w:hAnsi="Arial" w:cs="Arial"/>
          <w:b w:val="0"/>
          <w:sz w:val="24"/>
          <w:szCs w:val="24"/>
        </w:rPr>
        <w:t xml:space="preserve"> females turning 15 years of age in 201</w:t>
      </w:r>
      <w:r>
        <w:rPr>
          <w:rFonts w:ascii="Arial" w:hAnsi="Arial" w:cs="Arial"/>
          <w:b w:val="0"/>
          <w:sz w:val="24"/>
          <w:szCs w:val="24"/>
        </w:rPr>
        <w:t>3</w:t>
      </w:r>
      <w:r w:rsidRPr="00F71059">
        <w:rPr>
          <w:rFonts w:ascii="Arial" w:hAnsi="Arial" w:cs="Arial"/>
          <w:b w:val="0"/>
          <w:sz w:val="24"/>
          <w:szCs w:val="24"/>
        </w:rPr>
        <w:t>.</w:t>
      </w:r>
    </w:p>
    <w:tbl>
      <w:tblPr>
        <w:tblStyle w:val="GridTable4-Accent51"/>
        <w:tblW w:w="10541" w:type="dxa"/>
        <w:tblInd w:w="-31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817"/>
        <w:gridCol w:w="1594"/>
        <w:gridCol w:w="1159"/>
        <w:gridCol w:w="1160"/>
        <w:gridCol w:w="1160"/>
        <w:gridCol w:w="1159"/>
        <w:gridCol w:w="1160"/>
        <w:gridCol w:w="1160"/>
        <w:gridCol w:w="1172"/>
      </w:tblGrid>
      <w:tr w:rsidR="001374D5" w:rsidRPr="00602C38" w14:paraId="486332CF" w14:textId="77777777" w:rsidTr="000D2131">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E76E175" w14:textId="77777777" w:rsidR="001374D5" w:rsidRPr="00B0371D" w:rsidRDefault="001374D5" w:rsidP="00FB1168">
            <w:pPr>
              <w:spacing w:after="0" w:line="240" w:lineRule="auto"/>
              <w:rPr>
                <w:rFonts w:ascii="Arial" w:hAnsi="Arial" w:cs="Arial"/>
                <w:sz w:val="22"/>
                <w:szCs w:val="22"/>
              </w:rPr>
            </w:pPr>
            <w:bookmarkStart w:id="1" w:name="_Hlk23805554"/>
            <w:r w:rsidRPr="00B0371D">
              <w:rPr>
                <w:rFonts w:ascii="Arial" w:hAnsi="Arial" w:cs="Arial"/>
                <w:sz w:val="22"/>
                <w:szCs w:val="22"/>
              </w:rPr>
              <w:t>State</w:t>
            </w:r>
          </w:p>
        </w:tc>
        <w:tc>
          <w:tcPr>
            <w:tcW w:w="1594"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1B40425" w14:textId="199A5D22" w:rsidR="001374D5" w:rsidRPr="00B0371D" w:rsidRDefault="001374D5"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 xml:space="preserve">Estimated resident population </w:t>
            </w:r>
            <w:r>
              <w:rPr>
                <w:rFonts w:ascii="Arial" w:hAnsi="Arial" w:cs="Arial"/>
                <w:sz w:val="22"/>
                <w:szCs w:val="22"/>
              </w:rPr>
              <w:t>(</w:t>
            </w:r>
            <w:r w:rsidRPr="00B0371D">
              <w:rPr>
                <w:rFonts w:ascii="Arial" w:hAnsi="Arial" w:cs="Arial"/>
                <w:sz w:val="22"/>
                <w:szCs w:val="22"/>
              </w:rPr>
              <w:t>as at 30/06/201</w:t>
            </w:r>
            <w:r>
              <w:rPr>
                <w:rFonts w:ascii="Arial" w:hAnsi="Arial" w:cs="Arial"/>
                <w:sz w:val="22"/>
                <w:szCs w:val="22"/>
              </w:rPr>
              <w:t>3)</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20FD397" w14:textId="77777777" w:rsidR="001374D5" w:rsidRPr="00B0371D" w:rsidRDefault="001374D5"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1</w:t>
            </w:r>
          </w:p>
        </w:tc>
        <w:tc>
          <w:tcPr>
            <w:tcW w:w="2319"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434FAA8" w14:textId="77777777" w:rsidR="001374D5" w:rsidRPr="00B0371D" w:rsidRDefault="001374D5"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Dose 2</w:t>
            </w:r>
          </w:p>
        </w:tc>
        <w:tc>
          <w:tcPr>
            <w:tcW w:w="2320"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F80DEB7" w14:textId="77777777" w:rsidR="001374D5" w:rsidRPr="00B0371D" w:rsidRDefault="001374D5" w:rsidP="00FB11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B0371D">
              <w:rPr>
                <w:rFonts w:ascii="Arial" w:hAnsi="Arial" w:cs="Arial"/>
                <w:sz w:val="22"/>
                <w:szCs w:val="22"/>
              </w:rPr>
              <w:t>Dose 3</w:t>
            </w:r>
          </w:p>
        </w:tc>
        <w:tc>
          <w:tcPr>
            <w:tcW w:w="1172" w:type="dxa"/>
            <w:vMerge w:val="restart"/>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DED0199" w14:textId="77777777" w:rsidR="001374D5" w:rsidRPr="00B0371D" w:rsidRDefault="001374D5" w:rsidP="00FB1168">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0371D">
              <w:rPr>
                <w:rFonts w:ascii="Arial" w:hAnsi="Arial" w:cs="Arial"/>
                <w:sz w:val="22"/>
                <w:szCs w:val="22"/>
              </w:rPr>
              <w:t>Total Doses</w:t>
            </w:r>
          </w:p>
        </w:tc>
      </w:tr>
      <w:tr w:rsidR="001374D5" w:rsidRPr="00DA0882" w14:paraId="70C42F0C" w14:textId="77777777" w:rsidTr="000D2131">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548DD4" w:themeFill="text2" w:themeFillTint="99"/>
            <w:vAlign w:val="center"/>
          </w:tcPr>
          <w:p w14:paraId="20A0FC14" w14:textId="77777777" w:rsidR="001374D5" w:rsidRPr="001D121C" w:rsidRDefault="001374D5" w:rsidP="00FB1168">
            <w:pPr>
              <w:spacing w:after="0" w:line="240" w:lineRule="auto"/>
              <w:jc w:val="center"/>
              <w:rPr>
                <w:rFonts w:ascii="Arial" w:hAnsi="Arial" w:cs="Arial"/>
                <w:sz w:val="20"/>
                <w:szCs w:val="20"/>
              </w:rPr>
            </w:pPr>
          </w:p>
        </w:tc>
        <w:tc>
          <w:tcPr>
            <w:tcW w:w="1594" w:type="dxa"/>
            <w:vMerge/>
            <w:vAlign w:val="center"/>
          </w:tcPr>
          <w:p w14:paraId="5AF34CAD" w14:textId="77777777" w:rsidR="001374D5" w:rsidRPr="001D121C" w:rsidRDefault="001374D5"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59" w:type="dxa"/>
            <w:shd w:val="clear" w:color="auto" w:fill="DBE5F1" w:themeFill="accent1" w:themeFillTint="33"/>
            <w:vAlign w:val="center"/>
          </w:tcPr>
          <w:p w14:paraId="42D178A4" w14:textId="77777777" w:rsidR="001374D5" w:rsidRPr="00B0371D" w:rsidRDefault="001374D5"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790E05B7" w14:textId="77777777" w:rsidR="001374D5" w:rsidRPr="00B0371D" w:rsidRDefault="001374D5"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29FE2B07" w14:textId="77777777" w:rsidR="001374D5" w:rsidRPr="00B0371D" w:rsidRDefault="001374D5"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59" w:type="dxa"/>
            <w:shd w:val="clear" w:color="auto" w:fill="DBE5F1" w:themeFill="accent1" w:themeFillTint="33"/>
            <w:vAlign w:val="center"/>
          </w:tcPr>
          <w:p w14:paraId="16C5749A" w14:textId="77777777" w:rsidR="001374D5" w:rsidRPr="00B0371D" w:rsidRDefault="001374D5"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60" w:type="dxa"/>
            <w:shd w:val="clear" w:color="auto" w:fill="DBE5F1" w:themeFill="accent1" w:themeFillTint="33"/>
            <w:vAlign w:val="center"/>
          </w:tcPr>
          <w:p w14:paraId="3016EF3E" w14:textId="77777777" w:rsidR="001374D5" w:rsidRPr="00B0371D" w:rsidRDefault="001374D5"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Number</w:t>
            </w:r>
          </w:p>
        </w:tc>
        <w:tc>
          <w:tcPr>
            <w:tcW w:w="1160" w:type="dxa"/>
            <w:shd w:val="clear" w:color="auto" w:fill="DBE5F1" w:themeFill="accent1" w:themeFillTint="33"/>
            <w:vAlign w:val="center"/>
          </w:tcPr>
          <w:p w14:paraId="7AE4F94F" w14:textId="77777777" w:rsidR="001374D5" w:rsidRPr="00B0371D" w:rsidRDefault="001374D5"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0371D">
              <w:rPr>
                <w:rFonts w:ascii="Arial" w:hAnsi="Arial" w:cs="Arial"/>
                <w:b/>
                <w:sz w:val="20"/>
                <w:szCs w:val="20"/>
              </w:rPr>
              <w:t>Coverage</w:t>
            </w:r>
          </w:p>
        </w:tc>
        <w:tc>
          <w:tcPr>
            <w:tcW w:w="1172" w:type="dxa"/>
            <w:vMerge/>
            <w:vAlign w:val="center"/>
          </w:tcPr>
          <w:p w14:paraId="3D3D3918" w14:textId="77777777" w:rsidR="001374D5" w:rsidRPr="001D121C" w:rsidRDefault="001374D5" w:rsidP="00FB116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374D5" w:rsidRPr="00DA0882" w14:paraId="0554D1B4" w14:textId="77777777" w:rsidTr="000D2131">
        <w:trPr>
          <w:trHeight w:val="414"/>
        </w:trPr>
        <w:tc>
          <w:tcPr>
            <w:cnfStyle w:val="001000000000" w:firstRow="0" w:lastRow="0" w:firstColumn="1" w:lastColumn="0" w:oddVBand="0" w:evenVBand="0" w:oddHBand="0" w:evenHBand="0" w:firstRowFirstColumn="0" w:firstRowLastColumn="0" w:lastRowFirstColumn="0" w:lastRowLastColumn="0"/>
            <w:tcW w:w="817" w:type="dxa"/>
            <w:vAlign w:val="center"/>
          </w:tcPr>
          <w:p w14:paraId="314DDDB1" w14:textId="77777777" w:rsidR="001374D5" w:rsidRPr="001D121C" w:rsidRDefault="001374D5" w:rsidP="001374D5">
            <w:pPr>
              <w:spacing w:after="0" w:line="240" w:lineRule="auto"/>
              <w:jc w:val="center"/>
              <w:rPr>
                <w:rFonts w:ascii="Arial" w:hAnsi="Arial" w:cs="Arial"/>
              </w:rPr>
            </w:pPr>
            <w:r w:rsidRPr="001D121C">
              <w:rPr>
                <w:rFonts w:ascii="Arial" w:hAnsi="Arial" w:cs="Arial"/>
              </w:rPr>
              <w:t>ACT</w:t>
            </w:r>
          </w:p>
        </w:tc>
        <w:tc>
          <w:tcPr>
            <w:tcW w:w="1594" w:type="dxa"/>
            <w:vAlign w:val="center"/>
          </w:tcPr>
          <w:p w14:paraId="133E8C5F" w14:textId="5E01ADA3"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2,163</w:t>
            </w:r>
          </w:p>
        </w:tc>
        <w:tc>
          <w:tcPr>
            <w:tcW w:w="1159" w:type="dxa"/>
            <w:vAlign w:val="center"/>
          </w:tcPr>
          <w:p w14:paraId="619BCD69" w14:textId="243270F3"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1,973</w:t>
            </w:r>
          </w:p>
        </w:tc>
        <w:tc>
          <w:tcPr>
            <w:tcW w:w="1160" w:type="dxa"/>
            <w:vAlign w:val="center"/>
          </w:tcPr>
          <w:p w14:paraId="31241820" w14:textId="042DE204"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91.2%</w:t>
            </w:r>
          </w:p>
        </w:tc>
        <w:tc>
          <w:tcPr>
            <w:tcW w:w="1160" w:type="dxa"/>
            <w:vAlign w:val="center"/>
          </w:tcPr>
          <w:p w14:paraId="50BE5B71" w14:textId="2E13AB4C"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1,822</w:t>
            </w:r>
          </w:p>
        </w:tc>
        <w:tc>
          <w:tcPr>
            <w:tcW w:w="1159" w:type="dxa"/>
            <w:vAlign w:val="center"/>
          </w:tcPr>
          <w:p w14:paraId="31C6D365" w14:textId="536B3C4B"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84.2%</w:t>
            </w:r>
          </w:p>
        </w:tc>
        <w:tc>
          <w:tcPr>
            <w:tcW w:w="1160" w:type="dxa"/>
            <w:vAlign w:val="center"/>
          </w:tcPr>
          <w:p w14:paraId="33A89F43" w14:textId="76BDFD62"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1,545</w:t>
            </w:r>
          </w:p>
        </w:tc>
        <w:tc>
          <w:tcPr>
            <w:tcW w:w="1160" w:type="dxa"/>
            <w:vAlign w:val="center"/>
          </w:tcPr>
          <w:p w14:paraId="66F29173" w14:textId="50293F9A"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71.4%</w:t>
            </w:r>
          </w:p>
        </w:tc>
        <w:tc>
          <w:tcPr>
            <w:tcW w:w="1172" w:type="dxa"/>
            <w:vAlign w:val="center"/>
          </w:tcPr>
          <w:p w14:paraId="02C2C6E4" w14:textId="32FAAD4B"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5,340</w:t>
            </w:r>
          </w:p>
        </w:tc>
      </w:tr>
      <w:tr w:rsidR="001374D5" w:rsidRPr="00DA0882" w14:paraId="707E3E32" w14:textId="77777777" w:rsidTr="000D21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21FD94B3" w14:textId="77777777" w:rsidR="001374D5" w:rsidRPr="001D121C" w:rsidRDefault="001374D5" w:rsidP="001374D5">
            <w:pPr>
              <w:spacing w:after="0" w:line="240" w:lineRule="auto"/>
              <w:jc w:val="center"/>
              <w:rPr>
                <w:rFonts w:ascii="Arial" w:hAnsi="Arial" w:cs="Arial"/>
              </w:rPr>
            </w:pPr>
            <w:r w:rsidRPr="001D121C">
              <w:rPr>
                <w:rFonts w:ascii="Arial" w:hAnsi="Arial" w:cs="Arial"/>
              </w:rPr>
              <w:t>NSW</w:t>
            </w:r>
          </w:p>
        </w:tc>
        <w:tc>
          <w:tcPr>
            <w:tcW w:w="1594" w:type="dxa"/>
            <w:shd w:val="clear" w:color="auto" w:fill="DBE5F1" w:themeFill="accent1" w:themeFillTint="33"/>
            <w:vAlign w:val="center"/>
          </w:tcPr>
          <w:p w14:paraId="183E6B3D" w14:textId="310D55F1"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43,569</w:t>
            </w:r>
          </w:p>
        </w:tc>
        <w:tc>
          <w:tcPr>
            <w:tcW w:w="1159" w:type="dxa"/>
            <w:shd w:val="clear" w:color="auto" w:fill="DBE5F1" w:themeFill="accent1" w:themeFillTint="33"/>
            <w:vAlign w:val="center"/>
          </w:tcPr>
          <w:p w14:paraId="2DA4D40C" w14:textId="05FF0F0F"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35,040</w:t>
            </w:r>
          </w:p>
        </w:tc>
        <w:tc>
          <w:tcPr>
            <w:tcW w:w="1160" w:type="dxa"/>
            <w:shd w:val="clear" w:color="auto" w:fill="DBE5F1" w:themeFill="accent1" w:themeFillTint="33"/>
            <w:vAlign w:val="center"/>
          </w:tcPr>
          <w:p w14:paraId="27679A21" w14:textId="590BA75C"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80.4%</w:t>
            </w:r>
          </w:p>
        </w:tc>
        <w:tc>
          <w:tcPr>
            <w:tcW w:w="1160" w:type="dxa"/>
            <w:shd w:val="clear" w:color="auto" w:fill="DBE5F1" w:themeFill="accent1" w:themeFillTint="33"/>
            <w:vAlign w:val="center"/>
          </w:tcPr>
          <w:p w14:paraId="4C90A3F0" w14:textId="05BD6E23"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32,912</w:t>
            </w:r>
          </w:p>
        </w:tc>
        <w:tc>
          <w:tcPr>
            <w:tcW w:w="1159" w:type="dxa"/>
            <w:shd w:val="clear" w:color="auto" w:fill="DBE5F1" w:themeFill="accent1" w:themeFillTint="33"/>
            <w:vAlign w:val="center"/>
          </w:tcPr>
          <w:p w14:paraId="63EE1C5E" w14:textId="071D80FF"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75.5%</w:t>
            </w:r>
          </w:p>
        </w:tc>
        <w:tc>
          <w:tcPr>
            <w:tcW w:w="1160" w:type="dxa"/>
            <w:shd w:val="clear" w:color="auto" w:fill="DBE5F1" w:themeFill="accent1" w:themeFillTint="33"/>
            <w:vAlign w:val="center"/>
          </w:tcPr>
          <w:p w14:paraId="40C33324" w14:textId="68437439"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30,177</w:t>
            </w:r>
          </w:p>
        </w:tc>
        <w:tc>
          <w:tcPr>
            <w:tcW w:w="1160" w:type="dxa"/>
            <w:shd w:val="clear" w:color="auto" w:fill="DBE5F1" w:themeFill="accent1" w:themeFillTint="33"/>
            <w:vAlign w:val="center"/>
          </w:tcPr>
          <w:p w14:paraId="1B8DC29F" w14:textId="58138998"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69.3%</w:t>
            </w:r>
          </w:p>
        </w:tc>
        <w:tc>
          <w:tcPr>
            <w:tcW w:w="1172" w:type="dxa"/>
            <w:shd w:val="clear" w:color="auto" w:fill="DBE5F1" w:themeFill="accent1" w:themeFillTint="33"/>
            <w:vAlign w:val="center"/>
          </w:tcPr>
          <w:p w14:paraId="28701FBC" w14:textId="0D450966"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98,129</w:t>
            </w:r>
          </w:p>
        </w:tc>
      </w:tr>
      <w:tr w:rsidR="001374D5" w:rsidRPr="00DA0882" w14:paraId="52E79414" w14:textId="77777777" w:rsidTr="000D2131">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3624E845" w14:textId="77777777" w:rsidR="001374D5" w:rsidRPr="001D121C" w:rsidRDefault="001374D5" w:rsidP="001374D5">
            <w:pPr>
              <w:spacing w:after="0" w:line="240" w:lineRule="auto"/>
              <w:jc w:val="center"/>
              <w:rPr>
                <w:rFonts w:ascii="Arial" w:hAnsi="Arial" w:cs="Arial"/>
              </w:rPr>
            </w:pPr>
            <w:r w:rsidRPr="001D121C">
              <w:rPr>
                <w:rFonts w:ascii="Arial" w:hAnsi="Arial" w:cs="Arial"/>
              </w:rPr>
              <w:t>NT</w:t>
            </w:r>
          </w:p>
        </w:tc>
        <w:tc>
          <w:tcPr>
            <w:tcW w:w="1594" w:type="dxa"/>
            <w:shd w:val="clear" w:color="auto" w:fill="FFFFFF" w:themeFill="background1"/>
            <w:vAlign w:val="center"/>
          </w:tcPr>
          <w:p w14:paraId="40EF6C51" w14:textId="35369F76"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1,467</w:t>
            </w:r>
          </w:p>
        </w:tc>
        <w:tc>
          <w:tcPr>
            <w:tcW w:w="1159" w:type="dxa"/>
            <w:shd w:val="clear" w:color="auto" w:fill="FFFFFF" w:themeFill="background1"/>
            <w:vAlign w:val="center"/>
          </w:tcPr>
          <w:p w14:paraId="3C1B43AE" w14:textId="375DDB64"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1,494</w:t>
            </w:r>
          </w:p>
        </w:tc>
        <w:tc>
          <w:tcPr>
            <w:tcW w:w="1160" w:type="dxa"/>
            <w:shd w:val="clear" w:color="auto" w:fill="FFFFFF" w:themeFill="background1"/>
            <w:vAlign w:val="center"/>
          </w:tcPr>
          <w:p w14:paraId="7D004565" w14:textId="3DABCBE5"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101.8%</w:t>
            </w:r>
          </w:p>
        </w:tc>
        <w:tc>
          <w:tcPr>
            <w:tcW w:w="1160" w:type="dxa"/>
            <w:shd w:val="clear" w:color="auto" w:fill="FFFFFF" w:themeFill="background1"/>
            <w:vAlign w:val="center"/>
          </w:tcPr>
          <w:p w14:paraId="0E733612" w14:textId="336AAE86"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1,404</w:t>
            </w:r>
          </w:p>
        </w:tc>
        <w:tc>
          <w:tcPr>
            <w:tcW w:w="1159" w:type="dxa"/>
            <w:shd w:val="clear" w:color="auto" w:fill="FFFFFF" w:themeFill="background1"/>
            <w:vAlign w:val="center"/>
          </w:tcPr>
          <w:p w14:paraId="74EE061C" w14:textId="4CAF6A79"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95.7%</w:t>
            </w:r>
          </w:p>
        </w:tc>
        <w:tc>
          <w:tcPr>
            <w:tcW w:w="1160" w:type="dxa"/>
            <w:shd w:val="clear" w:color="auto" w:fill="FFFFFF" w:themeFill="background1"/>
            <w:vAlign w:val="center"/>
          </w:tcPr>
          <w:p w14:paraId="6A6D5B80" w14:textId="5D851771"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1,268</w:t>
            </w:r>
          </w:p>
        </w:tc>
        <w:tc>
          <w:tcPr>
            <w:tcW w:w="1160" w:type="dxa"/>
            <w:shd w:val="clear" w:color="auto" w:fill="FFFFFF" w:themeFill="background1"/>
            <w:vAlign w:val="center"/>
          </w:tcPr>
          <w:p w14:paraId="005C3D1B" w14:textId="3AAECD81"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86.4%</w:t>
            </w:r>
          </w:p>
        </w:tc>
        <w:tc>
          <w:tcPr>
            <w:tcW w:w="1172" w:type="dxa"/>
            <w:shd w:val="clear" w:color="auto" w:fill="FFFFFF" w:themeFill="background1"/>
            <w:vAlign w:val="center"/>
          </w:tcPr>
          <w:p w14:paraId="6DA0F518" w14:textId="51DCA3B3"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4,166</w:t>
            </w:r>
          </w:p>
        </w:tc>
      </w:tr>
      <w:tr w:rsidR="001374D5" w:rsidRPr="00DA0882" w14:paraId="74B8FFB8" w14:textId="77777777" w:rsidTr="000D21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19289CF5" w14:textId="77777777" w:rsidR="001374D5" w:rsidRPr="001D121C" w:rsidRDefault="001374D5" w:rsidP="001374D5">
            <w:pPr>
              <w:spacing w:after="0" w:line="240" w:lineRule="auto"/>
              <w:jc w:val="center"/>
              <w:rPr>
                <w:rFonts w:ascii="Arial" w:hAnsi="Arial" w:cs="Arial"/>
              </w:rPr>
            </w:pPr>
            <w:r w:rsidRPr="001D121C">
              <w:rPr>
                <w:rFonts w:ascii="Arial" w:hAnsi="Arial" w:cs="Arial"/>
              </w:rPr>
              <w:t>QLD</w:t>
            </w:r>
          </w:p>
        </w:tc>
        <w:tc>
          <w:tcPr>
            <w:tcW w:w="1594" w:type="dxa"/>
            <w:shd w:val="clear" w:color="auto" w:fill="DBE5F1" w:themeFill="accent1" w:themeFillTint="33"/>
            <w:vAlign w:val="center"/>
          </w:tcPr>
          <w:p w14:paraId="461A26BD" w14:textId="222B9EE9"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29,314</w:t>
            </w:r>
          </w:p>
        </w:tc>
        <w:tc>
          <w:tcPr>
            <w:tcW w:w="1159" w:type="dxa"/>
            <w:shd w:val="clear" w:color="auto" w:fill="DBE5F1" w:themeFill="accent1" w:themeFillTint="33"/>
            <w:vAlign w:val="center"/>
          </w:tcPr>
          <w:p w14:paraId="744D024A" w14:textId="7A26835B"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24,216</w:t>
            </w:r>
          </w:p>
        </w:tc>
        <w:tc>
          <w:tcPr>
            <w:tcW w:w="1160" w:type="dxa"/>
            <w:shd w:val="clear" w:color="auto" w:fill="DBE5F1" w:themeFill="accent1" w:themeFillTint="33"/>
            <w:vAlign w:val="center"/>
          </w:tcPr>
          <w:p w14:paraId="495DC4B9" w14:textId="7C966653"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82.6%</w:t>
            </w:r>
          </w:p>
        </w:tc>
        <w:tc>
          <w:tcPr>
            <w:tcW w:w="1160" w:type="dxa"/>
            <w:shd w:val="clear" w:color="auto" w:fill="DBE5F1" w:themeFill="accent1" w:themeFillTint="33"/>
            <w:vAlign w:val="center"/>
          </w:tcPr>
          <w:p w14:paraId="2D50C027" w14:textId="2DC6ED1E"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23,200</w:t>
            </w:r>
          </w:p>
        </w:tc>
        <w:tc>
          <w:tcPr>
            <w:tcW w:w="1159" w:type="dxa"/>
            <w:shd w:val="clear" w:color="auto" w:fill="DBE5F1" w:themeFill="accent1" w:themeFillTint="33"/>
            <w:vAlign w:val="center"/>
          </w:tcPr>
          <w:p w14:paraId="0DE874EF" w14:textId="21CC7292"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79.1%</w:t>
            </w:r>
          </w:p>
        </w:tc>
        <w:tc>
          <w:tcPr>
            <w:tcW w:w="1160" w:type="dxa"/>
            <w:shd w:val="clear" w:color="auto" w:fill="DBE5F1" w:themeFill="accent1" w:themeFillTint="33"/>
            <w:vAlign w:val="center"/>
          </w:tcPr>
          <w:p w14:paraId="29DAA35B" w14:textId="23C4982F"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21,138</w:t>
            </w:r>
          </w:p>
        </w:tc>
        <w:tc>
          <w:tcPr>
            <w:tcW w:w="1160" w:type="dxa"/>
            <w:shd w:val="clear" w:color="auto" w:fill="DBE5F1" w:themeFill="accent1" w:themeFillTint="33"/>
            <w:vAlign w:val="center"/>
          </w:tcPr>
          <w:p w14:paraId="43B9AC2E" w14:textId="025FE207"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72.1%</w:t>
            </w:r>
          </w:p>
        </w:tc>
        <w:tc>
          <w:tcPr>
            <w:tcW w:w="1172" w:type="dxa"/>
            <w:shd w:val="clear" w:color="auto" w:fill="DBE5F1" w:themeFill="accent1" w:themeFillTint="33"/>
            <w:vAlign w:val="center"/>
          </w:tcPr>
          <w:p w14:paraId="450F3D8C" w14:textId="3C953BAD"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68,554</w:t>
            </w:r>
          </w:p>
        </w:tc>
      </w:tr>
      <w:tr w:rsidR="001374D5" w:rsidRPr="00DA0882" w14:paraId="35EE3B34" w14:textId="77777777" w:rsidTr="000D2131">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78372A34" w14:textId="77777777" w:rsidR="001374D5" w:rsidRPr="001D121C" w:rsidRDefault="001374D5" w:rsidP="001374D5">
            <w:pPr>
              <w:spacing w:after="0" w:line="240" w:lineRule="auto"/>
              <w:jc w:val="center"/>
              <w:rPr>
                <w:rFonts w:ascii="Arial" w:hAnsi="Arial" w:cs="Arial"/>
              </w:rPr>
            </w:pPr>
            <w:r w:rsidRPr="001D121C">
              <w:rPr>
                <w:rFonts w:ascii="Arial" w:hAnsi="Arial" w:cs="Arial"/>
              </w:rPr>
              <w:t>SA</w:t>
            </w:r>
          </w:p>
        </w:tc>
        <w:tc>
          <w:tcPr>
            <w:tcW w:w="1594" w:type="dxa"/>
            <w:shd w:val="clear" w:color="auto" w:fill="FFFFFF" w:themeFill="background1"/>
            <w:vAlign w:val="center"/>
          </w:tcPr>
          <w:p w14:paraId="775B1089" w14:textId="7A7E4813"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9,833</w:t>
            </w:r>
          </w:p>
        </w:tc>
        <w:tc>
          <w:tcPr>
            <w:tcW w:w="1159" w:type="dxa"/>
            <w:shd w:val="clear" w:color="auto" w:fill="FFFFFF" w:themeFill="background1"/>
            <w:vAlign w:val="center"/>
          </w:tcPr>
          <w:p w14:paraId="7B965D83" w14:textId="694EC673"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8,378</w:t>
            </w:r>
          </w:p>
        </w:tc>
        <w:tc>
          <w:tcPr>
            <w:tcW w:w="1160" w:type="dxa"/>
            <w:shd w:val="clear" w:color="auto" w:fill="FFFFFF" w:themeFill="background1"/>
            <w:vAlign w:val="center"/>
          </w:tcPr>
          <w:p w14:paraId="528E73A2" w14:textId="0344F05E"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85.2%</w:t>
            </w:r>
          </w:p>
        </w:tc>
        <w:tc>
          <w:tcPr>
            <w:tcW w:w="1160" w:type="dxa"/>
            <w:shd w:val="clear" w:color="auto" w:fill="FFFFFF" w:themeFill="background1"/>
            <w:vAlign w:val="center"/>
          </w:tcPr>
          <w:p w14:paraId="3DF6F03C" w14:textId="74879AFA"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8,020</w:t>
            </w:r>
          </w:p>
        </w:tc>
        <w:tc>
          <w:tcPr>
            <w:tcW w:w="1159" w:type="dxa"/>
            <w:shd w:val="clear" w:color="auto" w:fill="FFFFFF" w:themeFill="background1"/>
            <w:vAlign w:val="center"/>
          </w:tcPr>
          <w:p w14:paraId="456AF43B" w14:textId="79CC5135"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81.6%</w:t>
            </w:r>
          </w:p>
        </w:tc>
        <w:tc>
          <w:tcPr>
            <w:tcW w:w="1160" w:type="dxa"/>
            <w:shd w:val="clear" w:color="auto" w:fill="FFFFFF" w:themeFill="background1"/>
            <w:vAlign w:val="center"/>
          </w:tcPr>
          <w:p w14:paraId="33284B62" w14:textId="73B5F752"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7,214</w:t>
            </w:r>
          </w:p>
        </w:tc>
        <w:tc>
          <w:tcPr>
            <w:tcW w:w="1160" w:type="dxa"/>
            <w:shd w:val="clear" w:color="auto" w:fill="FFFFFF" w:themeFill="background1"/>
            <w:vAlign w:val="center"/>
          </w:tcPr>
          <w:p w14:paraId="2BE0C12D" w14:textId="2FB167BE"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73.4%</w:t>
            </w:r>
          </w:p>
        </w:tc>
        <w:tc>
          <w:tcPr>
            <w:tcW w:w="1172" w:type="dxa"/>
            <w:shd w:val="clear" w:color="auto" w:fill="FFFFFF" w:themeFill="background1"/>
            <w:vAlign w:val="center"/>
          </w:tcPr>
          <w:p w14:paraId="685F9544" w14:textId="5C675ED9"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23,612</w:t>
            </w:r>
          </w:p>
        </w:tc>
      </w:tr>
      <w:tr w:rsidR="001374D5" w:rsidRPr="00B0371D" w14:paraId="471BC222" w14:textId="77777777" w:rsidTr="000D21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0F620A24" w14:textId="77777777" w:rsidR="001374D5" w:rsidRPr="001D121C" w:rsidRDefault="001374D5" w:rsidP="001374D5">
            <w:pPr>
              <w:spacing w:after="0" w:line="240" w:lineRule="auto"/>
              <w:jc w:val="center"/>
              <w:rPr>
                <w:rFonts w:ascii="Arial" w:hAnsi="Arial" w:cs="Arial"/>
              </w:rPr>
            </w:pPr>
            <w:r w:rsidRPr="001D121C">
              <w:rPr>
                <w:rFonts w:ascii="Arial" w:hAnsi="Arial" w:cs="Arial"/>
              </w:rPr>
              <w:t>TAS</w:t>
            </w:r>
          </w:p>
        </w:tc>
        <w:tc>
          <w:tcPr>
            <w:tcW w:w="1594" w:type="dxa"/>
            <w:shd w:val="clear" w:color="auto" w:fill="DBE5F1" w:themeFill="accent1" w:themeFillTint="33"/>
            <w:vAlign w:val="center"/>
          </w:tcPr>
          <w:p w14:paraId="3F2BCF29" w14:textId="38CDCD82"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3,088</w:t>
            </w:r>
          </w:p>
        </w:tc>
        <w:tc>
          <w:tcPr>
            <w:tcW w:w="1159" w:type="dxa"/>
            <w:shd w:val="clear" w:color="auto" w:fill="DBE5F1" w:themeFill="accent1" w:themeFillTint="33"/>
            <w:vAlign w:val="center"/>
          </w:tcPr>
          <w:p w14:paraId="0EB727B2" w14:textId="3CA67304"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2,473</w:t>
            </w:r>
          </w:p>
        </w:tc>
        <w:tc>
          <w:tcPr>
            <w:tcW w:w="1160" w:type="dxa"/>
            <w:shd w:val="clear" w:color="auto" w:fill="DBE5F1" w:themeFill="accent1" w:themeFillTint="33"/>
            <w:vAlign w:val="center"/>
          </w:tcPr>
          <w:p w14:paraId="237A9C4D" w14:textId="3BEF0911"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80.1%</w:t>
            </w:r>
          </w:p>
        </w:tc>
        <w:tc>
          <w:tcPr>
            <w:tcW w:w="1160" w:type="dxa"/>
            <w:shd w:val="clear" w:color="auto" w:fill="DBE5F1" w:themeFill="accent1" w:themeFillTint="33"/>
            <w:vAlign w:val="center"/>
          </w:tcPr>
          <w:p w14:paraId="31CAF823" w14:textId="76B53A4A"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2,315</w:t>
            </w:r>
          </w:p>
        </w:tc>
        <w:tc>
          <w:tcPr>
            <w:tcW w:w="1159" w:type="dxa"/>
            <w:shd w:val="clear" w:color="auto" w:fill="DBE5F1" w:themeFill="accent1" w:themeFillTint="33"/>
            <w:vAlign w:val="center"/>
          </w:tcPr>
          <w:p w14:paraId="529E191A" w14:textId="48FB8955"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75.0%</w:t>
            </w:r>
          </w:p>
        </w:tc>
        <w:tc>
          <w:tcPr>
            <w:tcW w:w="1160" w:type="dxa"/>
            <w:shd w:val="clear" w:color="auto" w:fill="DBE5F1" w:themeFill="accent1" w:themeFillTint="33"/>
            <w:vAlign w:val="center"/>
          </w:tcPr>
          <w:p w14:paraId="1635D1BD" w14:textId="78F98C66"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2,036</w:t>
            </w:r>
          </w:p>
        </w:tc>
        <w:tc>
          <w:tcPr>
            <w:tcW w:w="1160" w:type="dxa"/>
            <w:shd w:val="clear" w:color="auto" w:fill="DBE5F1" w:themeFill="accent1" w:themeFillTint="33"/>
            <w:vAlign w:val="center"/>
          </w:tcPr>
          <w:p w14:paraId="29BC0A97" w14:textId="53F6E14A"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65.9%</w:t>
            </w:r>
          </w:p>
        </w:tc>
        <w:tc>
          <w:tcPr>
            <w:tcW w:w="1172" w:type="dxa"/>
            <w:shd w:val="clear" w:color="auto" w:fill="DBE5F1" w:themeFill="accent1" w:themeFillTint="33"/>
            <w:vAlign w:val="center"/>
          </w:tcPr>
          <w:p w14:paraId="2DEF0EE9" w14:textId="1437184D"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6,824</w:t>
            </w:r>
          </w:p>
        </w:tc>
      </w:tr>
      <w:tr w:rsidR="001374D5" w:rsidRPr="00DA0882" w14:paraId="10E39CB4" w14:textId="77777777" w:rsidTr="000D2131">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hemeFill="background1"/>
            <w:vAlign w:val="center"/>
          </w:tcPr>
          <w:p w14:paraId="0EF362C1" w14:textId="77777777" w:rsidR="001374D5" w:rsidRPr="001D121C" w:rsidRDefault="001374D5" w:rsidP="001374D5">
            <w:pPr>
              <w:spacing w:after="0" w:line="240" w:lineRule="auto"/>
              <w:jc w:val="center"/>
              <w:rPr>
                <w:rFonts w:ascii="Arial" w:hAnsi="Arial" w:cs="Arial"/>
              </w:rPr>
            </w:pPr>
            <w:r w:rsidRPr="001D121C">
              <w:rPr>
                <w:rFonts w:ascii="Arial" w:hAnsi="Arial" w:cs="Arial"/>
              </w:rPr>
              <w:t>VIC</w:t>
            </w:r>
          </w:p>
        </w:tc>
        <w:tc>
          <w:tcPr>
            <w:tcW w:w="1594" w:type="dxa"/>
            <w:shd w:val="clear" w:color="auto" w:fill="FFFFFF" w:themeFill="background1"/>
            <w:vAlign w:val="center"/>
          </w:tcPr>
          <w:p w14:paraId="2A2035C5" w14:textId="7EBABC8B"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32,839</w:t>
            </w:r>
          </w:p>
        </w:tc>
        <w:tc>
          <w:tcPr>
            <w:tcW w:w="1159" w:type="dxa"/>
            <w:shd w:val="clear" w:color="auto" w:fill="FFFFFF" w:themeFill="background1"/>
            <w:vAlign w:val="center"/>
          </w:tcPr>
          <w:p w14:paraId="30BB8E20" w14:textId="1B95B8BF"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28,002</w:t>
            </w:r>
          </w:p>
        </w:tc>
        <w:tc>
          <w:tcPr>
            <w:tcW w:w="1160" w:type="dxa"/>
            <w:shd w:val="clear" w:color="auto" w:fill="FFFFFF" w:themeFill="background1"/>
            <w:vAlign w:val="center"/>
          </w:tcPr>
          <w:p w14:paraId="26482703" w14:textId="186E27AC"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85.3%</w:t>
            </w:r>
          </w:p>
        </w:tc>
        <w:tc>
          <w:tcPr>
            <w:tcW w:w="1160" w:type="dxa"/>
            <w:shd w:val="clear" w:color="auto" w:fill="FFFFFF" w:themeFill="background1"/>
            <w:vAlign w:val="center"/>
          </w:tcPr>
          <w:p w14:paraId="390D5936" w14:textId="479D2C39"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26,784</w:t>
            </w:r>
          </w:p>
        </w:tc>
        <w:tc>
          <w:tcPr>
            <w:tcW w:w="1159" w:type="dxa"/>
            <w:shd w:val="clear" w:color="auto" w:fill="FFFFFF" w:themeFill="background1"/>
            <w:vAlign w:val="center"/>
          </w:tcPr>
          <w:p w14:paraId="50242C28" w14:textId="346C6602"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81.6%</w:t>
            </w:r>
          </w:p>
        </w:tc>
        <w:tc>
          <w:tcPr>
            <w:tcW w:w="1160" w:type="dxa"/>
            <w:shd w:val="clear" w:color="auto" w:fill="FFFFFF" w:themeFill="background1"/>
            <w:vAlign w:val="center"/>
          </w:tcPr>
          <w:p w14:paraId="16BED592" w14:textId="2DD7A643"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24,700</w:t>
            </w:r>
          </w:p>
        </w:tc>
        <w:tc>
          <w:tcPr>
            <w:tcW w:w="1160" w:type="dxa"/>
            <w:shd w:val="clear" w:color="auto" w:fill="FFFFFF" w:themeFill="background1"/>
            <w:vAlign w:val="center"/>
          </w:tcPr>
          <w:p w14:paraId="3214101E" w14:textId="63DCFA3F"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75.2%</w:t>
            </w:r>
          </w:p>
        </w:tc>
        <w:tc>
          <w:tcPr>
            <w:tcW w:w="1172" w:type="dxa"/>
            <w:shd w:val="clear" w:color="auto" w:fill="FFFFFF" w:themeFill="background1"/>
            <w:vAlign w:val="center"/>
          </w:tcPr>
          <w:p w14:paraId="46BB0CB7" w14:textId="57077DF2" w:rsidR="001374D5" w:rsidRPr="00E71F7A"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4A05">
              <w:rPr>
                <w:rFonts w:ascii="Arial" w:hAnsi="Arial" w:cs="Arial"/>
              </w:rPr>
              <w:t>79,486</w:t>
            </w:r>
          </w:p>
        </w:tc>
      </w:tr>
      <w:tr w:rsidR="001374D5" w:rsidRPr="00B0371D" w14:paraId="5FB9A102" w14:textId="77777777" w:rsidTr="000D2131">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DBE5F1" w:themeFill="accent1" w:themeFillTint="33"/>
            <w:vAlign w:val="center"/>
          </w:tcPr>
          <w:p w14:paraId="06FF5F2A" w14:textId="77777777" w:rsidR="001374D5" w:rsidRPr="001D121C" w:rsidRDefault="001374D5" w:rsidP="001374D5">
            <w:pPr>
              <w:spacing w:after="0" w:line="240" w:lineRule="auto"/>
              <w:jc w:val="center"/>
              <w:rPr>
                <w:rFonts w:ascii="Arial" w:hAnsi="Arial" w:cs="Arial"/>
              </w:rPr>
            </w:pPr>
            <w:r w:rsidRPr="001D121C">
              <w:rPr>
                <w:rFonts w:ascii="Arial" w:hAnsi="Arial" w:cs="Arial"/>
              </w:rPr>
              <w:t>WA</w:t>
            </w:r>
          </w:p>
        </w:tc>
        <w:tc>
          <w:tcPr>
            <w:tcW w:w="1594" w:type="dxa"/>
            <w:shd w:val="clear" w:color="auto" w:fill="DBE5F1" w:themeFill="accent1" w:themeFillTint="33"/>
            <w:vAlign w:val="center"/>
          </w:tcPr>
          <w:p w14:paraId="0DF28376" w14:textId="656DEC4D"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14,877</w:t>
            </w:r>
          </w:p>
        </w:tc>
        <w:tc>
          <w:tcPr>
            <w:tcW w:w="1159" w:type="dxa"/>
            <w:shd w:val="clear" w:color="auto" w:fill="DBE5F1" w:themeFill="accent1" w:themeFillTint="33"/>
            <w:vAlign w:val="center"/>
          </w:tcPr>
          <w:p w14:paraId="2BA9F7FF" w14:textId="72AB648E"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12,223</w:t>
            </w:r>
          </w:p>
        </w:tc>
        <w:tc>
          <w:tcPr>
            <w:tcW w:w="1160" w:type="dxa"/>
            <w:shd w:val="clear" w:color="auto" w:fill="DBE5F1" w:themeFill="accent1" w:themeFillTint="33"/>
            <w:vAlign w:val="center"/>
          </w:tcPr>
          <w:p w14:paraId="329BB8F8" w14:textId="3A8E6621"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82.2%</w:t>
            </w:r>
          </w:p>
        </w:tc>
        <w:tc>
          <w:tcPr>
            <w:tcW w:w="1160" w:type="dxa"/>
            <w:shd w:val="clear" w:color="auto" w:fill="DBE5F1" w:themeFill="accent1" w:themeFillTint="33"/>
            <w:vAlign w:val="center"/>
          </w:tcPr>
          <w:p w14:paraId="1B13D8F0" w14:textId="4ADB8070"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11,868</w:t>
            </w:r>
          </w:p>
        </w:tc>
        <w:tc>
          <w:tcPr>
            <w:tcW w:w="1159" w:type="dxa"/>
            <w:shd w:val="clear" w:color="auto" w:fill="DBE5F1" w:themeFill="accent1" w:themeFillTint="33"/>
            <w:vAlign w:val="center"/>
          </w:tcPr>
          <w:p w14:paraId="637636AB" w14:textId="2CBA5E62"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79.8%</w:t>
            </w:r>
          </w:p>
        </w:tc>
        <w:tc>
          <w:tcPr>
            <w:tcW w:w="1160" w:type="dxa"/>
            <w:shd w:val="clear" w:color="auto" w:fill="DBE5F1" w:themeFill="accent1" w:themeFillTint="33"/>
            <w:vAlign w:val="center"/>
          </w:tcPr>
          <w:p w14:paraId="491C22E6" w14:textId="60260B21"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10,820</w:t>
            </w:r>
          </w:p>
        </w:tc>
        <w:tc>
          <w:tcPr>
            <w:tcW w:w="1160" w:type="dxa"/>
            <w:shd w:val="clear" w:color="auto" w:fill="DBE5F1" w:themeFill="accent1" w:themeFillTint="33"/>
            <w:vAlign w:val="center"/>
          </w:tcPr>
          <w:p w14:paraId="5773B728" w14:textId="603E3C1B"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72.7%</w:t>
            </w:r>
          </w:p>
        </w:tc>
        <w:tc>
          <w:tcPr>
            <w:tcW w:w="1172" w:type="dxa"/>
            <w:shd w:val="clear" w:color="auto" w:fill="DBE5F1" w:themeFill="accent1" w:themeFillTint="33"/>
            <w:vAlign w:val="center"/>
          </w:tcPr>
          <w:p w14:paraId="0D465F10" w14:textId="3ADD0E8E" w:rsidR="001374D5" w:rsidRPr="00E71F7A" w:rsidRDefault="001374D5" w:rsidP="001374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A4A05">
              <w:rPr>
                <w:rFonts w:ascii="Arial" w:hAnsi="Arial" w:cs="Arial"/>
              </w:rPr>
              <w:t>34,911</w:t>
            </w:r>
          </w:p>
        </w:tc>
      </w:tr>
      <w:tr w:rsidR="001374D5" w:rsidRPr="001374D5" w14:paraId="26B74A51" w14:textId="77777777" w:rsidTr="000D2131">
        <w:trPr>
          <w:trHeight w:val="414"/>
        </w:trPr>
        <w:tc>
          <w:tcPr>
            <w:cnfStyle w:val="001000000000" w:firstRow="0" w:lastRow="0" w:firstColumn="1" w:lastColumn="0" w:oddVBand="0" w:evenVBand="0" w:oddHBand="0" w:evenHBand="0" w:firstRowFirstColumn="0" w:firstRowLastColumn="0" w:lastRowFirstColumn="0" w:lastRowLastColumn="0"/>
            <w:tcW w:w="817" w:type="dxa"/>
            <w:shd w:val="clear" w:color="auto" w:fill="548DD4" w:themeFill="text2" w:themeFillTint="99"/>
            <w:vAlign w:val="center"/>
          </w:tcPr>
          <w:p w14:paraId="6F62AC68" w14:textId="77777777" w:rsidR="001374D5" w:rsidRPr="001374D5" w:rsidRDefault="001374D5" w:rsidP="001374D5">
            <w:pPr>
              <w:spacing w:after="0" w:line="240" w:lineRule="auto"/>
              <w:jc w:val="center"/>
              <w:rPr>
                <w:rFonts w:ascii="Arial" w:hAnsi="Arial" w:cs="Arial"/>
                <w:color w:val="FFFFFF" w:themeColor="background1"/>
              </w:rPr>
            </w:pPr>
            <w:r w:rsidRPr="001374D5">
              <w:rPr>
                <w:rFonts w:ascii="Arial" w:hAnsi="Arial" w:cs="Arial"/>
                <w:color w:val="FFFFFF" w:themeColor="background1"/>
              </w:rPr>
              <w:t>AUS</w:t>
            </w:r>
          </w:p>
        </w:tc>
        <w:tc>
          <w:tcPr>
            <w:tcW w:w="1594" w:type="dxa"/>
            <w:shd w:val="clear" w:color="auto" w:fill="548DD4" w:themeFill="text2" w:themeFillTint="99"/>
            <w:vAlign w:val="center"/>
          </w:tcPr>
          <w:p w14:paraId="377CF417" w14:textId="608C2D98" w:rsidR="001374D5" w:rsidRPr="001374D5"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74D5">
              <w:rPr>
                <w:rFonts w:ascii="Arial" w:hAnsi="Arial" w:cs="Arial"/>
                <w:b/>
                <w:color w:val="FFFFFF" w:themeColor="background1"/>
              </w:rPr>
              <w:t>137,150</w:t>
            </w:r>
          </w:p>
        </w:tc>
        <w:tc>
          <w:tcPr>
            <w:tcW w:w="1159" w:type="dxa"/>
            <w:shd w:val="clear" w:color="auto" w:fill="548DD4" w:themeFill="text2" w:themeFillTint="99"/>
            <w:vAlign w:val="center"/>
          </w:tcPr>
          <w:p w14:paraId="4FACD5D2" w14:textId="1F0984CE" w:rsidR="001374D5" w:rsidRPr="001374D5"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74D5">
              <w:rPr>
                <w:rFonts w:ascii="Arial" w:hAnsi="Arial" w:cs="Arial"/>
                <w:b/>
                <w:color w:val="FFFFFF" w:themeColor="background1"/>
              </w:rPr>
              <w:t>113,799</w:t>
            </w:r>
          </w:p>
        </w:tc>
        <w:tc>
          <w:tcPr>
            <w:tcW w:w="1160" w:type="dxa"/>
            <w:shd w:val="clear" w:color="auto" w:fill="548DD4" w:themeFill="text2" w:themeFillTint="99"/>
            <w:vAlign w:val="center"/>
          </w:tcPr>
          <w:p w14:paraId="3493AD5C" w14:textId="54BEA320" w:rsidR="001374D5" w:rsidRPr="001374D5"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74D5">
              <w:rPr>
                <w:rFonts w:ascii="Arial" w:hAnsi="Arial" w:cs="Arial"/>
                <w:b/>
                <w:color w:val="FFFFFF" w:themeColor="background1"/>
              </w:rPr>
              <w:t>83.0%</w:t>
            </w:r>
          </w:p>
        </w:tc>
        <w:tc>
          <w:tcPr>
            <w:tcW w:w="1160" w:type="dxa"/>
            <w:shd w:val="clear" w:color="auto" w:fill="548DD4" w:themeFill="text2" w:themeFillTint="99"/>
            <w:vAlign w:val="center"/>
          </w:tcPr>
          <w:p w14:paraId="206E749F" w14:textId="782C634F" w:rsidR="001374D5" w:rsidRPr="001374D5"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74D5">
              <w:rPr>
                <w:rFonts w:ascii="Arial" w:hAnsi="Arial" w:cs="Arial"/>
                <w:b/>
                <w:color w:val="FFFFFF" w:themeColor="background1"/>
              </w:rPr>
              <w:t>108,325</w:t>
            </w:r>
          </w:p>
        </w:tc>
        <w:tc>
          <w:tcPr>
            <w:tcW w:w="1159" w:type="dxa"/>
            <w:shd w:val="clear" w:color="auto" w:fill="548DD4" w:themeFill="text2" w:themeFillTint="99"/>
            <w:vAlign w:val="center"/>
          </w:tcPr>
          <w:p w14:paraId="487CB534" w14:textId="1CCACC9F" w:rsidR="001374D5" w:rsidRPr="001374D5"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74D5">
              <w:rPr>
                <w:rFonts w:ascii="Arial" w:hAnsi="Arial" w:cs="Arial"/>
                <w:b/>
                <w:color w:val="FFFFFF" w:themeColor="background1"/>
              </w:rPr>
              <w:t>79.0%</w:t>
            </w:r>
          </w:p>
        </w:tc>
        <w:tc>
          <w:tcPr>
            <w:tcW w:w="1160" w:type="dxa"/>
            <w:shd w:val="clear" w:color="auto" w:fill="548DD4" w:themeFill="text2" w:themeFillTint="99"/>
            <w:vAlign w:val="center"/>
          </w:tcPr>
          <w:p w14:paraId="734063A1" w14:textId="6B6C0AA2" w:rsidR="001374D5" w:rsidRPr="001374D5"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74D5">
              <w:rPr>
                <w:rFonts w:ascii="Arial" w:hAnsi="Arial" w:cs="Arial"/>
                <w:b/>
                <w:color w:val="FFFFFF" w:themeColor="background1"/>
              </w:rPr>
              <w:t>98,898</w:t>
            </w:r>
          </w:p>
        </w:tc>
        <w:tc>
          <w:tcPr>
            <w:tcW w:w="1160" w:type="dxa"/>
            <w:shd w:val="clear" w:color="auto" w:fill="548DD4" w:themeFill="text2" w:themeFillTint="99"/>
            <w:vAlign w:val="center"/>
          </w:tcPr>
          <w:p w14:paraId="083B0C3B" w14:textId="0C886764" w:rsidR="001374D5" w:rsidRPr="001374D5"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74D5">
              <w:rPr>
                <w:rFonts w:ascii="Arial" w:hAnsi="Arial" w:cs="Arial"/>
                <w:b/>
                <w:color w:val="FFFFFF" w:themeColor="background1"/>
              </w:rPr>
              <w:t>72.1%</w:t>
            </w:r>
          </w:p>
        </w:tc>
        <w:tc>
          <w:tcPr>
            <w:tcW w:w="1172" w:type="dxa"/>
            <w:shd w:val="clear" w:color="auto" w:fill="548DD4" w:themeFill="text2" w:themeFillTint="99"/>
            <w:vAlign w:val="center"/>
          </w:tcPr>
          <w:p w14:paraId="5C50E6E8" w14:textId="76D925AA" w:rsidR="001374D5" w:rsidRPr="001374D5" w:rsidRDefault="001374D5" w:rsidP="001374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1374D5">
              <w:rPr>
                <w:rFonts w:ascii="Arial" w:hAnsi="Arial" w:cs="Arial"/>
                <w:b/>
                <w:color w:val="FFFFFF" w:themeColor="background1"/>
              </w:rPr>
              <w:t>321,022</w:t>
            </w:r>
          </w:p>
        </w:tc>
      </w:tr>
    </w:tbl>
    <w:p w14:paraId="60AADED0" w14:textId="77777777" w:rsidR="001374D5" w:rsidRPr="00806FB2" w:rsidRDefault="001374D5" w:rsidP="001374D5">
      <w:pPr>
        <w:spacing w:after="120" w:line="240" w:lineRule="auto"/>
        <w:rPr>
          <w:b/>
          <w:sz w:val="28"/>
          <w:szCs w:val="28"/>
          <w:u w:val="single"/>
        </w:rPr>
      </w:pPr>
    </w:p>
    <w:p w14:paraId="1632C627" w14:textId="77777777" w:rsidR="001374D5" w:rsidRPr="00806FB2" w:rsidRDefault="001374D5" w:rsidP="001374D5">
      <w:pPr>
        <w:pStyle w:val="Heading1"/>
        <w:spacing w:before="0" w:after="120"/>
        <w:rPr>
          <w:rFonts w:ascii="Arial" w:hAnsi="Arial"/>
          <w:b w:val="0"/>
          <w:szCs w:val="28"/>
        </w:rPr>
      </w:pPr>
      <w:r w:rsidRPr="00806FB2">
        <w:rPr>
          <w:rFonts w:ascii="Arial" w:hAnsi="Arial"/>
          <w:b w:val="0"/>
          <w:szCs w:val="28"/>
        </w:rPr>
        <w:t>Notes:</w:t>
      </w:r>
    </w:p>
    <w:p w14:paraId="34E891EC" w14:textId="77777777" w:rsidR="001374D5" w:rsidRPr="001D121C" w:rsidRDefault="001374D5" w:rsidP="001374D5">
      <w:pPr>
        <w:pStyle w:val="ListParagraph"/>
        <w:numPr>
          <w:ilvl w:val="0"/>
          <w:numId w:val="6"/>
        </w:numPr>
        <w:shd w:val="clear" w:color="auto" w:fill="FFFFFF"/>
        <w:tabs>
          <w:tab w:val="clear" w:pos="1077"/>
          <w:tab w:val="num" w:pos="360"/>
        </w:tabs>
        <w:spacing w:after="120" w:line="276" w:lineRule="auto"/>
        <w:ind w:left="360"/>
        <w:contextualSpacing w:val="0"/>
        <w:rPr>
          <w:rFonts w:ascii="Arial" w:eastAsia="Times New Roman" w:hAnsi="Arial" w:cs="Arial"/>
          <w:sz w:val="20"/>
          <w:szCs w:val="20"/>
          <w:lang w:eastAsia="en-AU"/>
        </w:rPr>
      </w:pPr>
      <w:r w:rsidRPr="001D121C">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1D121C">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1D121C">
        <w:rPr>
          <w:rFonts w:ascii="Arial" w:eastAsia="Times New Roman" w:hAnsi="Arial" w:cs="Arial"/>
          <w:sz w:val="20"/>
          <w:szCs w:val="20"/>
          <w:lang w:eastAsia="en-AU"/>
        </w:rPr>
        <w:t xml:space="preserve"> 2018 and includes females vaccinated between </w:t>
      </w:r>
      <w:r>
        <w:rPr>
          <w:rFonts w:ascii="Arial" w:eastAsia="Times New Roman" w:hAnsi="Arial" w:cs="Arial"/>
          <w:sz w:val="20"/>
          <w:szCs w:val="20"/>
          <w:lang w:eastAsia="en-AU"/>
        </w:rPr>
        <w:t>April</w:t>
      </w:r>
      <w:r w:rsidRPr="001D121C">
        <w:rPr>
          <w:rFonts w:ascii="Arial" w:eastAsia="Times New Roman" w:hAnsi="Arial" w:cs="Arial"/>
          <w:sz w:val="20"/>
          <w:szCs w:val="20"/>
          <w:lang w:eastAsia="en-AU"/>
        </w:rPr>
        <w:t xml:space="preserve"> 2007 and </w:t>
      </w:r>
      <w:r>
        <w:rPr>
          <w:rFonts w:ascii="Arial" w:eastAsia="Times New Roman" w:hAnsi="Arial" w:cs="Arial"/>
          <w:sz w:val="20"/>
          <w:szCs w:val="20"/>
          <w:lang w:eastAsia="en-AU"/>
        </w:rPr>
        <w:t>June</w:t>
      </w:r>
      <w:r w:rsidRPr="001D121C">
        <w:rPr>
          <w:rFonts w:ascii="Arial" w:eastAsia="Times New Roman" w:hAnsi="Arial" w:cs="Arial"/>
          <w:sz w:val="20"/>
          <w:szCs w:val="20"/>
          <w:lang w:eastAsia="en-AU"/>
        </w:rPr>
        <w:t xml:space="preserve"> 2018.</w:t>
      </w:r>
    </w:p>
    <w:bookmarkEnd w:id="1"/>
    <w:p w14:paraId="637BEB89" w14:textId="77777777" w:rsidR="001223A8" w:rsidRPr="0040180F" w:rsidRDefault="001223A8" w:rsidP="001374D5">
      <w:pPr>
        <w:pStyle w:val="ListParagraph"/>
        <w:numPr>
          <w:ilvl w:val="0"/>
          <w:numId w:val="6"/>
        </w:numPr>
        <w:shd w:val="clear" w:color="auto" w:fill="FFFFFF"/>
        <w:tabs>
          <w:tab w:val="clear" w:pos="1077"/>
          <w:tab w:val="num" w:pos="360"/>
        </w:tabs>
        <w:spacing w:after="120" w:line="276" w:lineRule="auto"/>
        <w:ind w:left="360"/>
        <w:contextualSpacing w:val="0"/>
        <w:rPr>
          <w:rFonts w:ascii="Arial" w:eastAsia="Times New Roman" w:hAnsi="Arial" w:cs="Arial"/>
          <w:sz w:val="20"/>
          <w:szCs w:val="20"/>
          <w:lang w:eastAsia="en-AU"/>
        </w:rPr>
      </w:pPr>
      <w:r w:rsidRPr="0040180F">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2407D07F" w14:textId="15B344AD" w:rsidR="001223A8" w:rsidRPr="0040180F" w:rsidRDefault="001223A8" w:rsidP="001374D5">
      <w:pPr>
        <w:pStyle w:val="ListParagraph"/>
        <w:numPr>
          <w:ilvl w:val="0"/>
          <w:numId w:val="6"/>
        </w:numPr>
        <w:shd w:val="clear" w:color="auto" w:fill="FFFFFF"/>
        <w:tabs>
          <w:tab w:val="clear" w:pos="1077"/>
          <w:tab w:val="num" w:pos="360"/>
        </w:tabs>
        <w:spacing w:after="120" w:line="276" w:lineRule="auto"/>
        <w:ind w:left="360"/>
        <w:contextualSpacing w:val="0"/>
        <w:rPr>
          <w:rFonts w:ascii="Arial" w:eastAsia="Times New Roman" w:hAnsi="Arial" w:cs="Arial"/>
          <w:sz w:val="20"/>
          <w:szCs w:val="20"/>
          <w:lang w:eastAsia="en-AU"/>
        </w:rPr>
      </w:pPr>
      <w:r w:rsidRPr="0040180F">
        <w:rPr>
          <w:rFonts w:ascii="Arial" w:eastAsia="Times New Roman" w:hAnsi="Arial" w:cs="Arial"/>
          <w:sz w:val="20"/>
          <w:szCs w:val="20"/>
          <w:lang w:eastAsia="en-AU"/>
        </w:rPr>
        <w:lastRenderedPageBreak/>
        <w:t xml:space="preserve">Population is Estimated Resident Population 2013 (as at 30/06/2013) from the Australian Bureau of Statistics - Cat 3101.0 Australian Demographic Statistics, Tables 51 to 58: Estimated Resident Population by Single year of age by State and Territory, FINAL based on 2016 census data published </w:t>
      </w:r>
      <w:r w:rsidR="001374D5">
        <w:rPr>
          <w:rFonts w:ascii="Arial" w:eastAsia="Times New Roman" w:hAnsi="Arial" w:cs="Arial"/>
          <w:sz w:val="20"/>
          <w:szCs w:val="20"/>
          <w:lang w:eastAsia="en-AU"/>
        </w:rPr>
        <w:t>June</w:t>
      </w:r>
      <w:r w:rsidRPr="0040180F">
        <w:rPr>
          <w:rFonts w:ascii="Arial" w:eastAsia="Times New Roman" w:hAnsi="Arial" w:cs="Arial"/>
          <w:sz w:val="20"/>
          <w:szCs w:val="20"/>
          <w:lang w:eastAsia="en-AU"/>
        </w:rPr>
        <w:t xml:space="preserve"> 2018.</w:t>
      </w:r>
    </w:p>
    <w:p w14:paraId="5AD656ED" w14:textId="77777777" w:rsidR="001223A8" w:rsidRPr="0040180F" w:rsidRDefault="001223A8" w:rsidP="001374D5">
      <w:pPr>
        <w:pStyle w:val="ListParagraph"/>
        <w:numPr>
          <w:ilvl w:val="0"/>
          <w:numId w:val="6"/>
        </w:numPr>
        <w:shd w:val="clear" w:color="auto" w:fill="FFFFFF"/>
        <w:tabs>
          <w:tab w:val="clear" w:pos="1077"/>
          <w:tab w:val="num" w:pos="360"/>
        </w:tabs>
        <w:spacing w:after="120" w:line="276" w:lineRule="auto"/>
        <w:ind w:left="360"/>
        <w:contextualSpacing w:val="0"/>
        <w:rPr>
          <w:rFonts w:ascii="Arial" w:eastAsia="Times New Roman" w:hAnsi="Arial" w:cs="Arial"/>
          <w:sz w:val="20"/>
          <w:szCs w:val="20"/>
          <w:lang w:eastAsia="en-AU"/>
        </w:rPr>
      </w:pPr>
      <w:r w:rsidRPr="0040180F">
        <w:rPr>
          <w:rFonts w:ascii="Arial" w:eastAsia="Times New Roman" w:hAnsi="Arial" w:cs="Arial"/>
          <w:sz w:val="20"/>
          <w:szCs w:val="20"/>
          <w:lang w:eastAsia="en-AU"/>
        </w:rPr>
        <w:t>Age is age as at date of ERP estimate (30th June).</w:t>
      </w:r>
    </w:p>
    <w:p w14:paraId="6BD1A42D" w14:textId="77777777" w:rsidR="001223A8" w:rsidRPr="0040180F" w:rsidRDefault="001223A8" w:rsidP="001374D5">
      <w:pPr>
        <w:pStyle w:val="ListParagraph"/>
        <w:numPr>
          <w:ilvl w:val="0"/>
          <w:numId w:val="6"/>
        </w:numPr>
        <w:shd w:val="clear" w:color="auto" w:fill="FFFFFF"/>
        <w:tabs>
          <w:tab w:val="clear" w:pos="1077"/>
          <w:tab w:val="num" w:pos="360"/>
        </w:tabs>
        <w:spacing w:after="120" w:line="276" w:lineRule="auto"/>
        <w:ind w:left="360"/>
        <w:contextualSpacing w:val="0"/>
        <w:rPr>
          <w:rFonts w:ascii="Arial" w:eastAsia="Times New Roman" w:hAnsi="Arial" w:cs="Arial"/>
          <w:sz w:val="20"/>
          <w:szCs w:val="20"/>
          <w:lang w:eastAsia="en-AU"/>
        </w:rPr>
      </w:pPr>
      <w:r w:rsidRPr="0040180F">
        <w:rPr>
          <w:rFonts w:ascii="Arial" w:eastAsia="Times New Roman" w:hAnsi="Arial" w:cs="Arial"/>
          <w:sz w:val="20"/>
          <w:szCs w:val="20"/>
          <w:lang w:eastAsia="en-AU"/>
        </w:rPr>
        <w:t>Coverage is calculated as doses administered and reported to the HPV Register/Estimated Resident Population expressed as a percentage.</w:t>
      </w:r>
    </w:p>
    <w:p w14:paraId="649449A2" w14:textId="77777777" w:rsidR="001223A8" w:rsidRPr="0040180F" w:rsidRDefault="001223A8" w:rsidP="001374D5">
      <w:pPr>
        <w:pStyle w:val="ListParagraph"/>
        <w:numPr>
          <w:ilvl w:val="0"/>
          <w:numId w:val="6"/>
        </w:numPr>
        <w:shd w:val="clear" w:color="auto" w:fill="FFFFFF"/>
        <w:tabs>
          <w:tab w:val="clear" w:pos="1077"/>
          <w:tab w:val="num" w:pos="360"/>
        </w:tabs>
        <w:spacing w:after="120" w:line="276" w:lineRule="auto"/>
        <w:ind w:left="360"/>
        <w:contextualSpacing w:val="0"/>
        <w:rPr>
          <w:rFonts w:ascii="Arial" w:eastAsia="Times New Roman" w:hAnsi="Arial" w:cs="Arial"/>
          <w:sz w:val="20"/>
          <w:szCs w:val="20"/>
          <w:lang w:eastAsia="en-AU"/>
        </w:rPr>
      </w:pPr>
      <w:r w:rsidRPr="0040180F">
        <w:rPr>
          <w:rFonts w:ascii="Arial" w:eastAsia="Times New Roman" w:hAnsi="Arial" w:cs="Arial"/>
          <w:sz w:val="20"/>
          <w:szCs w:val="20"/>
          <w:lang w:eastAsia="en-AU"/>
        </w:rPr>
        <w:t>Excludes consumers who do not wish their details to be recorded on the HPV Register.</w:t>
      </w:r>
    </w:p>
    <w:p w14:paraId="27D9AC49" w14:textId="77777777" w:rsidR="001223A8" w:rsidRPr="0040180F" w:rsidRDefault="001223A8" w:rsidP="001374D5">
      <w:pPr>
        <w:pStyle w:val="ListParagraph"/>
        <w:numPr>
          <w:ilvl w:val="0"/>
          <w:numId w:val="6"/>
        </w:numPr>
        <w:shd w:val="clear" w:color="auto" w:fill="FFFFFF"/>
        <w:tabs>
          <w:tab w:val="clear" w:pos="1077"/>
          <w:tab w:val="num" w:pos="360"/>
        </w:tabs>
        <w:spacing w:after="120" w:line="276" w:lineRule="auto"/>
        <w:ind w:left="360"/>
        <w:contextualSpacing w:val="0"/>
        <w:rPr>
          <w:rFonts w:ascii="Arial" w:eastAsia="Times New Roman" w:hAnsi="Arial" w:cs="Arial"/>
          <w:sz w:val="20"/>
          <w:szCs w:val="20"/>
          <w:lang w:eastAsia="en-AU"/>
        </w:rPr>
      </w:pPr>
      <w:r w:rsidRPr="0040180F">
        <w:rPr>
          <w:rFonts w:ascii="Arial" w:eastAsia="Times New Roman" w:hAnsi="Arial" w:cs="Arial"/>
          <w:sz w:val="20"/>
          <w:szCs w:val="20"/>
          <w:lang w:eastAsia="en-AU"/>
        </w:rPr>
        <w:t xml:space="preserve">The National HPV Vaccination Program initially provided quadrivalent HPV vaccine for all females aged 12-26 years as at mid 2007 </w:t>
      </w:r>
      <w:proofErr w:type="gramStart"/>
      <w:r w:rsidRPr="0040180F">
        <w:rPr>
          <w:rFonts w:ascii="Arial" w:eastAsia="Times New Roman" w:hAnsi="Arial" w:cs="Arial"/>
          <w:sz w:val="20"/>
          <w:szCs w:val="20"/>
          <w:lang w:eastAsia="en-AU"/>
        </w:rPr>
        <w:t>( school</w:t>
      </w:r>
      <w:proofErr w:type="gramEnd"/>
      <w:r w:rsidRPr="0040180F">
        <w:rPr>
          <w:rFonts w:ascii="Arial" w:eastAsia="Times New Roman" w:hAnsi="Arial" w:cs="Arial"/>
          <w:sz w:val="20"/>
          <w:szCs w:val="20"/>
          <w:lang w:eastAsia="en-AU"/>
        </w:rPr>
        <w:t xml:space="preserve">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64B33D97" w14:textId="6C8E1117" w:rsidR="001223A8" w:rsidRPr="0040180F" w:rsidRDefault="001223A8" w:rsidP="001374D5">
      <w:pPr>
        <w:pStyle w:val="ListParagraph"/>
        <w:numPr>
          <w:ilvl w:val="0"/>
          <w:numId w:val="6"/>
        </w:numPr>
        <w:shd w:val="clear" w:color="auto" w:fill="FFFFFF"/>
        <w:tabs>
          <w:tab w:val="clear" w:pos="1077"/>
          <w:tab w:val="num" w:pos="360"/>
        </w:tabs>
        <w:spacing w:after="120" w:line="276" w:lineRule="auto"/>
        <w:ind w:left="360"/>
        <w:contextualSpacing w:val="0"/>
        <w:rPr>
          <w:rFonts w:ascii="Arial" w:eastAsia="Times New Roman" w:hAnsi="Arial" w:cs="Arial"/>
          <w:sz w:val="20"/>
          <w:szCs w:val="20"/>
          <w:lang w:eastAsia="en-AU"/>
        </w:rPr>
      </w:pPr>
      <w:r w:rsidRPr="0040180F">
        <w:rPr>
          <w:rFonts w:ascii="Arial" w:eastAsia="Times New Roman" w:hAnsi="Arial" w:cs="Arial"/>
          <w:sz w:val="20"/>
          <w:szCs w:val="20"/>
          <w:lang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w:t>
      </w:r>
    </w:p>
    <w:p w14:paraId="4B4EB839" w14:textId="77777777" w:rsidR="00003743" w:rsidRPr="0040180F" w:rsidRDefault="001223A8" w:rsidP="001374D5">
      <w:pPr>
        <w:pStyle w:val="ListParagraph"/>
        <w:numPr>
          <w:ilvl w:val="0"/>
          <w:numId w:val="6"/>
        </w:numPr>
        <w:shd w:val="clear" w:color="auto" w:fill="FFFFFF"/>
        <w:tabs>
          <w:tab w:val="clear" w:pos="1077"/>
          <w:tab w:val="num" w:pos="360"/>
        </w:tabs>
        <w:spacing w:after="120" w:line="276" w:lineRule="auto"/>
        <w:ind w:left="360"/>
        <w:contextualSpacing w:val="0"/>
        <w:rPr>
          <w:rFonts w:ascii="Arial" w:eastAsia="Times New Roman" w:hAnsi="Arial" w:cs="Arial"/>
          <w:sz w:val="20"/>
          <w:szCs w:val="20"/>
          <w:lang w:eastAsia="en-AU"/>
        </w:rPr>
      </w:pPr>
      <w:r w:rsidRPr="0040180F">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003743" w:rsidRPr="0040180F"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7AC6"/>
    <w:multiLevelType w:val="multilevel"/>
    <w:tmpl w:val="972043F8"/>
    <w:lvl w:ilvl="0">
      <w:start w:val="1"/>
      <w:numFmt w:val="bullet"/>
      <w:lvlText w:val=""/>
      <w:lvlJc w:val="left"/>
      <w:pPr>
        <w:tabs>
          <w:tab w:val="num" w:pos="1077"/>
        </w:tabs>
        <w:ind w:left="1077" w:hanging="360"/>
      </w:pPr>
      <w:rPr>
        <w:rFonts w:ascii="Symbol" w:hAnsi="Symbol" w:hint="default"/>
        <w:sz w:val="20"/>
      </w:rPr>
    </w:lvl>
    <w:lvl w:ilvl="1" w:tentative="1">
      <w:start w:val="1"/>
      <w:numFmt w:val="bullet"/>
      <w:lvlText w:val="o"/>
      <w:lvlJc w:val="left"/>
      <w:pPr>
        <w:tabs>
          <w:tab w:val="num" w:pos="1797"/>
        </w:tabs>
        <w:ind w:left="1797" w:hanging="360"/>
      </w:pPr>
      <w:rPr>
        <w:rFonts w:ascii="Courier New" w:hAnsi="Courier New" w:hint="default"/>
        <w:sz w:val="20"/>
      </w:rPr>
    </w:lvl>
    <w:lvl w:ilvl="2" w:tentative="1">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abstractNum w:abstractNumId="1" w15:restartNumberingAfterBreak="0">
    <w:nsid w:val="1D766546"/>
    <w:multiLevelType w:val="multilevel"/>
    <w:tmpl w:val="0B58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22C31"/>
    <w:multiLevelType w:val="hybridMultilevel"/>
    <w:tmpl w:val="26608396"/>
    <w:lvl w:ilvl="0" w:tplc="D3D0504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F2430AC"/>
    <w:multiLevelType w:val="hybridMultilevel"/>
    <w:tmpl w:val="FC5CEE6A"/>
    <w:lvl w:ilvl="0" w:tplc="0C0097D6">
      <w:start w:val="1"/>
      <w:numFmt w:val="decimal"/>
      <w:pStyle w:val="Number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B00A70"/>
    <w:multiLevelType w:val="hybridMultilevel"/>
    <w:tmpl w:val="B22E1AA2"/>
    <w:lvl w:ilvl="0" w:tplc="29A043F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776B02F5"/>
    <w:multiLevelType w:val="hybridMultilevel"/>
    <w:tmpl w:val="563A7E1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4"/>
  </w:num>
  <w:num w:numId="2">
    <w:abstractNumId w:val="3"/>
  </w:num>
  <w:num w:numId="3">
    <w:abstractNumId w:val="2"/>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2E"/>
    <w:rsid w:val="00003743"/>
    <w:rsid w:val="00067456"/>
    <w:rsid w:val="00071711"/>
    <w:rsid w:val="000A4A05"/>
    <w:rsid w:val="000D2131"/>
    <w:rsid w:val="001223A8"/>
    <w:rsid w:val="001374D5"/>
    <w:rsid w:val="0017715E"/>
    <w:rsid w:val="001B3443"/>
    <w:rsid w:val="002F3AE3"/>
    <w:rsid w:val="0030786C"/>
    <w:rsid w:val="003D17F9"/>
    <w:rsid w:val="0040180F"/>
    <w:rsid w:val="004867E2"/>
    <w:rsid w:val="004A602E"/>
    <w:rsid w:val="00523060"/>
    <w:rsid w:val="0067423A"/>
    <w:rsid w:val="00706E97"/>
    <w:rsid w:val="00715E41"/>
    <w:rsid w:val="007708FF"/>
    <w:rsid w:val="007C7444"/>
    <w:rsid w:val="007F2FB7"/>
    <w:rsid w:val="008264EB"/>
    <w:rsid w:val="008627A7"/>
    <w:rsid w:val="009160EE"/>
    <w:rsid w:val="0095743F"/>
    <w:rsid w:val="009F46F5"/>
    <w:rsid w:val="00A4512D"/>
    <w:rsid w:val="00A705AF"/>
    <w:rsid w:val="00AC2424"/>
    <w:rsid w:val="00B3507C"/>
    <w:rsid w:val="00B42851"/>
    <w:rsid w:val="00CB5B1A"/>
    <w:rsid w:val="00D32224"/>
    <w:rsid w:val="00E86D65"/>
    <w:rsid w:val="00EC5BC7"/>
    <w:rsid w:val="00FB1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DDBFA"/>
  <w15:docId w15:val="{36FD9D89-DDCA-4C65-A70D-7CA878D7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02E"/>
    <w:pPr>
      <w:spacing w:after="160" w:line="259" w:lineRule="auto"/>
    </w:pPr>
    <w:rPr>
      <w:rFonts w:eastAsiaTheme="minorHAnsi"/>
      <w:sz w:val="24"/>
      <w:szCs w:val="24"/>
      <w:lang w:eastAsia="en-US"/>
    </w:rPr>
  </w:style>
  <w:style w:type="paragraph" w:styleId="Heading1">
    <w:name w:val="heading 1"/>
    <w:next w:val="Normal"/>
    <w:link w:val="Heading1Char"/>
    <w:uiPriority w:val="9"/>
    <w:qFormat/>
    <w:rsid w:val="008627A7"/>
    <w:pPr>
      <w:keepNext/>
      <w:spacing w:before="120" w:after="60"/>
      <w:outlineLvl w:val="0"/>
    </w:pPr>
    <w:rPr>
      <w:rFonts w:asciiTheme="minorHAnsi" w:hAnsiTheme="minorHAnsi" w:cs="Arial"/>
      <w:b/>
      <w:bCs/>
      <w:kern w:val="28"/>
      <w:sz w:val="28"/>
      <w:szCs w:val="32"/>
    </w:rPr>
  </w:style>
  <w:style w:type="paragraph" w:styleId="Heading2">
    <w:name w:val="heading 2"/>
    <w:basedOn w:val="Heading1"/>
    <w:next w:val="Normal"/>
    <w:link w:val="Heading2Char"/>
    <w:uiPriority w:val="9"/>
    <w:qFormat/>
    <w:rsid w:val="008627A7"/>
    <w:pPr>
      <w:keepLines/>
      <w:spacing w:after="120"/>
      <w:outlineLvl w:val="1"/>
    </w:pPr>
    <w:rPr>
      <w:b w:val="0"/>
      <w:bCs w:val="0"/>
      <w:i/>
      <w:iCs/>
      <w:sz w:val="26"/>
      <w:szCs w:val="28"/>
    </w:rPr>
  </w:style>
  <w:style w:type="paragraph" w:styleId="Heading3">
    <w:name w:val="heading 3"/>
    <w:basedOn w:val="Heading2"/>
    <w:next w:val="Normal"/>
    <w:qFormat/>
    <w:rsid w:val="008627A7"/>
    <w:pPr>
      <w:outlineLvl w:val="2"/>
    </w:pPr>
    <w:rPr>
      <w:b/>
      <w:bCs/>
      <w:color w:val="4F81BD" w:themeColor="accent1"/>
      <w:sz w:val="22"/>
      <w:szCs w:val="26"/>
    </w:rPr>
  </w:style>
  <w:style w:type="paragraph" w:styleId="Heading4">
    <w:name w:val="heading 4"/>
    <w:basedOn w:val="Heading3"/>
    <w:next w:val="Normal"/>
    <w:qFormat/>
    <w:rsid w:val="008627A7"/>
    <w:pPr>
      <w:spacing w:before="60"/>
      <w:outlineLvl w:val="3"/>
    </w:pPr>
    <w:rPr>
      <w:bCs w:val="0"/>
      <w:color w:val="244061" w:themeColor="accent1" w:themeShade="80"/>
      <w:szCs w:val="28"/>
    </w:rPr>
  </w:style>
  <w:style w:type="paragraph" w:styleId="Heading5">
    <w:name w:val="heading 5"/>
    <w:basedOn w:val="Normal"/>
    <w:next w:val="Normal"/>
    <w:qFormat/>
    <w:rsid w:val="008627A7"/>
    <w:pPr>
      <w:keepNext/>
      <w:spacing w:before="240" w:after="60"/>
      <w:outlineLvl w:val="4"/>
    </w:pPr>
    <w:rPr>
      <w:b/>
      <w:bCs/>
      <w:iCs/>
      <w:szCs w:val="26"/>
    </w:rPr>
  </w:style>
  <w:style w:type="paragraph" w:styleId="Heading6">
    <w:name w:val="heading 6"/>
    <w:basedOn w:val="Normal"/>
    <w:next w:val="Normal"/>
    <w:qFormat/>
    <w:rsid w:val="008627A7"/>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27A7"/>
    <w:rPr>
      <w:i/>
      <w:iCs/>
    </w:rPr>
  </w:style>
  <w:style w:type="character" w:styleId="Strong">
    <w:name w:val="Strong"/>
    <w:basedOn w:val="DefaultParagraphFont"/>
    <w:uiPriority w:val="22"/>
    <w:qFormat/>
    <w:rsid w:val="008627A7"/>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627A7"/>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8627A7"/>
    <w:rPr>
      <w:rFonts w:asciiTheme="minorHAnsi" w:eastAsiaTheme="majorEastAsia" w:hAnsiTheme="minorHAnsi" w:cstheme="majorBidi"/>
      <w:b/>
      <w:kern w:val="28"/>
      <w:sz w:val="32"/>
      <w:szCs w:val="52"/>
    </w:rPr>
  </w:style>
  <w:style w:type="paragraph" w:styleId="NoSpacing">
    <w:name w:val="No Spacing"/>
    <w:uiPriority w:val="1"/>
    <w:qFormat/>
    <w:rsid w:val="00A4512D"/>
    <w:rPr>
      <w:rFonts w:asciiTheme="minorHAnsi" w:hAnsiTheme="minorHAnsi"/>
      <w:sz w:val="22"/>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8627A7"/>
    <w:rPr>
      <w:rFonts w:asciiTheme="minorHAnsi" w:hAnsiTheme="minorHAnsi"/>
      <w:b/>
      <w:bCs/>
      <w:i/>
      <w:iCs/>
      <w:color w:val="auto"/>
      <w:sz w:val="22"/>
    </w:rPr>
  </w:style>
  <w:style w:type="paragraph" w:styleId="Quote">
    <w:name w:val="Quote"/>
    <w:basedOn w:val="Normal"/>
    <w:next w:val="Normal"/>
    <w:link w:val="QuoteChar"/>
    <w:uiPriority w:val="29"/>
    <w:qFormat/>
    <w:rsid w:val="008627A7"/>
    <w:rPr>
      <w:i/>
      <w:iCs/>
      <w:color w:val="000000" w:themeColor="text1"/>
    </w:rPr>
  </w:style>
  <w:style w:type="character" w:customStyle="1" w:styleId="QuoteChar">
    <w:name w:val="Quote Char"/>
    <w:basedOn w:val="DefaultParagraphFont"/>
    <w:link w:val="Quote"/>
    <w:uiPriority w:val="29"/>
    <w:rsid w:val="008627A7"/>
    <w:rPr>
      <w:i/>
      <w:iCs/>
      <w:color w:val="000000" w:themeColor="text1"/>
      <w:sz w:val="24"/>
      <w:szCs w:val="24"/>
      <w:lang w:eastAsia="en-US"/>
    </w:rPr>
  </w:style>
  <w:style w:type="paragraph" w:styleId="IntenseQuote">
    <w:name w:val="Intense Quote"/>
    <w:basedOn w:val="Normal"/>
    <w:next w:val="Normal"/>
    <w:link w:val="IntenseQuoteChar"/>
    <w:uiPriority w:val="30"/>
    <w:qFormat/>
    <w:rsid w:val="008627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627A7"/>
    <w:rPr>
      <w:b/>
      <w:bCs/>
      <w:i/>
      <w:iCs/>
      <w:color w:val="4F81BD" w:themeColor="accent1"/>
      <w:sz w:val="24"/>
      <w:szCs w:val="24"/>
      <w:lang w:eastAsia="en-US"/>
    </w:rPr>
  </w:style>
  <w:style w:type="character" w:styleId="SubtleReference">
    <w:name w:val="Subtle Reference"/>
    <w:basedOn w:val="DefaultParagraphFont"/>
    <w:uiPriority w:val="31"/>
    <w:qFormat/>
    <w:rsid w:val="008627A7"/>
    <w:rPr>
      <w:smallCaps/>
      <w:color w:val="C0504D" w:themeColor="accent2"/>
      <w:u w:val="single"/>
    </w:rPr>
  </w:style>
  <w:style w:type="character" w:styleId="IntenseReference">
    <w:name w:val="Intense Reference"/>
    <w:basedOn w:val="DefaultParagraphFont"/>
    <w:uiPriority w:val="32"/>
    <w:qFormat/>
    <w:rsid w:val="008627A7"/>
    <w:rPr>
      <w:rFonts w:asciiTheme="minorHAnsi" w:hAnsiTheme="minorHAnsi"/>
      <w:b/>
      <w:bCs/>
      <w:i/>
      <w:caps w:val="0"/>
      <w:smallCaps w:val="0"/>
      <w:color w:val="0000FF"/>
      <w:spacing w:val="5"/>
      <w:sz w:val="22"/>
      <w:u w:val="none"/>
    </w:rPr>
  </w:style>
  <w:style w:type="character" w:styleId="BookTitle">
    <w:name w:val="Book Title"/>
    <w:basedOn w:val="DefaultParagraphFont"/>
    <w:uiPriority w:val="33"/>
    <w:qFormat/>
    <w:rsid w:val="008627A7"/>
    <w:rPr>
      <w:b/>
      <w:bCs/>
      <w:smallCaps/>
      <w:spacing w:val="5"/>
    </w:rPr>
  </w:style>
  <w:style w:type="paragraph" w:styleId="ListParagraph">
    <w:name w:val="List Paragraph"/>
    <w:basedOn w:val="Normal"/>
    <w:link w:val="ListParagraphChar"/>
    <w:uiPriority w:val="34"/>
    <w:qFormat/>
    <w:rsid w:val="008627A7"/>
    <w:pPr>
      <w:ind w:left="754" w:hanging="357"/>
      <w:contextualSpacing/>
    </w:pPr>
  </w:style>
  <w:style w:type="paragraph" w:customStyle="1" w:styleId="Image">
    <w:name w:val="Image"/>
    <w:basedOn w:val="Normal"/>
    <w:link w:val="ImageChar"/>
    <w:autoRedefine/>
    <w:qFormat/>
    <w:rsid w:val="008627A7"/>
    <w:pPr>
      <w:spacing w:before="180" w:after="180"/>
    </w:pPr>
    <w:rPr>
      <w:rFonts w:ascii="Arial" w:hAnsi="Arial" w:cs="Arial"/>
      <w:noProof/>
      <w:sz w:val="20"/>
    </w:rPr>
  </w:style>
  <w:style w:type="character" w:customStyle="1" w:styleId="ImageChar">
    <w:name w:val="Image Char"/>
    <w:basedOn w:val="DefaultParagraphFont"/>
    <w:link w:val="Image"/>
    <w:rsid w:val="008627A7"/>
    <w:rPr>
      <w:rFonts w:ascii="Arial" w:hAnsi="Arial" w:cs="Arial"/>
      <w:noProof/>
    </w:rPr>
  </w:style>
  <w:style w:type="paragraph" w:customStyle="1" w:styleId="BulletPoint">
    <w:name w:val="Bullet Point"/>
    <w:basedOn w:val="ListParagraph"/>
    <w:link w:val="BulletPointChar"/>
    <w:autoRedefine/>
    <w:qFormat/>
    <w:rsid w:val="008627A7"/>
    <w:pPr>
      <w:tabs>
        <w:tab w:val="left" w:pos="1134"/>
      </w:tabs>
      <w:spacing w:before="40" w:after="40"/>
      <w:ind w:left="709" w:hanging="425"/>
      <w:contextualSpacing w:val="0"/>
    </w:pPr>
    <w:rPr>
      <w:rFonts w:ascii="Arial" w:hAnsi="Arial"/>
      <w:sz w:val="20"/>
      <w:szCs w:val="20"/>
    </w:rPr>
  </w:style>
  <w:style w:type="character" w:customStyle="1" w:styleId="BulletPointChar">
    <w:name w:val="Bullet Point Char"/>
    <w:basedOn w:val="DefaultParagraphFont"/>
    <w:link w:val="BulletPoint"/>
    <w:rsid w:val="008627A7"/>
    <w:rPr>
      <w:rFonts w:ascii="Arial" w:eastAsiaTheme="minorHAnsi" w:hAnsi="Arial"/>
      <w:lang w:eastAsia="en-US"/>
    </w:rPr>
  </w:style>
  <w:style w:type="paragraph" w:customStyle="1" w:styleId="Tableheaders">
    <w:name w:val="Table headers"/>
    <w:basedOn w:val="Normal"/>
    <w:qFormat/>
    <w:rsid w:val="008627A7"/>
    <w:rPr>
      <w:rFonts w:cs="Arial"/>
      <w:b/>
    </w:rPr>
  </w:style>
  <w:style w:type="paragraph" w:customStyle="1" w:styleId="Numbering">
    <w:name w:val="Numbering"/>
    <w:basedOn w:val="Normal"/>
    <w:qFormat/>
    <w:rsid w:val="008627A7"/>
    <w:pPr>
      <w:numPr>
        <w:numId w:val="5"/>
      </w:numPr>
      <w:spacing w:before="60" w:after="60"/>
    </w:pPr>
    <w:rPr>
      <w:rFonts w:eastAsia="Arial" w:cs="ArialMT"/>
      <w:color w:val="000000"/>
      <w:lang w:val="en-US"/>
    </w:rPr>
  </w:style>
  <w:style w:type="character" w:customStyle="1" w:styleId="Heading2Char">
    <w:name w:val="Heading 2 Char"/>
    <w:basedOn w:val="DefaultParagraphFont"/>
    <w:link w:val="Heading2"/>
    <w:uiPriority w:val="9"/>
    <w:rsid w:val="008627A7"/>
    <w:rPr>
      <w:rFonts w:asciiTheme="minorHAnsi" w:hAnsiTheme="minorHAnsi" w:cs="Arial"/>
      <w:i/>
      <w:iCs/>
      <w:kern w:val="28"/>
      <w:sz w:val="26"/>
      <w:szCs w:val="28"/>
    </w:rPr>
  </w:style>
  <w:style w:type="paragraph" w:styleId="Caption">
    <w:name w:val="caption"/>
    <w:basedOn w:val="Normal"/>
    <w:next w:val="Normal"/>
    <w:unhideWhenUsed/>
    <w:qFormat/>
    <w:rsid w:val="008627A7"/>
    <w:pPr>
      <w:keepNext/>
      <w:spacing w:after="60"/>
    </w:pPr>
    <w:rPr>
      <w:b/>
      <w:bCs/>
      <w:sz w:val="20"/>
      <w:szCs w:val="18"/>
    </w:rPr>
  </w:style>
  <w:style w:type="character" w:customStyle="1" w:styleId="ListParagraphChar">
    <w:name w:val="List Paragraph Char"/>
    <w:basedOn w:val="DefaultParagraphFont"/>
    <w:link w:val="ListParagraph"/>
    <w:uiPriority w:val="34"/>
    <w:rsid w:val="008627A7"/>
    <w:rPr>
      <w:rFonts w:eastAsiaTheme="minorHAnsi"/>
      <w:sz w:val="24"/>
      <w:szCs w:val="24"/>
      <w:lang w:eastAsia="en-US"/>
    </w:rPr>
  </w:style>
  <w:style w:type="table" w:customStyle="1" w:styleId="GridTable4-Accent51">
    <w:name w:val="Grid Table 4 - Accent 51"/>
    <w:basedOn w:val="TableNormal"/>
    <w:uiPriority w:val="49"/>
    <w:rsid w:val="004A602E"/>
    <w:rPr>
      <w:rFonts w:eastAsiaTheme="minorHAnsi"/>
      <w:sz w:val="24"/>
      <w:szCs w:val="24"/>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4A602E"/>
    <w:rPr>
      <w:rFonts w:asciiTheme="minorHAnsi" w:hAnsiTheme="minorHAnsi" w:cs="Arial"/>
      <w:b/>
      <w:bCs/>
      <w:kern w:val="28"/>
      <w:sz w:val="28"/>
      <w:szCs w:val="32"/>
    </w:rPr>
  </w:style>
  <w:style w:type="paragraph" w:styleId="BalloonText">
    <w:name w:val="Balloon Text"/>
    <w:basedOn w:val="Normal"/>
    <w:link w:val="BalloonTextChar"/>
    <w:rsid w:val="004A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602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D47E-4934-B192-370908464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71.400000000000006</c:v>
                </c:pt>
                <c:pt idx="1">
                  <c:v>69.3</c:v>
                </c:pt>
                <c:pt idx="2">
                  <c:v>86.4</c:v>
                </c:pt>
                <c:pt idx="3">
                  <c:v>72.099999999999994</c:v>
                </c:pt>
                <c:pt idx="4">
                  <c:v>73.400000000000006</c:v>
                </c:pt>
                <c:pt idx="5">
                  <c:v>65.900000000000006</c:v>
                </c:pt>
                <c:pt idx="6">
                  <c:v>75.2</c:v>
                </c:pt>
                <c:pt idx="7">
                  <c:v>72.7</c:v>
                </c:pt>
                <c:pt idx="8">
                  <c:v>72.099999999999994</c:v>
                </c:pt>
              </c:numCache>
            </c:numRef>
          </c:val>
          <c:extLst>
            <c:ext xmlns:c16="http://schemas.microsoft.com/office/drawing/2014/chart" uri="{C3380CC4-5D6E-409C-BE32-E72D297353CC}">
              <c16:uniqueId val="{00000002-D47E-4934-B192-3709084644BC}"/>
            </c:ext>
          </c:extLst>
        </c:ser>
        <c:dLbls>
          <c:dLblPos val="outEnd"/>
          <c:showLegendKey val="0"/>
          <c:showVal val="1"/>
          <c:showCatName val="0"/>
          <c:showSerName val="0"/>
          <c:showPercent val="0"/>
          <c:showBubbleSize val="0"/>
        </c:dLbls>
        <c:gapWidth val="50"/>
        <c:overlap val="-27"/>
        <c:axId val="139015296"/>
        <c:axId val="139027200"/>
      </c:barChart>
      <c:catAx>
        <c:axId val="139015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027200"/>
        <c:crosses val="autoZero"/>
        <c:auto val="1"/>
        <c:lblAlgn val="ctr"/>
        <c:lblOffset val="100"/>
        <c:noMultiLvlLbl val="0"/>
      </c:catAx>
      <c:valAx>
        <c:axId val="139027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a:t>
                </a:r>
                <a:r>
                  <a:rPr lang="en-AU" baseline="0"/>
                  <a:t> HPV Vaccination Coverage (%)</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015296"/>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7587-0D3C-4F0E-81B2-59880B64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National Human Papillomavirus 3 dose vaccination coverage for females turning 15 years of age in 2013</vt:lpstr>
    </vt:vector>
  </TitlesOfParts>
  <Company>Dept Health And Ageing</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Papillomavirus 3 dose vaccination coverage for females turning 15 years of age in 2013</dc:title>
  <dc:creator>Office of Health Protection</dc:creator>
  <cp:lastModifiedBy>Pitt, Michael</cp:lastModifiedBy>
  <cp:revision>16</cp:revision>
  <cp:lastPrinted>2019-03-14T03:35:00Z</cp:lastPrinted>
  <dcterms:created xsi:type="dcterms:W3CDTF">2019-03-25T01:24:00Z</dcterms:created>
  <dcterms:modified xsi:type="dcterms:W3CDTF">2019-11-04T21:18:00Z</dcterms:modified>
</cp:coreProperties>
</file>