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90" w:rsidRPr="005D4790" w:rsidRDefault="005D4790" w:rsidP="005D4790">
      <w:pPr>
        <w:pStyle w:val="Heading1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Adolescent ‘booster’ dose of diphtheria</w:t>
      </w:r>
      <w:r w:rsidR="009E3373">
        <w:rPr>
          <w:rFonts w:ascii="Arial" w:hAnsi="Arial" w:cs="Arial"/>
          <w:b/>
          <w:color w:val="auto"/>
        </w:rPr>
        <w:t>-</w:t>
      </w:r>
      <w:bookmarkStart w:id="0" w:name="_GoBack"/>
      <w:bookmarkEnd w:id="0"/>
      <w:r w:rsidRPr="005D4790">
        <w:rPr>
          <w:rFonts w:ascii="Arial" w:hAnsi="Arial" w:cs="Arial"/>
          <w:b/>
          <w:color w:val="auto"/>
        </w:rPr>
        <w:t>tetanus-pertussis (</w:t>
      </w:r>
      <w:proofErr w:type="spellStart"/>
      <w:r w:rsidRPr="005D4790">
        <w:rPr>
          <w:rFonts w:ascii="Arial" w:hAnsi="Arial" w:cs="Arial"/>
          <w:b/>
          <w:color w:val="auto"/>
        </w:rPr>
        <w:t>dTpa</w:t>
      </w:r>
      <w:proofErr w:type="spellEnd"/>
      <w:r w:rsidRPr="005D4790">
        <w:rPr>
          <w:rFonts w:ascii="Arial" w:hAnsi="Arial" w:cs="Arial"/>
          <w:b/>
          <w:color w:val="auto"/>
        </w:rPr>
        <w:t>) vaccine</w:t>
      </w:r>
    </w:p>
    <w:p w:rsidR="00E037F0" w:rsidRDefault="005D4790" w:rsidP="005D4790">
      <w:pPr>
        <w:pStyle w:val="Heading2"/>
        <w:rPr>
          <w:rStyle w:val="SubtleEmphasis"/>
          <w:rFonts w:ascii="Arial" w:hAnsi="Arial" w:cs="Arial"/>
          <w:i w:val="0"/>
        </w:rPr>
      </w:pPr>
      <w:r w:rsidRPr="005D4790">
        <w:rPr>
          <w:rStyle w:val="SubtleEmphasis"/>
          <w:rFonts w:ascii="Arial" w:hAnsi="Arial" w:cs="Arial"/>
          <w:i w:val="0"/>
        </w:rPr>
        <w:t>Preventing serious diseases by vaccination and protecting the community.</w:t>
      </w:r>
    </w:p>
    <w:p w:rsidR="00E037F0" w:rsidRDefault="00E037F0" w:rsidP="005D4790">
      <w:pPr>
        <w:pStyle w:val="Heading2"/>
        <w:rPr>
          <w:rStyle w:val="SubtleEmphasis"/>
          <w:rFonts w:ascii="Arial" w:hAnsi="Arial" w:cs="Arial"/>
          <w:i w:val="0"/>
        </w:rPr>
      </w:pPr>
    </w:p>
    <w:p w:rsidR="00E037F0" w:rsidRPr="009C2433" w:rsidRDefault="00E037F0" w:rsidP="00E037F0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p w:rsidR="00E037F0" w:rsidRPr="009C2433" w:rsidRDefault="00E037F0" w:rsidP="00E037F0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Australian Government </w:t>
      </w:r>
    </w:p>
    <w:p w:rsidR="00E037F0" w:rsidRPr="009C2433" w:rsidRDefault="00E037F0" w:rsidP="00E037F0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Department of Health</w:t>
      </w:r>
    </w:p>
    <w:p w:rsidR="00E037F0" w:rsidRPr="009C2433" w:rsidRDefault="00E037F0" w:rsidP="00E037F0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National Immunisation Program </w:t>
      </w:r>
    </w:p>
    <w:p w:rsidR="005D4790" w:rsidRPr="00E037F0" w:rsidRDefault="00E037F0" w:rsidP="00E037F0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 joint Australian, State and Territory Government Initiative</w:t>
      </w:r>
      <w:r w:rsidR="005D4790">
        <w:rPr>
          <w:rStyle w:val="SubtleEmphasis"/>
          <w:rFonts w:ascii="Arial" w:hAnsi="Arial" w:cs="Arial"/>
          <w:i w:val="0"/>
        </w:rPr>
        <w:br/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What are these diseases?</w:t>
      </w:r>
    </w:p>
    <w:p w:rsidR="005D4790" w:rsidRP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Diphtheria is a rare but serious infectious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disease. The bacteria usually causes infection of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the mouth, throat and nose but it can also cause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skin infections. It is spread by an infected person</w:t>
      </w:r>
      <w:r w:rsidRPr="005D4790">
        <w:rPr>
          <w:rFonts w:ascii="Arial" w:hAnsi="Arial" w:cs="Arial" w:hint="eastAsia"/>
        </w:rPr>
        <w:t>’</w:t>
      </w:r>
      <w:r w:rsidRPr="005D47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coughing and sneezing, or direct contact with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infected wounds or contaminated objects/articles.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It is a potentially life-threatening disease that can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cause severe breathing difficulties, heart failure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and nerve damage.</w:t>
      </w:r>
    </w:p>
    <w:p w:rsidR="005D4790" w:rsidRP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Tetanus is caused when bacteria that are found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in soil, dust and manure, enter the body through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 break in the s</w:t>
      </w:r>
      <w:r>
        <w:rPr>
          <w:rFonts w:ascii="Arial" w:hAnsi="Arial" w:cs="Arial"/>
        </w:rPr>
        <w:t xml:space="preserve">kin such as through either a cut </w:t>
      </w:r>
      <w:r w:rsidRPr="005D4790">
        <w:rPr>
          <w:rFonts w:ascii="Arial" w:hAnsi="Arial" w:cs="Arial"/>
        </w:rPr>
        <w:t>or graze. Tetanus does not spread from person to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person, so you cannot catch tetanus from someone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else. Tetanus causes severe and painful muscle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spasms, convulsions and lockjaw.</w:t>
      </w:r>
    </w:p>
    <w:p w:rsid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Pertussis is more commonly known as whooping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cough, and is a highly contagious respiratory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disease. It is spread when an infected person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coughs or sneezes. In adolescents and adults,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symptoms can vary from mild cold-like symptoms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to a severe persistent cough. Complications from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pertussis can include pneumonia, seizures and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rib fractures.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Why get vaccinated?</w:t>
      </w:r>
    </w:p>
    <w:p w:rsidR="005D4790" w:rsidRP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By your child getting vaccinated, it protects them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and also protects the broader community from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diphtheria and whooping cough, and particularly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vulnerable people such as babies who are too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young to be vaccinated, by helping to limit the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spread of these diseases. The more people who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are vaccinated in your community, the less likely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the disease will spread.</w:t>
      </w:r>
    </w:p>
    <w:p w:rsid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Your child is likely to have received vaccination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against diphtheria-tetanus-pertussis at their last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childhood immunisation, around the age of four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 xml:space="preserve">years. The adolescent dose of the </w:t>
      </w:r>
      <w:proofErr w:type="spellStart"/>
      <w:r w:rsidRPr="005D4790">
        <w:rPr>
          <w:rFonts w:ascii="Arial" w:hAnsi="Arial" w:cs="Arial"/>
        </w:rPr>
        <w:t>dTpa</w:t>
      </w:r>
      <w:proofErr w:type="spellEnd"/>
      <w:r w:rsidRPr="005D4790">
        <w:rPr>
          <w:rFonts w:ascii="Arial" w:hAnsi="Arial" w:cs="Arial"/>
        </w:rPr>
        <w:t xml:space="preserve"> vaccine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is offered as part of the secondary school-based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program, and is an additional booster dose to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maintain effective immunity into early adulthood.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lastRenderedPageBreak/>
        <w:t>How do you get vaccinated?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The vaccine is provided free to adolescents in years 7 or 8 of secondary school (aged about 12–13 years) depending on the state or territory you live in, through school-based immunisation programs.</w:t>
      </w:r>
    </w:p>
    <w:p w:rsid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>These students will receive a consent form from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their school, which must be signed by either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 parent or legal guardian and returned to the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school before the vaccine is administered.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How effective is the vaccine?</w:t>
      </w:r>
    </w:p>
    <w:p w:rsidR="005D4790" w:rsidRDefault="005D4790" w:rsidP="005D4790">
      <w:pPr>
        <w:rPr>
          <w:rFonts w:ascii="Arial" w:hAnsi="Arial" w:cs="Arial"/>
        </w:rPr>
      </w:pPr>
      <w:r w:rsidRPr="005D4790">
        <w:rPr>
          <w:rFonts w:ascii="Arial" w:hAnsi="Arial" w:cs="Arial"/>
        </w:rPr>
        <w:t xml:space="preserve">The </w:t>
      </w:r>
      <w:proofErr w:type="spellStart"/>
      <w:r w:rsidRPr="005D4790">
        <w:rPr>
          <w:rFonts w:ascii="Arial" w:hAnsi="Arial" w:cs="Arial"/>
        </w:rPr>
        <w:t>dTpa</w:t>
      </w:r>
      <w:proofErr w:type="spellEnd"/>
      <w:r w:rsidRPr="005D4790">
        <w:rPr>
          <w:rFonts w:ascii="Arial" w:hAnsi="Arial" w:cs="Arial"/>
        </w:rPr>
        <w:t xml:space="preserve"> vaccine is a safe and effective way to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help protect adolescents from diphtheria, tetanus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and pertussis. Fully vaccinated adolescents will be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protected for many years, but may require a booster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dose in the future for protection against pertussis</w:t>
      </w:r>
      <w:r>
        <w:rPr>
          <w:rFonts w:ascii="Arial" w:hAnsi="Arial" w:cs="Arial"/>
        </w:rPr>
        <w:t xml:space="preserve"> </w:t>
      </w:r>
      <w:r w:rsidRPr="005D4790">
        <w:rPr>
          <w:rFonts w:ascii="Arial" w:hAnsi="Arial" w:cs="Arial"/>
        </w:rPr>
        <w:t>or if an injury places them at risk of tetanus.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How safe is the vaccine?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The vaccine is very safe for your child.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As with all vaccines, some people may have</w:t>
      </w:r>
      <w:r>
        <w:rPr>
          <w:rFonts w:ascii="Arial" w:hAnsi="Arial" w:cs="Arial"/>
          <w:bCs/>
        </w:rPr>
        <w:t xml:space="preserve"> </w:t>
      </w:r>
      <w:r w:rsidRPr="005D4790">
        <w:rPr>
          <w:rFonts w:ascii="Arial" w:hAnsi="Arial" w:cs="Arial"/>
          <w:bCs/>
        </w:rPr>
        <w:t>a reaction. These are usually mild and quickly</w:t>
      </w:r>
      <w:r>
        <w:rPr>
          <w:rFonts w:ascii="Arial" w:hAnsi="Arial" w:cs="Arial"/>
          <w:bCs/>
        </w:rPr>
        <w:t xml:space="preserve"> </w:t>
      </w:r>
      <w:r w:rsidRPr="005D4790">
        <w:rPr>
          <w:rFonts w:ascii="Arial" w:hAnsi="Arial" w:cs="Arial"/>
          <w:bCs/>
        </w:rPr>
        <w:t>disappear, and can include: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pain, redness or swelling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at the injection site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mild temperature (below 38</w:t>
      </w:r>
      <w:r w:rsidRPr="005D4790">
        <w:rPr>
          <w:rFonts w:ascii="Arial" w:hAnsi="Arial" w:cs="Arial" w:hint="eastAsia"/>
          <w:bCs/>
        </w:rPr>
        <w:t>˚</w:t>
      </w:r>
      <w:r w:rsidRPr="005D4790">
        <w:rPr>
          <w:rFonts w:ascii="Arial" w:hAnsi="Arial" w:cs="Arial"/>
          <w:bCs/>
        </w:rPr>
        <w:t>C)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headache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nausea, generally feeling unwell</w:t>
      </w:r>
    </w:p>
    <w:p w:rsid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muscle aches and joint pain</w:t>
      </w:r>
    </w:p>
    <w:p w:rsidR="005D4790" w:rsidRPr="005D4790" w:rsidRDefault="005D4790" w:rsidP="005D479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proofErr w:type="gramStart"/>
      <w:r w:rsidRPr="005D4790">
        <w:rPr>
          <w:rFonts w:ascii="Arial" w:hAnsi="Arial" w:cs="Arial"/>
          <w:bCs/>
        </w:rPr>
        <w:t>tiredness</w:t>
      </w:r>
      <w:proofErr w:type="gramEnd"/>
      <w:r w:rsidRPr="005D4790">
        <w:rPr>
          <w:rFonts w:ascii="Arial" w:hAnsi="Arial" w:cs="Arial"/>
          <w:bCs/>
        </w:rPr>
        <w:t>.</w:t>
      </w:r>
    </w:p>
    <w:p w:rsid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Serious side effects from the vaccine are</w:t>
      </w:r>
      <w:r>
        <w:rPr>
          <w:rFonts w:ascii="Arial" w:hAnsi="Arial" w:cs="Arial"/>
          <w:bCs/>
        </w:rPr>
        <w:t xml:space="preserve"> </w:t>
      </w:r>
      <w:r w:rsidRPr="005D4790">
        <w:rPr>
          <w:rFonts w:ascii="Arial" w:hAnsi="Arial" w:cs="Arial"/>
          <w:bCs/>
        </w:rPr>
        <w:t>extremely rare. If you are worried about</w:t>
      </w:r>
      <w:r>
        <w:rPr>
          <w:rFonts w:ascii="Arial" w:hAnsi="Arial" w:cs="Arial"/>
          <w:bCs/>
        </w:rPr>
        <w:t xml:space="preserve"> </w:t>
      </w:r>
      <w:r w:rsidRPr="005D4790">
        <w:rPr>
          <w:rFonts w:ascii="Arial" w:hAnsi="Arial" w:cs="Arial"/>
          <w:bCs/>
        </w:rPr>
        <w:t>your child</w:t>
      </w:r>
      <w:r w:rsidRPr="005D4790">
        <w:rPr>
          <w:rFonts w:ascii="Arial" w:hAnsi="Arial" w:cs="Arial" w:hint="eastAsia"/>
          <w:bCs/>
        </w:rPr>
        <w:t>’</w:t>
      </w:r>
      <w:r w:rsidRPr="005D4790">
        <w:rPr>
          <w:rFonts w:ascii="Arial" w:hAnsi="Arial" w:cs="Arial"/>
          <w:bCs/>
        </w:rPr>
        <w:t>s reaction, seek medical advice.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How can I find more details about my child’s immunisation history?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 xml:space="preserve">The Australian Immunisation Register keeps a record of vaccinations given in Australia. Immunisation history statements can be accessed at any time by using your Medicare online account through </w:t>
      </w:r>
      <w:proofErr w:type="spellStart"/>
      <w:r w:rsidRPr="005D4790">
        <w:rPr>
          <w:rFonts w:ascii="Arial" w:hAnsi="Arial" w:cs="Arial"/>
          <w:bCs/>
        </w:rPr>
        <w:t>myGov</w:t>
      </w:r>
      <w:proofErr w:type="spellEnd"/>
      <w:r w:rsidRPr="005D4790">
        <w:rPr>
          <w:rFonts w:ascii="Arial" w:hAnsi="Arial" w:cs="Arial"/>
          <w:bCs/>
        </w:rPr>
        <w:t xml:space="preserve"> (my.gov.au).</w:t>
      </w:r>
    </w:p>
    <w:p w:rsidR="005D4790" w:rsidRPr="005D4790" w:rsidRDefault="005D4790" w:rsidP="005D4790">
      <w:pPr>
        <w:pStyle w:val="Heading2"/>
        <w:rPr>
          <w:rFonts w:ascii="Arial" w:hAnsi="Arial" w:cs="Arial"/>
          <w:b/>
          <w:color w:val="auto"/>
        </w:rPr>
      </w:pPr>
      <w:r w:rsidRPr="005D4790">
        <w:rPr>
          <w:rFonts w:ascii="Arial" w:hAnsi="Arial" w:cs="Arial"/>
          <w:b/>
          <w:color w:val="auto"/>
        </w:rPr>
        <w:t>Where can I get more information?</w:t>
      </w:r>
    </w:p>
    <w:p w:rsidR="005D4790" w:rsidRPr="005D4790" w:rsidRDefault="005D4790" w:rsidP="005D4790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Speak to your GP or other immunisation provider.</w:t>
      </w:r>
    </w:p>
    <w:p w:rsidR="005D4790" w:rsidRPr="00E037F0" w:rsidRDefault="005D4790" w:rsidP="005D479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D4790">
        <w:rPr>
          <w:rFonts w:ascii="Arial" w:hAnsi="Arial" w:cs="Arial"/>
        </w:rPr>
        <w:t>health.gov.au/immunisation</w:t>
      </w:r>
    </w:p>
    <w:p w:rsidR="00E037F0" w:rsidRPr="00E037F0" w:rsidRDefault="00E037F0" w:rsidP="00E037F0">
      <w:pPr>
        <w:pStyle w:val="Heading2"/>
        <w:rPr>
          <w:rFonts w:ascii="Arial" w:hAnsi="Arial" w:cs="Arial"/>
          <w:b/>
          <w:color w:val="auto"/>
        </w:rPr>
      </w:pPr>
      <w:r w:rsidRPr="00E037F0">
        <w:rPr>
          <w:rFonts w:ascii="Arial" w:hAnsi="Arial" w:cs="Arial"/>
          <w:b/>
          <w:color w:val="auto"/>
        </w:rPr>
        <w:t>Adolescent meningococcal ACWY vaccine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 xml:space="preserve">You can learn more about the safety of </w:t>
      </w:r>
      <w:proofErr w:type="spellStart"/>
      <w:r w:rsidRPr="005D4790">
        <w:rPr>
          <w:rFonts w:ascii="Arial" w:hAnsi="Arial" w:cs="Arial"/>
          <w:bCs/>
        </w:rPr>
        <w:t>dTpa</w:t>
      </w:r>
      <w:proofErr w:type="spellEnd"/>
      <w:r w:rsidRPr="005D4790">
        <w:rPr>
          <w:rFonts w:ascii="Arial" w:hAnsi="Arial" w:cs="Arial"/>
          <w:bCs/>
        </w:rPr>
        <w:t xml:space="preserve"> vaccines at the Therapeutic Goods Administration website.</w:t>
      </w:r>
    </w:p>
    <w:p w:rsidR="005D4790" w:rsidRPr="005D4790" w:rsidRDefault="005D4790" w:rsidP="005D4790">
      <w:pPr>
        <w:rPr>
          <w:rFonts w:ascii="Arial" w:hAnsi="Arial" w:cs="Arial"/>
          <w:bCs/>
        </w:rPr>
      </w:pPr>
      <w:r w:rsidRPr="005D4790">
        <w:rPr>
          <w:rFonts w:ascii="Arial" w:hAnsi="Arial" w:cs="Arial"/>
          <w:bCs/>
        </w:rPr>
        <w:t>tga.gov.au</w:t>
      </w:r>
    </w:p>
    <w:p w:rsidR="005D4790" w:rsidRPr="005D4790" w:rsidRDefault="005D4790" w:rsidP="005D4790">
      <w:pPr>
        <w:rPr>
          <w:rFonts w:ascii="Arial" w:hAnsi="Arial" w:cs="Arial"/>
          <w:b/>
          <w:bCs/>
        </w:rPr>
      </w:pPr>
    </w:p>
    <w:sectPr w:rsidR="005D4790" w:rsidRPr="005D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2F5B"/>
    <w:multiLevelType w:val="hybridMultilevel"/>
    <w:tmpl w:val="D85C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1465"/>
    <w:multiLevelType w:val="hybridMultilevel"/>
    <w:tmpl w:val="38906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90"/>
    <w:rsid w:val="00280050"/>
    <w:rsid w:val="005D4790"/>
    <w:rsid w:val="009E3373"/>
    <w:rsid w:val="00E037F0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A236"/>
  <w15:chartTrackingRefBased/>
  <w15:docId w15:val="{2EF48B5E-E1F0-4D20-9B32-8AE24C1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4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D4790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5D4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Ferlitsch, Sarah</dc:creator>
  <cp:keywords/>
  <dc:description/>
  <cp:lastModifiedBy>Ferlitsch, Sarah</cp:lastModifiedBy>
  <cp:revision>2</cp:revision>
  <dcterms:created xsi:type="dcterms:W3CDTF">2019-12-17T04:30:00Z</dcterms:created>
  <dcterms:modified xsi:type="dcterms:W3CDTF">2019-12-17T04:54:00Z</dcterms:modified>
</cp:coreProperties>
</file>